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lang w:val="en-US"/>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BC0BD4" w:rsidP="00AC2883">
            <w:pPr>
              <w:pStyle w:val="Lettrine"/>
            </w:pPr>
            <w:r>
              <w:t>G</w:t>
            </w:r>
          </w:p>
        </w:tc>
      </w:tr>
      <w:tr w:rsidR="00DC3802" w:rsidRPr="00DA4973" w:rsidTr="00645CA8">
        <w:trPr>
          <w:trHeight w:val="219"/>
        </w:trPr>
        <w:tc>
          <w:tcPr>
            <w:tcW w:w="6522" w:type="dxa"/>
          </w:tcPr>
          <w:p w:rsidR="00DC3802" w:rsidRPr="00AC2883" w:rsidRDefault="00BC0BD4" w:rsidP="00BC0BD4">
            <w:pPr>
              <w:pStyle w:val="upove"/>
            </w:pPr>
            <w:r>
              <w:t>I</w:t>
            </w:r>
            <w:r w:rsidR="00A706D3" w:rsidRPr="00AC2883">
              <w:t>nternational</w:t>
            </w:r>
            <w:r w:rsidR="00A706D3">
              <w:t>e</w:t>
            </w:r>
            <w:r>
              <w:t>r</w:t>
            </w:r>
            <w:r w:rsidR="00A706D3" w:rsidRPr="00AC2883">
              <w:t xml:space="preserve"> </w:t>
            </w:r>
            <w:r>
              <w:t>Verband zum Schutz von Pflanzenzüchtungen</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9E0E16" w:rsidRDefault="007C595A" w:rsidP="00AC2883">
            <w:pPr>
              <w:pStyle w:val="Sessiontc"/>
              <w:spacing w:line="240" w:lineRule="auto"/>
            </w:pPr>
            <w:r w:rsidRPr="009E0E16">
              <w:t>Der Rat</w:t>
            </w:r>
          </w:p>
          <w:p w:rsidR="00EB4E9C" w:rsidRPr="009E0E16" w:rsidRDefault="007C595A" w:rsidP="007C595A">
            <w:pPr>
              <w:pStyle w:val="Sessiontcplacedate"/>
              <w:rPr>
                <w:sz w:val="22"/>
              </w:rPr>
            </w:pPr>
            <w:r w:rsidRPr="009E0E16">
              <w:t>Ein</w:t>
            </w:r>
            <w:r w:rsidR="00BC0BD4" w:rsidRPr="009E0E16">
              <w:t>und</w:t>
            </w:r>
            <w:r w:rsidRPr="009E0E16">
              <w:t>fünf</w:t>
            </w:r>
            <w:r w:rsidR="00BC0BD4" w:rsidRPr="009E0E16">
              <w:t xml:space="preserve">zigste </w:t>
            </w:r>
            <w:r w:rsidRPr="009E0E16">
              <w:t xml:space="preserve">ordentliche </w:t>
            </w:r>
            <w:r w:rsidR="00BC0BD4" w:rsidRPr="009E0E16">
              <w:t>Tagung</w:t>
            </w:r>
            <w:r w:rsidR="00EB4E9C" w:rsidRPr="009E0E16">
              <w:br/>
              <w:t>Gen</w:t>
            </w:r>
            <w:r w:rsidR="00BC0BD4" w:rsidRPr="009E0E16">
              <w:t>f</w:t>
            </w:r>
            <w:r w:rsidR="00EB4E9C" w:rsidRPr="009E0E16">
              <w:t xml:space="preserve">, </w:t>
            </w:r>
            <w:r w:rsidR="00A7227F" w:rsidRPr="009E0E16">
              <w:t>2</w:t>
            </w:r>
            <w:r w:rsidRPr="009E0E16">
              <w:t>6</w:t>
            </w:r>
            <w:r w:rsidR="00BC0BD4" w:rsidRPr="009E0E16">
              <w:t>.</w:t>
            </w:r>
            <w:r w:rsidR="00A706D3" w:rsidRPr="009E0E16">
              <w:t xml:space="preserve"> </w:t>
            </w:r>
            <w:r w:rsidR="00A7227F" w:rsidRPr="009E0E16">
              <w:t xml:space="preserve">Oktober </w:t>
            </w:r>
            <w:r w:rsidR="00EB4E9C" w:rsidRPr="009E0E16">
              <w:t>2017</w:t>
            </w:r>
          </w:p>
        </w:tc>
        <w:tc>
          <w:tcPr>
            <w:tcW w:w="3127" w:type="dxa"/>
          </w:tcPr>
          <w:p w:rsidR="00EB4E9C" w:rsidRPr="009E0E16" w:rsidRDefault="00BB3D0F" w:rsidP="003C7FBE">
            <w:pPr>
              <w:pStyle w:val="Doccode"/>
              <w:rPr>
                <w:lang w:val="de-DE"/>
              </w:rPr>
            </w:pPr>
            <w:r>
              <w:rPr>
                <w:lang w:val="de-DE"/>
              </w:rPr>
              <w:t xml:space="preserve">C/51/4 </w:t>
            </w:r>
            <w:proofErr w:type="spellStart"/>
            <w:r>
              <w:rPr>
                <w:lang w:val="de-DE"/>
              </w:rPr>
              <w:t>Rev</w:t>
            </w:r>
            <w:proofErr w:type="spellEnd"/>
            <w:r>
              <w:rPr>
                <w:lang w:val="de-DE"/>
              </w:rPr>
              <w:t>.</w:t>
            </w:r>
          </w:p>
          <w:p w:rsidR="00EB4E9C" w:rsidRPr="009E0E16" w:rsidRDefault="00EB4E9C" w:rsidP="003C7FBE">
            <w:pPr>
              <w:pStyle w:val="Docoriginal"/>
            </w:pPr>
            <w:r w:rsidRPr="009E0E16">
              <w:t>Original:</w:t>
            </w:r>
            <w:r w:rsidRPr="009E0E16">
              <w:rPr>
                <w:b w:val="0"/>
                <w:spacing w:val="0"/>
              </w:rPr>
              <w:t xml:space="preserve">  </w:t>
            </w:r>
            <w:r w:rsidR="00BC0BD4" w:rsidRPr="009E0E16">
              <w:rPr>
                <w:b w:val="0"/>
                <w:spacing w:val="0"/>
              </w:rPr>
              <w:t>englisch</w:t>
            </w:r>
          </w:p>
          <w:p w:rsidR="00EB4E9C" w:rsidRPr="007C1D92" w:rsidRDefault="00EB4E9C" w:rsidP="00BB3D0F">
            <w:pPr>
              <w:pStyle w:val="Docoriginal"/>
            </w:pPr>
            <w:r w:rsidRPr="009E0E16">
              <w:t>Dat</w:t>
            </w:r>
            <w:r w:rsidR="00BC0BD4" w:rsidRPr="009E0E16">
              <w:t>um</w:t>
            </w:r>
            <w:r w:rsidRPr="009E0E16">
              <w:t>:</w:t>
            </w:r>
            <w:r w:rsidRPr="009E0E16">
              <w:rPr>
                <w:b w:val="0"/>
                <w:spacing w:val="0"/>
              </w:rPr>
              <w:t xml:space="preserve">  </w:t>
            </w:r>
            <w:r w:rsidR="00BB3D0F">
              <w:rPr>
                <w:b w:val="0"/>
                <w:spacing w:val="0"/>
              </w:rPr>
              <w:t>26. Oktober</w:t>
            </w:r>
            <w:r w:rsidR="009E0E16" w:rsidRPr="009E0E16">
              <w:rPr>
                <w:b w:val="0"/>
                <w:spacing w:val="0"/>
              </w:rPr>
              <w:t xml:space="preserve"> </w:t>
            </w:r>
            <w:r w:rsidR="00A95F63" w:rsidRPr="009E0E16">
              <w:rPr>
                <w:b w:val="0"/>
                <w:spacing w:val="0"/>
              </w:rPr>
              <w:t>2017</w:t>
            </w:r>
          </w:p>
        </w:tc>
      </w:tr>
    </w:tbl>
    <w:p w:rsidR="000D7780" w:rsidRPr="006A644A" w:rsidRDefault="00BB3D0F" w:rsidP="006A644A">
      <w:pPr>
        <w:pStyle w:val="Titleofdoc0"/>
      </w:pPr>
      <w:bookmarkStart w:id="0" w:name="TitleOfDoc"/>
      <w:bookmarkEnd w:id="0"/>
      <w:r>
        <w:t>PROGRAMM UND HAUSHALTSPLAN</w:t>
      </w:r>
      <w:r w:rsidR="00EB6733">
        <w:t xml:space="preserve"> FÜR DIE RECHNUNGSPERIODE 201</w:t>
      </w:r>
      <w:r w:rsidR="00EA72FF">
        <w:t>8</w:t>
      </w:r>
      <w:r w:rsidR="00EB6733">
        <w:t>-201</w:t>
      </w:r>
      <w:r w:rsidR="00EA72FF">
        <w:t>9</w:t>
      </w:r>
    </w:p>
    <w:p w:rsidR="006A644A" w:rsidRPr="006A644A" w:rsidRDefault="00BB3D0F" w:rsidP="00BB3D0F">
      <w:pPr>
        <w:pStyle w:val="preparedby1"/>
        <w:spacing w:after="600"/>
        <w:jc w:val="left"/>
      </w:pPr>
      <w:bookmarkStart w:id="1" w:name="Prepared"/>
      <w:bookmarkEnd w:id="1"/>
      <w:r>
        <w:t>vom Rat angenommen</w:t>
      </w:r>
    </w:p>
    <w:p w:rsidR="00BB3D0F" w:rsidRPr="002729CD" w:rsidRDefault="00EB6733" w:rsidP="00BB3D0F">
      <w:r w:rsidRPr="00A022C5">
        <w:fldChar w:fldCharType="begin"/>
      </w:r>
      <w:r w:rsidRPr="00A022C5">
        <w:instrText xml:space="preserve"> AUTONUM  </w:instrText>
      </w:r>
      <w:r w:rsidRPr="00A022C5">
        <w:fldChar w:fldCharType="end"/>
      </w:r>
      <w:r w:rsidRPr="00A022C5">
        <w:tab/>
      </w:r>
      <w:r w:rsidR="00BB3D0F" w:rsidRPr="002729CD">
        <w:t xml:space="preserve">Auf seiner </w:t>
      </w:r>
      <w:r w:rsidR="00BB3D0F">
        <w:t>ein</w:t>
      </w:r>
      <w:r w:rsidR="00BB3D0F" w:rsidRPr="002729CD">
        <w:t>und</w:t>
      </w:r>
      <w:r w:rsidR="00BB3D0F">
        <w:t>fünf</w:t>
      </w:r>
      <w:r w:rsidR="00BB3D0F" w:rsidRPr="002729CD">
        <w:t>zigsten ordentlichen Tagung am 2</w:t>
      </w:r>
      <w:r w:rsidR="00BB3D0F">
        <w:t>6</w:t>
      </w:r>
      <w:r w:rsidR="00BB3D0F">
        <w:t>. Oktober 201</w:t>
      </w:r>
      <w:r w:rsidR="00BB3D0F">
        <w:t>7</w:t>
      </w:r>
      <w:r w:rsidR="00BB3D0F" w:rsidRPr="002729CD">
        <w:t xml:space="preserve"> in Genf</w:t>
      </w:r>
      <w:r w:rsidR="00BB3D0F">
        <w:t xml:space="preserve"> </w:t>
      </w:r>
      <w:r w:rsidR="00BB3D0F" w:rsidRPr="002729CD">
        <w:t>billigte der Rat die in dem Entwurf eines Programms und Haushaltsplans für die</w:t>
      </w:r>
      <w:r w:rsidR="00BB3D0F">
        <w:t xml:space="preserve"> </w:t>
      </w:r>
      <w:r w:rsidR="00BB3D0F" w:rsidRPr="002729CD">
        <w:t>Rechnungsperiode 201</w:t>
      </w:r>
      <w:r w:rsidR="00BB3D0F">
        <w:t>8</w:t>
      </w:r>
      <w:r w:rsidR="00BB3D0F" w:rsidRPr="002729CD">
        <w:t>-201</w:t>
      </w:r>
      <w:r w:rsidR="00BB3D0F">
        <w:t>9</w:t>
      </w:r>
      <w:r w:rsidR="00BB3D0F" w:rsidRPr="002729CD">
        <w:t xml:space="preserve"> enthaltenen Vorschläge, wie in Dokument C/</w:t>
      </w:r>
      <w:r w:rsidR="00BB3D0F">
        <w:t>51</w:t>
      </w:r>
      <w:r w:rsidR="00BB3D0F" w:rsidRPr="002729CD">
        <w:t>/4 dargelegt, einschließlich des Betrags der Beiträge der Verbandsmitglieder, die vorgeschlagene</w:t>
      </w:r>
      <w:r w:rsidR="00BB3D0F">
        <w:t xml:space="preserve"> </w:t>
      </w:r>
      <w:r w:rsidR="00BB3D0F" w:rsidRPr="002729CD">
        <w:t>Höchstgrenze für die Ausgaben im ordentlichen Haushalt, und die Gesamtzahl der Posten für</w:t>
      </w:r>
      <w:r w:rsidR="00BB3D0F">
        <w:t xml:space="preserve"> </w:t>
      </w:r>
      <w:r w:rsidR="00BB3D0F" w:rsidRPr="002729CD">
        <w:t>das Verbandsbüro.</w:t>
      </w:r>
    </w:p>
    <w:p w:rsidR="00BB3D0F" w:rsidRDefault="00BB3D0F" w:rsidP="00BB3D0F"/>
    <w:p w:rsidR="00BB3D0F" w:rsidRDefault="00BB3D0F" w:rsidP="00BB3D0F">
      <w:r w:rsidRPr="00185588">
        <w:fldChar w:fldCharType="begin"/>
      </w:r>
      <w:r w:rsidRPr="00185588">
        <w:instrText xml:space="preserve"> AUTONUM  </w:instrText>
      </w:r>
      <w:r w:rsidRPr="00185588">
        <w:fldChar w:fldCharType="end"/>
      </w:r>
      <w:r w:rsidRPr="00185588">
        <w:tab/>
      </w:r>
      <w:r>
        <w:t>Die Anlage d</w:t>
      </w:r>
      <w:r w:rsidRPr="002729CD">
        <w:t>ieses Dokument</w:t>
      </w:r>
      <w:r>
        <w:t>s</w:t>
      </w:r>
      <w:r w:rsidRPr="002729CD">
        <w:t xml:space="preserve"> enthält Programm und Haushaltsplan für die </w:t>
      </w:r>
      <w:r>
        <w:br/>
      </w:r>
      <w:r w:rsidRPr="002729CD">
        <w:t>Rechnungsperiode</w:t>
      </w:r>
      <w:r>
        <w:t xml:space="preserve"> </w:t>
      </w:r>
      <w:r w:rsidRPr="002729CD">
        <w:t>201</w:t>
      </w:r>
      <w:r>
        <w:t>8</w:t>
      </w:r>
      <w:r>
        <w:noBreakHyphen/>
      </w:r>
      <w:r w:rsidRPr="002729CD">
        <w:t>201</w:t>
      </w:r>
      <w:r>
        <w:t>9</w:t>
      </w:r>
      <w:r w:rsidRPr="002729CD">
        <w:t>, wie vom Rat beschlossen.</w:t>
      </w:r>
    </w:p>
    <w:p w:rsidR="008134A5" w:rsidRDefault="008134A5" w:rsidP="00BB3D0F"/>
    <w:p w:rsidR="009E0E16" w:rsidRPr="009E0E16" w:rsidRDefault="009E0E16" w:rsidP="009E0E16">
      <w:bookmarkStart w:id="2" w:name="_GoBack"/>
      <w:bookmarkEnd w:id="2"/>
    </w:p>
    <w:p w:rsidR="00EB6733" w:rsidRPr="00A022C5" w:rsidRDefault="00EB6733" w:rsidP="00EB6733">
      <w:pPr>
        <w:jc w:val="left"/>
      </w:pPr>
    </w:p>
    <w:p w:rsidR="00EB6733" w:rsidRPr="00A022C5" w:rsidRDefault="00EB6733" w:rsidP="00EB6733">
      <w:pPr>
        <w:jc w:val="right"/>
        <w:sectPr w:rsidR="00EB6733" w:rsidRPr="00A022C5" w:rsidSect="00906DDC">
          <w:headerReference w:type="default" r:id="rId9"/>
          <w:pgSz w:w="11907" w:h="16840" w:code="9"/>
          <w:pgMar w:top="510" w:right="1134" w:bottom="1134" w:left="1134" w:header="510" w:footer="680" w:gutter="0"/>
          <w:cols w:space="720"/>
          <w:titlePg/>
        </w:sectPr>
      </w:pPr>
      <w:r w:rsidRPr="00A022C5">
        <w:t>[Anlage folg</w:t>
      </w:r>
      <w:r>
        <w:t>t</w:t>
      </w:r>
      <w:r w:rsidRPr="00A022C5">
        <w:t>]</w:t>
      </w:r>
    </w:p>
    <w:p w:rsidR="008134A5" w:rsidRPr="003F486D" w:rsidRDefault="00EA72FF" w:rsidP="008134A5">
      <w:pPr>
        <w:jc w:val="center"/>
      </w:pPr>
      <w:r>
        <w:lastRenderedPageBreak/>
        <w:t xml:space="preserve">ANLAGE </w:t>
      </w:r>
    </w:p>
    <w:p w:rsidR="008134A5" w:rsidRPr="003F486D" w:rsidRDefault="008134A5" w:rsidP="008134A5">
      <w:pPr>
        <w:jc w:val="center"/>
      </w:pPr>
    </w:p>
    <w:p w:rsidR="008134A5" w:rsidRPr="003F486D" w:rsidRDefault="008134A5" w:rsidP="008134A5">
      <w:pPr>
        <w:jc w:val="center"/>
      </w:pPr>
      <w:r w:rsidRPr="003F486D">
        <w:t>PROGRAMM UND HAUSHALTSPLAN FÜR DIE RECHNUNGSPERIODE 2018-2019</w:t>
      </w:r>
    </w:p>
    <w:p w:rsidR="008134A5" w:rsidRPr="003F486D" w:rsidRDefault="008134A5" w:rsidP="008134A5">
      <w:pPr>
        <w:jc w:val="center"/>
      </w:pPr>
    </w:p>
    <w:p w:rsidR="008134A5" w:rsidRPr="003F486D" w:rsidRDefault="008134A5" w:rsidP="008134A5">
      <w:pPr>
        <w:jc w:val="center"/>
      </w:pPr>
    </w:p>
    <w:p w:rsidR="008134A5" w:rsidRPr="003F486D" w:rsidRDefault="008134A5" w:rsidP="008134A5">
      <w:pPr>
        <w:keepNext/>
        <w:rPr>
          <w:rFonts w:cs="Arial"/>
          <w:u w:val="single"/>
        </w:rPr>
      </w:pPr>
      <w:r w:rsidRPr="003F486D">
        <w:rPr>
          <w:u w:val="single"/>
        </w:rPr>
        <w:t>INHALT</w:t>
      </w:r>
    </w:p>
    <w:p w:rsidR="008134A5" w:rsidRPr="003F486D" w:rsidRDefault="008134A5" w:rsidP="008134A5">
      <w:pPr>
        <w:keepNext/>
        <w:rPr>
          <w:rFonts w:cs="Arial"/>
        </w:rPr>
      </w:pPr>
    </w:p>
    <w:p w:rsidR="008134A5" w:rsidRPr="003F486D" w:rsidRDefault="008134A5" w:rsidP="008134A5">
      <w:pPr>
        <w:keepNext/>
        <w:rPr>
          <w:rFonts w:cs="Arial"/>
        </w:rPr>
      </w:pPr>
    </w:p>
    <w:p w:rsidR="008134A5" w:rsidRPr="003F486D" w:rsidRDefault="008134A5" w:rsidP="008134A5">
      <w:pPr>
        <w:rPr>
          <w:rFonts w:cs="Arial"/>
        </w:rPr>
      </w:pPr>
      <w:r w:rsidRPr="003F486D">
        <w:t>1.</w:t>
      </w:r>
      <w:r w:rsidRPr="003F486D">
        <w:tab/>
        <w:t>EINLEITUNG</w:t>
      </w:r>
    </w:p>
    <w:p w:rsidR="008134A5" w:rsidRPr="003F486D" w:rsidRDefault="008134A5" w:rsidP="008134A5">
      <w:pPr>
        <w:rPr>
          <w:rFonts w:cs="Arial"/>
        </w:rPr>
      </w:pPr>
    </w:p>
    <w:p w:rsidR="008134A5" w:rsidRPr="003F486D" w:rsidRDefault="008134A5" w:rsidP="008134A5">
      <w:pPr>
        <w:ind w:left="567"/>
        <w:rPr>
          <w:rFonts w:cs="Arial"/>
        </w:rPr>
      </w:pPr>
      <w:r w:rsidRPr="003F486D">
        <w:rPr>
          <w:rFonts w:cs="Arial"/>
        </w:rPr>
        <w:t>Hintergrund</w:t>
      </w:r>
    </w:p>
    <w:p w:rsidR="008134A5" w:rsidRPr="003F486D" w:rsidRDefault="008134A5" w:rsidP="008134A5">
      <w:pPr>
        <w:ind w:left="567"/>
        <w:rPr>
          <w:rFonts w:cs="Arial"/>
        </w:rPr>
      </w:pPr>
    </w:p>
    <w:p w:rsidR="008134A5" w:rsidRPr="003F486D" w:rsidRDefault="008134A5" w:rsidP="008134A5">
      <w:pPr>
        <w:ind w:left="567"/>
        <w:rPr>
          <w:rFonts w:cs="Arial"/>
        </w:rPr>
      </w:pPr>
      <w:r w:rsidRPr="003F486D">
        <w:rPr>
          <w:rFonts w:cs="Arial"/>
        </w:rPr>
        <w:t>Entwicklung in der UPOV</w:t>
      </w:r>
    </w:p>
    <w:p w:rsidR="008134A5" w:rsidRPr="003F486D" w:rsidRDefault="008134A5" w:rsidP="008134A5">
      <w:pPr>
        <w:ind w:left="567"/>
        <w:rPr>
          <w:rFonts w:cs="Arial"/>
        </w:rPr>
      </w:pPr>
    </w:p>
    <w:p w:rsidR="008134A5" w:rsidRPr="003F486D" w:rsidRDefault="008134A5" w:rsidP="008134A5">
      <w:pPr>
        <w:ind w:left="1134"/>
        <w:rPr>
          <w:rFonts w:cs="Arial"/>
          <w:i/>
        </w:rPr>
      </w:pPr>
      <w:r w:rsidRPr="003F486D">
        <w:rPr>
          <w:rFonts w:cs="Arial"/>
          <w:i/>
        </w:rPr>
        <w:t>UPOV-Mitglieder</w:t>
      </w:r>
    </w:p>
    <w:p w:rsidR="008134A5" w:rsidRPr="003F486D" w:rsidRDefault="008134A5" w:rsidP="008134A5">
      <w:pPr>
        <w:ind w:left="1134"/>
        <w:rPr>
          <w:rFonts w:cs="Arial"/>
          <w:i/>
        </w:rPr>
      </w:pPr>
      <w:r w:rsidRPr="003F486D">
        <w:rPr>
          <w:rFonts w:cs="Arial"/>
          <w:i/>
        </w:rPr>
        <w:t>Verwendung des UPOV-Systems</w:t>
      </w:r>
    </w:p>
    <w:p w:rsidR="008134A5" w:rsidRPr="003F486D" w:rsidRDefault="008134A5" w:rsidP="008134A5">
      <w:pPr>
        <w:ind w:left="567"/>
        <w:rPr>
          <w:rFonts w:cs="Arial"/>
        </w:rPr>
      </w:pPr>
    </w:p>
    <w:p w:rsidR="008134A5" w:rsidRPr="003F486D" w:rsidRDefault="008134A5" w:rsidP="008134A5">
      <w:pPr>
        <w:ind w:left="567"/>
        <w:rPr>
          <w:rFonts w:cs="Arial"/>
        </w:rPr>
      </w:pPr>
      <w:r>
        <w:rPr>
          <w:rFonts w:cs="Arial"/>
        </w:rPr>
        <w:t>Externe</w:t>
      </w:r>
      <w:r w:rsidRPr="003F486D">
        <w:rPr>
          <w:rFonts w:cs="Arial"/>
        </w:rPr>
        <w:t xml:space="preserve"> Entwicklungen</w:t>
      </w:r>
    </w:p>
    <w:p w:rsidR="008134A5" w:rsidRPr="003F486D" w:rsidRDefault="008134A5" w:rsidP="008134A5">
      <w:pPr>
        <w:ind w:left="567"/>
        <w:rPr>
          <w:rFonts w:cs="Arial"/>
        </w:rPr>
      </w:pPr>
    </w:p>
    <w:p w:rsidR="008134A5" w:rsidRPr="003F486D" w:rsidRDefault="008134A5" w:rsidP="008134A5">
      <w:pPr>
        <w:ind w:left="567"/>
        <w:rPr>
          <w:rFonts w:cs="Arial"/>
        </w:rPr>
      </w:pPr>
      <w:r>
        <w:rPr>
          <w:rFonts w:cs="Arial"/>
        </w:rPr>
        <w:t>Überlegungen zu den Mitteln</w:t>
      </w:r>
    </w:p>
    <w:p w:rsidR="008134A5" w:rsidRPr="003F486D" w:rsidRDefault="008134A5" w:rsidP="008134A5">
      <w:pPr>
        <w:rPr>
          <w:rFonts w:cs="Arial"/>
        </w:rPr>
      </w:pPr>
    </w:p>
    <w:p w:rsidR="008134A5" w:rsidRPr="003F486D" w:rsidRDefault="008134A5" w:rsidP="008134A5">
      <w:pPr>
        <w:rPr>
          <w:rFonts w:cs="Arial"/>
        </w:rPr>
      </w:pPr>
      <w:r w:rsidRPr="003F486D">
        <w:rPr>
          <w:rFonts w:cs="Arial"/>
        </w:rPr>
        <w:t>2.</w:t>
      </w:r>
      <w:r w:rsidRPr="003F486D">
        <w:rPr>
          <w:rFonts w:cs="Arial"/>
        </w:rPr>
        <w:tab/>
      </w:r>
      <w:r w:rsidRPr="003F486D">
        <w:t>ZIELE UND ERWARTETE ERGEBNISSE DER UNTERPROGRAMME</w:t>
      </w:r>
    </w:p>
    <w:p w:rsidR="008134A5" w:rsidRPr="003F486D" w:rsidRDefault="008134A5" w:rsidP="008134A5">
      <w:pPr>
        <w:rPr>
          <w:rFonts w:cs="Arial"/>
        </w:rPr>
      </w:pPr>
    </w:p>
    <w:p w:rsidR="008134A5" w:rsidRPr="003F486D" w:rsidRDefault="008134A5" w:rsidP="008134A5">
      <w:pPr>
        <w:ind w:left="567"/>
        <w:rPr>
          <w:rFonts w:cs="Arial"/>
        </w:rPr>
      </w:pPr>
      <w:r w:rsidRPr="003F486D">
        <w:t>2.1</w:t>
      </w:r>
      <w:r w:rsidRPr="003F486D">
        <w:tab/>
        <w:t>Unterprogramm UV.1:</w:t>
      </w:r>
      <w:r>
        <w:t xml:space="preserve"> </w:t>
      </w:r>
      <w:r w:rsidRPr="003F486D">
        <w:t>Allgemeine Sortenschutzpolitik</w:t>
      </w:r>
    </w:p>
    <w:p w:rsidR="008134A5" w:rsidRPr="003F486D" w:rsidRDefault="008134A5" w:rsidP="008134A5">
      <w:pPr>
        <w:ind w:left="1134"/>
        <w:rPr>
          <w:rFonts w:cs="Arial"/>
          <w:i/>
        </w:rPr>
      </w:pPr>
    </w:p>
    <w:p w:rsidR="008134A5" w:rsidRPr="003F486D" w:rsidRDefault="008134A5" w:rsidP="008134A5">
      <w:pPr>
        <w:ind w:left="1843" w:hanging="709"/>
        <w:rPr>
          <w:rFonts w:cs="Arial"/>
          <w:i/>
        </w:rPr>
      </w:pPr>
      <w:r w:rsidRPr="003F486D">
        <w:rPr>
          <w:i/>
        </w:rPr>
        <w:t>2.1.1</w:t>
      </w:r>
      <w:r w:rsidRPr="003F486D">
        <w:tab/>
      </w:r>
      <w:r w:rsidRPr="003F486D">
        <w:rPr>
          <w:i/>
        </w:rPr>
        <w:t>Ziele</w:t>
      </w:r>
    </w:p>
    <w:p w:rsidR="008134A5" w:rsidRPr="003F486D" w:rsidRDefault="008134A5" w:rsidP="008134A5">
      <w:pPr>
        <w:ind w:left="1843" w:hanging="709"/>
        <w:rPr>
          <w:rFonts w:cs="Arial"/>
          <w:i/>
        </w:rPr>
      </w:pPr>
      <w:r w:rsidRPr="003F486D">
        <w:rPr>
          <w:i/>
        </w:rPr>
        <w:t>2.1.2</w:t>
      </w:r>
      <w:r w:rsidRPr="003F486D">
        <w:tab/>
      </w:r>
      <w:r w:rsidRPr="003F486D">
        <w:rPr>
          <w:i/>
        </w:rPr>
        <w:t>Hintergrund</w:t>
      </w:r>
    </w:p>
    <w:p w:rsidR="008134A5" w:rsidRPr="003F486D" w:rsidRDefault="008134A5" w:rsidP="008134A5">
      <w:pPr>
        <w:ind w:left="1843" w:hanging="709"/>
        <w:rPr>
          <w:rFonts w:cs="Arial"/>
          <w:i/>
        </w:rPr>
      </w:pPr>
      <w:r w:rsidRPr="003F486D">
        <w:rPr>
          <w:i/>
        </w:rPr>
        <w:t>2.1.3</w:t>
      </w:r>
      <w:r w:rsidRPr="003F486D">
        <w:tab/>
      </w:r>
      <w:r w:rsidRPr="003F486D">
        <w:rPr>
          <w:i/>
        </w:rPr>
        <w:t>Tätigkeiten</w:t>
      </w:r>
    </w:p>
    <w:p w:rsidR="008134A5" w:rsidRPr="003F486D" w:rsidRDefault="008134A5" w:rsidP="008134A5">
      <w:pPr>
        <w:ind w:left="1843" w:hanging="709"/>
        <w:rPr>
          <w:rFonts w:cs="Arial"/>
          <w:i/>
        </w:rPr>
      </w:pPr>
      <w:r w:rsidRPr="003F486D">
        <w:rPr>
          <w:i/>
        </w:rPr>
        <w:t>2.1.4</w:t>
      </w:r>
      <w:r w:rsidRPr="003F486D">
        <w:tab/>
      </w:r>
      <w:r w:rsidRPr="003F486D">
        <w:rPr>
          <w:i/>
        </w:rPr>
        <w:t>Erwartete Ergebnisse und Planerfüllungsindikatoren</w:t>
      </w:r>
    </w:p>
    <w:p w:rsidR="008134A5" w:rsidRPr="003F486D" w:rsidRDefault="008134A5" w:rsidP="008134A5">
      <w:pPr>
        <w:rPr>
          <w:rFonts w:cs="Arial"/>
        </w:rPr>
      </w:pPr>
    </w:p>
    <w:p w:rsidR="008134A5" w:rsidRPr="003F486D" w:rsidRDefault="008134A5" w:rsidP="008134A5">
      <w:pPr>
        <w:ind w:left="1134" w:hanging="567"/>
        <w:rPr>
          <w:rFonts w:cs="Arial"/>
        </w:rPr>
      </w:pPr>
      <w:r w:rsidRPr="003F486D">
        <w:t>2.2</w:t>
      </w:r>
      <w:r w:rsidRPr="003F486D">
        <w:tab/>
        <w:t>Unterprogramm UV.2:</w:t>
      </w:r>
      <w:r>
        <w:t xml:space="preserve"> </w:t>
      </w:r>
      <w:r w:rsidRPr="003F486D">
        <w:t>Dienstleistungen für den Verband zur Verbesserung der Wirksamkeit des UPOV-Systems</w:t>
      </w:r>
    </w:p>
    <w:p w:rsidR="008134A5" w:rsidRPr="003F486D" w:rsidRDefault="008134A5" w:rsidP="008134A5">
      <w:pPr>
        <w:ind w:left="1134" w:hanging="567"/>
        <w:rPr>
          <w:rFonts w:cs="Arial"/>
        </w:rPr>
      </w:pPr>
    </w:p>
    <w:p w:rsidR="008134A5" w:rsidRPr="003F486D" w:rsidRDefault="008134A5" w:rsidP="008134A5">
      <w:pPr>
        <w:ind w:left="1843" w:hanging="709"/>
        <w:rPr>
          <w:rFonts w:cs="Arial"/>
          <w:i/>
        </w:rPr>
      </w:pPr>
      <w:r w:rsidRPr="003F486D">
        <w:rPr>
          <w:i/>
        </w:rPr>
        <w:t>2.2.1</w:t>
      </w:r>
      <w:r w:rsidRPr="003F486D">
        <w:tab/>
      </w:r>
      <w:r w:rsidRPr="003F486D">
        <w:rPr>
          <w:i/>
        </w:rPr>
        <w:t>Ziele</w:t>
      </w:r>
    </w:p>
    <w:p w:rsidR="008134A5" w:rsidRPr="003F486D" w:rsidRDefault="008134A5" w:rsidP="008134A5">
      <w:pPr>
        <w:ind w:left="1843" w:hanging="709"/>
        <w:rPr>
          <w:rFonts w:cs="Arial"/>
          <w:i/>
        </w:rPr>
      </w:pPr>
      <w:r w:rsidRPr="003F486D">
        <w:rPr>
          <w:i/>
        </w:rPr>
        <w:t>2.2.2</w:t>
      </w:r>
      <w:r w:rsidRPr="003F486D">
        <w:tab/>
      </w:r>
      <w:r w:rsidRPr="003F486D">
        <w:rPr>
          <w:i/>
        </w:rPr>
        <w:t>Hintergrund</w:t>
      </w:r>
    </w:p>
    <w:p w:rsidR="008134A5" w:rsidRPr="003F486D" w:rsidRDefault="008134A5" w:rsidP="008134A5">
      <w:pPr>
        <w:ind w:left="2410" w:hanging="709"/>
        <w:rPr>
          <w:rFonts w:cs="Arial"/>
          <w:sz w:val="18"/>
          <w:szCs w:val="18"/>
          <w:u w:val="single"/>
        </w:rPr>
      </w:pPr>
      <w:r w:rsidRPr="003F486D">
        <w:rPr>
          <w:sz w:val="18"/>
          <w:szCs w:val="18"/>
        </w:rPr>
        <w:tab/>
      </w:r>
      <w:r w:rsidRPr="009E37F7">
        <w:rPr>
          <w:sz w:val="18"/>
          <w:szCs w:val="18"/>
        </w:rPr>
        <w:t>Einleitung</w:t>
      </w:r>
    </w:p>
    <w:p w:rsidR="008134A5" w:rsidRPr="003F486D" w:rsidRDefault="008134A5" w:rsidP="008134A5">
      <w:pPr>
        <w:ind w:left="2410" w:hanging="709"/>
        <w:rPr>
          <w:rFonts w:cs="Arial"/>
          <w:sz w:val="18"/>
          <w:u w:val="single"/>
        </w:rPr>
      </w:pPr>
      <w:r w:rsidRPr="003F486D">
        <w:tab/>
      </w:r>
      <w:r w:rsidRPr="009E37F7">
        <w:rPr>
          <w:sz w:val="18"/>
        </w:rPr>
        <w:t>Anleitung und Informationsmaterialien</w:t>
      </w:r>
    </w:p>
    <w:p w:rsidR="008134A5" w:rsidRDefault="008134A5" w:rsidP="008134A5">
      <w:pPr>
        <w:ind w:left="1843" w:firstLine="567"/>
        <w:rPr>
          <w:rFonts w:cs="Arial"/>
          <w:sz w:val="18"/>
        </w:rPr>
      </w:pPr>
      <w:r w:rsidRPr="003F486D">
        <w:rPr>
          <w:rFonts w:cs="Arial"/>
          <w:sz w:val="18"/>
        </w:rPr>
        <w:t>Mittel der UPOV</w:t>
      </w:r>
      <w:r>
        <w:rPr>
          <w:rFonts w:cs="Arial"/>
          <w:sz w:val="18"/>
        </w:rPr>
        <w:t xml:space="preserve"> für </w:t>
      </w:r>
      <w:r w:rsidRPr="003F486D">
        <w:rPr>
          <w:rFonts w:cs="Arial"/>
          <w:sz w:val="18"/>
        </w:rPr>
        <w:t xml:space="preserve">Zusammenarbeit </w:t>
      </w:r>
      <w:r>
        <w:rPr>
          <w:rFonts w:cs="Arial"/>
          <w:sz w:val="18"/>
        </w:rPr>
        <w:t>zwischen</w:t>
      </w:r>
      <w:r w:rsidRPr="003F486D">
        <w:rPr>
          <w:rFonts w:cs="Arial"/>
          <w:sz w:val="18"/>
        </w:rPr>
        <w:t xml:space="preserve"> Verbandsmitgliedern</w:t>
      </w:r>
    </w:p>
    <w:p w:rsidR="008134A5" w:rsidRPr="003F486D" w:rsidRDefault="008134A5" w:rsidP="008134A5">
      <w:pPr>
        <w:spacing w:line="240" w:lineRule="atLeast"/>
        <w:ind w:left="1843" w:firstLine="567"/>
        <w:rPr>
          <w:rFonts w:cs="Arial"/>
          <w:sz w:val="18"/>
        </w:rPr>
      </w:pPr>
      <w:r w:rsidRPr="003F486D">
        <w:rPr>
          <w:rFonts w:cs="Arial"/>
          <w:sz w:val="18"/>
        </w:rPr>
        <w:t>Sortenbezeichnungen</w:t>
      </w:r>
    </w:p>
    <w:p w:rsidR="008134A5" w:rsidRPr="003F486D" w:rsidRDefault="008134A5" w:rsidP="008134A5">
      <w:pPr>
        <w:ind w:left="1843" w:hanging="709"/>
        <w:rPr>
          <w:rFonts w:cs="Arial"/>
          <w:i/>
        </w:rPr>
      </w:pPr>
      <w:r w:rsidRPr="003F486D">
        <w:rPr>
          <w:i/>
        </w:rPr>
        <w:t>2.2.3</w:t>
      </w:r>
      <w:r w:rsidRPr="003F486D">
        <w:tab/>
      </w:r>
      <w:r w:rsidRPr="003F486D">
        <w:rPr>
          <w:i/>
        </w:rPr>
        <w:t>Tätigkeiten</w:t>
      </w:r>
    </w:p>
    <w:p w:rsidR="008134A5" w:rsidRPr="003F486D" w:rsidRDefault="008134A5" w:rsidP="008134A5">
      <w:pPr>
        <w:ind w:left="1843" w:hanging="709"/>
        <w:rPr>
          <w:rFonts w:cs="Arial"/>
          <w:i/>
        </w:rPr>
      </w:pPr>
      <w:r w:rsidRPr="003F486D">
        <w:rPr>
          <w:i/>
        </w:rPr>
        <w:t>2.2.4</w:t>
      </w:r>
      <w:r w:rsidRPr="003F486D">
        <w:tab/>
      </w:r>
      <w:r w:rsidRPr="003F486D">
        <w:rPr>
          <w:i/>
        </w:rPr>
        <w:t>Erwartete Ergebnisse und Planerfüllungsindikatoren</w:t>
      </w:r>
    </w:p>
    <w:p w:rsidR="008134A5" w:rsidRPr="003F486D" w:rsidRDefault="008134A5" w:rsidP="008134A5">
      <w:pPr>
        <w:rPr>
          <w:rFonts w:cs="Arial"/>
        </w:rPr>
      </w:pPr>
    </w:p>
    <w:p w:rsidR="008134A5" w:rsidRPr="003F486D" w:rsidRDefault="008134A5" w:rsidP="008134A5">
      <w:pPr>
        <w:ind w:left="1134" w:hanging="567"/>
        <w:rPr>
          <w:rFonts w:cs="Arial"/>
        </w:rPr>
      </w:pPr>
      <w:r w:rsidRPr="003F486D">
        <w:t>2.3</w:t>
      </w:r>
      <w:r w:rsidRPr="003F486D">
        <w:tab/>
        <w:t>Unterprogramm UV.3:</w:t>
      </w:r>
      <w:r>
        <w:t xml:space="preserve"> </w:t>
      </w:r>
      <w:r w:rsidRPr="003F486D">
        <w:t xml:space="preserve">Unterstützung bei der Einführung und Umsetzung des UPOV-Systems </w:t>
      </w:r>
    </w:p>
    <w:p w:rsidR="008134A5" w:rsidRPr="003F486D" w:rsidRDefault="008134A5" w:rsidP="008134A5">
      <w:pPr>
        <w:ind w:left="567"/>
        <w:rPr>
          <w:rFonts w:cs="Arial"/>
        </w:rPr>
      </w:pPr>
    </w:p>
    <w:p w:rsidR="008134A5" w:rsidRPr="003F486D" w:rsidRDefault="008134A5" w:rsidP="008134A5">
      <w:pPr>
        <w:ind w:left="1843" w:hanging="709"/>
        <w:rPr>
          <w:rFonts w:cs="Arial"/>
          <w:i/>
        </w:rPr>
      </w:pPr>
      <w:r w:rsidRPr="003F486D">
        <w:rPr>
          <w:i/>
        </w:rPr>
        <w:t>2.3.1</w:t>
      </w:r>
      <w:r w:rsidRPr="003F486D">
        <w:tab/>
      </w:r>
      <w:r w:rsidRPr="003F486D">
        <w:rPr>
          <w:i/>
        </w:rPr>
        <w:t>Ziele</w:t>
      </w:r>
    </w:p>
    <w:p w:rsidR="008134A5" w:rsidRPr="003F486D" w:rsidRDefault="008134A5" w:rsidP="008134A5">
      <w:pPr>
        <w:ind w:left="1843" w:hanging="709"/>
        <w:rPr>
          <w:rFonts w:cs="Arial"/>
          <w:i/>
        </w:rPr>
      </w:pPr>
      <w:r w:rsidRPr="003F486D">
        <w:rPr>
          <w:i/>
        </w:rPr>
        <w:t>2.3.2</w:t>
      </w:r>
      <w:r w:rsidRPr="003F486D">
        <w:tab/>
      </w:r>
      <w:r w:rsidRPr="003F486D">
        <w:rPr>
          <w:i/>
        </w:rPr>
        <w:t>Hintergrund</w:t>
      </w:r>
    </w:p>
    <w:p w:rsidR="008134A5" w:rsidRPr="009E37F7" w:rsidRDefault="008134A5" w:rsidP="008134A5">
      <w:pPr>
        <w:ind w:left="2410" w:hanging="709"/>
        <w:rPr>
          <w:rFonts w:cs="Arial"/>
          <w:sz w:val="18"/>
          <w:szCs w:val="18"/>
        </w:rPr>
      </w:pPr>
      <w:r w:rsidRPr="003F486D">
        <w:tab/>
      </w:r>
      <w:r w:rsidRPr="009E37F7">
        <w:rPr>
          <w:sz w:val="18"/>
          <w:szCs w:val="18"/>
        </w:rPr>
        <w:t>Einleitung</w:t>
      </w:r>
    </w:p>
    <w:p w:rsidR="008134A5" w:rsidRPr="009E37F7" w:rsidRDefault="008134A5" w:rsidP="008134A5">
      <w:pPr>
        <w:ind w:left="2410" w:hanging="709"/>
        <w:rPr>
          <w:rFonts w:cs="Arial"/>
          <w:sz w:val="18"/>
        </w:rPr>
      </w:pPr>
      <w:r w:rsidRPr="009E37F7">
        <w:tab/>
      </w:r>
      <w:r w:rsidRPr="009E37F7">
        <w:rPr>
          <w:sz w:val="18"/>
        </w:rPr>
        <w:t>Mittel</w:t>
      </w:r>
    </w:p>
    <w:p w:rsidR="008134A5" w:rsidRPr="009E37F7" w:rsidRDefault="008134A5" w:rsidP="008134A5">
      <w:pPr>
        <w:ind w:left="2410" w:hanging="709"/>
        <w:rPr>
          <w:rFonts w:cs="Arial"/>
          <w:sz w:val="18"/>
        </w:rPr>
      </w:pPr>
      <w:r w:rsidRPr="009E37F7">
        <w:tab/>
      </w:r>
      <w:r w:rsidRPr="009E37F7">
        <w:rPr>
          <w:sz w:val="18"/>
        </w:rPr>
        <w:t>Strategie für Schulung und Unterstützung</w:t>
      </w:r>
    </w:p>
    <w:p w:rsidR="008134A5" w:rsidRPr="003F486D" w:rsidRDefault="008134A5" w:rsidP="008134A5">
      <w:pPr>
        <w:ind w:left="1843" w:hanging="709"/>
        <w:rPr>
          <w:rFonts w:cs="Arial"/>
          <w:i/>
        </w:rPr>
      </w:pPr>
      <w:r w:rsidRPr="003F486D">
        <w:rPr>
          <w:i/>
        </w:rPr>
        <w:t>2.3.3</w:t>
      </w:r>
      <w:r w:rsidRPr="003F486D">
        <w:tab/>
      </w:r>
      <w:r w:rsidRPr="003F486D">
        <w:rPr>
          <w:i/>
        </w:rPr>
        <w:t>Tätigkeiten</w:t>
      </w:r>
    </w:p>
    <w:p w:rsidR="008134A5" w:rsidRPr="003F486D" w:rsidRDefault="008134A5" w:rsidP="008134A5">
      <w:pPr>
        <w:ind w:left="1843" w:hanging="709"/>
        <w:rPr>
          <w:rFonts w:cs="Arial"/>
          <w:i/>
        </w:rPr>
      </w:pPr>
      <w:r w:rsidRPr="003F486D">
        <w:rPr>
          <w:i/>
        </w:rPr>
        <w:t>2.3.4</w:t>
      </w:r>
      <w:r w:rsidRPr="003F486D">
        <w:tab/>
      </w:r>
      <w:r w:rsidRPr="003F486D">
        <w:rPr>
          <w:i/>
        </w:rPr>
        <w:t>Erwartete Ergebnisse und Planerfüllungsindikatoren</w:t>
      </w:r>
    </w:p>
    <w:p w:rsidR="008134A5" w:rsidRPr="003F486D" w:rsidRDefault="008134A5" w:rsidP="008134A5">
      <w:pPr>
        <w:rPr>
          <w:rFonts w:cs="Arial"/>
        </w:rPr>
      </w:pPr>
    </w:p>
    <w:p w:rsidR="008134A5" w:rsidRPr="003F486D" w:rsidRDefault="008134A5" w:rsidP="008134A5">
      <w:pPr>
        <w:ind w:left="567"/>
        <w:rPr>
          <w:rFonts w:cs="Arial"/>
        </w:rPr>
      </w:pPr>
      <w:r w:rsidRPr="003F486D">
        <w:t>2.4</w:t>
      </w:r>
      <w:r w:rsidRPr="003F486D">
        <w:tab/>
        <w:t>Unterprogramm UV.4:</w:t>
      </w:r>
      <w:r>
        <w:t xml:space="preserve"> </w:t>
      </w:r>
      <w:r w:rsidRPr="003F486D">
        <w:t>Externe Beziehungen</w:t>
      </w:r>
    </w:p>
    <w:p w:rsidR="008134A5" w:rsidRPr="003F486D" w:rsidRDefault="008134A5" w:rsidP="008134A5">
      <w:pPr>
        <w:ind w:left="567"/>
        <w:rPr>
          <w:rFonts w:cs="Arial"/>
        </w:rPr>
      </w:pPr>
    </w:p>
    <w:p w:rsidR="008134A5" w:rsidRPr="003F486D" w:rsidRDefault="008134A5" w:rsidP="008134A5">
      <w:pPr>
        <w:ind w:left="1843" w:hanging="709"/>
        <w:rPr>
          <w:rFonts w:cs="Arial"/>
          <w:i/>
        </w:rPr>
      </w:pPr>
      <w:r w:rsidRPr="003F486D">
        <w:rPr>
          <w:i/>
        </w:rPr>
        <w:t>2.4.1</w:t>
      </w:r>
      <w:r w:rsidRPr="003F486D">
        <w:tab/>
      </w:r>
      <w:r w:rsidRPr="003F486D">
        <w:rPr>
          <w:i/>
        </w:rPr>
        <w:t>Ziele</w:t>
      </w:r>
    </w:p>
    <w:p w:rsidR="008134A5" w:rsidRPr="003F486D" w:rsidRDefault="008134A5" w:rsidP="008134A5">
      <w:pPr>
        <w:ind w:left="1843" w:hanging="709"/>
        <w:rPr>
          <w:rFonts w:cs="Arial"/>
          <w:i/>
        </w:rPr>
      </w:pPr>
      <w:r w:rsidRPr="003F486D">
        <w:rPr>
          <w:i/>
        </w:rPr>
        <w:t>2.4.2</w:t>
      </w:r>
      <w:r w:rsidRPr="003F486D">
        <w:tab/>
      </w:r>
      <w:r w:rsidRPr="003F486D">
        <w:rPr>
          <w:i/>
        </w:rPr>
        <w:t>Hintergrund</w:t>
      </w:r>
    </w:p>
    <w:p w:rsidR="008134A5" w:rsidRPr="009E37F7" w:rsidRDefault="008134A5" w:rsidP="008134A5">
      <w:pPr>
        <w:ind w:left="2410" w:hanging="709"/>
        <w:rPr>
          <w:rFonts w:cs="Arial"/>
          <w:sz w:val="18"/>
          <w:szCs w:val="18"/>
        </w:rPr>
      </w:pPr>
      <w:r w:rsidRPr="009E37F7">
        <w:tab/>
      </w:r>
      <w:r w:rsidRPr="009E37F7">
        <w:rPr>
          <w:sz w:val="18"/>
          <w:szCs w:val="18"/>
        </w:rPr>
        <w:t>Einleitung</w:t>
      </w:r>
    </w:p>
    <w:p w:rsidR="008134A5" w:rsidRPr="009E37F7" w:rsidRDefault="008134A5" w:rsidP="008134A5">
      <w:pPr>
        <w:ind w:left="2410" w:hanging="709"/>
        <w:rPr>
          <w:rFonts w:cs="Arial"/>
          <w:sz w:val="18"/>
        </w:rPr>
      </w:pPr>
      <w:r w:rsidRPr="009E37F7">
        <w:tab/>
      </w:r>
      <w:r w:rsidRPr="009E37F7">
        <w:rPr>
          <w:sz w:val="18"/>
        </w:rPr>
        <w:t>Kommunikation mit Interessenvertretern</w:t>
      </w:r>
    </w:p>
    <w:p w:rsidR="008134A5" w:rsidRPr="009E37F7" w:rsidRDefault="008134A5" w:rsidP="008134A5">
      <w:pPr>
        <w:ind w:left="2410" w:hanging="709"/>
        <w:rPr>
          <w:rFonts w:cs="Arial"/>
          <w:sz w:val="18"/>
        </w:rPr>
      </w:pPr>
      <w:r w:rsidRPr="009E37F7">
        <w:tab/>
      </w:r>
      <w:r w:rsidRPr="009E37F7">
        <w:rPr>
          <w:sz w:val="18"/>
        </w:rPr>
        <w:t>Kommunikation mit anderen Organisationen</w:t>
      </w:r>
    </w:p>
    <w:p w:rsidR="008134A5" w:rsidRPr="003F486D" w:rsidRDefault="008134A5" w:rsidP="008134A5">
      <w:pPr>
        <w:ind w:left="1843" w:hanging="709"/>
        <w:rPr>
          <w:rFonts w:cs="Arial"/>
          <w:i/>
        </w:rPr>
      </w:pPr>
      <w:r w:rsidRPr="003F486D">
        <w:rPr>
          <w:i/>
        </w:rPr>
        <w:t>2.4.3</w:t>
      </w:r>
      <w:r w:rsidRPr="003F486D">
        <w:tab/>
      </w:r>
      <w:r w:rsidRPr="003F486D">
        <w:rPr>
          <w:i/>
        </w:rPr>
        <w:t>Tätigkeiten</w:t>
      </w:r>
    </w:p>
    <w:p w:rsidR="008134A5" w:rsidRPr="003F486D" w:rsidRDefault="008134A5" w:rsidP="008134A5">
      <w:pPr>
        <w:ind w:left="1843" w:hanging="709"/>
        <w:rPr>
          <w:rFonts w:cs="Arial"/>
          <w:i/>
        </w:rPr>
      </w:pPr>
      <w:r w:rsidRPr="003F486D">
        <w:rPr>
          <w:i/>
        </w:rPr>
        <w:t>2.4.4</w:t>
      </w:r>
      <w:r w:rsidRPr="003F486D">
        <w:tab/>
      </w:r>
      <w:r w:rsidRPr="003F486D">
        <w:rPr>
          <w:i/>
        </w:rPr>
        <w:t>Erwartete Ergebnisse und Planerfüllungsindikatoren</w:t>
      </w:r>
    </w:p>
    <w:p w:rsidR="008134A5" w:rsidRPr="003F486D" w:rsidRDefault="008134A5" w:rsidP="008134A5">
      <w:pPr>
        <w:rPr>
          <w:rFonts w:cs="Arial"/>
        </w:rPr>
      </w:pPr>
    </w:p>
    <w:p w:rsidR="008134A5" w:rsidRDefault="008134A5" w:rsidP="008134A5">
      <w:pPr>
        <w:jc w:val="left"/>
        <w:rPr>
          <w:rFonts w:cs="Arial"/>
        </w:rPr>
      </w:pPr>
      <w:r>
        <w:rPr>
          <w:rFonts w:cs="Arial"/>
        </w:rPr>
        <w:br w:type="page"/>
      </w:r>
    </w:p>
    <w:p w:rsidR="008134A5" w:rsidRPr="003F486D" w:rsidRDefault="008134A5" w:rsidP="008134A5">
      <w:pPr>
        <w:ind w:left="567"/>
        <w:rPr>
          <w:rFonts w:cs="Arial"/>
        </w:rPr>
      </w:pPr>
    </w:p>
    <w:p w:rsidR="008134A5" w:rsidRPr="003F486D" w:rsidRDefault="008134A5" w:rsidP="008134A5">
      <w:pPr>
        <w:rPr>
          <w:rFonts w:cs="Arial"/>
        </w:rPr>
      </w:pPr>
      <w:r w:rsidRPr="003F486D">
        <w:t>3.</w:t>
      </w:r>
      <w:r w:rsidRPr="003F486D">
        <w:tab/>
        <w:t>VORGESCHLAGENER HAUSHALTSPLAN</w:t>
      </w:r>
    </w:p>
    <w:p w:rsidR="008134A5" w:rsidRPr="003F486D" w:rsidRDefault="008134A5" w:rsidP="008134A5">
      <w:pPr>
        <w:rPr>
          <w:rFonts w:cs="Arial"/>
        </w:rPr>
      </w:pPr>
    </w:p>
    <w:p w:rsidR="008134A5" w:rsidRPr="003F486D" w:rsidRDefault="008134A5" w:rsidP="008134A5">
      <w:pPr>
        <w:ind w:left="567"/>
        <w:rPr>
          <w:rFonts w:cs="Arial"/>
        </w:rPr>
      </w:pPr>
      <w:r w:rsidRPr="003F486D">
        <w:t>Tabelle 1:</w:t>
      </w:r>
      <w:r>
        <w:t xml:space="preserve"> </w:t>
      </w:r>
      <w:r w:rsidRPr="003F486D">
        <w:t>Einnahmen und Ausgaben 2014-2015, 2016-2017 und 2018-2019</w:t>
      </w:r>
    </w:p>
    <w:p w:rsidR="008134A5" w:rsidRPr="003F486D" w:rsidRDefault="008134A5" w:rsidP="008134A5">
      <w:pPr>
        <w:ind w:left="567"/>
        <w:rPr>
          <w:rFonts w:cs="Arial"/>
        </w:rPr>
      </w:pPr>
      <w:r w:rsidRPr="003F486D">
        <w:t>Tabelle 2:</w:t>
      </w:r>
      <w:r>
        <w:t xml:space="preserve"> </w:t>
      </w:r>
      <w:r w:rsidRPr="003F486D">
        <w:t xml:space="preserve">Struktur des Haushaltsentwurfs 2018-2019 im Vergleich zu </w:t>
      </w:r>
      <w:r>
        <w:t>2014-2015 und 2016-2017</w:t>
      </w:r>
    </w:p>
    <w:p w:rsidR="008134A5" w:rsidRPr="003F486D" w:rsidRDefault="008134A5" w:rsidP="008134A5">
      <w:pPr>
        <w:ind w:left="567"/>
        <w:rPr>
          <w:rFonts w:cs="Arial"/>
        </w:rPr>
      </w:pPr>
      <w:r w:rsidRPr="003F486D">
        <w:t>Tabelle 3:</w:t>
      </w:r>
      <w:r>
        <w:t xml:space="preserve"> </w:t>
      </w:r>
      <w:r w:rsidRPr="003F486D">
        <w:t>Mittelplan 2016-2017 und 2018-2019</w:t>
      </w:r>
    </w:p>
    <w:p w:rsidR="008134A5" w:rsidRPr="003F486D" w:rsidRDefault="008134A5" w:rsidP="008134A5">
      <w:pPr>
        <w:ind w:left="567"/>
        <w:rPr>
          <w:rFonts w:cs="Arial"/>
        </w:rPr>
      </w:pPr>
      <w:r w:rsidRPr="003F486D">
        <w:t>Tabelle 4:</w:t>
      </w:r>
      <w:r>
        <w:t xml:space="preserve"> </w:t>
      </w:r>
      <w:r w:rsidRPr="003F486D">
        <w:t>Vorgeschlagener Haushaltsplan 2018-2019: Haushaltsveränderung nach Ausgabenposten</w:t>
      </w:r>
    </w:p>
    <w:p w:rsidR="008134A5" w:rsidRPr="003F486D" w:rsidRDefault="008134A5" w:rsidP="008134A5">
      <w:pPr>
        <w:ind w:left="567"/>
        <w:rPr>
          <w:rFonts w:cs="Arial"/>
        </w:rPr>
      </w:pPr>
      <w:r w:rsidRPr="003F486D">
        <w:t>Tabelle 5:</w:t>
      </w:r>
      <w:r>
        <w:t xml:space="preserve"> </w:t>
      </w:r>
      <w:r w:rsidRPr="003F486D">
        <w:t>Haushaltsplan 2018-2019:</w:t>
      </w:r>
      <w:r>
        <w:t xml:space="preserve"> </w:t>
      </w:r>
      <w:r w:rsidRPr="003F486D">
        <w:t>Posten nach Kategorien</w:t>
      </w:r>
    </w:p>
    <w:p w:rsidR="008134A5" w:rsidRPr="003F486D" w:rsidRDefault="008134A5" w:rsidP="008134A5">
      <w:pPr>
        <w:ind w:left="567"/>
        <w:rPr>
          <w:rFonts w:cs="Arial"/>
        </w:rPr>
      </w:pPr>
      <w:r w:rsidRPr="003F486D">
        <w:t>Tabelle 6:</w:t>
      </w:r>
      <w:r>
        <w:t xml:space="preserve"> </w:t>
      </w:r>
      <w:r w:rsidRPr="003F486D">
        <w:t>Vorgeschlagener Haushaltsplan 2018-2019:</w:t>
      </w:r>
      <w:r>
        <w:t xml:space="preserve"> </w:t>
      </w:r>
      <w:r w:rsidRPr="003F486D">
        <w:t>Zuweisung nach Ausgabenposten</w:t>
      </w:r>
    </w:p>
    <w:p w:rsidR="008134A5" w:rsidRPr="003F486D" w:rsidRDefault="008134A5" w:rsidP="008134A5">
      <w:pPr>
        <w:ind w:left="567"/>
        <w:rPr>
          <w:rFonts w:cs="Arial"/>
        </w:rPr>
      </w:pPr>
      <w:r w:rsidRPr="003F486D">
        <w:t>Tabelle 7:</w:t>
      </w:r>
      <w:r>
        <w:t xml:space="preserve"> </w:t>
      </w:r>
      <w:r w:rsidRPr="003F486D">
        <w:t>Haushaltsveränderung nach Unterprogrammen</w:t>
      </w:r>
    </w:p>
    <w:p w:rsidR="008134A5" w:rsidRPr="003F486D" w:rsidRDefault="008134A5" w:rsidP="008134A5">
      <w:pPr>
        <w:ind w:left="567"/>
        <w:rPr>
          <w:rFonts w:cs="Arial"/>
        </w:rPr>
      </w:pPr>
      <w:r w:rsidRPr="003F486D">
        <w:t>Tabelle 8:</w:t>
      </w:r>
      <w:r>
        <w:t xml:space="preserve"> </w:t>
      </w:r>
      <w:r w:rsidRPr="003F486D">
        <w:t>Einnahmen 2016-2017 und 2018-2019:</w:t>
      </w:r>
      <w:r>
        <w:t xml:space="preserve"> </w:t>
      </w:r>
      <w:r w:rsidRPr="003F486D">
        <w:t>Veränderung nach Quellen</w:t>
      </w:r>
    </w:p>
    <w:p w:rsidR="008134A5" w:rsidRPr="003F486D" w:rsidRDefault="008134A5" w:rsidP="008134A5">
      <w:pPr>
        <w:ind w:left="567"/>
        <w:rPr>
          <w:rFonts w:cs="Arial"/>
        </w:rPr>
      </w:pPr>
    </w:p>
    <w:p w:rsidR="008134A5" w:rsidRPr="003F486D" w:rsidRDefault="008134A5" w:rsidP="008134A5">
      <w:pPr>
        <w:ind w:left="567"/>
        <w:rPr>
          <w:rFonts w:cs="Arial"/>
        </w:rPr>
      </w:pPr>
    </w:p>
    <w:p w:rsidR="008134A5" w:rsidRPr="003F486D" w:rsidRDefault="008134A5" w:rsidP="008134A5">
      <w:pPr>
        <w:rPr>
          <w:rFonts w:cs="Arial"/>
        </w:rPr>
      </w:pPr>
      <w:r w:rsidRPr="003F486D">
        <w:t>4.</w:t>
      </w:r>
      <w:r w:rsidRPr="003F486D">
        <w:tab/>
        <w:t>FINANZINDIKATOREN 2012-2021</w:t>
      </w:r>
    </w:p>
    <w:p w:rsidR="008134A5" w:rsidRPr="003F486D" w:rsidRDefault="008134A5" w:rsidP="008134A5">
      <w:pPr>
        <w:rPr>
          <w:rFonts w:cs="Arial"/>
        </w:rPr>
      </w:pPr>
    </w:p>
    <w:p w:rsidR="008134A5" w:rsidRPr="003F486D" w:rsidRDefault="008134A5" w:rsidP="008134A5">
      <w:pPr>
        <w:ind w:left="567"/>
        <w:rPr>
          <w:rFonts w:cs="Arial"/>
        </w:rPr>
      </w:pPr>
      <w:r w:rsidRPr="003F486D">
        <w:t>Tabelle 9:</w:t>
      </w:r>
      <w:r>
        <w:t xml:space="preserve"> </w:t>
      </w:r>
      <w:r w:rsidRPr="003F486D">
        <w:t>Einnahmen, Ausgaben und Reserven für 2012-2021</w:t>
      </w:r>
    </w:p>
    <w:p w:rsidR="008134A5" w:rsidRPr="003F486D" w:rsidRDefault="008134A5" w:rsidP="008134A5">
      <w:pPr>
        <w:ind w:left="567"/>
        <w:rPr>
          <w:rFonts w:cs="Arial"/>
        </w:rPr>
      </w:pPr>
    </w:p>
    <w:p w:rsidR="008134A5" w:rsidRPr="003F486D" w:rsidRDefault="008134A5" w:rsidP="008134A5">
      <w:pPr>
        <w:rPr>
          <w:rFonts w:cs="Arial"/>
        </w:rPr>
      </w:pPr>
    </w:p>
    <w:p w:rsidR="008134A5" w:rsidRPr="003F486D" w:rsidRDefault="008134A5" w:rsidP="00871270">
      <w:pPr>
        <w:ind w:left="1418" w:hanging="1418"/>
        <w:rPr>
          <w:rFonts w:cs="Arial"/>
        </w:rPr>
      </w:pPr>
      <w:r w:rsidRPr="003F486D">
        <w:rPr>
          <w:rFonts w:cs="Arial"/>
        </w:rPr>
        <w:t>ANHANG I:</w:t>
      </w:r>
      <w:r w:rsidRPr="003F486D">
        <w:rPr>
          <w:rFonts w:cs="Arial"/>
        </w:rPr>
        <w:tab/>
      </w:r>
      <w:r w:rsidRPr="003F486D">
        <w:rPr>
          <w:rFonts w:cs="Arial"/>
          <w:szCs w:val="24"/>
        </w:rPr>
        <w:t>STAND IN BEZUG AUF DEN INTERNATIONALEN VERBAND ZUM SCHUTZ VON PFLANZENZÜCHTUNGEN (UPOV)</w:t>
      </w:r>
    </w:p>
    <w:p w:rsidR="008134A5" w:rsidRPr="003F486D" w:rsidRDefault="008134A5" w:rsidP="00871270">
      <w:pPr>
        <w:ind w:left="1418" w:hanging="1418"/>
        <w:rPr>
          <w:rFonts w:cs="Arial"/>
        </w:rPr>
      </w:pPr>
    </w:p>
    <w:p w:rsidR="008134A5" w:rsidRPr="003F486D" w:rsidRDefault="008134A5" w:rsidP="00871270">
      <w:pPr>
        <w:ind w:left="1418" w:hanging="1418"/>
        <w:rPr>
          <w:rFonts w:cs="Arial"/>
        </w:rPr>
      </w:pPr>
      <w:r w:rsidRPr="003F486D">
        <w:rPr>
          <w:rFonts w:cs="Arial"/>
        </w:rPr>
        <w:t xml:space="preserve">ANHANG II: </w:t>
      </w:r>
      <w:r w:rsidRPr="003F486D">
        <w:rPr>
          <w:rFonts w:cs="Arial"/>
        </w:rPr>
        <w:tab/>
      </w:r>
      <w:r w:rsidRPr="003F486D">
        <w:rPr>
          <w:rFonts w:cs="Arial"/>
        </w:rPr>
        <w:tab/>
        <w:t>VERFAHREN ZUR HAUSHALTSAUFSTELLUNG</w:t>
      </w:r>
    </w:p>
    <w:p w:rsidR="008134A5" w:rsidRPr="003F486D" w:rsidRDefault="008134A5" w:rsidP="00871270">
      <w:pPr>
        <w:ind w:left="1418" w:hanging="1418"/>
        <w:rPr>
          <w:rFonts w:cs="Arial"/>
        </w:rPr>
      </w:pPr>
    </w:p>
    <w:p w:rsidR="008134A5" w:rsidRPr="003F486D" w:rsidRDefault="008134A5" w:rsidP="00871270">
      <w:pPr>
        <w:ind w:left="1418" w:hanging="1418"/>
        <w:rPr>
          <w:rFonts w:cs="Arial"/>
        </w:rPr>
      </w:pPr>
      <w:r w:rsidRPr="003F486D">
        <w:rPr>
          <w:rFonts w:cs="Arial"/>
        </w:rPr>
        <w:t xml:space="preserve">ANHANG III: </w:t>
      </w:r>
      <w:r w:rsidRPr="003F486D">
        <w:rPr>
          <w:rFonts w:cs="Arial"/>
        </w:rPr>
        <w:tab/>
        <w:t>BEITRÄGE DER VERBANDSMITGLIEDER</w:t>
      </w:r>
    </w:p>
    <w:p w:rsidR="008134A5" w:rsidRPr="003F486D" w:rsidRDefault="008134A5" w:rsidP="00871270">
      <w:pPr>
        <w:ind w:left="1418" w:hanging="1418"/>
        <w:rPr>
          <w:rFonts w:cs="Arial"/>
        </w:rPr>
      </w:pPr>
    </w:p>
    <w:p w:rsidR="008134A5" w:rsidRPr="003F486D" w:rsidRDefault="008134A5" w:rsidP="00871270">
      <w:pPr>
        <w:ind w:left="1418" w:hanging="1418"/>
        <w:rPr>
          <w:rFonts w:cs="Arial"/>
        </w:rPr>
      </w:pPr>
      <w:r w:rsidRPr="003F486D">
        <w:rPr>
          <w:rFonts w:cs="Arial"/>
        </w:rPr>
        <w:t xml:space="preserve">ANHANG IV: </w:t>
      </w:r>
      <w:r w:rsidRPr="003F486D">
        <w:rPr>
          <w:rFonts w:cs="Arial"/>
        </w:rPr>
        <w:tab/>
        <w:t>ERLÄUTERUNG DER HAUSHALTSTITEL</w:t>
      </w:r>
    </w:p>
    <w:p w:rsidR="008134A5" w:rsidRPr="003F486D" w:rsidRDefault="008134A5" w:rsidP="008134A5">
      <w:pPr>
        <w:rPr>
          <w:rFonts w:cs="Arial"/>
        </w:rPr>
      </w:pPr>
    </w:p>
    <w:p w:rsidR="008134A5" w:rsidRPr="003F486D" w:rsidRDefault="008134A5" w:rsidP="008134A5">
      <w:pPr>
        <w:jc w:val="left"/>
      </w:pPr>
      <w:r w:rsidRPr="003F486D">
        <w:rPr>
          <w:b/>
          <w:bCs/>
        </w:rPr>
        <w:br w:type="page"/>
      </w:r>
    </w:p>
    <w:p w:rsidR="008134A5" w:rsidRPr="003F486D" w:rsidRDefault="008134A5" w:rsidP="008134A5">
      <w:pPr>
        <w:rPr>
          <w:b/>
        </w:rPr>
      </w:pPr>
      <w:r w:rsidRPr="003F486D">
        <w:rPr>
          <w:b/>
        </w:rPr>
        <w:t>1.</w:t>
      </w:r>
      <w:r w:rsidRPr="003F486D">
        <w:tab/>
      </w:r>
      <w:r w:rsidRPr="003F486D">
        <w:rPr>
          <w:b/>
        </w:rPr>
        <w:t>EINLEITUNG</w:t>
      </w:r>
    </w:p>
    <w:p w:rsidR="008134A5" w:rsidRPr="003F486D" w:rsidRDefault="008134A5" w:rsidP="008134A5"/>
    <w:p w:rsidR="008134A5" w:rsidRPr="003F486D" w:rsidRDefault="008134A5" w:rsidP="008134A5">
      <w:pPr>
        <w:pBdr>
          <w:top w:val="single" w:sz="4" w:space="4" w:color="auto"/>
          <w:left w:val="single" w:sz="4" w:space="4" w:color="auto"/>
          <w:bottom w:val="single" w:sz="4" w:space="4" w:color="auto"/>
          <w:right w:val="single" w:sz="4" w:space="4" w:color="auto"/>
        </w:pBdr>
        <w:jc w:val="center"/>
        <w:rPr>
          <w:b/>
          <w:u w:val="single"/>
        </w:rPr>
      </w:pPr>
      <w:r w:rsidRPr="003F486D">
        <w:rPr>
          <w:b/>
          <w:u w:val="single"/>
        </w:rPr>
        <w:t>UPOV-Leitsatz</w:t>
      </w:r>
    </w:p>
    <w:p w:rsidR="008134A5" w:rsidRPr="003F486D" w:rsidRDefault="008134A5" w:rsidP="008134A5">
      <w:pPr>
        <w:pBdr>
          <w:top w:val="single" w:sz="4" w:space="4" w:color="auto"/>
          <w:left w:val="single" w:sz="4" w:space="4" w:color="auto"/>
          <w:bottom w:val="single" w:sz="4" w:space="4" w:color="auto"/>
          <w:right w:val="single" w:sz="4" w:space="4" w:color="auto"/>
        </w:pBdr>
        <w:jc w:val="center"/>
        <w:rPr>
          <w:b/>
        </w:rPr>
      </w:pPr>
    </w:p>
    <w:p w:rsidR="008134A5" w:rsidRPr="003F486D" w:rsidRDefault="008134A5" w:rsidP="008134A5">
      <w:pPr>
        <w:pBdr>
          <w:top w:val="single" w:sz="4" w:space="4" w:color="auto"/>
          <w:left w:val="single" w:sz="4" w:space="4" w:color="auto"/>
          <w:bottom w:val="single" w:sz="4" w:space="4" w:color="auto"/>
          <w:right w:val="single" w:sz="4" w:space="4" w:color="auto"/>
        </w:pBdr>
        <w:jc w:val="center"/>
        <w:rPr>
          <w:b/>
        </w:rPr>
      </w:pPr>
      <w:r w:rsidRPr="003F486D">
        <w:rPr>
          <w:b/>
        </w:rPr>
        <w:t>Die Bereitstellung und Förderung eines wirksamen Sortenschutzsystems mit dem Ziel, die Entwicklung neuer Pflanzensorten zum Nutzen der Gesellschaft zu begünstigen.</w:t>
      </w:r>
    </w:p>
    <w:p w:rsidR="008134A5" w:rsidRPr="003F486D" w:rsidRDefault="008134A5" w:rsidP="008134A5"/>
    <w:p w:rsidR="008134A5" w:rsidRPr="003F486D" w:rsidRDefault="008134A5" w:rsidP="008134A5"/>
    <w:p w:rsidR="008134A5" w:rsidRPr="003F486D" w:rsidRDefault="008134A5" w:rsidP="008134A5">
      <w:pPr>
        <w:pStyle w:val="Heading2"/>
        <w:rPr>
          <w:lang w:val="de-DE"/>
        </w:rPr>
      </w:pPr>
      <w:r w:rsidRPr="003F486D">
        <w:rPr>
          <w:lang w:val="de-DE"/>
        </w:rPr>
        <w:t>Hintergrund</w:t>
      </w:r>
    </w:p>
    <w:p w:rsidR="008134A5" w:rsidRPr="003F486D" w:rsidRDefault="008134A5" w:rsidP="008134A5"/>
    <w:p w:rsidR="008134A5" w:rsidRPr="003F486D" w:rsidRDefault="008134A5" w:rsidP="008134A5">
      <w:r w:rsidRPr="003F486D">
        <w:t>1.1</w:t>
      </w:r>
      <w:r w:rsidRPr="003F486D">
        <w:tab/>
        <w:t>Die Aufgabe der UPOV besteht in der</w:t>
      </w:r>
      <w:r>
        <w:t xml:space="preserve"> „</w:t>
      </w:r>
      <w:r w:rsidRPr="003F486D">
        <w:t>Bereitstellung und Förderung eines wirksamen Sortenschutzsystems mit dem Ziel, die Entwicklung neuer Pflanzensorten zum Nutzen der Gesellschaft zu begünstigen“.</w:t>
      </w:r>
      <w:r>
        <w:t xml:space="preserve"> </w:t>
      </w:r>
    </w:p>
    <w:p w:rsidR="008134A5" w:rsidRPr="003F486D" w:rsidRDefault="008134A5" w:rsidP="008134A5"/>
    <w:p w:rsidR="008134A5" w:rsidRPr="003F486D" w:rsidRDefault="008134A5" w:rsidP="008134A5">
      <w:r w:rsidRPr="003F486D">
        <w:t>1.2</w:t>
      </w:r>
      <w:r w:rsidRPr="003F486D">
        <w:tab/>
        <w:t xml:space="preserve">Hinsichtlich der Bereitstellung eines wirksamen Sortenschutzsystems für neue Pflanzensorten hat die UPOV immer wieder betont, </w:t>
      </w:r>
      <w:proofErr w:type="spellStart"/>
      <w:r w:rsidRPr="003F486D">
        <w:t>daß</w:t>
      </w:r>
      <w:proofErr w:type="spellEnd"/>
      <w:r w:rsidRPr="003F486D">
        <w:t xml:space="preserve"> </w:t>
      </w:r>
      <w:proofErr w:type="gramStart"/>
      <w:r>
        <w:t>sie</w:t>
      </w:r>
      <w:proofErr w:type="gramEnd"/>
      <w:r>
        <w:t xml:space="preserve"> höchste</w:t>
      </w:r>
      <w:r w:rsidRPr="003F486D">
        <w:t xml:space="preserve"> Priorität </w:t>
      </w:r>
      <w:r>
        <w:t>die</w:t>
      </w:r>
      <w:r w:rsidRPr="003F486D">
        <w:t xml:space="preserve"> Unterstützung der </w:t>
      </w:r>
      <w:r>
        <w:t>UPOV-Mitglieder</w:t>
      </w:r>
      <w:r w:rsidRPr="003F486D">
        <w:t xml:space="preserve"> </w:t>
      </w:r>
      <w:r>
        <w:t>legt</w:t>
      </w:r>
      <w:r w:rsidRPr="003F486D">
        <w:t>. Histori</w:t>
      </w:r>
      <w:r>
        <w:t xml:space="preserve">sch ist dies </w:t>
      </w:r>
      <w:r w:rsidRPr="003F486D">
        <w:t xml:space="preserve">aus der Zuweisung </w:t>
      </w:r>
      <w:r>
        <w:t>des größten Ant</w:t>
      </w:r>
      <w:r w:rsidRPr="003F486D">
        <w:t>eil</w:t>
      </w:r>
      <w:r>
        <w:t>s</w:t>
      </w:r>
      <w:r w:rsidRPr="003F486D">
        <w:t xml:space="preserve"> ihrer Mittel </w:t>
      </w:r>
      <w:r>
        <w:t>für das Unterprogramm</w:t>
      </w:r>
      <w:r w:rsidRPr="003F486D">
        <w:t xml:space="preserve"> UV.2 „Dienstleistungen für den Verband zur Verbesserung der Wirksamkeit des UPOV-Systems“ (62% des Etats in </w:t>
      </w:r>
      <w:r>
        <w:t>dem</w:t>
      </w:r>
      <w:r w:rsidRPr="003F486D">
        <w:t xml:space="preserve"> Programm und Haushaltsplan</w:t>
      </w:r>
      <w:r>
        <w:t xml:space="preserve"> für die</w:t>
      </w:r>
      <w:r w:rsidRPr="003F486D">
        <w:t xml:space="preserve"> Rechnungsperiode</w:t>
      </w:r>
      <w:r>
        <w:t xml:space="preserve"> (</w:t>
      </w:r>
      <w:r w:rsidRPr="003F486D">
        <w:t>2016-2017)</w:t>
      </w:r>
      <w:r w:rsidRPr="008A3C58">
        <w:t xml:space="preserve"> </w:t>
      </w:r>
      <w:r w:rsidRPr="003F486D">
        <w:t>z</w:t>
      </w:r>
      <w:r>
        <w:t>u ersehen</w:t>
      </w:r>
      <w:r w:rsidRPr="003F486D">
        <w:t>. Außerdem hat in Unterprogramm UV.3 „Unterstützung bei der Einführung</w:t>
      </w:r>
      <w:r>
        <w:t xml:space="preserve"> und Umsetzung des UPOV-Systems</w:t>
      </w:r>
      <w:r w:rsidRPr="003F486D">
        <w:t xml:space="preserve">“ (22% des Etats in </w:t>
      </w:r>
      <w:r>
        <w:t>dem</w:t>
      </w:r>
      <w:r w:rsidRPr="003F486D">
        <w:t xml:space="preserve"> Programm und Haushaltsplan</w:t>
      </w:r>
      <w:r>
        <w:t xml:space="preserve"> für die</w:t>
      </w:r>
      <w:r w:rsidRPr="003F486D">
        <w:t xml:space="preserve"> Rechnungsperiode</w:t>
      </w:r>
      <w:r>
        <w:t xml:space="preserve"> </w:t>
      </w:r>
      <w:r w:rsidRPr="003F486D">
        <w:t>2016-2017</w:t>
      </w:r>
      <w:r>
        <w:t>)</w:t>
      </w:r>
      <w:r w:rsidRPr="003F486D">
        <w:t xml:space="preserve"> die Unterstützung</w:t>
      </w:r>
      <w:r>
        <w:t xml:space="preserve"> von </w:t>
      </w:r>
      <w:r w:rsidRPr="003F486D">
        <w:t xml:space="preserve">bestehenden Verbandsmitgliedern </w:t>
      </w:r>
      <w:r>
        <w:t>oberste</w:t>
      </w:r>
      <w:r w:rsidRPr="003F486D">
        <w:t xml:space="preserve"> Priorität (vergleiche</w:t>
      </w:r>
      <w:r>
        <w:t xml:space="preserve"> </w:t>
      </w:r>
      <w:r w:rsidRPr="003F486D">
        <w:t xml:space="preserve">Dokument C/49/4 </w:t>
      </w:r>
      <w:proofErr w:type="spellStart"/>
      <w:r w:rsidRPr="003F486D">
        <w:t>Rev</w:t>
      </w:r>
      <w:proofErr w:type="spellEnd"/>
      <w:r w:rsidRPr="003F486D">
        <w:t>. „Programm und Haushaltsplan</w:t>
      </w:r>
      <w:r>
        <w:t xml:space="preserve"> für die Rechnungsperiode 2016-2017</w:t>
      </w:r>
      <w:r w:rsidRPr="003F486D">
        <w:t>“, Anlage, Absatz 2.3.2.2).</w:t>
      </w:r>
    </w:p>
    <w:p w:rsidR="008134A5" w:rsidRPr="003F486D" w:rsidRDefault="008134A5" w:rsidP="008134A5"/>
    <w:p w:rsidR="008134A5" w:rsidRPr="003F486D" w:rsidRDefault="008134A5" w:rsidP="008134A5">
      <w:r w:rsidRPr="003F486D">
        <w:t>1.3</w:t>
      </w:r>
      <w:r w:rsidRPr="003F486D">
        <w:tab/>
        <w:t>Gleichzeitig wurde die Bedeutung der Förderung des UPOV-System</w:t>
      </w:r>
      <w:r>
        <w:t xml:space="preserve"> </w:t>
      </w:r>
      <w:r w:rsidRPr="003F486D">
        <w:t xml:space="preserve">in </w:t>
      </w:r>
      <w:r>
        <w:t>dem</w:t>
      </w:r>
      <w:r w:rsidRPr="003F486D">
        <w:t xml:space="preserve"> UPOV-Bericht über die Auswirkungen des Sortenschutzes</w:t>
      </w:r>
      <w:r>
        <w:rPr>
          <w:rStyle w:val="FootnoteReference"/>
        </w:rPr>
        <w:footnoteReference w:id="2"/>
      </w:r>
      <w:r w:rsidRPr="008A3C58">
        <w:t xml:space="preserve"> </w:t>
      </w:r>
      <w:r w:rsidRPr="003F486D">
        <w:t xml:space="preserve">hervorgehoben, </w:t>
      </w:r>
      <w:r>
        <w:t>aus dem</w:t>
      </w:r>
      <w:r w:rsidRPr="003F486D">
        <w:t xml:space="preserve"> hervorgeht, </w:t>
      </w:r>
      <w:proofErr w:type="spellStart"/>
      <w:r w:rsidRPr="003F486D">
        <w:t>daß</w:t>
      </w:r>
      <w:proofErr w:type="spellEnd"/>
      <w:r w:rsidRPr="003F486D">
        <w:t xml:space="preserve"> die Erweiterung der UPOV neuen wie bestehenden UPOV-Mitgliedern Vorteile bringt. (vergleiche</w:t>
      </w:r>
      <w:r>
        <w:t xml:space="preserve"> </w:t>
      </w:r>
      <w:r w:rsidRPr="003F486D">
        <w:t>„</w:t>
      </w:r>
      <w:r>
        <w:t>Erweiterung</w:t>
      </w:r>
      <w:r w:rsidRPr="003F486D">
        <w:t xml:space="preserve"> </w:t>
      </w:r>
      <w:r>
        <w:t>von</w:t>
      </w:r>
      <w:r w:rsidRPr="003F486D">
        <w:t xml:space="preserve"> UPOV:</w:t>
      </w:r>
      <w:r>
        <w:t xml:space="preserve"> Ein</w:t>
      </w:r>
      <w:r w:rsidRPr="003F486D">
        <w:t xml:space="preserve"> </w:t>
      </w:r>
      <w:r>
        <w:t xml:space="preserve">Nutzen für </w:t>
      </w:r>
      <w:r w:rsidRPr="003F486D">
        <w:t>neue wie bestehende UPOV-Mitglieder“). Diesbezüglich</w:t>
      </w:r>
      <w:r>
        <w:t xml:space="preserve"> basieren</w:t>
      </w:r>
      <w:r w:rsidRPr="003F486D">
        <w:t xml:space="preserve"> Tätigkeiten für die Förderung </w:t>
      </w:r>
      <w:r>
        <w:t>des</w:t>
      </w:r>
      <w:r w:rsidRPr="003F486D">
        <w:t xml:space="preserve"> UPOV-System</w:t>
      </w:r>
      <w:r>
        <w:t>s</w:t>
      </w:r>
      <w:r w:rsidRPr="003F486D">
        <w:t xml:space="preserve"> auf </w:t>
      </w:r>
      <w:r>
        <w:t>zwei</w:t>
      </w:r>
      <w:r w:rsidRPr="003F486D">
        <w:t xml:space="preserve"> hauptsächlichen Überlegungen. Erstens </w:t>
      </w:r>
      <w:r>
        <w:t xml:space="preserve">legt </w:t>
      </w:r>
      <w:r w:rsidRPr="003F486D">
        <w:t xml:space="preserve">UPOV den Schwerpunkt </w:t>
      </w:r>
      <w:r>
        <w:t>auf das</w:t>
      </w:r>
      <w:r w:rsidRPr="003F486D">
        <w:t xml:space="preserve"> Prinzip, </w:t>
      </w:r>
      <w:proofErr w:type="spellStart"/>
      <w:r w:rsidRPr="003F486D">
        <w:t>daß</w:t>
      </w:r>
      <w:proofErr w:type="spellEnd"/>
      <w:r w:rsidRPr="003F486D">
        <w:t xml:space="preserve"> es jedem Staat</w:t>
      </w:r>
      <w:r>
        <w:t xml:space="preserve"> und jeder </w:t>
      </w:r>
      <w:r w:rsidRPr="003F486D">
        <w:t xml:space="preserve">Organisation überlassen bleibt, ob sie </w:t>
      </w:r>
      <w:r>
        <w:t>Rechtsvorschriften im Einklang mit</w:t>
      </w:r>
      <w:r w:rsidRPr="003F486D">
        <w:t xml:space="preserve"> dem UPOV-Übereinkommen ausarbeiten und der UPOV beitreten möchten;</w:t>
      </w:r>
      <w:r>
        <w:t xml:space="preserve"> und </w:t>
      </w:r>
      <w:r w:rsidRPr="003F486D">
        <w:t>zweitens sind die Mittel</w:t>
      </w:r>
      <w:r>
        <w:t xml:space="preserve"> für solche</w:t>
      </w:r>
      <w:r w:rsidRPr="003F486D">
        <w:t xml:space="preserve"> Tätigkeiten in </w:t>
      </w:r>
      <w:r>
        <w:t>dem</w:t>
      </w:r>
      <w:r w:rsidRPr="003F486D">
        <w:t xml:space="preserve"> ordentlichen Programm und Haushaltsplan beschränkt.</w:t>
      </w:r>
    </w:p>
    <w:p w:rsidR="008134A5" w:rsidRPr="003F486D" w:rsidRDefault="008134A5" w:rsidP="008134A5"/>
    <w:p w:rsidR="008134A5" w:rsidRPr="003F486D" w:rsidRDefault="008134A5" w:rsidP="008134A5">
      <w:r w:rsidRPr="003F486D">
        <w:t>1.4</w:t>
      </w:r>
      <w:r w:rsidRPr="003F486D">
        <w:tab/>
      </w:r>
      <w:r>
        <w:t>Jüngste</w:t>
      </w:r>
      <w:r w:rsidRPr="003F486D">
        <w:t xml:space="preserve"> Entwicklungen </w:t>
      </w:r>
      <w:r>
        <w:t>bei</w:t>
      </w:r>
      <w:r w:rsidRPr="003F486D">
        <w:t xml:space="preserve"> UPOV-Mitglieder</w:t>
      </w:r>
      <w:r>
        <w:t>n</w:t>
      </w:r>
      <w:r w:rsidRPr="003F486D">
        <w:t xml:space="preserve"> (vergleiche</w:t>
      </w:r>
      <w:r>
        <w:t xml:space="preserve"> </w:t>
      </w:r>
      <w:r w:rsidRPr="003F486D">
        <w:t>Abbildungen 2</w:t>
      </w:r>
      <w:r>
        <w:t xml:space="preserve"> und </w:t>
      </w:r>
      <w:r w:rsidRPr="003F486D">
        <w:t>3)</w:t>
      </w:r>
      <w:r>
        <w:t xml:space="preserve"> sowie ein zunehmendes </w:t>
      </w:r>
      <w:proofErr w:type="spellStart"/>
      <w:r>
        <w:t>Bewuß</w:t>
      </w:r>
      <w:r w:rsidRPr="003F486D">
        <w:t>tsein</w:t>
      </w:r>
      <w:proofErr w:type="spellEnd"/>
      <w:r w:rsidRPr="003F486D">
        <w:t xml:space="preserve"> für den Bedarf einer wirksamen Politik, um den steigenden Anforderungen an die Landwirtschaft</w:t>
      </w:r>
      <w:r w:rsidRPr="00002D80">
        <w:t xml:space="preserve"> </w:t>
      </w:r>
      <w:r w:rsidRPr="003F486D">
        <w:t xml:space="preserve">gerecht zu werden, </w:t>
      </w:r>
      <w:r>
        <w:t>bedeuten</w:t>
      </w:r>
      <w:r w:rsidRPr="003F486D">
        <w:t xml:space="preserve">, </w:t>
      </w:r>
      <w:proofErr w:type="spellStart"/>
      <w:r w:rsidRPr="003F486D">
        <w:t>daß</w:t>
      </w:r>
      <w:proofErr w:type="spellEnd"/>
      <w:r w:rsidRPr="003F486D">
        <w:t xml:space="preserve"> die UPOV die Mittel überdenkt</w:t>
      </w:r>
      <w:r>
        <w:t xml:space="preserve"> sollte</w:t>
      </w:r>
      <w:r w:rsidRPr="003F486D">
        <w:t>, die erforderlich sind, um die Ziele sowohl hinsichtlich Dienstleistungen für Mitglieder als auch der Erläuterung der Vorteile des Sortenschutzes und der UPOV-Mitgliedschaft für Staaten</w:t>
      </w:r>
      <w:r>
        <w:t xml:space="preserve"> und </w:t>
      </w:r>
      <w:r w:rsidRPr="003F486D">
        <w:t>Organisationen, die noch keine UPOV-Mitglieder</w:t>
      </w:r>
      <w:r>
        <w:t>,</w:t>
      </w:r>
      <w:r w:rsidRPr="003F486D">
        <w:t xml:space="preserve"> sind</w:t>
      </w:r>
      <w:r w:rsidRPr="00655CA3">
        <w:t xml:space="preserve"> </w:t>
      </w:r>
      <w:r w:rsidRPr="003F486D">
        <w:t xml:space="preserve">zu erreichen. Diese Situation wurde in </w:t>
      </w:r>
      <w:r>
        <w:rPr>
          <w:spacing w:val="-2"/>
        </w:rPr>
        <w:t>der</w:t>
      </w:r>
      <w:r w:rsidRPr="003F486D">
        <w:rPr>
          <w:spacing w:val="-2"/>
        </w:rPr>
        <w:t xml:space="preserve"> „Evaluierung des Internationalen Verbandes zum Schutz von Pflanzenzüchtungen (UPOV)“ der Abteilung für interne </w:t>
      </w:r>
      <w:r>
        <w:rPr>
          <w:spacing w:val="-2"/>
        </w:rPr>
        <w:t>Überarbeitung</w:t>
      </w:r>
      <w:r w:rsidRPr="003F486D">
        <w:rPr>
          <w:spacing w:val="-2"/>
        </w:rPr>
        <w:t xml:space="preserve"> und Aufsicht (Internal </w:t>
      </w:r>
      <w:proofErr w:type="spellStart"/>
      <w:r w:rsidRPr="003F486D">
        <w:rPr>
          <w:spacing w:val="-2"/>
        </w:rPr>
        <w:t>Oversight</w:t>
      </w:r>
      <w:proofErr w:type="spellEnd"/>
      <w:r w:rsidRPr="003F486D">
        <w:rPr>
          <w:spacing w:val="-2"/>
        </w:rPr>
        <w:t xml:space="preserve"> Division (IOD)) der Weltorganisation für Geistiges Eigentum (WIPO)</w:t>
      </w:r>
      <w:r w:rsidRPr="00655CA3">
        <w:t xml:space="preserve"> </w:t>
      </w:r>
      <w:r w:rsidRPr="003F486D">
        <w:t>hervorgehoben</w:t>
      </w:r>
      <w:r w:rsidRPr="003F486D">
        <w:rPr>
          <w:spacing w:val="-2"/>
        </w:rPr>
        <w:t>, die im Jahr 2016</w:t>
      </w:r>
      <w:r w:rsidRPr="00655CA3">
        <w:rPr>
          <w:spacing w:val="-2"/>
        </w:rPr>
        <w:t xml:space="preserve"> </w:t>
      </w:r>
      <w:r w:rsidRPr="003F486D">
        <w:rPr>
          <w:spacing w:val="-2"/>
        </w:rPr>
        <w:t xml:space="preserve">durchgeführt wurde. Die </w:t>
      </w:r>
      <w:r>
        <w:t>einzige</w:t>
      </w:r>
      <w:r w:rsidRPr="003F486D">
        <w:t xml:space="preserve"> Empfehlung des IOD-Evaluierungsberichts war, </w:t>
      </w:r>
      <w:proofErr w:type="spellStart"/>
      <w:r w:rsidRPr="003F486D">
        <w:t>daß</w:t>
      </w:r>
      <w:proofErr w:type="spellEnd"/>
      <w:r w:rsidRPr="003F486D">
        <w:t xml:space="preserve"> die UPOV „in Erwägung ziehen sollte, einen </w:t>
      </w:r>
      <w:r>
        <w:t>s</w:t>
      </w:r>
      <w:r w:rsidRPr="003F486D">
        <w:t>trategischen Gesc</w:t>
      </w:r>
      <w:r>
        <w:t>häftsplan zu entwickeln, um ihr</w:t>
      </w:r>
      <w:r w:rsidRPr="003F486D">
        <w:t xml:space="preserve"> Wertschöpfungsportfolio zu diversifizieren und die Nachhaltigkeit bestehender Tätigkeiten und Dienste zu bewahren und zu verbessern […]“. </w:t>
      </w:r>
    </w:p>
    <w:p w:rsidR="008134A5" w:rsidRPr="003F486D" w:rsidRDefault="008134A5" w:rsidP="008134A5"/>
    <w:p w:rsidR="008134A5" w:rsidRPr="003F486D" w:rsidRDefault="008134A5" w:rsidP="008134A5"/>
    <w:p w:rsidR="008134A5" w:rsidRPr="003F486D" w:rsidRDefault="008134A5" w:rsidP="008134A5">
      <w:pPr>
        <w:pStyle w:val="Heading2"/>
        <w:rPr>
          <w:lang w:val="de-DE"/>
        </w:rPr>
      </w:pPr>
      <w:r w:rsidRPr="003F486D">
        <w:rPr>
          <w:lang w:val="de-DE"/>
        </w:rPr>
        <w:t>Entwicklungen in der UPOV</w:t>
      </w:r>
    </w:p>
    <w:p w:rsidR="008134A5" w:rsidRPr="003F486D" w:rsidRDefault="008134A5" w:rsidP="008134A5"/>
    <w:p w:rsidR="008134A5" w:rsidRPr="003F486D" w:rsidRDefault="008134A5" w:rsidP="008134A5">
      <w:r w:rsidRPr="003F486D">
        <w:t>1.5</w:t>
      </w:r>
      <w:r w:rsidRPr="003F486D">
        <w:tab/>
      </w:r>
      <w:r>
        <w:t>Die</w:t>
      </w:r>
      <w:r w:rsidRPr="003F486D">
        <w:t xml:space="preserve"> </w:t>
      </w:r>
      <w:r>
        <w:t>folgenden</w:t>
      </w:r>
      <w:r w:rsidRPr="003F486D">
        <w:t xml:space="preserve"> Abschnitte befassen sich mit den </w:t>
      </w:r>
      <w:r>
        <w:t>jüngsten</w:t>
      </w:r>
      <w:r w:rsidRPr="003F486D">
        <w:t xml:space="preserve"> für </w:t>
      </w:r>
      <w:r>
        <w:t xml:space="preserve">die </w:t>
      </w:r>
      <w:r w:rsidRPr="003F486D">
        <w:t xml:space="preserve">Aufgabe der UPOV </w:t>
      </w:r>
      <w:r>
        <w:t>maßgeblichen</w:t>
      </w:r>
      <w:r w:rsidRPr="003F486D">
        <w:t xml:space="preserve"> Entwicklungen. </w:t>
      </w:r>
    </w:p>
    <w:p w:rsidR="008134A5" w:rsidRPr="003F486D" w:rsidRDefault="008134A5" w:rsidP="008134A5"/>
    <w:p w:rsidR="008134A5" w:rsidRPr="003F486D" w:rsidRDefault="008134A5" w:rsidP="008134A5"/>
    <w:p w:rsidR="008134A5" w:rsidRPr="003F486D" w:rsidRDefault="008134A5" w:rsidP="008134A5">
      <w:pPr>
        <w:rPr>
          <w:i/>
        </w:rPr>
      </w:pPr>
      <w:r w:rsidRPr="003F486D">
        <w:rPr>
          <w:i/>
        </w:rPr>
        <w:t>UPOV-Mitglieder</w:t>
      </w:r>
    </w:p>
    <w:p w:rsidR="008134A5" w:rsidRPr="003F486D" w:rsidRDefault="008134A5" w:rsidP="008134A5"/>
    <w:p w:rsidR="008134A5" w:rsidRPr="003F486D" w:rsidRDefault="008134A5" w:rsidP="008134A5">
      <w:r w:rsidRPr="003F486D">
        <w:t>1.6</w:t>
      </w:r>
      <w:r w:rsidRPr="003F486D">
        <w:tab/>
      </w:r>
      <w:r>
        <w:t>Ende</w:t>
      </w:r>
      <w:r w:rsidRPr="003F486D">
        <w:t xml:space="preserve"> 2016 hatte die UPOV 74 Mitglieder, die 93 Staaten abdecken (vergleiche</w:t>
      </w:r>
      <w:r>
        <w:t xml:space="preserve"> </w:t>
      </w:r>
      <w:r w:rsidRPr="003F486D">
        <w:t>Abb</w:t>
      </w:r>
      <w:r>
        <w:t>ildung</w:t>
      </w:r>
      <w:r w:rsidRPr="003F486D">
        <w:t xml:space="preserve"> 1 „</w:t>
      </w:r>
      <w:r>
        <w:t>UPOV</w:t>
      </w:r>
      <w:r>
        <w:noBreakHyphen/>
      </w:r>
      <w:r w:rsidRPr="003F486D">
        <w:t xml:space="preserve">Mitglieder zum </w:t>
      </w:r>
      <w:r>
        <w:t xml:space="preserve">31. </w:t>
      </w:r>
      <w:r w:rsidRPr="003F486D">
        <w:t>Dezember 2016“).</w:t>
      </w:r>
    </w:p>
    <w:p w:rsidR="008134A5" w:rsidRPr="003F486D" w:rsidRDefault="008134A5" w:rsidP="008134A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8134A5" w:rsidRPr="006B70B0" w:rsidTr="008134A5">
        <w:trPr>
          <w:cantSplit/>
        </w:trPr>
        <w:tc>
          <w:tcPr>
            <w:tcW w:w="9855" w:type="dxa"/>
          </w:tcPr>
          <w:p w:rsidR="008134A5" w:rsidRPr="003F486D" w:rsidRDefault="008134A5" w:rsidP="008134A5">
            <w:pPr>
              <w:pStyle w:val="figures"/>
            </w:pPr>
            <w:r>
              <w:t>Abbildung</w:t>
            </w:r>
            <w:r w:rsidRPr="003F486D">
              <w:t xml:space="preserve"> 1: UPOV-Mitglieder zum</w:t>
            </w:r>
            <w:r>
              <w:t xml:space="preserve"> 31. </w:t>
            </w:r>
            <w:r w:rsidRPr="003F486D">
              <w:t>De</w:t>
            </w:r>
            <w:r>
              <w:t>z</w:t>
            </w:r>
            <w:r w:rsidRPr="003F486D">
              <w:t>embe</w:t>
            </w:r>
            <w:r>
              <w:t>r</w:t>
            </w:r>
            <w:r w:rsidRPr="003F486D">
              <w:t xml:space="preserve"> 2016 </w:t>
            </w:r>
            <w:r>
              <w:t>[</w:t>
            </w:r>
            <w:r w:rsidRPr="003F486D">
              <w:t xml:space="preserve">Hoheitsgebiete von UPOV-Mitgliedern </w:t>
            </w:r>
            <w:r>
              <w:br/>
            </w:r>
            <w:r w:rsidRPr="003F486D">
              <w:t>sind grün gekennzeichnet</w:t>
            </w:r>
            <w:r w:rsidRPr="003F486D">
              <w:rPr>
                <w:szCs w:val="14"/>
              </w:rPr>
              <w:t>]</w:t>
            </w:r>
          </w:p>
        </w:tc>
      </w:tr>
      <w:tr w:rsidR="008134A5" w:rsidRPr="00655CA3" w:rsidTr="008134A5">
        <w:trPr>
          <w:cantSplit/>
        </w:trPr>
        <w:tc>
          <w:tcPr>
            <w:tcW w:w="9855" w:type="dxa"/>
          </w:tcPr>
          <w:p w:rsidR="008134A5" w:rsidRPr="003F486D" w:rsidRDefault="008134A5" w:rsidP="008134A5">
            <w:pPr>
              <w:keepNext/>
              <w:rPr>
                <w:sz w:val="14"/>
                <w:szCs w:val="14"/>
              </w:rPr>
            </w:pPr>
            <w:r w:rsidRPr="003F486D">
              <w:rPr>
                <w:noProof/>
                <w:sz w:val="14"/>
                <w:szCs w:val="14"/>
                <w:lang w:val="en-US"/>
              </w:rPr>
              <w:drawing>
                <wp:inline distT="0" distB="0" distL="0" distR="0" wp14:anchorId="78DE8712" wp14:editId="0BF0B940">
                  <wp:extent cx="6040103" cy="3060319"/>
                  <wp:effectExtent l="0" t="0" r="0" b="6985"/>
                  <wp:docPr id="28" name="Picture 28" descr="\\Wipogvafs01\DAT1\OrgUPOV\Shared\Present-speeches\_Model Presentations &amp;Speeches\maps\2017_02_03_one_colour_(74memb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ipogvafs01\DAT1\OrgUPOV\Shared\Present-speeches\_Model Presentations &amp;Speeches\maps\2017_02_03_one_colour_(74member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48761" cy="3064706"/>
                          </a:xfrm>
                          <a:prstGeom prst="rect">
                            <a:avLst/>
                          </a:prstGeom>
                          <a:noFill/>
                          <a:ln>
                            <a:noFill/>
                          </a:ln>
                        </pic:spPr>
                      </pic:pic>
                    </a:graphicData>
                  </a:graphic>
                </wp:inline>
              </w:drawing>
            </w:r>
          </w:p>
        </w:tc>
      </w:tr>
      <w:tr w:rsidR="008134A5" w:rsidRPr="006B70B0" w:rsidTr="008134A5">
        <w:trPr>
          <w:cantSplit/>
        </w:trPr>
        <w:tc>
          <w:tcPr>
            <w:tcW w:w="9855" w:type="dxa"/>
          </w:tcPr>
          <w:p w:rsidR="008134A5" w:rsidRPr="003F486D" w:rsidRDefault="008134A5" w:rsidP="008134A5">
            <w:pPr>
              <w:keepNext/>
            </w:pPr>
            <w:r w:rsidRPr="003F486D">
              <w:rPr>
                <w:sz w:val="14"/>
              </w:rPr>
              <w:t xml:space="preserve">Die auf dieser Karte angezeigten Grenzverläufe sind keinesfalls Ausdruck irgendeiner Meinung seitens der UPOV in </w:t>
            </w:r>
            <w:r>
              <w:rPr>
                <w:sz w:val="14"/>
              </w:rPr>
              <w:t>B</w:t>
            </w:r>
            <w:r w:rsidRPr="003F486D">
              <w:rPr>
                <w:sz w:val="14"/>
              </w:rPr>
              <w:t>ezug auf den rechtlichen Status eines Landes oder Hoheitsgebietes</w:t>
            </w:r>
          </w:p>
        </w:tc>
      </w:tr>
    </w:tbl>
    <w:p w:rsidR="008134A5" w:rsidRPr="003F486D" w:rsidRDefault="008134A5" w:rsidP="008134A5"/>
    <w:p w:rsidR="008134A5" w:rsidRPr="003F486D" w:rsidRDefault="008134A5" w:rsidP="008134A5">
      <w:r w:rsidRPr="003F486D">
        <w:t>1.7</w:t>
      </w:r>
      <w:r w:rsidRPr="003F486D">
        <w:tab/>
      </w:r>
      <w:r>
        <w:t>Abbildung</w:t>
      </w:r>
      <w:r w:rsidRPr="003F486D">
        <w:t xml:space="preserve"> 2 zeigt </w:t>
      </w:r>
      <w:r>
        <w:t>die</w:t>
      </w:r>
      <w:r w:rsidRPr="003F486D">
        <w:t xml:space="preserve"> Entwicklung </w:t>
      </w:r>
      <w:r>
        <w:t>der</w:t>
      </w:r>
      <w:r w:rsidRPr="003F486D">
        <w:t xml:space="preserve"> UPOV.</w:t>
      </w:r>
      <w:r>
        <w:t xml:space="preserve"> Abbildung</w:t>
      </w:r>
      <w:r w:rsidRPr="003F486D">
        <w:t xml:space="preserve"> 3 zeigt </w:t>
      </w:r>
      <w:r>
        <w:t>die</w:t>
      </w:r>
      <w:r w:rsidRPr="003F486D">
        <w:t xml:space="preserve"> Hoheitsgebiete </w:t>
      </w:r>
      <w:r>
        <w:t>von</w:t>
      </w:r>
      <w:r w:rsidRPr="003F486D">
        <w:t xml:space="preserve"> Mitglieder</w:t>
      </w:r>
      <w:r>
        <w:t>n,</w:t>
      </w:r>
      <w:r w:rsidRPr="003F486D">
        <w:t xml:space="preserve"> die der UPOV im Zeitraum </w:t>
      </w:r>
      <w:r w:rsidRPr="00417518">
        <w:t>2011-2016</w:t>
      </w:r>
      <w:r w:rsidRPr="00417518">
        <w:rPr>
          <w:rStyle w:val="FootnoteReference"/>
        </w:rPr>
        <w:footnoteReference w:id="3"/>
      </w:r>
      <w:r w:rsidRPr="00417518">
        <w:t xml:space="preserve"> </w:t>
      </w:r>
      <w:r w:rsidRPr="003F486D">
        <w:t xml:space="preserve">beitraten, </w:t>
      </w:r>
      <w:r>
        <w:t>und damit</w:t>
      </w:r>
      <w:r w:rsidRPr="003F486D">
        <w:t xml:space="preserve"> die </w:t>
      </w:r>
      <w:r>
        <w:t>bedeutende</w:t>
      </w:r>
      <w:r w:rsidRPr="003F486D">
        <w:t xml:space="preserve"> geographische Erstreckung der UPOV in Afrika. Im</w:t>
      </w:r>
      <w:r w:rsidRPr="00655CA3">
        <w:t xml:space="preserve"> </w:t>
      </w:r>
      <w:r w:rsidRPr="003F486D">
        <w:t>bet</w:t>
      </w:r>
      <w:r>
        <w:t>reffenden</w:t>
      </w:r>
      <w:r w:rsidRPr="003F486D">
        <w:t xml:space="preserve"> Zeitraum wurden 18 Staaten (17 Mitgliedstaaten </w:t>
      </w:r>
      <w:r>
        <w:t>der</w:t>
      </w:r>
      <w:r w:rsidRPr="003F486D">
        <w:t xml:space="preserve"> OAPI</w:t>
      </w:r>
      <w:r>
        <w:t xml:space="preserve"> und der</w:t>
      </w:r>
      <w:r w:rsidRPr="003F486D">
        <w:t xml:space="preserve"> </w:t>
      </w:r>
      <w:r>
        <w:rPr>
          <w:rFonts w:cs="Arial"/>
        </w:rPr>
        <w:t>Vereinigten</w:t>
      </w:r>
      <w:r w:rsidRPr="003F486D">
        <w:rPr>
          <w:rFonts w:cs="Arial"/>
        </w:rPr>
        <w:t xml:space="preserve"> Republi</w:t>
      </w:r>
      <w:r>
        <w:rPr>
          <w:rFonts w:cs="Arial"/>
        </w:rPr>
        <w:t>k</w:t>
      </w:r>
      <w:r w:rsidRPr="003F486D">
        <w:rPr>
          <w:rFonts w:cs="Arial"/>
        </w:rPr>
        <w:t xml:space="preserve"> Tansania)</w:t>
      </w:r>
      <w:r w:rsidRPr="003F486D">
        <w:t xml:space="preserve"> in Afri</w:t>
      </w:r>
      <w:r>
        <w:t>k</w:t>
      </w:r>
      <w:r w:rsidRPr="003F486D">
        <w:t>a von dem UPOV-System</w:t>
      </w:r>
      <w:r w:rsidRPr="00655CA3">
        <w:t xml:space="preserve"> </w:t>
      </w:r>
      <w:proofErr w:type="spellStart"/>
      <w:r w:rsidRPr="003F486D">
        <w:t>erfaßt</w:t>
      </w:r>
      <w:proofErr w:type="spellEnd"/>
      <w:r>
        <w:t>,</w:t>
      </w:r>
      <w:r w:rsidRPr="003F486D">
        <w:t xml:space="preserve"> und die UPOV wird Schulung</w:t>
      </w:r>
      <w:r>
        <w:t xml:space="preserve"> und </w:t>
      </w:r>
      <w:r w:rsidRPr="003F486D">
        <w:t>Unterstützung</w:t>
      </w:r>
      <w:r>
        <w:t xml:space="preserve"> für die</w:t>
      </w:r>
      <w:r w:rsidRPr="003F486D">
        <w:t xml:space="preserve"> Umsetzu</w:t>
      </w:r>
      <w:r>
        <w:t>ng des</w:t>
      </w:r>
      <w:r w:rsidRPr="003F486D">
        <w:t xml:space="preserve"> UPOV-System</w:t>
      </w:r>
      <w:r>
        <w:t>s</w:t>
      </w:r>
      <w:r w:rsidRPr="003F486D">
        <w:t xml:space="preserve"> in </w:t>
      </w:r>
      <w:r>
        <w:t>diesen</w:t>
      </w:r>
      <w:r w:rsidRPr="003F486D">
        <w:t xml:space="preserve"> Hoheitsgebieten bereitstellen</w:t>
      </w:r>
      <w:r>
        <w:t xml:space="preserve"> müssen</w:t>
      </w:r>
      <w:r w:rsidRPr="003F486D">
        <w:t>.</w:t>
      </w:r>
      <w:r>
        <w:t xml:space="preserve"> </w:t>
      </w:r>
    </w:p>
    <w:p w:rsidR="008134A5" w:rsidRPr="003F486D" w:rsidRDefault="008134A5" w:rsidP="008134A5">
      <w:pPr>
        <w:rPr>
          <w:rFonts w:eastAsia="MS Mincho"/>
          <w:lang w:eastAsia="ja-J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8134A5" w:rsidRPr="006B70B0" w:rsidTr="008134A5">
        <w:tc>
          <w:tcPr>
            <w:tcW w:w="9855" w:type="dxa"/>
          </w:tcPr>
          <w:p w:rsidR="008134A5" w:rsidRPr="003F486D" w:rsidRDefault="008134A5" w:rsidP="008134A5">
            <w:pPr>
              <w:pStyle w:val="figures"/>
            </w:pPr>
            <w:r>
              <w:t>Abbildung</w:t>
            </w:r>
            <w:r w:rsidRPr="003F486D">
              <w:t xml:space="preserve"> 2:</w:t>
            </w:r>
            <w:r>
              <w:t xml:space="preserve"> </w:t>
            </w:r>
            <w:r w:rsidRPr="003F486D">
              <w:t>Entwicklung von UPOV-Mitgliedern</w:t>
            </w:r>
          </w:p>
        </w:tc>
      </w:tr>
      <w:tr w:rsidR="008134A5" w:rsidRPr="003F486D" w:rsidTr="008134A5">
        <w:tc>
          <w:tcPr>
            <w:tcW w:w="9855" w:type="dxa"/>
          </w:tcPr>
          <w:p w:rsidR="008134A5" w:rsidRPr="003F486D" w:rsidRDefault="008134A5" w:rsidP="008134A5">
            <w:pPr>
              <w:jc w:val="center"/>
              <w:rPr>
                <w:highlight w:val="cyan"/>
              </w:rPr>
            </w:pPr>
            <w:r w:rsidRPr="00985490">
              <w:rPr>
                <w:noProof/>
                <w:lang w:val="en-US"/>
              </w:rPr>
              <w:drawing>
                <wp:inline distT="0" distB="0" distL="0" distR="0" wp14:anchorId="2CFF7B88" wp14:editId="6032DB7C">
                  <wp:extent cx="5760720" cy="3649980"/>
                  <wp:effectExtent l="0" t="0" r="0" b="762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720" cy="3649980"/>
                          </a:xfrm>
                          <a:prstGeom prst="rect">
                            <a:avLst/>
                          </a:prstGeom>
                          <a:noFill/>
                          <a:ln>
                            <a:noFill/>
                          </a:ln>
                        </pic:spPr>
                      </pic:pic>
                    </a:graphicData>
                  </a:graphic>
                </wp:inline>
              </w:drawing>
            </w:r>
          </w:p>
        </w:tc>
      </w:tr>
      <w:tr w:rsidR="008134A5" w:rsidRPr="006B70B0" w:rsidTr="008134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5" w:type="dxa"/>
            <w:tcBorders>
              <w:top w:val="nil"/>
              <w:left w:val="nil"/>
              <w:bottom w:val="nil"/>
              <w:right w:val="nil"/>
            </w:tcBorders>
          </w:tcPr>
          <w:p w:rsidR="008134A5" w:rsidRPr="003F486D" w:rsidRDefault="008134A5" w:rsidP="008134A5">
            <w:pPr>
              <w:pStyle w:val="figures"/>
            </w:pPr>
            <w:r>
              <w:t>Abbildung</w:t>
            </w:r>
            <w:r w:rsidRPr="003F486D">
              <w:t xml:space="preserve"> 3:</w:t>
            </w:r>
            <w:r>
              <w:t xml:space="preserve"> </w:t>
            </w:r>
            <w:r w:rsidRPr="003F486D">
              <w:t>Neue UPOV-Mitglieder im Zeitraum 2011-2016</w:t>
            </w:r>
          </w:p>
        </w:tc>
      </w:tr>
      <w:tr w:rsidR="008134A5" w:rsidRPr="003F486D" w:rsidTr="008134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5" w:type="dxa"/>
            <w:tcBorders>
              <w:top w:val="nil"/>
              <w:left w:val="nil"/>
              <w:bottom w:val="nil"/>
              <w:right w:val="nil"/>
            </w:tcBorders>
          </w:tcPr>
          <w:p w:rsidR="008134A5" w:rsidRPr="003F486D" w:rsidRDefault="008134A5" w:rsidP="008134A5">
            <w:pPr>
              <w:jc w:val="center"/>
            </w:pPr>
            <w:r w:rsidRPr="003F486D">
              <w:rPr>
                <w:noProof/>
                <w:lang w:val="en-US"/>
              </w:rPr>
              <w:drawing>
                <wp:inline distT="0" distB="0" distL="0" distR="0" wp14:anchorId="1A1AFE0A" wp14:editId="18907EE1">
                  <wp:extent cx="6120765" cy="3101340"/>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_3_Map.png"/>
                          <pic:cNvPicPr/>
                        </pic:nvPicPr>
                        <pic:blipFill>
                          <a:blip r:embed="rId12">
                            <a:extLst>
                              <a:ext uri="{28A0092B-C50C-407E-A947-70E740481C1C}">
                                <a14:useLocalDpi xmlns:a14="http://schemas.microsoft.com/office/drawing/2010/main" val="0"/>
                              </a:ext>
                            </a:extLst>
                          </a:blip>
                          <a:stretch>
                            <a:fillRect/>
                          </a:stretch>
                        </pic:blipFill>
                        <pic:spPr>
                          <a:xfrm>
                            <a:off x="0" y="0"/>
                            <a:ext cx="6120765" cy="3101340"/>
                          </a:xfrm>
                          <a:prstGeom prst="rect">
                            <a:avLst/>
                          </a:prstGeom>
                        </pic:spPr>
                      </pic:pic>
                    </a:graphicData>
                  </a:graphic>
                </wp:inline>
              </w:drawing>
            </w:r>
          </w:p>
        </w:tc>
      </w:tr>
      <w:tr w:rsidR="008134A5" w:rsidRPr="006B70B0" w:rsidTr="008134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5" w:type="dxa"/>
            <w:tcBorders>
              <w:top w:val="nil"/>
              <w:left w:val="nil"/>
              <w:bottom w:val="nil"/>
              <w:right w:val="nil"/>
            </w:tcBorders>
          </w:tcPr>
          <w:p w:rsidR="008134A5" w:rsidRPr="003F486D" w:rsidRDefault="008134A5" w:rsidP="008134A5">
            <w:pPr>
              <w:jc w:val="left"/>
              <w:rPr>
                <w:highlight w:val="cyan"/>
              </w:rPr>
            </w:pPr>
            <w:r w:rsidRPr="003F486D">
              <w:rPr>
                <w:sz w:val="14"/>
              </w:rPr>
              <w:t xml:space="preserve">Die auf dieser Karte angezeigten Grenzverläufe sind keinesfalls Ausdruck irgendeiner Meinung seitens der UPOV in </w:t>
            </w:r>
            <w:proofErr w:type="spellStart"/>
            <w:r w:rsidRPr="003F486D">
              <w:rPr>
                <w:sz w:val="14"/>
              </w:rPr>
              <w:t>bezug</w:t>
            </w:r>
            <w:proofErr w:type="spellEnd"/>
            <w:r w:rsidRPr="003F486D">
              <w:rPr>
                <w:sz w:val="14"/>
              </w:rPr>
              <w:t xml:space="preserve"> auf den rechtlichen Status eines Landes oder Hoheitsgebietes</w:t>
            </w:r>
          </w:p>
        </w:tc>
      </w:tr>
    </w:tbl>
    <w:p w:rsidR="008134A5" w:rsidRPr="003F486D" w:rsidRDefault="008134A5" w:rsidP="008134A5">
      <w:pPr>
        <w:rPr>
          <w:rFonts w:eastAsia="MS Mincho"/>
          <w:lang w:eastAsia="ja-JP"/>
        </w:rPr>
      </w:pPr>
    </w:p>
    <w:p w:rsidR="008134A5" w:rsidRPr="003F486D" w:rsidRDefault="008134A5" w:rsidP="008134A5">
      <w:r w:rsidRPr="003F486D">
        <w:rPr>
          <w:rFonts w:eastAsia="MS Mincho"/>
          <w:lang w:eastAsia="ja-JP"/>
        </w:rPr>
        <w:t>1.8</w:t>
      </w:r>
      <w:r w:rsidRPr="003F486D">
        <w:rPr>
          <w:rFonts w:eastAsia="MS Mincho"/>
          <w:lang w:eastAsia="ja-JP"/>
        </w:rPr>
        <w:tab/>
        <w:t xml:space="preserve">Ein graphischer Überblick über </w:t>
      </w:r>
      <w:r>
        <w:rPr>
          <w:rFonts w:eastAsia="MS Mincho"/>
          <w:lang w:eastAsia="ja-JP"/>
        </w:rPr>
        <w:t>den Stand vom 31. Dezember 2016 ist in Abbildung 4</w:t>
      </w:r>
      <w:r w:rsidRPr="003F486D">
        <w:rPr>
          <w:rFonts w:eastAsia="MS Mincho"/>
          <w:lang w:eastAsia="ja-JP"/>
        </w:rPr>
        <w:t xml:space="preserve"> i</w:t>
      </w:r>
      <w:r>
        <w:rPr>
          <w:rFonts w:eastAsia="MS Mincho"/>
          <w:lang w:eastAsia="ja-JP"/>
        </w:rPr>
        <w:t xml:space="preserve">n </w:t>
      </w:r>
      <w:proofErr w:type="spellStart"/>
      <w:r>
        <w:rPr>
          <w:rFonts w:eastAsia="MS Mincho"/>
          <w:lang w:eastAsia="ja-JP"/>
        </w:rPr>
        <w:t>bezug</w:t>
      </w:r>
      <w:proofErr w:type="spellEnd"/>
      <w:r>
        <w:rPr>
          <w:rFonts w:eastAsia="MS Mincho"/>
          <w:lang w:eastAsia="ja-JP"/>
        </w:rPr>
        <w:t xml:space="preserve"> auf die UPOV-Mitglieder und die</w:t>
      </w:r>
      <w:r w:rsidRPr="003F486D">
        <w:rPr>
          <w:rFonts w:eastAsia="MS Mincho"/>
          <w:lang w:eastAsia="ja-JP"/>
        </w:rPr>
        <w:t>jenigen Staaten und zwischenstaatlichen Organisationen</w:t>
      </w:r>
      <w:r>
        <w:rPr>
          <w:rFonts w:eastAsia="MS Mincho"/>
          <w:lang w:eastAsia="ja-JP"/>
        </w:rPr>
        <w:t xml:space="preserve"> dargestellt</w:t>
      </w:r>
      <w:r w:rsidRPr="003F486D">
        <w:rPr>
          <w:rFonts w:eastAsia="MS Mincho"/>
          <w:lang w:eastAsia="ja-JP"/>
        </w:rPr>
        <w:t>, die das Verfahren für den Beitritt zum UPOV-Übereinkommen eingeleitet haben oder im Hinblick auf Unterstützung bei der Ausarbeitung von Rechtsvorschriften aufgrund des UPOV-Übereinkommens mit dem Verbandsbüro in Verbindung standen.</w:t>
      </w:r>
      <w:r w:rsidRPr="003F486D">
        <w:t xml:space="preserve"> Anhang I</w:t>
      </w:r>
      <w:r w:rsidRPr="003F486D">
        <w:rPr>
          <w:rFonts w:eastAsia="MS Mincho"/>
          <w:lang w:eastAsia="ja-JP"/>
        </w:rPr>
        <w:t xml:space="preserve"> enthält detaillierte</w:t>
      </w:r>
      <w:r>
        <w:rPr>
          <w:rFonts w:eastAsia="MS Mincho"/>
          <w:lang w:eastAsia="ja-JP"/>
        </w:rPr>
        <w:t xml:space="preserve"> Informationen</w:t>
      </w:r>
      <w:r w:rsidRPr="003F486D">
        <w:t>.</w:t>
      </w:r>
    </w:p>
    <w:p w:rsidR="008134A5" w:rsidRPr="003F486D" w:rsidRDefault="008134A5" w:rsidP="008134A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8134A5" w:rsidRPr="006B70B0" w:rsidTr="008134A5">
        <w:tc>
          <w:tcPr>
            <w:tcW w:w="9855" w:type="dxa"/>
          </w:tcPr>
          <w:p w:rsidR="008134A5" w:rsidRPr="003F486D" w:rsidRDefault="008134A5" w:rsidP="008134A5">
            <w:pPr>
              <w:pStyle w:val="figures"/>
            </w:pPr>
            <w:r>
              <w:t>Abbildung</w:t>
            </w:r>
            <w:r w:rsidRPr="003F486D">
              <w:t xml:space="preserve"> 4:</w:t>
            </w:r>
            <w:r>
              <w:t xml:space="preserve"> </w:t>
            </w:r>
            <w:r w:rsidRPr="003F486D">
              <w:t xml:space="preserve">Stand in </w:t>
            </w:r>
            <w:proofErr w:type="spellStart"/>
            <w:r w:rsidRPr="003F486D">
              <w:t>bezug</w:t>
            </w:r>
            <w:proofErr w:type="spellEnd"/>
            <w:r w:rsidRPr="003F486D">
              <w:t xml:space="preserve"> auf die UPOV</w:t>
            </w:r>
          </w:p>
        </w:tc>
      </w:tr>
      <w:tr w:rsidR="008134A5" w:rsidRPr="003F486D" w:rsidTr="008134A5">
        <w:tc>
          <w:tcPr>
            <w:tcW w:w="9855" w:type="dxa"/>
          </w:tcPr>
          <w:p w:rsidR="008134A5" w:rsidRPr="003F486D" w:rsidRDefault="008134A5" w:rsidP="008134A5">
            <w:pPr>
              <w:keepNext/>
              <w:jc w:val="center"/>
              <w:rPr>
                <w:rFonts w:eastAsia="MS Mincho"/>
                <w:lang w:eastAsia="ja-JP"/>
              </w:rPr>
            </w:pPr>
            <w:r w:rsidRPr="003F486D">
              <w:rPr>
                <w:rFonts w:eastAsia="MS Mincho"/>
                <w:noProof/>
                <w:lang w:val="en-US"/>
              </w:rPr>
              <w:drawing>
                <wp:inline distT="0" distB="0" distL="0" distR="0" wp14:anchorId="7A604EE2" wp14:editId="5BBF2970">
                  <wp:extent cx="6146382" cy="3114167"/>
                  <wp:effectExtent l="0" t="0" r="6985" b="0"/>
                  <wp:docPr id="10" name="Picture 10" descr="N:\OrgUPOV\Shared\Present-speeches\_Model Presentations &amp;Speeches\maps\_2016_10_31_three_colou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gUPOV\Shared\Present-speeches\_Model Presentations &amp;Speeches\maps\_2016_10_31_three_colours.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58271" cy="3120191"/>
                          </a:xfrm>
                          <a:prstGeom prst="rect">
                            <a:avLst/>
                          </a:prstGeom>
                          <a:noFill/>
                          <a:ln>
                            <a:noFill/>
                          </a:ln>
                        </pic:spPr>
                      </pic:pic>
                    </a:graphicData>
                  </a:graphic>
                </wp:inline>
              </w:drawing>
            </w:r>
          </w:p>
        </w:tc>
      </w:tr>
      <w:tr w:rsidR="008134A5" w:rsidRPr="006B70B0" w:rsidTr="008134A5">
        <w:tc>
          <w:tcPr>
            <w:tcW w:w="9855" w:type="dxa"/>
          </w:tcPr>
          <w:p w:rsidR="008134A5" w:rsidRPr="003F486D" w:rsidRDefault="008134A5" w:rsidP="008134A5">
            <w:pPr>
              <w:keepNext/>
              <w:spacing w:before="60" w:after="60"/>
              <w:jc w:val="left"/>
              <w:rPr>
                <w:rFonts w:eastAsia="MS Mincho"/>
                <w:sz w:val="14"/>
                <w:szCs w:val="14"/>
                <w:highlight w:val="cyan"/>
                <w:lang w:eastAsia="ja-JP"/>
              </w:rPr>
            </w:pPr>
            <w:r w:rsidRPr="003F486D">
              <w:rPr>
                <w:sz w:val="14"/>
              </w:rPr>
              <w:t xml:space="preserve">Die auf dieser Karte angezeigten Grenzverläufe sind keinesfalls Ausdruck irgendeiner Meinung seitens der UPOV in </w:t>
            </w:r>
            <w:proofErr w:type="spellStart"/>
            <w:r w:rsidRPr="003F486D">
              <w:rPr>
                <w:sz w:val="14"/>
              </w:rPr>
              <w:t>bezug</w:t>
            </w:r>
            <w:proofErr w:type="spellEnd"/>
            <w:r w:rsidRPr="003F486D">
              <w:rPr>
                <w:sz w:val="14"/>
              </w:rPr>
              <w:t xml:space="preserve"> auf den rechtlichen Status eines Landes oder Hoheitsgebietes</w:t>
            </w:r>
          </w:p>
        </w:tc>
      </w:tr>
      <w:tr w:rsidR="008134A5" w:rsidRPr="000C07C3" w:rsidTr="008134A5">
        <w:tc>
          <w:tcPr>
            <w:tcW w:w="9855" w:type="dxa"/>
          </w:tcPr>
          <w:p w:rsidR="008134A5" w:rsidRPr="000C07C3" w:rsidRDefault="008134A5" w:rsidP="008134A5">
            <w:pPr>
              <w:spacing w:after="40"/>
              <w:rPr>
                <w:sz w:val="18"/>
                <w:szCs w:val="18"/>
              </w:rPr>
            </w:pPr>
            <w:r w:rsidRPr="000C07C3">
              <w:rPr>
                <w:sz w:val="18"/>
                <w:szCs w:val="18"/>
              </w:rPr>
              <w:t>Die Karte zeigt:</w:t>
            </w:r>
          </w:p>
          <w:p w:rsidR="008134A5" w:rsidRPr="000C07C3" w:rsidRDefault="008134A5" w:rsidP="008134A5">
            <w:pPr>
              <w:ind w:left="993" w:hanging="426"/>
              <w:rPr>
                <w:sz w:val="18"/>
                <w:szCs w:val="18"/>
              </w:rPr>
            </w:pPr>
            <w:r w:rsidRPr="000C07C3">
              <w:rPr>
                <w:sz w:val="18"/>
                <w:szCs w:val="18"/>
              </w:rPr>
              <w:t>-</w:t>
            </w:r>
            <w:r w:rsidRPr="000C07C3">
              <w:rPr>
                <w:sz w:val="18"/>
                <w:szCs w:val="18"/>
              </w:rPr>
              <w:tab/>
              <w:t>UPOV-Mitglieder (grün);</w:t>
            </w:r>
          </w:p>
          <w:p w:rsidR="008134A5" w:rsidRPr="000C07C3" w:rsidRDefault="008134A5" w:rsidP="008134A5">
            <w:pPr>
              <w:ind w:left="993" w:hanging="426"/>
              <w:rPr>
                <w:sz w:val="18"/>
                <w:szCs w:val="18"/>
              </w:rPr>
            </w:pPr>
            <w:r w:rsidRPr="000C07C3">
              <w:rPr>
                <w:sz w:val="18"/>
                <w:szCs w:val="18"/>
              </w:rPr>
              <w:t>-</w:t>
            </w:r>
            <w:r w:rsidRPr="000C07C3">
              <w:rPr>
                <w:sz w:val="18"/>
                <w:szCs w:val="18"/>
              </w:rPr>
              <w:tab/>
              <w:t xml:space="preserve">Staaten (15) und zwischenstaatliche Organisation (1), die das Verfahren zum Beitritt der UPOV eingeleitet haben (braun); und </w:t>
            </w:r>
          </w:p>
          <w:p w:rsidR="008134A5" w:rsidRPr="000C07C3" w:rsidRDefault="008134A5" w:rsidP="008134A5">
            <w:pPr>
              <w:ind w:left="993" w:hanging="426"/>
              <w:jc w:val="left"/>
              <w:rPr>
                <w:sz w:val="18"/>
                <w:szCs w:val="18"/>
              </w:rPr>
            </w:pPr>
            <w:r w:rsidRPr="000C07C3">
              <w:rPr>
                <w:sz w:val="18"/>
                <w:szCs w:val="18"/>
              </w:rPr>
              <w:t>-</w:t>
            </w:r>
            <w:r w:rsidRPr="000C07C3">
              <w:rPr>
                <w:sz w:val="18"/>
                <w:szCs w:val="18"/>
              </w:rPr>
              <w:tab/>
              <w:t>Staaten (25) und zwischenstaatliche Organisation (1), die im Hinblick auf Unterstützung bei der Ausarbeitung von Rechtsvorschriften aufgrund des UPOV-Übereinkommens mit dem Verbandsbüro in Verbindung standen (orange).</w:t>
            </w:r>
          </w:p>
        </w:tc>
      </w:tr>
    </w:tbl>
    <w:p w:rsidR="008134A5" w:rsidRPr="003F486D" w:rsidRDefault="008134A5" w:rsidP="008134A5"/>
    <w:p w:rsidR="008134A5" w:rsidRPr="003F486D" w:rsidRDefault="008134A5" w:rsidP="008134A5">
      <w:r w:rsidRPr="003F486D">
        <w:t>1.9</w:t>
      </w:r>
      <w:r w:rsidRPr="003F486D">
        <w:tab/>
      </w:r>
      <w:r>
        <w:t>Abbildung</w:t>
      </w:r>
      <w:r w:rsidRPr="003F486D">
        <w:t xml:space="preserve"> 5 gibt Auskünfte über die Entwicklung des Status in </w:t>
      </w:r>
      <w:proofErr w:type="spellStart"/>
      <w:r w:rsidRPr="003F486D">
        <w:t>bezug</w:t>
      </w:r>
      <w:proofErr w:type="spellEnd"/>
      <w:r w:rsidRPr="003F486D">
        <w:t xml:space="preserve"> auf die UPOV </w:t>
      </w:r>
      <w:r>
        <w:t>seit</w:t>
      </w:r>
      <w:r w:rsidRPr="003F486D">
        <w:t xml:space="preserve"> 2000. Der Anstieg der Anzahl </w:t>
      </w:r>
      <w:r>
        <w:t>der von dem</w:t>
      </w:r>
      <w:r w:rsidRPr="003F486D">
        <w:t xml:space="preserve"> UPOV-Übereinkommen </w:t>
      </w:r>
      <w:proofErr w:type="spellStart"/>
      <w:r w:rsidRPr="003F486D">
        <w:t>erfaßte</w:t>
      </w:r>
      <w:r>
        <w:t>n</w:t>
      </w:r>
      <w:proofErr w:type="spellEnd"/>
      <w:r w:rsidRPr="003F486D">
        <w:t xml:space="preserve"> Staaten war im Zeitraum 2000 </w:t>
      </w:r>
      <w:r>
        <w:t>bis</w:t>
      </w:r>
      <w:r w:rsidRPr="003F486D">
        <w:t xml:space="preserve"> 2016</w:t>
      </w:r>
      <w:r w:rsidRPr="00383C42">
        <w:t xml:space="preserve"> </w:t>
      </w:r>
      <w:r w:rsidRPr="003F486D">
        <w:t xml:space="preserve">besonders hoch, </w:t>
      </w:r>
      <w:r>
        <w:t>in dem diese</w:t>
      </w:r>
      <w:r w:rsidRPr="003F486D">
        <w:t xml:space="preserve"> sich mehr als verdoppelt hat</w:t>
      </w:r>
      <w:r>
        <w:t>,</w:t>
      </w:r>
      <w:r w:rsidRPr="003F486D">
        <w:t xml:space="preserve"> von 46 auf 93. Allerdings </w:t>
      </w:r>
      <w:r>
        <w:t>hat</w:t>
      </w:r>
      <w:r w:rsidRPr="003F486D">
        <w:t xml:space="preserve"> </w:t>
      </w:r>
      <w:r>
        <w:t>auch das allgemeine</w:t>
      </w:r>
      <w:r w:rsidRPr="003F486D">
        <w:t xml:space="preserve"> Interesse an der UPOV deutlich zugenommen.</w:t>
      </w:r>
      <w:r>
        <w:t xml:space="preserve"> Die</w:t>
      </w:r>
      <w:r w:rsidRPr="003F486D">
        <w:t xml:space="preserve"> Anzahl von Staaten</w:t>
      </w:r>
      <w:r>
        <w:t>, die,</w:t>
      </w:r>
      <w:r w:rsidRPr="003F486D">
        <w:t xml:space="preserve"> </w:t>
      </w:r>
      <w:r>
        <w:t>eigenständig oder als</w:t>
      </w:r>
      <w:r w:rsidRPr="003F486D">
        <w:t xml:space="preserve"> </w:t>
      </w:r>
      <w:r>
        <w:t>Mitglied</w:t>
      </w:r>
      <w:r w:rsidRPr="003F486D">
        <w:t xml:space="preserve"> </w:t>
      </w:r>
      <w:r>
        <w:t>einer</w:t>
      </w:r>
      <w:r w:rsidRPr="003F486D">
        <w:t xml:space="preserve"> Organisation</w:t>
      </w:r>
      <w:r>
        <w:t>, von</w:t>
      </w:r>
      <w:r w:rsidRPr="003F486D">
        <w:t xml:space="preserve"> </w:t>
      </w:r>
      <w:r>
        <w:t>dem</w:t>
      </w:r>
      <w:r w:rsidRPr="003F486D">
        <w:t xml:space="preserve"> </w:t>
      </w:r>
      <w:r>
        <w:t>UPOV-Übereinkommen</w:t>
      </w:r>
      <w:r w:rsidRPr="00CF3E5F">
        <w:t xml:space="preserve"> </w:t>
      </w:r>
      <w:proofErr w:type="spellStart"/>
      <w:r>
        <w:t>erfaßt</w:t>
      </w:r>
      <w:proofErr w:type="spellEnd"/>
      <w:r>
        <w:t xml:space="preserve"> sind,</w:t>
      </w:r>
      <w:r w:rsidRPr="003F486D">
        <w:t xml:space="preserve"> das Verfahren für den Beitritt zum UPOV-Übereinkommen eingeleitet haben oder im Hinblick auf Unterstützung bei der Ausarbeitung von Rechtsvorschriften aufgrund des UPOV</w:t>
      </w:r>
      <w:r w:rsidRPr="003F486D">
        <w:rPr>
          <w:rFonts w:ascii="Cambria Math" w:hAnsi="Cambria Math" w:cs="Cambria Math"/>
        </w:rPr>
        <w:t>‑</w:t>
      </w:r>
      <w:r w:rsidRPr="003F486D">
        <w:rPr>
          <w:rFonts w:cs="Arial"/>
        </w:rPr>
        <w:t>Ü</w:t>
      </w:r>
      <w:r w:rsidRPr="003F486D">
        <w:t>bereinkommens mit dem Verbandsb</w:t>
      </w:r>
      <w:r w:rsidRPr="003F486D">
        <w:rPr>
          <w:rFonts w:cs="Arial"/>
        </w:rPr>
        <w:t>ü</w:t>
      </w:r>
      <w:r w:rsidRPr="003F486D">
        <w:t xml:space="preserve">ro in Verbindung standen, </w:t>
      </w:r>
      <w:r>
        <w:t xml:space="preserve">stieg von </w:t>
      </w:r>
      <w:r w:rsidRPr="003F486D">
        <w:t xml:space="preserve">118 im Jahr 2000 </w:t>
      </w:r>
      <w:r>
        <w:t>auf</w:t>
      </w:r>
      <w:r w:rsidRPr="003F486D">
        <w:t xml:space="preserve"> 149 im Jahr 2016</w:t>
      </w:r>
      <w:r>
        <w:t xml:space="preserve"> an</w:t>
      </w:r>
      <w:r w:rsidRPr="003F486D">
        <w:t xml:space="preserve"> (</w:t>
      </w:r>
      <w:r>
        <w:t>Anstieg von</w:t>
      </w:r>
      <w:r w:rsidRPr="003F486D">
        <w:t xml:space="preserve"> 26%).</w:t>
      </w:r>
      <w:r>
        <w:t xml:space="preserve"> Abbildung</w:t>
      </w:r>
      <w:r w:rsidRPr="003F486D">
        <w:t xml:space="preserve"> 4 </w:t>
      </w:r>
      <w:r>
        <w:t xml:space="preserve">zeigt außerdem, </w:t>
      </w:r>
      <w:proofErr w:type="spellStart"/>
      <w:r>
        <w:t>daß</w:t>
      </w:r>
      <w:proofErr w:type="spellEnd"/>
      <w:r>
        <w:t xml:space="preserve"> das von diesen Kategorien</w:t>
      </w:r>
      <w:r w:rsidRPr="00CF3E5F">
        <w:t xml:space="preserve"> </w:t>
      </w:r>
      <w:proofErr w:type="spellStart"/>
      <w:r>
        <w:t>erfaßte</w:t>
      </w:r>
      <w:proofErr w:type="spellEnd"/>
      <w:r w:rsidRPr="00CF3E5F">
        <w:t xml:space="preserve"> </w:t>
      </w:r>
      <w:r>
        <w:t>Hoheitsgebiet</w:t>
      </w:r>
      <w:r w:rsidRPr="003F486D">
        <w:t xml:space="preserve"> </w:t>
      </w:r>
      <w:r>
        <w:t>einen deutlich überwiegenden Teil der landwirtschaftlichen Fläche bedeckt</w:t>
      </w:r>
      <w:r w:rsidRPr="003F486D">
        <w:t xml:space="preserve">. </w:t>
      </w:r>
    </w:p>
    <w:p w:rsidR="008134A5" w:rsidRPr="003F486D" w:rsidRDefault="008134A5" w:rsidP="008134A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8134A5" w:rsidRPr="006B70B0" w:rsidTr="008134A5">
        <w:tc>
          <w:tcPr>
            <w:tcW w:w="9855" w:type="dxa"/>
          </w:tcPr>
          <w:p w:rsidR="008134A5" w:rsidRPr="003F486D" w:rsidRDefault="008134A5" w:rsidP="008134A5">
            <w:pPr>
              <w:pStyle w:val="figures"/>
            </w:pPr>
            <w:r>
              <w:t>Abbildung</w:t>
            </w:r>
            <w:r w:rsidRPr="003F486D">
              <w:t xml:space="preserve"> 5:</w:t>
            </w:r>
            <w:r>
              <w:t xml:space="preserve"> Entwicklung</w:t>
            </w:r>
            <w:r w:rsidRPr="003F486D">
              <w:t xml:space="preserve"> von UPOV-Mitgliedern, Staaten und zwischenstaatlichen Organisationen</w:t>
            </w:r>
            <w:r>
              <w:t>,</w:t>
            </w:r>
            <w:r w:rsidRPr="003F486D">
              <w:t xml:space="preserve"> die das Verfahren für den Beitritt zum UPOV-Übereinkommen eingeleitet haben oder im Hinblick auf Unterstützung bei der Ausarbeitung von Rechtsvorschriften aufgrund des UPOV</w:t>
            </w:r>
            <w:r w:rsidRPr="003F486D">
              <w:rPr>
                <w:rFonts w:ascii="Cambria Math" w:hAnsi="Cambria Math" w:cs="Cambria Math"/>
              </w:rPr>
              <w:t>‑</w:t>
            </w:r>
            <w:r w:rsidRPr="003F486D">
              <w:rPr>
                <w:rFonts w:cs="Arial"/>
              </w:rPr>
              <w:t>Ü</w:t>
            </w:r>
            <w:r w:rsidRPr="003F486D">
              <w:t>bereinkommens mit dem Verbandsb</w:t>
            </w:r>
            <w:r w:rsidRPr="003F486D">
              <w:rPr>
                <w:rFonts w:cs="Arial"/>
              </w:rPr>
              <w:t>ü</w:t>
            </w:r>
            <w:r w:rsidRPr="003F486D">
              <w:t>ro in Verbindung standen</w:t>
            </w:r>
          </w:p>
        </w:tc>
      </w:tr>
      <w:tr w:rsidR="008134A5" w:rsidRPr="003F486D" w:rsidTr="008134A5">
        <w:tc>
          <w:tcPr>
            <w:tcW w:w="9855" w:type="dxa"/>
          </w:tcPr>
          <w:p w:rsidR="008134A5" w:rsidRPr="003F486D" w:rsidRDefault="008134A5" w:rsidP="008134A5">
            <w:pPr>
              <w:jc w:val="center"/>
              <w:rPr>
                <w:rFonts w:eastAsia="MS Mincho"/>
              </w:rPr>
            </w:pPr>
            <w:r w:rsidRPr="00223571">
              <w:rPr>
                <w:noProof/>
                <w:lang w:val="en-US"/>
              </w:rPr>
              <w:drawing>
                <wp:inline distT="0" distB="0" distL="0" distR="0" wp14:anchorId="4FA598C2" wp14:editId="1EE239F9">
                  <wp:extent cx="5760720" cy="3110789"/>
                  <wp:effectExtent l="0"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3110789"/>
                          </a:xfrm>
                          <a:prstGeom prst="rect">
                            <a:avLst/>
                          </a:prstGeom>
                          <a:noFill/>
                          <a:ln>
                            <a:noFill/>
                          </a:ln>
                        </pic:spPr>
                      </pic:pic>
                    </a:graphicData>
                  </a:graphic>
                </wp:inline>
              </w:drawing>
            </w:r>
          </w:p>
        </w:tc>
      </w:tr>
    </w:tbl>
    <w:p w:rsidR="008134A5" w:rsidRPr="003F486D" w:rsidRDefault="008134A5" w:rsidP="008134A5">
      <w:pPr>
        <w:jc w:val="left"/>
      </w:pPr>
    </w:p>
    <w:p w:rsidR="008134A5" w:rsidRPr="003F486D" w:rsidRDefault="008134A5" w:rsidP="008134A5">
      <w:pPr>
        <w:jc w:val="left"/>
      </w:pPr>
    </w:p>
    <w:p w:rsidR="008134A5" w:rsidRPr="003F486D" w:rsidRDefault="008134A5" w:rsidP="008134A5">
      <w:pPr>
        <w:rPr>
          <w:i/>
        </w:rPr>
      </w:pPr>
      <w:r w:rsidRPr="003F486D">
        <w:rPr>
          <w:i/>
        </w:rPr>
        <w:t>Verwendung des UPOV-Systems</w:t>
      </w:r>
    </w:p>
    <w:p w:rsidR="008134A5" w:rsidRPr="003F486D" w:rsidRDefault="008134A5" w:rsidP="008134A5"/>
    <w:p w:rsidR="008134A5" w:rsidRPr="003F486D" w:rsidRDefault="008134A5" w:rsidP="008134A5">
      <w:pPr>
        <w:rPr>
          <w:color w:val="000000" w:themeColor="text1"/>
        </w:rPr>
      </w:pPr>
      <w:r w:rsidRPr="003F486D">
        <w:t>1.10</w:t>
      </w:r>
      <w:r w:rsidRPr="003F486D">
        <w:tab/>
        <w:t>Das UPOV-System dehnt sich weiter</w:t>
      </w:r>
      <w:r>
        <w:t>hin</w:t>
      </w:r>
      <w:r w:rsidRPr="003F486D">
        <w:t xml:space="preserve"> aus hinsichtlich der Anzahl von</w:t>
      </w:r>
      <w:r w:rsidRPr="003F486D">
        <w:rPr>
          <w:color w:val="000000" w:themeColor="text1"/>
        </w:rPr>
        <w:t>:</w:t>
      </w:r>
    </w:p>
    <w:p w:rsidR="008134A5" w:rsidRPr="003F486D" w:rsidRDefault="008134A5" w:rsidP="008134A5">
      <w:pPr>
        <w:rPr>
          <w:color w:val="000000" w:themeColor="text1"/>
        </w:rPr>
      </w:pPr>
    </w:p>
    <w:p w:rsidR="008134A5" w:rsidRPr="008134A5" w:rsidRDefault="008134A5" w:rsidP="008134A5">
      <w:pPr>
        <w:pStyle w:val="ListParagraph"/>
        <w:numPr>
          <w:ilvl w:val="0"/>
          <w:numId w:val="18"/>
        </w:numPr>
        <w:rPr>
          <w:color w:val="000000" w:themeColor="text1"/>
          <w:lang w:val="de-DE"/>
        </w:rPr>
      </w:pPr>
      <w:r w:rsidRPr="008134A5">
        <w:rPr>
          <w:lang w:val="de-DE"/>
        </w:rPr>
        <w:t>Anträgen, erteilten Schutztitel und der sich in Kraft befindlichen Schutztitel</w:t>
      </w:r>
      <w:r w:rsidRPr="008134A5">
        <w:rPr>
          <w:color w:val="000000" w:themeColor="text1"/>
          <w:lang w:val="de-DE"/>
        </w:rPr>
        <w:t xml:space="preserve"> (vergleiche Abbildung 6), </w:t>
      </w:r>
    </w:p>
    <w:p w:rsidR="008134A5" w:rsidRPr="008134A5" w:rsidRDefault="008134A5" w:rsidP="008134A5">
      <w:pPr>
        <w:pStyle w:val="ListParagraph"/>
        <w:numPr>
          <w:ilvl w:val="0"/>
          <w:numId w:val="18"/>
        </w:numPr>
        <w:rPr>
          <w:color w:val="000000" w:themeColor="text1"/>
          <w:lang w:val="de-DE"/>
        </w:rPr>
      </w:pPr>
      <w:r w:rsidRPr="008134A5">
        <w:rPr>
          <w:color w:val="000000" w:themeColor="text1"/>
          <w:lang w:val="de-DE"/>
        </w:rPr>
        <w:t>Gattungen und Arten, für die von den Verbandsmitgliedern Schutz angeboten wird (vergleiche Abbildung 7) und</w:t>
      </w:r>
    </w:p>
    <w:p w:rsidR="008134A5" w:rsidRPr="008134A5" w:rsidRDefault="008134A5" w:rsidP="008134A5">
      <w:pPr>
        <w:pStyle w:val="ListParagraph"/>
        <w:numPr>
          <w:ilvl w:val="0"/>
          <w:numId w:val="18"/>
        </w:numPr>
        <w:rPr>
          <w:color w:val="000000" w:themeColor="text1"/>
          <w:lang w:val="de-DE"/>
        </w:rPr>
      </w:pPr>
      <w:r w:rsidRPr="008134A5">
        <w:rPr>
          <w:color w:val="000000" w:themeColor="text1"/>
          <w:lang w:val="de-DE"/>
        </w:rPr>
        <w:t xml:space="preserve">Gattungen, Arten/Unterarten, für die in den Verbandsmitgliedern um Schutz ersucht wurde (vergleiche Abbildung 8). </w:t>
      </w:r>
    </w:p>
    <w:p w:rsidR="008134A5" w:rsidRPr="003F486D" w:rsidRDefault="008134A5" w:rsidP="008134A5"/>
    <w:p w:rsidR="008134A5" w:rsidRPr="003F486D" w:rsidRDefault="008134A5" w:rsidP="008134A5">
      <w:r w:rsidRPr="003F486D">
        <w:t>Diese Zahlen zeigen, inwiefern ein wesentlicher Vorteil der Mitgliedschaft bei der UPOV in der Zusammenarbeit zwischen Verbandsmitgliedern liegt.</w:t>
      </w:r>
      <w:r>
        <w:t xml:space="preserve"> </w:t>
      </w:r>
    </w:p>
    <w:p w:rsidR="008134A5" w:rsidRPr="003F486D" w:rsidRDefault="008134A5" w:rsidP="008134A5"/>
    <w:p w:rsidR="008134A5" w:rsidRPr="003F486D" w:rsidRDefault="008134A5" w:rsidP="008134A5">
      <w:pPr>
        <w:rPr>
          <w:color w:val="000000" w:themeColor="text1"/>
        </w:rPr>
      </w:pPr>
      <w:r w:rsidRPr="003F486D">
        <w:rPr>
          <w:color w:val="000000" w:themeColor="text1"/>
        </w:rPr>
        <w:t>1.11</w:t>
      </w:r>
      <w:r w:rsidRPr="003F486D">
        <w:rPr>
          <w:color w:val="000000" w:themeColor="text1"/>
        </w:rPr>
        <w:tab/>
      </w:r>
      <w:r>
        <w:rPr>
          <w:color w:val="000000" w:themeColor="text1"/>
        </w:rPr>
        <w:t xml:space="preserve">Wie </w:t>
      </w:r>
      <w:r w:rsidRPr="003F486D">
        <w:rPr>
          <w:color w:val="000000" w:themeColor="text1"/>
        </w:rPr>
        <w:t xml:space="preserve">in </w:t>
      </w:r>
      <w:r>
        <w:rPr>
          <w:color w:val="000000" w:themeColor="text1"/>
        </w:rPr>
        <w:t>Abbildung</w:t>
      </w:r>
      <w:r w:rsidRPr="003F486D">
        <w:rPr>
          <w:color w:val="000000" w:themeColor="text1"/>
        </w:rPr>
        <w:t xml:space="preserve"> 8</w:t>
      </w:r>
      <w:r w:rsidRPr="00345A57">
        <w:rPr>
          <w:color w:val="000000" w:themeColor="text1"/>
        </w:rPr>
        <w:t xml:space="preserve"> </w:t>
      </w:r>
      <w:r>
        <w:rPr>
          <w:color w:val="000000" w:themeColor="text1"/>
        </w:rPr>
        <w:t>gezeigt</w:t>
      </w:r>
      <w:r w:rsidRPr="003F486D">
        <w:rPr>
          <w:color w:val="000000" w:themeColor="text1"/>
        </w:rPr>
        <w:t xml:space="preserve">, </w:t>
      </w:r>
      <w:r>
        <w:rPr>
          <w:color w:val="000000" w:themeColor="text1"/>
        </w:rPr>
        <w:t>ist die</w:t>
      </w:r>
      <w:r w:rsidRPr="003F486D">
        <w:rPr>
          <w:color w:val="000000" w:themeColor="text1"/>
        </w:rPr>
        <w:t xml:space="preserve"> Anzahl von </w:t>
      </w:r>
      <w:r>
        <w:rPr>
          <w:color w:val="000000" w:themeColor="text1"/>
        </w:rPr>
        <w:t>Gattungen</w:t>
      </w:r>
      <w:r w:rsidRPr="003F486D">
        <w:rPr>
          <w:color w:val="000000" w:themeColor="text1"/>
        </w:rPr>
        <w:t>/</w:t>
      </w:r>
      <w:r>
        <w:rPr>
          <w:color w:val="000000" w:themeColor="text1"/>
        </w:rPr>
        <w:t>Arten, für die</w:t>
      </w:r>
      <w:r w:rsidRPr="003F486D">
        <w:rPr>
          <w:color w:val="000000" w:themeColor="text1"/>
        </w:rPr>
        <w:t xml:space="preserve"> Verbandsmitglieder </w:t>
      </w:r>
      <w:r>
        <w:rPr>
          <w:color w:val="000000" w:themeColor="text1"/>
        </w:rPr>
        <w:t xml:space="preserve">Vereinbarungen für die </w:t>
      </w:r>
      <w:r w:rsidRPr="003F486D">
        <w:rPr>
          <w:color w:val="000000" w:themeColor="text1"/>
        </w:rPr>
        <w:t>Zusammenarbeit</w:t>
      </w:r>
      <w:r>
        <w:rPr>
          <w:color w:val="000000" w:themeColor="text1"/>
        </w:rPr>
        <w:t xml:space="preserve"> bei der DUS-Prüfung</w:t>
      </w:r>
      <w:r w:rsidRPr="003F486D">
        <w:rPr>
          <w:color w:val="000000" w:themeColor="text1"/>
        </w:rPr>
        <w:t xml:space="preserve"> </w:t>
      </w:r>
      <w:r>
        <w:rPr>
          <w:color w:val="000000" w:themeColor="text1"/>
        </w:rPr>
        <w:t>haben, seit</w:t>
      </w:r>
      <w:r w:rsidRPr="003F486D">
        <w:rPr>
          <w:color w:val="000000" w:themeColor="text1"/>
        </w:rPr>
        <w:t xml:space="preserve"> 2007</w:t>
      </w:r>
      <w:r>
        <w:rPr>
          <w:color w:val="000000" w:themeColor="text1"/>
        </w:rPr>
        <w:t xml:space="preserve"> erst einmal wesentlich</w:t>
      </w:r>
      <w:r w:rsidRPr="003F486D">
        <w:rPr>
          <w:color w:val="000000" w:themeColor="text1"/>
        </w:rPr>
        <w:t xml:space="preserve"> </w:t>
      </w:r>
      <w:r>
        <w:rPr>
          <w:color w:val="000000" w:themeColor="text1"/>
        </w:rPr>
        <w:t>angestiegen</w:t>
      </w:r>
      <w:r w:rsidRPr="003F486D">
        <w:rPr>
          <w:color w:val="000000" w:themeColor="text1"/>
        </w:rPr>
        <w:t>.</w:t>
      </w:r>
      <w:r>
        <w:rPr>
          <w:color w:val="000000" w:themeColor="text1"/>
        </w:rPr>
        <w:t xml:space="preserve"> </w:t>
      </w:r>
      <w:r w:rsidRPr="003F486D">
        <w:rPr>
          <w:color w:val="000000" w:themeColor="text1"/>
        </w:rPr>
        <w:t>S</w:t>
      </w:r>
      <w:r>
        <w:rPr>
          <w:color w:val="000000" w:themeColor="text1"/>
        </w:rPr>
        <w:t>olche</w:t>
      </w:r>
      <w:r w:rsidRPr="003F486D">
        <w:rPr>
          <w:color w:val="000000" w:themeColor="text1"/>
        </w:rPr>
        <w:t xml:space="preserve"> </w:t>
      </w:r>
      <w:r>
        <w:rPr>
          <w:color w:val="000000" w:themeColor="text1"/>
        </w:rPr>
        <w:t>Vereinbarungen</w:t>
      </w:r>
      <w:r w:rsidRPr="003F486D">
        <w:rPr>
          <w:color w:val="000000" w:themeColor="text1"/>
        </w:rPr>
        <w:t xml:space="preserve"> </w:t>
      </w:r>
      <w:r>
        <w:rPr>
          <w:color w:val="000000" w:themeColor="text1"/>
        </w:rPr>
        <w:t>sind bi</w:t>
      </w:r>
      <w:r w:rsidRPr="003F486D">
        <w:rPr>
          <w:color w:val="000000" w:themeColor="text1"/>
        </w:rPr>
        <w:t>lateral</w:t>
      </w:r>
      <w:r>
        <w:rPr>
          <w:color w:val="000000" w:themeColor="text1"/>
        </w:rPr>
        <w:t xml:space="preserve"> und freiwillig. I</w:t>
      </w:r>
      <w:r w:rsidRPr="003F486D">
        <w:rPr>
          <w:color w:val="000000" w:themeColor="text1"/>
        </w:rPr>
        <w:t xml:space="preserve">n der UPOV </w:t>
      </w:r>
      <w:r>
        <w:rPr>
          <w:color w:val="000000" w:themeColor="text1"/>
        </w:rPr>
        <w:t>wurden Erörterungen</w:t>
      </w:r>
      <w:r w:rsidRPr="003F486D">
        <w:rPr>
          <w:color w:val="000000" w:themeColor="text1"/>
        </w:rPr>
        <w:t xml:space="preserve"> </w:t>
      </w:r>
      <w:r>
        <w:rPr>
          <w:color w:val="000000" w:themeColor="text1"/>
        </w:rPr>
        <w:t>darüber</w:t>
      </w:r>
      <w:r w:rsidRPr="00345A57">
        <w:rPr>
          <w:color w:val="000000" w:themeColor="text1"/>
        </w:rPr>
        <w:t xml:space="preserve"> </w:t>
      </w:r>
      <w:r>
        <w:rPr>
          <w:color w:val="000000" w:themeColor="text1"/>
        </w:rPr>
        <w:t xml:space="preserve">aufgenommen, </w:t>
      </w:r>
      <w:r w:rsidRPr="003F486D">
        <w:rPr>
          <w:color w:val="000000" w:themeColor="text1"/>
        </w:rPr>
        <w:t xml:space="preserve">ob </w:t>
      </w:r>
      <w:r>
        <w:rPr>
          <w:color w:val="000000" w:themeColor="text1"/>
        </w:rPr>
        <w:t>eventuell Möglichkeiten</w:t>
      </w:r>
      <w:r w:rsidRPr="00345A57">
        <w:rPr>
          <w:color w:val="000000" w:themeColor="text1"/>
        </w:rPr>
        <w:t xml:space="preserve"> </w:t>
      </w:r>
      <w:r>
        <w:rPr>
          <w:color w:val="000000" w:themeColor="text1"/>
        </w:rPr>
        <w:t xml:space="preserve">bestehen, es </w:t>
      </w:r>
      <w:r w:rsidRPr="003F486D">
        <w:rPr>
          <w:color w:val="000000" w:themeColor="text1"/>
        </w:rPr>
        <w:t>Verbandsmitgliedern</w:t>
      </w:r>
      <w:r>
        <w:rPr>
          <w:color w:val="000000" w:themeColor="text1"/>
        </w:rPr>
        <w:t xml:space="preserve"> zu ermöglichen, eine </w:t>
      </w:r>
      <w:r w:rsidRPr="003F486D">
        <w:rPr>
          <w:color w:val="000000" w:themeColor="text1"/>
        </w:rPr>
        <w:t>s</w:t>
      </w:r>
      <w:r>
        <w:rPr>
          <w:color w:val="000000" w:themeColor="text1"/>
        </w:rPr>
        <w:t>olche</w:t>
      </w:r>
      <w:r w:rsidRPr="003F486D">
        <w:rPr>
          <w:color w:val="000000" w:themeColor="text1"/>
        </w:rPr>
        <w:t xml:space="preserve"> Zusammenarbeit </w:t>
      </w:r>
      <w:r>
        <w:rPr>
          <w:color w:val="000000" w:themeColor="text1"/>
        </w:rPr>
        <w:t>künftig zu verbessern</w:t>
      </w:r>
      <w:r w:rsidRPr="003F486D">
        <w:rPr>
          <w:color w:val="000000" w:themeColor="text1"/>
        </w:rPr>
        <w:t>.</w:t>
      </w:r>
    </w:p>
    <w:p w:rsidR="008134A5" w:rsidRPr="003F486D" w:rsidRDefault="008134A5" w:rsidP="008134A5">
      <w:pPr>
        <w:rPr>
          <w:color w:val="000000" w:themeColor="text1"/>
        </w:rPr>
      </w:pPr>
    </w:p>
    <w:p w:rsidR="008134A5" w:rsidRPr="003F486D" w:rsidRDefault="008134A5" w:rsidP="008134A5">
      <w:pPr>
        <w:rPr>
          <w:color w:val="000000" w:themeColor="text1"/>
        </w:rPr>
      </w:pPr>
      <w:r w:rsidRPr="003F486D">
        <w:rPr>
          <w:color w:val="000000" w:themeColor="text1"/>
        </w:rPr>
        <w:t>1.12</w:t>
      </w:r>
      <w:r w:rsidRPr="003F486D">
        <w:rPr>
          <w:color w:val="000000" w:themeColor="text1"/>
        </w:rPr>
        <w:tab/>
      </w:r>
      <w:r>
        <w:rPr>
          <w:color w:val="000000" w:themeColor="text1"/>
        </w:rPr>
        <w:t>Zur Erleichterung</w:t>
      </w:r>
      <w:r w:rsidRPr="003F486D">
        <w:rPr>
          <w:color w:val="000000" w:themeColor="text1"/>
        </w:rPr>
        <w:t xml:space="preserve"> </w:t>
      </w:r>
      <w:r>
        <w:rPr>
          <w:color w:val="000000" w:themeColor="text1"/>
        </w:rPr>
        <w:t>der</w:t>
      </w:r>
      <w:r w:rsidRPr="003F486D">
        <w:rPr>
          <w:color w:val="000000" w:themeColor="text1"/>
        </w:rPr>
        <w:t xml:space="preserve"> </w:t>
      </w:r>
      <w:r>
        <w:rPr>
          <w:color w:val="000000" w:themeColor="text1"/>
        </w:rPr>
        <w:t>Prüfung</w:t>
      </w:r>
      <w:r w:rsidRPr="003F486D">
        <w:rPr>
          <w:color w:val="000000" w:themeColor="text1"/>
        </w:rPr>
        <w:t xml:space="preserve"> </w:t>
      </w:r>
      <w:r>
        <w:rPr>
          <w:color w:val="000000" w:themeColor="text1"/>
        </w:rPr>
        <w:t>von</w:t>
      </w:r>
      <w:r w:rsidRPr="003F486D">
        <w:rPr>
          <w:color w:val="000000" w:themeColor="text1"/>
        </w:rPr>
        <w:t xml:space="preserve"> Sortenbezeichnungen </w:t>
      </w:r>
      <w:r>
        <w:rPr>
          <w:color w:val="000000" w:themeColor="text1"/>
        </w:rPr>
        <w:t>von</w:t>
      </w:r>
      <w:r w:rsidRPr="003F486D">
        <w:rPr>
          <w:color w:val="000000" w:themeColor="text1"/>
        </w:rPr>
        <w:t xml:space="preserve"> Verbandsmitgliedern</w:t>
      </w:r>
      <w:r>
        <w:rPr>
          <w:color w:val="000000" w:themeColor="text1"/>
        </w:rPr>
        <w:t xml:space="preserve"> wurde die</w:t>
      </w:r>
      <w:r w:rsidRPr="003F486D">
        <w:rPr>
          <w:color w:val="000000" w:themeColor="text1"/>
        </w:rPr>
        <w:t xml:space="preserve"> Arbeit </w:t>
      </w:r>
      <w:r>
        <w:rPr>
          <w:color w:val="000000" w:themeColor="text1"/>
        </w:rPr>
        <w:t>an einer Überarbeitung</w:t>
      </w:r>
      <w:r w:rsidRPr="003F486D">
        <w:rPr>
          <w:color w:val="000000" w:themeColor="text1"/>
        </w:rPr>
        <w:t xml:space="preserve"> </w:t>
      </w:r>
      <w:r>
        <w:rPr>
          <w:color w:val="000000" w:themeColor="text1"/>
        </w:rPr>
        <w:t xml:space="preserve">der </w:t>
      </w:r>
      <w:r w:rsidRPr="003F486D">
        <w:rPr>
          <w:color w:val="000000" w:themeColor="text1"/>
        </w:rPr>
        <w:t>„</w:t>
      </w:r>
      <w:r>
        <w:rPr>
          <w:snapToGrid w:val="0"/>
          <w:color w:val="000000" w:themeColor="text1"/>
        </w:rPr>
        <w:t>Erläuterungen zu</w:t>
      </w:r>
      <w:r w:rsidRPr="003F486D">
        <w:rPr>
          <w:snapToGrid w:val="0"/>
          <w:color w:val="000000" w:themeColor="text1"/>
        </w:rPr>
        <w:t xml:space="preserve"> Sortenbezeichnungen im Rahmen des </w:t>
      </w:r>
      <w:r>
        <w:rPr>
          <w:snapToGrid w:val="0"/>
          <w:color w:val="000000" w:themeColor="text1"/>
        </w:rPr>
        <w:t>UPOV-Übereinkommens</w:t>
      </w:r>
      <w:r w:rsidRPr="003F486D">
        <w:rPr>
          <w:snapToGrid w:val="0"/>
          <w:color w:val="000000" w:themeColor="text1"/>
        </w:rPr>
        <w:t>“</w:t>
      </w:r>
      <w:r w:rsidRPr="00345A57">
        <w:rPr>
          <w:color w:val="000000" w:themeColor="text1"/>
        </w:rPr>
        <w:t xml:space="preserve"> </w:t>
      </w:r>
      <w:r>
        <w:rPr>
          <w:color w:val="000000" w:themeColor="text1"/>
        </w:rPr>
        <w:t xml:space="preserve">aufgenommen und </w:t>
      </w:r>
      <w:r w:rsidRPr="003F486D">
        <w:rPr>
          <w:color w:val="000000" w:themeColor="text1"/>
        </w:rPr>
        <w:t>parallel</w:t>
      </w:r>
      <w:r>
        <w:rPr>
          <w:color w:val="000000" w:themeColor="text1"/>
        </w:rPr>
        <w:t xml:space="preserve"> dazu </w:t>
      </w:r>
      <w:r w:rsidRPr="00B37697">
        <w:rPr>
          <w:color w:val="000000" w:themeColor="text1"/>
        </w:rPr>
        <w:t>wird die Arbeit an der Entwicklung von Vorschlägen für ein UPOV-Suchinstrument</w:t>
      </w:r>
      <w:r>
        <w:rPr>
          <w:color w:val="000000" w:themeColor="text1"/>
        </w:rPr>
        <w:t xml:space="preserve"> für Ähnlichkeiten</w:t>
      </w:r>
      <w:r w:rsidRPr="00B37697">
        <w:rPr>
          <w:color w:val="000000" w:themeColor="text1"/>
        </w:rPr>
        <w:t xml:space="preserve"> für Sortenbezeichnungen fortgesetzt.</w:t>
      </w:r>
      <w:r>
        <w:rPr>
          <w:color w:val="000000" w:themeColor="text1"/>
        </w:rPr>
        <w:t xml:space="preserve"> </w:t>
      </w:r>
      <w:r w:rsidRPr="00B37697">
        <w:rPr>
          <w:color w:val="000000" w:themeColor="text1"/>
        </w:rPr>
        <w:t>Es wird auch weiterhin an der Verbesserung der Qualität und Quantität von Daten in der PLUTO-Datenbank gearbeitet werden</w:t>
      </w:r>
      <w:r>
        <w:rPr>
          <w:color w:val="000000" w:themeColor="text1"/>
        </w:rPr>
        <w:t>, was möglicherweise zusätzliche</w:t>
      </w:r>
      <w:r w:rsidRPr="003F486D">
        <w:rPr>
          <w:color w:val="000000" w:themeColor="text1"/>
        </w:rPr>
        <w:t xml:space="preserve"> </w:t>
      </w:r>
      <w:r>
        <w:rPr>
          <w:color w:val="000000" w:themeColor="text1"/>
        </w:rPr>
        <w:t xml:space="preserve">Mechanismen und </w:t>
      </w:r>
      <w:r w:rsidRPr="003F486D">
        <w:rPr>
          <w:color w:val="000000" w:themeColor="text1"/>
        </w:rPr>
        <w:t xml:space="preserve">Mittel </w:t>
      </w:r>
      <w:r>
        <w:rPr>
          <w:color w:val="000000" w:themeColor="text1"/>
        </w:rPr>
        <w:t>zur Unterstützung von</w:t>
      </w:r>
      <w:r w:rsidRPr="003F486D">
        <w:rPr>
          <w:color w:val="000000" w:themeColor="text1"/>
        </w:rPr>
        <w:t xml:space="preserve"> Verbandsmitgliedern </w:t>
      </w:r>
      <w:r>
        <w:rPr>
          <w:color w:val="000000" w:themeColor="text1"/>
        </w:rPr>
        <w:t>bei der regelmäßigen Einstellung von Daten</w:t>
      </w:r>
      <w:r w:rsidRPr="00345A57">
        <w:rPr>
          <w:color w:val="000000" w:themeColor="text1"/>
        </w:rPr>
        <w:t xml:space="preserve"> </w:t>
      </w:r>
      <w:r>
        <w:rPr>
          <w:color w:val="000000" w:themeColor="text1"/>
        </w:rPr>
        <w:t>erfordert</w:t>
      </w:r>
      <w:r w:rsidRPr="003F486D">
        <w:rPr>
          <w:color w:val="000000" w:themeColor="text1"/>
        </w:rPr>
        <w:t>.</w:t>
      </w:r>
    </w:p>
    <w:p w:rsidR="008134A5" w:rsidRPr="003F486D" w:rsidRDefault="008134A5" w:rsidP="008134A5">
      <w:pPr>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8134A5" w:rsidRPr="006B70B0" w:rsidTr="008134A5">
        <w:tc>
          <w:tcPr>
            <w:tcW w:w="9855" w:type="dxa"/>
          </w:tcPr>
          <w:p w:rsidR="008134A5" w:rsidRPr="003F486D" w:rsidRDefault="008134A5" w:rsidP="008134A5">
            <w:pPr>
              <w:pStyle w:val="figures"/>
            </w:pPr>
            <w:r>
              <w:t>Abbildung</w:t>
            </w:r>
            <w:r w:rsidRPr="003F486D">
              <w:t xml:space="preserve"> 6:</w:t>
            </w:r>
            <w:r>
              <w:t xml:space="preserve"> Anzahl</w:t>
            </w:r>
            <w:r w:rsidRPr="00B37697">
              <w:t xml:space="preserve"> Anträge, erteilte Schut</w:t>
            </w:r>
            <w:r>
              <w:t>ztitel und in Kraft befindliche</w:t>
            </w:r>
            <w:r w:rsidRPr="00B37697">
              <w:t xml:space="preserve"> Schutztitel</w:t>
            </w:r>
            <w:r>
              <w:t>n in</w:t>
            </w:r>
            <w:r w:rsidRPr="00B37697">
              <w:t xml:space="preserve"> Verbandsmitgliedern</w:t>
            </w:r>
          </w:p>
        </w:tc>
      </w:tr>
      <w:tr w:rsidR="008134A5" w:rsidRPr="003F486D" w:rsidTr="008134A5">
        <w:tc>
          <w:tcPr>
            <w:tcW w:w="9855" w:type="dxa"/>
          </w:tcPr>
          <w:p w:rsidR="008134A5" w:rsidRPr="003F486D" w:rsidRDefault="008134A5" w:rsidP="008134A5">
            <w:pPr>
              <w:jc w:val="center"/>
              <w:rPr>
                <w:color w:val="000000" w:themeColor="text1"/>
              </w:rPr>
            </w:pPr>
            <w:r w:rsidRPr="00223571">
              <w:rPr>
                <w:noProof/>
                <w:lang w:val="en-US"/>
              </w:rPr>
              <w:drawing>
                <wp:inline distT="0" distB="0" distL="0" distR="0" wp14:anchorId="67D6C3B8" wp14:editId="351F67E0">
                  <wp:extent cx="5760720" cy="3683615"/>
                  <wp:effectExtent l="0" t="0" r="0" b="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3683615"/>
                          </a:xfrm>
                          <a:prstGeom prst="rect">
                            <a:avLst/>
                          </a:prstGeom>
                          <a:noFill/>
                          <a:ln>
                            <a:noFill/>
                          </a:ln>
                        </pic:spPr>
                      </pic:pic>
                    </a:graphicData>
                  </a:graphic>
                </wp:inline>
              </w:drawing>
            </w:r>
          </w:p>
        </w:tc>
      </w:tr>
    </w:tbl>
    <w:p w:rsidR="008134A5" w:rsidRPr="003F486D" w:rsidRDefault="008134A5" w:rsidP="008134A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8134A5" w:rsidRPr="006B70B0" w:rsidTr="008134A5">
        <w:tc>
          <w:tcPr>
            <w:tcW w:w="9855" w:type="dxa"/>
          </w:tcPr>
          <w:p w:rsidR="008134A5" w:rsidRPr="003F486D" w:rsidRDefault="008134A5" w:rsidP="008134A5">
            <w:pPr>
              <w:pStyle w:val="figures"/>
            </w:pPr>
            <w:r>
              <w:t>Abbildung</w:t>
            </w:r>
            <w:r w:rsidRPr="003F486D">
              <w:t xml:space="preserve"> 7:</w:t>
            </w:r>
            <w:r>
              <w:t xml:space="preserve"> </w:t>
            </w:r>
            <w:r w:rsidRPr="00B37697">
              <w:t>Entwicklung der Erteilung von Schutz für Pflanzengattungen und -arten</w:t>
            </w:r>
          </w:p>
        </w:tc>
      </w:tr>
      <w:tr w:rsidR="008134A5" w:rsidRPr="003F486D" w:rsidTr="008134A5">
        <w:tc>
          <w:tcPr>
            <w:tcW w:w="9855" w:type="dxa"/>
          </w:tcPr>
          <w:p w:rsidR="008134A5" w:rsidRPr="003F486D" w:rsidRDefault="008134A5" w:rsidP="008134A5">
            <w:pPr>
              <w:jc w:val="center"/>
              <w:rPr>
                <w:color w:val="000000" w:themeColor="text1"/>
              </w:rPr>
            </w:pPr>
            <w:r w:rsidRPr="00C42D8A">
              <w:rPr>
                <w:noProof/>
                <w:lang w:val="en-US"/>
              </w:rPr>
              <w:drawing>
                <wp:inline distT="0" distB="0" distL="0" distR="0" wp14:anchorId="10E0C3C9" wp14:editId="19C3AD78">
                  <wp:extent cx="5516872" cy="3967480"/>
                  <wp:effectExtent l="0" t="0" r="8255"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26014" cy="3974055"/>
                          </a:xfrm>
                          <a:prstGeom prst="rect">
                            <a:avLst/>
                          </a:prstGeom>
                          <a:noFill/>
                          <a:ln>
                            <a:noFill/>
                          </a:ln>
                        </pic:spPr>
                      </pic:pic>
                    </a:graphicData>
                  </a:graphic>
                </wp:inline>
              </w:drawing>
            </w:r>
          </w:p>
        </w:tc>
      </w:tr>
    </w:tbl>
    <w:p w:rsidR="008134A5" w:rsidRPr="003F486D" w:rsidRDefault="008134A5" w:rsidP="008134A5">
      <w:pPr>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8134A5" w:rsidRPr="006B70B0" w:rsidTr="008134A5">
        <w:tc>
          <w:tcPr>
            <w:tcW w:w="9855" w:type="dxa"/>
          </w:tcPr>
          <w:p w:rsidR="008134A5" w:rsidRPr="003F486D" w:rsidRDefault="008134A5" w:rsidP="008134A5">
            <w:pPr>
              <w:pStyle w:val="figures"/>
            </w:pPr>
            <w:r>
              <w:t>Abbildung</w:t>
            </w:r>
            <w:r w:rsidRPr="003F486D">
              <w:t xml:space="preserve"> 8:</w:t>
            </w:r>
            <w:r>
              <w:t xml:space="preserve"> </w:t>
            </w:r>
            <w:r w:rsidRPr="00B37697">
              <w:t xml:space="preserve">Pflanzengattungen/-arten mit Vereinbarungen </w:t>
            </w:r>
            <w:r>
              <w:t xml:space="preserve">zur </w:t>
            </w:r>
            <w:r w:rsidRPr="00B37697">
              <w:t>Zusammenarbeit, praktischer Erfahrung und Züchterrechtseinträgen in der Datenbank für Pflanzensorten</w:t>
            </w:r>
          </w:p>
        </w:tc>
      </w:tr>
      <w:tr w:rsidR="008134A5" w:rsidRPr="003F486D" w:rsidTr="008134A5">
        <w:tc>
          <w:tcPr>
            <w:tcW w:w="9855" w:type="dxa"/>
          </w:tcPr>
          <w:p w:rsidR="008134A5" w:rsidRPr="003F486D" w:rsidRDefault="008134A5" w:rsidP="008134A5">
            <w:pPr>
              <w:jc w:val="center"/>
              <w:rPr>
                <w:color w:val="000000" w:themeColor="text1"/>
              </w:rPr>
            </w:pPr>
            <w:r>
              <w:rPr>
                <w:noProof/>
                <w:lang w:val="en-US"/>
              </w:rPr>
              <w:drawing>
                <wp:inline distT="0" distB="0" distL="0" distR="0" wp14:anchorId="02E297F5" wp14:editId="49EC50CB">
                  <wp:extent cx="5753100" cy="4373880"/>
                  <wp:effectExtent l="0" t="0" r="0" b="762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3100" cy="4373880"/>
                          </a:xfrm>
                          <a:prstGeom prst="rect">
                            <a:avLst/>
                          </a:prstGeom>
                          <a:noFill/>
                          <a:ln>
                            <a:noFill/>
                          </a:ln>
                        </pic:spPr>
                      </pic:pic>
                    </a:graphicData>
                  </a:graphic>
                </wp:inline>
              </w:drawing>
            </w:r>
          </w:p>
        </w:tc>
      </w:tr>
    </w:tbl>
    <w:p w:rsidR="008134A5" w:rsidRPr="003F486D" w:rsidRDefault="008134A5" w:rsidP="008134A5">
      <w:pPr>
        <w:rPr>
          <w:color w:val="000000" w:themeColor="text1"/>
        </w:rPr>
      </w:pPr>
    </w:p>
    <w:p w:rsidR="008134A5" w:rsidRPr="003F486D" w:rsidRDefault="008134A5" w:rsidP="008134A5">
      <w:r>
        <w:t>1.13</w:t>
      </w:r>
      <w:r>
        <w:tab/>
        <w:t>Im</w:t>
      </w:r>
      <w:r w:rsidRPr="003F486D">
        <w:t xml:space="preserve"> </w:t>
      </w:r>
      <w:r>
        <w:t>Januar</w:t>
      </w:r>
      <w:r w:rsidRPr="003F486D">
        <w:t xml:space="preserve"> 2017 </w:t>
      </w:r>
      <w:r>
        <w:t>lancierte die UPOV</w:t>
      </w:r>
      <w:r w:rsidRPr="003F486D">
        <w:t xml:space="preserve"> </w:t>
      </w:r>
      <w:r>
        <w:t>das</w:t>
      </w:r>
      <w:r w:rsidRPr="003F486D">
        <w:t xml:space="preserve"> Elektronische Antragsformblatt,</w:t>
      </w:r>
      <w:r>
        <w:t xml:space="preserve"> ein</w:t>
      </w:r>
      <w:r w:rsidRPr="003F486D">
        <w:t xml:space="preserve"> </w:t>
      </w:r>
      <w:r w:rsidRPr="00D433E3">
        <w:t xml:space="preserve">Online-Instrument zur Einreichung von Anträgen auf Erteilung von Züchterrechten zum Übermitteln von Anmeldedaten an alle </w:t>
      </w:r>
      <w:proofErr w:type="spellStart"/>
      <w:r w:rsidRPr="00D433E3">
        <w:t>mitwirkenden</w:t>
      </w:r>
      <w:proofErr w:type="spellEnd"/>
      <w:r w:rsidRPr="00D433E3">
        <w:t xml:space="preserve"> Sortenämter im erforderlichen Format</w:t>
      </w:r>
      <w:r w:rsidRPr="003F486D">
        <w:t xml:space="preserve">. </w:t>
      </w:r>
      <w:r>
        <w:t xml:space="preserve">Bei der Lancierung </w:t>
      </w:r>
      <w:proofErr w:type="spellStart"/>
      <w:r>
        <w:t>erfaßte</w:t>
      </w:r>
      <w:proofErr w:type="spellEnd"/>
      <w:r w:rsidRPr="003F486D">
        <w:t xml:space="preserve"> </w:t>
      </w:r>
      <w:r>
        <w:t>das EAF 11 </w:t>
      </w:r>
      <w:r w:rsidRPr="003F486D">
        <w:t>Verbandsmitglieder</w:t>
      </w:r>
      <w:r>
        <w:t xml:space="preserve"> und fünf</w:t>
      </w:r>
      <w:r w:rsidRPr="003F486D">
        <w:t xml:space="preserve"> </w:t>
      </w:r>
      <w:r>
        <w:t>Pflanzen</w:t>
      </w:r>
      <w:r w:rsidRPr="003F486D">
        <w:t>/</w:t>
      </w:r>
      <w:r>
        <w:t>Arten</w:t>
      </w:r>
      <w:r w:rsidRPr="003F486D">
        <w:t xml:space="preserve">. </w:t>
      </w:r>
      <w:r>
        <w:t>Das künftige Ziel wird sein, die</w:t>
      </w:r>
      <w:r w:rsidRPr="003F486D">
        <w:t xml:space="preserve"> </w:t>
      </w:r>
      <w:r>
        <w:t>Erfassung</w:t>
      </w:r>
      <w:r w:rsidRPr="003F486D">
        <w:t xml:space="preserve"> </w:t>
      </w:r>
      <w:r>
        <w:t>auf</w:t>
      </w:r>
      <w:r w:rsidRPr="003F486D">
        <w:t xml:space="preserve"> all</w:t>
      </w:r>
      <w:r>
        <w:t>e</w:t>
      </w:r>
      <w:r w:rsidRPr="003F486D">
        <w:t xml:space="preserve"> Verbandsmitglieder</w:t>
      </w:r>
      <w:r>
        <w:t>, die mitwirken möchten, und auf</w:t>
      </w:r>
      <w:r w:rsidRPr="003F486D">
        <w:t xml:space="preserve"> all</w:t>
      </w:r>
      <w:r>
        <w:t>e</w:t>
      </w:r>
      <w:r w:rsidRPr="003F486D">
        <w:t xml:space="preserve"> </w:t>
      </w:r>
      <w:r>
        <w:t>Pflanzen</w:t>
      </w:r>
      <w:r w:rsidRPr="003F486D">
        <w:t>/</w:t>
      </w:r>
      <w:r>
        <w:t>Arten</w:t>
      </w:r>
      <w:r w:rsidRPr="00EF00ED">
        <w:t xml:space="preserve"> </w:t>
      </w:r>
      <w:r>
        <w:t>zu erweitern</w:t>
      </w:r>
      <w:r w:rsidRPr="003F486D">
        <w:t>.</w:t>
      </w:r>
      <w:r>
        <w:t xml:space="preserve"> </w:t>
      </w:r>
    </w:p>
    <w:p w:rsidR="008134A5" w:rsidRPr="003F486D" w:rsidRDefault="008134A5" w:rsidP="008134A5"/>
    <w:p w:rsidR="008134A5" w:rsidRPr="003F486D" w:rsidRDefault="008134A5" w:rsidP="008134A5">
      <w:pPr>
        <w:rPr>
          <w:color w:val="000000" w:themeColor="text1"/>
        </w:rPr>
      </w:pPr>
    </w:p>
    <w:p w:rsidR="008134A5" w:rsidRPr="003F486D" w:rsidRDefault="008134A5" w:rsidP="008134A5">
      <w:pPr>
        <w:pStyle w:val="Heading2"/>
        <w:rPr>
          <w:lang w:val="de-DE"/>
        </w:rPr>
      </w:pPr>
      <w:r>
        <w:rPr>
          <w:lang w:val="de-DE"/>
        </w:rPr>
        <w:t>Externe</w:t>
      </w:r>
      <w:r w:rsidRPr="003F486D">
        <w:rPr>
          <w:lang w:val="de-DE"/>
        </w:rPr>
        <w:t xml:space="preserve"> Entwicklungen</w:t>
      </w:r>
    </w:p>
    <w:p w:rsidR="008134A5" w:rsidRPr="003F486D" w:rsidRDefault="008134A5" w:rsidP="008134A5">
      <w:pPr>
        <w:jc w:val="left"/>
        <w:rPr>
          <w:snapToGrid w:val="0"/>
          <w:u w:val="single"/>
        </w:rPr>
      </w:pPr>
    </w:p>
    <w:p w:rsidR="008134A5" w:rsidRPr="003F486D" w:rsidRDefault="008134A5" w:rsidP="008134A5">
      <w:pPr>
        <w:rPr>
          <w:snapToGrid w:val="0"/>
        </w:rPr>
      </w:pPr>
      <w:r w:rsidRPr="003F486D">
        <w:rPr>
          <w:snapToGrid w:val="0"/>
        </w:rPr>
        <w:t>1.14</w:t>
      </w:r>
      <w:r w:rsidRPr="003F486D">
        <w:rPr>
          <w:snapToGrid w:val="0"/>
        </w:rPr>
        <w:tab/>
      </w:r>
      <w:r>
        <w:rPr>
          <w:snapToGrid w:val="0"/>
        </w:rPr>
        <w:t xml:space="preserve">Der Schwerpunkt der </w:t>
      </w:r>
      <w:r w:rsidRPr="003F486D">
        <w:rPr>
          <w:snapToGrid w:val="0"/>
        </w:rPr>
        <w:t xml:space="preserve">UPOV in </w:t>
      </w:r>
      <w:proofErr w:type="spellStart"/>
      <w:r w:rsidRPr="003F486D">
        <w:rPr>
          <w:snapToGrid w:val="0"/>
        </w:rPr>
        <w:t>bezug</w:t>
      </w:r>
      <w:proofErr w:type="spellEnd"/>
      <w:r w:rsidRPr="003F486D">
        <w:rPr>
          <w:snapToGrid w:val="0"/>
        </w:rPr>
        <w:t xml:space="preserve"> auf </w:t>
      </w:r>
      <w:r>
        <w:rPr>
          <w:snapToGrid w:val="0"/>
        </w:rPr>
        <w:t>externe</w:t>
      </w:r>
      <w:r w:rsidRPr="003F486D">
        <w:rPr>
          <w:snapToGrid w:val="0"/>
        </w:rPr>
        <w:t xml:space="preserve"> </w:t>
      </w:r>
      <w:r>
        <w:rPr>
          <w:snapToGrid w:val="0"/>
        </w:rPr>
        <w:t>Beziehungen</w:t>
      </w:r>
      <w:r w:rsidRPr="003F486D">
        <w:rPr>
          <w:snapToGrid w:val="0"/>
        </w:rPr>
        <w:t xml:space="preserve"> is</w:t>
      </w:r>
      <w:r>
        <w:rPr>
          <w:snapToGrid w:val="0"/>
        </w:rPr>
        <w:t>t</w:t>
      </w:r>
      <w:r w:rsidRPr="003F486D">
        <w:rPr>
          <w:snapToGrid w:val="0"/>
        </w:rPr>
        <w:t xml:space="preserve"> </w:t>
      </w:r>
      <w:r>
        <w:rPr>
          <w:snapToGrid w:val="0"/>
        </w:rPr>
        <w:t>die</w:t>
      </w:r>
      <w:r w:rsidRPr="003F486D">
        <w:rPr>
          <w:snapToGrid w:val="0"/>
        </w:rPr>
        <w:t xml:space="preserve"> </w:t>
      </w:r>
      <w:r w:rsidRPr="007127B3">
        <w:rPr>
          <w:snapToGrid w:val="0"/>
        </w:rPr>
        <w:t>Erweiterung und Vertiefung des Verständniss</w:t>
      </w:r>
      <w:r>
        <w:rPr>
          <w:snapToGrid w:val="0"/>
        </w:rPr>
        <w:t xml:space="preserve">es des UPOV-Sortenschutzsystems, sowie die </w:t>
      </w:r>
      <w:r w:rsidRPr="007127B3">
        <w:rPr>
          <w:snapToGrid w:val="0"/>
        </w:rPr>
        <w:t xml:space="preserve">Erteilung von Auskünften über das </w:t>
      </w:r>
      <w:r>
        <w:rPr>
          <w:snapToGrid w:val="0"/>
        </w:rPr>
        <w:t>UPOV</w:t>
      </w:r>
      <w:r>
        <w:rPr>
          <w:snapToGrid w:val="0"/>
        </w:rPr>
        <w:noBreakHyphen/>
      </w:r>
      <w:r w:rsidRPr="007127B3">
        <w:rPr>
          <w:snapToGrid w:val="0"/>
        </w:rPr>
        <w:t>Übereinkommen an andere zwischenstaatliche Organisationen mit dem Ziel der gegenseitigen Unterstützung mit anderen internationalen Verträgen.</w:t>
      </w:r>
    </w:p>
    <w:p w:rsidR="008134A5" w:rsidRPr="003F486D" w:rsidRDefault="008134A5" w:rsidP="008134A5">
      <w:pPr>
        <w:rPr>
          <w:snapToGrid w:val="0"/>
        </w:rPr>
      </w:pPr>
    </w:p>
    <w:p w:rsidR="008134A5" w:rsidRPr="003F486D" w:rsidRDefault="008134A5" w:rsidP="008134A5">
      <w:pPr>
        <w:rPr>
          <w:snapToGrid w:val="0"/>
        </w:rPr>
      </w:pPr>
      <w:r w:rsidRPr="003F486D">
        <w:rPr>
          <w:snapToGrid w:val="0"/>
        </w:rPr>
        <w:t>1.15</w:t>
      </w:r>
      <w:r w:rsidRPr="003F486D">
        <w:rPr>
          <w:snapToGrid w:val="0"/>
        </w:rPr>
        <w:tab/>
      </w:r>
      <w:r>
        <w:rPr>
          <w:snapToGrid w:val="0"/>
        </w:rPr>
        <w:t>Die</w:t>
      </w:r>
      <w:r w:rsidRPr="003F486D">
        <w:rPr>
          <w:snapToGrid w:val="0"/>
        </w:rPr>
        <w:t xml:space="preserve"> </w:t>
      </w:r>
      <w:r>
        <w:rPr>
          <w:snapToGrid w:val="0"/>
        </w:rPr>
        <w:t xml:space="preserve">Landschaft </w:t>
      </w:r>
      <w:r w:rsidRPr="003F486D">
        <w:rPr>
          <w:snapToGrid w:val="0"/>
        </w:rPr>
        <w:t>international</w:t>
      </w:r>
      <w:r>
        <w:rPr>
          <w:snapToGrid w:val="0"/>
        </w:rPr>
        <w:t>er</w:t>
      </w:r>
      <w:r w:rsidRPr="003F486D">
        <w:rPr>
          <w:snapToGrid w:val="0"/>
        </w:rPr>
        <w:t xml:space="preserve"> </w:t>
      </w:r>
      <w:r>
        <w:rPr>
          <w:snapToGrid w:val="0"/>
        </w:rPr>
        <w:t>Vertragswerke</w:t>
      </w:r>
      <w:r w:rsidRPr="003F486D">
        <w:rPr>
          <w:snapToGrid w:val="0"/>
        </w:rPr>
        <w:t xml:space="preserve"> </w:t>
      </w:r>
      <w:r>
        <w:rPr>
          <w:snapToGrid w:val="0"/>
        </w:rPr>
        <w:t xml:space="preserve">mit einem </w:t>
      </w:r>
      <w:proofErr w:type="spellStart"/>
      <w:r>
        <w:rPr>
          <w:snapToGrid w:val="0"/>
        </w:rPr>
        <w:t>Einfluß</w:t>
      </w:r>
      <w:proofErr w:type="spellEnd"/>
      <w:r>
        <w:rPr>
          <w:snapToGrid w:val="0"/>
        </w:rPr>
        <w:t xml:space="preserve"> auf Pflanzensorten</w:t>
      </w:r>
      <w:r w:rsidRPr="003F486D">
        <w:rPr>
          <w:snapToGrid w:val="0"/>
        </w:rPr>
        <w:t xml:space="preserve"> </w:t>
      </w:r>
      <w:r>
        <w:rPr>
          <w:snapToGrid w:val="0"/>
        </w:rPr>
        <w:t>ist in den letzten Jahren komplexer geworden</w:t>
      </w:r>
      <w:r w:rsidRPr="003F486D">
        <w:rPr>
          <w:snapToGrid w:val="0"/>
        </w:rPr>
        <w:t xml:space="preserve">. </w:t>
      </w:r>
      <w:r>
        <w:rPr>
          <w:snapToGrid w:val="0"/>
        </w:rPr>
        <w:t xml:space="preserve">Vor </w:t>
      </w:r>
      <w:r w:rsidRPr="003F486D">
        <w:rPr>
          <w:snapToGrid w:val="0"/>
        </w:rPr>
        <w:t>2000</w:t>
      </w:r>
      <w:r>
        <w:rPr>
          <w:snapToGrid w:val="0"/>
        </w:rPr>
        <w:t xml:space="preserve"> </w:t>
      </w:r>
      <w:proofErr w:type="spellStart"/>
      <w:r>
        <w:rPr>
          <w:snapToGrid w:val="0"/>
        </w:rPr>
        <w:t>umfaßten</w:t>
      </w:r>
      <w:proofErr w:type="spellEnd"/>
      <w:r>
        <w:rPr>
          <w:snapToGrid w:val="0"/>
        </w:rPr>
        <w:t xml:space="preserve"> maßgebliche</w:t>
      </w:r>
      <w:r w:rsidRPr="003F486D">
        <w:rPr>
          <w:snapToGrid w:val="0"/>
        </w:rPr>
        <w:t xml:space="preserve"> international</w:t>
      </w:r>
      <w:r>
        <w:rPr>
          <w:snapToGrid w:val="0"/>
        </w:rPr>
        <w:t>e</w:t>
      </w:r>
      <w:r w:rsidRPr="003F486D">
        <w:rPr>
          <w:snapToGrid w:val="0"/>
        </w:rPr>
        <w:t xml:space="preserve"> </w:t>
      </w:r>
      <w:r>
        <w:rPr>
          <w:snapToGrid w:val="0"/>
        </w:rPr>
        <w:t xml:space="preserve">Vertragswerke die </w:t>
      </w:r>
      <w:r w:rsidRPr="00CC7EA6">
        <w:rPr>
          <w:snapToGrid w:val="0"/>
        </w:rPr>
        <w:t>OECD</w:t>
      </w:r>
      <w:r w:rsidR="001A738B">
        <w:rPr>
          <w:snapToGrid w:val="0"/>
        </w:rPr>
        <w:t>(</w:t>
      </w:r>
      <w:r w:rsidR="001A738B" w:rsidRPr="001A738B">
        <w:rPr>
          <w:snapToGrid w:val="0"/>
        </w:rPr>
        <w:t>Organisation für wirtschaftliche Zusammenarbeit und Entwicklung</w:t>
      </w:r>
      <w:r w:rsidR="001A738B">
        <w:rPr>
          <w:snapToGrid w:val="0"/>
        </w:rPr>
        <w:t>)</w:t>
      </w:r>
      <w:r w:rsidRPr="00CC7EA6">
        <w:rPr>
          <w:snapToGrid w:val="0"/>
        </w:rPr>
        <w:t>-Systeme für Saatgutzertifizierung</w:t>
      </w:r>
      <w:r>
        <w:rPr>
          <w:snapToGrid w:val="0"/>
        </w:rPr>
        <w:t xml:space="preserve"> oder</w:t>
      </w:r>
      <w:r w:rsidRPr="00CC7EA6">
        <w:rPr>
          <w:snapToGrid w:val="0"/>
        </w:rPr>
        <w:t xml:space="preserve"> von in den internationalen Handel gebrachten Sorten (OECD-Saatgutsysteme)</w:t>
      </w:r>
      <w:r>
        <w:rPr>
          <w:snapToGrid w:val="0"/>
        </w:rPr>
        <w:t xml:space="preserve"> und das</w:t>
      </w:r>
      <w:r w:rsidRPr="003F486D">
        <w:rPr>
          <w:snapToGrid w:val="0"/>
        </w:rPr>
        <w:t xml:space="preserve"> </w:t>
      </w:r>
      <w:r>
        <w:rPr>
          <w:snapToGrid w:val="0"/>
        </w:rPr>
        <w:t>WTO-Übereinkommen</w:t>
      </w:r>
      <w:r w:rsidRPr="00CC7EA6">
        <w:rPr>
          <w:snapToGrid w:val="0"/>
        </w:rPr>
        <w:t xml:space="preserve"> über handelsbezogene Aspekte der Rechte des geistigen Eigentums </w:t>
      </w:r>
      <w:r w:rsidRPr="003F486D">
        <w:rPr>
          <w:snapToGrid w:val="0"/>
        </w:rPr>
        <w:t>(TRIPs).</w:t>
      </w:r>
      <w:r>
        <w:rPr>
          <w:snapToGrid w:val="0"/>
        </w:rPr>
        <w:t xml:space="preserve"> Seit</w:t>
      </w:r>
      <w:r w:rsidRPr="003F486D">
        <w:rPr>
          <w:snapToGrid w:val="0"/>
        </w:rPr>
        <w:t xml:space="preserve"> 2000</w:t>
      </w:r>
      <w:r>
        <w:rPr>
          <w:snapToGrid w:val="0"/>
        </w:rPr>
        <w:t xml:space="preserve"> wurden das </w:t>
      </w:r>
      <w:r w:rsidRPr="00CC7EA6">
        <w:rPr>
          <w:snapToGrid w:val="0"/>
        </w:rPr>
        <w:t xml:space="preserve">Protokoll von Cartagena über die Sicherheit der Biotechnologie des Übereinkommens über die biologische Vielfalt </w:t>
      </w:r>
      <w:r w:rsidRPr="003F486D">
        <w:rPr>
          <w:snapToGrid w:val="0"/>
        </w:rPr>
        <w:t xml:space="preserve">(CBD) (2000), </w:t>
      </w:r>
      <w:r>
        <w:rPr>
          <w:snapToGrid w:val="0"/>
        </w:rPr>
        <w:t>der</w:t>
      </w:r>
      <w:r w:rsidRPr="003F486D">
        <w:rPr>
          <w:snapToGrid w:val="0"/>
        </w:rPr>
        <w:t xml:space="preserve"> </w:t>
      </w:r>
      <w:r>
        <w:rPr>
          <w:snapToGrid w:val="0"/>
        </w:rPr>
        <w:t>Internationale Vertrag</w:t>
      </w:r>
      <w:r w:rsidRPr="00CC7EA6">
        <w:rPr>
          <w:snapToGrid w:val="0"/>
        </w:rPr>
        <w:t xml:space="preserve"> über pflanzengenetische Ressourcen für Ernährung und Landwirtschaft (ITPGRFA</w:t>
      </w:r>
      <w:r>
        <w:rPr>
          <w:snapToGrid w:val="0"/>
        </w:rPr>
        <w:t>)</w:t>
      </w:r>
      <w:r w:rsidRPr="00CC7EA6">
        <w:rPr>
          <w:snapToGrid w:val="0"/>
        </w:rPr>
        <w:t xml:space="preserve"> </w:t>
      </w:r>
      <w:r>
        <w:rPr>
          <w:snapToGrid w:val="0"/>
        </w:rPr>
        <w:t>der</w:t>
      </w:r>
      <w:r w:rsidRPr="003F486D">
        <w:rPr>
          <w:snapToGrid w:val="0"/>
        </w:rPr>
        <w:t xml:space="preserve"> </w:t>
      </w:r>
      <w:r w:rsidRPr="00CC7EA6">
        <w:rPr>
          <w:snapToGrid w:val="0"/>
        </w:rPr>
        <w:t>Ernährungs- und Landwirtschaftsorganisation der Vereinten Nationen</w:t>
      </w:r>
      <w:r>
        <w:rPr>
          <w:snapToGrid w:val="0"/>
        </w:rPr>
        <w:t xml:space="preserve"> (FAO)</w:t>
      </w:r>
      <w:r w:rsidRPr="003F486D">
        <w:rPr>
          <w:snapToGrid w:val="0"/>
        </w:rPr>
        <w:t xml:space="preserve"> (2001)</w:t>
      </w:r>
      <w:r>
        <w:rPr>
          <w:snapToGrid w:val="0"/>
        </w:rPr>
        <w:t xml:space="preserve"> und das</w:t>
      </w:r>
      <w:r w:rsidRPr="003F486D">
        <w:rPr>
          <w:snapToGrid w:val="0"/>
        </w:rPr>
        <w:t xml:space="preserve"> </w:t>
      </w:r>
      <w:r w:rsidRPr="00CC7EA6">
        <w:rPr>
          <w:snapToGrid w:val="0"/>
        </w:rPr>
        <w:t>Nagoya-Protokoll über den Zugang zu genetischen Ressourcen und die gerechte und ausgewogene Beteiligung an den Vorteilen aus ihrer Nutzung zum Übereinkommen über die biologische Vielfalt (Nagoya</w:t>
      </w:r>
      <w:r w:rsidRPr="00CC7EA6">
        <w:rPr>
          <w:rFonts w:ascii="Cambria Math" w:hAnsi="Cambria Math" w:cs="Cambria Math"/>
          <w:snapToGrid w:val="0"/>
        </w:rPr>
        <w:t>‑</w:t>
      </w:r>
      <w:r w:rsidRPr="00CC7EA6">
        <w:rPr>
          <w:snapToGrid w:val="0"/>
        </w:rPr>
        <w:t>Protokoll)</w:t>
      </w:r>
      <w:r w:rsidRPr="003F486D">
        <w:rPr>
          <w:snapToGrid w:val="0"/>
        </w:rPr>
        <w:t xml:space="preserve"> (2010)</w:t>
      </w:r>
      <w:r>
        <w:rPr>
          <w:snapToGrid w:val="0"/>
        </w:rPr>
        <w:t xml:space="preserve"> angenommen</w:t>
      </w:r>
      <w:r w:rsidRPr="003F486D">
        <w:rPr>
          <w:snapToGrid w:val="0"/>
        </w:rPr>
        <w:t>. Entwicklungen in</w:t>
      </w:r>
      <w:r>
        <w:rPr>
          <w:snapToGrid w:val="0"/>
        </w:rPr>
        <w:t xml:space="preserve"> den</w:t>
      </w:r>
      <w:r w:rsidRPr="003F486D">
        <w:rPr>
          <w:snapToGrid w:val="0"/>
        </w:rPr>
        <w:t xml:space="preserve"> </w:t>
      </w:r>
      <w:r>
        <w:rPr>
          <w:snapToGrid w:val="0"/>
        </w:rPr>
        <w:t>Verfahren der Pflanzenzucht</w:t>
      </w:r>
      <w:r w:rsidRPr="003F486D">
        <w:rPr>
          <w:snapToGrid w:val="0"/>
        </w:rPr>
        <w:t xml:space="preserve"> </w:t>
      </w:r>
      <w:r>
        <w:rPr>
          <w:snapToGrid w:val="0"/>
        </w:rPr>
        <w:t xml:space="preserve">haben </w:t>
      </w:r>
      <w:r w:rsidRPr="003F486D">
        <w:rPr>
          <w:snapToGrid w:val="0"/>
        </w:rPr>
        <w:t xml:space="preserve">auch </w:t>
      </w:r>
      <w:r>
        <w:rPr>
          <w:snapToGrid w:val="0"/>
        </w:rPr>
        <w:t xml:space="preserve">zu einer größeren Bedeutung von </w:t>
      </w:r>
      <w:r w:rsidRPr="003F486D">
        <w:rPr>
          <w:snapToGrid w:val="0"/>
        </w:rPr>
        <w:t>TRIP</w:t>
      </w:r>
      <w:r>
        <w:rPr>
          <w:snapToGrid w:val="0"/>
        </w:rPr>
        <w:t>s und zu einem zunehmenden Interesse an</w:t>
      </w:r>
      <w:r w:rsidRPr="003F486D">
        <w:rPr>
          <w:snapToGrid w:val="0"/>
        </w:rPr>
        <w:t xml:space="preserve"> </w:t>
      </w:r>
      <w:r>
        <w:rPr>
          <w:snapToGrid w:val="0"/>
        </w:rPr>
        <w:t>Patenten</w:t>
      </w:r>
      <w:r w:rsidRPr="003F486D">
        <w:rPr>
          <w:snapToGrid w:val="0"/>
        </w:rPr>
        <w:t xml:space="preserve"> </w:t>
      </w:r>
      <w:r>
        <w:rPr>
          <w:snapToGrid w:val="0"/>
        </w:rPr>
        <w:t>der Züchter</w:t>
      </w:r>
      <w:r w:rsidRPr="0003186B">
        <w:rPr>
          <w:snapToGrid w:val="0"/>
        </w:rPr>
        <w:t xml:space="preserve"> </w:t>
      </w:r>
      <w:r>
        <w:rPr>
          <w:snapToGrid w:val="0"/>
        </w:rPr>
        <w:t>geführt</w:t>
      </w:r>
      <w:r w:rsidRPr="003F486D">
        <w:rPr>
          <w:snapToGrid w:val="0"/>
        </w:rPr>
        <w:t xml:space="preserve">. </w:t>
      </w:r>
      <w:r>
        <w:rPr>
          <w:snapToGrid w:val="0"/>
        </w:rPr>
        <w:t xml:space="preserve">In Kombination mit der Notwendigkeit, </w:t>
      </w:r>
      <w:proofErr w:type="spellStart"/>
      <w:r>
        <w:rPr>
          <w:snapToGrid w:val="0"/>
        </w:rPr>
        <w:t>daß</w:t>
      </w:r>
      <w:proofErr w:type="spellEnd"/>
      <w:r>
        <w:rPr>
          <w:snapToGrid w:val="0"/>
        </w:rPr>
        <w:t xml:space="preserve"> die Regierungen</w:t>
      </w:r>
      <w:r w:rsidRPr="003F486D">
        <w:rPr>
          <w:snapToGrid w:val="0"/>
        </w:rPr>
        <w:t xml:space="preserve"> ITPGRFA</w:t>
      </w:r>
      <w:r>
        <w:rPr>
          <w:snapToGrid w:val="0"/>
        </w:rPr>
        <w:t xml:space="preserve"> und das </w:t>
      </w:r>
      <w:r w:rsidRPr="00CC7EA6">
        <w:rPr>
          <w:snapToGrid w:val="0"/>
        </w:rPr>
        <w:t>Nagoya-Protokoll</w:t>
      </w:r>
      <w:r>
        <w:rPr>
          <w:snapToGrid w:val="0"/>
        </w:rPr>
        <w:t xml:space="preserve"> umsetzen, haben diese</w:t>
      </w:r>
      <w:r w:rsidRPr="003F486D">
        <w:rPr>
          <w:snapToGrid w:val="0"/>
        </w:rPr>
        <w:t xml:space="preserve"> Entwicklungen</w:t>
      </w:r>
      <w:r>
        <w:rPr>
          <w:snapToGrid w:val="0"/>
        </w:rPr>
        <w:t xml:space="preserve"> den Bedarf an der </w:t>
      </w:r>
      <w:r w:rsidRPr="00E43902">
        <w:rPr>
          <w:snapToGrid w:val="0"/>
        </w:rPr>
        <w:t xml:space="preserve">Erteilung von Auskünften über das UPOV-Übereinkommen an andere zwischenstaatliche Organisationen </w:t>
      </w:r>
      <w:r>
        <w:rPr>
          <w:snapToGrid w:val="0"/>
        </w:rPr>
        <w:t>durch die</w:t>
      </w:r>
      <w:r w:rsidRPr="003F486D">
        <w:rPr>
          <w:snapToGrid w:val="0"/>
        </w:rPr>
        <w:t xml:space="preserve"> UPOV</w:t>
      </w:r>
      <w:r w:rsidRPr="0003186B">
        <w:rPr>
          <w:snapToGrid w:val="0"/>
        </w:rPr>
        <w:t xml:space="preserve"> </w:t>
      </w:r>
      <w:r w:rsidRPr="00E43902">
        <w:rPr>
          <w:snapToGrid w:val="0"/>
        </w:rPr>
        <w:t>mit dem Ziel der gegenseitigen Unterstützung mit anderen internationalen Verträgen</w:t>
      </w:r>
      <w:r>
        <w:rPr>
          <w:snapToGrid w:val="0"/>
        </w:rPr>
        <w:t xml:space="preserve"> hervorgehoben</w:t>
      </w:r>
      <w:r w:rsidRPr="003F486D">
        <w:rPr>
          <w:snapToGrid w:val="0"/>
        </w:rPr>
        <w:t xml:space="preserve">. </w:t>
      </w:r>
    </w:p>
    <w:p w:rsidR="008134A5" w:rsidRPr="003F486D" w:rsidRDefault="008134A5" w:rsidP="008134A5">
      <w:pPr>
        <w:jc w:val="left"/>
        <w:rPr>
          <w:snapToGrid w:val="0"/>
        </w:rPr>
      </w:pPr>
    </w:p>
    <w:p w:rsidR="008134A5" w:rsidRPr="003F486D" w:rsidRDefault="008134A5" w:rsidP="008134A5">
      <w:pPr>
        <w:rPr>
          <w:snapToGrid w:val="0"/>
        </w:rPr>
      </w:pPr>
      <w:r w:rsidRPr="003F486D">
        <w:rPr>
          <w:snapToGrid w:val="0"/>
        </w:rPr>
        <w:t>1.16</w:t>
      </w:r>
      <w:r w:rsidRPr="003F486D">
        <w:rPr>
          <w:snapToGrid w:val="0"/>
        </w:rPr>
        <w:tab/>
      </w:r>
      <w:r>
        <w:rPr>
          <w:snapToGrid w:val="0"/>
        </w:rPr>
        <w:t>Die Notwendigkeit einer gegenseitigen</w:t>
      </w:r>
      <w:r w:rsidRPr="003F486D">
        <w:rPr>
          <w:snapToGrid w:val="0"/>
        </w:rPr>
        <w:t xml:space="preserve"> </w:t>
      </w:r>
      <w:r>
        <w:rPr>
          <w:snapToGrid w:val="0"/>
        </w:rPr>
        <w:t>Unterstützung</w:t>
      </w:r>
      <w:r w:rsidRPr="003F486D">
        <w:rPr>
          <w:snapToGrid w:val="0"/>
        </w:rPr>
        <w:t xml:space="preserve"> </w:t>
      </w:r>
      <w:r>
        <w:rPr>
          <w:snapToGrid w:val="0"/>
        </w:rPr>
        <w:t>wurde auf dem</w:t>
      </w:r>
      <w:r w:rsidRPr="003F486D">
        <w:rPr>
          <w:snapToGrid w:val="0"/>
        </w:rPr>
        <w:t xml:space="preserve"> „</w:t>
      </w:r>
      <w:r w:rsidRPr="003D038D">
        <w:rPr>
          <w:snapToGrid w:val="0"/>
        </w:rPr>
        <w:t>Symposium über mögliche wechselseitige Beziehungen zwischen dem ITPGRFA und dem UPOV-Übereinkommen</w:t>
      </w:r>
      <w:r w:rsidRPr="003F486D">
        <w:rPr>
          <w:snapToGrid w:val="0"/>
        </w:rPr>
        <w:t>“</w:t>
      </w:r>
      <w:r w:rsidRPr="0003186B">
        <w:rPr>
          <w:snapToGrid w:val="0"/>
        </w:rPr>
        <w:t xml:space="preserve"> </w:t>
      </w:r>
      <w:r>
        <w:rPr>
          <w:snapToGrid w:val="0"/>
        </w:rPr>
        <w:t>bestätigt</w:t>
      </w:r>
      <w:r w:rsidRPr="003F486D">
        <w:rPr>
          <w:snapToGrid w:val="0"/>
        </w:rPr>
        <w:t xml:space="preserve">, </w:t>
      </w:r>
      <w:r w:rsidRPr="003D038D">
        <w:rPr>
          <w:snapToGrid w:val="0"/>
        </w:rPr>
        <w:t>das am 26.</w:t>
      </w:r>
      <w:r>
        <w:rPr>
          <w:snapToGrid w:val="0"/>
        </w:rPr>
        <w:t xml:space="preserve"> </w:t>
      </w:r>
      <w:r w:rsidRPr="003D038D">
        <w:rPr>
          <w:snapToGrid w:val="0"/>
        </w:rPr>
        <w:t>Oktober 2016 am UPOV-Hauptsitz in Genf abgehalten wurde</w:t>
      </w:r>
      <w:r w:rsidRPr="003F486D">
        <w:rPr>
          <w:snapToGrid w:val="0"/>
        </w:rPr>
        <w:t>,</w:t>
      </w:r>
      <w:r>
        <w:rPr>
          <w:snapToGrid w:val="0"/>
        </w:rPr>
        <w:t xml:space="preserve"> auf dem die Co-Moderatoren: Herr </w:t>
      </w:r>
      <w:r w:rsidRPr="003D038D">
        <w:rPr>
          <w:snapToGrid w:val="0"/>
        </w:rPr>
        <w:t xml:space="preserve">Muhamad </w:t>
      </w:r>
      <w:proofErr w:type="spellStart"/>
      <w:r w:rsidRPr="003D038D">
        <w:rPr>
          <w:snapToGrid w:val="0"/>
        </w:rPr>
        <w:t>Sabran</w:t>
      </w:r>
      <w:proofErr w:type="spellEnd"/>
      <w:r w:rsidRPr="003D038D">
        <w:rPr>
          <w:snapToGrid w:val="0"/>
        </w:rPr>
        <w:t>, Vorsitzender der Siebten Tagung des Verw</w:t>
      </w:r>
      <w:r>
        <w:rPr>
          <w:snapToGrid w:val="0"/>
        </w:rPr>
        <w:t>altungsrates, ITPGRFA, und Herr </w:t>
      </w:r>
      <w:r w:rsidRPr="003D038D">
        <w:rPr>
          <w:snapToGrid w:val="0"/>
        </w:rPr>
        <w:t xml:space="preserve">Raimundo Lavignolle, Vizepräsident des Rates der UPOV, </w:t>
      </w:r>
      <w:r>
        <w:rPr>
          <w:snapToGrid w:val="0"/>
        </w:rPr>
        <w:t>i</w:t>
      </w:r>
      <w:r w:rsidRPr="003D038D">
        <w:rPr>
          <w:snapToGrid w:val="0"/>
        </w:rPr>
        <w:t xml:space="preserve">n ihren </w:t>
      </w:r>
      <w:proofErr w:type="spellStart"/>
      <w:r w:rsidRPr="003D038D">
        <w:rPr>
          <w:snapToGrid w:val="0"/>
        </w:rPr>
        <w:t>Schlußworten</w:t>
      </w:r>
      <w:proofErr w:type="spellEnd"/>
      <w:r w:rsidRPr="003D038D">
        <w:rPr>
          <w:snapToGrid w:val="0"/>
        </w:rPr>
        <w:t xml:space="preserve"> folgenden </w:t>
      </w:r>
      <w:proofErr w:type="spellStart"/>
      <w:r w:rsidRPr="003D038D">
        <w:rPr>
          <w:snapToGrid w:val="0"/>
        </w:rPr>
        <w:t>Schluß</w:t>
      </w:r>
      <w:proofErr w:type="spellEnd"/>
      <w:r w:rsidRPr="003D038D">
        <w:rPr>
          <w:snapToGrid w:val="0"/>
        </w:rPr>
        <w:t xml:space="preserve"> gezogen</w:t>
      </w:r>
      <w:r w:rsidRPr="0003186B">
        <w:rPr>
          <w:snapToGrid w:val="0"/>
        </w:rPr>
        <w:t xml:space="preserve"> </w:t>
      </w:r>
      <w:r w:rsidRPr="003D038D">
        <w:rPr>
          <w:snapToGrid w:val="0"/>
        </w:rPr>
        <w:t xml:space="preserve">hatten </w:t>
      </w:r>
      <w:r w:rsidRPr="003F486D">
        <w:rPr>
          <w:snapToGrid w:val="0"/>
        </w:rPr>
        <w:t xml:space="preserve">„[…] </w:t>
      </w:r>
      <w:r w:rsidRPr="003D038D">
        <w:rPr>
          <w:snapToGrid w:val="0"/>
        </w:rPr>
        <w:t>Es ist wichtig, beide Verträge auf eine gegenseitig unterstützende Art und Weise im Kontext jeder Vertragspartei auszulegen und umzusetzen</w:t>
      </w:r>
      <w:r w:rsidRPr="003F486D">
        <w:rPr>
          <w:snapToGrid w:val="0"/>
        </w:rPr>
        <w:t>“.</w:t>
      </w:r>
      <w:r>
        <w:rPr>
          <w:snapToGrid w:val="0"/>
        </w:rPr>
        <w:t xml:space="preserve"> Abbildung</w:t>
      </w:r>
      <w:r w:rsidRPr="003F486D">
        <w:rPr>
          <w:snapToGrid w:val="0"/>
        </w:rPr>
        <w:t xml:space="preserve"> 9 </w:t>
      </w:r>
      <w:r>
        <w:rPr>
          <w:snapToGrid w:val="0"/>
        </w:rPr>
        <w:t xml:space="preserve">zeigt, </w:t>
      </w:r>
      <w:proofErr w:type="spellStart"/>
      <w:r>
        <w:rPr>
          <w:snapToGrid w:val="0"/>
        </w:rPr>
        <w:t>daß</w:t>
      </w:r>
      <w:proofErr w:type="spellEnd"/>
      <w:r w:rsidRPr="003F486D">
        <w:rPr>
          <w:snapToGrid w:val="0"/>
        </w:rPr>
        <w:t xml:space="preserve"> </w:t>
      </w:r>
      <w:r>
        <w:rPr>
          <w:snapToGrid w:val="0"/>
        </w:rPr>
        <w:t>sich viele</w:t>
      </w:r>
      <w:r w:rsidRPr="003F486D">
        <w:rPr>
          <w:snapToGrid w:val="0"/>
        </w:rPr>
        <w:t xml:space="preserve"> Staaten</w:t>
      </w:r>
      <w:r>
        <w:rPr>
          <w:snapToGrid w:val="0"/>
        </w:rPr>
        <w:t xml:space="preserve"> und </w:t>
      </w:r>
      <w:r w:rsidRPr="003F486D">
        <w:rPr>
          <w:snapToGrid w:val="0"/>
        </w:rPr>
        <w:t xml:space="preserve">Organisationen </w:t>
      </w:r>
      <w:r>
        <w:rPr>
          <w:snapToGrid w:val="0"/>
        </w:rPr>
        <w:t>an das UPOV-Übereinkommen</w:t>
      </w:r>
      <w:r w:rsidRPr="003F486D">
        <w:rPr>
          <w:snapToGrid w:val="0"/>
        </w:rPr>
        <w:t xml:space="preserve">, </w:t>
      </w:r>
      <w:r>
        <w:rPr>
          <w:snapToGrid w:val="0"/>
        </w:rPr>
        <w:t xml:space="preserve">den </w:t>
      </w:r>
      <w:r w:rsidRPr="003F486D">
        <w:rPr>
          <w:snapToGrid w:val="0"/>
        </w:rPr>
        <w:t xml:space="preserve">ITPGRFA </w:t>
      </w:r>
      <w:r>
        <w:rPr>
          <w:snapToGrid w:val="0"/>
        </w:rPr>
        <w:t>und/oder das</w:t>
      </w:r>
      <w:r w:rsidRPr="003F486D">
        <w:rPr>
          <w:snapToGrid w:val="0"/>
        </w:rPr>
        <w:t xml:space="preserve"> </w:t>
      </w:r>
      <w:r>
        <w:rPr>
          <w:snapToGrid w:val="0"/>
        </w:rPr>
        <w:t>Nagoya-Protokoll halten</w:t>
      </w:r>
      <w:r w:rsidRPr="003F486D">
        <w:rPr>
          <w:snapToGrid w:val="0"/>
        </w:rPr>
        <w:t>.</w:t>
      </w:r>
      <w:r>
        <w:rPr>
          <w:snapToGrid w:val="0"/>
        </w:rPr>
        <w:t xml:space="preserve"> Diese</w:t>
      </w:r>
      <w:r w:rsidRPr="003F486D">
        <w:rPr>
          <w:snapToGrid w:val="0"/>
        </w:rPr>
        <w:t xml:space="preserve"> Entwicklungen </w:t>
      </w:r>
      <w:r>
        <w:rPr>
          <w:snapToGrid w:val="0"/>
        </w:rPr>
        <w:t>bestätigen</w:t>
      </w:r>
      <w:r w:rsidRPr="003F486D">
        <w:rPr>
          <w:snapToGrid w:val="0"/>
        </w:rPr>
        <w:t xml:space="preserve"> </w:t>
      </w:r>
      <w:r>
        <w:rPr>
          <w:snapToGrid w:val="0"/>
        </w:rPr>
        <w:t>den Bedarf</w:t>
      </w:r>
      <w:r w:rsidRPr="003F486D">
        <w:rPr>
          <w:snapToGrid w:val="0"/>
        </w:rPr>
        <w:t xml:space="preserve"> </w:t>
      </w:r>
      <w:r>
        <w:rPr>
          <w:snapToGrid w:val="0"/>
        </w:rPr>
        <w:t xml:space="preserve">an der </w:t>
      </w:r>
      <w:r w:rsidRPr="00245BBD">
        <w:rPr>
          <w:snapToGrid w:val="0"/>
        </w:rPr>
        <w:t>Erteilung von Auskünften über das UPOV-Übereinkommen an andere zwischenstaatliche Organisationen mit dem Ziel der gegenseitigen Unterstützung mit anderen internationalen Verträgen</w:t>
      </w:r>
      <w:r w:rsidRPr="003F486D">
        <w:rPr>
          <w:snapToGrid w:val="0"/>
        </w:rPr>
        <w:t>.</w:t>
      </w:r>
    </w:p>
    <w:p w:rsidR="00EF2467" w:rsidRDefault="00EF2467" w:rsidP="00EF2467">
      <w:pPr>
        <w:jc w:val="left"/>
        <w:rPr>
          <w:snapToGrid w:val="0"/>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47"/>
      </w:tblGrid>
      <w:tr w:rsidR="00EF2467" w:rsidRPr="005F5BB0" w:rsidTr="000D4CCD">
        <w:tc>
          <w:tcPr>
            <w:tcW w:w="9747" w:type="dxa"/>
          </w:tcPr>
          <w:p w:rsidR="00EF2467" w:rsidRPr="0056174B" w:rsidRDefault="00EF2467" w:rsidP="00EF2467">
            <w:pPr>
              <w:pStyle w:val="figures"/>
            </w:pPr>
            <w:r>
              <w:t>Abbildung 9: Durch das UPOV-Übereinkommen, den ITPGRFA und/der das Nagoya</w:t>
            </w:r>
            <w:r>
              <w:rPr>
                <w:rFonts w:ascii="MS Gothic" w:eastAsia="MS Gothic" w:hAnsi="MS Gothic" w:cs="MS Gothic" w:hint="eastAsia"/>
              </w:rPr>
              <w:t>‑</w:t>
            </w:r>
            <w:r>
              <w:t>Protokoll</w:t>
            </w:r>
            <w:r>
              <w:br/>
              <w:t>gebundene Staaten und Organisationen zum 14. März 2017</w:t>
            </w:r>
          </w:p>
        </w:tc>
      </w:tr>
      <w:tr w:rsidR="00EF2467" w:rsidRPr="005F5BB0" w:rsidTr="000D4CCD">
        <w:tc>
          <w:tcPr>
            <w:tcW w:w="9747" w:type="dxa"/>
          </w:tcPr>
          <w:p w:rsidR="00EF2467" w:rsidRDefault="00EF2467" w:rsidP="000D4CCD">
            <w:pPr>
              <w:keepNext/>
              <w:jc w:val="left"/>
              <w:rPr>
                <w:noProof/>
              </w:rPr>
            </w:pPr>
            <w:r w:rsidRPr="007B15E1">
              <w:rPr>
                <w:noProof/>
                <w:lang w:val="en-US"/>
              </w:rPr>
              <w:drawing>
                <wp:inline distT="0" distB="0" distL="0" distR="0" wp14:anchorId="53E5D197" wp14:editId="32A65F74">
                  <wp:extent cx="6076950" cy="3079375"/>
                  <wp:effectExtent l="0" t="0" r="0" b="6985"/>
                  <wp:docPr id="6" name="Picture 2" descr="N:\OrgUPOV\Shared\Present-speeches\_Model Presentations &amp;Speeches\maps\upov_itpgrfa_nagoya_7_colours_2017_02_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N:\OrgUPOV\Shared\Present-speeches\_Model Presentations &amp;Speeches\maps\upov_itpgrfa_nagoya_7_colours_2017_02_03.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00048" cy="3091080"/>
                          </a:xfrm>
                          <a:prstGeom prst="rect">
                            <a:avLst/>
                          </a:prstGeom>
                          <a:noFill/>
                          <a:extLst/>
                        </pic:spPr>
                      </pic:pic>
                    </a:graphicData>
                  </a:graphic>
                </wp:inline>
              </w:drawing>
            </w:r>
          </w:p>
        </w:tc>
      </w:tr>
      <w:tr w:rsidR="00EF2467" w:rsidRPr="005F5BB0" w:rsidTr="000D4CCD">
        <w:tc>
          <w:tcPr>
            <w:tcW w:w="9747" w:type="dxa"/>
          </w:tcPr>
          <w:p w:rsidR="00EF2467" w:rsidRPr="007B15E1" w:rsidRDefault="007D11E5" w:rsidP="000D4CCD">
            <w:pPr>
              <w:keepNext/>
              <w:rPr>
                <w:i/>
                <w:sz w:val="14"/>
              </w:rPr>
            </w:pPr>
            <w:r>
              <w:rPr>
                <w:i/>
                <w:sz w:val="14"/>
              </w:rPr>
              <w:t xml:space="preserve">Die auf dieser Karte angezeigten Grenzverläufe sind keinesfalls Ausdruck irgendeiner Meinung seitens der UPOV in </w:t>
            </w:r>
            <w:proofErr w:type="spellStart"/>
            <w:r>
              <w:rPr>
                <w:i/>
                <w:sz w:val="14"/>
              </w:rPr>
              <w:t>bezug</w:t>
            </w:r>
            <w:proofErr w:type="spellEnd"/>
            <w:r>
              <w:rPr>
                <w:i/>
                <w:sz w:val="14"/>
              </w:rPr>
              <w:t xml:space="preserve"> auf den rechtlichen Status eines Landes oder Hoheitsgebietes.</w:t>
            </w:r>
          </w:p>
        </w:tc>
      </w:tr>
      <w:tr w:rsidR="007D11E5" w:rsidRPr="005F5BB0" w:rsidTr="000D4CCD">
        <w:tc>
          <w:tcPr>
            <w:tcW w:w="9747" w:type="dxa"/>
          </w:tcPr>
          <w:p w:rsidR="007D11E5" w:rsidRDefault="007D11E5" w:rsidP="000D4CCD">
            <w:pPr>
              <w:spacing w:before="40"/>
              <w:jc w:val="center"/>
              <w:rPr>
                <w:noProof/>
                <w:color w:val="000000" w:themeColor="text1"/>
              </w:rPr>
            </w:pPr>
            <w:r>
              <w:rPr>
                <w:noProof/>
                <w:lang w:val="en-US"/>
              </w:rPr>
              <w:drawing>
                <wp:inline distT="0" distB="0" distL="0" distR="0" wp14:anchorId="140B0A6E" wp14:editId="069BED17">
                  <wp:extent cx="6045959" cy="721907"/>
                  <wp:effectExtent l="0" t="0" r="0" b="254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9">
                            <a:extLst>
                              <a:ext uri="{28A0092B-C50C-407E-A947-70E740481C1C}">
                                <a14:useLocalDpi xmlns:a14="http://schemas.microsoft.com/office/drawing/2010/main" val="0"/>
                              </a:ext>
                            </a:extLst>
                          </a:blip>
                          <a:srcRect t="84150" r="16595"/>
                          <a:stretch/>
                        </pic:blipFill>
                        <pic:spPr bwMode="auto">
                          <a:xfrm>
                            <a:off x="0" y="0"/>
                            <a:ext cx="6095392" cy="727809"/>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EF2467" w:rsidRDefault="00EF2467" w:rsidP="00EF2467">
      <w:pPr>
        <w:jc w:val="left"/>
        <w:rPr>
          <w:snapToGrid w:val="0"/>
        </w:rPr>
      </w:pPr>
    </w:p>
    <w:p w:rsidR="008134A5" w:rsidRPr="003F486D" w:rsidRDefault="008134A5" w:rsidP="008134A5">
      <w:pPr>
        <w:jc w:val="left"/>
        <w:rPr>
          <w:snapToGrid w:val="0"/>
        </w:rPr>
      </w:pPr>
    </w:p>
    <w:p w:rsidR="003B442C" w:rsidRPr="003F486D" w:rsidRDefault="008134A5" w:rsidP="003B442C">
      <w:pPr>
        <w:rPr>
          <w:snapToGrid w:val="0"/>
        </w:rPr>
      </w:pPr>
      <w:r w:rsidRPr="003F486D">
        <w:rPr>
          <w:snapToGrid w:val="0"/>
        </w:rPr>
        <w:t>1.17</w:t>
      </w:r>
      <w:r w:rsidRPr="003F486D">
        <w:rPr>
          <w:snapToGrid w:val="0"/>
        </w:rPr>
        <w:tab/>
      </w:r>
      <w:r>
        <w:rPr>
          <w:snapToGrid w:val="0"/>
        </w:rPr>
        <w:t>Die Kommunikation</w:t>
      </w:r>
      <w:r w:rsidRPr="003F486D">
        <w:rPr>
          <w:snapToGrid w:val="0"/>
        </w:rPr>
        <w:t xml:space="preserve"> </w:t>
      </w:r>
      <w:r>
        <w:rPr>
          <w:snapToGrid w:val="0"/>
        </w:rPr>
        <w:t>zwischen</w:t>
      </w:r>
      <w:r w:rsidRPr="003F486D">
        <w:rPr>
          <w:snapToGrid w:val="0"/>
        </w:rPr>
        <w:t xml:space="preserve"> </w:t>
      </w:r>
      <w:r>
        <w:rPr>
          <w:snapToGrid w:val="0"/>
        </w:rPr>
        <w:t xml:space="preserve">der </w:t>
      </w:r>
      <w:r w:rsidRPr="003F486D">
        <w:rPr>
          <w:snapToGrid w:val="0"/>
        </w:rPr>
        <w:t>UPOV</w:t>
      </w:r>
      <w:r>
        <w:rPr>
          <w:snapToGrid w:val="0"/>
        </w:rPr>
        <w:t xml:space="preserve"> und </w:t>
      </w:r>
      <w:r w:rsidRPr="003F486D">
        <w:rPr>
          <w:snapToGrid w:val="0"/>
        </w:rPr>
        <w:t>sonstige</w:t>
      </w:r>
      <w:r>
        <w:rPr>
          <w:snapToGrid w:val="0"/>
        </w:rPr>
        <w:t>n</w:t>
      </w:r>
      <w:r w:rsidRPr="003F486D">
        <w:rPr>
          <w:snapToGrid w:val="0"/>
        </w:rPr>
        <w:t xml:space="preserve"> </w:t>
      </w:r>
      <w:r>
        <w:rPr>
          <w:snapToGrid w:val="0"/>
        </w:rPr>
        <w:t>maßgeblichen</w:t>
      </w:r>
      <w:r w:rsidRPr="003F486D">
        <w:rPr>
          <w:snapToGrid w:val="0"/>
        </w:rPr>
        <w:t xml:space="preserve"> </w:t>
      </w:r>
      <w:r>
        <w:rPr>
          <w:snapToGrid w:val="0"/>
        </w:rPr>
        <w:t>zwischenstaatlichen Organisationen</w:t>
      </w:r>
      <w:r w:rsidRPr="003F486D">
        <w:rPr>
          <w:snapToGrid w:val="0"/>
        </w:rPr>
        <w:t xml:space="preserve"> </w:t>
      </w:r>
      <w:r>
        <w:rPr>
          <w:snapToGrid w:val="0"/>
        </w:rPr>
        <w:t>wird eine wichtige Rolle für das Erreichen einer</w:t>
      </w:r>
      <w:r w:rsidRPr="003F486D">
        <w:rPr>
          <w:snapToGrid w:val="0"/>
        </w:rPr>
        <w:t xml:space="preserve"> </w:t>
      </w:r>
      <w:r>
        <w:rPr>
          <w:snapToGrid w:val="0"/>
        </w:rPr>
        <w:t>gegenseitigen</w:t>
      </w:r>
      <w:r w:rsidRPr="003F486D">
        <w:rPr>
          <w:snapToGrid w:val="0"/>
        </w:rPr>
        <w:t xml:space="preserve"> </w:t>
      </w:r>
      <w:r>
        <w:rPr>
          <w:snapToGrid w:val="0"/>
        </w:rPr>
        <w:t>Unterstützung</w:t>
      </w:r>
      <w:r w:rsidRPr="0003186B">
        <w:rPr>
          <w:snapToGrid w:val="0"/>
        </w:rPr>
        <w:t xml:space="preserve"> </w:t>
      </w:r>
      <w:r>
        <w:rPr>
          <w:snapToGrid w:val="0"/>
        </w:rPr>
        <w:t>spielen.</w:t>
      </w:r>
      <w:r w:rsidRPr="003F486D">
        <w:rPr>
          <w:snapToGrid w:val="0"/>
        </w:rPr>
        <w:t xml:space="preserve"> </w:t>
      </w:r>
      <w:r w:rsidR="003B442C">
        <w:rPr>
          <w:snapToGrid w:val="0"/>
        </w:rPr>
        <w:t>Im Mai 2017</w:t>
      </w:r>
      <w:r w:rsidR="003B442C" w:rsidRPr="0003186B">
        <w:rPr>
          <w:snapToGrid w:val="0"/>
        </w:rPr>
        <w:t xml:space="preserve"> </w:t>
      </w:r>
      <w:r w:rsidR="003B442C">
        <w:rPr>
          <w:snapToGrid w:val="0"/>
        </w:rPr>
        <w:t>haben</w:t>
      </w:r>
      <w:r w:rsidR="003B442C" w:rsidRPr="003F486D">
        <w:rPr>
          <w:snapToGrid w:val="0"/>
        </w:rPr>
        <w:t xml:space="preserve"> OECD, UPOV, ISTA</w:t>
      </w:r>
      <w:r w:rsidR="003B442C">
        <w:rPr>
          <w:snapToGrid w:val="0"/>
        </w:rPr>
        <w:t xml:space="preserve"> (</w:t>
      </w:r>
      <w:r w:rsidR="003B442C" w:rsidRPr="001A738B">
        <w:rPr>
          <w:snapToGrid w:val="0"/>
        </w:rPr>
        <w:t>Internationale Vereinigung für Saatgutprüfung</w:t>
      </w:r>
      <w:r w:rsidR="003B442C">
        <w:rPr>
          <w:snapToGrid w:val="0"/>
        </w:rPr>
        <w:t xml:space="preserve">) und </w:t>
      </w:r>
      <w:r w:rsidR="003B442C" w:rsidRPr="003F486D">
        <w:rPr>
          <w:snapToGrid w:val="0"/>
        </w:rPr>
        <w:t>ISF</w:t>
      </w:r>
      <w:r w:rsidR="003B442C">
        <w:rPr>
          <w:snapToGrid w:val="0"/>
        </w:rPr>
        <w:t xml:space="preserve"> (</w:t>
      </w:r>
      <w:r w:rsidR="003B442C" w:rsidRPr="001A738B">
        <w:rPr>
          <w:i/>
          <w:snapToGrid w:val="0"/>
        </w:rPr>
        <w:t xml:space="preserve">International </w:t>
      </w:r>
      <w:proofErr w:type="spellStart"/>
      <w:r w:rsidR="003B442C" w:rsidRPr="001A738B">
        <w:rPr>
          <w:i/>
          <w:snapToGrid w:val="0"/>
        </w:rPr>
        <w:t>Seed</w:t>
      </w:r>
      <w:proofErr w:type="spellEnd"/>
      <w:r w:rsidR="003B442C" w:rsidRPr="001A738B">
        <w:rPr>
          <w:i/>
          <w:snapToGrid w:val="0"/>
        </w:rPr>
        <w:t xml:space="preserve"> </w:t>
      </w:r>
      <w:proofErr w:type="spellStart"/>
      <w:r w:rsidR="003B442C" w:rsidRPr="001A738B">
        <w:rPr>
          <w:i/>
          <w:snapToGrid w:val="0"/>
        </w:rPr>
        <w:t>Federation</w:t>
      </w:r>
      <w:proofErr w:type="spellEnd"/>
      <w:r w:rsidR="003B442C">
        <w:rPr>
          <w:snapToGrid w:val="0"/>
        </w:rPr>
        <w:t>)</w:t>
      </w:r>
      <w:r w:rsidR="003B442C" w:rsidRPr="003F486D">
        <w:rPr>
          <w:snapToGrid w:val="0"/>
        </w:rPr>
        <w:t xml:space="preserve"> </w:t>
      </w:r>
      <w:r w:rsidR="003B442C">
        <w:rPr>
          <w:snapToGrid w:val="0"/>
        </w:rPr>
        <w:t xml:space="preserve">die </w:t>
      </w:r>
      <w:r w:rsidR="003B442C" w:rsidRPr="00417518">
        <w:rPr>
          <w:i/>
          <w:snapToGrid w:val="0"/>
        </w:rPr>
        <w:t xml:space="preserve">World </w:t>
      </w:r>
      <w:proofErr w:type="spellStart"/>
      <w:r w:rsidR="003B442C" w:rsidRPr="00417518">
        <w:rPr>
          <w:i/>
          <w:snapToGrid w:val="0"/>
        </w:rPr>
        <w:t>Seed</w:t>
      </w:r>
      <w:proofErr w:type="spellEnd"/>
      <w:r w:rsidR="003B442C" w:rsidRPr="00417518">
        <w:rPr>
          <w:i/>
          <w:snapToGrid w:val="0"/>
        </w:rPr>
        <w:t xml:space="preserve"> </w:t>
      </w:r>
      <w:proofErr w:type="spellStart"/>
      <w:r w:rsidR="003B442C" w:rsidRPr="00417518">
        <w:rPr>
          <w:i/>
          <w:snapToGrid w:val="0"/>
        </w:rPr>
        <w:t>Partnership</w:t>
      </w:r>
      <w:proofErr w:type="spellEnd"/>
      <w:r w:rsidR="003B442C" w:rsidRPr="003F486D">
        <w:rPr>
          <w:snapToGrid w:val="0"/>
        </w:rPr>
        <w:t xml:space="preserve"> </w:t>
      </w:r>
      <w:r w:rsidR="003B442C">
        <w:rPr>
          <w:snapToGrid w:val="0"/>
        </w:rPr>
        <w:t xml:space="preserve">als </w:t>
      </w:r>
      <w:r w:rsidR="003B442C" w:rsidRPr="00463324">
        <w:rPr>
          <w:snapToGrid w:val="0"/>
        </w:rPr>
        <w:t>eine einzige</w:t>
      </w:r>
      <w:r w:rsidR="003B442C">
        <w:rPr>
          <w:snapToGrid w:val="0"/>
        </w:rPr>
        <w:t xml:space="preserve"> Anlaufstelle</w:t>
      </w:r>
      <w:r w:rsidR="003B442C" w:rsidRPr="00463324">
        <w:rPr>
          <w:snapToGrid w:val="0"/>
        </w:rPr>
        <w:t xml:space="preserve"> für kohärente</w:t>
      </w:r>
      <w:r w:rsidR="003B442C">
        <w:rPr>
          <w:snapToGrid w:val="0"/>
        </w:rPr>
        <w:t xml:space="preserve"> Informationen</w:t>
      </w:r>
      <w:r w:rsidR="003B442C" w:rsidRPr="00463324">
        <w:rPr>
          <w:snapToGrid w:val="0"/>
        </w:rPr>
        <w:t xml:space="preserve"> zu verschiedenen S</w:t>
      </w:r>
      <w:r w:rsidR="003B442C">
        <w:rPr>
          <w:snapToGrid w:val="0"/>
        </w:rPr>
        <w:t>ystemen und Programmen</w:t>
      </w:r>
      <w:r w:rsidR="003B442C" w:rsidRPr="00C738AB">
        <w:rPr>
          <w:snapToGrid w:val="0"/>
        </w:rPr>
        <w:t xml:space="preserve"> </w:t>
      </w:r>
      <w:r w:rsidR="003B442C">
        <w:rPr>
          <w:snapToGrid w:val="0"/>
        </w:rPr>
        <w:t>lanciert</w:t>
      </w:r>
      <w:r w:rsidR="003B442C" w:rsidRPr="003F486D">
        <w:rPr>
          <w:snapToGrid w:val="0"/>
        </w:rPr>
        <w:t>.</w:t>
      </w:r>
    </w:p>
    <w:p w:rsidR="008134A5" w:rsidRPr="003F486D" w:rsidRDefault="008134A5" w:rsidP="003B442C">
      <w:pPr>
        <w:rPr>
          <w:snapToGrid w:val="0"/>
        </w:rPr>
      </w:pPr>
    </w:p>
    <w:p w:rsidR="008134A5" w:rsidRPr="003F486D" w:rsidRDefault="008134A5" w:rsidP="008134A5">
      <w:r w:rsidRPr="003F486D">
        <w:t>1.18</w:t>
      </w:r>
      <w:r w:rsidRPr="003F486D">
        <w:tab/>
      </w:r>
      <w:r>
        <w:t xml:space="preserve">Die </w:t>
      </w:r>
      <w:r>
        <w:rPr>
          <w:snapToGrid w:val="0"/>
        </w:rPr>
        <w:t xml:space="preserve">Landschaft </w:t>
      </w:r>
      <w:r w:rsidRPr="003F486D">
        <w:rPr>
          <w:snapToGrid w:val="0"/>
        </w:rPr>
        <w:t>international</w:t>
      </w:r>
      <w:r>
        <w:rPr>
          <w:snapToGrid w:val="0"/>
        </w:rPr>
        <w:t>er</w:t>
      </w:r>
      <w:r w:rsidRPr="003F486D">
        <w:rPr>
          <w:snapToGrid w:val="0"/>
        </w:rPr>
        <w:t xml:space="preserve"> </w:t>
      </w:r>
      <w:r>
        <w:rPr>
          <w:snapToGrid w:val="0"/>
        </w:rPr>
        <w:t>Vertragswerke</w:t>
      </w:r>
      <w:r w:rsidRPr="003F486D">
        <w:rPr>
          <w:snapToGrid w:val="0"/>
        </w:rPr>
        <w:t xml:space="preserve"> </w:t>
      </w:r>
      <w:r>
        <w:rPr>
          <w:snapToGrid w:val="0"/>
        </w:rPr>
        <w:t xml:space="preserve">mit einem </w:t>
      </w:r>
      <w:proofErr w:type="spellStart"/>
      <w:r>
        <w:rPr>
          <w:snapToGrid w:val="0"/>
        </w:rPr>
        <w:t>Einfluß</w:t>
      </w:r>
      <w:proofErr w:type="spellEnd"/>
      <w:r>
        <w:rPr>
          <w:snapToGrid w:val="0"/>
        </w:rPr>
        <w:t xml:space="preserve"> auf Pflanzensorten</w:t>
      </w:r>
      <w:r w:rsidRPr="003F486D">
        <w:rPr>
          <w:snapToGrid w:val="0"/>
        </w:rPr>
        <w:t xml:space="preserve"> </w:t>
      </w:r>
      <w:r>
        <w:rPr>
          <w:snapToGrid w:val="0"/>
        </w:rPr>
        <w:t>ist in den letzten Jahren komplexer geworden</w:t>
      </w:r>
      <w:r w:rsidRPr="003F486D">
        <w:t xml:space="preserve">, </w:t>
      </w:r>
      <w:r>
        <w:t>der Bedarf</w:t>
      </w:r>
      <w:r w:rsidRPr="003F486D">
        <w:t xml:space="preserve"> </w:t>
      </w:r>
      <w:r>
        <w:t>der Erläuterung der Rolle von</w:t>
      </w:r>
      <w:r w:rsidRPr="003F486D">
        <w:t xml:space="preserve"> </w:t>
      </w:r>
      <w:r>
        <w:t>Pflanzenzucht</w:t>
      </w:r>
      <w:r w:rsidRPr="003F486D">
        <w:t xml:space="preserve">, </w:t>
      </w:r>
      <w:r>
        <w:t>Sortenschutz und der</w:t>
      </w:r>
      <w:r w:rsidRPr="003F486D">
        <w:t xml:space="preserve"> UPOV </w:t>
      </w:r>
      <w:r w:rsidRPr="00463324">
        <w:t xml:space="preserve">für ein breiteres Publikum </w:t>
      </w:r>
      <w:r>
        <w:t>hat wesentlich an Bedeutung gewonnen</w:t>
      </w:r>
      <w:r w:rsidRPr="003F486D">
        <w:t xml:space="preserve">. </w:t>
      </w:r>
      <w:r>
        <w:t>Die</w:t>
      </w:r>
      <w:r w:rsidRPr="003F486D">
        <w:t xml:space="preserve"> Entwicklung </w:t>
      </w:r>
      <w:r w:rsidRPr="002B40C6">
        <w:t xml:space="preserve">der auf die Interessenvertreter ausgerichteten Funktionen </w:t>
      </w:r>
      <w:r>
        <w:rPr>
          <w:snapToGrid w:val="0"/>
        </w:rPr>
        <w:t>auf der</w:t>
      </w:r>
      <w:r w:rsidRPr="003F486D">
        <w:rPr>
          <w:snapToGrid w:val="0"/>
        </w:rPr>
        <w:t xml:space="preserve"> </w:t>
      </w:r>
      <w:r>
        <w:rPr>
          <w:snapToGrid w:val="0"/>
        </w:rPr>
        <w:t>UPOV-Website für Züchter, Landwirte, Pflanzer</w:t>
      </w:r>
      <w:r w:rsidRPr="003F486D">
        <w:rPr>
          <w:snapToGrid w:val="0"/>
        </w:rPr>
        <w:t xml:space="preserve">, </w:t>
      </w:r>
      <w:r>
        <w:rPr>
          <w:snapToGrid w:val="0"/>
        </w:rPr>
        <w:t>Entscheidungsträger und die allgemeine</w:t>
      </w:r>
      <w:r w:rsidRPr="002B40C6">
        <w:rPr>
          <w:snapToGrid w:val="0"/>
        </w:rPr>
        <w:t xml:space="preserve"> Öffentlichkeit </w:t>
      </w:r>
      <w:r>
        <w:rPr>
          <w:snapToGrid w:val="0"/>
        </w:rPr>
        <w:t>war eine der Initiativen</w:t>
      </w:r>
      <w:r w:rsidRPr="003F486D">
        <w:rPr>
          <w:snapToGrid w:val="0"/>
        </w:rPr>
        <w:t xml:space="preserve"> im Jahr 20</w:t>
      </w:r>
      <w:r>
        <w:rPr>
          <w:snapToGrid w:val="0"/>
        </w:rPr>
        <w:t>16, um diesen Bedarf zu erfüllen</w:t>
      </w:r>
      <w:r w:rsidRPr="003F486D">
        <w:rPr>
          <w:snapToGrid w:val="0"/>
        </w:rPr>
        <w:t xml:space="preserve">. </w:t>
      </w:r>
      <w:r>
        <w:rPr>
          <w:snapToGrid w:val="0"/>
        </w:rPr>
        <w:t xml:space="preserve">Zusätzlich wird die </w:t>
      </w:r>
      <w:r w:rsidRPr="003F486D">
        <w:rPr>
          <w:snapToGrid w:val="0"/>
        </w:rPr>
        <w:t xml:space="preserve">Entwicklung </w:t>
      </w:r>
      <w:r w:rsidRPr="002B40C6">
        <w:rPr>
          <w:snapToGrid w:val="0"/>
        </w:rPr>
        <w:t>allgemeine</w:t>
      </w:r>
      <w:r>
        <w:rPr>
          <w:snapToGrid w:val="0"/>
        </w:rPr>
        <w:t>r Informationen</w:t>
      </w:r>
      <w:r w:rsidRPr="002B40C6">
        <w:rPr>
          <w:snapToGrid w:val="0"/>
        </w:rPr>
        <w:t xml:space="preserve">, die für eine breite </w:t>
      </w:r>
      <w:r>
        <w:rPr>
          <w:snapToGrid w:val="0"/>
        </w:rPr>
        <w:t>Spannweite</w:t>
      </w:r>
      <w:r w:rsidRPr="002B40C6">
        <w:rPr>
          <w:snapToGrid w:val="0"/>
        </w:rPr>
        <w:t xml:space="preserve"> von Interessenvertretern geeignet ist</w:t>
      </w:r>
      <w:r>
        <w:rPr>
          <w:snapToGrid w:val="0"/>
        </w:rPr>
        <w:t>,</w:t>
      </w:r>
      <w:r w:rsidRPr="003F486D">
        <w:rPr>
          <w:snapToGrid w:val="0"/>
        </w:rPr>
        <w:t xml:space="preserve"> </w:t>
      </w:r>
      <w:r>
        <w:rPr>
          <w:snapToGrid w:val="0"/>
        </w:rPr>
        <w:t>weiterhin von Bedeutung</w:t>
      </w:r>
      <w:r w:rsidRPr="0011179A">
        <w:rPr>
          <w:snapToGrid w:val="0"/>
        </w:rPr>
        <w:t xml:space="preserve"> </w:t>
      </w:r>
      <w:r>
        <w:rPr>
          <w:snapToGrid w:val="0"/>
        </w:rPr>
        <w:t>sein</w:t>
      </w:r>
      <w:r w:rsidRPr="003F486D">
        <w:rPr>
          <w:snapToGrid w:val="0"/>
        </w:rPr>
        <w:t xml:space="preserve">. </w:t>
      </w:r>
      <w:r>
        <w:rPr>
          <w:snapToGrid w:val="0"/>
        </w:rPr>
        <w:t>Beispiele</w:t>
      </w:r>
      <w:r w:rsidRPr="003F486D">
        <w:rPr>
          <w:snapToGrid w:val="0"/>
        </w:rPr>
        <w:t xml:space="preserve"> </w:t>
      </w:r>
      <w:r>
        <w:rPr>
          <w:snapToGrid w:val="0"/>
        </w:rPr>
        <w:t>umfassen</w:t>
      </w:r>
      <w:r w:rsidRPr="003F486D">
        <w:rPr>
          <w:snapToGrid w:val="0"/>
        </w:rPr>
        <w:t xml:space="preserve"> </w:t>
      </w:r>
      <w:r>
        <w:rPr>
          <w:snapToGrid w:val="0"/>
        </w:rPr>
        <w:t>häufig gestellte</w:t>
      </w:r>
      <w:r w:rsidRPr="002B40C6">
        <w:rPr>
          <w:snapToGrid w:val="0"/>
        </w:rPr>
        <w:t xml:space="preserve"> Fragen</w:t>
      </w:r>
      <w:r>
        <w:rPr>
          <w:snapToGrid w:val="0"/>
        </w:rPr>
        <w:t xml:space="preserve"> über das UPOV-System und die</w:t>
      </w:r>
      <w:r w:rsidRPr="002B40C6">
        <w:rPr>
          <w:snapToGrid w:val="0"/>
        </w:rPr>
        <w:t xml:space="preserve"> Entwicklung anschaulicher Erläuterungen und Beispiele der Vorteile des UPOV-Systems</w:t>
      </w:r>
      <w:r w:rsidRPr="003F486D">
        <w:rPr>
          <w:snapToGrid w:val="0"/>
        </w:rPr>
        <w:t>.</w:t>
      </w:r>
      <w:r>
        <w:rPr>
          <w:snapToGrid w:val="0"/>
        </w:rPr>
        <w:t xml:space="preserve"> </w:t>
      </w:r>
    </w:p>
    <w:p w:rsidR="008134A5" w:rsidRPr="003F486D" w:rsidRDefault="008134A5" w:rsidP="008134A5">
      <w:pPr>
        <w:rPr>
          <w:snapToGrid w:val="0"/>
        </w:rPr>
      </w:pPr>
      <w:r>
        <w:rPr>
          <w:snapToGrid w:val="0"/>
        </w:rPr>
        <w:t xml:space="preserve"> </w:t>
      </w:r>
    </w:p>
    <w:p w:rsidR="008134A5" w:rsidRPr="003F486D" w:rsidRDefault="008134A5" w:rsidP="008134A5">
      <w:pPr>
        <w:jc w:val="left"/>
        <w:rPr>
          <w:u w:val="single"/>
        </w:rPr>
      </w:pPr>
      <w:r w:rsidRPr="003F486D">
        <w:br w:type="page"/>
      </w:r>
    </w:p>
    <w:p w:rsidR="008134A5" w:rsidRPr="003F486D" w:rsidRDefault="008134A5" w:rsidP="008134A5">
      <w:pPr>
        <w:pStyle w:val="Heading2"/>
        <w:rPr>
          <w:lang w:val="de-DE"/>
        </w:rPr>
      </w:pPr>
      <w:r>
        <w:rPr>
          <w:lang w:val="de-DE"/>
        </w:rPr>
        <w:t>Überlegungen zu den Mitteln</w:t>
      </w:r>
    </w:p>
    <w:p w:rsidR="008134A5" w:rsidRPr="003F486D" w:rsidRDefault="008134A5" w:rsidP="008134A5"/>
    <w:p w:rsidR="008134A5" w:rsidRPr="003F486D" w:rsidRDefault="008134A5" w:rsidP="008134A5">
      <w:pPr>
        <w:rPr>
          <w:spacing w:val="-2"/>
          <w:szCs w:val="24"/>
        </w:rPr>
      </w:pPr>
      <w:r w:rsidRPr="003F486D">
        <w:t>1.19</w:t>
      </w:r>
      <w:r w:rsidRPr="003F486D">
        <w:tab/>
      </w:r>
      <w:r>
        <w:t>Derzeit wird die</w:t>
      </w:r>
      <w:r w:rsidRPr="003F486D">
        <w:t xml:space="preserve"> UPOV </w:t>
      </w:r>
      <w:r>
        <w:t>fast</w:t>
      </w:r>
      <w:r w:rsidRPr="003F486D">
        <w:t xml:space="preserve"> </w:t>
      </w:r>
      <w:r>
        <w:t>ausschließlich</w:t>
      </w:r>
      <w:r w:rsidRPr="003F486D">
        <w:t xml:space="preserve"> </w:t>
      </w:r>
      <w:r>
        <w:t>durch</w:t>
      </w:r>
      <w:r w:rsidRPr="003F486D">
        <w:t xml:space="preserve"> Einnahmen </w:t>
      </w:r>
      <w:r>
        <w:t>aus Beiträgen</w:t>
      </w:r>
      <w:r w:rsidRPr="003F486D">
        <w:t xml:space="preserve"> (98 </w:t>
      </w:r>
      <w:r>
        <w:t>Prozent</w:t>
      </w:r>
      <w:r w:rsidRPr="003F486D">
        <w:t xml:space="preserve"> </w:t>
      </w:r>
      <w:r>
        <w:t>der Gesamteinnahmen</w:t>
      </w:r>
      <w:r w:rsidRPr="003F486D">
        <w:t xml:space="preserve"> in </w:t>
      </w:r>
      <w:r>
        <w:t>der</w:t>
      </w:r>
      <w:r w:rsidRPr="003F486D">
        <w:t xml:space="preserve"> </w:t>
      </w:r>
      <w:r>
        <w:t>Rechnungsperiode 2014-2015</w:t>
      </w:r>
      <w:r w:rsidRPr="003F486D">
        <w:t>)</w:t>
      </w:r>
      <w:r w:rsidRPr="0011179A">
        <w:t xml:space="preserve"> </w:t>
      </w:r>
      <w:r>
        <w:t>finanziert</w:t>
      </w:r>
      <w:r w:rsidRPr="003F486D">
        <w:t xml:space="preserve">, </w:t>
      </w:r>
      <w:r>
        <w:t>wobei die Höhe einer Beitragseinheit</w:t>
      </w:r>
      <w:r w:rsidRPr="003F486D">
        <w:t xml:space="preserve"> </w:t>
      </w:r>
      <w:r>
        <w:t>seit</w:t>
      </w:r>
      <w:r w:rsidRPr="003F486D">
        <w:t xml:space="preserve"> 1995</w:t>
      </w:r>
      <w:r w:rsidRPr="0011179A">
        <w:t xml:space="preserve"> </w:t>
      </w:r>
      <w:r>
        <w:t>nicht angestiegen ist</w:t>
      </w:r>
      <w:r w:rsidRPr="003F486D">
        <w:t>.</w:t>
      </w:r>
      <w:r>
        <w:t xml:space="preserve"> </w:t>
      </w:r>
      <w:r w:rsidRPr="003F486D">
        <w:t>Außerdem</w:t>
      </w:r>
      <w:r>
        <w:t xml:space="preserve"> waren die </w:t>
      </w:r>
      <w:r w:rsidRPr="003F486D">
        <w:t>Einnahmen</w:t>
      </w:r>
      <w:r>
        <w:t xml:space="preserve"> der UPOV</w:t>
      </w:r>
      <w:r w:rsidRPr="003F486D">
        <w:t xml:space="preserve"> </w:t>
      </w:r>
      <w:r>
        <w:t>wesentlich</w:t>
      </w:r>
      <w:r w:rsidRPr="003F486D">
        <w:t xml:space="preserve"> </w:t>
      </w:r>
      <w:r>
        <w:t>von</w:t>
      </w:r>
      <w:r w:rsidRPr="003F486D">
        <w:t xml:space="preserve"> </w:t>
      </w:r>
      <w:r>
        <w:t xml:space="preserve">dem </w:t>
      </w:r>
      <w:r>
        <w:rPr>
          <w:spacing w:val="-2"/>
          <w:szCs w:val="24"/>
        </w:rPr>
        <w:t>Verlust</w:t>
      </w:r>
      <w:r w:rsidRPr="003F486D">
        <w:rPr>
          <w:spacing w:val="-2"/>
          <w:szCs w:val="24"/>
        </w:rPr>
        <w:t xml:space="preserve"> </w:t>
      </w:r>
      <w:r>
        <w:rPr>
          <w:spacing w:val="-2"/>
          <w:szCs w:val="24"/>
        </w:rPr>
        <w:t>sämtlicher</w:t>
      </w:r>
      <w:r w:rsidRPr="003F486D">
        <w:rPr>
          <w:spacing w:val="-2"/>
          <w:szCs w:val="24"/>
        </w:rPr>
        <w:t xml:space="preserve"> Einnahmen </w:t>
      </w:r>
      <w:r>
        <w:rPr>
          <w:spacing w:val="-2"/>
          <w:szCs w:val="24"/>
        </w:rPr>
        <w:t>aus Zinsen und Veröffentlichungen</w:t>
      </w:r>
      <w:r w:rsidRPr="003F486D">
        <w:rPr>
          <w:spacing w:val="-2"/>
          <w:szCs w:val="24"/>
        </w:rPr>
        <w:t xml:space="preserve"> </w:t>
      </w:r>
      <w:r>
        <w:rPr>
          <w:spacing w:val="-2"/>
          <w:szCs w:val="24"/>
        </w:rPr>
        <w:t>in den letzten Jahren</w:t>
      </w:r>
      <w:r w:rsidRPr="0011179A">
        <w:t xml:space="preserve"> </w:t>
      </w:r>
      <w:r>
        <w:t>betroffen</w:t>
      </w:r>
      <w:r w:rsidRPr="003F486D">
        <w:rPr>
          <w:spacing w:val="-2"/>
          <w:szCs w:val="24"/>
        </w:rPr>
        <w:t xml:space="preserve">. </w:t>
      </w:r>
      <w:r>
        <w:rPr>
          <w:spacing w:val="-2"/>
          <w:szCs w:val="24"/>
        </w:rPr>
        <w:t xml:space="preserve">Dadurch waren die </w:t>
      </w:r>
      <w:r w:rsidRPr="003F486D">
        <w:t>Einnahmen</w:t>
      </w:r>
      <w:r>
        <w:t xml:space="preserve"> für die</w:t>
      </w:r>
      <w:r w:rsidRPr="003F486D">
        <w:t xml:space="preserve"> </w:t>
      </w:r>
      <w:r>
        <w:t xml:space="preserve">Rechnungsperiode 2014-2015 (6 794 </w:t>
      </w:r>
      <w:r w:rsidRPr="003F486D">
        <w:t xml:space="preserve">000 </w:t>
      </w:r>
      <w:r w:rsidRPr="003F486D">
        <w:rPr>
          <w:spacing w:val="-2"/>
          <w:szCs w:val="24"/>
        </w:rPr>
        <w:t xml:space="preserve">Schweizer Franken) </w:t>
      </w:r>
      <w:r>
        <w:rPr>
          <w:spacing w:val="-2"/>
          <w:szCs w:val="24"/>
        </w:rPr>
        <w:t>nicht</w:t>
      </w:r>
      <w:r w:rsidRPr="003F486D">
        <w:rPr>
          <w:spacing w:val="-2"/>
          <w:szCs w:val="24"/>
        </w:rPr>
        <w:t xml:space="preserve"> </w:t>
      </w:r>
      <w:r>
        <w:rPr>
          <w:spacing w:val="-2"/>
          <w:szCs w:val="24"/>
        </w:rPr>
        <w:t>wesentlich</w:t>
      </w:r>
      <w:r w:rsidRPr="003F486D">
        <w:rPr>
          <w:spacing w:val="-2"/>
          <w:szCs w:val="24"/>
        </w:rPr>
        <w:t xml:space="preserve"> </w:t>
      </w:r>
      <w:r w:rsidRPr="009E57AA">
        <w:rPr>
          <w:spacing w:val="-2"/>
          <w:szCs w:val="24"/>
        </w:rPr>
        <w:t xml:space="preserve">höher als die Einnahmen </w:t>
      </w:r>
      <w:r w:rsidRPr="003F486D">
        <w:rPr>
          <w:spacing w:val="-2"/>
          <w:szCs w:val="24"/>
        </w:rPr>
        <w:t xml:space="preserve">in </w:t>
      </w:r>
      <w:r>
        <w:rPr>
          <w:spacing w:val="-2"/>
          <w:szCs w:val="24"/>
        </w:rPr>
        <w:t xml:space="preserve">der </w:t>
      </w:r>
      <w:r w:rsidRPr="003F486D">
        <w:rPr>
          <w:spacing w:val="-2"/>
          <w:szCs w:val="24"/>
        </w:rPr>
        <w:t xml:space="preserve">Rechnungsperiode 2006-2007 </w:t>
      </w:r>
      <w:r>
        <w:t xml:space="preserve">(6 761 </w:t>
      </w:r>
      <w:r w:rsidRPr="003F486D">
        <w:t xml:space="preserve">000 </w:t>
      </w:r>
      <w:r w:rsidRPr="003F486D">
        <w:rPr>
          <w:spacing w:val="-2"/>
          <w:szCs w:val="24"/>
        </w:rPr>
        <w:t>Schweizer Franken)</w:t>
      </w:r>
      <w:r>
        <w:rPr>
          <w:spacing w:val="-2"/>
          <w:szCs w:val="24"/>
        </w:rPr>
        <w:t>, wobei sich zusätzliche</w:t>
      </w:r>
      <w:r w:rsidRPr="003F486D">
        <w:rPr>
          <w:spacing w:val="-2"/>
          <w:szCs w:val="24"/>
        </w:rPr>
        <w:t xml:space="preserve"> Einnahmen </w:t>
      </w:r>
      <w:r>
        <w:rPr>
          <w:spacing w:val="-2"/>
          <w:szCs w:val="24"/>
        </w:rPr>
        <w:t>aus</w:t>
      </w:r>
      <w:r w:rsidRPr="003F486D">
        <w:rPr>
          <w:spacing w:val="-2"/>
          <w:szCs w:val="24"/>
        </w:rPr>
        <w:t xml:space="preserve"> </w:t>
      </w:r>
      <w:r>
        <w:rPr>
          <w:spacing w:val="-2"/>
          <w:szCs w:val="24"/>
        </w:rPr>
        <w:t>Beiträgen</w:t>
      </w:r>
      <w:r w:rsidRPr="003F486D">
        <w:rPr>
          <w:spacing w:val="-2"/>
          <w:szCs w:val="24"/>
        </w:rPr>
        <w:t xml:space="preserve"> </w:t>
      </w:r>
      <w:r>
        <w:rPr>
          <w:spacing w:val="-2"/>
          <w:szCs w:val="24"/>
        </w:rPr>
        <w:t>von neuen</w:t>
      </w:r>
      <w:r w:rsidRPr="003F486D">
        <w:rPr>
          <w:spacing w:val="-2"/>
          <w:szCs w:val="24"/>
        </w:rPr>
        <w:t xml:space="preserve"> UPOV-Mitgliedern </w:t>
      </w:r>
      <w:r>
        <w:rPr>
          <w:spacing w:val="-2"/>
          <w:szCs w:val="24"/>
        </w:rPr>
        <w:t>sich mit dem Verlust von</w:t>
      </w:r>
      <w:r w:rsidRPr="003F486D">
        <w:rPr>
          <w:spacing w:val="-2"/>
          <w:szCs w:val="24"/>
        </w:rPr>
        <w:t xml:space="preserve"> Einnahmen </w:t>
      </w:r>
      <w:r>
        <w:rPr>
          <w:spacing w:val="-2"/>
          <w:szCs w:val="24"/>
        </w:rPr>
        <w:t>aus</w:t>
      </w:r>
      <w:r w:rsidRPr="003F486D">
        <w:rPr>
          <w:spacing w:val="-2"/>
          <w:szCs w:val="24"/>
        </w:rPr>
        <w:t xml:space="preserve"> </w:t>
      </w:r>
      <w:r>
        <w:rPr>
          <w:spacing w:val="-2"/>
          <w:szCs w:val="24"/>
        </w:rPr>
        <w:t xml:space="preserve">Zinsen und </w:t>
      </w:r>
      <w:r w:rsidRPr="00970B71">
        <w:rPr>
          <w:spacing w:val="-2"/>
          <w:szCs w:val="24"/>
        </w:rPr>
        <w:t xml:space="preserve">Veröffentlichungen ausgleichen. Nachdem die UPOV ihre Anzahl von Mitarbeitern im Jahr 2003 von 14 </w:t>
      </w:r>
      <w:r>
        <w:rPr>
          <w:spacing w:val="-2"/>
          <w:szCs w:val="24"/>
        </w:rPr>
        <w:t>reduziert hat, ist die Anzahl von Mitarbeitern</w:t>
      </w:r>
      <w:r w:rsidRPr="003F486D">
        <w:rPr>
          <w:spacing w:val="-2"/>
          <w:szCs w:val="24"/>
        </w:rPr>
        <w:t xml:space="preserve"> </w:t>
      </w:r>
      <w:r>
        <w:rPr>
          <w:spacing w:val="-2"/>
          <w:szCs w:val="24"/>
        </w:rPr>
        <w:t>seitdem bei</w:t>
      </w:r>
      <w:r w:rsidRPr="003F486D">
        <w:rPr>
          <w:spacing w:val="-2"/>
          <w:szCs w:val="24"/>
        </w:rPr>
        <w:t xml:space="preserve"> 11</w:t>
      </w:r>
      <w:r>
        <w:rPr>
          <w:spacing w:val="-2"/>
          <w:szCs w:val="24"/>
        </w:rPr>
        <w:t xml:space="preserve"> geblieben</w:t>
      </w:r>
      <w:r w:rsidRPr="003F486D">
        <w:rPr>
          <w:spacing w:val="-2"/>
          <w:szCs w:val="24"/>
        </w:rPr>
        <w:t>.</w:t>
      </w:r>
      <w:r>
        <w:rPr>
          <w:spacing w:val="-2"/>
          <w:szCs w:val="24"/>
        </w:rPr>
        <w:t xml:space="preserve"> </w:t>
      </w:r>
    </w:p>
    <w:p w:rsidR="008134A5" w:rsidRPr="003F486D" w:rsidRDefault="008134A5" w:rsidP="008134A5">
      <w:pPr>
        <w:rPr>
          <w:spacing w:val="-2"/>
          <w:szCs w:val="24"/>
        </w:rPr>
      </w:pPr>
    </w:p>
    <w:p w:rsidR="008134A5" w:rsidRPr="003F486D" w:rsidRDefault="008134A5" w:rsidP="008134A5">
      <w:r w:rsidRPr="003F486D">
        <w:t>1.20</w:t>
      </w:r>
      <w:r w:rsidRPr="003F486D">
        <w:tab/>
      </w:r>
      <w:r>
        <w:t>Vor diesem Hintergrund ist es der</w:t>
      </w:r>
      <w:r w:rsidRPr="003F486D">
        <w:t xml:space="preserve"> UPOV</w:t>
      </w:r>
      <w:r>
        <w:t xml:space="preserve"> </w:t>
      </w:r>
      <w:r w:rsidRPr="003F486D">
        <w:t>in</w:t>
      </w:r>
      <w:r>
        <w:t xml:space="preserve"> den</w:t>
      </w:r>
      <w:r w:rsidRPr="003F486D">
        <w:t xml:space="preserve"> </w:t>
      </w:r>
      <w:r>
        <w:t>letzten</w:t>
      </w:r>
      <w:r w:rsidRPr="003F486D">
        <w:t xml:space="preserve"> </w:t>
      </w:r>
      <w:r>
        <w:t>Rechnungsperioden</w:t>
      </w:r>
      <w:r w:rsidRPr="009A1950">
        <w:t xml:space="preserve"> </w:t>
      </w:r>
      <w:r>
        <w:t>gelungen, die</w:t>
      </w:r>
      <w:r w:rsidRPr="003F486D">
        <w:t xml:space="preserve"> </w:t>
      </w:r>
      <w:r w:rsidRPr="003D1709">
        <w:t>Dienstleistungen für die Mitglieder</w:t>
      </w:r>
      <w:r>
        <w:t xml:space="preserve"> durch</w:t>
      </w:r>
      <w:r w:rsidRPr="003F486D">
        <w:t xml:space="preserve"> </w:t>
      </w:r>
      <w:r>
        <w:t>die</w:t>
      </w:r>
      <w:r w:rsidRPr="003F486D">
        <w:t xml:space="preserve"> </w:t>
      </w:r>
      <w:r w:rsidRPr="00BA6029">
        <w:t>Ausarbeitung von Anleitung und</w:t>
      </w:r>
      <w:r>
        <w:t xml:space="preserve"> Informationsmaterialien</w:t>
      </w:r>
      <w:r w:rsidRPr="003F486D">
        <w:t xml:space="preserve">, </w:t>
      </w:r>
      <w:r w:rsidRPr="00BA6029">
        <w:t>Fernlehrgänge</w:t>
      </w:r>
      <w:r>
        <w:t xml:space="preserve"> und </w:t>
      </w:r>
      <w:r w:rsidRPr="003F486D">
        <w:t>IT-</w:t>
      </w:r>
      <w:r>
        <w:t>basierte Initiativen</w:t>
      </w:r>
      <w:r w:rsidRPr="003F486D">
        <w:t xml:space="preserve"> (</w:t>
      </w:r>
      <w:r>
        <w:t>z.B. Aktualisierung der Website</w:t>
      </w:r>
      <w:r w:rsidRPr="003F486D">
        <w:t>, GENIE, PLUTO</w:t>
      </w:r>
      <w:r>
        <w:t xml:space="preserve"> und </w:t>
      </w:r>
      <w:r w:rsidRPr="003F486D">
        <w:t>UPOV Lex</w:t>
      </w:r>
      <w:r>
        <w:t>-Datenbanken, die</w:t>
      </w:r>
      <w:r w:rsidRPr="003F486D">
        <w:t xml:space="preserve"> </w:t>
      </w:r>
      <w:r>
        <w:t>web-basierte</w:t>
      </w:r>
      <w:r w:rsidRPr="003F486D">
        <w:t xml:space="preserve"> </w:t>
      </w:r>
      <w:r>
        <w:t>Vorlage für Prüfungsrichtlinien</w:t>
      </w:r>
      <w:r w:rsidRPr="003F486D">
        <w:t xml:space="preserve"> </w:t>
      </w:r>
      <w:r>
        <w:t>und neuerdings das</w:t>
      </w:r>
      <w:r w:rsidRPr="003F486D">
        <w:t xml:space="preserve"> </w:t>
      </w:r>
      <w:r>
        <w:rPr>
          <w:rFonts w:cs="Arial"/>
        </w:rPr>
        <w:t xml:space="preserve">Elektronische Antragsformblatt der </w:t>
      </w:r>
      <w:r w:rsidRPr="003F486D">
        <w:t>UPOV)</w:t>
      </w:r>
      <w:r w:rsidRPr="0011179A">
        <w:t xml:space="preserve"> </w:t>
      </w:r>
      <w:r>
        <w:t>aufrechtzuerhalten und</w:t>
      </w:r>
      <w:r w:rsidRPr="003D1709">
        <w:t xml:space="preserve"> zu verbessern</w:t>
      </w:r>
      <w:r w:rsidRPr="003F486D">
        <w:t>.</w:t>
      </w:r>
      <w:r>
        <w:t xml:space="preserve"> Die </w:t>
      </w:r>
      <w:r w:rsidRPr="003F486D">
        <w:t>IT</w:t>
      </w:r>
      <w:r>
        <w:t>-</w:t>
      </w:r>
      <w:r w:rsidRPr="003F486D">
        <w:t>Entwicklung</w:t>
      </w:r>
      <w:r>
        <w:t xml:space="preserve"> und -Wartung</w:t>
      </w:r>
      <w:r w:rsidRPr="003F486D">
        <w:t xml:space="preserve"> </w:t>
      </w:r>
      <w:r>
        <w:t>der Datenbanken und der Vorlage für Prüfungsrichtlinien wurden von</w:t>
      </w:r>
      <w:r w:rsidRPr="003F486D">
        <w:t xml:space="preserve"> </w:t>
      </w:r>
      <w:r>
        <w:t>IT-Fachleuten</w:t>
      </w:r>
      <w:r w:rsidRPr="003F486D">
        <w:t xml:space="preserve"> </w:t>
      </w:r>
      <w:r>
        <w:t>der WIPO</w:t>
      </w:r>
      <w:r w:rsidRPr="003F486D">
        <w:t xml:space="preserve"> </w:t>
      </w:r>
      <w:r>
        <w:t>als Teil der</w:t>
      </w:r>
      <w:r w:rsidRPr="003F486D">
        <w:t xml:space="preserve"> </w:t>
      </w:r>
      <w:r>
        <w:t>gemeinsamen Ausgaben im Rahmen</w:t>
      </w:r>
      <w:r w:rsidRPr="003F486D">
        <w:t xml:space="preserve"> </w:t>
      </w:r>
      <w:r>
        <w:t>der</w:t>
      </w:r>
      <w:r w:rsidRPr="003F486D">
        <w:t xml:space="preserve"> </w:t>
      </w:r>
      <w:r w:rsidRPr="003F486D">
        <w:rPr>
          <w:rFonts w:cs="Arial"/>
        </w:rPr>
        <w:t>„</w:t>
      </w:r>
      <w:r w:rsidRPr="00AD6EBD">
        <w:rPr>
          <w:rFonts w:cs="Arial"/>
        </w:rPr>
        <w:t>Vereinbarung zwischen der Weltorganisation für geistiges Eigentum und dem Internationalen Verband zum Schutz von Pflanzenzüchtungen</w:t>
      </w:r>
      <w:r w:rsidRPr="003F486D">
        <w:rPr>
          <w:rFonts w:cs="Arial"/>
        </w:rPr>
        <w:t xml:space="preserve">“ </w:t>
      </w:r>
      <w:r>
        <w:t>durchgeführt oder verwaltet</w:t>
      </w:r>
      <w:r w:rsidRPr="003F486D">
        <w:t xml:space="preserve"> </w:t>
      </w:r>
      <w:r w:rsidRPr="003F486D">
        <w:rPr>
          <w:rFonts w:cs="Arial"/>
        </w:rPr>
        <w:t>(vergleiche</w:t>
      </w:r>
      <w:r>
        <w:rPr>
          <w:rFonts w:cs="Arial"/>
        </w:rPr>
        <w:t xml:space="preserve"> </w:t>
      </w:r>
      <w:r w:rsidRPr="003F486D">
        <w:rPr>
          <w:rFonts w:cs="Arial"/>
        </w:rPr>
        <w:t>Dokument UPOV/INF/8).</w:t>
      </w:r>
      <w:r>
        <w:rPr>
          <w:rFonts w:cs="Arial"/>
        </w:rPr>
        <w:t xml:space="preserve"> Diese</w:t>
      </w:r>
      <w:r w:rsidRPr="003F486D">
        <w:rPr>
          <w:rFonts w:cs="Arial"/>
        </w:rPr>
        <w:t xml:space="preserve"> Dienstleistungen </w:t>
      </w:r>
      <w:r>
        <w:rPr>
          <w:rFonts w:cs="Arial"/>
        </w:rPr>
        <w:t>werden nicht mehr</w:t>
      </w:r>
      <w:r w:rsidRPr="003F486D">
        <w:rPr>
          <w:rFonts w:cs="Arial"/>
        </w:rPr>
        <w:t xml:space="preserve"> </w:t>
      </w:r>
      <w:r>
        <w:rPr>
          <w:rFonts w:cs="Arial"/>
        </w:rPr>
        <w:t>als gemeinsame</w:t>
      </w:r>
      <w:r w:rsidRPr="003F486D">
        <w:rPr>
          <w:rFonts w:cs="Arial"/>
        </w:rPr>
        <w:t xml:space="preserve"> Dienstleistungen</w:t>
      </w:r>
      <w:r w:rsidRPr="0011179A">
        <w:rPr>
          <w:rFonts w:cs="Arial"/>
        </w:rPr>
        <w:t xml:space="preserve"> </w:t>
      </w:r>
      <w:r>
        <w:rPr>
          <w:rFonts w:cs="Arial"/>
        </w:rPr>
        <w:t>bereitgestellt</w:t>
      </w:r>
      <w:r w:rsidRPr="003F486D">
        <w:rPr>
          <w:rFonts w:cs="Arial"/>
        </w:rPr>
        <w:t>.</w:t>
      </w:r>
      <w:r>
        <w:rPr>
          <w:rFonts w:cs="Arial"/>
        </w:rPr>
        <w:t xml:space="preserve"> Obgleich</w:t>
      </w:r>
      <w:r w:rsidRPr="003F486D">
        <w:rPr>
          <w:rFonts w:cs="Arial"/>
        </w:rPr>
        <w:t xml:space="preserve"> </w:t>
      </w:r>
      <w:r>
        <w:rPr>
          <w:rFonts w:cs="Arial"/>
        </w:rPr>
        <w:t>diese</w:t>
      </w:r>
      <w:r w:rsidRPr="003F486D">
        <w:rPr>
          <w:rFonts w:cs="Arial"/>
        </w:rPr>
        <w:t xml:space="preserve"> Entwicklung </w:t>
      </w:r>
      <w:r>
        <w:rPr>
          <w:rFonts w:cs="Arial"/>
        </w:rPr>
        <w:t xml:space="preserve">es der </w:t>
      </w:r>
      <w:r w:rsidRPr="003F486D">
        <w:rPr>
          <w:rFonts w:cs="Arial"/>
        </w:rPr>
        <w:t xml:space="preserve">UPOV </w:t>
      </w:r>
      <w:r>
        <w:rPr>
          <w:rFonts w:cs="Arial"/>
        </w:rPr>
        <w:t>ermöglicht</w:t>
      </w:r>
      <w:r w:rsidRPr="003F486D">
        <w:rPr>
          <w:rFonts w:cs="Arial"/>
        </w:rPr>
        <w:t xml:space="preserve"> </w:t>
      </w:r>
      <w:r>
        <w:rPr>
          <w:rFonts w:cs="Arial"/>
        </w:rPr>
        <w:t>hat, die der</w:t>
      </w:r>
      <w:r w:rsidRPr="003F486D">
        <w:rPr>
          <w:rFonts w:cs="Arial"/>
        </w:rPr>
        <w:t xml:space="preserve"> UPOV</w:t>
      </w:r>
      <w:r>
        <w:rPr>
          <w:rFonts w:cs="Arial"/>
        </w:rPr>
        <w:t xml:space="preserve"> von</w:t>
      </w:r>
      <w:r w:rsidRPr="003F486D">
        <w:rPr>
          <w:rFonts w:cs="Arial"/>
        </w:rPr>
        <w:t xml:space="preserve"> </w:t>
      </w:r>
      <w:r>
        <w:rPr>
          <w:rFonts w:cs="Arial"/>
        </w:rPr>
        <w:t xml:space="preserve">der </w:t>
      </w:r>
      <w:r w:rsidRPr="003F486D">
        <w:rPr>
          <w:rFonts w:cs="Arial"/>
        </w:rPr>
        <w:t>WIPO</w:t>
      </w:r>
      <w:r w:rsidRPr="00CD2312">
        <w:rPr>
          <w:rFonts w:cs="Arial"/>
        </w:rPr>
        <w:t xml:space="preserve"> </w:t>
      </w:r>
      <w:r>
        <w:rPr>
          <w:rFonts w:cs="Arial"/>
        </w:rPr>
        <w:t>in Rechnung gestellten Betriebskosten in Grenzen zu halten</w:t>
      </w:r>
      <w:r w:rsidRPr="003F486D">
        <w:rPr>
          <w:rFonts w:cs="Arial"/>
        </w:rPr>
        <w:t xml:space="preserve">, </w:t>
      </w:r>
      <w:r>
        <w:rPr>
          <w:rFonts w:cs="Arial"/>
        </w:rPr>
        <w:t xml:space="preserve">bedeutet dies, </w:t>
      </w:r>
      <w:proofErr w:type="spellStart"/>
      <w:r>
        <w:rPr>
          <w:rFonts w:cs="Arial"/>
        </w:rPr>
        <w:t>daß</w:t>
      </w:r>
      <w:proofErr w:type="spellEnd"/>
      <w:r>
        <w:rPr>
          <w:rFonts w:cs="Arial"/>
        </w:rPr>
        <w:t xml:space="preserve"> die </w:t>
      </w:r>
      <w:r w:rsidRPr="003F486D">
        <w:rPr>
          <w:rFonts w:cs="Arial"/>
        </w:rPr>
        <w:t xml:space="preserve">UPOV </w:t>
      </w:r>
      <w:r>
        <w:rPr>
          <w:rFonts w:cs="Arial"/>
        </w:rPr>
        <w:t>eigene Vorkehrungen bezüglich</w:t>
      </w:r>
      <w:r w:rsidRPr="003F486D">
        <w:rPr>
          <w:rFonts w:cs="Arial"/>
        </w:rPr>
        <w:t xml:space="preserve"> IT</w:t>
      </w:r>
      <w:r>
        <w:rPr>
          <w:rFonts w:cs="Arial"/>
        </w:rPr>
        <w:t>-Fachleuten</w:t>
      </w:r>
      <w:r w:rsidRPr="0011179A">
        <w:rPr>
          <w:rFonts w:cs="Arial"/>
        </w:rPr>
        <w:t xml:space="preserve"> </w:t>
      </w:r>
      <w:r>
        <w:rPr>
          <w:rFonts w:cs="Arial"/>
        </w:rPr>
        <w:t xml:space="preserve">treffen </w:t>
      </w:r>
      <w:proofErr w:type="spellStart"/>
      <w:r>
        <w:rPr>
          <w:rFonts w:cs="Arial"/>
        </w:rPr>
        <w:t>muß</w:t>
      </w:r>
      <w:proofErr w:type="spellEnd"/>
      <w:r>
        <w:rPr>
          <w:rFonts w:cs="Arial"/>
        </w:rPr>
        <w:t>, um solche</w:t>
      </w:r>
      <w:r w:rsidRPr="003F486D">
        <w:rPr>
          <w:rFonts w:cs="Arial"/>
        </w:rPr>
        <w:t xml:space="preserve"> IT</w:t>
      </w:r>
      <w:r>
        <w:rPr>
          <w:rFonts w:cs="Arial"/>
        </w:rPr>
        <w:t>-Systeme</w:t>
      </w:r>
      <w:r w:rsidRPr="003F486D">
        <w:rPr>
          <w:rFonts w:cs="Arial"/>
        </w:rPr>
        <w:t xml:space="preserve"> </w:t>
      </w:r>
      <w:r>
        <w:rPr>
          <w:rFonts w:cs="Arial"/>
        </w:rPr>
        <w:t>künftig</w:t>
      </w:r>
      <w:r w:rsidRPr="0011179A">
        <w:rPr>
          <w:rFonts w:cs="Arial"/>
        </w:rPr>
        <w:t xml:space="preserve"> </w:t>
      </w:r>
      <w:r>
        <w:rPr>
          <w:rFonts w:cs="Arial"/>
        </w:rPr>
        <w:t>zu warten und zu entwickeln</w:t>
      </w:r>
      <w:r w:rsidRPr="003F486D">
        <w:rPr>
          <w:rFonts w:cs="Arial"/>
        </w:rPr>
        <w:t>.</w:t>
      </w:r>
      <w:r>
        <w:rPr>
          <w:rFonts w:cs="Arial"/>
        </w:rPr>
        <w:t xml:space="preserve"> In Anbetracht dieser Tatsache wird die Maßnahme </w:t>
      </w:r>
      <w:r>
        <w:t>vorgeschlagen, eine zusätzliche Stelle für einen</w:t>
      </w:r>
      <w:r w:rsidRPr="003F486D">
        <w:t xml:space="preserve"> </w:t>
      </w:r>
      <w:r>
        <w:t>IT-Fachmann</w:t>
      </w:r>
      <w:r w:rsidRPr="003F486D">
        <w:t xml:space="preserve"> in </w:t>
      </w:r>
      <w:r>
        <w:t>der</w:t>
      </w:r>
      <w:r w:rsidRPr="003F486D">
        <w:t xml:space="preserve"> </w:t>
      </w:r>
      <w:r>
        <w:t>Rechnungsperiode 2018-2019 zu schaffen</w:t>
      </w:r>
      <w:r w:rsidRPr="003F486D">
        <w:t>.</w:t>
      </w:r>
    </w:p>
    <w:p w:rsidR="008134A5" w:rsidRPr="003F486D" w:rsidRDefault="008134A5" w:rsidP="008134A5"/>
    <w:p w:rsidR="008134A5" w:rsidRPr="003F486D" w:rsidRDefault="008134A5" w:rsidP="008134A5">
      <w:pPr>
        <w:rPr>
          <w:spacing w:val="-2"/>
          <w:szCs w:val="24"/>
        </w:rPr>
      </w:pPr>
      <w:r w:rsidRPr="003F486D">
        <w:t>1.21</w:t>
      </w:r>
      <w:r w:rsidRPr="003F486D">
        <w:tab/>
      </w:r>
      <w:r>
        <w:t>Trotz der statischen</w:t>
      </w:r>
      <w:r w:rsidRPr="003F486D">
        <w:t xml:space="preserve"> Einnahmen </w:t>
      </w:r>
      <w:r>
        <w:t>standen über die letzten</w:t>
      </w:r>
      <w:r w:rsidRPr="003F486D">
        <w:t xml:space="preserve"> </w:t>
      </w:r>
      <w:r>
        <w:t>Rechnungsperioden</w:t>
      </w:r>
      <w:r w:rsidRPr="003F486D">
        <w:t xml:space="preserve"> </w:t>
      </w:r>
      <w:r>
        <w:t>ausreichende</w:t>
      </w:r>
      <w:r w:rsidRPr="003F486D">
        <w:t xml:space="preserve"> </w:t>
      </w:r>
      <w:r>
        <w:t>finanzielle</w:t>
      </w:r>
      <w:r w:rsidRPr="003F486D">
        <w:t xml:space="preserve"> Mittel </w:t>
      </w:r>
      <w:r>
        <w:t>für die</w:t>
      </w:r>
      <w:r w:rsidRPr="003F486D">
        <w:t xml:space="preserve"> </w:t>
      </w:r>
      <w:r>
        <w:t>vorstehend genannten</w:t>
      </w:r>
      <w:r w:rsidRPr="003F486D">
        <w:t xml:space="preserve"> </w:t>
      </w:r>
      <w:r>
        <w:t>Initiativen</w:t>
      </w:r>
      <w:r w:rsidRPr="003F486D">
        <w:t xml:space="preserve"> </w:t>
      </w:r>
      <w:r>
        <w:t>zur Verfügung</w:t>
      </w:r>
      <w:r w:rsidRPr="003F486D">
        <w:t xml:space="preserve">, da </w:t>
      </w:r>
      <w:r>
        <w:t>die Kosten für</w:t>
      </w:r>
      <w:r w:rsidRPr="003F486D">
        <w:t xml:space="preserve"> </w:t>
      </w:r>
      <w:r>
        <w:t>die</w:t>
      </w:r>
      <w:r w:rsidRPr="003F486D">
        <w:t xml:space="preserve"> 11 </w:t>
      </w:r>
      <w:r>
        <w:t>Posten</w:t>
      </w:r>
      <w:r w:rsidRPr="003F486D">
        <w:t xml:space="preserve"> </w:t>
      </w:r>
      <w:r>
        <w:t>aufgrund von personellen</w:t>
      </w:r>
      <w:r w:rsidRPr="0012506F">
        <w:t xml:space="preserve"> </w:t>
      </w:r>
      <w:r>
        <w:t>Verä</w:t>
      </w:r>
      <w:r w:rsidRPr="0012506F">
        <w:t>nderungen</w:t>
      </w:r>
      <w:r w:rsidRPr="003F486D">
        <w:t xml:space="preserve"> </w:t>
      </w:r>
      <w:r>
        <w:t>in Grenzen gehalten werden konnten</w:t>
      </w:r>
      <w:r w:rsidRPr="003F486D">
        <w:t xml:space="preserve">: </w:t>
      </w:r>
      <w:r>
        <w:t>beispielsweise waren</w:t>
      </w:r>
      <w:r w:rsidRPr="003F486D">
        <w:t xml:space="preserve"> Kosten </w:t>
      </w:r>
      <w:r>
        <w:t xml:space="preserve">für die Posten </w:t>
      </w:r>
      <w:r w:rsidRPr="003F486D">
        <w:t xml:space="preserve">in </w:t>
      </w:r>
      <w:r>
        <w:t>der</w:t>
      </w:r>
      <w:r w:rsidRPr="003F486D">
        <w:t xml:space="preserve"> </w:t>
      </w:r>
      <w:r>
        <w:t>Rechnungsperiode 2014-2015 (4 159 </w:t>
      </w:r>
      <w:r w:rsidRPr="003F486D">
        <w:t xml:space="preserve">000 </w:t>
      </w:r>
      <w:r>
        <w:rPr>
          <w:spacing w:val="-2"/>
          <w:szCs w:val="24"/>
        </w:rPr>
        <w:t>Schweizer Franken</w:t>
      </w:r>
      <w:r w:rsidRPr="003F486D">
        <w:rPr>
          <w:spacing w:val="-2"/>
          <w:szCs w:val="24"/>
        </w:rPr>
        <w:t xml:space="preserve">) </w:t>
      </w:r>
      <w:r>
        <w:t>niedriger</w:t>
      </w:r>
      <w:r>
        <w:rPr>
          <w:spacing w:val="-2"/>
          <w:szCs w:val="24"/>
        </w:rPr>
        <w:t xml:space="preserve"> als in</w:t>
      </w:r>
      <w:r w:rsidRPr="003F486D">
        <w:rPr>
          <w:spacing w:val="-2"/>
          <w:szCs w:val="24"/>
        </w:rPr>
        <w:t xml:space="preserve"> </w:t>
      </w:r>
      <w:r>
        <w:rPr>
          <w:spacing w:val="-2"/>
          <w:szCs w:val="24"/>
        </w:rPr>
        <w:t>der</w:t>
      </w:r>
      <w:r w:rsidRPr="003F486D">
        <w:rPr>
          <w:spacing w:val="-2"/>
          <w:szCs w:val="24"/>
        </w:rPr>
        <w:t xml:space="preserve"> </w:t>
      </w:r>
      <w:r w:rsidRPr="003F486D">
        <w:t xml:space="preserve">Rechnungsperiode 2004-2005 </w:t>
      </w:r>
      <w:r>
        <w:t>(4 001 </w:t>
      </w:r>
      <w:r w:rsidRPr="003F486D">
        <w:t xml:space="preserve">000 </w:t>
      </w:r>
      <w:r>
        <w:rPr>
          <w:spacing w:val="-2"/>
          <w:szCs w:val="24"/>
        </w:rPr>
        <w:t>Schweizer Franken</w:t>
      </w:r>
      <w:r w:rsidRPr="003F486D">
        <w:rPr>
          <w:spacing w:val="-2"/>
          <w:szCs w:val="24"/>
        </w:rPr>
        <w:t>).</w:t>
      </w:r>
      <w:r>
        <w:rPr>
          <w:spacing w:val="-2"/>
          <w:szCs w:val="24"/>
        </w:rPr>
        <w:t xml:space="preserve"> </w:t>
      </w:r>
      <w:r>
        <w:t>Allerdings werden für die</w:t>
      </w:r>
      <w:r w:rsidRPr="003F486D">
        <w:t xml:space="preserve"> </w:t>
      </w:r>
      <w:r>
        <w:t>kommende</w:t>
      </w:r>
      <w:r w:rsidRPr="003F486D">
        <w:t xml:space="preserve"> Rechnungsperiode </w:t>
      </w:r>
      <w:r>
        <w:t>und darauf</w:t>
      </w:r>
      <w:r w:rsidR="00500899">
        <w:t xml:space="preserve"> </w:t>
      </w:r>
      <w:r>
        <w:t xml:space="preserve">folgende </w:t>
      </w:r>
      <w:r w:rsidRPr="003F486D">
        <w:t>Rechnungsperiode</w:t>
      </w:r>
      <w:r>
        <w:t>n zusätzliche</w:t>
      </w:r>
      <w:r w:rsidRPr="003F486D">
        <w:t xml:space="preserve"> Mittel </w:t>
      </w:r>
      <w:r>
        <w:t xml:space="preserve">zur Aufrechterhaltung und gegebenenfalls Verbesserung der </w:t>
      </w:r>
      <w:r w:rsidRPr="003F486D">
        <w:t>Tätigkeiten</w:t>
      </w:r>
      <w:r>
        <w:t xml:space="preserve"> und </w:t>
      </w:r>
      <w:r w:rsidRPr="003F486D">
        <w:t>Dienstleistungen</w:t>
      </w:r>
      <w:r>
        <w:t xml:space="preserve"> auf dem heutigen Niveau</w:t>
      </w:r>
      <w:r w:rsidRPr="0011179A">
        <w:t xml:space="preserve"> </w:t>
      </w:r>
      <w:r>
        <w:t>erforderlich sein</w:t>
      </w:r>
      <w:r w:rsidRPr="003F486D">
        <w:t>.</w:t>
      </w:r>
      <w:r>
        <w:t xml:space="preserve"> </w:t>
      </w:r>
      <w:r w:rsidR="00500899">
        <w:t xml:space="preserve">Hinsichtlich </w:t>
      </w:r>
      <w:r>
        <w:t>Personalkosten</w:t>
      </w:r>
      <w:r>
        <w:rPr>
          <w:spacing w:val="-2"/>
          <w:szCs w:val="24"/>
        </w:rPr>
        <w:t xml:space="preserve"> wird die </w:t>
      </w:r>
      <w:r w:rsidRPr="003F486D">
        <w:rPr>
          <w:spacing w:val="-2"/>
          <w:szCs w:val="24"/>
        </w:rPr>
        <w:t xml:space="preserve">UPOV </w:t>
      </w:r>
      <w:r>
        <w:rPr>
          <w:spacing w:val="-2"/>
          <w:szCs w:val="24"/>
        </w:rPr>
        <w:t>Vorkehrungen für die Wartung</w:t>
      </w:r>
      <w:r w:rsidRPr="00C6308D">
        <w:rPr>
          <w:spacing w:val="-2"/>
          <w:szCs w:val="24"/>
        </w:rPr>
        <w:t xml:space="preserve"> </w:t>
      </w:r>
      <w:r>
        <w:rPr>
          <w:spacing w:val="-2"/>
          <w:szCs w:val="24"/>
        </w:rPr>
        <w:t xml:space="preserve">und Entwicklung ihrer </w:t>
      </w:r>
      <w:r w:rsidRPr="003F486D">
        <w:rPr>
          <w:spacing w:val="-2"/>
          <w:szCs w:val="24"/>
        </w:rPr>
        <w:t>IT</w:t>
      </w:r>
      <w:r w:rsidRPr="003F486D">
        <w:rPr>
          <w:spacing w:val="-2"/>
          <w:szCs w:val="24"/>
        </w:rPr>
        <w:noBreakHyphen/>
      </w:r>
      <w:r>
        <w:rPr>
          <w:spacing w:val="-2"/>
          <w:szCs w:val="24"/>
        </w:rPr>
        <w:t>basierten Initiativen</w:t>
      </w:r>
      <w:r w:rsidRPr="00FD163D">
        <w:rPr>
          <w:spacing w:val="-2"/>
          <w:szCs w:val="24"/>
        </w:rPr>
        <w:t xml:space="preserve"> </w:t>
      </w:r>
      <w:r>
        <w:rPr>
          <w:spacing w:val="-2"/>
          <w:szCs w:val="24"/>
        </w:rPr>
        <w:t>treffen müssen</w:t>
      </w:r>
      <w:r w:rsidRPr="003F486D">
        <w:rPr>
          <w:spacing w:val="-2"/>
          <w:szCs w:val="24"/>
        </w:rPr>
        <w:t>.</w:t>
      </w:r>
      <w:r>
        <w:rPr>
          <w:spacing w:val="-2"/>
          <w:szCs w:val="24"/>
        </w:rPr>
        <w:t xml:space="preserve"> </w:t>
      </w:r>
    </w:p>
    <w:p w:rsidR="008134A5" w:rsidRPr="003F486D" w:rsidRDefault="008134A5" w:rsidP="008134A5">
      <w:pPr>
        <w:rPr>
          <w:spacing w:val="-2"/>
          <w:szCs w:val="24"/>
        </w:rPr>
      </w:pPr>
    </w:p>
    <w:p w:rsidR="008134A5" w:rsidRPr="003F486D" w:rsidRDefault="008134A5" w:rsidP="008134A5">
      <w:r w:rsidRPr="003F486D">
        <w:t>1.22</w:t>
      </w:r>
      <w:r w:rsidRPr="003F486D">
        <w:tab/>
      </w:r>
      <w:r>
        <w:t>Die</w:t>
      </w:r>
      <w:r w:rsidRPr="003F486D">
        <w:t xml:space="preserve"> </w:t>
      </w:r>
      <w:r>
        <w:t>Lancierung</w:t>
      </w:r>
      <w:r w:rsidRPr="003F486D">
        <w:t xml:space="preserve"> </w:t>
      </w:r>
      <w:r>
        <w:t>des EAF</w:t>
      </w:r>
      <w:r w:rsidRPr="003F486D">
        <w:t xml:space="preserve"> im Jahr 2017</w:t>
      </w:r>
      <w:r>
        <w:t xml:space="preserve"> war ein</w:t>
      </w:r>
      <w:r w:rsidRPr="003F486D">
        <w:t xml:space="preserve"> </w:t>
      </w:r>
      <w:r>
        <w:t>wichtiger</w:t>
      </w:r>
      <w:r w:rsidRPr="003F486D">
        <w:t xml:space="preserve"> </w:t>
      </w:r>
      <w:r>
        <w:t>Schritt</w:t>
      </w:r>
      <w:r w:rsidRPr="003F486D">
        <w:t xml:space="preserve"> hinsichtlich</w:t>
      </w:r>
      <w:r>
        <w:t xml:space="preserve"> der</w:t>
      </w:r>
      <w:r w:rsidRPr="003F486D">
        <w:t xml:space="preserve"> </w:t>
      </w:r>
      <w:r>
        <w:t>Erleichterung</w:t>
      </w:r>
      <w:r w:rsidRPr="003F486D">
        <w:t xml:space="preserve"> </w:t>
      </w:r>
      <w:r>
        <w:t>von Anträgen</w:t>
      </w:r>
      <w:r w:rsidRPr="003F486D">
        <w:t xml:space="preserve"> </w:t>
      </w:r>
      <w:r>
        <w:t xml:space="preserve">bei </w:t>
      </w:r>
      <w:r w:rsidRPr="003F486D">
        <w:t>Verbandsmitgliedern</w:t>
      </w:r>
      <w:r>
        <w:t xml:space="preserve"> und war nur</w:t>
      </w:r>
      <w:r w:rsidRPr="003F486D">
        <w:t xml:space="preserve"> </w:t>
      </w:r>
      <w:r>
        <w:t>auf der Grundlage</w:t>
      </w:r>
      <w:r w:rsidRPr="00835FF0">
        <w:t xml:space="preserve"> </w:t>
      </w:r>
      <w:r>
        <w:t xml:space="preserve">möglich, </w:t>
      </w:r>
      <w:proofErr w:type="spellStart"/>
      <w:r>
        <w:t>daß</w:t>
      </w:r>
      <w:proofErr w:type="spellEnd"/>
      <w:r>
        <w:t xml:space="preserve"> Gebühren</w:t>
      </w:r>
      <w:r w:rsidRPr="003F486D">
        <w:t xml:space="preserve"> </w:t>
      </w:r>
      <w:r>
        <w:t>von</w:t>
      </w:r>
      <w:r w:rsidRPr="003F486D">
        <w:t xml:space="preserve"> </w:t>
      </w:r>
      <w:r>
        <w:t>Anmeldern</w:t>
      </w:r>
      <w:r w:rsidRPr="003F486D">
        <w:t xml:space="preserve"> </w:t>
      </w:r>
      <w:r>
        <w:t xml:space="preserve">letztendlich die </w:t>
      </w:r>
      <w:r w:rsidRPr="003F486D">
        <w:t xml:space="preserve">Kosten </w:t>
      </w:r>
      <w:r>
        <w:t>für dessen</w:t>
      </w:r>
      <w:r w:rsidRPr="003F486D">
        <w:t xml:space="preserve"> Entwicklung</w:t>
      </w:r>
      <w:r>
        <w:t xml:space="preserve"> und Wartung decken würden</w:t>
      </w:r>
      <w:r w:rsidRPr="003F486D">
        <w:t>.</w:t>
      </w:r>
      <w:r>
        <w:t xml:space="preserve"> Die</w:t>
      </w:r>
      <w:r w:rsidRPr="003F486D">
        <w:t xml:space="preserve"> Einnahmen </w:t>
      </w:r>
      <w:r>
        <w:t>aus dem</w:t>
      </w:r>
      <w:r w:rsidRPr="003F486D">
        <w:t xml:space="preserve"> EAF </w:t>
      </w:r>
      <w:r>
        <w:t>werden von</w:t>
      </w:r>
      <w:r w:rsidRPr="003F486D">
        <w:t xml:space="preserve"> </w:t>
      </w:r>
      <w:r>
        <w:t>dessen Verwendung durch</w:t>
      </w:r>
      <w:r w:rsidRPr="003F486D">
        <w:t xml:space="preserve"> </w:t>
      </w:r>
      <w:r>
        <w:t>Züchter</w:t>
      </w:r>
      <w:r w:rsidRPr="00835FF0">
        <w:t xml:space="preserve"> </w:t>
      </w:r>
      <w:r>
        <w:t>abhängen</w:t>
      </w:r>
      <w:r w:rsidRPr="003F486D">
        <w:t xml:space="preserve">, </w:t>
      </w:r>
      <w:r>
        <w:t>die wiederum von</w:t>
      </w:r>
      <w:r w:rsidRPr="003F486D">
        <w:t xml:space="preserve"> </w:t>
      </w:r>
      <w:r>
        <w:t xml:space="preserve">der Mitwirkung der </w:t>
      </w:r>
      <w:r w:rsidRPr="003F486D">
        <w:t>Verbandsmitglieder</w:t>
      </w:r>
      <w:r w:rsidRPr="00FD163D">
        <w:t xml:space="preserve"> </w:t>
      </w:r>
      <w:r>
        <w:t>an</w:t>
      </w:r>
      <w:r w:rsidRPr="003F486D">
        <w:t xml:space="preserve"> </w:t>
      </w:r>
      <w:r>
        <w:t>dem</w:t>
      </w:r>
      <w:r w:rsidRPr="003F486D">
        <w:t xml:space="preserve"> EAF </w:t>
      </w:r>
      <w:r>
        <w:t>abhängen wird</w:t>
      </w:r>
      <w:r w:rsidRPr="003F486D">
        <w:t>.</w:t>
      </w:r>
      <w:r>
        <w:t xml:space="preserve"> </w:t>
      </w:r>
    </w:p>
    <w:p w:rsidR="008134A5" w:rsidRPr="003F486D" w:rsidRDefault="008134A5" w:rsidP="008134A5"/>
    <w:p w:rsidR="008134A5" w:rsidRPr="003F486D" w:rsidRDefault="008134A5" w:rsidP="008134A5">
      <w:r w:rsidRPr="003F486D">
        <w:t>1.23</w:t>
      </w:r>
      <w:r w:rsidRPr="003F486D">
        <w:tab/>
      </w:r>
      <w:r>
        <w:t xml:space="preserve">Die </w:t>
      </w:r>
      <w:r w:rsidRPr="003F486D">
        <w:t xml:space="preserve">UPOV </w:t>
      </w:r>
      <w:r>
        <w:t>zog</w:t>
      </w:r>
      <w:r w:rsidRPr="00411BA7">
        <w:t xml:space="preserve"> großen Nutzen aus zusätzlichen Finanzmitteln, die </w:t>
      </w:r>
      <w:r>
        <w:t xml:space="preserve">von Verbandsmitgliedern </w:t>
      </w:r>
      <w:r w:rsidRPr="00411BA7">
        <w:t>zum Beispiel in Form von Treuhandgeldern bereitgestellt werden</w:t>
      </w:r>
      <w:r w:rsidRPr="003F486D">
        <w:t>,</w:t>
      </w:r>
      <w:r>
        <w:t xml:space="preserve"> und </w:t>
      </w:r>
      <w:r w:rsidRPr="00411BA7">
        <w:t>Unterstützung mit Sachleistungen, die von zahlreichen Verbandsmitgliedern in Form von Sachverständigen bereitgestellt werden</w:t>
      </w:r>
      <w:r w:rsidRPr="003F486D">
        <w:t>.</w:t>
      </w:r>
      <w:r>
        <w:t xml:space="preserve"> Solche</w:t>
      </w:r>
      <w:r w:rsidRPr="003F486D">
        <w:t xml:space="preserve"> Mittel </w:t>
      </w:r>
      <w:r>
        <w:t>werden künftig auch</w:t>
      </w:r>
      <w:r w:rsidRPr="003F486D">
        <w:t xml:space="preserve"> </w:t>
      </w:r>
      <w:r>
        <w:t>von gleicher Bedeutung sein</w:t>
      </w:r>
      <w:r w:rsidRPr="003F486D">
        <w:t>.</w:t>
      </w:r>
      <w:r>
        <w:t xml:space="preserve"> </w:t>
      </w:r>
      <w:r w:rsidRPr="003F486D">
        <w:t>Gleichzeitig</w:t>
      </w:r>
      <w:r>
        <w:t xml:space="preserve"> wird die</w:t>
      </w:r>
      <w:r w:rsidRPr="003F486D">
        <w:t xml:space="preserve"> UPOV </w:t>
      </w:r>
      <w:r>
        <w:t>Möglichkeiten</w:t>
      </w:r>
      <w:r w:rsidRPr="003F486D">
        <w:t xml:space="preserve"> </w:t>
      </w:r>
      <w:r>
        <w:t>zur Ergänzung des Personals in</w:t>
      </w:r>
      <w:r w:rsidRPr="003F486D">
        <w:t xml:space="preserve"> </w:t>
      </w:r>
      <w:r w:rsidRPr="00411BA7">
        <w:t xml:space="preserve">Form von geeigneten qualifizierten Bediensteten, die in vollem Umfang von Verbandsmitgliedern durch </w:t>
      </w:r>
      <w:r>
        <w:t xml:space="preserve">das </w:t>
      </w:r>
      <w:r w:rsidRPr="00417518">
        <w:t xml:space="preserve">„Junior Professional Officer (JPO)“-Programm </w:t>
      </w:r>
      <w:r>
        <w:t>und</w:t>
      </w:r>
      <w:r w:rsidR="00500899">
        <w:t xml:space="preserve"> </w:t>
      </w:r>
      <w:r w:rsidR="00500899" w:rsidRPr="00500899">
        <w:t>Stipendien</w:t>
      </w:r>
      <w:r w:rsidR="00500899">
        <w:t xml:space="preserve"> sowie</w:t>
      </w:r>
      <w:r>
        <w:t xml:space="preserve"> sonstige Vereinbarungen</w:t>
      </w:r>
      <w:r w:rsidR="00500899">
        <w:t>, wie z. B.</w:t>
      </w:r>
      <w:r>
        <w:t xml:space="preserve"> </w:t>
      </w:r>
      <w:r w:rsidR="00500899">
        <w:t xml:space="preserve">Praktika, </w:t>
      </w:r>
      <w:r>
        <w:t>finanziert werden, untersuchen</w:t>
      </w:r>
      <w:r w:rsidRPr="003F486D">
        <w:t>.</w:t>
      </w:r>
    </w:p>
    <w:p w:rsidR="008134A5" w:rsidRPr="003F486D" w:rsidRDefault="008134A5" w:rsidP="008134A5"/>
    <w:p w:rsidR="008134A5" w:rsidRPr="003F486D" w:rsidRDefault="008134A5" w:rsidP="008134A5"/>
    <w:p w:rsidR="008134A5" w:rsidRPr="003F486D" w:rsidRDefault="008134A5" w:rsidP="008134A5">
      <w:r w:rsidRPr="003F486D">
        <w:br w:type="page"/>
      </w:r>
    </w:p>
    <w:p w:rsidR="008134A5" w:rsidRPr="003F486D" w:rsidRDefault="008134A5" w:rsidP="008134A5">
      <w:pPr>
        <w:rPr>
          <w:b/>
        </w:rPr>
      </w:pPr>
      <w:r w:rsidRPr="003F486D">
        <w:rPr>
          <w:b/>
        </w:rPr>
        <w:t>2.</w:t>
      </w:r>
      <w:r w:rsidRPr="003F486D">
        <w:tab/>
      </w:r>
      <w:r w:rsidRPr="003F486D">
        <w:rPr>
          <w:b/>
        </w:rPr>
        <w:t>ZIELE UND ERWARTETE ERGEBNISSE DER UNTERPROGRAMME</w:t>
      </w:r>
    </w:p>
    <w:p w:rsidR="008134A5" w:rsidRPr="003F486D" w:rsidRDefault="008134A5" w:rsidP="008134A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color w:val="000000"/>
        </w:rPr>
      </w:pPr>
    </w:p>
    <w:p w:rsidR="008134A5" w:rsidRPr="003F486D" w:rsidRDefault="008134A5" w:rsidP="008134A5">
      <w:pPr>
        <w:tabs>
          <w:tab w:val="left" w:pos="567"/>
        </w:tabs>
        <w:ind w:left="2835" w:hanging="2835"/>
        <w:rPr>
          <w:b/>
        </w:rPr>
      </w:pPr>
      <w:r w:rsidRPr="003F486D">
        <w:rPr>
          <w:b/>
        </w:rPr>
        <w:t>2.1</w:t>
      </w:r>
      <w:r w:rsidRPr="003F486D">
        <w:tab/>
      </w:r>
      <w:r w:rsidRPr="003F486D">
        <w:rPr>
          <w:b/>
          <w:u w:val="single"/>
        </w:rPr>
        <w:t>Unterprogramm UV.1</w:t>
      </w:r>
      <w:r w:rsidRPr="003F486D">
        <w:rPr>
          <w:b/>
        </w:rPr>
        <w:t>:</w:t>
      </w:r>
      <w:r w:rsidRPr="003F486D">
        <w:tab/>
      </w:r>
      <w:r w:rsidRPr="003F486D">
        <w:rPr>
          <w:b/>
          <w:u w:val="single"/>
        </w:rPr>
        <w:t>Allgemeine Sortenschutzpolitik</w:t>
      </w:r>
    </w:p>
    <w:p w:rsidR="008134A5" w:rsidRPr="003F486D" w:rsidRDefault="008134A5" w:rsidP="008134A5"/>
    <w:p w:rsidR="008134A5" w:rsidRPr="003F486D" w:rsidRDefault="008134A5" w:rsidP="008134A5">
      <w:pPr>
        <w:rPr>
          <w:b/>
        </w:rPr>
      </w:pPr>
      <w:r w:rsidRPr="003F486D">
        <w:rPr>
          <w:b/>
        </w:rPr>
        <w:t>2.1.1</w:t>
      </w:r>
      <w:r w:rsidRPr="003F486D">
        <w:tab/>
      </w:r>
      <w:r w:rsidRPr="003F486D">
        <w:rPr>
          <w:b/>
        </w:rPr>
        <w:t>Ziele</w:t>
      </w:r>
    </w:p>
    <w:p w:rsidR="008134A5" w:rsidRPr="003F486D" w:rsidRDefault="008134A5" w:rsidP="008134A5"/>
    <w:p w:rsidR="008134A5" w:rsidRPr="003F486D" w:rsidRDefault="008134A5" w:rsidP="008134A5">
      <w:r w:rsidRPr="003F486D">
        <w:tab/>
        <w:t>a)</w:t>
      </w:r>
      <w:r w:rsidRPr="003F486D">
        <w:tab/>
        <w:t>Politische Orientierung und Geschäftsführung.</w:t>
      </w:r>
    </w:p>
    <w:p w:rsidR="008134A5" w:rsidRPr="003F486D" w:rsidRDefault="008134A5" w:rsidP="008134A5"/>
    <w:p w:rsidR="008134A5" w:rsidRPr="003F486D" w:rsidRDefault="008134A5" w:rsidP="008134A5">
      <w:r w:rsidRPr="003F486D">
        <w:tab/>
        <w:t>b)</w:t>
      </w:r>
      <w:r w:rsidRPr="003F486D">
        <w:tab/>
        <w:t>Planung, Umsetzung und Bewertung des Programms und des Haushaltsplans.</w:t>
      </w:r>
    </w:p>
    <w:p w:rsidR="008134A5" w:rsidRPr="003F486D" w:rsidRDefault="008134A5" w:rsidP="008134A5"/>
    <w:p w:rsidR="008134A5" w:rsidRPr="003F486D" w:rsidRDefault="008134A5" w:rsidP="008134A5"/>
    <w:p w:rsidR="008134A5" w:rsidRPr="003F486D" w:rsidRDefault="008134A5" w:rsidP="008134A5">
      <w:pPr>
        <w:keepNext/>
        <w:tabs>
          <w:tab w:val="left" w:pos="567"/>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b/>
        </w:rPr>
      </w:pPr>
      <w:r w:rsidRPr="003F486D">
        <w:rPr>
          <w:b/>
        </w:rPr>
        <w:t>2.1.2</w:t>
      </w:r>
      <w:r w:rsidRPr="003F486D">
        <w:tab/>
      </w:r>
      <w:r w:rsidRPr="003F486D">
        <w:rPr>
          <w:b/>
        </w:rPr>
        <w:t>Hintergrund</w:t>
      </w:r>
    </w:p>
    <w:p w:rsidR="008134A5" w:rsidRPr="003F486D" w:rsidRDefault="008134A5" w:rsidP="008134A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pPr>
    </w:p>
    <w:p w:rsidR="008134A5" w:rsidRPr="003F486D" w:rsidRDefault="008134A5" w:rsidP="008134A5">
      <w:pPr>
        <w:tabs>
          <w:tab w:val="left" w:pos="567"/>
        </w:tabs>
        <w:rPr>
          <w:spacing w:val="-2"/>
        </w:rPr>
      </w:pPr>
      <w:r w:rsidRPr="003F486D">
        <w:t>2.1.2.1</w:t>
      </w:r>
      <w:r w:rsidRPr="003F486D">
        <w:tab/>
        <w:t xml:space="preserve">Dieses Unterprogramm </w:t>
      </w:r>
      <w:proofErr w:type="spellStart"/>
      <w:r w:rsidRPr="003F486D">
        <w:t>umfaßt</w:t>
      </w:r>
      <w:proofErr w:type="spellEnd"/>
      <w:r w:rsidRPr="003F486D">
        <w:t xml:space="preserve"> die </w:t>
      </w:r>
      <w:proofErr w:type="spellStart"/>
      <w:r w:rsidRPr="003F486D">
        <w:t>Beschlußfassung</w:t>
      </w:r>
      <w:proofErr w:type="spellEnd"/>
      <w:r w:rsidRPr="003F486D">
        <w:t>, Verwaltung und Koordinierung aller Tätigkeiten des Hauptprogramms der UPOV, wie vom Rat mit der Anleitung des Beratenden Ausschusses festgelegt.</w:t>
      </w:r>
    </w:p>
    <w:p w:rsidR="008134A5" w:rsidRPr="003F486D" w:rsidRDefault="008134A5" w:rsidP="008134A5">
      <w:pPr>
        <w:tabs>
          <w:tab w:val="left" w:pos="567"/>
        </w:tabs>
        <w:rPr>
          <w:spacing w:val="-2"/>
        </w:rPr>
      </w:pPr>
    </w:p>
    <w:p w:rsidR="008134A5" w:rsidRPr="003F486D" w:rsidRDefault="008134A5" w:rsidP="008134A5">
      <w:pPr>
        <w:tabs>
          <w:tab w:val="left" w:pos="567"/>
        </w:tabs>
        <w:rPr>
          <w:spacing w:val="-2"/>
        </w:rPr>
      </w:pPr>
      <w:r w:rsidRPr="003F486D">
        <w:rPr>
          <w:spacing w:val="-2"/>
        </w:rPr>
        <w:t>2.1.2.2</w:t>
      </w:r>
      <w:r w:rsidRPr="003F486D">
        <w:rPr>
          <w:spacing w:val="-2"/>
        </w:rPr>
        <w:tab/>
      </w:r>
      <w:r>
        <w:rPr>
          <w:spacing w:val="-2"/>
        </w:rPr>
        <w:t>Die</w:t>
      </w:r>
      <w:r w:rsidRPr="003F486D">
        <w:rPr>
          <w:spacing w:val="-2"/>
        </w:rPr>
        <w:t xml:space="preserve"> </w:t>
      </w:r>
      <w:r>
        <w:rPr>
          <w:spacing w:val="-2"/>
        </w:rPr>
        <w:t>Erstellung und Überwachung</w:t>
      </w:r>
      <w:r w:rsidRPr="003F486D">
        <w:rPr>
          <w:spacing w:val="-2"/>
        </w:rPr>
        <w:t xml:space="preserve"> </w:t>
      </w:r>
      <w:r>
        <w:rPr>
          <w:spacing w:val="-2"/>
        </w:rPr>
        <w:t>eines</w:t>
      </w:r>
      <w:r w:rsidRPr="003F486D">
        <w:rPr>
          <w:spacing w:val="-2"/>
        </w:rPr>
        <w:t xml:space="preserve"> </w:t>
      </w:r>
      <w:r>
        <w:rPr>
          <w:spacing w:val="-2"/>
        </w:rPr>
        <w:t>s</w:t>
      </w:r>
      <w:r w:rsidRPr="000D0675">
        <w:rPr>
          <w:spacing w:val="-2"/>
        </w:rPr>
        <w:t>trategischen Geschäftsplan</w:t>
      </w:r>
      <w:r>
        <w:rPr>
          <w:spacing w:val="-2"/>
        </w:rPr>
        <w:t>s</w:t>
      </w:r>
      <w:r w:rsidRPr="003F486D">
        <w:rPr>
          <w:spacing w:val="-2"/>
        </w:rPr>
        <w:t>,</w:t>
      </w:r>
      <w:r>
        <w:rPr>
          <w:spacing w:val="-2"/>
        </w:rPr>
        <w:t xml:space="preserve"> wie von der </w:t>
      </w:r>
      <w:r w:rsidRPr="00DB3111">
        <w:rPr>
          <w:spacing w:val="-2"/>
        </w:rPr>
        <w:t>„Evaluierung des Internationalen Verbandes zum Schutz von Pflanzenzüchtungen (UPOV)“</w:t>
      </w:r>
      <w:r>
        <w:rPr>
          <w:spacing w:val="-2"/>
        </w:rPr>
        <w:t xml:space="preserve"> von der </w:t>
      </w:r>
      <w:r w:rsidRPr="00DB3111">
        <w:rPr>
          <w:spacing w:val="-2"/>
        </w:rPr>
        <w:t xml:space="preserve">Abteilung für interne Revision und Aufsicht (Internal </w:t>
      </w:r>
      <w:proofErr w:type="spellStart"/>
      <w:r w:rsidRPr="00DB3111">
        <w:rPr>
          <w:spacing w:val="-2"/>
        </w:rPr>
        <w:t>Oversight</w:t>
      </w:r>
      <w:proofErr w:type="spellEnd"/>
      <w:r w:rsidRPr="00DB3111">
        <w:rPr>
          <w:spacing w:val="-2"/>
        </w:rPr>
        <w:t xml:space="preserve"> Division (IOD)) der </w:t>
      </w:r>
      <w:r w:rsidR="00682437">
        <w:rPr>
          <w:spacing w:val="-2"/>
        </w:rPr>
        <w:t>WIPO</w:t>
      </w:r>
      <w:r w:rsidRPr="00DB3111">
        <w:rPr>
          <w:spacing w:val="-2"/>
        </w:rPr>
        <w:t xml:space="preserve"> </w:t>
      </w:r>
      <w:r>
        <w:rPr>
          <w:spacing w:val="-2"/>
        </w:rPr>
        <w:t>empfohlen,</w:t>
      </w:r>
      <w:r w:rsidRPr="003F486D">
        <w:rPr>
          <w:spacing w:val="-2"/>
        </w:rPr>
        <w:t xml:space="preserve"> </w:t>
      </w:r>
      <w:r>
        <w:rPr>
          <w:spacing w:val="-2"/>
        </w:rPr>
        <w:t>wird einen Rahmen für die</w:t>
      </w:r>
      <w:r w:rsidRPr="003F486D">
        <w:rPr>
          <w:spacing w:val="-2"/>
        </w:rPr>
        <w:t xml:space="preserve"> </w:t>
      </w:r>
      <w:r>
        <w:rPr>
          <w:spacing w:val="-2"/>
        </w:rPr>
        <w:t>Ziele</w:t>
      </w:r>
      <w:r w:rsidRPr="003F486D">
        <w:rPr>
          <w:spacing w:val="-2"/>
        </w:rPr>
        <w:t xml:space="preserve"> im Rahmen diese</w:t>
      </w:r>
      <w:r>
        <w:rPr>
          <w:spacing w:val="-2"/>
        </w:rPr>
        <w:t>s</w:t>
      </w:r>
      <w:r w:rsidRPr="003F486D">
        <w:rPr>
          <w:spacing w:val="-2"/>
        </w:rPr>
        <w:t xml:space="preserve"> Unterprogramm</w:t>
      </w:r>
      <w:r>
        <w:rPr>
          <w:spacing w:val="-2"/>
        </w:rPr>
        <w:t>s</w:t>
      </w:r>
      <w:r w:rsidRPr="00FD163D">
        <w:rPr>
          <w:spacing w:val="-2"/>
        </w:rPr>
        <w:t xml:space="preserve"> </w:t>
      </w:r>
      <w:r>
        <w:rPr>
          <w:spacing w:val="-2"/>
        </w:rPr>
        <w:t>schaffen</w:t>
      </w:r>
      <w:r w:rsidRPr="003F486D">
        <w:rPr>
          <w:spacing w:val="-2"/>
        </w:rPr>
        <w:t>.</w:t>
      </w:r>
      <w:r>
        <w:rPr>
          <w:spacing w:val="-2"/>
        </w:rPr>
        <w:t xml:space="preserve"> Insbesondere wird der</w:t>
      </w:r>
      <w:r w:rsidRPr="003F486D">
        <w:rPr>
          <w:spacing w:val="-2"/>
        </w:rPr>
        <w:t xml:space="preserve"> </w:t>
      </w:r>
      <w:r>
        <w:rPr>
          <w:spacing w:val="-2"/>
        </w:rPr>
        <w:t>s</w:t>
      </w:r>
      <w:r w:rsidRPr="000D0675">
        <w:rPr>
          <w:spacing w:val="-2"/>
        </w:rPr>
        <w:t>trategische Geschäftsplan</w:t>
      </w:r>
      <w:r w:rsidRPr="003F486D">
        <w:rPr>
          <w:spacing w:val="-2"/>
        </w:rPr>
        <w:t>:</w:t>
      </w:r>
    </w:p>
    <w:p w:rsidR="008134A5" w:rsidRPr="003F486D" w:rsidRDefault="008134A5" w:rsidP="008134A5">
      <w:pPr>
        <w:tabs>
          <w:tab w:val="left" w:pos="567"/>
        </w:tabs>
        <w:rPr>
          <w:spacing w:val="-2"/>
        </w:rPr>
      </w:pPr>
    </w:p>
    <w:p w:rsidR="008134A5" w:rsidRPr="003F486D" w:rsidRDefault="008134A5" w:rsidP="008134A5">
      <w:pPr>
        <w:tabs>
          <w:tab w:val="left" w:pos="567"/>
        </w:tabs>
        <w:ind w:left="567"/>
        <w:rPr>
          <w:spacing w:val="-2"/>
        </w:rPr>
      </w:pPr>
      <w:r w:rsidRPr="003F486D">
        <w:rPr>
          <w:spacing w:val="-2"/>
        </w:rPr>
        <w:t xml:space="preserve">a) </w:t>
      </w:r>
      <w:r w:rsidRPr="003F486D">
        <w:rPr>
          <w:spacing w:val="-2"/>
        </w:rPr>
        <w:tab/>
      </w:r>
      <w:r w:rsidRPr="00DB3111">
        <w:rPr>
          <w:spacing w:val="-2"/>
        </w:rPr>
        <w:t xml:space="preserve">als Roadmap für die Umsetzung </w:t>
      </w:r>
      <w:r>
        <w:rPr>
          <w:spacing w:val="-2"/>
        </w:rPr>
        <w:t>der strategischen</w:t>
      </w:r>
      <w:r w:rsidRPr="00DB3111">
        <w:rPr>
          <w:spacing w:val="-2"/>
        </w:rPr>
        <w:t xml:space="preserve"> Ziele und Objektive des Verbandes dienen</w:t>
      </w:r>
      <w:r w:rsidRPr="003F486D">
        <w:rPr>
          <w:spacing w:val="-2"/>
        </w:rPr>
        <w:t>;</w:t>
      </w:r>
    </w:p>
    <w:p w:rsidR="008134A5" w:rsidRPr="003F486D" w:rsidRDefault="008134A5" w:rsidP="008134A5">
      <w:pPr>
        <w:tabs>
          <w:tab w:val="left" w:pos="567"/>
        </w:tabs>
        <w:ind w:left="567"/>
        <w:rPr>
          <w:spacing w:val="-2"/>
        </w:rPr>
      </w:pPr>
    </w:p>
    <w:p w:rsidR="008134A5" w:rsidRPr="003F486D" w:rsidRDefault="008134A5" w:rsidP="008134A5">
      <w:pPr>
        <w:tabs>
          <w:tab w:val="left" w:pos="567"/>
        </w:tabs>
        <w:ind w:left="567"/>
        <w:rPr>
          <w:spacing w:val="-2"/>
        </w:rPr>
      </w:pPr>
      <w:r w:rsidRPr="003F486D">
        <w:rPr>
          <w:spacing w:val="-2"/>
        </w:rPr>
        <w:t xml:space="preserve">b) </w:t>
      </w:r>
      <w:r w:rsidRPr="003F486D">
        <w:rPr>
          <w:spacing w:val="-2"/>
        </w:rPr>
        <w:tab/>
      </w:r>
      <w:r w:rsidRPr="00DB3111">
        <w:rPr>
          <w:spacing w:val="-2"/>
        </w:rPr>
        <w:t xml:space="preserve">für die Erreichung der </w:t>
      </w:r>
      <w:r>
        <w:rPr>
          <w:spacing w:val="-2"/>
        </w:rPr>
        <w:t>s</w:t>
      </w:r>
      <w:r w:rsidRPr="00DB3111">
        <w:rPr>
          <w:spacing w:val="-2"/>
        </w:rPr>
        <w:t>trategischen Ziele und Objektive des Verbandes erforderliche Finanzmittel ermitteln</w:t>
      </w:r>
      <w:r w:rsidRPr="003F486D">
        <w:rPr>
          <w:spacing w:val="-2"/>
        </w:rPr>
        <w:t>;</w:t>
      </w:r>
    </w:p>
    <w:p w:rsidR="008134A5" w:rsidRPr="003F486D" w:rsidRDefault="008134A5" w:rsidP="008134A5">
      <w:pPr>
        <w:tabs>
          <w:tab w:val="left" w:pos="567"/>
        </w:tabs>
        <w:ind w:left="567"/>
        <w:rPr>
          <w:spacing w:val="-2"/>
        </w:rPr>
      </w:pPr>
    </w:p>
    <w:p w:rsidR="008134A5" w:rsidRPr="003F486D" w:rsidRDefault="008134A5" w:rsidP="008134A5">
      <w:pPr>
        <w:tabs>
          <w:tab w:val="left" w:pos="567"/>
        </w:tabs>
        <w:ind w:left="567"/>
        <w:rPr>
          <w:spacing w:val="-2"/>
        </w:rPr>
      </w:pPr>
      <w:r w:rsidRPr="003F486D">
        <w:rPr>
          <w:spacing w:val="-2"/>
        </w:rPr>
        <w:t xml:space="preserve">c) </w:t>
      </w:r>
      <w:r w:rsidRPr="003F486D">
        <w:rPr>
          <w:spacing w:val="-2"/>
        </w:rPr>
        <w:tab/>
      </w:r>
      <w:r w:rsidRPr="00DB3111">
        <w:rPr>
          <w:spacing w:val="-2"/>
        </w:rPr>
        <w:t>die Bedürfnisse an Personalressourcen entsprechend strategischer Prioritäten der Organisation aufzeigen; und</w:t>
      </w:r>
    </w:p>
    <w:p w:rsidR="008134A5" w:rsidRPr="003F486D" w:rsidRDefault="008134A5" w:rsidP="008134A5">
      <w:pPr>
        <w:tabs>
          <w:tab w:val="left" w:pos="567"/>
        </w:tabs>
        <w:ind w:left="567"/>
        <w:rPr>
          <w:spacing w:val="-2"/>
        </w:rPr>
      </w:pPr>
    </w:p>
    <w:p w:rsidR="008134A5" w:rsidRPr="003F486D" w:rsidRDefault="008134A5" w:rsidP="008134A5">
      <w:pPr>
        <w:tabs>
          <w:tab w:val="left" w:pos="567"/>
        </w:tabs>
        <w:ind w:left="567"/>
        <w:rPr>
          <w:spacing w:val="-2"/>
        </w:rPr>
      </w:pPr>
      <w:r w:rsidRPr="003F486D">
        <w:rPr>
          <w:spacing w:val="-2"/>
        </w:rPr>
        <w:t xml:space="preserve">d) </w:t>
      </w:r>
      <w:r w:rsidRPr="003F486D">
        <w:rPr>
          <w:spacing w:val="-2"/>
        </w:rPr>
        <w:tab/>
      </w:r>
      <w:r w:rsidRPr="00DB3111">
        <w:rPr>
          <w:spacing w:val="-2"/>
        </w:rPr>
        <w:t>langfristige Schritte und die wichtigsten Meilensteine für Öffentlichkeitsarbeit für eine bessere Sichtbarkeit der Organisation und Bemühungen für eine Steigerung der Ertragserwirtschaftung definieren</w:t>
      </w:r>
      <w:r w:rsidRPr="003F486D">
        <w:rPr>
          <w:spacing w:val="-2"/>
        </w:rPr>
        <w:t>.</w:t>
      </w:r>
    </w:p>
    <w:p w:rsidR="008134A5" w:rsidRPr="003F486D" w:rsidRDefault="008134A5" w:rsidP="008134A5">
      <w:pPr>
        <w:tabs>
          <w:tab w:val="left" w:pos="567"/>
        </w:tabs>
        <w:rPr>
          <w:spacing w:val="-2"/>
        </w:rPr>
      </w:pPr>
    </w:p>
    <w:p w:rsidR="008134A5" w:rsidRPr="003F486D" w:rsidRDefault="008134A5" w:rsidP="008134A5">
      <w:pPr>
        <w:tabs>
          <w:tab w:val="left" w:pos="567"/>
        </w:tabs>
      </w:pPr>
      <w:r w:rsidRPr="003F486D">
        <w:rPr>
          <w:spacing w:val="-2"/>
        </w:rPr>
        <w:t>2.1.2.3</w:t>
      </w:r>
      <w:r w:rsidRPr="003F486D">
        <w:rPr>
          <w:spacing w:val="-2"/>
        </w:rPr>
        <w:tab/>
      </w:r>
      <w:r w:rsidRPr="003F486D">
        <w:t xml:space="preserve">Die Erweiterung der UPOV in Verbindung mit dem anhaltenden Interesse von Staaten und Organisationen, Mitglied der UPOV zu werden, bedeutet, </w:t>
      </w:r>
      <w:proofErr w:type="spellStart"/>
      <w:r w:rsidRPr="003F486D">
        <w:t>daß</w:t>
      </w:r>
      <w:proofErr w:type="spellEnd"/>
      <w:r w:rsidRPr="003F486D">
        <w:t xml:space="preserve"> hier weitere Maßnahmen geprüft werden müssen</w:t>
      </w:r>
      <w:r>
        <w:t xml:space="preserve"> zur</w:t>
      </w:r>
      <w:r w:rsidRPr="003F486D">
        <w:t xml:space="preserve">: Erleichterung der Anträge auf Erteilung eines Züchterrechts (PBR); Erleichterung der Zusammenarbeit zwischen UPOV-Mitgliedern (siehe Unterprogramm UV.2); und Leistung von Unterstützung bei der Einführung und Umsetzung des UPOV-Systems auf die wirksamste Art </w:t>
      </w:r>
      <w:r>
        <w:t>und Weise</w:t>
      </w:r>
      <w:r w:rsidRPr="003F486D">
        <w:t xml:space="preserve"> mit den verfügbaren Mitteln (siehe Unterprogramm UV.3).</w:t>
      </w:r>
      <w:r>
        <w:t xml:space="preserve"> </w:t>
      </w:r>
    </w:p>
    <w:p w:rsidR="008134A5" w:rsidRPr="003F486D" w:rsidRDefault="008134A5" w:rsidP="008134A5">
      <w:pPr>
        <w:tabs>
          <w:tab w:val="left" w:pos="567"/>
        </w:tabs>
      </w:pPr>
    </w:p>
    <w:p w:rsidR="008134A5" w:rsidRPr="003F486D" w:rsidRDefault="008134A5" w:rsidP="008134A5">
      <w:pPr>
        <w:tabs>
          <w:tab w:val="left" w:pos="567"/>
        </w:tabs>
      </w:pPr>
      <w:r w:rsidRPr="003F486D">
        <w:rPr>
          <w:spacing w:val="-2"/>
        </w:rPr>
        <w:t>2.1.2.4</w:t>
      </w:r>
      <w:r w:rsidRPr="003F486D">
        <w:tab/>
        <w:t>Im Jahr 2017</w:t>
      </w:r>
      <w:r>
        <w:t xml:space="preserve"> wurde eine</w:t>
      </w:r>
      <w:r w:rsidRPr="003F486D">
        <w:t xml:space="preserve"> erste </w:t>
      </w:r>
      <w:r>
        <w:t>V</w:t>
      </w:r>
      <w:r w:rsidRPr="003F486D">
        <w:t xml:space="preserve">ersion </w:t>
      </w:r>
      <w:r>
        <w:t>des</w:t>
      </w:r>
      <w:r w:rsidRPr="003F486D">
        <w:t xml:space="preserve"> </w:t>
      </w:r>
      <w:r>
        <w:t>e</w:t>
      </w:r>
      <w:r w:rsidRPr="003F486D">
        <w:t>lektronischen Antragsformblatts (EAF)</w:t>
      </w:r>
      <w:r>
        <w:t xml:space="preserve"> der </w:t>
      </w:r>
      <w:r w:rsidRPr="003F486D">
        <w:t xml:space="preserve">UPOV </w:t>
      </w:r>
      <w:r w:rsidRPr="00237DBA">
        <w:t>für ausgewählte Arten und Sprachen</w:t>
      </w:r>
      <w:r w:rsidRPr="000F0640">
        <w:t xml:space="preserve"> </w:t>
      </w:r>
      <w:r>
        <w:t>eingeführt</w:t>
      </w:r>
      <w:r w:rsidRPr="00237DBA">
        <w:t xml:space="preserve">, </w:t>
      </w:r>
      <w:r>
        <w:t>das es Züchtern ermöglicht</w:t>
      </w:r>
      <w:r w:rsidRPr="00237DBA">
        <w:t>,</w:t>
      </w:r>
      <w:r>
        <w:t xml:space="preserve"> Daten</w:t>
      </w:r>
      <w:r w:rsidRPr="00237DBA">
        <w:t xml:space="preserve"> für Anträge auf Erteilung von Züchterrechten für teilnehmende Verbandsmitglieder über die UPOV-Website einzureichen</w:t>
      </w:r>
      <w:r w:rsidRPr="003F486D">
        <w:t>.</w:t>
      </w:r>
      <w:r>
        <w:t xml:space="preserve"> Der</w:t>
      </w:r>
      <w:r w:rsidRPr="003F486D">
        <w:t xml:space="preserve"> </w:t>
      </w:r>
      <w:r>
        <w:t xml:space="preserve">Beratende </w:t>
      </w:r>
      <w:proofErr w:type="spellStart"/>
      <w:r>
        <w:t>Ausschuß</w:t>
      </w:r>
      <w:proofErr w:type="spellEnd"/>
      <w:r>
        <w:t xml:space="preserve"> und der Rat</w:t>
      </w:r>
      <w:r w:rsidRPr="003F486D">
        <w:t xml:space="preserve"> </w:t>
      </w:r>
      <w:r>
        <w:t>werden für die Politik</w:t>
      </w:r>
      <w:r w:rsidRPr="003F486D">
        <w:t xml:space="preserve"> </w:t>
      </w:r>
      <w:r>
        <w:t>hinsichtlich der Weiterentwicklung</w:t>
      </w:r>
      <w:r w:rsidRPr="003F486D">
        <w:t xml:space="preserve"> </w:t>
      </w:r>
      <w:r>
        <w:t>des EAF</w:t>
      </w:r>
      <w:r w:rsidRPr="003F486D">
        <w:t xml:space="preserve">, </w:t>
      </w:r>
      <w:r>
        <w:t>einschließlich</w:t>
      </w:r>
      <w:r w:rsidRPr="003F486D">
        <w:t xml:space="preserve"> </w:t>
      </w:r>
      <w:r>
        <w:t>der Erweiterung</w:t>
      </w:r>
      <w:r w:rsidRPr="003F486D">
        <w:t xml:space="preserve"> </w:t>
      </w:r>
      <w:r>
        <w:t>des</w:t>
      </w:r>
      <w:r w:rsidRPr="003F486D">
        <w:t xml:space="preserve"> </w:t>
      </w:r>
      <w:r>
        <w:t>Erfassungsbereichs und finanzieller</w:t>
      </w:r>
      <w:r w:rsidRPr="003F486D">
        <w:t xml:space="preserve"> </w:t>
      </w:r>
      <w:r>
        <w:t>Aspekte,</w:t>
      </w:r>
      <w:r w:rsidRPr="000F0640">
        <w:t xml:space="preserve"> </w:t>
      </w:r>
      <w:r>
        <w:t>verantwortlich</w:t>
      </w:r>
      <w:r w:rsidRPr="003F486D">
        <w:t xml:space="preserve"> </w:t>
      </w:r>
      <w:r>
        <w:t>sein</w:t>
      </w:r>
      <w:r w:rsidRPr="003F486D">
        <w:t xml:space="preserve">. </w:t>
      </w:r>
    </w:p>
    <w:p w:rsidR="008134A5" w:rsidRPr="003F486D" w:rsidRDefault="008134A5" w:rsidP="008134A5">
      <w:pPr>
        <w:tabs>
          <w:tab w:val="left" w:pos="567"/>
        </w:tabs>
      </w:pPr>
    </w:p>
    <w:p w:rsidR="008134A5" w:rsidRPr="003F486D" w:rsidRDefault="008134A5" w:rsidP="008134A5">
      <w:pPr>
        <w:tabs>
          <w:tab w:val="left" w:pos="567"/>
        </w:tabs>
      </w:pPr>
      <w:r w:rsidRPr="003F486D">
        <w:rPr>
          <w:spacing w:val="-2"/>
        </w:rPr>
        <w:t>2.1.2.5</w:t>
      </w:r>
      <w:r w:rsidRPr="003F486D">
        <w:tab/>
        <w:t xml:space="preserve">Im Jahr 2016 </w:t>
      </w:r>
      <w:r>
        <w:t>vereinbarte der</w:t>
      </w:r>
      <w:r w:rsidRPr="003F486D">
        <w:t xml:space="preserve"> </w:t>
      </w:r>
      <w:r>
        <w:t xml:space="preserve">Beratende </w:t>
      </w:r>
      <w:proofErr w:type="spellStart"/>
      <w:r>
        <w:t>Ausschuß</w:t>
      </w:r>
      <w:proofErr w:type="spellEnd"/>
      <w:r w:rsidRPr="003F486D">
        <w:t xml:space="preserve"> </w:t>
      </w:r>
      <w:r w:rsidRPr="00191F9D">
        <w:t>den Entwurf eines Mandats und einer Aufgabendefinition für eine Arbeitsgruppe für ein etwaiges Internationales Kooperationssystem (WG-ISC)</w:t>
      </w:r>
      <w:r w:rsidRPr="003F486D">
        <w:t xml:space="preserve">, </w:t>
      </w:r>
      <w:r>
        <w:t xml:space="preserve">deren Zweck in der </w:t>
      </w:r>
      <w:r w:rsidRPr="00191F9D">
        <w:t xml:space="preserve">Ausarbeitung von Vorschlägen zur Prüfung durch den Beratenden </w:t>
      </w:r>
      <w:proofErr w:type="spellStart"/>
      <w:r w:rsidRPr="00191F9D">
        <w:t>Ausschuß</w:t>
      </w:r>
      <w:proofErr w:type="spellEnd"/>
      <w:r w:rsidRPr="00191F9D">
        <w:t xml:space="preserve"> betreffend ein etwaiges ISC</w:t>
      </w:r>
      <w:r w:rsidRPr="003F486D">
        <w:t xml:space="preserve"> </w:t>
      </w:r>
      <w:r>
        <w:t>gemäß bestimmter Anforderungen</w:t>
      </w:r>
      <w:r w:rsidRPr="003F486D">
        <w:rPr>
          <w:rStyle w:val="FootnoteReference"/>
        </w:rPr>
        <w:footnoteReference w:id="4"/>
      </w:r>
      <w:r w:rsidRPr="00D1102B">
        <w:t xml:space="preserve"> </w:t>
      </w:r>
      <w:r>
        <w:t>bestand</w:t>
      </w:r>
      <w:r w:rsidRPr="003F486D">
        <w:t>.</w:t>
      </w:r>
      <w:r>
        <w:t xml:space="preserve"> Der</w:t>
      </w:r>
      <w:r w:rsidRPr="003F486D">
        <w:t xml:space="preserve"> </w:t>
      </w:r>
      <w:r>
        <w:t xml:space="preserve">Beratende </w:t>
      </w:r>
      <w:proofErr w:type="spellStart"/>
      <w:r>
        <w:t>Ausschuß</w:t>
      </w:r>
      <w:proofErr w:type="spellEnd"/>
      <w:r>
        <w:t xml:space="preserve"> und Rat</w:t>
      </w:r>
      <w:r w:rsidRPr="003F486D">
        <w:t xml:space="preserve"> </w:t>
      </w:r>
      <w:r>
        <w:t>werden</w:t>
      </w:r>
      <w:r w:rsidRPr="003F486D">
        <w:t xml:space="preserve"> </w:t>
      </w:r>
      <w:r>
        <w:t>für die Prüfung der</w:t>
      </w:r>
      <w:r w:rsidRPr="00D1102B">
        <w:t xml:space="preserve"> </w:t>
      </w:r>
      <w:r>
        <w:t>von</w:t>
      </w:r>
      <w:r w:rsidRPr="003F486D">
        <w:t xml:space="preserve"> </w:t>
      </w:r>
      <w:r>
        <w:t>der</w:t>
      </w:r>
      <w:r w:rsidRPr="003F486D">
        <w:t xml:space="preserve"> WG-ISC</w:t>
      </w:r>
      <w:r>
        <w:t xml:space="preserve"> entwickelten Vorschläge</w:t>
      </w:r>
      <w:r w:rsidRPr="003F486D">
        <w:t xml:space="preserve"> </w:t>
      </w:r>
      <w:r>
        <w:t>verantwortlich sein</w:t>
      </w:r>
      <w:r w:rsidRPr="003F486D">
        <w:t xml:space="preserve">. </w:t>
      </w:r>
    </w:p>
    <w:p w:rsidR="008134A5" w:rsidRPr="003F486D" w:rsidRDefault="008134A5" w:rsidP="008134A5">
      <w:pPr>
        <w:tabs>
          <w:tab w:val="left" w:pos="567"/>
        </w:tabs>
      </w:pPr>
    </w:p>
    <w:p w:rsidR="008134A5" w:rsidRPr="003F486D" w:rsidRDefault="008134A5" w:rsidP="008134A5">
      <w:pPr>
        <w:tabs>
          <w:tab w:val="left" w:pos="567"/>
        </w:tabs>
      </w:pPr>
      <w:r w:rsidRPr="003F486D">
        <w:t>2.1.2.6</w:t>
      </w:r>
      <w:r w:rsidRPr="003F486D">
        <w:tab/>
        <w:t>Es wird erforderlich sein</w:t>
      </w:r>
      <w:r>
        <w:t>,</w:t>
      </w:r>
      <w:r w:rsidRPr="003F486D">
        <w:t xml:space="preserve"> </w:t>
      </w:r>
      <w:r>
        <w:t>die</w:t>
      </w:r>
      <w:r w:rsidRPr="003F486D">
        <w:t xml:space="preserve"> </w:t>
      </w:r>
      <w:r>
        <w:t xml:space="preserve">vom Beratenden </w:t>
      </w:r>
      <w:proofErr w:type="spellStart"/>
      <w:r>
        <w:t>Ausschuß</w:t>
      </w:r>
      <w:proofErr w:type="spellEnd"/>
      <w:r w:rsidRPr="003F486D">
        <w:t xml:space="preserve"> </w:t>
      </w:r>
      <w:r>
        <w:t>vereinbarte</w:t>
      </w:r>
      <w:r w:rsidRPr="003F486D">
        <w:t xml:space="preserve"> </w:t>
      </w:r>
      <w:r>
        <w:t>Schulungs- und Unterstützungsstrategie</w:t>
      </w:r>
      <w:r w:rsidRPr="003F486D">
        <w:t xml:space="preserve"> in </w:t>
      </w:r>
      <w:proofErr w:type="spellStart"/>
      <w:r w:rsidRPr="003F486D">
        <w:t>bezug</w:t>
      </w:r>
      <w:proofErr w:type="spellEnd"/>
      <w:r w:rsidRPr="003F486D">
        <w:t xml:space="preserve"> auf </w:t>
      </w:r>
      <w:r>
        <w:t>die vermehrten Gesuche um</w:t>
      </w:r>
      <w:r w:rsidRPr="003F486D">
        <w:t xml:space="preserve"> Unterstützung </w:t>
      </w:r>
      <w:r>
        <w:t>von</w:t>
      </w:r>
      <w:r w:rsidRPr="003F486D">
        <w:t xml:space="preserve"> Verbandsmitgliedern</w:t>
      </w:r>
      <w:r>
        <w:t xml:space="preserve"> und </w:t>
      </w:r>
      <w:r w:rsidRPr="003F486D">
        <w:t>Staaten</w:t>
      </w:r>
      <w:r>
        <w:t xml:space="preserve"> und </w:t>
      </w:r>
      <w:r w:rsidRPr="003F486D">
        <w:t>Organisationen</w:t>
      </w:r>
      <w:r>
        <w:t xml:space="preserve">, die dem </w:t>
      </w:r>
      <w:r w:rsidRPr="003F486D">
        <w:t>Verband</w:t>
      </w:r>
      <w:r>
        <w:t xml:space="preserve"> beitreten möchten, und </w:t>
      </w:r>
      <w:r w:rsidRPr="003F486D">
        <w:t xml:space="preserve">in </w:t>
      </w:r>
      <w:proofErr w:type="spellStart"/>
      <w:r w:rsidRPr="003F486D">
        <w:t>bezug</w:t>
      </w:r>
      <w:proofErr w:type="spellEnd"/>
      <w:r w:rsidRPr="003F486D">
        <w:t xml:space="preserve"> auf </w:t>
      </w:r>
      <w:r>
        <w:t>die</w:t>
      </w:r>
      <w:r w:rsidRPr="003F486D">
        <w:t xml:space="preserve"> </w:t>
      </w:r>
      <w:r>
        <w:t>Verfügbarkeit von Mitteln</w:t>
      </w:r>
      <w:r w:rsidRPr="00D1102B">
        <w:t xml:space="preserve"> </w:t>
      </w:r>
      <w:r w:rsidRPr="003F486D">
        <w:t>zu überwachen.</w:t>
      </w:r>
      <w:r>
        <w:t xml:space="preserve"> </w:t>
      </w:r>
    </w:p>
    <w:p w:rsidR="008134A5" w:rsidRPr="003F486D" w:rsidRDefault="008134A5" w:rsidP="008134A5">
      <w:pPr>
        <w:tabs>
          <w:tab w:val="left" w:pos="567"/>
        </w:tabs>
      </w:pPr>
    </w:p>
    <w:p w:rsidR="008134A5" w:rsidRPr="003F486D" w:rsidRDefault="008134A5" w:rsidP="008134A5">
      <w:pPr>
        <w:tabs>
          <w:tab w:val="left" w:pos="567"/>
        </w:tabs>
      </w:pPr>
      <w:r w:rsidRPr="003F486D">
        <w:t>2.1.2.7</w:t>
      </w:r>
      <w:r w:rsidRPr="003F486D">
        <w:tab/>
        <w:t xml:space="preserve">Die Umsetzung der vom Beratenden </w:t>
      </w:r>
      <w:proofErr w:type="spellStart"/>
      <w:r w:rsidRPr="003F486D">
        <w:t>Ausschuß</w:t>
      </w:r>
      <w:proofErr w:type="spellEnd"/>
      <w:r w:rsidRPr="003F486D">
        <w:t xml:space="preserve"> vereinbarten Kommunikationsstrategie wird mit dem Ziel, ein besseres Verständnis des UPOV-Systems zu erreichen, auch weiterhin überwacht werden.</w:t>
      </w:r>
      <w:r>
        <w:t xml:space="preserve"> </w:t>
      </w:r>
      <w:r w:rsidRPr="003F486D">
        <w:t xml:space="preserve">Politische Orientierung zu wechselseitigen Beziehungen mit anderen Organisationen wird auch in der Rechnungsperiode 2018-2019 weiterhin ein wichtiges Ziel sein. </w:t>
      </w:r>
    </w:p>
    <w:p w:rsidR="008134A5" w:rsidRPr="003F486D" w:rsidRDefault="008134A5" w:rsidP="008134A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pPr>
    </w:p>
    <w:p w:rsidR="008134A5" w:rsidRPr="003F486D" w:rsidRDefault="008134A5" w:rsidP="008134A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pPr>
    </w:p>
    <w:p w:rsidR="008134A5" w:rsidRPr="003F486D" w:rsidRDefault="008134A5" w:rsidP="008134A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b/>
        </w:rPr>
      </w:pPr>
      <w:r w:rsidRPr="003F486D">
        <w:rPr>
          <w:b/>
        </w:rPr>
        <w:t>2.1.3</w:t>
      </w:r>
      <w:r w:rsidRPr="003F486D">
        <w:tab/>
      </w:r>
      <w:r w:rsidRPr="003F486D">
        <w:rPr>
          <w:b/>
        </w:rPr>
        <w:t>Tätigkeiten</w:t>
      </w:r>
    </w:p>
    <w:p w:rsidR="008134A5" w:rsidRPr="003F486D" w:rsidRDefault="008134A5" w:rsidP="008134A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b/>
        </w:rPr>
      </w:pPr>
    </w:p>
    <w:p w:rsidR="008134A5" w:rsidRPr="003F486D" w:rsidRDefault="008134A5" w:rsidP="008134A5">
      <w:pPr>
        <w:spacing w:after="120"/>
        <w:ind w:left="1276" w:hanging="709"/>
      </w:pPr>
      <w:r w:rsidRPr="003F486D">
        <w:t>i)</w:t>
      </w:r>
      <w:r w:rsidRPr="003F486D">
        <w:tab/>
        <w:t>Zwei Tagungen des Rates und zwei Tagungen des Beratenden Ausschusses.</w:t>
      </w:r>
    </w:p>
    <w:p w:rsidR="008134A5" w:rsidRPr="003F486D" w:rsidRDefault="008134A5" w:rsidP="008134A5">
      <w:pPr>
        <w:spacing w:after="120"/>
        <w:ind w:left="1276" w:hanging="709"/>
      </w:pPr>
      <w:r w:rsidRPr="003F486D">
        <w:t>ii)</w:t>
      </w:r>
      <w:r w:rsidRPr="003F486D">
        <w:tab/>
        <w:t>Koordinierung, Überwachung und Ergebnisbewertung des Programms und Haushaltsplans für die Rechnungsperiode 2018-2019.</w:t>
      </w:r>
    </w:p>
    <w:p w:rsidR="008134A5" w:rsidRPr="003F486D" w:rsidRDefault="008134A5" w:rsidP="008134A5">
      <w:pPr>
        <w:ind w:left="1276" w:hanging="709"/>
      </w:pPr>
      <w:r w:rsidRPr="003F486D">
        <w:t>iii)</w:t>
      </w:r>
      <w:r w:rsidRPr="003F486D">
        <w:tab/>
        <w:t>Aufstellung und Annahme des Programms und Haushaltsplans für die Rechnungsperiode 2020-2021.</w:t>
      </w:r>
    </w:p>
    <w:p w:rsidR="008134A5" w:rsidRDefault="008134A5" w:rsidP="008134A5">
      <w:pPr>
        <w:jc w:val="left"/>
      </w:pPr>
    </w:p>
    <w:p w:rsidR="008134A5" w:rsidRPr="003F486D" w:rsidRDefault="008134A5" w:rsidP="008134A5">
      <w:pPr>
        <w:jc w:val="left"/>
      </w:pPr>
    </w:p>
    <w:p w:rsidR="008134A5" w:rsidRPr="003F486D" w:rsidRDefault="008134A5" w:rsidP="008134A5">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b/>
        </w:rPr>
      </w:pPr>
      <w:r w:rsidRPr="003F486D">
        <w:rPr>
          <w:b/>
        </w:rPr>
        <w:t>2.1.4</w:t>
      </w:r>
      <w:r w:rsidRPr="003F486D">
        <w:tab/>
      </w:r>
      <w:r w:rsidRPr="003F486D">
        <w:rPr>
          <w:b/>
        </w:rPr>
        <w:t>Erwartete Ergebnisse und Planerfüllungsindikatoren</w:t>
      </w:r>
    </w:p>
    <w:p w:rsidR="008134A5" w:rsidRPr="003F486D" w:rsidRDefault="008134A5" w:rsidP="008134A5">
      <w:pPr>
        <w:keepNext/>
        <w:tabs>
          <w:tab w:val="left" w:pos="567"/>
          <w:tab w:val="num" w:pos="85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851" w:hanging="284"/>
      </w:pPr>
    </w:p>
    <w:tbl>
      <w:tblPr>
        <w:tblW w:w="9889" w:type="dxa"/>
        <w:tblInd w:w="-103" w:type="dxa"/>
        <w:tblLayout w:type="fixed"/>
        <w:tblCellMar>
          <w:top w:w="57" w:type="dxa"/>
          <w:left w:w="57" w:type="dxa"/>
          <w:bottom w:w="28" w:type="dxa"/>
          <w:right w:w="57" w:type="dxa"/>
        </w:tblCellMar>
        <w:tblLook w:val="0000" w:firstRow="0" w:lastRow="0" w:firstColumn="0" w:lastColumn="0" w:noHBand="0" w:noVBand="0"/>
      </w:tblPr>
      <w:tblGrid>
        <w:gridCol w:w="4555"/>
        <w:gridCol w:w="5334"/>
      </w:tblGrid>
      <w:tr w:rsidR="008134A5" w:rsidRPr="003F486D" w:rsidTr="008134A5">
        <w:trPr>
          <w:cantSplit/>
          <w:tblHeader/>
        </w:trPr>
        <w:tc>
          <w:tcPr>
            <w:tcW w:w="4555" w:type="dxa"/>
            <w:tcBorders>
              <w:top w:val="single" w:sz="4" w:space="0" w:color="000000"/>
              <w:left w:val="single" w:sz="4" w:space="0" w:color="000000"/>
              <w:bottom w:val="single" w:sz="4" w:space="0" w:color="000000"/>
              <w:right w:val="single" w:sz="4" w:space="0" w:color="000000"/>
            </w:tcBorders>
          </w:tcPr>
          <w:p w:rsidR="008134A5" w:rsidRPr="003F486D" w:rsidRDefault="008134A5" w:rsidP="008134A5">
            <w:pPr>
              <w:keepNext/>
              <w:ind w:left="397" w:hanging="397"/>
              <w:jc w:val="center"/>
              <w:rPr>
                <w:rFonts w:cs="Arial"/>
                <w:color w:val="000000"/>
                <w:u w:val="single"/>
              </w:rPr>
            </w:pPr>
            <w:r w:rsidRPr="003F486D">
              <w:rPr>
                <w:color w:val="000000"/>
                <w:u w:val="single"/>
              </w:rPr>
              <w:t>Erwartete Ergebnisse</w:t>
            </w:r>
          </w:p>
        </w:tc>
        <w:tc>
          <w:tcPr>
            <w:tcW w:w="5334" w:type="dxa"/>
            <w:tcBorders>
              <w:top w:val="single" w:sz="4" w:space="0" w:color="000000"/>
              <w:left w:val="single" w:sz="4" w:space="0" w:color="000000"/>
              <w:bottom w:val="single" w:sz="4" w:space="0" w:color="000000"/>
              <w:right w:val="single" w:sz="4" w:space="0" w:color="000000"/>
            </w:tcBorders>
          </w:tcPr>
          <w:p w:rsidR="008134A5" w:rsidRPr="003F486D" w:rsidRDefault="008134A5" w:rsidP="008134A5">
            <w:pPr>
              <w:keepNext/>
              <w:ind w:left="397" w:hanging="397"/>
              <w:jc w:val="center"/>
              <w:rPr>
                <w:rFonts w:cs="Arial"/>
                <w:color w:val="000000"/>
                <w:u w:val="single"/>
              </w:rPr>
            </w:pPr>
            <w:r w:rsidRPr="003F486D">
              <w:rPr>
                <w:color w:val="000000"/>
                <w:u w:val="single"/>
              </w:rPr>
              <w:t>Planerfüllungsindikatoren</w:t>
            </w:r>
          </w:p>
        </w:tc>
      </w:tr>
      <w:tr w:rsidR="008134A5" w:rsidRPr="00762BFC" w:rsidTr="008134A5">
        <w:trPr>
          <w:cantSplit/>
        </w:trPr>
        <w:tc>
          <w:tcPr>
            <w:tcW w:w="4555" w:type="dxa"/>
            <w:tcBorders>
              <w:top w:val="single" w:sz="4" w:space="0" w:color="000000"/>
              <w:left w:val="single" w:sz="4" w:space="0" w:color="000000"/>
              <w:bottom w:val="single" w:sz="4" w:space="0" w:color="000000"/>
              <w:right w:val="single" w:sz="4" w:space="0" w:color="000000"/>
            </w:tcBorders>
          </w:tcPr>
          <w:p w:rsidR="008134A5" w:rsidRPr="00762BFC" w:rsidRDefault="008134A5" w:rsidP="008134A5">
            <w:pPr>
              <w:keepNext/>
              <w:ind w:left="397" w:hanging="397"/>
              <w:jc w:val="left"/>
              <w:rPr>
                <w:rFonts w:cs="Arial"/>
                <w:color w:val="000000"/>
              </w:rPr>
            </w:pPr>
            <w:r w:rsidRPr="00CB1685">
              <w:rPr>
                <w:rFonts w:cs="Arial"/>
                <w:color w:val="000000"/>
              </w:rPr>
              <w:t>1.</w:t>
            </w:r>
            <w:r w:rsidRPr="00CB1685">
              <w:rPr>
                <w:rFonts w:cs="Arial"/>
                <w:color w:val="000000"/>
              </w:rPr>
              <w:tab/>
              <w:t>Identifizierung</w:t>
            </w:r>
            <w:r w:rsidRPr="00762BFC">
              <w:rPr>
                <w:rFonts w:cs="Arial"/>
                <w:color w:val="000000"/>
              </w:rPr>
              <w:t xml:space="preserve"> und </w:t>
            </w:r>
            <w:r w:rsidRPr="00CB1685">
              <w:rPr>
                <w:rFonts w:cs="Arial"/>
                <w:color w:val="000000"/>
              </w:rPr>
              <w:t>Umsetzung der</w:t>
            </w:r>
            <w:r w:rsidRPr="00762BFC">
              <w:rPr>
                <w:rFonts w:cs="Arial"/>
                <w:color w:val="000000"/>
              </w:rPr>
              <w:t xml:space="preserve"> strategi</w:t>
            </w:r>
            <w:r>
              <w:rPr>
                <w:rFonts w:cs="Arial"/>
                <w:color w:val="000000"/>
              </w:rPr>
              <w:t>schen</w:t>
            </w:r>
            <w:r w:rsidRPr="00762BFC">
              <w:rPr>
                <w:rFonts w:cs="Arial"/>
                <w:color w:val="000000"/>
              </w:rPr>
              <w:t xml:space="preserve"> Ziele </w:t>
            </w:r>
            <w:r>
              <w:rPr>
                <w:rFonts w:cs="Arial"/>
                <w:color w:val="000000"/>
              </w:rPr>
              <w:t>der</w:t>
            </w:r>
            <w:r w:rsidRPr="00762BFC">
              <w:rPr>
                <w:rFonts w:cs="Arial"/>
                <w:color w:val="000000"/>
              </w:rPr>
              <w:t xml:space="preserve"> UPOV</w:t>
            </w:r>
          </w:p>
        </w:tc>
        <w:tc>
          <w:tcPr>
            <w:tcW w:w="5334" w:type="dxa"/>
            <w:tcBorders>
              <w:top w:val="single" w:sz="4" w:space="0" w:color="000000"/>
              <w:left w:val="single" w:sz="4" w:space="0" w:color="000000"/>
              <w:bottom w:val="single" w:sz="4" w:space="0" w:color="000000"/>
              <w:right w:val="single" w:sz="4" w:space="0" w:color="000000"/>
            </w:tcBorders>
          </w:tcPr>
          <w:p w:rsidR="008134A5" w:rsidRPr="00187EE6" w:rsidRDefault="008134A5" w:rsidP="008134A5">
            <w:pPr>
              <w:keepNext/>
              <w:ind w:left="397" w:hanging="397"/>
              <w:jc w:val="left"/>
              <w:rPr>
                <w:rFonts w:cs="Arial"/>
                <w:color w:val="000000"/>
              </w:rPr>
            </w:pPr>
            <w:r w:rsidRPr="00762BFC">
              <w:rPr>
                <w:rFonts w:cs="Arial"/>
                <w:color w:val="000000"/>
              </w:rPr>
              <w:t>a)</w:t>
            </w:r>
            <w:r w:rsidRPr="00762BFC">
              <w:rPr>
                <w:rFonts w:cs="Arial"/>
                <w:color w:val="000000"/>
              </w:rPr>
              <w:tab/>
            </w:r>
            <w:r w:rsidRPr="00CB1685">
              <w:rPr>
                <w:rFonts w:cs="Arial"/>
                <w:color w:val="000000"/>
              </w:rPr>
              <w:t>Festlegung des</w:t>
            </w:r>
            <w:r w:rsidRPr="00187EE6">
              <w:rPr>
                <w:rFonts w:cs="Arial"/>
                <w:color w:val="000000"/>
              </w:rPr>
              <w:t xml:space="preserve"> </w:t>
            </w:r>
            <w:r w:rsidRPr="00CB1685">
              <w:rPr>
                <w:rFonts w:cs="Arial"/>
                <w:color w:val="000000"/>
              </w:rPr>
              <w:t>strategischen Geschäftsplans</w:t>
            </w:r>
            <w:r w:rsidRPr="00762BFC">
              <w:rPr>
                <w:rFonts w:cs="Arial"/>
                <w:color w:val="000000"/>
              </w:rPr>
              <w:t>.</w:t>
            </w:r>
          </w:p>
        </w:tc>
      </w:tr>
      <w:tr w:rsidR="008134A5" w:rsidRPr="006B70B0" w:rsidTr="008134A5">
        <w:trPr>
          <w:cantSplit/>
        </w:trPr>
        <w:tc>
          <w:tcPr>
            <w:tcW w:w="4555" w:type="dxa"/>
            <w:tcBorders>
              <w:top w:val="single" w:sz="4" w:space="0" w:color="000000"/>
              <w:left w:val="single" w:sz="4" w:space="0" w:color="000000"/>
              <w:bottom w:val="single" w:sz="4" w:space="0" w:color="000000"/>
              <w:right w:val="single" w:sz="4" w:space="0" w:color="000000"/>
            </w:tcBorders>
          </w:tcPr>
          <w:p w:rsidR="008134A5" w:rsidRPr="003F486D" w:rsidRDefault="008134A5" w:rsidP="008134A5">
            <w:pPr>
              <w:keepNext/>
              <w:ind w:left="397" w:hanging="397"/>
              <w:jc w:val="left"/>
              <w:rPr>
                <w:rFonts w:cs="Arial"/>
                <w:color w:val="000000"/>
              </w:rPr>
            </w:pPr>
            <w:r w:rsidRPr="003F486D">
              <w:rPr>
                <w:color w:val="000000"/>
              </w:rPr>
              <w:t>2.</w:t>
            </w:r>
            <w:r w:rsidRPr="003F486D">
              <w:tab/>
            </w:r>
            <w:r w:rsidRPr="003F486D">
              <w:rPr>
                <w:color w:val="000000"/>
              </w:rPr>
              <w:t>Organisation der Tagungen des Rates und des Beratenden Ausschusses</w:t>
            </w:r>
          </w:p>
        </w:tc>
        <w:tc>
          <w:tcPr>
            <w:tcW w:w="5334" w:type="dxa"/>
            <w:tcBorders>
              <w:top w:val="single" w:sz="4" w:space="0" w:color="000000"/>
              <w:left w:val="single" w:sz="4" w:space="0" w:color="000000"/>
              <w:bottom w:val="single" w:sz="4" w:space="0" w:color="000000"/>
              <w:right w:val="single" w:sz="4" w:space="0" w:color="000000"/>
            </w:tcBorders>
          </w:tcPr>
          <w:p w:rsidR="008134A5" w:rsidRPr="003F486D" w:rsidRDefault="008134A5" w:rsidP="008134A5">
            <w:pPr>
              <w:keepNext/>
              <w:ind w:left="397" w:hanging="397"/>
              <w:jc w:val="left"/>
              <w:rPr>
                <w:rFonts w:cs="Arial"/>
                <w:color w:val="000000"/>
              </w:rPr>
            </w:pPr>
            <w:r w:rsidRPr="003F486D">
              <w:t>a)</w:t>
            </w:r>
            <w:r>
              <w:tab/>
            </w:r>
            <w:r w:rsidRPr="003F486D">
              <w:t>Teilnahme an den Tagungen des Rates und des Beratenden Ausschusses</w:t>
            </w:r>
            <w:r>
              <w:t>.</w:t>
            </w:r>
          </w:p>
        </w:tc>
      </w:tr>
      <w:tr w:rsidR="008134A5" w:rsidRPr="006B70B0" w:rsidTr="008134A5">
        <w:trPr>
          <w:cantSplit/>
        </w:trPr>
        <w:tc>
          <w:tcPr>
            <w:tcW w:w="4555" w:type="dxa"/>
            <w:tcBorders>
              <w:top w:val="single" w:sz="4" w:space="0" w:color="000000"/>
              <w:left w:val="single" w:sz="4" w:space="0" w:color="000000"/>
              <w:bottom w:val="single" w:sz="4" w:space="0" w:color="000000"/>
              <w:right w:val="single" w:sz="4" w:space="0" w:color="000000"/>
            </w:tcBorders>
          </w:tcPr>
          <w:p w:rsidR="008134A5" w:rsidRPr="003F486D" w:rsidRDefault="008134A5" w:rsidP="008134A5">
            <w:pPr>
              <w:keepNext/>
              <w:ind w:left="397" w:hanging="397"/>
              <w:jc w:val="left"/>
              <w:rPr>
                <w:rFonts w:cs="Arial"/>
                <w:color w:val="000000"/>
              </w:rPr>
            </w:pPr>
            <w:r w:rsidRPr="003F486D">
              <w:rPr>
                <w:color w:val="000000"/>
              </w:rPr>
              <w:t>3.</w:t>
            </w:r>
            <w:r w:rsidRPr="003F486D">
              <w:tab/>
            </w:r>
            <w:r w:rsidRPr="003F486D">
              <w:rPr>
                <w:color w:val="000000"/>
              </w:rPr>
              <w:t>Organisation und Überwachung der Arbeit der UPOV-Ausschüsse</w:t>
            </w:r>
          </w:p>
        </w:tc>
        <w:tc>
          <w:tcPr>
            <w:tcW w:w="5334" w:type="dxa"/>
            <w:tcBorders>
              <w:top w:val="single" w:sz="4" w:space="0" w:color="000000"/>
              <w:left w:val="single" w:sz="4" w:space="0" w:color="000000"/>
              <w:bottom w:val="single" w:sz="4" w:space="0" w:color="000000"/>
              <w:right w:val="single" w:sz="4" w:space="0" w:color="000000"/>
            </w:tcBorders>
          </w:tcPr>
          <w:p w:rsidR="008134A5" w:rsidRPr="003F486D" w:rsidRDefault="008134A5" w:rsidP="008134A5">
            <w:pPr>
              <w:keepNext/>
              <w:spacing w:after="40"/>
              <w:ind w:left="397" w:hanging="397"/>
              <w:jc w:val="left"/>
              <w:rPr>
                <w:rFonts w:cs="Arial"/>
                <w:color w:val="000000"/>
              </w:rPr>
            </w:pPr>
            <w:r w:rsidRPr="003F486D">
              <w:rPr>
                <w:color w:val="000000"/>
              </w:rPr>
              <w:t>a)</w:t>
            </w:r>
            <w:r w:rsidRPr="003F486D">
              <w:tab/>
              <w:t>Billigung und Überwachung der Arbeitsprogramme von</w:t>
            </w:r>
            <w:r w:rsidRPr="003F486D">
              <w:rPr>
                <w:color w:val="000000"/>
              </w:rPr>
              <w:t xml:space="preserve"> CAJ, TC, TWP und </w:t>
            </w:r>
            <w:r w:rsidRPr="003F486D">
              <w:rPr>
                <w:i/>
                <w:color w:val="000000"/>
              </w:rPr>
              <w:t>Ad-hoc</w:t>
            </w:r>
            <w:r w:rsidRPr="003F486D">
              <w:rPr>
                <w:color w:val="000000"/>
              </w:rPr>
              <w:t xml:space="preserve">-Arbeitsgruppen; </w:t>
            </w:r>
          </w:p>
          <w:p w:rsidR="008134A5" w:rsidRPr="003F486D" w:rsidRDefault="008134A5" w:rsidP="008134A5">
            <w:pPr>
              <w:keepNext/>
              <w:spacing w:after="40"/>
              <w:ind w:left="397" w:hanging="397"/>
              <w:jc w:val="left"/>
              <w:rPr>
                <w:rFonts w:cs="Arial"/>
                <w:color w:val="000000"/>
              </w:rPr>
            </w:pPr>
            <w:r w:rsidRPr="003F486D">
              <w:rPr>
                <w:color w:val="000000"/>
              </w:rPr>
              <w:t>b)</w:t>
            </w:r>
            <w:r w:rsidRPr="003F486D">
              <w:tab/>
            </w:r>
            <w:r w:rsidRPr="003F486D">
              <w:rPr>
                <w:color w:val="000000"/>
              </w:rPr>
              <w:t xml:space="preserve">Wahl der Vorsitzenden von CAJ, TC, der TWP und der </w:t>
            </w:r>
            <w:r w:rsidRPr="003F486D">
              <w:rPr>
                <w:i/>
                <w:color w:val="000000"/>
              </w:rPr>
              <w:t>Ad-hoc-</w:t>
            </w:r>
            <w:r w:rsidRPr="003F486D">
              <w:rPr>
                <w:color w:val="000000"/>
              </w:rPr>
              <w:t>Arbeitsgruppen und der stellvertretenden Vorsitzenden des CAJ und des TC; und</w:t>
            </w:r>
            <w:r>
              <w:rPr>
                <w:color w:val="000000"/>
              </w:rPr>
              <w:t xml:space="preserve"> </w:t>
            </w:r>
          </w:p>
          <w:p w:rsidR="008134A5" w:rsidRPr="003F486D" w:rsidRDefault="008134A5" w:rsidP="008134A5">
            <w:pPr>
              <w:keepNext/>
              <w:ind w:left="397" w:hanging="397"/>
              <w:jc w:val="left"/>
              <w:rPr>
                <w:rFonts w:cs="Arial"/>
                <w:color w:val="000000"/>
              </w:rPr>
            </w:pPr>
            <w:r w:rsidRPr="003F486D">
              <w:rPr>
                <w:color w:val="000000"/>
              </w:rPr>
              <w:t>c)</w:t>
            </w:r>
            <w:r w:rsidRPr="003F486D">
              <w:tab/>
              <w:t>Billigung des jährlichen Tagungskalenders</w:t>
            </w:r>
            <w:r w:rsidRPr="003F486D">
              <w:rPr>
                <w:color w:val="000000"/>
              </w:rPr>
              <w:t xml:space="preserve">. </w:t>
            </w:r>
          </w:p>
        </w:tc>
      </w:tr>
      <w:tr w:rsidR="008134A5" w:rsidRPr="006B70B0" w:rsidTr="008134A5">
        <w:trPr>
          <w:cantSplit/>
        </w:trPr>
        <w:tc>
          <w:tcPr>
            <w:tcW w:w="4555" w:type="dxa"/>
            <w:tcBorders>
              <w:top w:val="single" w:sz="4" w:space="0" w:color="000000"/>
              <w:left w:val="single" w:sz="4" w:space="0" w:color="000000"/>
              <w:bottom w:val="single" w:sz="4" w:space="0" w:color="000000"/>
              <w:right w:val="single" w:sz="4" w:space="0" w:color="000000"/>
            </w:tcBorders>
          </w:tcPr>
          <w:p w:rsidR="008134A5" w:rsidRPr="003F486D" w:rsidRDefault="008134A5" w:rsidP="008134A5">
            <w:pPr>
              <w:keepNext/>
              <w:ind w:left="397" w:hanging="397"/>
              <w:jc w:val="left"/>
              <w:rPr>
                <w:rFonts w:cs="Arial"/>
                <w:color w:val="000000"/>
              </w:rPr>
            </w:pPr>
            <w:r w:rsidRPr="003F486D">
              <w:rPr>
                <w:color w:val="000000"/>
              </w:rPr>
              <w:t>4.</w:t>
            </w:r>
            <w:r w:rsidRPr="003F486D">
              <w:tab/>
              <w:t>Koordinierung, Überwachung und Ergebnisbewertung des Programms und Haushaltsplans für die Rechnungsperiode 20</w:t>
            </w:r>
            <w:r>
              <w:t>18</w:t>
            </w:r>
            <w:r w:rsidRPr="003F486D">
              <w:t>-20</w:t>
            </w:r>
            <w:r>
              <w:t>19</w:t>
            </w:r>
          </w:p>
        </w:tc>
        <w:tc>
          <w:tcPr>
            <w:tcW w:w="5334" w:type="dxa"/>
            <w:tcBorders>
              <w:top w:val="single" w:sz="4" w:space="0" w:color="000000"/>
              <w:left w:val="single" w:sz="4" w:space="0" w:color="000000"/>
              <w:bottom w:val="single" w:sz="4" w:space="0" w:color="000000"/>
              <w:right w:val="single" w:sz="4" w:space="0" w:color="000000"/>
            </w:tcBorders>
          </w:tcPr>
          <w:p w:rsidR="008134A5" w:rsidRPr="003F486D" w:rsidRDefault="008134A5" w:rsidP="008134A5">
            <w:pPr>
              <w:keepNext/>
              <w:ind w:left="397" w:hanging="397"/>
              <w:jc w:val="left"/>
              <w:rPr>
                <w:rFonts w:cs="Arial"/>
                <w:color w:val="000000"/>
              </w:rPr>
            </w:pPr>
            <w:r w:rsidRPr="003F486D">
              <w:t>a)</w:t>
            </w:r>
            <w:r w:rsidRPr="003F486D">
              <w:tab/>
            </w:r>
            <w:proofErr w:type="spellStart"/>
            <w:r w:rsidRPr="003F486D">
              <w:t>Abschluß</w:t>
            </w:r>
            <w:proofErr w:type="spellEnd"/>
            <w:r w:rsidRPr="003F486D">
              <w:t xml:space="preserve"> des Programms im Rahmen des Haushaltsplans fü</w:t>
            </w:r>
            <w:r>
              <w:t>r die Rechnungsperiode 2018</w:t>
            </w:r>
            <w:r>
              <w:noBreakHyphen/>
              <w:t>2019</w:t>
            </w:r>
            <w:r w:rsidRPr="003F486D">
              <w:t>;</w:t>
            </w:r>
          </w:p>
          <w:p w:rsidR="008134A5" w:rsidRPr="003F486D" w:rsidRDefault="008134A5" w:rsidP="008134A5">
            <w:pPr>
              <w:keepNext/>
              <w:ind w:left="397" w:hanging="397"/>
              <w:jc w:val="left"/>
              <w:rPr>
                <w:rFonts w:cs="Arial"/>
                <w:color w:val="000000"/>
              </w:rPr>
            </w:pPr>
            <w:r w:rsidRPr="003F486D">
              <w:rPr>
                <w:color w:val="000000"/>
              </w:rPr>
              <w:t>b)</w:t>
            </w:r>
            <w:r w:rsidRPr="003F486D">
              <w:tab/>
              <w:t>Billigung des Jahresabschlusses; und</w:t>
            </w:r>
          </w:p>
          <w:p w:rsidR="008134A5" w:rsidRPr="003F486D" w:rsidRDefault="008134A5" w:rsidP="008134A5">
            <w:pPr>
              <w:keepNext/>
              <w:ind w:left="397" w:hanging="397"/>
              <w:jc w:val="left"/>
              <w:rPr>
                <w:rFonts w:cs="Arial"/>
                <w:color w:val="000000"/>
              </w:rPr>
            </w:pPr>
            <w:r w:rsidRPr="003F486D">
              <w:rPr>
                <w:color w:val="000000"/>
              </w:rPr>
              <w:t>c)</w:t>
            </w:r>
            <w:r w:rsidRPr="003F486D">
              <w:tab/>
              <w:t>Billigung des Finanzverwaltungsberichts</w:t>
            </w:r>
            <w:r w:rsidRPr="003F486D">
              <w:rPr>
                <w:color w:val="000000"/>
              </w:rPr>
              <w:t>.</w:t>
            </w:r>
          </w:p>
        </w:tc>
      </w:tr>
      <w:tr w:rsidR="008134A5" w:rsidRPr="006B70B0" w:rsidTr="008134A5">
        <w:trPr>
          <w:cantSplit/>
        </w:trPr>
        <w:tc>
          <w:tcPr>
            <w:tcW w:w="4555" w:type="dxa"/>
            <w:tcBorders>
              <w:top w:val="single" w:sz="4" w:space="0" w:color="000000"/>
              <w:left w:val="single" w:sz="4" w:space="0" w:color="000000"/>
              <w:bottom w:val="single" w:sz="4" w:space="0" w:color="000000"/>
              <w:right w:val="single" w:sz="4" w:space="0" w:color="000000"/>
            </w:tcBorders>
          </w:tcPr>
          <w:p w:rsidR="008134A5" w:rsidRPr="003F486D" w:rsidRDefault="008134A5" w:rsidP="008134A5">
            <w:pPr>
              <w:keepNext/>
              <w:ind w:left="397" w:hanging="397"/>
              <w:jc w:val="left"/>
              <w:rPr>
                <w:rFonts w:cs="Arial"/>
                <w:color w:val="000000"/>
              </w:rPr>
            </w:pPr>
            <w:r w:rsidRPr="003F486D">
              <w:rPr>
                <w:color w:val="000000"/>
              </w:rPr>
              <w:t>5.</w:t>
            </w:r>
            <w:r w:rsidRPr="003F486D">
              <w:t xml:space="preserve"> </w:t>
            </w:r>
            <w:r w:rsidRPr="003F486D">
              <w:tab/>
              <w:t>Aufstellung und Annahme des Programms und Haushaltsplans für die Rechnungsperiode 20</w:t>
            </w:r>
            <w:r>
              <w:t>20</w:t>
            </w:r>
            <w:r w:rsidRPr="003F486D">
              <w:noBreakHyphen/>
              <w:t>20</w:t>
            </w:r>
            <w:r>
              <w:t>21</w:t>
            </w:r>
          </w:p>
        </w:tc>
        <w:tc>
          <w:tcPr>
            <w:tcW w:w="5334" w:type="dxa"/>
            <w:tcBorders>
              <w:top w:val="single" w:sz="4" w:space="0" w:color="000000"/>
              <w:left w:val="single" w:sz="4" w:space="0" w:color="000000"/>
              <w:bottom w:val="single" w:sz="4" w:space="0" w:color="000000"/>
              <w:right w:val="single" w:sz="4" w:space="0" w:color="000000"/>
            </w:tcBorders>
          </w:tcPr>
          <w:p w:rsidR="008134A5" w:rsidRPr="003F486D" w:rsidRDefault="008134A5" w:rsidP="008134A5">
            <w:pPr>
              <w:keepNext/>
              <w:ind w:left="397" w:hanging="397"/>
              <w:jc w:val="left"/>
              <w:rPr>
                <w:rFonts w:cs="Arial"/>
                <w:color w:val="000000"/>
              </w:rPr>
            </w:pPr>
            <w:r w:rsidRPr="003F486D">
              <w:t>a)</w:t>
            </w:r>
            <w:r w:rsidRPr="003F486D">
              <w:tab/>
              <w:t>Aufstellung und Annahme des Programms und Haushaltspla</w:t>
            </w:r>
            <w:r>
              <w:t>ns für die Rechnungsperiode 2020</w:t>
            </w:r>
            <w:r>
              <w:noBreakHyphen/>
              <w:t>2021.</w:t>
            </w:r>
          </w:p>
        </w:tc>
      </w:tr>
      <w:tr w:rsidR="008134A5" w:rsidRPr="006B70B0" w:rsidTr="008134A5">
        <w:trPr>
          <w:cantSplit/>
        </w:trPr>
        <w:tc>
          <w:tcPr>
            <w:tcW w:w="4555" w:type="dxa"/>
            <w:tcBorders>
              <w:top w:val="single" w:sz="4" w:space="0" w:color="000000"/>
              <w:left w:val="single" w:sz="4" w:space="0" w:color="000000"/>
              <w:bottom w:val="single" w:sz="4" w:space="0" w:color="000000"/>
              <w:right w:val="single" w:sz="4" w:space="0" w:color="000000"/>
            </w:tcBorders>
          </w:tcPr>
          <w:p w:rsidR="008134A5" w:rsidRPr="003F486D" w:rsidRDefault="008134A5" w:rsidP="008134A5">
            <w:pPr>
              <w:keepNext/>
              <w:ind w:left="397" w:hanging="397"/>
              <w:jc w:val="left"/>
              <w:rPr>
                <w:rFonts w:cs="Arial"/>
                <w:color w:val="000000"/>
              </w:rPr>
            </w:pPr>
            <w:r w:rsidRPr="003F486D">
              <w:rPr>
                <w:color w:val="000000"/>
              </w:rPr>
              <w:t>6.</w:t>
            </w:r>
            <w:r w:rsidRPr="003F486D">
              <w:tab/>
            </w:r>
            <w:r w:rsidRPr="003F486D">
              <w:rPr>
                <w:color w:val="000000"/>
              </w:rPr>
              <w:t>Prüfung der Vereinbarkeit von Rechtsvorschriften oder Gesetzesentwürfen mit der Akte von 1991 des UPOV-Übereinkommens</w:t>
            </w:r>
          </w:p>
        </w:tc>
        <w:tc>
          <w:tcPr>
            <w:tcW w:w="5334" w:type="dxa"/>
            <w:tcBorders>
              <w:top w:val="single" w:sz="4" w:space="0" w:color="000000"/>
              <w:left w:val="single" w:sz="4" w:space="0" w:color="000000"/>
              <w:bottom w:val="single" w:sz="4" w:space="0" w:color="000000"/>
              <w:right w:val="single" w:sz="4" w:space="0" w:color="000000"/>
            </w:tcBorders>
          </w:tcPr>
          <w:p w:rsidR="008134A5" w:rsidRPr="003F486D" w:rsidRDefault="008134A5" w:rsidP="008134A5">
            <w:pPr>
              <w:keepNext/>
              <w:spacing w:after="40"/>
              <w:ind w:left="397" w:hanging="397"/>
              <w:jc w:val="left"/>
              <w:rPr>
                <w:rFonts w:cs="Arial"/>
                <w:color w:val="000000"/>
              </w:rPr>
            </w:pPr>
            <w:r w:rsidRPr="003F486D">
              <w:t>a)</w:t>
            </w:r>
            <w:r w:rsidRPr="003F486D">
              <w:tab/>
              <w:t xml:space="preserve">Empfehlungen durch den Beratenden </w:t>
            </w:r>
            <w:proofErr w:type="spellStart"/>
            <w:r w:rsidRPr="003F486D">
              <w:t>Ausschuß</w:t>
            </w:r>
            <w:proofErr w:type="spellEnd"/>
            <w:r w:rsidRPr="003F486D">
              <w:t>; und</w:t>
            </w:r>
          </w:p>
          <w:p w:rsidR="008134A5" w:rsidRPr="003F486D" w:rsidRDefault="008134A5" w:rsidP="008134A5">
            <w:pPr>
              <w:keepNext/>
              <w:ind w:left="397" w:hanging="397"/>
              <w:jc w:val="left"/>
              <w:rPr>
                <w:rFonts w:cs="Arial"/>
                <w:color w:val="000000"/>
              </w:rPr>
            </w:pPr>
            <w:r w:rsidRPr="003F486D">
              <w:t>b)</w:t>
            </w:r>
            <w:r w:rsidRPr="003F486D">
              <w:tab/>
              <w:t>Entscheidungen durch den Rat.</w:t>
            </w:r>
          </w:p>
        </w:tc>
      </w:tr>
      <w:tr w:rsidR="008134A5" w:rsidRPr="006B70B0" w:rsidTr="008134A5">
        <w:trPr>
          <w:cantSplit/>
        </w:trPr>
        <w:tc>
          <w:tcPr>
            <w:tcW w:w="4555" w:type="dxa"/>
            <w:tcBorders>
              <w:top w:val="single" w:sz="4" w:space="0" w:color="000000"/>
              <w:left w:val="single" w:sz="4" w:space="0" w:color="000000"/>
              <w:bottom w:val="single" w:sz="4" w:space="0" w:color="000000"/>
              <w:right w:val="single" w:sz="4" w:space="0" w:color="000000"/>
            </w:tcBorders>
          </w:tcPr>
          <w:p w:rsidR="008134A5" w:rsidRPr="003F486D" w:rsidRDefault="008134A5" w:rsidP="008134A5">
            <w:pPr>
              <w:keepLines/>
              <w:ind w:left="397" w:hanging="397"/>
              <w:jc w:val="left"/>
              <w:rPr>
                <w:rFonts w:cs="Arial"/>
                <w:color w:val="000000"/>
              </w:rPr>
            </w:pPr>
            <w:r w:rsidRPr="003F486D">
              <w:rPr>
                <w:color w:val="000000"/>
              </w:rPr>
              <w:t>7.</w:t>
            </w:r>
            <w:r w:rsidRPr="003F486D">
              <w:tab/>
            </w:r>
            <w:r w:rsidRPr="003F486D">
              <w:rPr>
                <w:color w:val="000000"/>
              </w:rPr>
              <w:t xml:space="preserve">Beobachtung von Entwicklungen betreffend Anträge und Erteilungen von Züchterrechten </w:t>
            </w:r>
          </w:p>
        </w:tc>
        <w:tc>
          <w:tcPr>
            <w:tcW w:w="5334" w:type="dxa"/>
            <w:tcBorders>
              <w:top w:val="single" w:sz="4" w:space="0" w:color="000000"/>
              <w:left w:val="single" w:sz="4" w:space="0" w:color="000000"/>
              <w:bottom w:val="single" w:sz="4" w:space="0" w:color="000000"/>
              <w:right w:val="single" w:sz="4" w:space="0" w:color="000000"/>
            </w:tcBorders>
          </w:tcPr>
          <w:p w:rsidR="008134A5" w:rsidRPr="003F486D" w:rsidRDefault="008134A5" w:rsidP="008134A5">
            <w:pPr>
              <w:keepNext/>
              <w:spacing w:after="40"/>
              <w:ind w:left="397" w:hanging="397"/>
              <w:jc w:val="left"/>
              <w:rPr>
                <w:rFonts w:cs="Arial"/>
                <w:color w:val="000000"/>
              </w:rPr>
            </w:pPr>
            <w:r w:rsidRPr="003F486D">
              <w:rPr>
                <w:color w:val="000000"/>
              </w:rPr>
              <w:t>a)</w:t>
            </w:r>
            <w:r w:rsidRPr="003F486D">
              <w:tab/>
            </w:r>
            <w:r w:rsidRPr="003F486D">
              <w:rPr>
                <w:color w:val="000000"/>
              </w:rPr>
              <w:t>Anzahl von Anträgen;</w:t>
            </w:r>
          </w:p>
          <w:p w:rsidR="008134A5" w:rsidRPr="003F486D" w:rsidRDefault="008134A5" w:rsidP="008134A5">
            <w:pPr>
              <w:keepNext/>
              <w:spacing w:after="40"/>
              <w:ind w:left="397" w:hanging="397"/>
              <w:jc w:val="left"/>
              <w:rPr>
                <w:rFonts w:cs="Arial"/>
                <w:color w:val="000000"/>
              </w:rPr>
            </w:pPr>
            <w:r w:rsidRPr="003F486D">
              <w:t>b)</w:t>
            </w:r>
            <w:r w:rsidRPr="003F486D">
              <w:tab/>
              <w:t>Anzahl erteilter Schutztitel;</w:t>
            </w:r>
          </w:p>
          <w:p w:rsidR="008134A5" w:rsidRPr="003F486D" w:rsidRDefault="008134A5" w:rsidP="008134A5">
            <w:pPr>
              <w:keepNext/>
              <w:spacing w:after="40"/>
              <w:ind w:left="397" w:hanging="397"/>
              <w:jc w:val="left"/>
              <w:rPr>
                <w:rFonts w:cs="Arial"/>
                <w:color w:val="000000"/>
              </w:rPr>
            </w:pPr>
            <w:r w:rsidRPr="003F486D">
              <w:t>c)</w:t>
            </w:r>
            <w:r w:rsidRPr="003F486D">
              <w:tab/>
              <w:t>Anzahl Schutztitel, die in Kraft sind</w:t>
            </w:r>
          </w:p>
          <w:p w:rsidR="008134A5" w:rsidRPr="003F486D" w:rsidRDefault="008134A5" w:rsidP="008134A5">
            <w:pPr>
              <w:keepNext/>
              <w:spacing w:after="40"/>
              <w:ind w:left="397" w:hanging="397"/>
              <w:jc w:val="left"/>
              <w:rPr>
                <w:rFonts w:cs="Arial"/>
                <w:color w:val="000000"/>
              </w:rPr>
            </w:pPr>
            <w:r w:rsidRPr="003F486D">
              <w:t>d)</w:t>
            </w:r>
            <w:r w:rsidRPr="003F486D">
              <w:tab/>
              <w:t>Anzahl Gattungen/Arten, die von den Verbandsmitgliedern geschützt werden;</w:t>
            </w:r>
          </w:p>
          <w:p w:rsidR="008134A5" w:rsidRPr="003F486D" w:rsidRDefault="008134A5" w:rsidP="008134A5">
            <w:pPr>
              <w:keepNext/>
              <w:spacing w:after="40"/>
              <w:ind w:left="397" w:hanging="397"/>
              <w:jc w:val="left"/>
              <w:rPr>
                <w:rFonts w:cs="Arial"/>
                <w:color w:val="000000"/>
              </w:rPr>
            </w:pPr>
            <w:r w:rsidRPr="003F486D">
              <w:t>e)</w:t>
            </w:r>
            <w:r w:rsidRPr="003F486D">
              <w:tab/>
              <w:t>Anzahl Gattungen/Arten, von denen Sorten von den Verbandsmitgliedern geschützt wurden;</w:t>
            </w:r>
            <w:r w:rsidRPr="003F486D">
              <w:rPr>
                <w:color w:val="000000"/>
              </w:rPr>
              <w:t xml:space="preserve"> und</w:t>
            </w:r>
          </w:p>
          <w:p w:rsidR="008134A5" w:rsidRPr="003F486D" w:rsidRDefault="008134A5" w:rsidP="008134A5">
            <w:pPr>
              <w:keepLines/>
              <w:ind w:left="397" w:hanging="397"/>
              <w:jc w:val="left"/>
              <w:rPr>
                <w:rFonts w:cs="Arial"/>
                <w:color w:val="000000"/>
              </w:rPr>
            </w:pPr>
            <w:r w:rsidRPr="003F486D">
              <w:rPr>
                <w:color w:val="000000"/>
              </w:rPr>
              <w:t>f)</w:t>
            </w:r>
            <w:r w:rsidRPr="003F486D">
              <w:tab/>
            </w:r>
            <w:r w:rsidRPr="003F486D">
              <w:rPr>
                <w:color w:val="000000"/>
              </w:rPr>
              <w:t>Analyse nach Pflanzentyp.</w:t>
            </w:r>
          </w:p>
        </w:tc>
      </w:tr>
      <w:tr w:rsidR="008134A5" w:rsidRPr="006B70B0" w:rsidTr="008134A5">
        <w:trPr>
          <w:cantSplit/>
        </w:trPr>
        <w:tc>
          <w:tcPr>
            <w:tcW w:w="4555" w:type="dxa"/>
            <w:tcBorders>
              <w:top w:val="single" w:sz="4" w:space="0" w:color="000000"/>
              <w:left w:val="single" w:sz="4" w:space="0" w:color="000000"/>
              <w:bottom w:val="single" w:sz="4" w:space="0" w:color="000000"/>
              <w:right w:val="single" w:sz="4" w:space="0" w:color="000000"/>
            </w:tcBorders>
          </w:tcPr>
          <w:p w:rsidR="008134A5" w:rsidRPr="003F486D" w:rsidRDefault="008134A5" w:rsidP="008134A5">
            <w:pPr>
              <w:ind w:left="397" w:hanging="397"/>
              <w:jc w:val="left"/>
              <w:rPr>
                <w:rFonts w:cs="Arial"/>
                <w:color w:val="000000"/>
              </w:rPr>
            </w:pPr>
            <w:r w:rsidRPr="003F486D">
              <w:rPr>
                <w:rFonts w:cs="Arial"/>
                <w:color w:val="000000"/>
              </w:rPr>
              <w:t>8.</w:t>
            </w:r>
            <w:r w:rsidRPr="003F486D">
              <w:rPr>
                <w:rFonts w:cs="Arial"/>
                <w:color w:val="000000"/>
              </w:rPr>
              <w:tab/>
            </w:r>
            <w:r>
              <w:rPr>
                <w:rFonts w:cs="Arial"/>
                <w:color w:val="000000"/>
              </w:rPr>
              <w:t>Erleichterung</w:t>
            </w:r>
            <w:r w:rsidRPr="003F486D">
              <w:rPr>
                <w:rFonts w:cs="Arial"/>
              </w:rPr>
              <w:t xml:space="preserve"> </w:t>
            </w:r>
            <w:r>
              <w:rPr>
                <w:rFonts w:cs="Arial"/>
              </w:rPr>
              <w:t>von Anträgen</w:t>
            </w:r>
            <w:r w:rsidRPr="003F486D">
              <w:rPr>
                <w:rFonts w:cs="Arial"/>
              </w:rPr>
              <w:t xml:space="preserve"> </w:t>
            </w:r>
            <w:r>
              <w:rPr>
                <w:rFonts w:cs="Arial"/>
              </w:rPr>
              <w:t>durch</w:t>
            </w:r>
            <w:r w:rsidRPr="003F486D">
              <w:rPr>
                <w:rFonts w:cs="Arial"/>
              </w:rPr>
              <w:t xml:space="preserve"> </w:t>
            </w:r>
            <w:r>
              <w:rPr>
                <w:rFonts w:cs="Arial"/>
              </w:rPr>
              <w:t>das</w:t>
            </w:r>
            <w:r w:rsidRPr="003F486D">
              <w:rPr>
                <w:rFonts w:cs="Arial"/>
              </w:rPr>
              <w:t xml:space="preserve"> </w:t>
            </w:r>
            <w:r>
              <w:rPr>
                <w:rFonts w:cs="Arial"/>
              </w:rPr>
              <w:t>Elektronische</w:t>
            </w:r>
            <w:r w:rsidRPr="003F486D">
              <w:rPr>
                <w:rFonts w:cs="Arial"/>
              </w:rPr>
              <w:t xml:space="preserve"> Antragsformblatt (EAF)</w:t>
            </w:r>
            <w:r>
              <w:rPr>
                <w:rFonts w:cs="Arial"/>
              </w:rPr>
              <w:t xml:space="preserve"> der </w:t>
            </w:r>
            <w:r w:rsidRPr="003F486D">
              <w:rPr>
                <w:rFonts w:cs="Arial"/>
              </w:rPr>
              <w:t>UPOV</w:t>
            </w:r>
          </w:p>
        </w:tc>
        <w:tc>
          <w:tcPr>
            <w:tcW w:w="5334" w:type="dxa"/>
            <w:tcBorders>
              <w:top w:val="single" w:sz="4" w:space="0" w:color="000000"/>
              <w:left w:val="single" w:sz="4" w:space="0" w:color="000000"/>
              <w:bottom w:val="single" w:sz="4" w:space="0" w:color="000000"/>
              <w:right w:val="single" w:sz="4" w:space="0" w:color="000000"/>
            </w:tcBorders>
          </w:tcPr>
          <w:p w:rsidR="008134A5" w:rsidRPr="003F486D" w:rsidRDefault="008134A5" w:rsidP="008134A5">
            <w:pPr>
              <w:keepNext/>
              <w:spacing w:after="40"/>
              <w:ind w:left="397" w:hanging="397"/>
              <w:jc w:val="left"/>
              <w:rPr>
                <w:rFonts w:cs="Arial"/>
                <w:color w:val="000000"/>
              </w:rPr>
            </w:pPr>
            <w:r w:rsidRPr="003F486D">
              <w:rPr>
                <w:rFonts w:cs="Arial"/>
                <w:color w:val="000000"/>
              </w:rPr>
              <w:t>a)</w:t>
            </w:r>
            <w:r w:rsidRPr="003F486D">
              <w:rPr>
                <w:rFonts w:cs="Arial"/>
                <w:color w:val="000000"/>
              </w:rPr>
              <w:tab/>
              <w:t>Empfehlung</w:t>
            </w:r>
            <w:r>
              <w:rPr>
                <w:rFonts w:cs="Arial"/>
                <w:color w:val="000000"/>
              </w:rPr>
              <w:t xml:space="preserve">en vom Beratenden </w:t>
            </w:r>
            <w:proofErr w:type="spellStart"/>
            <w:r>
              <w:rPr>
                <w:rFonts w:cs="Arial"/>
                <w:color w:val="000000"/>
              </w:rPr>
              <w:t>Ausschuß</w:t>
            </w:r>
            <w:proofErr w:type="spellEnd"/>
            <w:r w:rsidRPr="003F486D">
              <w:rPr>
                <w:rFonts w:cs="Arial"/>
                <w:color w:val="000000"/>
              </w:rPr>
              <w:t>;</w:t>
            </w:r>
          </w:p>
          <w:p w:rsidR="008134A5" w:rsidRPr="003F486D" w:rsidRDefault="008134A5" w:rsidP="008134A5">
            <w:pPr>
              <w:keepNext/>
              <w:spacing w:after="40"/>
              <w:ind w:left="397" w:hanging="397"/>
              <w:jc w:val="left"/>
              <w:rPr>
                <w:rFonts w:cs="Arial"/>
                <w:color w:val="000000"/>
              </w:rPr>
            </w:pPr>
            <w:r w:rsidRPr="003F486D">
              <w:rPr>
                <w:rFonts w:cs="Arial"/>
                <w:color w:val="000000"/>
              </w:rPr>
              <w:t>b)</w:t>
            </w:r>
            <w:r w:rsidRPr="003F486D">
              <w:rPr>
                <w:rFonts w:cs="Arial"/>
                <w:color w:val="000000"/>
              </w:rPr>
              <w:tab/>
            </w:r>
            <w:r w:rsidRPr="007B51EB">
              <w:rPr>
                <w:rFonts w:cs="Arial"/>
                <w:color w:val="000000"/>
              </w:rPr>
              <w:t>Entscheidungen durch den Rat</w:t>
            </w:r>
            <w:r w:rsidRPr="003F486D">
              <w:rPr>
                <w:rFonts w:cs="Arial"/>
                <w:color w:val="000000"/>
              </w:rPr>
              <w:t xml:space="preserve">; </w:t>
            </w:r>
          </w:p>
          <w:p w:rsidR="008134A5" w:rsidRPr="003F486D" w:rsidRDefault="008134A5" w:rsidP="008134A5">
            <w:pPr>
              <w:keepNext/>
              <w:spacing w:after="40"/>
              <w:ind w:left="397" w:hanging="397"/>
              <w:jc w:val="left"/>
              <w:rPr>
                <w:rFonts w:cs="Arial"/>
                <w:color w:val="000000"/>
              </w:rPr>
            </w:pPr>
            <w:r w:rsidRPr="003F486D">
              <w:rPr>
                <w:rFonts w:cs="Arial"/>
                <w:color w:val="000000"/>
              </w:rPr>
              <w:t>c)</w:t>
            </w:r>
            <w:r w:rsidRPr="003F486D">
              <w:rPr>
                <w:rFonts w:cs="Arial"/>
                <w:color w:val="000000"/>
              </w:rPr>
              <w:tab/>
            </w:r>
            <w:r>
              <w:rPr>
                <w:rFonts w:cs="Arial"/>
                <w:color w:val="000000"/>
              </w:rPr>
              <w:t>Anzahl von an dem EAF mitwirkenden</w:t>
            </w:r>
            <w:r w:rsidRPr="003F486D">
              <w:rPr>
                <w:rFonts w:cs="Arial"/>
                <w:color w:val="000000"/>
              </w:rPr>
              <w:t xml:space="preserve"> UPOV-Mitgliedern;</w:t>
            </w:r>
          </w:p>
          <w:p w:rsidR="008134A5" w:rsidRPr="003F486D" w:rsidRDefault="008134A5" w:rsidP="008134A5">
            <w:pPr>
              <w:keepNext/>
              <w:spacing w:after="40"/>
              <w:ind w:left="397" w:hanging="397"/>
              <w:jc w:val="left"/>
              <w:rPr>
                <w:rFonts w:cs="Arial"/>
                <w:color w:val="000000"/>
              </w:rPr>
            </w:pPr>
            <w:r w:rsidRPr="003F486D">
              <w:rPr>
                <w:rFonts w:cs="Arial"/>
                <w:color w:val="000000"/>
              </w:rPr>
              <w:t>d)</w:t>
            </w:r>
            <w:r w:rsidRPr="003F486D">
              <w:rPr>
                <w:rFonts w:cs="Arial"/>
                <w:color w:val="000000"/>
              </w:rPr>
              <w:tab/>
              <w:t xml:space="preserve">Anzahl von </w:t>
            </w:r>
            <w:r>
              <w:rPr>
                <w:rFonts w:cs="Arial"/>
                <w:color w:val="000000"/>
              </w:rPr>
              <w:t>vom EAF erfassten Pflanzen</w:t>
            </w:r>
            <w:r w:rsidRPr="003F486D">
              <w:rPr>
                <w:rFonts w:cs="Arial"/>
                <w:color w:val="000000"/>
              </w:rPr>
              <w:t>/</w:t>
            </w:r>
            <w:r>
              <w:rPr>
                <w:rFonts w:cs="Arial"/>
                <w:color w:val="000000"/>
              </w:rPr>
              <w:t>Arten</w:t>
            </w:r>
            <w:r w:rsidRPr="003F486D">
              <w:rPr>
                <w:rFonts w:cs="Arial"/>
                <w:color w:val="000000"/>
              </w:rPr>
              <w:t xml:space="preserve"> </w:t>
            </w:r>
          </w:p>
          <w:p w:rsidR="008134A5" w:rsidRPr="003F486D" w:rsidRDefault="008134A5" w:rsidP="008134A5">
            <w:pPr>
              <w:ind w:left="397" w:hanging="397"/>
              <w:jc w:val="left"/>
              <w:rPr>
                <w:rFonts w:cs="Arial"/>
                <w:color w:val="000000"/>
              </w:rPr>
            </w:pPr>
            <w:r w:rsidRPr="003F486D">
              <w:rPr>
                <w:rFonts w:cs="Arial"/>
                <w:color w:val="000000"/>
              </w:rPr>
              <w:t>e)</w:t>
            </w:r>
            <w:r w:rsidRPr="003F486D">
              <w:rPr>
                <w:rFonts w:cs="Arial"/>
                <w:color w:val="000000"/>
              </w:rPr>
              <w:tab/>
              <w:t xml:space="preserve">Anzahl von </w:t>
            </w:r>
            <w:r>
              <w:rPr>
                <w:rFonts w:cs="Arial"/>
                <w:color w:val="000000"/>
              </w:rPr>
              <w:t>über das EAF eingereichten Anträgen</w:t>
            </w:r>
            <w:r w:rsidRPr="003F486D">
              <w:rPr>
                <w:rFonts w:cs="Arial"/>
                <w:color w:val="000000"/>
              </w:rPr>
              <w:t xml:space="preserve"> (vergleiche</w:t>
            </w:r>
            <w:r>
              <w:rPr>
                <w:rFonts w:cs="Arial"/>
                <w:color w:val="000000"/>
              </w:rPr>
              <w:t xml:space="preserve"> </w:t>
            </w:r>
            <w:r w:rsidRPr="003F486D">
              <w:rPr>
                <w:rFonts w:cs="Arial"/>
                <w:color w:val="000000"/>
              </w:rPr>
              <w:t>UV. 2).</w:t>
            </w:r>
          </w:p>
        </w:tc>
      </w:tr>
      <w:tr w:rsidR="008134A5" w:rsidRPr="006B70B0" w:rsidTr="008134A5">
        <w:trPr>
          <w:cantSplit/>
        </w:trPr>
        <w:tc>
          <w:tcPr>
            <w:tcW w:w="4555" w:type="dxa"/>
            <w:tcBorders>
              <w:top w:val="single" w:sz="4" w:space="0" w:color="000000"/>
              <w:left w:val="single" w:sz="4" w:space="0" w:color="000000"/>
              <w:bottom w:val="single" w:sz="4" w:space="0" w:color="000000"/>
              <w:right w:val="single" w:sz="4" w:space="0" w:color="000000"/>
            </w:tcBorders>
          </w:tcPr>
          <w:p w:rsidR="008134A5" w:rsidRPr="003F486D" w:rsidRDefault="008134A5" w:rsidP="008134A5">
            <w:pPr>
              <w:ind w:left="397" w:hanging="397"/>
              <w:jc w:val="left"/>
              <w:rPr>
                <w:rFonts w:cs="Arial"/>
                <w:color w:val="000000"/>
              </w:rPr>
            </w:pPr>
            <w:r w:rsidRPr="003F486D">
              <w:rPr>
                <w:rFonts w:cs="Arial"/>
              </w:rPr>
              <w:t>9.</w:t>
            </w:r>
            <w:r w:rsidRPr="003F486D">
              <w:rPr>
                <w:rFonts w:cs="Arial"/>
              </w:rPr>
              <w:tab/>
            </w:r>
            <w:r>
              <w:rPr>
                <w:rFonts w:cs="Arial"/>
              </w:rPr>
              <w:t>Verbesserung</w:t>
            </w:r>
            <w:r w:rsidRPr="003F486D">
              <w:rPr>
                <w:rFonts w:cs="Arial"/>
              </w:rPr>
              <w:t xml:space="preserve"> </w:t>
            </w:r>
            <w:r>
              <w:rPr>
                <w:rFonts w:cs="Arial"/>
              </w:rPr>
              <w:t>von freiwilliger</w:t>
            </w:r>
            <w:r w:rsidRPr="003F486D">
              <w:rPr>
                <w:rFonts w:cs="Arial"/>
              </w:rPr>
              <w:t xml:space="preserve"> Zusammenarbeit </w:t>
            </w:r>
            <w:r>
              <w:rPr>
                <w:rFonts w:cs="Arial"/>
              </w:rPr>
              <w:t>zwischen</w:t>
            </w:r>
            <w:r w:rsidRPr="003F486D">
              <w:rPr>
                <w:rFonts w:cs="Arial"/>
              </w:rPr>
              <w:t xml:space="preserve"> Verbandsmitgliedern </w:t>
            </w:r>
            <w:r>
              <w:rPr>
                <w:rFonts w:cs="Arial"/>
              </w:rPr>
              <w:t>bei</w:t>
            </w:r>
            <w:r w:rsidRPr="003F486D">
              <w:rPr>
                <w:rFonts w:cs="Arial"/>
              </w:rPr>
              <w:t xml:space="preserve"> </w:t>
            </w:r>
            <w:r>
              <w:rPr>
                <w:rFonts w:cs="Arial"/>
              </w:rPr>
              <w:t>der</w:t>
            </w:r>
            <w:r w:rsidRPr="003F486D">
              <w:rPr>
                <w:rFonts w:cs="Arial"/>
              </w:rPr>
              <w:t xml:space="preserve"> Umsetzung </w:t>
            </w:r>
            <w:r>
              <w:rPr>
                <w:rFonts w:cs="Arial"/>
              </w:rPr>
              <w:t>der</w:t>
            </w:r>
            <w:r w:rsidRPr="003F486D">
              <w:rPr>
                <w:rFonts w:cs="Arial"/>
              </w:rPr>
              <w:t xml:space="preserve"> </w:t>
            </w:r>
            <w:r>
              <w:rPr>
                <w:rFonts w:cs="Arial"/>
              </w:rPr>
              <w:t>UPOV-Übereinkommen</w:t>
            </w:r>
          </w:p>
        </w:tc>
        <w:tc>
          <w:tcPr>
            <w:tcW w:w="5334" w:type="dxa"/>
            <w:tcBorders>
              <w:top w:val="single" w:sz="4" w:space="0" w:color="000000"/>
              <w:left w:val="single" w:sz="4" w:space="0" w:color="000000"/>
              <w:bottom w:val="single" w:sz="4" w:space="0" w:color="000000"/>
              <w:right w:val="single" w:sz="4" w:space="0" w:color="000000"/>
            </w:tcBorders>
          </w:tcPr>
          <w:p w:rsidR="008134A5" w:rsidRPr="003F486D" w:rsidRDefault="008134A5" w:rsidP="008134A5">
            <w:pPr>
              <w:keepNext/>
              <w:spacing w:after="40"/>
              <w:ind w:left="397" w:hanging="397"/>
              <w:jc w:val="left"/>
              <w:rPr>
                <w:rFonts w:cs="Arial"/>
                <w:color w:val="000000"/>
              </w:rPr>
            </w:pPr>
            <w:r w:rsidRPr="003F486D">
              <w:t>a)</w:t>
            </w:r>
            <w:r w:rsidRPr="003F486D">
              <w:tab/>
              <w:t xml:space="preserve">Empfehlungen durch den Beratenden </w:t>
            </w:r>
            <w:proofErr w:type="spellStart"/>
            <w:r w:rsidRPr="003F486D">
              <w:t>Ausschuß</w:t>
            </w:r>
            <w:proofErr w:type="spellEnd"/>
          </w:p>
          <w:p w:rsidR="008134A5" w:rsidRPr="003F486D" w:rsidRDefault="008134A5" w:rsidP="008134A5">
            <w:pPr>
              <w:keepNext/>
              <w:spacing w:after="40"/>
              <w:ind w:left="397" w:hanging="397"/>
              <w:jc w:val="left"/>
              <w:rPr>
                <w:rFonts w:cs="Arial"/>
                <w:color w:val="000000"/>
              </w:rPr>
            </w:pPr>
            <w:r w:rsidRPr="003F486D">
              <w:t>b)</w:t>
            </w:r>
            <w:r w:rsidRPr="003F486D">
              <w:tab/>
              <w:t>Entscheidungen durch den Rat; und</w:t>
            </w:r>
          </w:p>
          <w:p w:rsidR="008134A5" w:rsidRPr="003F486D" w:rsidRDefault="008134A5" w:rsidP="008134A5">
            <w:pPr>
              <w:ind w:left="397" w:hanging="397"/>
              <w:jc w:val="left"/>
              <w:rPr>
                <w:rFonts w:cs="Arial"/>
                <w:color w:val="000000"/>
              </w:rPr>
            </w:pPr>
            <w:r w:rsidRPr="003F486D">
              <w:rPr>
                <w:color w:val="000000"/>
              </w:rPr>
              <w:t>c)</w:t>
            </w:r>
            <w:r w:rsidRPr="003F486D">
              <w:tab/>
              <w:t>Vereinbarungen zur Zusammenarbeit zwischen Verbandsmitgliedern.</w:t>
            </w:r>
          </w:p>
        </w:tc>
      </w:tr>
      <w:tr w:rsidR="008134A5" w:rsidRPr="006B70B0" w:rsidTr="008134A5">
        <w:trPr>
          <w:cantSplit/>
        </w:trPr>
        <w:tc>
          <w:tcPr>
            <w:tcW w:w="4555" w:type="dxa"/>
            <w:tcBorders>
              <w:top w:val="single" w:sz="4" w:space="0" w:color="000000"/>
              <w:left w:val="single" w:sz="4" w:space="0" w:color="000000"/>
              <w:bottom w:val="single" w:sz="4" w:space="0" w:color="000000"/>
              <w:right w:val="single" w:sz="4" w:space="0" w:color="000000"/>
            </w:tcBorders>
          </w:tcPr>
          <w:p w:rsidR="008134A5" w:rsidRPr="003F486D" w:rsidRDefault="008134A5" w:rsidP="008134A5">
            <w:pPr>
              <w:ind w:left="397" w:hanging="397"/>
              <w:jc w:val="left"/>
              <w:rPr>
                <w:rFonts w:cs="Arial"/>
                <w:color w:val="000000"/>
              </w:rPr>
            </w:pPr>
            <w:r w:rsidRPr="003F486D">
              <w:rPr>
                <w:rFonts w:cs="Arial"/>
                <w:color w:val="000000"/>
              </w:rPr>
              <w:t>10.</w:t>
            </w:r>
            <w:r w:rsidRPr="003F486D">
              <w:rPr>
                <w:rFonts w:cs="Arial"/>
                <w:color w:val="000000"/>
              </w:rPr>
              <w:tab/>
            </w:r>
            <w:r w:rsidRPr="003F486D">
              <w:rPr>
                <w:color w:val="000000"/>
              </w:rPr>
              <w:t xml:space="preserve">Überwachung der Umsetzung der </w:t>
            </w:r>
            <w:r>
              <w:rPr>
                <w:rFonts w:cs="Arial"/>
                <w:color w:val="000000"/>
              </w:rPr>
              <w:t>Schulungs- und Unterstützungsstrategie</w:t>
            </w:r>
          </w:p>
        </w:tc>
        <w:tc>
          <w:tcPr>
            <w:tcW w:w="5334" w:type="dxa"/>
            <w:tcBorders>
              <w:top w:val="single" w:sz="4" w:space="0" w:color="000000"/>
              <w:left w:val="single" w:sz="4" w:space="0" w:color="000000"/>
              <w:bottom w:val="single" w:sz="4" w:space="0" w:color="000000"/>
              <w:right w:val="single" w:sz="4" w:space="0" w:color="000000"/>
            </w:tcBorders>
          </w:tcPr>
          <w:p w:rsidR="008134A5" w:rsidRPr="003F486D" w:rsidRDefault="008134A5" w:rsidP="008134A5">
            <w:pPr>
              <w:keepNext/>
              <w:spacing w:after="40"/>
              <w:ind w:left="397" w:hanging="397"/>
              <w:jc w:val="left"/>
              <w:rPr>
                <w:rFonts w:cs="Arial"/>
                <w:color w:val="000000"/>
              </w:rPr>
            </w:pPr>
            <w:r w:rsidRPr="003F486D">
              <w:rPr>
                <w:color w:val="000000"/>
              </w:rPr>
              <w:t>a)</w:t>
            </w:r>
            <w:r w:rsidRPr="003F486D">
              <w:tab/>
              <w:t xml:space="preserve">Auswertung der Jahresberichte des </w:t>
            </w:r>
            <w:r>
              <w:t>General</w:t>
            </w:r>
            <w:r w:rsidRPr="003F486D">
              <w:t>sekretärs; der Ergebnisbewertungsberichte für die Rechnungsperiode und anderer</w:t>
            </w:r>
            <w:r>
              <w:t xml:space="preserve"> Informationen</w:t>
            </w:r>
            <w:r w:rsidRPr="003F486D">
              <w:t>;</w:t>
            </w:r>
          </w:p>
          <w:p w:rsidR="008134A5" w:rsidRPr="003F486D" w:rsidRDefault="008134A5" w:rsidP="008134A5">
            <w:pPr>
              <w:keepNext/>
              <w:spacing w:after="40"/>
              <w:ind w:left="397" w:hanging="397"/>
              <w:jc w:val="left"/>
              <w:rPr>
                <w:rFonts w:cs="Arial"/>
                <w:color w:val="000000"/>
              </w:rPr>
            </w:pPr>
            <w:r w:rsidRPr="003F486D">
              <w:rPr>
                <w:color w:val="000000"/>
              </w:rPr>
              <w:t>b)</w:t>
            </w:r>
            <w:r w:rsidRPr="003F486D">
              <w:tab/>
              <w:t>Staaten, die zur Akte von 1991 des UPOV Übereinkommens beitreten oder sie ratifizieren; Staaten und Organisationen, die ein Verbandsmitglied werden; und die Zahl der Gattungen und Arten, die von Verbandsmitgliedern geschützt werden; und</w:t>
            </w:r>
          </w:p>
          <w:p w:rsidR="008134A5" w:rsidRPr="003F486D" w:rsidRDefault="008134A5" w:rsidP="008134A5">
            <w:pPr>
              <w:ind w:left="397" w:hanging="397"/>
              <w:jc w:val="left"/>
              <w:rPr>
                <w:rFonts w:cs="Arial"/>
                <w:color w:val="000000"/>
              </w:rPr>
            </w:pPr>
            <w:r w:rsidRPr="003F486D">
              <w:t>c)</w:t>
            </w:r>
            <w:r w:rsidRPr="003F486D">
              <w:tab/>
              <w:t>Maßnahmen zur Bereitstellung von Schulung und Unterstützung bei der Einführung und Umsetzung des UPOV-Systems.</w:t>
            </w:r>
          </w:p>
        </w:tc>
      </w:tr>
      <w:tr w:rsidR="008134A5" w:rsidRPr="006B70B0" w:rsidTr="008134A5">
        <w:trPr>
          <w:cantSplit/>
        </w:trPr>
        <w:tc>
          <w:tcPr>
            <w:tcW w:w="4555" w:type="dxa"/>
            <w:tcBorders>
              <w:top w:val="single" w:sz="4" w:space="0" w:color="000000"/>
              <w:left w:val="single" w:sz="4" w:space="0" w:color="000000"/>
              <w:bottom w:val="single" w:sz="4" w:space="0" w:color="000000"/>
              <w:right w:val="single" w:sz="4" w:space="0" w:color="000000"/>
            </w:tcBorders>
          </w:tcPr>
          <w:p w:rsidR="008134A5" w:rsidRPr="003F486D" w:rsidRDefault="008134A5" w:rsidP="008134A5">
            <w:pPr>
              <w:ind w:left="397" w:hanging="397"/>
              <w:jc w:val="left"/>
              <w:rPr>
                <w:rFonts w:cs="Arial"/>
                <w:color w:val="000000"/>
              </w:rPr>
            </w:pPr>
            <w:r w:rsidRPr="003F486D">
              <w:rPr>
                <w:color w:val="000000"/>
              </w:rPr>
              <w:t>11.</w:t>
            </w:r>
            <w:r w:rsidRPr="003F486D">
              <w:tab/>
            </w:r>
            <w:r w:rsidRPr="003F486D">
              <w:rPr>
                <w:color w:val="000000"/>
              </w:rPr>
              <w:t>Überwachung der Umsetzung der Kommunikationsstrategie</w:t>
            </w:r>
          </w:p>
        </w:tc>
        <w:tc>
          <w:tcPr>
            <w:tcW w:w="5334" w:type="dxa"/>
            <w:tcBorders>
              <w:top w:val="single" w:sz="4" w:space="0" w:color="000000"/>
              <w:left w:val="single" w:sz="4" w:space="0" w:color="000000"/>
              <w:bottom w:val="single" w:sz="4" w:space="0" w:color="000000"/>
              <w:right w:val="single" w:sz="4" w:space="0" w:color="000000"/>
            </w:tcBorders>
          </w:tcPr>
          <w:p w:rsidR="008134A5" w:rsidRPr="003F486D" w:rsidRDefault="008134A5" w:rsidP="008134A5">
            <w:pPr>
              <w:keepNext/>
              <w:spacing w:after="40"/>
              <w:ind w:left="397" w:hanging="397"/>
              <w:jc w:val="left"/>
              <w:rPr>
                <w:rFonts w:cs="Arial"/>
                <w:color w:val="000000"/>
              </w:rPr>
            </w:pPr>
            <w:r w:rsidRPr="003F486D">
              <w:rPr>
                <w:color w:val="000000"/>
              </w:rPr>
              <w:t>a)</w:t>
            </w:r>
            <w:r w:rsidRPr="003F486D">
              <w:tab/>
              <w:t xml:space="preserve">Auswertung der Jahresberichte des </w:t>
            </w:r>
            <w:r>
              <w:t>General</w:t>
            </w:r>
            <w:r w:rsidRPr="003F486D">
              <w:t>sekretärs; der Ergebnisbewertungsberichte für die Rechnungsperiode und anderer</w:t>
            </w:r>
            <w:r>
              <w:t xml:space="preserve"> Informationen</w:t>
            </w:r>
            <w:r w:rsidRPr="003F486D">
              <w:t>; und</w:t>
            </w:r>
          </w:p>
          <w:p w:rsidR="008134A5" w:rsidRPr="003F486D" w:rsidRDefault="008134A5" w:rsidP="008134A5">
            <w:pPr>
              <w:ind w:left="397" w:hanging="397"/>
              <w:jc w:val="left"/>
              <w:rPr>
                <w:rFonts w:cs="Arial"/>
                <w:color w:val="000000"/>
              </w:rPr>
            </w:pPr>
            <w:r w:rsidRPr="003F486D">
              <w:rPr>
                <w:color w:val="000000"/>
              </w:rPr>
              <w:t>b)</w:t>
            </w:r>
            <w:r w:rsidRPr="003F486D">
              <w:tab/>
              <w:t xml:space="preserve">Empfehlungen durch den Beratenden </w:t>
            </w:r>
            <w:proofErr w:type="spellStart"/>
            <w:r w:rsidRPr="003F486D">
              <w:t>Ausschuß</w:t>
            </w:r>
            <w:proofErr w:type="spellEnd"/>
            <w:r w:rsidRPr="003F486D">
              <w:t xml:space="preserve"> zur Kommunikationsstrategie.</w:t>
            </w:r>
            <w:r w:rsidRPr="003F486D">
              <w:rPr>
                <w:color w:val="000000"/>
              </w:rPr>
              <w:t xml:space="preserve"> </w:t>
            </w:r>
          </w:p>
        </w:tc>
      </w:tr>
      <w:tr w:rsidR="008134A5" w:rsidRPr="006B70B0" w:rsidTr="008134A5">
        <w:trPr>
          <w:cantSplit/>
        </w:trPr>
        <w:tc>
          <w:tcPr>
            <w:tcW w:w="4555" w:type="dxa"/>
            <w:tcBorders>
              <w:top w:val="single" w:sz="4" w:space="0" w:color="000000"/>
              <w:left w:val="single" w:sz="4" w:space="0" w:color="000000"/>
              <w:bottom w:val="single" w:sz="4" w:space="0" w:color="000000"/>
              <w:right w:val="single" w:sz="4" w:space="0" w:color="000000"/>
            </w:tcBorders>
          </w:tcPr>
          <w:p w:rsidR="008134A5" w:rsidRPr="003F486D" w:rsidRDefault="008134A5" w:rsidP="008134A5">
            <w:pPr>
              <w:keepLines/>
              <w:ind w:left="397" w:hanging="397"/>
              <w:jc w:val="left"/>
              <w:rPr>
                <w:rFonts w:cs="Arial"/>
                <w:color w:val="000000"/>
              </w:rPr>
            </w:pPr>
            <w:r w:rsidRPr="003F486D">
              <w:t>12.</w:t>
            </w:r>
            <w:r w:rsidRPr="003F486D">
              <w:tab/>
              <w:t>Politische Orientierung zu wechselseitigen Beziehungen mit anderen Organisationen</w:t>
            </w:r>
          </w:p>
        </w:tc>
        <w:tc>
          <w:tcPr>
            <w:tcW w:w="5334" w:type="dxa"/>
            <w:tcBorders>
              <w:top w:val="single" w:sz="4" w:space="0" w:color="000000"/>
              <w:left w:val="single" w:sz="4" w:space="0" w:color="000000"/>
              <w:bottom w:val="single" w:sz="4" w:space="0" w:color="000000"/>
              <w:right w:val="single" w:sz="4" w:space="0" w:color="000000"/>
            </w:tcBorders>
          </w:tcPr>
          <w:p w:rsidR="008134A5" w:rsidRPr="003F486D" w:rsidRDefault="008134A5" w:rsidP="008134A5">
            <w:pPr>
              <w:keepNext/>
              <w:spacing w:after="40"/>
              <w:ind w:left="397" w:hanging="397"/>
              <w:jc w:val="left"/>
              <w:rPr>
                <w:rFonts w:cs="Arial"/>
                <w:color w:val="000000"/>
              </w:rPr>
            </w:pPr>
            <w:r w:rsidRPr="003F486D">
              <w:t>a)</w:t>
            </w:r>
            <w:r w:rsidRPr="003F486D">
              <w:tab/>
              <w:t xml:space="preserve">Empfehlungen durch den Beratenden </w:t>
            </w:r>
            <w:proofErr w:type="spellStart"/>
            <w:r w:rsidRPr="003F486D">
              <w:t>Ausschuß</w:t>
            </w:r>
            <w:proofErr w:type="spellEnd"/>
            <w:r w:rsidRPr="003F486D">
              <w:t>; und</w:t>
            </w:r>
          </w:p>
          <w:p w:rsidR="008134A5" w:rsidRPr="003F486D" w:rsidRDefault="008134A5" w:rsidP="008134A5">
            <w:pPr>
              <w:keepLines/>
              <w:ind w:left="397" w:hanging="397"/>
              <w:jc w:val="left"/>
              <w:rPr>
                <w:rFonts w:cs="Arial"/>
                <w:color w:val="000000"/>
              </w:rPr>
            </w:pPr>
            <w:r w:rsidRPr="003F486D">
              <w:t>b)</w:t>
            </w:r>
            <w:r w:rsidRPr="003F486D">
              <w:tab/>
              <w:t>Entscheidungen durch den Rat.</w:t>
            </w:r>
          </w:p>
        </w:tc>
      </w:tr>
      <w:tr w:rsidR="008134A5" w:rsidRPr="006B70B0" w:rsidTr="008134A5">
        <w:trPr>
          <w:cantSplit/>
        </w:trPr>
        <w:tc>
          <w:tcPr>
            <w:tcW w:w="4555" w:type="dxa"/>
            <w:tcBorders>
              <w:top w:val="single" w:sz="4" w:space="0" w:color="000000"/>
              <w:left w:val="single" w:sz="4" w:space="0" w:color="000000"/>
              <w:bottom w:val="single" w:sz="4" w:space="0" w:color="000000"/>
              <w:right w:val="single" w:sz="4" w:space="0" w:color="000000"/>
            </w:tcBorders>
          </w:tcPr>
          <w:p w:rsidR="008134A5" w:rsidRPr="003F486D" w:rsidRDefault="008134A5" w:rsidP="008134A5">
            <w:pPr>
              <w:ind w:left="397" w:hanging="397"/>
              <w:jc w:val="left"/>
              <w:rPr>
                <w:rFonts w:cs="Arial"/>
                <w:color w:val="000000"/>
              </w:rPr>
            </w:pPr>
            <w:r w:rsidRPr="003F486D">
              <w:rPr>
                <w:color w:val="000000"/>
              </w:rPr>
              <w:t>13.</w:t>
            </w:r>
            <w:r w:rsidRPr="003F486D">
              <w:tab/>
            </w:r>
            <w:r w:rsidRPr="003F486D">
              <w:rPr>
                <w:color w:val="000000"/>
              </w:rPr>
              <w:t>Grundsätze zu anderen Angelegenheiten</w:t>
            </w:r>
          </w:p>
        </w:tc>
        <w:tc>
          <w:tcPr>
            <w:tcW w:w="5334" w:type="dxa"/>
            <w:tcBorders>
              <w:top w:val="single" w:sz="4" w:space="0" w:color="000000"/>
              <w:left w:val="single" w:sz="4" w:space="0" w:color="000000"/>
              <w:bottom w:val="single" w:sz="4" w:space="0" w:color="000000"/>
              <w:right w:val="single" w:sz="4" w:space="0" w:color="000000"/>
            </w:tcBorders>
          </w:tcPr>
          <w:p w:rsidR="008134A5" w:rsidRPr="003F486D" w:rsidRDefault="008134A5" w:rsidP="008134A5">
            <w:pPr>
              <w:keepNext/>
              <w:spacing w:after="40"/>
              <w:ind w:left="397" w:hanging="397"/>
              <w:jc w:val="left"/>
              <w:rPr>
                <w:rFonts w:cs="Arial"/>
                <w:color w:val="000000"/>
              </w:rPr>
            </w:pPr>
            <w:r w:rsidRPr="003F486D">
              <w:t>a)</w:t>
            </w:r>
            <w:r w:rsidRPr="003F486D">
              <w:tab/>
              <w:t xml:space="preserve">Empfehlungen durch den Beratenden </w:t>
            </w:r>
            <w:proofErr w:type="spellStart"/>
            <w:r w:rsidRPr="003F486D">
              <w:t>Ausschuß</w:t>
            </w:r>
            <w:proofErr w:type="spellEnd"/>
            <w:r w:rsidRPr="003F486D">
              <w:t>;</w:t>
            </w:r>
          </w:p>
          <w:p w:rsidR="008134A5" w:rsidRPr="003F486D" w:rsidRDefault="008134A5" w:rsidP="008134A5">
            <w:pPr>
              <w:keepNext/>
              <w:spacing w:after="40"/>
              <w:ind w:left="397" w:hanging="397"/>
              <w:jc w:val="left"/>
              <w:rPr>
                <w:rFonts w:cs="Arial"/>
                <w:color w:val="000000"/>
              </w:rPr>
            </w:pPr>
            <w:r w:rsidRPr="003F486D">
              <w:t>b)</w:t>
            </w:r>
            <w:r w:rsidRPr="003F486D">
              <w:tab/>
              <w:t>Entscheidungen durch den Rat; und</w:t>
            </w:r>
          </w:p>
          <w:p w:rsidR="008134A5" w:rsidRPr="003F486D" w:rsidRDefault="008134A5" w:rsidP="008134A5">
            <w:pPr>
              <w:ind w:left="397" w:hanging="397"/>
              <w:jc w:val="left"/>
              <w:rPr>
                <w:rFonts w:cs="Arial"/>
                <w:color w:val="000000"/>
              </w:rPr>
            </w:pPr>
            <w:r w:rsidRPr="003F486D">
              <w:t>c)</w:t>
            </w:r>
            <w:r w:rsidRPr="003F486D">
              <w:tab/>
              <w:t>Annahme von</w:t>
            </w:r>
            <w:r>
              <w:t xml:space="preserve"> Informations</w:t>
            </w:r>
            <w:r w:rsidRPr="003F486D">
              <w:t>- und Positionspapieren durch den Rat.</w:t>
            </w:r>
          </w:p>
        </w:tc>
      </w:tr>
    </w:tbl>
    <w:p w:rsidR="008134A5" w:rsidRPr="003F486D" w:rsidRDefault="008134A5" w:rsidP="008134A5">
      <w:pPr>
        <w:jc w:val="left"/>
        <w:rPr>
          <w:b/>
        </w:rPr>
      </w:pPr>
      <w:r w:rsidRPr="003F486D">
        <w:rPr>
          <w:b/>
        </w:rPr>
        <w:br w:type="page"/>
      </w:r>
    </w:p>
    <w:p w:rsidR="008134A5" w:rsidRPr="003F486D" w:rsidRDefault="008134A5" w:rsidP="008134A5">
      <w:pPr>
        <w:keepNext/>
        <w:tabs>
          <w:tab w:val="left" w:pos="567"/>
        </w:tabs>
        <w:ind w:left="2835" w:hanging="2835"/>
        <w:rPr>
          <w:b/>
        </w:rPr>
      </w:pPr>
      <w:r w:rsidRPr="003F486D">
        <w:rPr>
          <w:b/>
        </w:rPr>
        <w:t>2.2</w:t>
      </w:r>
      <w:r w:rsidRPr="003F486D">
        <w:tab/>
      </w:r>
      <w:r w:rsidRPr="003F486D">
        <w:rPr>
          <w:b/>
          <w:u w:val="single"/>
        </w:rPr>
        <w:t>Unterprogramm UV.2</w:t>
      </w:r>
      <w:r w:rsidRPr="003F486D">
        <w:rPr>
          <w:b/>
        </w:rPr>
        <w:t>:</w:t>
      </w:r>
      <w:r w:rsidRPr="003F486D">
        <w:tab/>
      </w:r>
      <w:r w:rsidRPr="003F486D">
        <w:rPr>
          <w:b/>
          <w:u w:val="single"/>
        </w:rPr>
        <w:t>Dienstleistungen für den Verband zur Verbesserung der Wirksamkeit des UPOV-Systems</w:t>
      </w:r>
      <w:r w:rsidRPr="003F486D">
        <w:rPr>
          <w:b/>
        </w:rPr>
        <w:t xml:space="preserve"> </w:t>
      </w:r>
    </w:p>
    <w:p w:rsidR="008134A5" w:rsidRPr="003F486D" w:rsidRDefault="008134A5" w:rsidP="008134A5">
      <w:pPr>
        <w:keepNext/>
      </w:pPr>
    </w:p>
    <w:p w:rsidR="008134A5" w:rsidRPr="003F486D" w:rsidRDefault="008134A5" w:rsidP="008134A5">
      <w:pPr>
        <w:keepNext/>
        <w:rPr>
          <w:b/>
        </w:rPr>
      </w:pPr>
      <w:r w:rsidRPr="003F486D">
        <w:rPr>
          <w:b/>
        </w:rPr>
        <w:t>2.2.1</w:t>
      </w:r>
      <w:r w:rsidRPr="003F486D">
        <w:tab/>
      </w:r>
      <w:r w:rsidRPr="003F486D">
        <w:rPr>
          <w:b/>
        </w:rPr>
        <w:t>Ziele:</w:t>
      </w:r>
    </w:p>
    <w:p w:rsidR="008134A5" w:rsidRPr="003F486D" w:rsidRDefault="008134A5" w:rsidP="008134A5">
      <w:pPr>
        <w:keepNext/>
        <w:ind w:left="142"/>
      </w:pPr>
    </w:p>
    <w:p w:rsidR="008134A5" w:rsidRPr="003F486D" w:rsidRDefault="008134A5" w:rsidP="008134A5">
      <w:r w:rsidRPr="003F486D">
        <w:tab/>
        <w:t>a)</w:t>
      </w:r>
      <w:r w:rsidRPr="003F486D">
        <w:tab/>
        <w:t xml:space="preserve">Wahrung und Verbesserung der Wirksamkeit des UPOV-Systems. </w:t>
      </w:r>
    </w:p>
    <w:p w:rsidR="008134A5" w:rsidRPr="003F486D" w:rsidRDefault="008134A5" w:rsidP="008134A5"/>
    <w:p w:rsidR="008134A5" w:rsidRPr="003F486D" w:rsidRDefault="008134A5" w:rsidP="008134A5">
      <w:r w:rsidRPr="003F486D">
        <w:tab/>
        <w:t>b)</w:t>
      </w:r>
      <w:r w:rsidRPr="003F486D">
        <w:tab/>
        <w:t>Bereitstellung und Entwicklung der rechtlichen, administrativen und technischen Grundlage für die internationale Zusammenarbeit auf dem Gebiet des Sortenschutzes nach dem UPOV-Übereinkommen.</w:t>
      </w:r>
    </w:p>
    <w:p w:rsidR="008134A5" w:rsidRPr="003F486D" w:rsidRDefault="008134A5" w:rsidP="008134A5">
      <w:pPr>
        <w:ind w:left="2410" w:hanging="2410"/>
      </w:pPr>
    </w:p>
    <w:p w:rsidR="008134A5" w:rsidRPr="003F486D" w:rsidRDefault="008134A5" w:rsidP="008134A5">
      <w:pPr>
        <w:ind w:left="2410" w:hanging="2410"/>
      </w:pPr>
    </w:p>
    <w:p w:rsidR="008134A5" w:rsidRPr="003F486D" w:rsidRDefault="008134A5" w:rsidP="008134A5">
      <w:pPr>
        <w:tabs>
          <w:tab w:val="left" w:pos="567"/>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b/>
        </w:rPr>
      </w:pPr>
      <w:r w:rsidRPr="003F486D">
        <w:rPr>
          <w:b/>
        </w:rPr>
        <w:t>2.2.2</w:t>
      </w:r>
      <w:r w:rsidRPr="003F486D">
        <w:tab/>
      </w:r>
      <w:r w:rsidRPr="003F486D">
        <w:rPr>
          <w:b/>
        </w:rPr>
        <w:t>Hintergrund</w:t>
      </w:r>
    </w:p>
    <w:p w:rsidR="008134A5" w:rsidRPr="003F486D" w:rsidRDefault="008134A5" w:rsidP="008134A5"/>
    <w:p w:rsidR="008134A5" w:rsidRPr="003F486D" w:rsidRDefault="008134A5" w:rsidP="008134A5">
      <w:pPr>
        <w:tabs>
          <w:tab w:val="left" w:pos="851"/>
        </w:tabs>
        <w:rPr>
          <w:color w:val="000000" w:themeColor="text1"/>
          <w:u w:val="single"/>
        </w:rPr>
      </w:pPr>
      <w:r w:rsidRPr="003F486D">
        <w:rPr>
          <w:color w:val="000000" w:themeColor="text1"/>
          <w:u w:val="single"/>
        </w:rPr>
        <w:t>Einleitung</w:t>
      </w:r>
    </w:p>
    <w:p w:rsidR="008134A5" w:rsidRPr="003F486D" w:rsidRDefault="008134A5" w:rsidP="008134A5">
      <w:pPr>
        <w:tabs>
          <w:tab w:val="left" w:pos="851"/>
        </w:tabs>
        <w:rPr>
          <w:color w:val="000000" w:themeColor="text1"/>
        </w:rPr>
      </w:pPr>
    </w:p>
    <w:p w:rsidR="008134A5" w:rsidRPr="003F486D" w:rsidRDefault="008134A5" w:rsidP="008134A5">
      <w:pPr>
        <w:rPr>
          <w:color w:val="000000" w:themeColor="text1"/>
        </w:rPr>
      </w:pPr>
      <w:r w:rsidRPr="003F486D">
        <w:rPr>
          <w:color w:val="000000" w:themeColor="text1"/>
        </w:rPr>
        <w:t>2.2.2.1</w:t>
      </w:r>
      <w:r w:rsidRPr="003F486D">
        <w:tab/>
        <w:t xml:space="preserve">Dieses Unterprogramm </w:t>
      </w:r>
      <w:proofErr w:type="spellStart"/>
      <w:r w:rsidRPr="003F486D">
        <w:t>umfaßt</w:t>
      </w:r>
      <w:proofErr w:type="spellEnd"/>
      <w:r w:rsidRPr="003F486D">
        <w:t xml:space="preserve"> die Erteilung von Anleitung,</w:t>
      </w:r>
      <w:r>
        <w:t xml:space="preserve"> Informationen</w:t>
      </w:r>
      <w:r w:rsidRPr="003F486D">
        <w:t xml:space="preserve"> und die Bereitstellung von Mitteln für den Betrieb des UPOV-Sortenschutzsystems, </w:t>
      </w:r>
      <w:r>
        <w:t xml:space="preserve">die </w:t>
      </w:r>
      <w:r w:rsidRPr="003F486D">
        <w:t>Unterstützung für die Zusammenarbeit zwischen Verbandsmitgliedern, die Arbeit der maßgeblichen UPOV-Organe und Maßnahmen zur Erleichterung von Züchterrechtsanträgen.</w:t>
      </w:r>
      <w:r>
        <w:rPr>
          <w:color w:val="000000" w:themeColor="text1"/>
        </w:rPr>
        <w:t xml:space="preserve"> </w:t>
      </w:r>
    </w:p>
    <w:p w:rsidR="008134A5" w:rsidRPr="003F486D" w:rsidRDefault="008134A5" w:rsidP="008134A5">
      <w:pPr>
        <w:tabs>
          <w:tab w:val="left" w:pos="567"/>
        </w:tabs>
        <w:rPr>
          <w:color w:val="000000" w:themeColor="text1"/>
        </w:rPr>
      </w:pPr>
    </w:p>
    <w:p w:rsidR="008134A5" w:rsidRPr="003F486D" w:rsidRDefault="008134A5" w:rsidP="008134A5">
      <w:pPr>
        <w:tabs>
          <w:tab w:val="left" w:pos="567"/>
        </w:tabs>
        <w:rPr>
          <w:color w:val="000000" w:themeColor="text1"/>
        </w:rPr>
      </w:pPr>
    </w:p>
    <w:p w:rsidR="008134A5" w:rsidRPr="003F486D" w:rsidRDefault="008134A5" w:rsidP="008134A5">
      <w:pPr>
        <w:tabs>
          <w:tab w:val="left" w:pos="851"/>
        </w:tabs>
        <w:rPr>
          <w:bCs/>
          <w:color w:val="000000" w:themeColor="text1"/>
          <w:szCs w:val="24"/>
          <w:u w:val="single"/>
        </w:rPr>
      </w:pPr>
      <w:r w:rsidRPr="003F486D">
        <w:rPr>
          <w:u w:val="single"/>
        </w:rPr>
        <w:t>Anleitung und</w:t>
      </w:r>
      <w:r>
        <w:rPr>
          <w:u w:val="single"/>
        </w:rPr>
        <w:t xml:space="preserve"> Informationsmaterialien</w:t>
      </w:r>
    </w:p>
    <w:p w:rsidR="008134A5" w:rsidRPr="003F486D" w:rsidRDefault="008134A5" w:rsidP="008134A5">
      <w:pPr>
        <w:tabs>
          <w:tab w:val="left" w:pos="851"/>
        </w:tabs>
        <w:rPr>
          <w:bCs/>
          <w:color w:val="000000" w:themeColor="text1"/>
          <w:szCs w:val="24"/>
        </w:rPr>
      </w:pPr>
    </w:p>
    <w:p w:rsidR="008134A5" w:rsidRPr="003F486D" w:rsidRDefault="008134A5" w:rsidP="008134A5">
      <w:pPr>
        <w:rPr>
          <w:color w:val="000000" w:themeColor="text1"/>
        </w:rPr>
      </w:pPr>
      <w:r w:rsidRPr="003F486D">
        <w:t>2.2.2.2</w:t>
      </w:r>
      <w:r w:rsidRPr="003F486D">
        <w:tab/>
        <w:t>Die Wirksamkeit des UPOV-Systems wird durch die Erteilung von Anleitung und</w:t>
      </w:r>
      <w:r>
        <w:t xml:space="preserve"> Informationsmaterialien</w:t>
      </w:r>
      <w:r w:rsidRPr="003F486D">
        <w:t xml:space="preserve"> wie die Erläuterungen („UPOV/EXN</w:t>
      </w:r>
      <w:r>
        <w:t>“</w:t>
      </w:r>
      <w:r w:rsidRPr="003F486D">
        <w:t xml:space="preserve"> Reihe),</w:t>
      </w:r>
      <w:r>
        <w:t xml:space="preserve"> Informations</w:t>
      </w:r>
      <w:r w:rsidRPr="003F486D">
        <w:t>d</w:t>
      </w:r>
      <w:r>
        <w:t>okumente („UPOV/INF“ Reihe), die „Allgemeine</w:t>
      </w:r>
      <w:r w:rsidRPr="003F486D">
        <w:t xml:space="preserve"> Einführung zur Prüfung auf Unterscheidbarkeit, Homogenität und Beständigkeit und zur Erarbeitung harmonisierter Beschreibungen von n</w:t>
      </w:r>
      <w:r>
        <w:t>euen Pflanzensorten“</w:t>
      </w:r>
      <w:r w:rsidRPr="003F486D">
        <w:t xml:space="preserve"> mit</w:t>
      </w:r>
      <w:r>
        <w:t xml:space="preserve"> den verbundenen TGP-Dokumenten</w:t>
      </w:r>
      <w:r w:rsidRPr="003F486D">
        <w:t xml:space="preserve"> und Prüfungsrichtlinien</w:t>
      </w:r>
      <w:r w:rsidRPr="00762BFC">
        <w:t xml:space="preserve"> </w:t>
      </w:r>
      <w:r w:rsidRPr="003F486D">
        <w:t>gesteigert.</w:t>
      </w:r>
      <w:r w:rsidRPr="003F486D">
        <w:rPr>
          <w:color w:val="000000" w:themeColor="text1"/>
        </w:rPr>
        <w:t xml:space="preserve"> Solche Materialien liefern die Grundlage für Harmonisierung und erleichtern damit die Zusammenarbeit zwischen Verbandsmitgliedern. Die Ermittlung einschlägiger Fragen für Anleitung und die Ausarbeitung geeigneter Materialien sind weiterhin Schlüsselziele der Tätigkeiten des Verwaltungs- und Rechtsausschusses (CAJ), des Technischen Ausschusses (TC) und der Technischen Arbeitsgruppen (TWP). In dieser Hinsicht ist die Beteiligung von Organisationen, die die unmittelbar Betroffenen vertreten, ein wichtiges Mittel, um zu gewährleisten, </w:t>
      </w:r>
      <w:proofErr w:type="spellStart"/>
      <w:r w:rsidRPr="003F486D">
        <w:rPr>
          <w:color w:val="000000" w:themeColor="text1"/>
        </w:rPr>
        <w:t>daß</w:t>
      </w:r>
      <w:proofErr w:type="spellEnd"/>
      <w:r w:rsidRPr="003F486D">
        <w:rPr>
          <w:color w:val="000000" w:themeColor="text1"/>
        </w:rPr>
        <w:t xml:space="preserve"> Anleitung und</w:t>
      </w:r>
      <w:r>
        <w:rPr>
          <w:color w:val="000000" w:themeColor="text1"/>
        </w:rPr>
        <w:t xml:space="preserve"> Informationen</w:t>
      </w:r>
      <w:r w:rsidRPr="003F486D">
        <w:rPr>
          <w:color w:val="000000" w:themeColor="text1"/>
        </w:rPr>
        <w:t xml:space="preserve"> so wirksam wie möglich sind.</w:t>
      </w:r>
    </w:p>
    <w:p w:rsidR="008134A5" w:rsidRPr="003F486D" w:rsidRDefault="008134A5" w:rsidP="008134A5">
      <w:pPr>
        <w:rPr>
          <w:color w:val="000000" w:themeColor="text1"/>
        </w:rPr>
      </w:pPr>
      <w:r>
        <w:rPr>
          <w:color w:val="000000" w:themeColor="text1"/>
        </w:rPr>
        <w:t xml:space="preserve"> </w:t>
      </w:r>
    </w:p>
    <w:p w:rsidR="008134A5" w:rsidRPr="003F486D" w:rsidRDefault="008134A5" w:rsidP="008134A5">
      <w:pPr>
        <w:rPr>
          <w:bCs/>
          <w:color w:val="000000" w:themeColor="text1"/>
          <w:szCs w:val="24"/>
        </w:rPr>
      </w:pPr>
      <w:r w:rsidRPr="003F486D">
        <w:rPr>
          <w:bCs/>
          <w:color w:val="000000" w:themeColor="text1"/>
          <w:szCs w:val="24"/>
        </w:rPr>
        <w:t>2.2.</w:t>
      </w:r>
      <w:r w:rsidRPr="003F486D">
        <w:rPr>
          <w:color w:val="000000" w:themeColor="text1"/>
        </w:rPr>
        <w:t>2.3</w:t>
      </w:r>
      <w:r w:rsidRPr="003F486D">
        <w:rPr>
          <w:bCs/>
          <w:color w:val="000000" w:themeColor="text1"/>
          <w:szCs w:val="24"/>
        </w:rPr>
        <w:tab/>
      </w:r>
      <w:r w:rsidRPr="003F486D">
        <w:t xml:space="preserve">Ein wichtiger Aspekt für die wirksame Durchführung des UPOV-Systems ist, </w:t>
      </w:r>
      <w:proofErr w:type="spellStart"/>
      <w:r w:rsidRPr="003F486D">
        <w:t>daß</w:t>
      </w:r>
      <w:proofErr w:type="spellEnd"/>
      <w:r w:rsidRPr="003F486D">
        <w:t xml:space="preserve"> alle Sortenschutzkreise, einschließlich Züchter, Saatgut- und Pflanzenerzeuger sowie Landwirte, gute Kenntnis</w:t>
      </w:r>
      <w:r>
        <w:t>se</w:t>
      </w:r>
      <w:r w:rsidRPr="003F486D">
        <w:t xml:space="preserve"> des UPOV-Systems besitzen.</w:t>
      </w:r>
      <w:r w:rsidRPr="003F486D">
        <w:rPr>
          <w:color w:val="000000" w:themeColor="text1"/>
        </w:rPr>
        <w:t xml:space="preserve"> Das von der UPOV erstellte Anleitungs- und</w:t>
      </w:r>
      <w:r>
        <w:rPr>
          <w:color w:val="000000" w:themeColor="text1"/>
        </w:rPr>
        <w:t xml:space="preserve"> Informations</w:t>
      </w:r>
      <w:r w:rsidRPr="003F486D">
        <w:rPr>
          <w:color w:val="000000" w:themeColor="text1"/>
        </w:rPr>
        <w:t>material liefert eine Grundlage für die Bereitstellung von Erklärungen des UPOV-Systems und von</w:t>
      </w:r>
      <w:r>
        <w:rPr>
          <w:color w:val="000000" w:themeColor="text1"/>
        </w:rPr>
        <w:t xml:space="preserve"> Informationen</w:t>
      </w:r>
      <w:r w:rsidRPr="003F486D">
        <w:rPr>
          <w:color w:val="000000" w:themeColor="text1"/>
        </w:rPr>
        <w:t xml:space="preserve"> über dessen Handhabung für Sortenschutzkreise. Die Kommunikationsstrategie, die sich auf die Entwicklung von Kommunikationsmethoden und Materialien bezieht, die für eine breitgefächerte Zielgruppe geeignet sind, ist in den Unterprogrammen UV.1 und UV.3 enthalten.</w:t>
      </w:r>
      <w:r>
        <w:rPr>
          <w:bCs/>
          <w:color w:val="000000" w:themeColor="text1"/>
          <w:szCs w:val="24"/>
        </w:rPr>
        <w:t xml:space="preserve"> </w:t>
      </w:r>
    </w:p>
    <w:p w:rsidR="008134A5" w:rsidRPr="003F486D" w:rsidRDefault="008134A5" w:rsidP="008134A5">
      <w:pPr>
        <w:rPr>
          <w:color w:val="000000" w:themeColor="text1"/>
        </w:rPr>
      </w:pPr>
    </w:p>
    <w:p w:rsidR="008134A5" w:rsidRPr="003F486D" w:rsidRDefault="008134A5" w:rsidP="008134A5">
      <w:r w:rsidRPr="003F486D">
        <w:rPr>
          <w:color w:val="000000" w:themeColor="text1"/>
        </w:rPr>
        <w:t>2.2.2.4</w:t>
      </w:r>
      <w:r w:rsidRPr="003F486D">
        <w:rPr>
          <w:color w:val="000000" w:themeColor="text1"/>
        </w:rPr>
        <w:tab/>
      </w:r>
      <w:r>
        <w:rPr>
          <w:color w:val="000000" w:themeColor="text1"/>
        </w:rPr>
        <w:t xml:space="preserve">Es wurde ein </w:t>
      </w:r>
      <w:r w:rsidRPr="00CD39DD">
        <w:t>umfangreicher Satz an Anleitungen und</w:t>
      </w:r>
      <w:r>
        <w:t xml:space="preserve"> Informationsmaterialien</w:t>
      </w:r>
      <w:r w:rsidRPr="00CD39DD">
        <w:t xml:space="preserve"> erstellt</w:t>
      </w:r>
      <w:r w:rsidRPr="003F486D">
        <w:t>.</w:t>
      </w:r>
      <w:r>
        <w:t xml:space="preserve"> Allerdings wird</w:t>
      </w:r>
      <w:r w:rsidRPr="003F486D">
        <w:t xml:space="preserve"> </w:t>
      </w:r>
      <w:r>
        <w:t>je nach Bedarf</w:t>
      </w:r>
      <w:r w:rsidRPr="003F486D">
        <w:t xml:space="preserve"> auch weiterhin am Erhalt und an der Weiterentwicklung von </w:t>
      </w:r>
      <w:r w:rsidRPr="003F486D">
        <w:rPr>
          <w:snapToGrid w:val="0"/>
          <w:color w:val="000000" w:themeColor="text1"/>
        </w:rPr>
        <w:t>Anleitung und</w:t>
      </w:r>
      <w:r>
        <w:rPr>
          <w:snapToGrid w:val="0"/>
          <w:color w:val="000000" w:themeColor="text1"/>
        </w:rPr>
        <w:t xml:space="preserve"> Informationen</w:t>
      </w:r>
      <w:r w:rsidRPr="003F486D">
        <w:t xml:space="preserve"> in </w:t>
      </w:r>
      <w:r>
        <w:t>der</w:t>
      </w:r>
      <w:r w:rsidRPr="003F486D">
        <w:t xml:space="preserve"> </w:t>
      </w:r>
      <w:r>
        <w:t>Rechnungsperiode 2018-2019</w:t>
      </w:r>
      <w:r w:rsidRPr="00762BFC">
        <w:t xml:space="preserve"> </w:t>
      </w:r>
      <w:r w:rsidRPr="003F486D">
        <w:t>gearbeitet werden.</w:t>
      </w:r>
      <w:r>
        <w:t xml:space="preserve"> </w:t>
      </w:r>
    </w:p>
    <w:p w:rsidR="008134A5" w:rsidRPr="003F486D" w:rsidRDefault="008134A5" w:rsidP="008134A5"/>
    <w:p w:rsidR="008134A5" w:rsidRPr="003F486D" w:rsidRDefault="008134A5" w:rsidP="008134A5">
      <w:r w:rsidRPr="003F486D">
        <w:rPr>
          <w:color w:val="000000" w:themeColor="text1"/>
        </w:rPr>
        <w:t>2.2.2.5</w:t>
      </w:r>
      <w:r w:rsidRPr="003F486D">
        <w:tab/>
        <w:t xml:space="preserve">In </w:t>
      </w:r>
      <w:proofErr w:type="spellStart"/>
      <w:r w:rsidRPr="003F486D">
        <w:t>bezug</w:t>
      </w:r>
      <w:proofErr w:type="spellEnd"/>
      <w:r w:rsidRPr="003F486D">
        <w:t xml:space="preserve"> auf Sortenbezeichnungen</w:t>
      </w:r>
      <w:r>
        <w:t xml:space="preserve"> wird die</w:t>
      </w:r>
      <w:r w:rsidRPr="003F486D">
        <w:t xml:space="preserve"> </w:t>
      </w:r>
      <w:r>
        <w:t>Überarbeitung</w:t>
      </w:r>
      <w:r w:rsidRPr="003F486D">
        <w:t xml:space="preserve"> </w:t>
      </w:r>
      <w:r>
        <w:t>von</w:t>
      </w:r>
      <w:r w:rsidRPr="003F486D">
        <w:t xml:space="preserve"> Dokument UPOV/INF/12 „</w:t>
      </w:r>
      <w:r>
        <w:rPr>
          <w:snapToGrid w:val="0"/>
        </w:rPr>
        <w:t>Erläuterungen zu</w:t>
      </w:r>
      <w:r w:rsidRPr="003F486D">
        <w:rPr>
          <w:snapToGrid w:val="0"/>
        </w:rPr>
        <w:t xml:space="preserve"> Sortenbezeichnungen im Rahmen des </w:t>
      </w:r>
      <w:r>
        <w:rPr>
          <w:snapToGrid w:val="0"/>
        </w:rPr>
        <w:t>UPOV-Übereinkommens</w:t>
      </w:r>
      <w:r w:rsidRPr="003F486D">
        <w:rPr>
          <w:snapToGrid w:val="0"/>
        </w:rPr>
        <w:t xml:space="preserve">“ </w:t>
      </w:r>
      <w:r>
        <w:rPr>
          <w:snapToGrid w:val="0"/>
        </w:rPr>
        <w:t>für eine verbesserte</w:t>
      </w:r>
      <w:r w:rsidRPr="003F486D">
        <w:rPr>
          <w:snapToGrid w:val="0"/>
        </w:rPr>
        <w:t xml:space="preserve"> Zusammenarbeit </w:t>
      </w:r>
      <w:r>
        <w:rPr>
          <w:snapToGrid w:val="0"/>
        </w:rPr>
        <w:t>zwischen</w:t>
      </w:r>
      <w:r w:rsidRPr="003F486D">
        <w:rPr>
          <w:snapToGrid w:val="0"/>
        </w:rPr>
        <w:t xml:space="preserve"> UPOV-Mitgliedern </w:t>
      </w:r>
      <w:r>
        <w:rPr>
          <w:snapToGrid w:val="0"/>
        </w:rPr>
        <w:t>bei der Prüfung</w:t>
      </w:r>
      <w:r w:rsidRPr="003F486D">
        <w:rPr>
          <w:snapToGrid w:val="0"/>
        </w:rPr>
        <w:t xml:space="preserve"> </w:t>
      </w:r>
      <w:r>
        <w:rPr>
          <w:snapToGrid w:val="0"/>
        </w:rPr>
        <w:t>von</w:t>
      </w:r>
      <w:r w:rsidRPr="003F486D">
        <w:rPr>
          <w:snapToGrid w:val="0"/>
        </w:rPr>
        <w:t xml:space="preserve"> Sortenbezeichnungen</w:t>
      </w:r>
      <w:r>
        <w:rPr>
          <w:snapToGrid w:val="0"/>
        </w:rPr>
        <w:t xml:space="preserve"> und für die Unterstützung von Züchtern bei der Auswahl von</w:t>
      </w:r>
      <w:r w:rsidRPr="003F486D">
        <w:rPr>
          <w:snapToGrid w:val="0"/>
        </w:rPr>
        <w:t xml:space="preserve"> Sortenbezeichnungen</w:t>
      </w:r>
      <w:r w:rsidRPr="00762BFC">
        <w:rPr>
          <w:snapToGrid w:val="0"/>
        </w:rPr>
        <w:t xml:space="preserve"> </w:t>
      </w:r>
      <w:r>
        <w:rPr>
          <w:snapToGrid w:val="0"/>
        </w:rPr>
        <w:t>wichtig sein</w:t>
      </w:r>
      <w:r w:rsidRPr="003F486D">
        <w:rPr>
          <w:snapToGrid w:val="0"/>
        </w:rPr>
        <w:t>.</w:t>
      </w:r>
    </w:p>
    <w:p w:rsidR="008134A5" w:rsidRPr="003F486D" w:rsidRDefault="008134A5" w:rsidP="008134A5"/>
    <w:p w:rsidR="008134A5" w:rsidRPr="003F486D" w:rsidRDefault="008134A5" w:rsidP="008134A5">
      <w:r w:rsidRPr="003F486D">
        <w:rPr>
          <w:color w:val="000000" w:themeColor="text1"/>
        </w:rPr>
        <w:t>2.2.2.6</w:t>
      </w:r>
      <w:r w:rsidRPr="003F486D">
        <w:tab/>
      </w:r>
      <w:r>
        <w:t xml:space="preserve">Die Rolle </w:t>
      </w:r>
      <w:r w:rsidRPr="004D03A9">
        <w:t xml:space="preserve">molekularer Verfahren bei der </w:t>
      </w:r>
      <w:r w:rsidRPr="004E3DDC">
        <w:t>DUS</w:t>
      </w:r>
      <w:r>
        <w:rPr>
          <w:rFonts w:ascii="Cambria Math" w:hAnsi="Cambria Math" w:cs="Cambria Math"/>
        </w:rPr>
        <w:t>-</w:t>
      </w:r>
      <w:r w:rsidRPr="004E3DDC">
        <w:t>Prüfung</w:t>
      </w:r>
      <w:r w:rsidRPr="004D03A9">
        <w:t xml:space="preserve"> </w:t>
      </w:r>
      <w:r>
        <w:t xml:space="preserve">gewinnt zunehmend an Bedeutung und </w:t>
      </w:r>
      <w:r w:rsidRPr="003F486D">
        <w:t xml:space="preserve">Entwicklungen </w:t>
      </w:r>
      <w:r>
        <w:t xml:space="preserve">führen </w:t>
      </w:r>
      <w:r w:rsidRPr="003F486D">
        <w:t xml:space="preserve">in </w:t>
      </w:r>
      <w:r>
        <w:t>der</w:t>
      </w:r>
      <w:r w:rsidRPr="003F486D">
        <w:t xml:space="preserve"> </w:t>
      </w:r>
      <w:r>
        <w:t>Rechnungsperiode 2018-2019 möglicherweise zu einer Überarbeitung</w:t>
      </w:r>
      <w:r w:rsidRPr="003F486D">
        <w:t xml:space="preserve"> </w:t>
      </w:r>
      <w:r>
        <w:t>von</w:t>
      </w:r>
      <w:r w:rsidRPr="003F486D">
        <w:t xml:space="preserve"> TGP/15 „</w:t>
      </w:r>
      <w:r w:rsidRPr="00731387">
        <w:t>Anleitung zur Verwendung biochemischer und molekularer Marker bei der Prüfung der Unterscheidbarkeit, Homogenität und Beständigkeit (DUS)</w:t>
      </w:r>
      <w:r w:rsidRPr="003F486D">
        <w:t>“.</w:t>
      </w:r>
    </w:p>
    <w:p w:rsidR="008134A5" w:rsidRPr="003F486D" w:rsidRDefault="008134A5" w:rsidP="008134A5"/>
    <w:p w:rsidR="008134A5" w:rsidRPr="003F486D" w:rsidRDefault="008134A5" w:rsidP="008134A5">
      <w:pPr>
        <w:tabs>
          <w:tab w:val="left" w:pos="567"/>
        </w:tabs>
        <w:rPr>
          <w:color w:val="000000" w:themeColor="text1"/>
        </w:rPr>
      </w:pPr>
    </w:p>
    <w:p w:rsidR="008134A5" w:rsidRPr="003F486D" w:rsidRDefault="008134A5" w:rsidP="008134A5">
      <w:pPr>
        <w:keepNext/>
        <w:tabs>
          <w:tab w:val="left" w:pos="567"/>
        </w:tabs>
        <w:rPr>
          <w:color w:val="000000" w:themeColor="text1"/>
          <w:u w:val="single"/>
        </w:rPr>
      </w:pPr>
      <w:r w:rsidRPr="003F486D">
        <w:rPr>
          <w:color w:val="000000" w:themeColor="text1"/>
          <w:u w:val="single"/>
        </w:rPr>
        <w:t>Mittel der UPOV</w:t>
      </w:r>
      <w:r>
        <w:rPr>
          <w:color w:val="000000" w:themeColor="text1"/>
          <w:u w:val="single"/>
        </w:rPr>
        <w:t xml:space="preserve"> für die </w:t>
      </w:r>
      <w:r w:rsidRPr="003F486D">
        <w:rPr>
          <w:color w:val="000000" w:themeColor="text1"/>
          <w:u w:val="single"/>
        </w:rPr>
        <w:t xml:space="preserve">Zusammenarbeit </w:t>
      </w:r>
      <w:r>
        <w:rPr>
          <w:color w:val="000000" w:themeColor="text1"/>
          <w:u w:val="single"/>
        </w:rPr>
        <w:t>zwischen</w:t>
      </w:r>
      <w:r w:rsidRPr="003F486D">
        <w:rPr>
          <w:color w:val="000000" w:themeColor="text1"/>
          <w:u w:val="single"/>
        </w:rPr>
        <w:t xml:space="preserve"> Verbandsmitgliedern</w:t>
      </w:r>
    </w:p>
    <w:p w:rsidR="008134A5" w:rsidRPr="003F486D" w:rsidRDefault="008134A5" w:rsidP="008134A5">
      <w:pPr>
        <w:keepNext/>
        <w:tabs>
          <w:tab w:val="left" w:pos="567"/>
        </w:tabs>
        <w:rPr>
          <w:color w:val="000000" w:themeColor="text1"/>
        </w:rPr>
      </w:pPr>
    </w:p>
    <w:p w:rsidR="008134A5" w:rsidRPr="003F486D" w:rsidRDefault="008134A5" w:rsidP="008E11E7">
      <w:pPr>
        <w:keepNext/>
        <w:keepLines/>
        <w:rPr>
          <w:bCs/>
          <w:color w:val="000000" w:themeColor="text1"/>
          <w:szCs w:val="24"/>
        </w:rPr>
      </w:pPr>
      <w:r w:rsidRPr="003F486D">
        <w:rPr>
          <w:color w:val="000000" w:themeColor="text1"/>
        </w:rPr>
        <w:t>2.2.2.7</w:t>
      </w:r>
      <w:r w:rsidRPr="003F486D">
        <w:rPr>
          <w:snapToGrid w:val="0"/>
          <w:color w:val="000000" w:themeColor="text1"/>
        </w:rPr>
        <w:tab/>
      </w:r>
      <w:r>
        <w:rPr>
          <w:snapToGrid w:val="0"/>
          <w:color w:val="000000" w:themeColor="text1"/>
        </w:rPr>
        <w:t xml:space="preserve">Die </w:t>
      </w:r>
      <w:r w:rsidRPr="003F486D">
        <w:t>Zusammenarbeit zwischen Verbandsmitgliedern ist ein Hauptmerkmal des UPOV-Systems und bildet die Gru</w:t>
      </w:r>
      <w:r>
        <w:t>ndlage für ein wirksames System</w:t>
      </w:r>
      <w:r w:rsidRPr="003F486D">
        <w:t>.</w:t>
      </w:r>
      <w:r w:rsidRPr="003F486D">
        <w:rPr>
          <w:color w:val="000000" w:themeColor="text1"/>
        </w:rPr>
        <w:t xml:space="preserve"> Diese Wirksamkeit ist ein bedeutender Garant dafür, </w:t>
      </w:r>
      <w:proofErr w:type="spellStart"/>
      <w:r w:rsidRPr="003F486D">
        <w:rPr>
          <w:color w:val="000000" w:themeColor="text1"/>
        </w:rPr>
        <w:t>daß</w:t>
      </w:r>
      <w:proofErr w:type="spellEnd"/>
      <w:r w:rsidRPr="003F486D">
        <w:rPr>
          <w:color w:val="000000" w:themeColor="text1"/>
        </w:rPr>
        <w:t xml:space="preserve"> das UPOV-System für alle Kategorien von Züchtern zugänglich und erschwinglich ist. </w:t>
      </w:r>
      <w:r>
        <w:rPr>
          <w:color w:val="000000" w:themeColor="text1"/>
        </w:rPr>
        <w:t>Die</w:t>
      </w:r>
      <w:r w:rsidRPr="003F486D">
        <w:rPr>
          <w:bCs/>
          <w:color w:val="000000" w:themeColor="text1"/>
          <w:szCs w:val="24"/>
        </w:rPr>
        <w:t xml:space="preserve"> </w:t>
      </w:r>
      <w:r>
        <w:rPr>
          <w:bCs/>
          <w:color w:val="000000" w:themeColor="text1"/>
          <w:szCs w:val="24"/>
        </w:rPr>
        <w:t>folgenden</w:t>
      </w:r>
      <w:r w:rsidRPr="003F486D">
        <w:rPr>
          <w:bCs/>
          <w:color w:val="000000" w:themeColor="text1"/>
          <w:szCs w:val="24"/>
        </w:rPr>
        <w:t xml:space="preserve"> Abschnitte </w:t>
      </w:r>
      <w:r>
        <w:rPr>
          <w:bCs/>
          <w:color w:val="000000" w:themeColor="text1"/>
          <w:szCs w:val="24"/>
        </w:rPr>
        <w:t xml:space="preserve">erfassen die </w:t>
      </w:r>
      <w:r w:rsidRPr="003F486D">
        <w:rPr>
          <w:bCs/>
          <w:color w:val="000000" w:themeColor="text1"/>
          <w:szCs w:val="24"/>
        </w:rPr>
        <w:t>Mittel</w:t>
      </w:r>
      <w:r>
        <w:rPr>
          <w:bCs/>
          <w:color w:val="000000" w:themeColor="text1"/>
          <w:szCs w:val="24"/>
        </w:rPr>
        <w:t xml:space="preserve">, die die </w:t>
      </w:r>
      <w:r w:rsidRPr="003F486D">
        <w:rPr>
          <w:bCs/>
          <w:color w:val="000000" w:themeColor="text1"/>
          <w:szCs w:val="24"/>
        </w:rPr>
        <w:t xml:space="preserve">UPOV </w:t>
      </w:r>
      <w:r>
        <w:rPr>
          <w:bCs/>
          <w:color w:val="000000" w:themeColor="text1"/>
          <w:szCs w:val="24"/>
        </w:rPr>
        <w:t>für eine solche</w:t>
      </w:r>
      <w:r w:rsidRPr="003F486D">
        <w:rPr>
          <w:bCs/>
          <w:color w:val="000000" w:themeColor="text1"/>
          <w:szCs w:val="24"/>
        </w:rPr>
        <w:t xml:space="preserve"> Zusammenarbeit</w:t>
      </w:r>
      <w:r w:rsidRPr="00DF518D">
        <w:rPr>
          <w:bCs/>
          <w:color w:val="000000" w:themeColor="text1"/>
          <w:szCs w:val="24"/>
        </w:rPr>
        <w:t xml:space="preserve"> </w:t>
      </w:r>
      <w:r>
        <w:rPr>
          <w:bCs/>
          <w:color w:val="000000" w:themeColor="text1"/>
          <w:szCs w:val="24"/>
        </w:rPr>
        <w:t>bereitstellt</w:t>
      </w:r>
      <w:r w:rsidRPr="003F486D">
        <w:rPr>
          <w:bCs/>
          <w:color w:val="000000" w:themeColor="text1"/>
          <w:szCs w:val="24"/>
        </w:rPr>
        <w:t>.</w:t>
      </w:r>
    </w:p>
    <w:p w:rsidR="008134A5" w:rsidRPr="003F486D" w:rsidRDefault="008134A5" w:rsidP="008134A5">
      <w:pPr>
        <w:tabs>
          <w:tab w:val="left" w:pos="851"/>
        </w:tabs>
        <w:rPr>
          <w:bCs/>
          <w:color w:val="000000" w:themeColor="text1"/>
          <w:szCs w:val="24"/>
        </w:rPr>
      </w:pPr>
    </w:p>
    <w:p w:rsidR="008134A5" w:rsidRPr="003F486D" w:rsidRDefault="008134A5" w:rsidP="008134A5">
      <w:pPr>
        <w:keepNext/>
        <w:tabs>
          <w:tab w:val="left" w:pos="851"/>
        </w:tabs>
        <w:rPr>
          <w:bCs/>
          <w:i/>
          <w:color w:val="000000" w:themeColor="text1"/>
          <w:szCs w:val="24"/>
        </w:rPr>
      </w:pPr>
      <w:r>
        <w:rPr>
          <w:bCs/>
          <w:i/>
          <w:color w:val="000000" w:themeColor="text1"/>
          <w:szCs w:val="24"/>
        </w:rPr>
        <w:t>DUS-Prüfung</w:t>
      </w:r>
    </w:p>
    <w:p w:rsidR="008134A5" w:rsidRPr="003F486D" w:rsidRDefault="008134A5" w:rsidP="008134A5">
      <w:pPr>
        <w:keepNext/>
        <w:tabs>
          <w:tab w:val="left" w:pos="851"/>
        </w:tabs>
        <w:rPr>
          <w:bCs/>
          <w:color w:val="000000" w:themeColor="text1"/>
          <w:szCs w:val="24"/>
        </w:rPr>
      </w:pPr>
    </w:p>
    <w:p w:rsidR="008134A5" w:rsidRPr="003F486D" w:rsidRDefault="008134A5" w:rsidP="008134A5">
      <w:pPr>
        <w:rPr>
          <w:bCs/>
          <w:color w:val="000000" w:themeColor="text1"/>
          <w:szCs w:val="24"/>
        </w:rPr>
      </w:pPr>
      <w:r w:rsidRPr="003F486D">
        <w:rPr>
          <w:color w:val="000000" w:themeColor="text1"/>
        </w:rPr>
        <w:t>2.2.2.8</w:t>
      </w:r>
      <w:r w:rsidRPr="003F486D">
        <w:rPr>
          <w:bCs/>
          <w:color w:val="000000" w:themeColor="text1"/>
          <w:szCs w:val="24"/>
        </w:rPr>
        <w:tab/>
      </w:r>
      <w:r w:rsidRPr="003F486D">
        <w:t xml:space="preserve">Die Zusammenarbeit </w:t>
      </w:r>
      <w:r>
        <w:t xml:space="preserve">bei der DUS-Prüfung </w:t>
      </w:r>
      <w:r w:rsidRPr="003F486D">
        <w:t>innerhalb der UPOV beruht in großem Maße auf den Beiträgen von Verbandsmitgliedern.</w:t>
      </w:r>
      <w:r w:rsidRPr="003F486D">
        <w:rPr>
          <w:color w:val="000000" w:themeColor="text1"/>
        </w:rPr>
        <w:t xml:space="preserve"> Insbesondere entwickeln Sachverständige der Verbandsmitglieder </w:t>
      </w:r>
      <w:r>
        <w:rPr>
          <w:color w:val="000000" w:themeColor="text1"/>
        </w:rPr>
        <w:t xml:space="preserve">durch ihre Arbeit in den TWP und TC </w:t>
      </w:r>
      <w:r w:rsidRPr="003F486D">
        <w:rPr>
          <w:color w:val="000000" w:themeColor="text1"/>
        </w:rPr>
        <w:t>Prüfungsrichtlinien und teilen ihre praktische Erfahrung mit besonderen Gattungen und Arten, zum Beispiel in Form der GENIE-Datenbank. Diese Maßnahmen erleichtern die Zusammenarbeit bei der Prüfung der Unterscheidbarkeit, Homogenität und Beständigkeit („DUS“) und die Verwendung bestehender DUS-Berichte,</w:t>
      </w:r>
      <w:r>
        <w:rPr>
          <w:color w:val="000000" w:themeColor="text1"/>
        </w:rPr>
        <w:t xml:space="preserve"> was </w:t>
      </w:r>
      <w:r w:rsidRPr="003F486D">
        <w:rPr>
          <w:color w:val="000000" w:themeColor="text1"/>
        </w:rPr>
        <w:t>die Grundlage für ein wirksames System</w:t>
      </w:r>
      <w:r>
        <w:rPr>
          <w:color w:val="000000" w:themeColor="text1"/>
        </w:rPr>
        <w:t xml:space="preserve"> ist</w:t>
      </w:r>
      <w:r w:rsidRPr="003F486D">
        <w:rPr>
          <w:color w:val="000000" w:themeColor="text1"/>
        </w:rPr>
        <w:t>, das sich auf alle Pflanzengattungen und -arten erstreckt und für alle Arten von Züchtern zugängli</w:t>
      </w:r>
      <w:r>
        <w:rPr>
          <w:color w:val="000000" w:themeColor="text1"/>
        </w:rPr>
        <w:t>ch und erschwinglich ist</w:t>
      </w:r>
      <w:r w:rsidRPr="003F486D">
        <w:rPr>
          <w:bCs/>
          <w:color w:val="000000" w:themeColor="text1"/>
          <w:szCs w:val="24"/>
        </w:rPr>
        <w:t xml:space="preserve">. </w:t>
      </w:r>
      <w:r>
        <w:rPr>
          <w:bCs/>
          <w:color w:val="000000" w:themeColor="text1"/>
          <w:szCs w:val="24"/>
        </w:rPr>
        <w:t xml:space="preserve">Vereinbarungen für die </w:t>
      </w:r>
      <w:r w:rsidRPr="003F486D">
        <w:rPr>
          <w:bCs/>
          <w:color w:val="000000" w:themeColor="text1"/>
          <w:szCs w:val="24"/>
        </w:rPr>
        <w:t xml:space="preserve">Zusammenarbeit </w:t>
      </w:r>
      <w:r>
        <w:rPr>
          <w:bCs/>
          <w:color w:val="000000" w:themeColor="text1"/>
          <w:szCs w:val="24"/>
        </w:rPr>
        <w:t>zwischen</w:t>
      </w:r>
      <w:r w:rsidRPr="003F486D">
        <w:rPr>
          <w:bCs/>
          <w:color w:val="000000" w:themeColor="text1"/>
          <w:szCs w:val="24"/>
        </w:rPr>
        <w:t xml:space="preserve"> Verbandsmitgliedern </w:t>
      </w:r>
      <w:r>
        <w:rPr>
          <w:bCs/>
          <w:color w:val="000000" w:themeColor="text1"/>
          <w:szCs w:val="24"/>
        </w:rPr>
        <w:t>bei</w:t>
      </w:r>
      <w:r w:rsidRPr="003F486D">
        <w:rPr>
          <w:bCs/>
          <w:color w:val="000000" w:themeColor="text1"/>
          <w:szCs w:val="24"/>
        </w:rPr>
        <w:t xml:space="preserve"> </w:t>
      </w:r>
      <w:r>
        <w:rPr>
          <w:bCs/>
          <w:color w:val="000000" w:themeColor="text1"/>
          <w:szCs w:val="24"/>
        </w:rPr>
        <w:t>der</w:t>
      </w:r>
      <w:r w:rsidRPr="003F486D">
        <w:rPr>
          <w:bCs/>
          <w:color w:val="000000" w:themeColor="text1"/>
          <w:szCs w:val="24"/>
        </w:rPr>
        <w:t xml:space="preserve"> </w:t>
      </w:r>
      <w:r>
        <w:rPr>
          <w:bCs/>
          <w:color w:val="000000" w:themeColor="text1"/>
          <w:szCs w:val="24"/>
        </w:rPr>
        <w:t>DUS-Prüfung</w:t>
      </w:r>
      <w:r w:rsidRPr="003F486D">
        <w:rPr>
          <w:bCs/>
          <w:color w:val="000000" w:themeColor="text1"/>
          <w:szCs w:val="24"/>
        </w:rPr>
        <w:t xml:space="preserve"> </w:t>
      </w:r>
      <w:r>
        <w:rPr>
          <w:bCs/>
          <w:color w:val="000000" w:themeColor="text1"/>
          <w:szCs w:val="24"/>
        </w:rPr>
        <w:t xml:space="preserve">sind </w:t>
      </w:r>
      <w:r w:rsidRPr="003F486D">
        <w:rPr>
          <w:bCs/>
          <w:color w:val="000000" w:themeColor="text1"/>
          <w:szCs w:val="24"/>
        </w:rPr>
        <w:t xml:space="preserve">in </w:t>
      </w:r>
      <w:r>
        <w:rPr>
          <w:bCs/>
          <w:color w:val="000000" w:themeColor="text1"/>
          <w:szCs w:val="24"/>
        </w:rPr>
        <w:t>der</w:t>
      </w:r>
      <w:r w:rsidRPr="003F486D">
        <w:rPr>
          <w:bCs/>
          <w:color w:val="000000" w:themeColor="text1"/>
          <w:szCs w:val="24"/>
        </w:rPr>
        <w:t xml:space="preserve"> GENIE</w:t>
      </w:r>
      <w:r>
        <w:rPr>
          <w:bCs/>
          <w:color w:val="000000" w:themeColor="text1"/>
          <w:szCs w:val="24"/>
        </w:rPr>
        <w:t>-Datenbank</w:t>
      </w:r>
      <w:r w:rsidRPr="00762BFC">
        <w:rPr>
          <w:bCs/>
          <w:color w:val="000000" w:themeColor="text1"/>
          <w:szCs w:val="24"/>
        </w:rPr>
        <w:t xml:space="preserve"> </w:t>
      </w:r>
      <w:r>
        <w:rPr>
          <w:bCs/>
          <w:color w:val="000000" w:themeColor="text1"/>
          <w:szCs w:val="24"/>
        </w:rPr>
        <w:t>enthalten</w:t>
      </w:r>
      <w:r w:rsidRPr="003F486D">
        <w:rPr>
          <w:bCs/>
          <w:color w:val="000000" w:themeColor="text1"/>
          <w:szCs w:val="24"/>
        </w:rPr>
        <w:t xml:space="preserve">. </w:t>
      </w:r>
    </w:p>
    <w:p w:rsidR="008134A5" w:rsidRPr="003F486D" w:rsidRDefault="008134A5" w:rsidP="008134A5">
      <w:pPr>
        <w:tabs>
          <w:tab w:val="left" w:pos="851"/>
        </w:tabs>
        <w:rPr>
          <w:bCs/>
          <w:color w:val="000000" w:themeColor="text1"/>
          <w:szCs w:val="24"/>
        </w:rPr>
      </w:pPr>
    </w:p>
    <w:p w:rsidR="008134A5" w:rsidRPr="003F486D" w:rsidRDefault="008134A5" w:rsidP="008134A5">
      <w:pPr>
        <w:rPr>
          <w:color w:val="000000" w:themeColor="text1"/>
        </w:rPr>
      </w:pPr>
      <w:r w:rsidRPr="003F486D">
        <w:t>2.2.2.9</w:t>
      </w:r>
      <w:r w:rsidRPr="003F486D">
        <w:rPr>
          <w:color w:val="000000" w:themeColor="text1"/>
        </w:rPr>
        <w:tab/>
      </w:r>
      <w:r w:rsidRPr="003F486D">
        <w:t>Folgende Maßnahmen zur Unterstützung und Verstärkung der Zusammenarbeit von Verbandsmitgliedern werden auch in der Rechnungsperiode</w:t>
      </w:r>
      <w:r w:rsidRPr="003F486D">
        <w:rPr>
          <w:color w:val="000000" w:themeColor="text1"/>
        </w:rPr>
        <w:t xml:space="preserve"> 2018-2019 weiterverfolgt werden:</w:t>
      </w:r>
    </w:p>
    <w:p w:rsidR="008134A5" w:rsidRPr="003F486D" w:rsidRDefault="008134A5" w:rsidP="008134A5">
      <w:pPr>
        <w:rPr>
          <w:color w:val="000000" w:themeColor="text1"/>
        </w:rPr>
      </w:pPr>
    </w:p>
    <w:p w:rsidR="008134A5" w:rsidRPr="003F486D" w:rsidRDefault="008134A5" w:rsidP="008134A5">
      <w:pPr>
        <w:ind w:left="567"/>
        <w:rPr>
          <w:color w:val="000000" w:themeColor="text1"/>
        </w:rPr>
      </w:pPr>
      <w:r w:rsidRPr="003F486D">
        <w:t>a)</w:t>
      </w:r>
      <w:r w:rsidRPr="003F486D">
        <w:tab/>
        <w:t>Ausarbeitung von Prüfungsrichtlinien;</w:t>
      </w:r>
    </w:p>
    <w:p w:rsidR="008134A5" w:rsidRPr="003F486D" w:rsidRDefault="008134A5" w:rsidP="008134A5">
      <w:pPr>
        <w:ind w:left="567"/>
        <w:rPr>
          <w:color w:val="000000" w:themeColor="text1"/>
        </w:rPr>
      </w:pPr>
    </w:p>
    <w:p w:rsidR="008134A5" w:rsidRPr="003F486D" w:rsidRDefault="008134A5" w:rsidP="008134A5">
      <w:pPr>
        <w:ind w:left="567"/>
        <w:rPr>
          <w:color w:val="000000" w:themeColor="text1"/>
        </w:rPr>
      </w:pPr>
      <w:r w:rsidRPr="003F486D">
        <w:rPr>
          <w:color w:val="000000" w:themeColor="text1"/>
        </w:rPr>
        <w:t>b)</w:t>
      </w:r>
      <w:r w:rsidRPr="003F486D">
        <w:tab/>
        <w:t xml:space="preserve">Verbesserung der webbasierten Mustervorlage für Prüfungsrichtlinien (TG-Mustervorlage), um das Verfassen von Prüfungsrichtlinien durch Sachverständige von Verbandsmitgliedern und die Entwicklung von Prüfungsrichtlinien einzelner Behörden durch Verbandsmitglieder weiter zu erleichtern und gleichzeitig die Verwaltungs- und Übersetzungsarbeit für die UPOV zu verringern; </w:t>
      </w:r>
    </w:p>
    <w:p w:rsidR="008134A5" w:rsidRPr="003F486D" w:rsidRDefault="008134A5" w:rsidP="008134A5">
      <w:pPr>
        <w:ind w:left="567"/>
        <w:rPr>
          <w:color w:val="000000" w:themeColor="text1"/>
        </w:rPr>
      </w:pPr>
    </w:p>
    <w:p w:rsidR="008134A5" w:rsidRPr="003F486D" w:rsidRDefault="008134A5" w:rsidP="008134A5">
      <w:pPr>
        <w:ind w:left="567"/>
        <w:rPr>
          <w:color w:val="000000" w:themeColor="text1"/>
        </w:rPr>
      </w:pPr>
      <w:r w:rsidRPr="003F486D">
        <w:rPr>
          <w:color w:val="000000" w:themeColor="text1"/>
        </w:rPr>
        <w:t xml:space="preserve">c) </w:t>
      </w:r>
      <w:r w:rsidRPr="003F486D">
        <w:tab/>
        <w:t>Sammeln von</w:t>
      </w:r>
      <w:r>
        <w:t xml:space="preserve"> Informationen</w:t>
      </w:r>
      <w:r w:rsidRPr="003F486D">
        <w:t xml:space="preserve"> über praktische Erfahrung und Zusammenarbeit bei der DUS-Prüfung zur Aufnahme in die GENIE-Datenbank;</w:t>
      </w:r>
      <w:r w:rsidRPr="003F486D">
        <w:rPr>
          <w:color w:val="000000" w:themeColor="text1"/>
        </w:rPr>
        <w:t xml:space="preserve"> </w:t>
      </w:r>
    </w:p>
    <w:p w:rsidR="008134A5" w:rsidRPr="003F486D" w:rsidRDefault="008134A5" w:rsidP="008134A5">
      <w:pPr>
        <w:ind w:left="567"/>
        <w:rPr>
          <w:color w:val="000000" w:themeColor="text1"/>
        </w:rPr>
      </w:pPr>
    </w:p>
    <w:p w:rsidR="008134A5" w:rsidRPr="003F486D" w:rsidRDefault="008134A5" w:rsidP="008134A5">
      <w:pPr>
        <w:ind w:left="567"/>
        <w:rPr>
          <w:color w:val="000000" w:themeColor="text1"/>
        </w:rPr>
      </w:pPr>
      <w:r w:rsidRPr="003F486D">
        <w:rPr>
          <w:color w:val="000000" w:themeColor="text1"/>
        </w:rPr>
        <w:t>d)</w:t>
      </w:r>
      <w:r w:rsidRPr="003F486D">
        <w:tab/>
        <w:t>Sammeln von</w:t>
      </w:r>
      <w:r>
        <w:t xml:space="preserve"> Informationen</w:t>
      </w:r>
      <w:r w:rsidRPr="003F486D">
        <w:t xml:space="preserve"> über von Verbandsmitgliedern entwickelte und zur Verfügung gestellte Software und von Verbandsmitgliedern verwendete Software und Ausrüstung zur Veröffentlichung jeweils in den Dokumenten </w:t>
      </w:r>
      <w:r w:rsidRPr="003F486D">
        <w:rPr>
          <w:color w:val="000000" w:themeColor="text1"/>
        </w:rPr>
        <w:t xml:space="preserve">UPOV/INF/16 und </w:t>
      </w:r>
      <w:r w:rsidRPr="003F486D">
        <w:t>UPOV/INF/</w:t>
      </w:r>
      <w:r w:rsidRPr="003F486D">
        <w:rPr>
          <w:color w:val="000000" w:themeColor="text1"/>
        </w:rPr>
        <w:t>22.</w:t>
      </w:r>
    </w:p>
    <w:p w:rsidR="008134A5" w:rsidRPr="003F486D" w:rsidRDefault="008134A5" w:rsidP="008134A5">
      <w:pPr>
        <w:rPr>
          <w:color w:val="000000" w:themeColor="text1"/>
        </w:rPr>
      </w:pPr>
    </w:p>
    <w:p w:rsidR="008134A5" w:rsidRPr="003F486D" w:rsidRDefault="008134A5" w:rsidP="008134A5"/>
    <w:p w:rsidR="008134A5" w:rsidRPr="003F486D" w:rsidRDefault="008134A5" w:rsidP="008134A5">
      <w:pPr>
        <w:pStyle w:val="Heading2"/>
        <w:rPr>
          <w:lang w:val="de-DE"/>
        </w:rPr>
      </w:pPr>
      <w:r w:rsidRPr="003F486D">
        <w:rPr>
          <w:lang w:val="de-DE"/>
        </w:rPr>
        <w:t>Sortenbezeichnungen</w:t>
      </w:r>
    </w:p>
    <w:p w:rsidR="008134A5" w:rsidRPr="003F486D" w:rsidRDefault="008134A5" w:rsidP="008134A5">
      <w:pPr>
        <w:rPr>
          <w:snapToGrid w:val="0"/>
        </w:rPr>
      </w:pPr>
    </w:p>
    <w:p w:rsidR="008134A5" w:rsidRPr="003F486D" w:rsidRDefault="008134A5" w:rsidP="008134A5">
      <w:pPr>
        <w:rPr>
          <w:bCs/>
          <w:color w:val="000000" w:themeColor="text1"/>
          <w:szCs w:val="24"/>
        </w:rPr>
      </w:pPr>
      <w:r w:rsidRPr="003F486D">
        <w:rPr>
          <w:color w:val="000000" w:themeColor="text1"/>
        </w:rPr>
        <w:t>2.2.2.10</w:t>
      </w:r>
      <w:r w:rsidRPr="003F486D">
        <w:tab/>
        <w:t>Die Bereitstellung von Daten durch Verbandsmitglieder für die Datenbank für Pflanzensorten (PLUTO) liefert einen wichtigen Beitrag zur Prüfung von Sortenbezeichnungen.</w:t>
      </w:r>
      <w:r w:rsidRPr="003F486D">
        <w:rPr>
          <w:color w:val="000000" w:themeColor="text1"/>
        </w:rPr>
        <w:t xml:space="preserve"> Diese Beiträge werden zusätzlich durch die Bereitstellung von Daten der OECD und durch die Vereinbarungen für Zusammenarbeit zwischen der UPOV und der WIPO sowie zwischen der UPOV und dem Gemeinschaftlichen Sortenamt der Europäischen Union (CPVO)</w:t>
      </w:r>
      <w:r w:rsidRPr="004E3DDC">
        <w:rPr>
          <w:color w:val="000000" w:themeColor="text1"/>
        </w:rPr>
        <w:t xml:space="preserve"> </w:t>
      </w:r>
      <w:r w:rsidRPr="003F486D">
        <w:rPr>
          <w:color w:val="000000" w:themeColor="text1"/>
        </w:rPr>
        <w:t xml:space="preserve">unterstützt. </w:t>
      </w:r>
    </w:p>
    <w:p w:rsidR="008134A5" w:rsidRPr="003F486D" w:rsidRDefault="008134A5" w:rsidP="008134A5">
      <w:pPr>
        <w:tabs>
          <w:tab w:val="left" w:pos="851"/>
        </w:tabs>
        <w:rPr>
          <w:bCs/>
          <w:color w:val="000000" w:themeColor="text1"/>
          <w:szCs w:val="24"/>
        </w:rPr>
      </w:pPr>
    </w:p>
    <w:p w:rsidR="008134A5" w:rsidRPr="003F486D" w:rsidRDefault="008134A5" w:rsidP="008134A5">
      <w:r w:rsidRPr="003F486D">
        <w:t>2.2.2.11</w:t>
      </w:r>
      <w:r w:rsidRPr="003F486D">
        <w:tab/>
        <w:t>Das Programm für Verbesserungen der</w:t>
      </w:r>
      <w:r>
        <w:t xml:space="preserve"> </w:t>
      </w:r>
      <w:r w:rsidRPr="003F486D">
        <w:t xml:space="preserve">PLUTO-Datenbank, wie vom CAJ und TC gebilligt, wird auch weiterhin umgesetzt und gegebenenfalls überprüft werden. Insbesondere wird auch weiterhin daran gearbeitet werden, </w:t>
      </w:r>
      <w:r w:rsidRPr="003F486D">
        <w:rPr>
          <w:snapToGrid w:val="0"/>
          <w:color w:val="000000" w:themeColor="text1"/>
        </w:rPr>
        <w:t>die Qualität und Quantität von Daten in der PLUTO-Datenbank zu verbessern.</w:t>
      </w:r>
    </w:p>
    <w:p w:rsidR="008134A5" w:rsidRPr="003F486D" w:rsidRDefault="008134A5" w:rsidP="008134A5"/>
    <w:p w:rsidR="008134A5" w:rsidRPr="003F486D" w:rsidRDefault="008134A5" w:rsidP="008134A5">
      <w:pPr>
        <w:rPr>
          <w:snapToGrid w:val="0"/>
          <w:color w:val="000000" w:themeColor="text1"/>
        </w:rPr>
      </w:pPr>
      <w:r w:rsidRPr="003F486D">
        <w:t>2.2.2.12</w:t>
      </w:r>
      <w:r w:rsidRPr="003F486D">
        <w:tab/>
      </w:r>
      <w:r w:rsidRPr="003F486D">
        <w:rPr>
          <w:snapToGrid w:val="0"/>
          <w:color w:val="000000" w:themeColor="text1"/>
        </w:rPr>
        <w:t xml:space="preserve">Um die Prüfung von Sortenbezeichnungen durch Verbandsmitglieder zu erleichtern und zu harmonisieren, wird </w:t>
      </w:r>
      <w:r w:rsidRPr="003F486D">
        <w:t xml:space="preserve">auch weiterhin an der Ausarbeitung von Vorschlägen für ein der UPOV-Suchinstrument für Ähnlichkeiten zum Zweck der Sortenbezeichnung </w:t>
      </w:r>
      <w:r>
        <w:t>gemäß der</w:t>
      </w:r>
      <w:r w:rsidRPr="003F486D">
        <w:t xml:space="preserve"> Überarbeitung von Dokument UPOV/INF/12</w:t>
      </w:r>
      <w:r w:rsidRPr="004E3DDC">
        <w:t xml:space="preserve"> </w:t>
      </w:r>
      <w:r w:rsidRPr="003F486D">
        <w:t>gearbeitet werden.</w:t>
      </w:r>
    </w:p>
    <w:p w:rsidR="008134A5" w:rsidRPr="003F486D" w:rsidRDefault="008134A5" w:rsidP="008134A5">
      <w:pPr>
        <w:tabs>
          <w:tab w:val="left" w:pos="851"/>
        </w:tabs>
      </w:pPr>
    </w:p>
    <w:p w:rsidR="008134A5" w:rsidRPr="003F486D" w:rsidRDefault="008134A5" w:rsidP="008134A5">
      <w:pPr>
        <w:rPr>
          <w:i/>
          <w:snapToGrid w:val="0"/>
        </w:rPr>
      </w:pPr>
      <w:r>
        <w:rPr>
          <w:i/>
          <w:snapToGrid w:val="0"/>
        </w:rPr>
        <w:t>Verwaltung im Zusammenhang mit</w:t>
      </w:r>
      <w:r w:rsidRPr="003F486D">
        <w:rPr>
          <w:i/>
          <w:snapToGrid w:val="0"/>
        </w:rPr>
        <w:t xml:space="preserve"> </w:t>
      </w:r>
      <w:r>
        <w:rPr>
          <w:i/>
          <w:snapToGrid w:val="0"/>
        </w:rPr>
        <w:t>Anträgen auf Erteilung von Züchterrechten</w:t>
      </w:r>
    </w:p>
    <w:p w:rsidR="008134A5" w:rsidRPr="003F486D" w:rsidRDefault="008134A5" w:rsidP="008134A5"/>
    <w:p w:rsidR="008134A5" w:rsidRPr="003F486D" w:rsidRDefault="008134A5" w:rsidP="008134A5">
      <w:r w:rsidRPr="003F486D">
        <w:t xml:space="preserve">2.2.2.13 </w:t>
      </w:r>
      <w:r w:rsidRPr="003F486D">
        <w:tab/>
        <w:t xml:space="preserve">2017 </w:t>
      </w:r>
      <w:r>
        <w:t>wurde</w:t>
      </w:r>
      <w:r w:rsidRPr="003F486D">
        <w:t xml:space="preserve"> eine erste Version des elektronischen</w:t>
      </w:r>
      <w:r>
        <w:t xml:space="preserve"> Systems</w:t>
      </w:r>
      <w:r w:rsidRPr="003F486D">
        <w:t xml:space="preserve"> für die Einreichung von Anträgen </w:t>
      </w:r>
      <w:r>
        <w:t xml:space="preserve">(EAF) </w:t>
      </w:r>
      <w:r w:rsidRPr="003F486D">
        <w:t xml:space="preserve">für ausgewählte </w:t>
      </w:r>
      <w:r>
        <w:t>Pflanzen/</w:t>
      </w:r>
      <w:r w:rsidRPr="003F486D">
        <w:t>Arten und Sprachen implementiert, das es Züchtern ermöglichen wird,</w:t>
      </w:r>
      <w:r>
        <w:t xml:space="preserve"> Informationen</w:t>
      </w:r>
      <w:r w:rsidRPr="003F486D">
        <w:t xml:space="preserve"> für Anträge auf Erteilung von Züchterrechten für mitwirkende Verbandsmitglieder über die UPOV-</w:t>
      </w:r>
      <w:r>
        <w:t>Website</w:t>
      </w:r>
      <w:r w:rsidRPr="003F486D">
        <w:t xml:space="preserve"> einzureichen.</w:t>
      </w:r>
      <w:r>
        <w:t xml:space="preserve"> In der Rechnungsperiode 2018-1019 wird der Anwendungsbereich des EAF auf weitere Gattungen/Arten, Sprachen und Verbandsmitglieder erweitert werden. </w:t>
      </w:r>
    </w:p>
    <w:p w:rsidR="008134A5" w:rsidRPr="003F486D" w:rsidRDefault="008134A5" w:rsidP="008134A5"/>
    <w:p w:rsidR="008134A5" w:rsidRPr="003F486D" w:rsidRDefault="008134A5" w:rsidP="008134A5">
      <w:pPr>
        <w:jc w:val="left"/>
        <w:rPr>
          <w:b/>
        </w:rPr>
      </w:pPr>
      <w:r w:rsidRPr="003F486D">
        <w:rPr>
          <w:b/>
        </w:rPr>
        <w:br w:type="page"/>
      </w:r>
    </w:p>
    <w:p w:rsidR="008134A5" w:rsidRPr="003F486D" w:rsidRDefault="008134A5" w:rsidP="008134A5">
      <w:pPr>
        <w:jc w:val="left"/>
        <w:rPr>
          <w:b/>
        </w:rPr>
      </w:pPr>
      <w:r w:rsidRPr="003F486D">
        <w:rPr>
          <w:b/>
        </w:rPr>
        <w:t>2.2.3</w:t>
      </w:r>
      <w:r w:rsidRPr="003F486D">
        <w:tab/>
      </w:r>
      <w:r w:rsidRPr="003F486D">
        <w:rPr>
          <w:b/>
        </w:rPr>
        <w:t>Tätigkeiten</w:t>
      </w:r>
    </w:p>
    <w:p w:rsidR="008134A5" w:rsidRPr="003F486D" w:rsidRDefault="008134A5" w:rsidP="008134A5">
      <w:pPr>
        <w:keepNext/>
      </w:pPr>
    </w:p>
    <w:p w:rsidR="008134A5" w:rsidRPr="00E0018C" w:rsidRDefault="008134A5" w:rsidP="00EA72FF">
      <w:pPr>
        <w:pStyle w:val="ListParagraph"/>
        <w:numPr>
          <w:ilvl w:val="0"/>
          <w:numId w:val="23"/>
        </w:numPr>
        <w:spacing w:after="120"/>
        <w:rPr>
          <w:lang w:val="de-DE"/>
        </w:rPr>
      </w:pPr>
      <w:r w:rsidRPr="00E0018C">
        <w:rPr>
          <w:lang w:val="de-DE"/>
        </w:rPr>
        <w:t>Zwe</w:t>
      </w:r>
      <w:r w:rsidR="00601779" w:rsidRPr="00E0018C">
        <w:rPr>
          <w:lang w:val="de-DE"/>
        </w:rPr>
        <w:t>i</w:t>
      </w:r>
      <w:r w:rsidRPr="00E0018C">
        <w:rPr>
          <w:lang w:val="de-DE"/>
        </w:rPr>
        <w:t xml:space="preserve"> Tagungen des Verwaltungs- und Rechtsausschusses, zwei Tagungen des Technischen Ausschusses, 12 Tagungen der Technischen Arbeitsgruppen, einschließlich zwei Tagungen der Arbeitsgruppe für biochemische und molekulare Verfahren und insbesondere für DNS</w:t>
      </w:r>
      <w:r w:rsidRPr="00E0018C">
        <w:rPr>
          <w:lang w:val="de-DE"/>
        </w:rPr>
        <w:noBreakHyphen/>
        <w:t>Profilierungsverfahren (BMT) und ihrer jeweiligen vorbereitenden Arbeitstagungen.</w:t>
      </w:r>
    </w:p>
    <w:p w:rsidR="008134A5" w:rsidRPr="00E0018C" w:rsidRDefault="008134A5" w:rsidP="00EA72FF">
      <w:pPr>
        <w:pStyle w:val="ListParagraph"/>
        <w:numPr>
          <w:ilvl w:val="0"/>
          <w:numId w:val="23"/>
        </w:numPr>
        <w:spacing w:after="120"/>
        <w:rPr>
          <w:lang w:val="de-DE"/>
        </w:rPr>
      </w:pPr>
      <w:r w:rsidRPr="00E0018C">
        <w:rPr>
          <w:lang w:val="de-DE"/>
        </w:rPr>
        <w:t>Ausarbeitung von Anleitung und Informationsmaterialien, einschließlich Erläuterungen und Informationsdokumente betreffend das UPOV</w:t>
      </w:r>
      <w:r w:rsidRPr="00E0018C">
        <w:rPr>
          <w:lang w:val="de-DE"/>
        </w:rPr>
        <w:noBreakHyphen/>
        <w:t>Übereinkommen.</w:t>
      </w:r>
    </w:p>
    <w:p w:rsidR="008134A5" w:rsidRPr="00E0018C" w:rsidRDefault="008134A5" w:rsidP="00EA72FF">
      <w:pPr>
        <w:pStyle w:val="ListParagraph"/>
        <w:numPr>
          <w:ilvl w:val="0"/>
          <w:numId w:val="23"/>
        </w:numPr>
        <w:spacing w:after="120"/>
        <w:rPr>
          <w:lang w:val="de-DE"/>
        </w:rPr>
      </w:pPr>
      <w:r w:rsidRPr="00E0018C">
        <w:rPr>
          <w:lang w:val="de-DE"/>
        </w:rPr>
        <w:t xml:space="preserve">Ausarbeitung von Anleitungsdokumenten zur Prüfung der Unterscheidbarkeit, der Homogenität und der Beständigkeit („DUS“) einschließlich der „Allgemeinen Einführung zur Prüfung auf Unterscheidbarkeit, Homogenität und Beständigkeit und zur Erarbeitung harmonisierter Beschreibungen von neuen Pflanzensorten“ (Allgemeine Einführung), mit den verbundenen TGP(Test Guidelines' </w:t>
      </w:r>
      <w:proofErr w:type="spellStart"/>
      <w:r w:rsidRPr="00E0018C">
        <w:rPr>
          <w:lang w:val="de-DE"/>
        </w:rPr>
        <w:t>Procedures</w:t>
      </w:r>
      <w:proofErr w:type="spellEnd"/>
      <w:r w:rsidRPr="00E0018C">
        <w:rPr>
          <w:lang w:val="de-DE"/>
        </w:rPr>
        <w:t>)-Dokumenten.</w:t>
      </w:r>
    </w:p>
    <w:p w:rsidR="008134A5" w:rsidRPr="003F486D" w:rsidRDefault="008134A5" w:rsidP="00EA72FF">
      <w:pPr>
        <w:pStyle w:val="ListParagraph"/>
        <w:numPr>
          <w:ilvl w:val="0"/>
          <w:numId w:val="23"/>
        </w:numPr>
        <w:spacing w:after="120"/>
      </w:pPr>
      <w:proofErr w:type="spellStart"/>
      <w:r w:rsidRPr="003F486D">
        <w:t>Erstellung</w:t>
      </w:r>
      <w:proofErr w:type="spellEnd"/>
      <w:r w:rsidRPr="003F486D">
        <w:t xml:space="preserve"> von </w:t>
      </w:r>
      <w:proofErr w:type="spellStart"/>
      <w:r w:rsidRPr="003F486D">
        <w:t>Prüfungsrichtlinien</w:t>
      </w:r>
      <w:proofErr w:type="spellEnd"/>
      <w:r w:rsidRPr="003F486D">
        <w:t>.</w:t>
      </w:r>
    </w:p>
    <w:p w:rsidR="008134A5" w:rsidRPr="00E0018C" w:rsidRDefault="008134A5" w:rsidP="00EA72FF">
      <w:pPr>
        <w:pStyle w:val="ListParagraph"/>
        <w:numPr>
          <w:ilvl w:val="0"/>
          <w:numId w:val="23"/>
        </w:numPr>
        <w:spacing w:after="120"/>
        <w:rPr>
          <w:lang w:val="de-DE"/>
        </w:rPr>
      </w:pPr>
      <w:r w:rsidRPr="00E0018C">
        <w:rPr>
          <w:lang w:val="de-DE"/>
        </w:rPr>
        <w:t>Information und Anleitung zur Verwendung molekularer Techniken bei der DUS-Prüfung und Bereitstellung eines Forums zur Prüfung ihrer Verwendung bei der Sortenidentifikation und der wesentlichen Ableitung.</w:t>
      </w:r>
    </w:p>
    <w:p w:rsidR="008134A5" w:rsidRPr="00E0018C" w:rsidRDefault="008134A5" w:rsidP="00EA72FF">
      <w:pPr>
        <w:pStyle w:val="ListParagraph"/>
        <w:keepLines/>
        <w:numPr>
          <w:ilvl w:val="0"/>
          <w:numId w:val="23"/>
        </w:numPr>
        <w:spacing w:after="120"/>
        <w:rPr>
          <w:lang w:val="de-DE"/>
        </w:rPr>
      </w:pPr>
      <w:r w:rsidRPr="00E0018C">
        <w:rPr>
          <w:lang w:val="de-DE"/>
        </w:rPr>
        <w:t>Aktualisierung und Weiterentwicklung der PLUTO-Datenbank.</w:t>
      </w:r>
    </w:p>
    <w:p w:rsidR="008134A5" w:rsidRPr="00E0018C" w:rsidRDefault="008134A5" w:rsidP="00EA72FF">
      <w:pPr>
        <w:pStyle w:val="ListParagraph"/>
        <w:keepLines/>
        <w:numPr>
          <w:ilvl w:val="0"/>
          <w:numId w:val="23"/>
        </w:numPr>
        <w:spacing w:after="120"/>
        <w:rPr>
          <w:lang w:val="de-DE"/>
        </w:rPr>
      </w:pPr>
      <w:r w:rsidRPr="00E0018C">
        <w:rPr>
          <w:lang w:val="de-DE"/>
        </w:rPr>
        <w:t>Aktualisierung und Weiterentwicklung der GENIE-Datenbank.</w:t>
      </w:r>
    </w:p>
    <w:p w:rsidR="008134A5" w:rsidRPr="00E0018C" w:rsidRDefault="008134A5" w:rsidP="00EA72FF">
      <w:pPr>
        <w:pStyle w:val="ListParagraph"/>
        <w:keepLines/>
        <w:numPr>
          <w:ilvl w:val="0"/>
          <w:numId w:val="23"/>
        </w:numPr>
        <w:spacing w:after="120"/>
        <w:rPr>
          <w:lang w:val="de-DE"/>
        </w:rPr>
      </w:pPr>
      <w:r w:rsidRPr="00E0018C">
        <w:rPr>
          <w:lang w:val="de-DE"/>
        </w:rPr>
        <w:t xml:space="preserve">Pflege der UPOV Lex-Datenbank für Rechtsvorschriften und einschlägige </w:t>
      </w:r>
      <w:proofErr w:type="spellStart"/>
      <w:r w:rsidRPr="00E0018C">
        <w:rPr>
          <w:lang w:val="de-DE"/>
        </w:rPr>
        <w:t>Notifizierungen</w:t>
      </w:r>
      <w:proofErr w:type="spellEnd"/>
      <w:r w:rsidRPr="00E0018C">
        <w:rPr>
          <w:lang w:val="de-DE"/>
        </w:rPr>
        <w:t>.</w:t>
      </w:r>
    </w:p>
    <w:p w:rsidR="008134A5" w:rsidRPr="003F486D" w:rsidRDefault="008134A5" w:rsidP="00EA72FF">
      <w:pPr>
        <w:pStyle w:val="ListParagraph"/>
        <w:keepLines/>
        <w:numPr>
          <w:ilvl w:val="0"/>
          <w:numId w:val="23"/>
        </w:numPr>
        <w:spacing w:after="120"/>
      </w:pPr>
      <w:proofErr w:type="spellStart"/>
      <w:r w:rsidRPr="003F486D">
        <w:t>Aktualisierung</w:t>
      </w:r>
      <w:proofErr w:type="spellEnd"/>
      <w:r w:rsidRPr="003F486D">
        <w:t xml:space="preserve"> der UPOV-</w:t>
      </w:r>
      <w:proofErr w:type="spellStart"/>
      <w:r w:rsidRPr="003F486D">
        <w:t>Sammlung</w:t>
      </w:r>
      <w:proofErr w:type="spellEnd"/>
      <w:r w:rsidRPr="003F486D">
        <w:t>.</w:t>
      </w:r>
    </w:p>
    <w:p w:rsidR="008134A5" w:rsidRPr="00E0018C" w:rsidRDefault="008134A5" w:rsidP="00EA72FF">
      <w:pPr>
        <w:pStyle w:val="ListParagraph"/>
        <w:keepLines/>
        <w:numPr>
          <w:ilvl w:val="0"/>
          <w:numId w:val="23"/>
        </w:numPr>
        <w:spacing w:after="120"/>
        <w:rPr>
          <w:lang w:val="de-DE"/>
        </w:rPr>
      </w:pPr>
      <w:r w:rsidRPr="00E0018C">
        <w:rPr>
          <w:lang w:val="de-DE"/>
        </w:rPr>
        <w:t>Weiterentwicklung des elektronischen UPOV-EAF.</w:t>
      </w:r>
    </w:p>
    <w:p w:rsidR="008134A5" w:rsidRPr="0029412D" w:rsidRDefault="008134A5" w:rsidP="008134A5"/>
    <w:p w:rsidR="008134A5" w:rsidRPr="003F486D" w:rsidRDefault="008134A5" w:rsidP="008134A5"/>
    <w:p w:rsidR="008134A5" w:rsidRDefault="008134A5" w:rsidP="008134A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b/>
        </w:rPr>
      </w:pPr>
      <w:r w:rsidRPr="003F486D">
        <w:rPr>
          <w:b/>
        </w:rPr>
        <w:t>2.2.4</w:t>
      </w:r>
      <w:r w:rsidRPr="003F486D">
        <w:tab/>
      </w:r>
      <w:r w:rsidRPr="003F486D">
        <w:rPr>
          <w:b/>
        </w:rPr>
        <w:t>Erwartete Ergebnisse und Planerfüllungsindikatoren</w:t>
      </w:r>
    </w:p>
    <w:p w:rsidR="008134A5" w:rsidRPr="003F486D" w:rsidRDefault="008134A5" w:rsidP="008134A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b/>
          <w:color w:val="000000"/>
        </w:rPr>
      </w:pPr>
    </w:p>
    <w:tbl>
      <w:tblPr>
        <w:tblW w:w="9889" w:type="dxa"/>
        <w:tblInd w:w="-103" w:type="dxa"/>
        <w:tblLayout w:type="fixed"/>
        <w:tblCellMar>
          <w:top w:w="57" w:type="dxa"/>
          <w:left w:w="57" w:type="dxa"/>
          <w:bottom w:w="28" w:type="dxa"/>
          <w:right w:w="57" w:type="dxa"/>
        </w:tblCellMar>
        <w:tblLook w:val="0000" w:firstRow="0" w:lastRow="0" w:firstColumn="0" w:lastColumn="0" w:noHBand="0" w:noVBand="0"/>
      </w:tblPr>
      <w:tblGrid>
        <w:gridCol w:w="4643"/>
        <w:gridCol w:w="5246"/>
      </w:tblGrid>
      <w:tr w:rsidR="008134A5" w:rsidRPr="003F486D" w:rsidTr="008134A5">
        <w:trPr>
          <w:cantSplit/>
          <w:tblHeader/>
        </w:trPr>
        <w:tc>
          <w:tcPr>
            <w:tcW w:w="4643" w:type="dxa"/>
            <w:tcBorders>
              <w:top w:val="single" w:sz="4" w:space="0" w:color="000000"/>
              <w:left w:val="single" w:sz="4" w:space="0" w:color="000000"/>
              <w:bottom w:val="single" w:sz="4" w:space="0" w:color="000000"/>
              <w:right w:val="single" w:sz="4" w:space="0" w:color="000000"/>
            </w:tcBorders>
          </w:tcPr>
          <w:p w:rsidR="008134A5" w:rsidRPr="003F486D" w:rsidRDefault="008134A5" w:rsidP="008134A5">
            <w:pPr>
              <w:jc w:val="center"/>
              <w:rPr>
                <w:color w:val="000000"/>
                <w:u w:val="single"/>
              </w:rPr>
            </w:pPr>
            <w:r w:rsidRPr="003F486D">
              <w:rPr>
                <w:color w:val="000000"/>
                <w:u w:val="single"/>
              </w:rPr>
              <w:t>Erwartete Ergebnisse</w:t>
            </w:r>
          </w:p>
        </w:tc>
        <w:tc>
          <w:tcPr>
            <w:tcW w:w="5246" w:type="dxa"/>
            <w:tcBorders>
              <w:top w:val="single" w:sz="4" w:space="0" w:color="000000"/>
              <w:left w:val="single" w:sz="4" w:space="0" w:color="000000"/>
              <w:bottom w:val="single" w:sz="4" w:space="0" w:color="000000"/>
              <w:right w:val="single" w:sz="4" w:space="0" w:color="000000"/>
            </w:tcBorders>
          </w:tcPr>
          <w:p w:rsidR="008134A5" w:rsidRPr="003F486D" w:rsidRDefault="008134A5" w:rsidP="008134A5">
            <w:pPr>
              <w:jc w:val="center"/>
              <w:rPr>
                <w:color w:val="000000"/>
                <w:u w:val="single"/>
              </w:rPr>
            </w:pPr>
            <w:r w:rsidRPr="003F486D">
              <w:rPr>
                <w:color w:val="000000"/>
                <w:u w:val="single"/>
              </w:rPr>
              <w:t>Planerfüllungsindikatoren</w:t>
            </w:r>
          </w:p>
        </w:tc>
      </w:tr>
      <w:tr w:rsidR="008134A5" w:rsidRPr="006B70B0" w:rsidTr="008134A5">
        <w:trPr>
          <w:cantSplit/>
        </w:trPr>
        <w:tc>
          <w:tcPr>
            <w:tcW w:w="4643" w:type="dxa"/>
            <w:tcBorders>
              <w:top w:val="single" w:sz="4" w:space="0" w:color="000000"/>
              <w:left w:val="single" w:sz="4" w:space="0" w:color="000000"/>
              <w:bottom w:val="single" w:sz="4" w:space="0" w:color="000000"/>
              <w:right w:val="single" w:sz="4" w:space="0" w:color="000000"/>
            </w:tcBorders>
          </w:tcPr>
          <w:p w:rsidR="008134A5" w:rsidRPr="003F486D" w:rsidRDefault="008134A5" w:rsidP="008134A5">
            <w:pPr>
              <w:ind w:left="397" w:hanging="397"/>
              <w:jc w:val="left"/>
              <w:rPr>
                <w:color w:val="000000"/>
              </w:rPr>
            </w:pPr>
            <w:r w:rsidRPr="003F486D">
              <w:rPr>
                <w:color w:val="000000"/>
              </w:rPr>
              <w:t>1.</w:t>
            </w:r>
            <w:r w:rsidRPr="003F486D">
              <w:tab/>
            </w:r>
            <w:r w:rsidRPr="003F486D">
              <w:rPr>
                <w:color w:val="000000"/>
              </w:rPr>
              <w:t xml:space="preserve">Mitwirkung von Verbandsmitgliedern und Betroffenen an den Tätigkeiten der Organe der UPOV </w:t>
            </w:r>
          </w:p>
        </w:tc>
        <w:tc>
          <w:tcPr>
            <w:tcW w:w="5246" w:type="dxa"/>
            <w:tcBorders>
              <w:top w:val="single" w:sz="4" w:space="0" w:color="000000"/>
              <w:left w:val="single" w:sz="4" w:space="0" w:color="000000"/>
              <w:bottom w:val="single" w:sz="4" w:space="0" w:color="000000"/>
              <w:right w:val="single" w:sz="4" w:space="0" w:color="000000"/>
            </w:tcBorders>
          </w:tcPr>
          <w:p w:rsidR="008134A5" w:rsidRPr="003F486D" w:rsidRDefault="008134A5" w:rsidP="008134A5">
            <w:pPr>
              <w:ind w:left="397" w:hanging="397"/>
              <w:jc w:val="left"/>
              <w:rPr>
                <w:color w:val="000000"/>
              </w:rPr>
            </w:pPr>
            <w:r w:rsidRPr="003F486D">
              <w:rPr>
                <w:color w:val="000000"/>
              </w:rPr>
              <w:t>a)</w:t>
            </w:r>
            <w:r w:rsidRPr="003F486D">
              <w:tab/>
              <w:t xml:space="preserve">Teilnahme am Verwaltungs- und </w:t>
            </w:r>
            <w:proofErr w:type="spellStart"/>
            <w:r w:rsidRPr="003F486D">
              <w:t>Rechtsausschuß</w:t>
            </w:r>
            <w:proofErr w:type="spellEnd"/>
            <w:r w:rsidRPr="003F486D">
              <w:t xml:space="preserve">, am Technischen </w:t>
            </w:r>
            <w:proofErr w:type="spellStart"/>
            <w:r w:rsidRPr="003F486D">
              <w:t>Ausschuß</w:t>
            </w:r>
            <w:proofErr w:type="spellEnd"/>
            <w:r w:rsidRPr="003F486D">
              <w:t xml:space="preserve"> und an den Technischen Arbeitsgruppen und den angeschlossenen vorbereitenden Arbeitstagungen.</w:t>
            </w:r>
          </w:p>
        </w:tc>
      </w:tr>
      <w:tr w:rsidR="008134A5" w:rsidRPr="006B70B0" w:rsidTr="008134A5">
        <w:trPr>
          <w:cantSplit/>
        </w:trPr>
        <w:tc>
          <w:tcPr>
            <w:tcW w:w="4643" w:type="dxa"/>
            <w:tcBorders>
              <w:top w:val="single" w:sz="4" w:space="0" w:color="000000"/>
              <w:left w:val="single" w:sz="4" w:space="0" w:color="000000"/>
              <w:bottom w:val="single" w:sz="4" w:space="0" w:color="000000"/>
              <w:right w:val="single" w:sz="4" w:space="0" w:color="000000"/>
            </w:tcBorders>
          </w:tcPr>
          <w:p w:rsidR="008134A5" w:rsidRPr="003F486D" w:rsidRDefault="008134A5" w:rsidP="008134A5">
            <w:pPr>
              <w:ind w:left="397" w:hanging="397"/>
              <w:jc w:val="left"/>
              <w:rPr>
                <w:color w:val="000000"/>
              </w:rPr>
            </w:pPr>
            <w:r w:rsidRPr="003F486D">
              <w:rPr>
                <w:color w:val="000000"/>
              </w:rPr>
              <w:t>2.</w:t>
            </w:r>
            <w:r w:rsidRPr="003F486D">
              <w:tab/>
            </w:r>
            <w:r w:rsidRPr="003F486D">
              <w:rPr>
                <w:color w:val="000000"/>
              </w:rPr>
              <w:t>Anleitung zum UPOV-Übereinkommen und seiner Umsetzung sowie</w:t>
            </w:r>
            <w:r>
              <w:rPr>
                <w:color w:val="000000"/>
              </w:rPr>
              <w:t xml:space="preserve"> Informationen</w:t>
            </w:r>
            <w:r w:rsidRPr="003F486D">
              <w:rPr>
                <w:color w:val="000000"/>
              </w:rPr>
              <w:t xml:space="preserve"> zu seiner Anwendung</w:t>
            </w:r>
          </w:p>
        </w:tc>
        <w:tc>
          <w:tcPr>
            <w:tcW w:w="5246" w:type="dxa"/>
            <w:tcBorders>
              <w:top w:val="single" w:sz="4" w:space="0" w:color="000000"/>
              <w:left w:val="single" w:sz="4" w:space="0" w:color="000000"/>
              <w:bottom w:val="single" w:sz="4" w:space="0" w:color="000000"/>
              <w:right w:val="single" w:sz="4" w:space="0" w:color="000000"/>
            </w:tcBorders>
          </w:tcPr>
          <w:p w:rsidR="008134A5" w:rsidRPr="003F486D" w:rsidRDefault="008134A5" w:rsidP="008134A5">
            <w:pPr>
              <w:spacing w:after="60"/>
              <w:ind w:left="397" w:hanging="397"/>
              <w:jc w:val="left"/>
              <w:rPr>
                <w:color w:val="000000"/>
              </w:rPr>
            </w:pPr>
            <w:r w:rsidRPr="003F486D">
              <w:t>a)</w:t>
            </w:r>
            <w:r w:rsidRPr="003F486D">
              <w:tab/>
              <w:t>Annahme von neuem oder überarbeitetem</w:t>
            </w:r>
            <w:r>
              <w:t xml:space="preserve"> Informations</w:t>
            </w:r>
            <w:r w:rsidRPr="003F486D">
              <w:t>material zum UPOV-Übereinkommen;</w:t>
            </w:r>
          </w:p>
          <w:p w:rsidR="008134A5" w:rsidRPr="003F486D" w:rsidRDefault="008134A5" w:rsidP="008134A5">
            <w:pPr>
              <w:spacing w:after="60"/>
              <w:ind w:left="397" w:hanging="397"/>
              <w:jc w:val="left"/>
              <w:rPr>
                <w:color w:val="000000"/>
              </w:rPr>
            </w:pPr>
            <w:r w:rsidRPr="003F486D">
              <w:t>b)</w:t>
            </w:r>
            <w:r w:rsidRPr="003F486D">
              <w:tab/>
              <w:t>Veröffentlichung</w:t>
            </w:r>
            <w:r>
              <w:t xml:space="preserve"> des</w:t>
            </w:r>
            <w:r w:rsidRPr="003F486D">
              <w:t xml:space="preserve"> </w:t>
            </w:r>
            <w:r w:rsidRPr="003945C5">
              <w:t xml:space="preserve">Amts- und Nachrichtenblattes </w:t>
            </w:r>
            <w:r>
              <w:t xml:space="preserve">und </w:t>
            </w:r>
            <w:r w:rsidRPr="003F486D">
              <w:t>Newsletter</w:t>
            </w:r>
            <w:r>
              <w:t xml:space="preserve">s </w:t>
            </w:r>
            <w:r w:rsidRPr="003945C5">
              <w:t>der UPOV</w:t>
            </w:r>
            <w:r w:rsidRPr="003F486D">
              <w:t>;</w:t>
            </w:r>
          </w:p>
          <w:p w:rsidR="008134A5" w:rsidRPr="003F486D" w:rsidRDefault="008134A5" w:rsidP="008134A5">
            <w:pPr>
              <w:spacing w:after="60"/>
              <w:ind w:left="397" w:hanging="397"/>
              <w:jc w:val="left"/>
              <w:rPr>
                <w:color w:val="000000"/>
              </w:rPr>
            </w:pPr>
            <w:r w:rsidRPr="003F486D">
              <w:t>c)</w:t>
            </w:r>
            <w:r w:rsidRPr="003F486D">
              <w:tab/>
              <w:t xml:space="preserve">Aufnahme von Gesetzen und einschlägigen </w:t>
            </w:r>
            <w:proofErr w:type="spellStart"/>
            <w:r w:rsidRPr="003F486D">
              <w:t>Notifizierungen</w:t>
            </w:r>
            <w:proofErr w:type="spellEnd"/>
            <w:r w:rsidRPr="003F486D">
              <w:t xml:space="preserve"> der Verbandsmitglieder in die UPOV Lex;</w:t>
            </w:r>
          </w:p>
          <w:p w:rsidR="008134A5" w:rsidRPr="003F486D" w:rsidRDefault="008134A5" w:rsidP="008134A5">
            <w:pPr>
              <w:ind w:left="397" w:hanging="397"/>
              <w:jc w:val="left"/>
              <w:rPr>
                <w:color w:val="000000"/>
              </w:rPr>
            </w:pPr>
            <w:r w:rsidRPr="003F486D">
              <w:t>d)</w:t>
            </w:r>
            <w:r w:rsidRPr="003F486D">
              <w:tab/>
              <w:t>Verfügbarkeit von UPOV-Dokumenten und Materialien in zusätzlichen Sprachen zu den Sprachen der UPOV (Englisch, Französisch, Deutsch und Spanisch).</w:t>
            </w:r>
          </w:p>
        </w:tc>
      </w:tr>
      <w:tr w:rsidR="008134A5" w:rsidRPr="006B70B0" w:rsidTr="008134A5">
        <w:tc>
          <w:tcPr>
            <w:tcW w:w="4643" w:type="dxa"/>
            <w:tcBorders>
              <w:top w:val="single" w:sz="4" w:space="0" w:color="000000"/>
              <w:left w:val="single" w:sz="4" w:space="0" w:color="000000"/>
              <w:bottom w:val="single" w:sz="4" w:space="0" w:color="000000"/>
              <w:right w:val="single" w:sz="4" w:space="0" w:color="000000"/>
            </w:tcBorders>
          </w:tcPr>
          <w:p w:rsidR="008134A5" w:rsidRPr="003F486D" w:rsidRDefault="008134A5" w:rsidP="008134A5">
            <w:pPr>
              <w:ind w:left="397" w:hanging="397"/>
              <w:jc w:val="left"/>
              <w:rPr>
                <w:color w:val="000000"/>
              </w:rPr>
            </w:pPr>
            <w:r w:rsidRPr="003F486D">
              <w:rPr>
                <w:color w:val="000000"/>
              </w:rPr>
              <w:t>3.</w:t>
            </w:r>
            <w:r w:rsidRPr="003F486D">
              <w:tab/>
            </w:r>
            <w:r w:rsidRPr="003F486D">
              <w:rPr>
                <w:color w:val="000000"/>
              </w:rPr>
              <w:t>Anleitung zur Prüfung von Sorten</w:t>
            </w:r>
          </w:p>
        </w:tc>
        <w:tc>
          <w:tcPr>
            <w:tcW w:w="5246" w:type="dxa"/>
            <w:tcBorders>
              <w:top w:val="single" w:sz="4" w:space="0" w:color="000000"/>
              <w:left w:val="single" w:sz="4" w:space="0" w:color="000000"/>
              <w:bottom w:val="single" w:sz="4" w:space="0" w:color="000000"/>
              <w:right w:val="single" w:sz="4" w:space="0" w:color="000000"/>
            </w:tcBorders>
          </w:tcPr>
          <w:p w:rsidR="008134A5" w:rsidRPr="003F486D" w:rsidRDefault="008134A5" w:rsidP="008134A5">
            <w:pPr>
              <w:spacing w:after="60"/>
              <w:ind w:left="397" w:hanging="397"/>
              <w:jc w:val="left"/>
              <w:rPr>
                <w:color w:val="000000"/>
              </w:rPr>
            </w:pPr>
            <w:r w:rsidRPr="003F486D">
              <w:rPr>
                <w:color w:val="000000"/>
              </w:rPr>
              <w:t>a)</w:t>
            </w:r>
            <w:r w:rsidRPr="003F486D">
              <w:tab/>
              <w:t>Annahme vo</w:t>
            </w:r>
            <w:r>
              <w:t>n neuen oder überarbeiteten TGP-</w:t>
            </w:r>
            <w:r w:rsidRPr="003F486D">
              <w:t>Dokumenten und</w:t>
            </w:r>
            <w:r>
              <w:t xml:space="preserve"> Informationsmaterialien</w:t>
            </w:r>
            <w:r w:rsidRPr="003F486D">
              <w:t>;</w:t>
            </w:r>
          </w:p>
          <w:p w:rsidR="008134A5" w:rsidRPr="003F486D" w:rsidRDefault="008134A5" w:rsidP="008134A5">
            <w:pPr>
              <w:spacing w:after="60"/>
              <w:ind w:left="397" w:hanging="397"/>
              <w:jc w:val="left"/>
              <w:rPr>
                <w:color w:val="000000"/>
              </w:rPr>
            </w:pPr>
            <w:r w:rsidRPr="003F486D">
              <w:t>b)</w:t>
            </w:r>
            <w:r w:rsidRPr="003F486D">
              <w:tab/>
              <w:t>Annahme neuer oder überarbeiteter Prüfungsrichtlinien;</w:t>
            </w:r>
          </w:p>
          <w:p w:rsidR="008134A5" w:rsidRPr="003F486D" w:rsidRDefault="008134A5" w:rsidP="008134A5">
            <w:pPr>
              <w:spacing w:after="60"/>
              <w:ind w:left="397" w:hanging="397"/>
              <w:jc w:val="left"/>
              <w:rPr>
                <w:color w:val="000000"/>
              </w:rPr>
            </w:pPr>
            <w:r w:rsidRPr="003F486D">
              <w:rPr>
                <w:color w:val="000000"/>
              </w:rPr>
              <w:t>c)</w:t>
            </w:r>
            <w:r w:rsidRPr="003F486D">
              <w:tab/>
              <w:t>Anteil der Anmeldungen, für die es angenommene Prüfungsrichtlinien gibt;</w:t>
            </w:r>
          </w:p>
          <w:p w:rsidR="008134A5" w:rsidRPr="003F486D" w:rsidRDefault="008134A5" w:rsidP="008134A5">
            <w:pPr>
              <w:spacing w:after="60"/>
              <w:ind w:left="397" w:hanging="397"/>
              <w:jc w:val="left"/>
              <w:rPr>
                <w:color w:val="000000"/>
              </w:rPr>
            </w:pPr>
            <w:r w:rsidRPr="003F486D">
              <w:rPr>
                <w:color w:val="000000"/>
              </w:rPr>
              <w:t>d)</w:t>
            </w:r>
            <w:r w:rsidRPr="003F486D">
              <w:tab/>
              <w:t xml:space="preserve">Zahl der in Ausarbeitung </w:t>
            </w:r>
            <w:r>
              <w:t xml:space="preserve">in den TWP </w:t>
            </w:r>
            <w:r w:rsidRPr="003F486D">
              <w:t>begriffenen Prüfungsrichtlinien</w:t>
            </w:r>
          </w:p>
          <w:p w:rsidR="008134A5" w:rsidRPr="00B85737" w:rsidRDefault="008134A5" w:rsidP="008134A5">
            <w:pPr>
              <w:spacing w:after="60"/>
              <w:ind w:left="397" w:hanging="397"/>
              <w:jc w:val="left"/>
            </w:pPr>
            <w:r w:rsidRPr="003F486D">
              <w:t xml:space="preserve">e) </w:t>
            </w:r>
            <w:r w:rsidRPr="003F486D">
              <w:tab/>
              <w:t>Beteiligung an der Erstellung von Prüfungsrichtlinien;</w:t>
            </w:r>
          </w:p>
          <w:p w:rsidR="008134A5" w:rsidRPr="003F486D" w:rsidRDefault="008134A5" w:rsidP="008134A5">
            <w:pPr>
              <w:spacing w:after="60"/>
              <w:ind w:left="397" w:hanging="397"/>
              <w:jc w:val="left"/>
              <w:rPr>
                <w:color w:val="000000" w:themeColor="text1"/>
              </w:rPr>
            </w:pPr>
            <w:r w:rsidRPr="003F486D">
              <w:rPr>
                <w:color w:val="000000"/>
              </w:rPr>
              <w:t>f)</w:t>
            </w:r>
            <w:r w:rsidRPr="003F486D">
              <w:tab/>
              <w:t>Entwicklung einer webbasierten Vorlage für Prüfungsrichtlinien</w:t>
            </w:r>
            <w:r w:rsidRPr="003F486D">
              <w:rPr>
                <w:color w:val="000000"/>
              </w:rPr>
              <w:t xml:space="preserve"> (</w:t>
            </w:r>
            <w:r>
              <w:rPr>
                <w:color w:val="000000"/>
              </w:rPr>
              <w:t>Vorlage für Prüfungsrichtlinien</w:t>
            </w:r>
            <w:r w:rsidRPr="003F486D">
              <w:rPr>
                <w:color w:val="000000"/>
              </w:rPr>
              <w:t>) mit der Möglichkeit zur:</w:t>
            </w:r>
          </w:p>
          <w:p w:rsidR="008134A5" w:rsidRPr="003F486D" w:rsidRDefault="008134A5" w:rsidP="008134A5">
            <w:pPr>
              <w:spacing w:after="60"/>
              <w:ind w:left="794" w:hanging="397"/>
              <w:jc w:val="left"/>
              <w:rPr>
                <w:color w:val="000000" w:themeColor="text1"/>
              </w:rPr>
            </w:pPr>
            <w:r w:rsidRPr="003F486D">
              <w:rPr>
                <w:color w:val="000000" w:themeColor="text1"/>
              </w:rPr>
              <w:t>i)</w:t>
            </w:r>
            <w:r w:rsidRPr="003F486D">
              <w:tab/>
            </w:r>
            <w:r w:rsidRPr="003F486D">
              <w:rPr>
                <w:color w:val="000000" w:themeColor="text1"/>
              </w:rPr>
              <w:t xml:space="preserve">Übersetzung </w:t>
            </w:r>
            <w:r>
              <w:rPr>
                <w:color w:val="000000" w:themeColor="text1"/>
              </w:rPr>
              <w:t>in die</w:t>
            </w:r>
            <w:r w:rsidRPr="003F486D">
              <w:rPr>
                <w:color w:val="000000" w:themeColor="text1"/>
              </w:rPr>
              <w:t xml:space="preserve"> UPOV-Sprachen;</w:t>
            </w:r>
          </w:p>
          <w:p w:rsidR="008134A5" w:rsidRPr="003F486D" w:rsidRDefault="008134A5" w:rsidP="008134A5">
            <w:pPr>
              <w:ind w:left="794" w:hanging="397"/>
              <w:jc w:val="left"/>
              <w:rPr>
                <w:color w:val="000000"/>
              </w:rPr>
            </w:pPr>
            <w:r w:rsidRPr="003F486D">
              <w:rPr>
                <w:color w:val="000000" w:themeColor="text1"/>
              </w:rPr>
              <w:t>ii)</w:t>
            </w:r>
            <w:r w:rsidRPr="003F486D">
              <w:tab/>
              <w:t>Verwendung durch Verbandsmitglieder beim Verfassen von Prüfungsrichtlinien einzelner Behörden.</w:t>
            </w:r>
          </w:p>
        </w:tc>
      </w:tr>
      <w:tr w:rsidR="008134A5" w:rsidRPr="006B70B0" w:rsidTr="008134A5">
        <w:trPr>
          <w:cantSplit/>
        </w:trPr>
        <w:tc>
          <w:tcPr>
            <w:tcW w:w="4643" w:type="dxa"/>
            <w:tcBorders>
              <w:top w:val="single" w:sz="4" w:space="0" w:color="000000"/>
              <w:left w:val="single" w:sz="4" w:space="0" w:color="000000"/>
              <w:bottom w:val="single" w:sz="4" w:space="0" w:color="000000"/>
              <w:right w:val="single" w:sz="4" w:space="0" w:color="000000"/>
            </w:tcBorders>
          </w:tcPr>
          <w:p w:rsidR="008134A5" w:rsidRPr="003F486D" w:rsidRDefault="008134A5" w:rsidP="008134A5">
            <w:pPr>
              <w:ind w:left="397" w:hanging="397"/>
              <w:jc w:val="left"/>
              <w:rPr>
                <w:color w:val="000000"/>
              </w:rPr>
            </w:pPr>
            <w:r w:rsidRPr="003F486D">
              <w:rPr>
                <w:color w:val="000000"/>
              </w:rPr>
              <w:t>4.</w:t>
            </w:r>
            <w:r w:rsidRPr="003F486D">
              <w:tab/>
            </w:r>
            <w:r w:rsidRPr="003F486D">
              <w:rPr>
                <w:color w:val="000000"/>
              </w:rPr>
              <w:t>Zusammenarbeit bei der DUS-Prüfung</w:t>
            </w:r>
          </w:p>
        </w:tc>
        <w:tc>
          <w:tcPr>
            <w:tcW w:w="5246" w:type="dxa"/>
            <w:tcBorders>
              <w:top w:val="single" w:sz="4" w:space="0" w:color="000000"/>
              <w:left w:val="single" w:sz="4" w:space="0" w:color="000000"/>
              <w:bottom w:val="single" w:sz="4" w:space="0" w:color="000000"/>
              <w:right w:val="single" w:sz="4" w:space="0" w:color="000000"/>
            </w:tcBorders>
          </w:tcPr>
          <w:p w:rsidR="008134A5" w:rsidRPr="003F486D" w:rsidRDefault="008134A5" w:rsidP="008134A5">
            <w:pPr>
              <w:spacing w:after="60"/>
              <w:ind w:left="397" w:hanging="397"/>
              <w:jc w:val="left"/>
              <w:rPr>
                <w:color w:val="000000"/>
              </w:rPr>
            </w:pPr>
            <w:r w:rsidRPr="003F486D">
              <w:t>a)</w:t>
            </w:r>
            <w:r w:rsidRPr="003F486D">
              <w:tab/>
              <w:t>in der GENIE-Datenbank enthaltene Gattungen und Arten, für die Verbandsmitglieder über praktische Erfahrung verfügen;</w:t>
            </w:r>
          </w:p>
          <w:p w:rsidR="008134A5" w:rsidRPr="003F486D" w:rsidRDefault="008134A5" w:rsidP="008134A5">
            <w:pPr>
              <w:ind w:left="397" w:hanging="397"/>
              <w:jc w:val="left"/>
              <w:rPr>
                <w:color w:val="000000"/>
              </w:rPr>
            </w:pPr>
            <w:r w:rsidRPr="003F486D">
              <w:t>b)</w:t>
            </w:r>
            <w:r w:rsidRPr="003F486D">
              <w:tab/>
            </w:r>
            <w:r>
              <w:t>i</w:t>
            </w:r>
            <w:r w:rsidRPr="003F486D">
              <w:t>n der GENIE Datenbank enthaltene Gattungen und</w:t>
            </w:r>
            <w:r>
              <w:t xml:space="preserve"> </w:t>
            </w:r>
            <w:r w:rsidRPr="003F486D">
              <w:t>Arten, für die Verbandsmitglieder bei der DUS-Prüfung zusammenarbeiten.</w:t>
            </w:r>
          </w:p>
        </w:tc>
      </w:tr>
      <w:tr w:rsidR="008134A5" w:rsidRPr="006B70B0" w:rsidTr="008134A5">
        <w:trPr>
          <w:cantSplit/>
        </w:trPr>
        <w:tc>
          <w:tcPr>
            <w:tcW w:w="4643" w:type="dxa"/>
            <w:tcBorders>
              <w:top w:val="single" w:sz="4" w:space="0" w:color="000000"/>
              <w:left w:val="single" w:sz="4" w:space="0" w:color="000000"/>
              <w:bottom w:val="single" w:sz="4" w:space="0" w:color="000000"/>
              <w:right w:val="single" w:sz="4" w:space="0" w:color="000000"/>
            </w:tcBorders>
          </w:tcPr>
          <w:p w:rsidR="008134A5" w:rsidRPr="003F486D" w:rsidRDefault="008134A5" w:rsidP="008134A5">
            <w:pPr>
              <w:ind w:left="397" w:hanging="397"/>
              <w:jc w:val="left"/>
              <w:rPr>
                <w:color w:val="000000"/>
              </w:rPr>
            </w:pPr>
            <w:r w:rsidRPr="003F486D">
              <w:rPr>
                <w:color w:val="000000"/>
              </w:rPr>
              <w:t>5.</w:t>
            </w:r>
            <w:r w:rsidRPr="003F486D">
              <w:tab/>
            </w:r>
            <w:r w:rsidRPr="003F486D">
              <w:rPr>
                <w:color w:val="000000"/>
              </w:rPr>
              <w:t>Zusammenarbeit bei der Prüfung von Sortenbezeichnungen</w:t>
            </w:r>
          </w:p>
        </w:tc>
        <w:tc>
          <w:tcPr>
            <w:tcW w:w="5246" w:type="dxa"/>
            <w:tcBorders>
              <w:top w:val="single" w:sz="4" w:space="0" w:color="000000"/>
              <w:left w:val="single" w:sz="4" w:space="0" w:color="000000"/>
              <w:bottom w:val="single" w:sz="4" w:space="0" w:color="000000"/>
              <w:right w:val="single" w:sz="4" w:space="0" w:color="000000"/>
            </w:tcBorders>
          </w:tcPr>
          <w:p w:rsidR="008134A5" w:rsidRPr="003F486D" w:rsidRDefault="008134A5" w:rsidP="008134A5">
            <w:pPr>
              <w:spacing w:after="40"/>
              <w:ind w:left="397" w:hanging="397"/>
              <w:jc w:val="left"/>
              <w:rPr>
                <w:color w:val="000000"/>
              </w:rPr>
            </w:pPr>
            <w:r w:rsidRPr="003F486D">
              <w:rPr>
                <w:color w:val="000000"/>
              </w:rPr>
              <w:t>a)</w:t>
            </w:r>
            <w:r w:rsidRPr="003F486D">
              <w:tab/>
              <w:t>Menge und Qualität der in der</w:t>
            </w:r>
            <w:r w:rsidRPr="003F486D">
              <w:rPr>
                <w:color w:val="000000"/>
              </w:rPr>
              <w:t xml:space="preserve"> PLUTO-Datenbank enthaltenen Daten:</w:t>
            </w:r>
          </w:p>
          <w:p w:rsidR="008134A5" w:rsidRPr="003F486D" w:rsidRDefault="008134A5" w:rsidP="008134A5">
            <w:pPr>
              <w:spacing w:after="40"/>
              <w:ind w:left="794" w:hanging="397"/>
              <w:jc w:val="left"/>
              <w:rPr>
                <w:color w:val="000000"/>
              </w:rPr>
            </w:pPr>
            <w:r w:rsidRPr="003F486D">
              <w:rPr>
                <w:color w:val="000000"/>
              </w:rPr>
              <w:t>i)</w:t>
            </w:r>
            <w:r w:rsidRPr="003F486D">
              <w:tab/>
              <w:t>Anzahl der Beitragsleistenden</w:t>
            </w:r>
          </w:p>
          <w:p w:rsidR="008134A5" w:rsidRPr="003F486D" w:rsidRDefault="008134A5" w:rsidP="008134A5">
            <w:pPr>
              <w:spacing w:after="40"/>
              <w:ind w:left="794" w:hanging="397"/>
              <w:jc w:val="left"/>
              <w:rPr>
                <w:color w:val="000000"/>
              </w:rPr>
            </w:pPr>
            <w:r w:rsidRPr="003F486D">
              <w:rPr>
                <w:color w:val="000000"/>
              </w:rPr>
              <w:t>ii)</w:t>
            </w:r>
            <w:r w:rsidRPr="003F486D">
              <w:tab/>
              <w:t>Anzahl neuer Beiträge</w:t>
            </w:r>
            <w:r w:rsidRPr="003F486D">
              <w:rPr>
                <w:color w:val="000000"/>
              </w:rPr>
              <w:t xml:space="preserve"> </w:t>
            </w:r>
          </w:p>
          <w:p w:rsidR="008134A5" w:rsidRPr="003F486D" w:rsidRDefault="008134A5" w:rsidP="008134A5">
            <w:pPr>
              <w:spacing w:after="40"/>
              <w:ind w:left="794" w:hanging="397"/>
              <w:jc w:val="left"/>
              <w:rPr>
                <w:color w:val="000000"/>
              </w:rPr>
            </w:pPr>
            <w:r w:rsidRPr="003F486D">
              <w:rPr>
                <w:color w:val="000000"/>
              </w:rPr>
              <w:t>iii)</w:t>
            </w:r>
            <w:r w:rsidRPr="003F486D">
              <w:tab/>
              <w:t>Anzahl der Einträge</w:t>
            </w:r>
          </w:p>
          <w:p w:rsidR="008134A5" w:rsidRPr="003F486D" w:rsidRDefault="008134A5" w:rsidP="008134A5">
            <w:pPr>
              <w:spacing w:after="40"/>
              <w:ind w:left="794" w:hanging="397"/>
              <w:jc w:val="left"/>
              <w:rPr>
                <w:color w:val="000000"/>
              </w:rPr>
            </w:pPr>
            <w:r w:rsidRPr="003F486D">
              <w:rPr>
                <w:color w:val="000000"/>
              </w:rPr>
              <w:t>iv)</w:t>
            </w:r>
            <w:r w:rsidRPr="003F486D">
              <w:tab/>
              <w:t>Anzahl der eingereichten obligatorischen Punkte</w:t>
            </w:r>
          </w:p>
          <w:p w:rsidR="008134A5" w:rsidRPr="003F486D" w:rsidRDefault="008134A5" w:rsidP="008134A5">
            <w:pPr>
              <w:spacing w:after="40"/>
              <w:ind w:left="794" w:hanging="397"/>
              <w:jc w:val="left"/>
              <w:rPr>
                <w:color w:val="000000"/>
              </w:rPr>
            </w:pPr>
            <w:r w:rsidRPr="003F486D">
              <w:rPr>
                <w:color w:val="000000"/>
              </w:rPr>
              <w:t>iv)</w:t>
            </w:r>
            <w:r w:rsidRPr="003F486D">
              <w:tab/>
              <w:t>Anzahl der eingereichten nicht obligatorischen Punkte</w:t>
            </w:r>
          </w:p>
          <w:p w:rsidR="008134A5" w:rsidRPr="003F486D" w:rsidRDefault="008134A5" w:rsidP="008134A5">
            <w:pPr>
              <w:spacing w:after="60"/>
              <w:ind w:left="794" w:hanging="397"/>
              <w:jc w:val="left"/>
              <w:rPr>
                <w:color w:val="000000"/>
              </w:rPr>
            </w:pPr>
            <w:r w:rsidRPr="003F486D">
              <w:rPr>
                <w:color w:val="000000"/>
              </w:rPr>
              <w:t>vi)</w:t>
            </w:r>
            <w:r w:rsidRPr="003F486D">
              <w:tab/>
              <w:t xml:space="preserve">jährliche Herausgabe </w:t>
            </w:r>
            <w:r w:rsidRPr="003F486D">
              <w:rPr>
                <w:color w:val="000000"/>
              </w:rPr>
              <w:t>einer CD-ROM-Version</w:t>
            </w:r>
          </w:p>
          <w:p w:rsidR="008134A5" w:rsidRPr="003F486D" w:rsidRDefault="008134A5" w:rsidP="008134A5">
            <w:pPr>
              <w:spacing w:after="40"/>
              <w:ind w:left="397" w:hanging="397"/>
              <w:jc w:val="left"/>
              <w:rPr>
                <w:color w:val="000000"/>
              </w:rPr>
            </w:pPr>
            <w:r w:rsidRPr="003F486D">
              <w:rPr>
                <w:color w:val="000000"/>
              </w:rPr>
              <w:t>b)</w:t>
            </w:r>
            <w:r>
              <w:t xml:space="preserve"> </w:t>
            </w:r>
            <w:r>
              <w:tab/>
            </w:r>
            <w:r w:rsidRPr="003F486D">
              <w:rPr>
                <w:color w:val="000000"/>
              </w:rPr>
              <w:t>Anzahl der PLUTO-Nutzer und Häufigkeit der</w:t>
            </w:r>
            <w:r>
              <w:rPr>
                <w:color w:val="000000"/>
              </w:rPr>
              <w:t xml:space="preserve"> </w:t>
            </w:r>
            <w:r w:rsidRPr="003F486D">
              <w:rPr>
                <w:color w:val="000000"/>
              </w:rPr>
              <w:t>Nutzung;</w:t>
            </w:r>
          </w:p>
          <w:p w:rsidR="008134A5" w:rsidRPr="003F486D" w:rsidRDefault="008134A5" w:rsidP="008134A5">
            <w:pPr>
              <w:ind w:left="397" w:hanging="397"/>
              <w:jc w:val="left"/>
              <w:rPr>
                <w:color w:val="000000"/>
              </w:rPr>
            </w:pPr>
            <w:r w:rsidRPr="003F486D">
              <w:rPr>
                <w:color w:val="000000"/>
              </w:rPr>
              <w:t>c)</w:t>
            </w:r>
            <w:r w:rsidRPr="003F486D">
              <w:tab/>
              <w:t>Entwicklung und Billigung eines UPOV-</w:t>
            </w:r>
            <w:r>
              <w:t>Suchinstruments</w:t>
            </w:r>
            <w:r w:rsidRPr="003F486D">
              <w:t xml:space="preserve"> für Ähnlichkeiten zum Zweck der Sortenbezeichnung </w:t>
            </w:r>
            <w:r>
              <w:t>zur</w:t>
            </w:r>
            <w:r w:rsidRPr="003F486D">
              <w:t xml:space="preserve"> Aufnahme in die PLUTO-Datenbank durch den Rat.</w:t>
            </w:r>
          </w:p>
        </w:tc>
      </w:tr>
      <w:tr w:rsidR="008134A5" w:rsidRPr="006B70B0" w:rsidTr="008134A5">
        <w:trPr>
          <w:cantSplit/>
        </w:trPr>
        <w:tc>
          <w:tcPr>
            <w:tcW w:w="4643" w:type="dxa"/>
            <w:tcBorders>
              <w:top w:val="single" w:sz="4" w:space="0" w:color="000000"/>
              <w:left w:val="single" w:sz="4" w:space="0" w:color="000000"/>
              <w:bottom w:val="single" w:sz="4" w:space="0" w:color="000000"/>
              <w:right w:val="single" w:sz="4" w:space="0" w:color="000000"/>
            </w:tcBorders>
          </w:tcPr>
          <w:p w:rsidR="008134A5" w:rsidRPr="003F486D" w:rsidRDefault="008134A5" w:rsidP="008134A5">
            <w:pPr>
              <w:ind w:left="397" w:hanging="397"/>
              <w:jc w:val="left"/>
              <w:rPr>
                <w:color w:val="000000"/>
              </w:rPr>
            </w:pPr>
            <w:r w:rsidRPr="003F486D">
              <w:rPr>
                <w:color w:val="000000"/>
              </w:rPr>
              <w:t>6.</w:t>
            </w:r>
            <w:r w:rsidRPr="003F486D">
              <w:rPr>
                <w:color w:val="000000"/>
              </w:rPr>
              <w:tab/>
              <w:t xml:space="preserve">Entwicklung </w:t>
            </w:r>
            <w:r>
              <w:rPr>
                <w:color w:val="000000"/>
              </w:rPr>
              <w:t>des</w:t>
            </w:r>
            <w:r w:rsidRPr="003F486D">
              <w:rPr>
                <w:color w:val="000000"/>
              </w:rPr>
              <w:t xml:space="preserve"> EAF </w:t>
            </w:r>
          </w:p>
        </w:tc>
        <w:tc>
          <w:tcPr>
            <w:tcW w:w="5246" w:type="dxa"/>
            <w:tcBorders>
              <w:top w:val="single" w:sz="4" w:space="0" w:color="000000"/>
              <w:left w:val="single" w:sz="4" w:space="0" w:color="000000"/>
              <w:bottom w:val="single" w:sz="4" w:space="0" w:color="000000"/>
              <w:right w:val="single" w:sz="4" w:space="0" w:color="000000"/>
            </w:tcBorders>
          </w:tcPr>
          <w:p w:rsidR="008134A5" w:rsidRPr="003F486D" w:rsidRDefault="008134A5" w:rsidP="008134A5">
            <w:pPr>
              <w:keepNext/>
              <w:spacing w:after="40"/>
              <w:ind w:left="397" w:hanging="397"/>
              <w:jc w:val="left"/>
              <w:rPr>
                <w:rFonts w:cs="Arial"/>
                <w:color w:val="000000"/>
              </w:rPr>
            </w:pPr>
            <w:r w:rsidRPr="003F486D">
              <w:rPr>
                <w:rFonts w:cs="Arial"/>
                <w:color w:val="000000"/>
              </w:rPr>
              <w:t>a)</w:t>
            </w:r>
            <w:r w:rsidRPr="003F486D">
              <w:rPr>
                <w:rFonts w:cs="Arial"/>
                <w:color w:val="000000"/>
              </w:rPr>
              <w:tab/>
            </w:r>
            <w:r>
              <w:rPr>
                <w:rFonts w:cs="Arial"/>
                <w:color w:val="000000"/>
              </w:rPr>
              <w:t>Anzahl von</w:t>
            </w:r>
            <w:r w:rsidRPr="003F486D">
              <w:rPr>
                <w:rFonts w:cs="Arial"/>
                <w:color w:val="000000"/>
              </w:rPr>
              <w:t xml:space="preserve"> UPOV-Mitgliedern</w:t>
            </w:r>
            <w:r>
              <w:rPr>
                <w:rFonts w:cs="Arial"/>
                <w:color w:val="000000"/>
              </w:rPr>
              <w:t xml:space="preserve">, die am </w:t>
            </w:r>
            <w:r w:rsidRPr="003F486D">
              <w:rPr>
                <w:rFonts w:cs="Arial"/>
                <w:color w:val="000000"/>
              </w:rPr>
              <w:t>EAF</w:t>
            </w:r>
            <w:r>
              <w:rPr>
                <w:rFonts w:cs="Arial"/>
                <w:color w:val="000000"/>
              </w:rPr>
              <w:t xml:space="preserve"> mitwirken</w:t>
            </w:r>
            <w:r w:rsidRPr="003F486D">
              <w:rPr>
                <w:rFonts w:cs="Arial"/>
                <w:color w:val="000000"/>
              </w:rPr>
              <w:t>;</w:t>
            </w:r>
          </w:p>
          <w:p w:rsidR="008134A5" w:rsidRPr="003F486D" w:rsidRDefault="008134A5" w:rsidP="008134A5">
            <w:pPr>
              <w:keepNext/>
              <w:spacing w:after="40"/>
              <w:ind w:left="397" w:hanging="397"/>
              <w:jc w:val="left"/>
              <w:rPr>
                <w:rFonts w:cs="Arial"/>
                <w:color w:val="000000"/>
              </w:rPr>
            </w:pPr>
            <w:r w:rsidRPr="003F486D">
              <w:rPr>
                <w:rFonts w:cs="Arial"/>
                <w:color w:val="000000"/>
              </w:rPr>
              <w:t>(b)</w:t>
            </w:r>
            <w:r w:rsidRPr="003F486D">
              <w:rPr>
                <w:rFonts w:cs="Arial"/>
                <w:color w:val="000000"/>
              </w:rPr>
              <w:tab/>
              <w:t xml:space="preserve">Anzahl von </w:t>
            </w:r>
            <w:r>
              <w:rPr>
                <w:rFonts w:cs="Arial"/>
                <w:color w:val="000000"/>
              </w:rPr>
              <w:t>vom EAF erfassten Pflanzen</w:t>
            </w:r>
            <w:r w:rsidRPr="003F486D">
              <w:rPr>
                <w:rFonts w:cs="Arial"/>
                <w:color w:val="000000"/>
              </w:rPr>
              <w:t>/</w:t>
            </w:r>
            <w:r>
              <w:rPr>
                <w:rFonts w:cs="Arial"/>
                <w:color w:val="000000"/>
              </w:rPr>
              <w:t>Arten</w:t>
            </w:r>
            <w:r w:rsidRPr="003F486D">
              <w:rPr>
                <w:rFonts w:cs="Arial"/>
                <w:color w:val="000000"/>
              </w:rPr>
              <w:t xml:space="preserve">; </w:t>
            </w:r>
          </w:p>
          <w:p w:rsidR="008134A5" w:rsidRPr="003F486D" w:rsidRDefault="008134A5" w:rsidP="008134A5">
            <w:pPr>
              <w:ind w:left="397" w:hanging="397"/>
              <w:jc w:val="left"/>
              <w:rPr>
                <w:color w:val="000000"/>
              </w:rPr>
            </w:pPr>
            <w:r w:rsidRPr="003F486D">
              <w:rPr>
                <w:rFonts w:cs="Arial"/>
                <w:color w:val="000000"/>
              </w:rPr>
              <w:t>(c)</w:t>
            </w:r>
            <w:r w:rsidRPr="003F486D">
              <w:rPr>
                <w:rFonts w:cs="Arial"/>
                <w:color w:val="000000"/>
              </w:rPr>
              <w:tab/>
              <w:t xml:space="preserve">Anzahl von </w:t>
            </w:r>
            <w:r>
              <w:rPr>
                <w:rFonts w:cs="Arial"/>
                <w:color w:val="000000"/>
              </w:rPr>
              <w:t>über das EAF eingereichten Anträgen</w:t>
            </w:r>
            <w:r w:rsidRPr="003F486D">
              <w:rPr>
                <w:rFonts w:cs="Arial"/>
                <w:color w:val="000000"/>
              </w:rPr>
              <w:t>.</w:t>
            </w:r>
          </w:p>
        </w:tc>
      </w:tr>
    </w:tbl>
    <w:p w:rsidR="008134A5" w:rsidRPr="003F486D" w:rsidRDefault="008134A5" w:rsidP="008134A5">
      <w:pPr>
        <w:jc w:val="left"/>
        <w:rPr>
          <w:b/>
        </w:rPr>
      </w:pPr>
      <w:r w:rsidRPr="003F486D">
        <w:rPr>
          <w:b/>
        </w:rPr>
        <w:br w:type="page"/>
      </w:r>
    </w:p>
    <w:p w:rsidR="008134A5" w:rsidRPr="003F486D" w:rsidRDefault="008134A5" w:rsidP="008134A5">
      <w:pPr>
        <w:keepNext/>
        <w:tabs>
          <w:tab w:val="left" w:pos="567"/>
        </w:tabs>
        <w:ind w:left="2835" w:hanging="2835"/>
        <w:rPr>
          <w:b/>
        </w:rPr>
      </w:pPr>
      <w:r w:rsidRPr="003F486D">
        <w:rPr>
          <w:b/>
        </w:rPr>
        <w:t>2.3</w:t>
      </w:r>
      <w:r w:rsidRPr="003F486D">
        <w:tab/>
      </w:r>
      <w:r w:rsidRPr="003F486D">
        <w:rPr>
          <w:b/>
          <w:u w:val="single"/>
        </w:rPr>
        <w:t>Unterprogramm UV.3</w:t>
      </w:r>
      <w:r w:rsidRPr="003F486D">
        <w:rPr>
          <w:b/>
        </w:rPr>
        <w:t>:</w:t>
      </w:r>
      <w:r w:rsidRPr="003F486D">
        <w:tab/>
      </w:r>
      <w:r w:rsidRPr="003F486D">
        <w:rPr>
          <w:b/>
          <w:u w:val="single"/>
        </w:rPr>
        <w:t>Unterstützung bei der Einführung und Umsetzung des UPOV-Systems</w:t>
      </w:r>
    </w:p>
    <w:p w:rsidR="008134A5" w:rsidRPr="003F486D" w:rsidRDefault="008134A5" w:rsidP="008134A5"/>
    <w:p w:rsidR="008134A5" w:rsidRPr="003F486D" w:rsidRDefault="008134A5" w:rsidP="008134A5">
      <w:pPr>
        <w:keepNext/>
        <w:rPr>
          <w:b/>
        </w:rPr>
      </w:pPr>
      <w:r w:rsidRPr="003F486D">
        <w:rPr>
          <w:b/>
        </w:rPr>
        <w:t>2.3.1</w:t>
      </w:r>
      <w:r w:rsidRPr="003F486D">
        <w:tab/>
      </w:r>
      <w:r w:rsidRPr="003F486D">
        <w:rPr>
          <w:b/>
        </w:rPr>
        <w:t>Ziele</w:t>
      </w:r>
    </w:p>
    <w:p w:rsidR="008134A5" w:rsidRPr="003F486D" w:rsidRDefault="008134A5" w:rsidP="008134A5">
      <w:pPr>
        <w:keepNext/>
      </w:pPr>
    </w:p>
    <w:p w:rsidR="008134A5" w:rsidRPr="003F486D" w:rsidRDefault="008134A5" w:rsidP="008134A5">
      <w:r w:rsidRPr="003F486D">
        <w:tab/>
        <w:t>a)</w:t>
      </w:r>
      <w:r w:rsidRPr="003F486D">
        <w:tab/>
        <w:t>Sensibilisierung für die Bedeutung von Sortenschutz nach dem UPOV-Übereinkommen.</w:t>
      </w:r>
    </w:p>
    <w:p w:rsidR="008134A5" w:rsidRPr="003F486D" w:rsidRDefault="008134A5" w:rsidP="008134A5"/>
    <w:p w:rsidR="008134A5" w:rsidRPr="003F486D" w:rsidRDefault="008134A5" w:rsidP="008134A5">
      <w:r w:rsidRPr="003F486D">
        <w:tab/>
        <w:t>b)</w:t>
      </w:r>
      <w:r w:rsidRPr="003F486D">
        <w:tab/>
        <w:t>Unterstützung von Staaten und Organisationen, insbesondere der Regierungen von Entwicklungsländern und von Ländern im Übergang zur Marktwirtschaft, bei der Ausarbeitung von Rechtsvorschriften, die der Akte von 1991 des UPOV-Übereinkommens entsprechen.</w:t>
      </w:r>
    </w:p>
    <w:p w:rsidR="008134A5" w:rsidRPr="003F486D" w:rsidRDefault="008134A5" w:rsidP="008134A5"/>
    <w:p w:rsidR="008134A5" w:rsidRPr="003F486D" w:rsidRDefault="008134A5" w:rsidP="008134A5">
      <w:r w:rsidRPr="003F486D">
        <w:tab/>
        <w:t>c)</w:t>
      </w:r>
      <w:r w:rsidRPr="003F486D">
        <w:tab/>
        <w:t>Unterstützung von Staaten und Organisationen beim Beitritt zur Akte von 1991 des UPOV-Übereinkommens.</w:t>
      </w:r>
    </w:p>
    <w:p w:rsidR="008134A5" w:rsidRPr="003F486D" w:rsidRDefault="008134A5" w:rsidP="008134A5"/>
    <w:p w:rsidR="008134A5" w:rsidRPr="003F486D" w:rsidRDefault="008134A5" w:rsidP="008134A5">
      <w:r w:rsidRPr="003F486D">
        <w:tab/>
        <w:t>d)</w:t>
      </w:r>
      <w:r w:rsidRPr="003F486D">
        <w:tab/>
        <w:t>Unterstützung von Staaten und Organisationen bei der Umsetzung wirksamer Sortenschutzsysteme nach dem UPOV-Übereinkommen.</w:t>
      </w:r>
    </w:p>
    <w:p w:rsidR="008134A5" w:rsidRPr="003F486D" w:rsidRDefault="008134A5" w:rsidP="008134A5">
      <w:pPr>
        <w:jc w:val="left"/>
      </w:pPr>
    </w:p>
    <w:p w:rsidR="008134A5" w:rsidRPr="003F486D" w:rsidRDefault="008134A5" w:rsidP="008134A5">
      <w:pPr>
        <w:jc w:val="left"/>
      </w:pPr>
    </w:p>
    <w:p w:rsidR="008134A5" w:rsidRPr="003F486D" w:rsidRDefault="008134A5" w:rsidP="008134A5">
      <w:pPr>
        <w:tabs>
          <w:tab w:val="left" w:pos="567"/>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b/>
        </w:rPr>
      </w:pPr>
      <w:r w:rsidRPr="003F486D">
        <w:rPr>
          <w:b/>
        </w:rPr>
        <w:t>2.3.2</w:t>
      </w:r>
      <w:r w:rsidRPr="003F486D">
        <w:tab/>
      </w:r>
      <w:r w:rsidRPr="003F486D">
        <w:rPr>
          <w:b/>
        </w:rPr>
        <w:t>Hintergrund</w:t>
      </w:r>
    </w:p>
    <w:p w:rsidR="008134A5" w:rsidRPr="003F486D" w:rsidRDefault="008134A5" w:rsidP="008134A5"/>
    <w:p w:rsidR="008134A5" w:rsidRPr="003F486D" w:rsidRDefault="008134A5" w:rsidP="008134A5">
      <w:pPr>
        <w:tabs>
          <w:tab w:val="left" w:pos="851"/>
        </w:tabs>
        <w:rPr>
          <w:color w:val="000000" w:themeColor="text1"/>
          <w:u w:val="single"/>
        </w:rPr>
      </w:pPr>
      <w:r w:rsidRPr="003F486D">
        <w:rPr>
          <w:color w:val="000000" w:themeColor="text1"/>
          <w:u w:val="single"/>
        </w:rPr>
        <w:t>Einleitung</w:t>
      </w:r>
    </w:p>
    <w:p w:rsidR="008134A5" w:rsidRPr="003F486D" w:rsidRDefault="008134A5" w:rsidP="008134A5">
      <w:pPr>
        <w:tabs>
          <w:tab w:val="left" w:pos="851"/>
        </w:tabs>
        <w:rPr>
          <w:color w:val="000000" w:themeColor="text1"/>
        </w:rPr>
      </w:pPr>
    </w:p>
    <w:p w:rsidR="008134A5" w:rsidRPr="003F486D" w:rsidRDefault="008134A5" w:rsidP="008134A5">
      <w:pPr>
        <w:rPr>
          <w:color w:val="000000" w:themeColor="text1"/>
        </w:rPr>
      </w:pPr>
      <w:r w:rsidRPr="003F486D">
        <w:rPr>
          <w:color w:val="000000" w:themeColor="text1"/>
        </w:rPr>
        <w:t>2.3.2.1</w:t>
      </w:r>
      <w:r w:rsidRPr="003F486D">
        <w:tab/>
        <w:t xml:space="preserve">Dieses Unterprogramm </w:t>
      </w:r>
      <w:proofErr w:type="spellStart"/>
      <w:r w:rsidRPr="003F486D">
        <w:t>umfaßt</w:t>
      </w:r>
      <w:proofErr w:type="spellEnd"/>
      <w:r w:rsidRPr="003F486D">
        <w:t xml:space="preserve"> die geleistete Unterstützung auf Anfragen von Verbandsmitgliedern und potentiellen Verbandsmitgliedern.</w:t>
      </w:r>
      <w:r w:rsidRPr="003F486D">
        <w:rPr>
          <w:color w:val="000000" w:themeColor="text1"/>
        </w:rPr>
        <w:t xml:space="preserve"> Die Befriedigung der Nachfrage nach Unterstützung bei der Einführung und Umsetzung des UPOV-Systems im Rahmen der verfügbaren Ressourcen hängt von der Nutzung von Fernlehrkursen, Schulung der Ausbilder, dem Einräumen hoher Priorität für Unterstützung durch das Verbandsbüro und der Verwendung externer Ressourcen für Verwaltung, Schulung und Unterstützung gemäß den verfügbaren finanziellen Mitteln ab. Dieses Unterprogramm wird über den regulären Etat finanziert, doch außeretatmäßige Fonds und Sachleistungen stellen einen wesentlichen Anteil der für Unterstützung aufgewendeten Mittel dar. Um die verfügbaren Mittel so wirksam wie möglich zu verwenden, wird das Verbandsbüro seinen Tätigkeiten auch weiterhin Schwerpunkt</w:t>
      </w:r>
      <w:r>
        <w:rPr>
          <w:color w:val="000000" w:themeColor="text1"/>
        </w:rPr>
        <w:t>e</w:t>
      </w:r>
      <w:r w:rsidRPr="003F486D">
        <w:rPr>
          <w:color w:val="000000" w:themeColor="text1"/>
        </w:rPr>
        <w:t xml:space="preserve"> einräumen und weiterhin Synergien mit den Verbandsmitgliedern und anderen Partnern für seine Tätigkeiten untersuchen.</w:t>
      </w:r>
      <w:r>
        <w:rPr>
          <w:color w:val="000000" w:themeColor="text1"/>
        </w:rPr>
        <w:t xml:space="preserve"> </w:t>
      </w:r>
    </w:p>
    <w:p w:rsidR="008134A5" w:rsidRPr="003F486D" w:rsidRDefault="008134A5" w:rsidP="008134A5"/>
    <w:p w:rsidR="008134A5" w:rsidRPr="003F486D" w:rsidRDefault="008134A5" w:rsidP="008134A5">
      <w:pPr>
        <w:tabs>
          <w:tab w:val="left" w:pos="851"/>
        </w:tabs>
        <w:rPr>
          <w:color w:val="000000" w:themeColor="text1"/>
        </w:rPr>
      </w:pPr>
      <w:r w:rsidRPr="003F486D">
        <w:rPr>
          <w:color w:val="000000" w:themeColor="text1"/>
        </w:rPr>
        <w:t>2.3.2.2</w:t>
      </w:r>
      <w:r>
        <w:rPr>
          <w:color w:val="FF0000"/>
        </w:rPr>
        <w:tab/>
      </w:r>
      <w:r w:rsidRPr="003F486D">
        <w:t>Der Bereitstellung von Unterstützung durch das Verbandsbüro wird folgende Priorität eingeräumt:</w:t>
      </w:r>
    </w:p>
    <w:p w:rsidR="008134A5" w:rsidRPr="003F486D" w:rsidRDefault="008134A5" w:rsidP="008134A5">
      <w:pPr>
        <w:rPr>
          <w:color w:val="000000" w:themeColor="text1"/>
        </w:rPr>
      </w:pPr>
    </w:p>
    <w:p w:rsidR="008134A5" w:rsidRPr="003F486D" w:rsidRDefault="008134A5" w:rsidP="008134A5">
      <w:pPr>
        <w:spacing w:after="120"/>
        <w:ind w:left="567"/>
        <w:rPr>
          <w:color w:val="000000" w:themeColor="text1"/>
        </w:rPr>
      </w:pPr>
      <w:r w:rsidRPr="003F486D">
        <w:rPr>
          <w:color w:val="000000" w:themeColor="text1"/>
        </w:rPr>
        <w:t>i)</w:t>
      </w:r>
      <w:r w:rsidRPr="003F486D">
        <w:tab/>
        <w:t>Unterstützung für bestehende Verbandsmitglieder;</w:t>
      </w:r>
    </w:p>
    <w:p w:rsidR="008134A5" w:rsidRPr="003F486D" w:rsidRDefault="008134A5" w:rsidP="008134A5">
      <w:pPr>
        <w:spacing w:after="120"/>
        <w:ind w:left="567"/>
        <w:rPr>
          <w:color w:val="000000" w:themeColor="text1"/>
        </w:rPr>
      </w:pPr>
      <w:r w:rsidRPr="003F486D">
        <w:rPr>
          <w:color w:val="000000" w:themeColor="text1"/>
        </w:rPr>
        <w:t>ii)</w:t>
      </w:r>
      <w:r w:rsidRPr="003F486D">
        <w:tab/>
        <w:t>Unterstützung von Staaten und bestimmten Organisationen, die nicht Mitglieder des Verbandes sind, insbesondere der Regierungen der Entwicklungsländer und der Länder im Übergang zur Marktwirtschaft, bei der Ausarbeitung von Rechtsvorschriften, die der Akte von 1991 des UPOV Übereinkommens entsprechen, und beim Beitritt zum UPOV-Übereinkommen; und</w:t>
      </w:r>
    </w:p>
    <w:p w:rsidR="008134A5" w:rsidRPr="003F486D" w:rsidRDefault="008134A5" w:rsidP="008134A5">
      <w:pPr>
        <w:tabs>
          <w:tab w:val="left" w:pos="567"/>
        </w:tabs>
        <w:ind w:left="567"/>
        <w:rPr>
          <w:color w:val="000000" w:themeColor="text1"/>
        </w:rPr>
      </w:pPr>
      <w:r w:rsidRPr="003F486D">
        <w:rPr>
          <w:color w:val="000000" w:themeColor="text1"/>
        </w:rPr>
        <w:t>iii)</w:t>
      </w:r>
      <w:r w:rsidRPr="003F486D">
        <w:tab/>
        <w:t>Unterstützung von Staaten und bestimmten Organisationen, die nicht Mitglieder des Verbandes sind, bei der Umsetzung von Rechtsvorschriften, die eine positive Entscheidung des Rates erhalten haben, gemäß ihrer Bindung bezüglich des Beitritts zum UPOV-Übereinkommen.</w:t>
      </w:r>
      <w:r>
        <w:rPr>
          <w:color w:val="000000" w:themeColor="text1"/>
        </w:rPr>
        <w:t xml:space="preserve"> </w:t>
      </w:r>
    </w:p>
    <w:p w:rsidR="008134A5" w:rsidRPr="003F486D" w:rsidRDefault="008134A5" w:rsidP="008134A5"/>
    <w:p w:rsidR="008134A5" w:rsidRPr="003F486D" w:rsidRDefault="008134A5" w:rsidP="008134A5"/>
    <w:p w:rsidR="008134A5" w:rsidRPr="003F486D" w:rsidRDefault="008134A5" w:rsidP="008134A5">
      <w:pPr>
        <w:rPr>
          <w:u w:val="single"/>
        </w:rPr>
      </w:pPr>
      <w:r w:rsidRPr="003F486D">
        <w:rPr>
          <w:u w:val="single"/>
        </w:rPr>
        <w:t>Mittel</w:t>
      </w:r>
    </w:p>
    <w:p w:rsidR="008134A5" w:rsidRPr="003F486D" w:rsidRDefault="008134A5" w:rsidP="008134A5"/>
    <w:p w:rsidR="008134A5" w:rsidRPr="003F486D" w:rsidRDefault="008134A5" w:rsidP="008134A5">
      <w:pPr>
        <w:keepNext/>
        <w:rPr>
          <w:color w:val="000000" w:themeColor="text1"/>
        </w:rPr>
      </w:pPr>
      <w:r w:rsidRPr="003F486D">
        <w:rPr>
          <w:color w:val="000000" w:themeColor="text1"/>
        </w:rPr>
        <w:t>2.3.2.3</w:t>
      </w:r>
      <w:r w:rsidRPr="003F486D">
        <w:tab/>
        <w:t>Ein bedeutendes Merkmal dieses Unterprogramms besteht darin, einen Rahmen zu schaffen, in dem das Verbandsbüro seine Ressourcen mit Finanzmitteln und Sachleistungen, die von Verbandsmitgliedern und sonstigen Organisationen bereitgestellt werden, effizient ergänzen kann.</w:t>
      </w:r>
      <w:r>
        <w:rPr>
          <w:color w:val="000000" w:themeColor="text1"/>
        </w:rPr>
        <w:t xml:space="preserve"> </w:t>
      </w:r>
      <w:r w:rsidRPr="003F486D">
        <w:rPr>
          <w:color w:val="000000" w:themeColor="text1"/>
        </w:rPr>
        <w:t xml:space="preserve">Allgemein </w:t>
      </w:r>
      <w:proofErr w:type="spellStart"/>
      <w:r w:rsidRPr="003F486D">
        <w:rPr>
          <w:color w:val="000000" w:themeColor="text1"/>
        </w:rPr>
        <w:t>läßt</w:t>
      </w:r>
      <w:proofErr w:type="spellEnd"/>
      <w:r w:rsidRPr="003F486D">
        <w:rPr>
          <w:color w:val="000000" w:themeColor="text1"/>
        </w:rPr>
        <w:t xml:space="preserve"> sich diese Unterstützung wie folgt gliedern:</w:t>
      </w:r>
    </w:p>
    <w:p w:rsidR="008134A5" w:rsidRPr="003F486D" w:rsidRDefault="008134A5" w:rsidP="008134A5">
      <w:pPr>
        <w:tabs>
          <w:tab w:val="left" w:pos="567"/>
        </w:tabs>
        <w:spacing w:line="360" w:lineRule="auto"/>
        <w:rPr>
          <w:color w:val="000000" w:themeColor="text1"/>
        </w:rPr>
      </w:pPr>
    </w:p>
    <w:p w:rsidR="008134A5" w:rsidRPr="003F486D" w:rsidRDefault="008134A5" w:rsidP="008134A5">
      <w:pPr>
        <w:keepNext/>
        <w:tabs>
          <w:tab w:val="left" w:pos="567"/>
        </w:tabs>
        <w:rPr>
          <w:i/>
          <w:color w:val="000000" w:themeColor="text1"/>
        </w:rPr>
      </w:pPr>
      <w:r w:rsidRPr="003F486D">
        <w:rPr>
          <w:i/>
          <w:color w:val="000000" w:themeColor="text1"/>
        </w:rPr>
        <w:t>Außeretatmäßige finanzielle Mittel</w:t>
      </w:r>
    </w:p>
    <w:p w:rsidR="008134A5" w:rsidRPr="003F486D" w:rsidRDefault="008134A5" w:rsidP="008134A5">
      <w:pPr>
        <w:keepNext/>
        <w:tabs>
          <w:tab w:val="left" w:pos="567"/>
        </w:tabs>
        <w:rPr>
          <w:color w:val="000000" w:themeColor="text1"/>
        </w:rPr>
      </w:pPr>
    </w:p>
    <w:p w:rsidR="008134A5" w:rsidRPr="003F486D" w:rsidRDefault="008134A5" w:rsidP="008134A5">
      <w:pPr>
        <w:spacing w:after="240"/>
        <w:rPr>
          <w:color w:val="000000" w:themeColor="text1"/>
        </w:rPr>
      </w:pPr>
      <w:r w:rsidRPr="003F486D">
        <w:rPr>
          <w:color w:val="000000" w:themeColor="text1"/>
        </w:rPr>
        <w:t>2.3.2.4</w:t>
      </w:r>
      <w:r w:rsidRPr="003F486D">
        <w:tab/>
        <w:t>Die UPOV zieht großen Nutzen aus zusätzlichen Finanzmitteln, die zum Beispiel in Form von Treuhandgeldern bereitgestellt werden.</w:t>
      </w:r>
      <w:r w:rsidRPr="003F486D">
        <w:rPr>
          <w:color w:val="000000" w:themeColor="text1"/>
        </w:rPr>
        <w:t xml:space="preserve"> Treuhandgelder sind freiwillige Finanzspenden von Verbandsmitgliedern an die UPOV und werden in der Regel zur Finanzierung eines zwischen dem Verbandsbüro und dem Gebermitglied vereinbarten spezifischen Tätigkeitsprogramms bereitgestellt.</w:t>
      </w:r>
      <w:r>
        <w:rPr>
          <w:color w:val="000000" w:themeColor="text1"/>
        </w:rPr>
        <w:t xml:space="preserve"> </w:t>
      </w:r>
      <w:r w:rsidRPr="003F486D">
        <w:rPr>
          <w:color w:val="000000" w:themeColor="text1"/>
        </w:rPr>
        <w:t xml:space="preserve">In der Erkenntnis, </w:t>
      </w:r>
      <w:proofErr w:type="spellStart"/>
      <w:r w:rsidRPr="003F486D">
        <w:rPr>
          <w:color w:val="000000" w:themeColor="text1"/>
        </w:rPr>
        <w:t>daß</w:t>
      </w:r>
      <w:proofErr w:type="spellEnd"/>
      <w:r w:rsidRPr="003F486D">
        <w:rPr>
          <w:color w:val="000000" w:themeColor="text1"/>
        </w:rPr>
        <w:t xml:space="preserve"> diese Treuhandgelder Personal und Ressourcen der UPOV bedingen, entwickeln das Verbandsbüro und das betreffende Verbandsmitglied gemeinsam ein Tätigkeitsprogramm im Einklang mit den vom Rat der UPOV festgelegten Grundsätzen und Prioritäten.</w:t>
      </w:r>
    </w:p>
    <w:tbl>
      <w:tblPr>
        <w:tblStyle w:val="TableGrid"/>
        <w:tblW w:w="0" w:type="auto"/>
        <w:tblInd w:w="675" w:type="dxa"/>
        <w:tblCellMar>
          <w:top w:w="57" w:type="dxa"/>
          <w:left w:w="57" w:type="dxa"/>
          <w:bottom w:w="28" w:type="dxa"/>
          <w:right w:w="57" w:type="dxa"/>
        </w:tblCellMar>
        <w:tblLook w:val="01E0" w:firstRow="1" w:lastRow="1" w:firstColumn="1" w:lastColumn="1" w:noHBand="0" w:noVBand="0"/>
      </w:tblPr>
      <w:tblGrid>
        <w:gridCol w:w="7746"/>
      </w:tblGrid>
      <w:tr w:rsidR="008134A5" w:rsidRPr="006B70B0" w:rsidTr="008134A5">
        <w:trPr>
          <w:cantSplit/>
        </w:trPr>
        <w:tc>
          <w:tcPr>
            <w:tcW w:w="7746" w:type="dxa"/>
          </w:tcPr>
          <w:p w:rsidR="008134A5" w:rsidRPr="003F486D" w:rsidRDefault="008134A5" w:rsidP="008134A5">
            <w:pPr>
              <w:tabs>
                <w:tab w:val="left" w:pos="567"/>
              </w:tabs>
              <w:rPr>
                <w:color w:val="000000" w:themeColor="text1"/>
              </w:rPr>
            </w:pPr>
            <w:r w:rsidRPr="003F486D">
              <w:rPr>
                <w:color w:val="000000" w:themeColor="text1"/>
              </w:rPr>
              <w:t>Beispiele</w:t>
            </w:r>
            <w:r w:rsidRPr="003F486D">
              <w:rPr>
                <w:rStyle w:val="FootnoteReference"/>
                <w:color w:val="000000" w:themeColor="text1"/>
              </w:rPr>
              <w:footnoteReference w:id="5"/>
            </w:r>
            <w:r w:rsidRPr="003F486D">
              <w:rPr>
                <w:color w:val="000000" w:themeColor="text1"/>
              </w:rPr>
              <w:t>:</w:t>
            </w:r>
          </w:p>
          <w:p w:rsidR="008134A5" w:rsidRPr="003F486D" w:rsidRDefault="008134A5" w:rsidP="008134A5">
            <w:pPr>
              <w:tabs>
                <w:tab w:val="left" w:pos="567"/>
              </w:tabs>
              <w:rPr>
                <w:color w:val="000000" w:themeColor="text1"/>
              </w:rPr>
            </w:pPr>
          </w:p>
          <w:p w:rsidR="008134A5" w:rsidRPr="003F486D" w:rsidRDefault="008134A5" w:rsidP="008134A5">
            <w:pPr>
              <w:numPr>
                <w:ilvl w:val="0"/>
                <w:numId w:val="9"/>
              </w:numPr>
              <w:tabs>
                <w:tab w:val="clear" w:pos="720"/>
                <w:tab w:val="left" w:pos="601"/>
              </w:tabs>
              <w:spacing w:after="120"/>
              <w:ind w:left="601" w:hanging="244"/>
              <w:rPr>
                <w:color w:val="000000" w:themeColor="text1"/>
              </w:rPr>
            </w:pPr>
            <w:r w:rsidRPr="003F486D">
              <w:rPr>
                <w:color w:val="000000" w:themeColor="text1"/>
              </w:rPr>
              <w:t>Die von der japanischen Regierung bereitgestellten Treuhandgelder für Aktivitäten in der Region Asien</w:t>
            </w:r>
          </w:p>
          <w:p w:rsidR="008134A5" w:rsidRPr="003F486D" w:rsidRDefault="008134A5" w:rsidP="008134A5">
            <w:pPr>
              <w:numPr>
                <w:ilvl w:val="0"/>
                <w:numId w:val="9"/>
              </w:numPr>
              <w:tabs>
                <w:tab w:val="clear" w:pos="720"/>
                <w:tab w:val="left" w:pos="601"/>
              </w:tabs>
              <w:spacing w:after="120"/>
              <w:ind w:left="601" w:hanging="244"/>
              <w:rPr>
                <w:color w:val="000000" w:themeColor="text1"/>
              </w:rPr>
            </w:pPr>
            <w:r w:rsidRPr="003F486D">
              <w:rPr>
                <w:color w:val="000000" w:themeColor="text1"/>
              </w:rPr>
              <w:t>Die vom Wirtschaftsministerium des Königreichs der Niederlande (Niederlande) bereitgestellten Treuhandgelder</w:t>
            </w:r>
          </w:p>
          <w:p w:rsidR="008134A5" w:rsidRPr="003F486D" w:rsidRDefault="008134A5" w:rsidP="008134A5">
            <w:pPr>
              <w:numPr>
                <w:ilvl w:val="0"/>
                <w:numId w:val="9"/>
              </w:numPr>
              <w:tabs>
                <w:tab w:val="clear" w:pos="720"/>
                <w:tab w:val="left" w:pos="601"/>
              </w:tabs>
              <w:ind w:left="601" w:hanging="244"/>
              <w:rPr>
                <w:color w:val="000000" w:themeColor="text1"/>
              </w:rPr>
            </w:pPr>
            <w:r w:rsidRPr="003945C5">
              <w:rPr>
                <w:color w:val="000000" w:themeColor="text1"/>
              </w:rPr>
              <w:t xml:space="preserve">Absichtserklärung (Memorandum </w:t>
            </w:r>
            <w:proofErr w:type="spellStart"/>
            <w:r w:rsidRPr="003945C5">
              <w:rPr>
                <w:color w:val="000000" w:themeColor="text1"/>
              </w:rPr>
              <w:t>of</w:t>
            </w:r>
            <w:proofErr w:type="spellEnd"/>
            <w:r w:rsidRPr="003945C5">
              <w:rPr>
                <w:color w:val="000000" w:themeColor="text1"/>
              </w:rPr>
              <w:t xml:space="preserve"> Understanding) zwischen dem Patent- und Markenamt der Vereinigten Staaten von Amerika (USPTO)</w:t>
            </w:r>
            <w:r w:rsidRPr="003F486D">
              <w:rPr>
                <w:color w:val="000000" w:themeColor="text1"/>
              </w:rPr>
              <w:t xml:space="preserve"> und der UPOV</w:t>
            </w:r>
          </w:p>
        </w:tc>
      </w:tr>
    </w:tbl>
    <w:p w:rsidR="008134A5" w:rsidRPr="003F486D" w:rsidRDefault="008134A5" w:rsidP="008134A5">
      <w:pPr>
        <w:spacing w:line="360" w:lineRule="auto"/>
      </w:pPr>
    </w:p>
    <w:p w:rsidR="008134A5" w:rsidRPr="003F486D" w:rsidRDefault="008134A5" w:rsidP="008134A5">
      <w:pPr>
        <w:keepNext/>
        <w:tabs>
          <w:tab w:val="left" w:pos="567"/>
        </w:tabs>
        <w:rPr>
          <w:i/>
          <w:color w:val="000000" w:themeColor="text1"/>
        </w:rPr>
      </w:pPr>
      <w:r w:rsidRPr="003F486D">
        <w:rPr>
          <w:i/>
          <w:color w:val="000000" w:themeColor="text1"/>
        </w:rPr>
        <w:t>Unterstützung durch die Verbandsmitglieder</w:t>
      </w:r>
    </w:p>
    <w:p w:rsidR="008134A5" w:rsidRPr="003F486D" w:rsidRDefault="008134A5" w:rsidP="008134A5">
      <w:pPr>
        <w:keepNext/>
        <w:tabs>
          <w:tab w:val="left" w:pos="567"/>
        </w:tabs>
        <w:rPr>
          <w:color w:val="000000" w:themeColor="text1"/>
        </w:rPr>
      </w:pPr>
    </w:p>
    <w:p w:rsidR="008134A5" w:rsidRPr="003F486D" w:rsidRDefault="008134A5" w:rsidP="008134A5">
      <w:pPr>
        <w:rPr>
          <w:color w:val="000000" w:themeColor="text1"/>
        </w:rPr>
      </w:pPr>
      <w:r w:rsidRPr="003F486D">
        <w:rPr>
          <w:color w:val="000000" w:themeColor="text1"/>
        </w:rPr>
        <w:t>2.3.2.5</w:t>
      </w:r>
      <w:r w:rsidRPr="003F486D">
        <w:tab/>
      </w:r>
      <w:r w:rsidRPr="00053423">
        <w:t>Eine wichtige Ressource für die Tätigkeit der UPOV ist die Unterstützung mit Sachleistungen, die von zahlreichen Verbandsmitgliedern in Form von Sachverständigen bere</w:t>
      </w:r>
      <w:r>
        <w:t>itgestellt werden, die auf UPOV-</w:t>
      </w:r>
      <w:r w:rsidRPr="00053423">
        <w:t>Veranstaltungen als Referenten oder als Tutoren der Fernlehrgänge auftreten.</w:t>
      </w:r>
      <w:r>
        <w:t xml:space="preserve"> </w:t>
      </w:r>
      <w:r w:rsidRPr="00053423">
        <w:t xml:space="preserve">Unterstützung in Form von geeigneten qualifizierten Bediensteten, die in vollem Umfang von Verbandsmitgliedern durch das „Junior Professional Officer (JPO)“-Programm </w:t>
      </w:r>
      <w:r w:rsidR="00601779">
        <w:t xml:space="preserve">und/oder Stipendien </w:t>
      </w:r>
      <w:r w:rsidRPr="00053423">
        <w:t>finanziert werden, sind auch eine potentielle Unterstützungsquelle, die gegebenenfalls in Betracht gezogen werden wird</w:t>
      </w:r>
      <w:r w:rsidRPr="003F486D">
        <w:rPr>
          <w:color w:val="000000" w:themeColor="text1"/>
        </w:rPr>
        <w:t>.</w:t>
      </w:r>
    </w:p>
    <w:p w:rsidR="008134A5" w:rsidRPr="003F486D" w:rsidRDefault="008134A5" w:rsidP="008134A5">
      <w:pPr>
        <w:spacing w:line="360" w:lineRule="auto"/>
      </w:pPr>
    </w:p>
    <w:p w:rsidR="008134A5" w:rsidRPr="003F486D" w:rsidRDefault="008134A5" w:rsidP="008134A5">
      <w:pPr>
        <w:keepNext/>
        <w:tabs>
          <w:tab w:val="left" w:pos="567"/>
        </w:tabs>
        <w:rPr>
          <w:i/>
          <w:color w:val="000000" w:themeColor="text1"/>
        </w:rPr>
      </w:pPr>
      <w:r w:rsidRPr="003F486D">
        <w:rPr>
          <w:i/>
          <w:color w:val="000000" w:themeColor="text1"/>
        </w:rPr>
        <w:t>Ausbildungslehrgänge über Sortenschutz</w:t>
      </w:r>
    </w:p>
    <w:p w:rsidR="008134A5" w:rsidRPr="003F486D" w:rsidRDefault="008134A5" w:rsidP="008134A5"/>
    <w:p w:rsidR="008134A5" w:rsidRPr="003F486D" w:rsidRDefault="008134A5" w:rsidP="008134A5">
      <w:pPr>
        <w:rPr>
          <w:rFonts w:cs="Arial"/>
          <w:color w:val="000000" w:themeColor="text1"/>
          <w:spacing w:val="-2"/>
        </w:rPr>
      </w:pPr>
      <w:r w:rsidRPr="003F486D">
        <w:rPr>
          <w:color w:val="000000" w:themeColor="text1"/>
        </w:rPr>
        <w:t>2.3.2.6</w:t>
      </w:r>
      <w:r w:rsidRPr="003F486D">
        <w:tab/>
      </w:r>
      <w:r w:rsidRPr="00053423">
        <w:t xml:space="preserve">Verschiedene Verbandsmitglieder bieten Ausbildungslehrgänge über den Sortenschutz nach dem UPOV-Übereinkommen an (z.B. der von der japanischen Stelle für internationale Zusammenarbeit (JICA) (Japan) veranstaltete „Ausbildungslehrgang über den Schutz von Züchterrechten“; der vom </w:t>
      </w:r>
      <w:proofErr w:type="spellStart"/>
      <w:r w:rsidRPr="007A535C">
        <w:rPr>
          <w:i/>
        </w:rPr>
        <w:t>Servicio</w:t>
      </w:r>
      <w:proofErr w:type="spellEnd"/>
      <w:r w:rsidRPr="007A535C">
        <w:rPr>
          <w:i/>
        </w:rPr>
        <w:t xml:space="preserve"> </w:t>
      </w:r>
      <w:proofErr w:type="spellStart"/>
      <w:r w:rsidRPr="007A535C">
        <w:rPr>
          <w:i/>
        </w:rPr>
        <w:t>Nacional</w:t>
      </w:r>
      <w:proofErr w:type="spellEnd"/>
      <w:r w:rsidRPr="007A535C">
        <w:rPr>
          <w:i/>
        </w:rPr>
        <w:t xml:space="preserve"> de </w:t>
      </w:r>
      <w:proofErr w:type="spellStart"/>
      <w:r w:rsidRPr="007A535C">
        <w:rPr>
          <w:i/>
        </w:rPr>
        <w:t>Inspección</w:t>
      </w:r>
      <w:proofErr w:type="spellEnd"/>
      <w:r w:rsidRPr="007A535C">
        <w:rPr>
          <w:i/>
        </w:rPr>
        <w:t xml:space="preserve"> y </w:t>
      </w:r>
      <w:proofErr w:type="spellStart"/>
      <w:r w:rsidRPr="007A535C">
        <w:rPr>
          <w:i/>
        </w:rPr>
        <w:t>Certificación</w:t>
      </w:r>
      <w:proofErr w:type="spellEnd"/>
      <w:r w:rsidRPr="007A535C">
        <w:rPr>
          <w:i/>
        </w:rPr>
        <w:t xml:space="preserve"> de </w:t>
      </w:r>
      <w:proofErr w:type="spellStart"/>
      <w:r w:rsidRPr="007A535C">
        <w:rPr>
          <w:i/>
        </w:rPr>
        <w:t>Semillas</w:t>
      </w:r>
      <w:proofErr w:type="spellEnd"/>
      <w:r w:rsidRPr="00053423">
        <w:t xml:space="preserve"> (SNICS) und vom </w:t>
      </w:r>
      <w:proofErr w:type="spellStart"/>
      <w:r w:rsidRPr="007A535C">
        <w:rPr>
          <w:i/>
        </w:rPr>
        <w:t>Colegio</w:t>
      </w:r>
      <w:proofErr w:type="spellEnd"/>
      <w:r w:rsidRPr="007A535C">
        <w:rPr>
          <w:i/>
        </w:rPr>
        <w:t xml:space="preserve"> de </w:t>
      </w:r>
      <w:proofErr w:type="spellStart"/>
      <w:r w:rsidRPr="007A535C">
        <w:rPr>
          <w:i/>
        </w:rPr>
        <w:t>Postgraduados</w:t>
      </w:r>
      <w:proofErr w:type="spellEnd"/>
      <w:r w:rsidRPr="00053423">
        <w:t xml:space="preserve"> (Mexiko) angebotene „</w:t>
      </w:r>
      <w:proofErr w:type="spellStart"/>
      <w:r w:rsidRPr="007A535C">
        <w:rPr>
          <w:i/>
        </w:rPr>
        <w:t>Taller</w:t>
      </w:r>
      <w:proofErr w:type="spellEnd"/>
      <w:r w:rsidRPr="007A535C">
        <w:rPr>
          <w:i/>
        </w:rPr>
        <w:t xml:space="preserve"> </w:t>
      </w:r>
      <w:proofErr w:type="spellStart"/>
      <w:r w:rsidRPr="007A535C">
        <w:rPr>
          <w:i/>
        </w:rPr>
        <w:t>internacional</w:t>
      </w:r>
      <w:proofErr w:type="spellEnd"/>
      <w:r w:rsidRPr="007A535C">
        <w:rPr>
          <w:i/>
        </w:rPr>
        <w:t xml:space="preserve"> de </w:t>
      </w:r>
      <w:proofErr w:type="spellStart"/>
      <w:r w:rsidRPr="007A535C">
        <w:rPr>
          <w:i/>
        </w:rPr>
        <w:t>evaluación</w:t>
      </w:r>
      <w:proofErr w:type="spellEnd"/>
      <w:r w:rsidRPr="007A535C">
        <w:rPr>
          <w:i/>
        </w:rPr>
        <w:t xml:space="preserve"> de la </w:t>
      </w:r>
      <w:proofErr w:type="spellStart"/>
      <w:r w:rsidRPr="007A535C">
        <w:rPr>
          <w:i/>
        </w:rPr>
        <w:t>distinction</w:t>
      </w:r>
      <w:proofErr w:type="spellEnd"/>
      <w:r w:rsidRPr="007A535C">
        <w:rPr>
          <w:i/>
        </w:rPr>
        <w:t xml:space="preserve">, </w:t>
      </w:r>
      <w:proofErr w:type="spellStart"/>
      <w:r w:rsidRPr="007A535C">
        <w:rPr>
          <w:i/>
        </w:rPr>
        <w:t>homogeneidad</w:t>
      </w:r>
      <w:proofErr w:type="spellEnd"/>
      <w:r w:rsidRPr="007A535C">
        <w:rPr>
          <w:i/>
        </w:rPr>
        <w:t xml:space="preserve"> y </w:t>
      </w:r>
      <w:proofErr w:type="spellStart"/>
      <w:r w:rsidRPr="007A535C">
        <w:rPr>
          <w:i/>
        </w:rPr>
        <w:t>estabilidad</w:t>
      </w:r>
      <w:proofErr w:type="spellEnd"/>
      <w:r w:rsidRPr="00053423">
        <w:t xml:space="preserve"> (</w:t>
      </w:r>
      <w:r w:rsidRPr="007A535C">
        <w:rPr>
          <w:i/>
        </w:rPr>
        <w:t xml:space="preserve">DHE) de </w:t>
      </w:r>
      <w:proofErr w:type="spellStart"/>
      <w:r w:rsidRPr="007A535C">
        <w:rPr>
          <w:i/>
        </w:rPr>
        <w:t>variedades</w:t>
      </w:r>
      <w:proofErr w:type="spellEnd"/>
      <w:r w:rsidRPr="007A535C">
        <w:rPr>
          <w:i/>
        </w:rPr>
        <w:t xml:space="preserve"> </w:t>
      </w:r>
      <w:proofErr w:type="spellStart"/>
      <w:r w:rsidRPr="007A535C">
        <w:rPr>
          <w:i/>
        </w:rPr>
        <w:t>vegetales</w:t>
      </w:r>
      <w:proofErr w:type="spellEnd"/>
      <w:r w:rsidRPr="007A535C">
        <w:rPr>
          <w:i/>
        </w:rPr>
        <w:t>“</w:t>
      </w:r>
      <w:r w:rsidRPr="00053423">
        <w:t xml:space="preserve">; der von </w:t>
      </w:r>
      <w:proofErr w:type="spellStart"/>
      <w:r w:rsidRPr="00053423">
        <w:t>Naktuinbouw</w:t>
      </w:r>
      <w:proofErr w:type="spellEnd"/>
      <w:r w:rsidRPr="00053423">
        <w:t xml:space="preserve"> (Niederlande) durchgeführte „Sortenschutzlehrgang“; der vom Koreanischen Saatgut- und Sortenamt (KSVS) und der koreanischen Stelle für Entwicklungszusammenarbeit (KOICA) (Republik Korea) angebotene „Lehrgang über Sortenschutz“; </w:t>
      </w:r>
      <w:r>
        <w:t xml:space="preserve">der </w:t>
      </w:r>
      <w:r w:rsidRPr="00444B9B">
        <w:rPr>
          <w:rFonts w:cs="Arial"/>
          <w:i/>
          <w:iCs/>
        </w:rPr>
        <w:t>“</w:t>
      </w:r>
      <w:proofErr w:type="spellStart"/>
      <w:r w:rsidRPr="00444B9B">
        <w:rPr>
          <w:rFonts w:cs="Arial"/>
          <w:i/>
        </w:rPr>
        <w:t>Taller</w:t>
      </w:r>
      <w:proofErr w:type="spellEnd"/>
      <w:r w:rsidRPr="00444B9B">
        <w:rPr>
          <w:rFonts w:cs="Arial"/>
          <w:i/>
        </w:rPr>
        <w:t xml:space="preserve"> </w:t>
      </w:r>
      <w:proofErr w:type="spellStart"/>
      <w:r w:rsidRPr="00444B9B">
        <w:rPr>
          <w:rFonts w:cs="Arial"/>
          <w:i/>
        </w:rPr>
        <w:t>sobre</w:t>
      </w:r>
      <w:proofErr w:type="spellEnd"/>
      <w:r w:rsidRPr="00444B9B">
        <w:rPr>
          <w:rFonts w:cs="Arial"/>
          <w:i/>
        </w:rPr>
        <w:t xml:space="preserve"> los </w:t>
      </w:r>
      <w:proofErr w:type="spellStart"/>
      <w:r w:rsidRPr="00444B9B">
        <w:rPr>
          <w:rFonts w:cs="Arial"/>
          <w:i/>
        </w:rPr>
        <w:t>beneficios</w:t>
      </w:r>
      <w:proofErr w:type="spellEnd"/>
      <w:r w:rsidRPr="00444B9B">
        <w:rPr>
          <w:rFonts w:cs="Arial"/>
          <w:i/>
        </w:rPr>
        <w:t xml:space="preserve"> del Acta de 1991 del </w:t>
      </w:r>
      <w:proofErr w:type="spellStart"/>
      <w:r w:rsidRPr="00444B9B">
        <w:rPr>
          <w:rFonts w:cs="Arial"/>
          <w:i/>
        </w:rPr>
        <w:t>Convenio</w:t>
      </w:r>
      <w:proofErr w:type="spellEnd"/>
      <w:r w:rsidRPr="00444B9B">
        <w:rPr>
          <w:rFonts w:cs="Arial"/>
          <w:i/>
        </w:rPr>
        <w:t xml:space="preserve"> de la UPOV para las </w:t>
      </w:r>
      <w:proofErr w:type="spellStart"/>
      <w:r w:rsidRPr="00444B9B">
        <w:rPr>
          <w:rFonts w:cs="Arial"/>
          <w:i/>
        </w:rPr>
        <w:t>políticas</w:t>
      </w:r>
      <w:proofErr w:type="spellEnd"/>
      <w:r w:rsidRPr="00444B9B">
        <w:rPr>
          <w:rFonts w:cs="Arial"/>
          <w:i/>
        </w:rPr>
        <w:t xml:space="preserve"> </w:t>
      </w:r>
      <w:proofErr w:type="spellStart"/>
      <w:r w:rsidRPr="00444B9B">
        <w:rPr>
          <w:rFonts w:cs="Arial"/>
          <w:i/>
        </w:rPr>
        <w:t>públicas</w:t>
      </w:r>
      <w:proofErr w:type="spellEnd"/>
      <w:r w:rsidRPr="00444B9B">
        <w:rPr>
          <w:rFonts w:cs="Arial"/>
          <w:i/>
        </w:rPr>
        <w:t xml:space="preserve"> de </w:t>
      </w:r>
      <w:proofErr w:type="spellStart"/>
      <w:r w:rsidRPr="00444B9B">
        <w:rPr>
          <w:rFonts w:cs="Arial"/>
          <w:i/>
        </w:rPr>
        <w:t>agricultura</w:t>
      </w:r>
      <w:proofErr w:type="spellEnd"/>
      <w:r w:rsidRPr="00444B9B">
        <w:rPr>
          <w:rFonts w:cs="Arial"/>
          <w:i/>
        </w:rPr>
        <w:t xml:space="preserve"> y de </w:t>
      </w:r>
      <w:proofErr w:type="spellStart"/>
      <w:r w:rsidRPr="00444B9B">
        <w:rPr>
          <w:rFonts w:cs="Arial"/>
          <w:i/>
        </w:rPr>
        <w:t>seguridad</w:t>
      </w:r>
      <w:proofErr w:type="spellEnd"/>
      <w:r w:rsidRPr="00444B9B">
        <w:rPr>
          <w:rFonts w:cs="Arial"/>
          <w:i/>
        </w:rPr>
        <w:t xml:space="preserve"> </w:t>
      </w:r>
      <w:proofErr w:type="spellStart"/>
      <w:r w:rsidRPr="00444B9B">
        <w:rPr>
          <w:rFonts w:cs="Arial"/>
          <w:i/>
        </w:rPr>
        <w:t>alimentaria</w:t>
      </w:r>
      <w:proofErr w:type="spellEnd"/>
      <w:r>
        <w:rPr>
          <w:rFonts w:cs="Arial"/>
        </w:rPr>
        <w:t>“</w:t>
      </w:r>
      <w:r w:rsidRPr="00444B9B">
        <w:rPr>
          <w:rFonts w:cs="Arial"/>
        </w:rPr>
        <w:t xml:space="preserve">, </w:t>
      </w:r>
      <w:r>
        <w:t>organisiert mit dem</w:t>
      </w:r>
      <w:r w:rsidRPr="00053423">
        <w:t xml:space="preserve"> „</w:t>
      </w:r>
      <w:proofErr w:type="spellStart"/>
      <w:r w:rsidRPr="007A535C">
        <w:rPr>
          <w:i/>
        </w:rPr>
        <w:t>Oficina</w:t>
      </w:r>
      <w:proofErr w:type="spellEnd"/>
      <w:r w:rsidRPr="007A535C">
        <w:rPr>
          <w:i/>
        </w:rPr>
        <w:t xml:space="preserve"> </w:t>
      </w:r>
      <w:proofErr w:type="spellStart"/>
      <w:r w:rsidRPr="007A535C">
        <w:rPr>
          <w:i/>
        </w:rPr>
        <w:t>Española</w:t>
      </w:r>
      <w:proofErr w:type="spellEnd"/>
      <w:r w:rsidRPr="007A535C">
        <w:rPr>
          <w:i/>
        </w:rPr>
        <w:t xml:space="preserve"> de </w:t>
      </w:r>
      <w:proofErr w:type="spellStart"/>
      <w:r w:rsidRPr="007A535C">
        <w:rPr>
          <w:i/>
        </w:rPr>
        <w:t>Variedades</w:t>
      </w:r>
      <w:proofErr w:type="spellEnd"/>
      <w:r w:rsidRPr="007A535C">
        <w:rPr>
          <w:i/>
        </w:rPr>
        <w:t xml:space="preserve"> </w:t>
      </w:r>
      <w:proofErr w:type="spellStart"/>
      <w:r w:rsidRPr="007A535C">
        <w:rPr>
          <w:i/>
        </w:rPr>
        <w:t>Vegetales</w:t>
      </w:r>
      <w:proofErr w:type="spellEnd"/>
      <w:r w:rsidRPr="00053423">
        <w:t xml:space="preserve"> (OEVV) (Spanien), der </w:t>
      </w:r>
      <w:proofErr w:type="spellStart"/>
      <w:r w:rsidRPr="007A535C">
        <w:rPr>
          <w:i/>
        </w:rPr>
        <w:t>Agencia</w:t>
      </w:r>
      <w:proofErr w:type="spellEnd"/>
      <w:r w:rsidRPr="007A535C">
        <w:rPr>
          <w:i/>
        </w:rPr>
        <w:t xml:space="preserve"> </w:t>
      </w:r>
      <w:proofErr w:type="spellStart"/>
      <w:r w:rsidRPr="007A535C">
        <w:rPr>
          <w:i/>
        </w:rPr>
        <w:t>Española</w:t>
      </w:r>
      <w:proofErr w:type="spellEnd"/>
      <w:r w:rsidRPr="007A535C">
        <w:rPr>
          <w:i/>
        </w:rPr>
        <w:t xml:space="preserve"> de </w:t>
      </w:r>
      <w:proofErr w:type="spellStart"/>
      <w:r w:rsidRPr="007A535C">
        <w:rPr>
          <w:i/>
        </w:rPr>
        <w:t>Cooperación</w:t>
      </w:r>
      <w:proofErr w:type="spellEnd"/>
      <w:r w:rsidRPr="007A535C">
        <w:rPr>
          <w:i/>
        </w:rPr>
        <w:t xml:space="preserve"> </w:t>
      </w:r>
      <w:proofErr w:type="spellStart"/>
      <w:r w:rsidRPr="007A535C">
        <w:rPr>
          <w:i/>
        </w:rPr>
        <w:t>Internacional</w:t>
      </w:r>
      <w:proofErr w:type="spellEnd"/>
      <w:r w:rsidRPr="007A535C">
        <w:rPr>
          <w:i/>
        </w:rPr>
        <w:t xml:space="preserve"> para </w:t>
      </w:r>
      <w:proofErr w:type="spellStart"/>
      <w:r w:rsidRPr="007A535C">
        <w:rPr>
          <w:i/>
        </w:rPr>
        <w:t>el</w:t>
      </w:r>
      <w:proofErr w:type="spellEnd"/>
      <w:r w:rsidRPr="007A535C">
        <w:rPr>
          <w:i/>
        </w:rPr>
        <w:t xml:space="preserve"> </w:t>
      </w:r>
      <w:proofErr w:type="spellStart"/>
      <w:r w:rsidRPr="007A535C">
        <w:rPr>
          <w:i/>
        </w:rPr>
        <w:t>Desarrollo</w:t>
      </w:r>
      <w:proofErr w:type="spellEnd"/>
      <w:r w:rsidRPr="00053423">
        <w:t xml:space="preserve"> (AECID) (Spanien)</w:t>
      </w:r>
      <w:r>
        <w:t xml:space="preserve">, dem </w:t>
      </w:r>
      <w:r w:rsidRPr="003F4A45">
        <w:t xml:space="preserve">Patent- und Markenamt der Vereinigten Staaten von Amerika (USPTO) </w:t>
      </w:r>
      <w:r w:rsidRPr="00053423">
        <w:t>und der WIPO; und der von der USPTO-Weltakademie für geistiges Eigentum durchgeführte Lehrgang „Sortenschutz nach dem UPOV-Übereinkommen</w:t>
      </w:r>
      <w:r>
        <w:rPr>
          <w:color w:val="000000" w:themeColor="text1"/>
        </w:rPr>
        <w:t>“)</w:t>
      </w:r>
      <w:r w:rsidRPr="003F486D">
        <w:rPr>
          <w:color w:val="000000" w:themeColor="text1"/>
        </w:rPr>
        <w:t>.</w:t>
      </w:r>
    </w:p>
    <w:p w:rsidR="008134A5" w:rsidRPr="003F486D" w:rsidRDefault="008134A5" w:rsidP="008134A5">
      <w:pPr>
        <w:tabs>
          <w:tab w:val="left" w:pos="567"/>
        </w:tabs>
        <w:spacing w:line="360" w:lineRule="auto"/>
        <w:rPr>
          <w:rFonts w:cs="Arial"/>
          <w:color w:val="000000" w:themeColor="text1"/>
        </w:rPr>
      </w:pPr>
    </w:p>
    <w:p w:rsidR="008134A5" w:rsidRPr="003F486D" w:rsidRDefault="008134A5" w:rsidP="008134A5">
      <w:pPr>
        <w:keepNext/>
        <w:tabs>
          <w:tab w:val="left" w:pos="567"/>
        </w:tabs>
        <w:rPr>
          <w:i/>
          <w:color w:val="000000" w:themeColor="text1"/>
        </w:rPr>
      </w:pPr>
      <w:r w:rsidRPr="003F486D">
        <w:rPr>
          <w:i/>
          <w:color w:val="000000" w:themeColor="text1"/>
        </w:rPr>
        <w:t>Zusammenarbeit mit anderen Organisationen und Organen</w:t>
      </w:r>
    </w:p>
    <w:p w:rsidR="008134A5" w:rsidRPr="003F486D" w:rsidRDefault="008134A5" w:rsidP="008134A5"/>
    <w:p w:rsidR="008134A5" w:rsidRPr="003F486D" w:rsidRDefault="008134A5" w:rsidP="008134A5">
      <w:pPr>
        <w:rPr>
          <w:color w:val="000000" w:themeColor="text1"/>
        </w:rPr>
      </w:pPr>
      <w:r w:rsidRPr="003F486D">
        <w:rPr>
          <w:color w:val="000000" w:themeColor="text1"/>
        </w:rPr>
        <w:t>2.3.2.7</w:t>
      </w:r>
      <w:r w:rsidRPr="003F486D">
        <w:tab/>
      </w:r>
      <w:r w:rsidRPr="00053423">
        <w:t>Die Zusammenarbeit der UPOV mit der WIPO ist ein wichtiges Mittel zur effizienten Bereitstellung von Unterstützung für Staaten und entsprechende Organisationen</w:t>
      </w:r>
      <w:r w:rsidRPr="003F486D">
        <w:t>.</w:t>
      </w:r>
      <w:r>
        <w:rPr>
          <w:color w:val="000000" w:themeColor="text1"/>
        </w:rPr>
        <w:t xml:space="preserve"> </w:t>
      </w:r>
    </w:p>
    <w:p w:rsidR="008134A5" w:rsidRPr="003F486D" w:rsidRDefault="008134A5" w:rsidP="008134A5">
      <w:pPr>
        <w:rPr>
          <w:color w:val="000000" w:themeColor="text1"/>
        </w:rPr>
      </w:pPr>
    </w:p>
    <w:p w:rsidR="008134A5" w:rsidRPr="003F486D" w:rsidRDefault="008134A5" w:rsidP="008134A5">
      <w:pPr>
        <w:rPr>
          <w:color w:val="000000" w:themeColor="text1"/>
        </w:rPr>
      </w:pPr>
      <w:r w:rsidRPr="003F486D">
        <w:rPr>
          <w:color w:val="000000" w:themeColor="text1"/>
        </w:rPr>
        <w:t>2.3.2.8</w:t>
      </w:r>
      <w:r w:rsidRPr="003F486D">
        <w:tab/>
      </w:r>
      <w:r w:rsidRPr="00053423">
        <w:t>Das Ostasienforum über Sortenschutz (EAPVP) bemüht sich um</w:t>
      </w:r>
      <w:r>
        <w:t xml:space="preserve"> eine</w:t>
      </w:r>
      <w:r w:rsidRPr="00053423">
        <w:t xml:space="preserve"> Verbesserung der Umsetzung und Harmonisierung von Sortenschutzsystemen in der Region Asien und das Verbandsbüro wird seine Zusammenarbeit mit dem Forum im Einklang mit den Prioritäten zur Bereitstellung von Unterstützung fortsetzen</w:t>
      </w:r>
      <w:r w:rsidRPr="003F486D">
        <w:t>.</w:t>
      </w:r>
      <w:r w:rsidRPr="003F486D">
        <w:rPr>
          <w:color w:val="000000" w:themeColor="text1"/>
        </w:rPr>
        <w:t xml:space="preserve"> </w:t>
      </w:r>
    </w:p>
    <w:p w:rsidR="008134A5" w:rsidRPr="003F486D" w:rsidRDefault="008134A5" w:rsidP="008134A5"/>
    <w:p w:rsidR="008134A5" w:rsidRPr="003F486D" w:rsidRDefault="008134A5" w:rsidP="008134A5"/>
    <w:p w:rsidR="008134A5" w:rsidRPr="003F486D" w:rsidRDefault="008134A5" w:rsidP="008134A5">
      <w:pPr>
        <w:rPr>
          <w:u w:val="single"/>
        </w:rPr>
      </w:pPr>
      <w:r w:rsidRPr="003F486D">
        <w:rPr>
          <w:u w:val="single"/>
        </w:rPr>
        <w:t>Strategie für Schulung und Unterstützung</w:t>
      </w:r>
    </w:p>
    <w:p w:rsidR="008134A5" w:rsidRPr="003F486D" w:rsidRDefault="008134A5" w:rsidP="008134A5"/>
    <w:p w:rsidR="008134A5" w:rsidRPr="003F486D" w:rsidRDefault="008134A5" w:rsidP="008134A5">
      <w:pPr>
        <w:tabs>
          <w:tab w:val="left" w:pos="851"/>
        </w:tabs>
      </w:pPr>
      <w:r w:rsidRPr="003F486D">
        <w:t>2.3.2.9</w:t>
      </w:r>
      <w:r w:rsidRPr="003F486D">
        <w:tab/>
        <w:t>Um die verfügbaren Mittel so wirksam wie möglich zu verwenden, wird d</w:t>
      </w:r>
      <w:r>
        <w:t xml:space="preserve">as Verbandsbüro gemäß folgenden Hauptelementen der Schulungs- und Unterstützungsstrategie </w:t>
      </w:r>
      <w:r w:rsidRPr="003F486D">
        <w:t>seinen Tätigkeiten auch weiterhin Schwerpunkt</w:t>
      </w:r>
      <w:r>
        <w:t>e</w:t>
      </w:r>
      <w:r w:rsidRPr="003F486D">
        <w:t xml:space="preserve"> einräumen und weiterhin Synergien mit den Verbandsmitgliedern und anderen Partnern für seine Tätigkeiten untersuchen:</w:t>
      </w:r>
      <w:r>
        <w:t xml:space="preserve"> </w:t>
      </w:r>
    </w:p>
    <w:p w:rsidR="008134A5" w:rsidRPr="003F486D" w:rsidRDefault="008134A5" w:rsidP="008134A5">
      <w:pPr>
        <w:spacing w:line="360" w:lineRule="auto"/>
      </w:pPr>
    </w:p>
    <w:p w:rsidR="008134A5" w:rsidRPr="003F486D" w:rsidRDefault="008134A5" w:rsidP="008134A5">
      <w:pPr>
        <w:keepNext/>
        <w:rPr>
          <w:i/>
        </w:rPr>
      </w:pPr>
      <w:r w:rsidRPr="003F486D">
        <w:rPr>
          <w:i/>
        </w:rPr>
        <w:t>Von der UPOV organisierte oder mitorganisierte Standardausbildungstätigkeiten</w:t>
      </w:r>
    </w:p>
    <w:p w:rsidR="008134A5" w:rsidRPr="003F486D" w:rsidRDefault="008134A5" w:rsidP="008134A5">
      <w:pPr>
        <w:keepNext/>
      </w:pPr>
    </w:p>
    <w:p w:rsidR="008134A5" w:rsidRPr="003F486D" w:rsidRDefault="008134A5" w:rsidP="008134A5">
      <w:r w:rsidRPr="003F486D">
        <w:rPr>
          <w:color w:val="000000" w:themeColor="text1"/>
        </w:rPr>
        <w:t>2.3.2.10</w:t>
      </w:r>
      <w:r w:rsidRPr="003F486D">
        <w:tab/>
        <w:t>Die Fernlehrgänge der UPOV sind besonders wirksame Mittel, um einer großen Zahl von Teilnehmern hochwertige Schulung zukommen zu lassen</w:t>
      </w:r>
      <w:r>
        <w:t>,</w:t>
      </w:r>
      <w:r w:rsidRPr="003F486D">
        <w:t xml:space="preserve"> und werden auch weiterhin ein Eckstein der Schulungs- und Unterstützungsstrategie der UPOV sein. Die Einbeziehung von UPOV-Fernlehrgängen in UPOV-Tätigkeiten und von anderen durchgeführten Tätigkeiten (siehe unten) wird ebenfalls ein wichtiger Teil der Strategie sein. In Anbetracht der begrenzten Mitarbeiterressourcen der UPOV, wird die externe Verwaltungs- und Tutorendiensten je nach verfügbaren Mitteln organisiert werden.</w:t>
      </w:r>
    </w:p>
    <w:p w:rsidR="008134A5" w:rsidRPr="003F486D" w:rsidRDefault="008134A5" w:rsidP="008134A5"/>
    <w:p w:rsidR="008134A5" w:rsidRPr="003F486D" w:rsidRDefault="008134A5" w:rsidP="008134A5">
      <w:r w:rsidRPr="003F486D">
        <w:rPr>
          <w:color w:val="000000" w:themeColor="text1"/>
        </w:rPr>
        <w:t>2.3.2.11</w:t>
      </w:r>
      <w:r w:rsidRPr="003F486D">
        <w:tab/>
        <w:t>Ein weiterer Mechanismus zur effektiven Nutzung der UPOV-Mitarbeiterressourcen und von vorhandenem Wissen und Erfahrung unter Verbandsmitgliedern ist die Schulung von Personen, die nicht zum Personal der UPOV gehören, die als Ausbilder tätig werden (Schulung von Ausbildern). Schulungskurse für Ausbilder in zweckmäßigen Sprachen werden gemäß den verfügbaren Mitteln organisiert werden.</w:t>
      </w:r>
      <w:r>
        <w:t xml:space="preserve"> </w:t>
      </w:r>
    </w:p>
    <w:p w:rsidR="008134A5" w:rsidRPr="003F486D" w:rsidRDefault="008134A5" w:rsidP="008134A5">
      <w:pPr>
        <w:spacing w:line="360" w:lineRule="auto"/>
      </w:pPr>
    </w:p>
    <w:p w:rsidR="008134A5" w:rsidRPr="003F486D" w:rsidRDefault="008134A5" w:rsidP="008134A5">
      <w:pPr>
        <w:keepNext/>
        <w:rPr>
          <w:i/>
        </w:rPr>
      </w:pPr>
      <w:r w:rsidRPr="003F486D">
        <w:rPr>
          <w:i/>
        </w:rPr>
        <w:t>Zusammen mit der UPOV entwickelte Ausbildungstätigkeiten</w:t>
      </w:r>
    </w:p>
    <w:p w:rsidR="008134A5" w:rsidRPr="003F486D" w:rsidRDefault="008134A5" w:rsidP="008134A5">
      <w:pPr>
        <w:keepNext/>
      </w:pPr>
    </w:p>
    <w:p w:rsidR="008134A5" w:rsidRPr="003F486D" w:rsidRDefault="008134A5" w:rsidP="008134A5">
      <w:r w:rsidRPr="003F486D">
        <w:rPr>
          <w:color w:val="000000" w:themeColor="text1"/>
        </w:rPr>
        <w:t>2.3.2.12</w:t>
      </w:r>
      <w:r w:rsidRPr="003F486D">
        <w:tab/>
        <w:t>Verschiedene Verbandsmitglieder leisten beträchtliche Unterstützung für Staaten und entsprechende Organisationen. Deshalb wird das Verbandsbüro mit solchen Verbandsmitgliedern zusammenarbeiten, um Tätigkeiten zu entwickeln, die mit anderen betroffenen Verbandsmitgliedern durchgeführt werden und für die die UPOV gemäß den verfügbaren Mitteln geeignete Teilnehmer finanzieren wird.</w:t>
      </w:r>
      <w:r>
        <w:t xml:space="preserve"> </w:t>
      </w:r>
    </w:p>
    <w:p w:rsidR="008134A5" w:rsidRPr="003F486D" w:rsidRDefault="008134A5" w:rsidP="008134A5">
      <w:pPr>
        <w:pStyle w:val="Heading3"/>
        <w:rPr>
          <w:lang w:val="de-DE"/>
        </w:rPr>
      </w:pPr>
    </w:p>
    <w:p w:rsidR="008134A5" w:rsidRPr="003F486D" w:rsidRDefault="008134A5" w:rsidP="008134A5">
      <w:pPr>
        <w:keepNext/>
        <w:rPr>
          <w:i/>
        </w:rPr>
      </w:pPr>
      <w:r w:rsidRPr="003F486D">
        <w:rPr>
          <w:i/>
        </w:rPr>
        <w:t>Ausbildungstätigkeiten, zu denen die UPOV beiträgt</w:t>
      </w:r>
    </w:p>
    <w:p w:rsidR="008134A5" w:rsidRPr="003F486D" w:rsidRDefault="008134A5" w:rsidP="008134A5">
      <w:pPr>
        <w:keepNext/>
      </w:pPr>
    </w:p>
    <w:p w:rsidR="008134A5" w:rsidRPr="003F486D" w:rsidRDefault="008134A5" w:rsidP="008134A5">
      <w:r w:rsidRPr="003F486D">
        <w:rPr>
          <w:color w:val="000000" w:themeColor="text1"/>
        </w:rPr>
        <w:t>2.3.2.13</w:t>
      </w:r>
      <w:r w:rsidRPr="003F486D">
        <w:tab/>
        <w:t>Im Fall von Tätigkeiten, die ohne unmittelbare Beteiligung des Verbandsbüros ausgearbeitet und organisiert werden, ist es Sache jedes Verbandsmitglieds zu entscheiden, welche Tätigkeiten es fortzusetzen wünscht. Wird das Verbandsbüro ersucht, an derartigen Tätigkeiten mitzuarbeiten, wird es nach Möglichkeit und im Rahmen der vom Rat festgelegten Grundsätze und Prioritäten mitwirken.</w:t>
      </w:r>
    </w:p>
    <w:p w:rsidR="008134A5" w:rsidRPr="003F486D" w:rsidRDefault="008134A5" w:rsidP="008134A5"/>
    <w:p w:rsidR="008134A5" w:rsidRPr="003F486D" w:rsidRDefault="008134A5" w:rsidP="008134A5">
      <w:r w:rsidRPr="003F486D">
        <w:rPr>
          <w:color w:val="000000" w:themeColor="text1"/>
        </w:rPr>
        <w:t>2.3.2.14</w:t>
      </w:r>
      <w:r w:rsidRPr="003F486D">
        <w:tab/>
        <w:t>Das Verbandsbüro wird Möglichkeiten zur Erhöhung der Zahl akademischer Institute und Schulungsinstitute, die</w:t>
      </w:r>
      <w:r>
        <w:t xml:space="preserve"> Informationen</w:t>
      </w:r>
      <w:r w:rsidRPr="003F486D">
        <w:t xml:space="preserve"> über das UPOV-System in einschlägige Lehrgänge aufnehmen, ausloten.</w:t>
      </w:r>
      <w:r>
        <w:t xml:space="preserve"> </w:t>
      </w:r>
    </w:p>
    <w:p w:rsidR="008134A5" w:rsidRPr="003F486D" w:rsidRDefault="008134A5" w:rsidP="008134A5">
      <w:pPr>
        <w:spacing w:line="360" w:lineRule="auto"/>
      </w:pPr>
    </w:p>
    <w:p w:rsidR="008134A5" w:rsidRPr="003F486D" w:rsidRDefault="008134A5" w:rsidP="008134A5">
      <w:pPr>
        <w:keepNext/>
        <w:rPr>
          <w:i/>
        </w:rPr>
      </w:pPr>
      <w:r w:rsidRPr="003F486D">
        <w:rPr>
          <w:i/>
        </w:rPr>
        <w:t>Von der UPOV organisierte Tätigkeiten vor Ort</w:t>
      </w:r>
    </w:p>
    <w:p w:rsidR="008134A5" w:rsidRPr="003F486D" w:rsidRDefault="008134A5" w:rsidP="008134A5">
      <w:pPr>
        <w:keepNext/>
      </w:pPr>
    </w:p>
    <w:p w:rsidR="008134A5" w:rsidRPr="003F486D" w:rsidRDefault="008134A5" w:rsidP="008134A5">
      <w:r w:rsidRPr="003F486D">
        <w:rPr>
          <w:color w:val="000000" w:themeColor="text1"/>
        </w:rPr>
        <w:t>2.3.2.15</w:t>
      </w:r>
      <w:r w:rsidRPr="003F486D">
        <w:tab/>
        <w:t>Für bestimmte Erfordernisse, z. B. Sensibilisierungstätigkeiten für Teilnehmer vor Ort, werden auch weiterhin Tätigkeiten vor Ort durchgeführt werden müssen. Solche Tätigkeiten können beträchtliche Ressourcen für die Organisation des Tagungsortes, Unterbringung, Reisevorkehrungen usw. beinhalten. Das Verbandsbüro wird</w:t>
      </w:r>
      <w:r>
        <w:t xml:space="preserve"> bei Bedarf</w:t>
      </w:r>
      <w:r w:rsidRPr="003F486D">
        <w:t xml:space="preserve"> Möglichkeiten zur Auslagerung der organisatorischen Arbeit untersuchen.</w:t>
      </w:r>
      <w:r>
        <w:t xml:space="preserve"> </w:t>
      </w:r>
    </w:p>
    <w:p w:rsidR="008134A5" w:rsidRPr="003F486D" w:rsidRDefault="008134A5" w:rsidP="008134A5">
      <w:pPr>
        <w:spacing w:line="360" w:lineRule="auto"/>
      </w:pPr>
    </w:p>
    <w:p w:rsidR="008134A5" w:rsidRPr="003F486D" w:rsidRDefault="008134A5" w:rsidP="008134A5">
      <w:pPr>
        <w:keepNext/>
        <w:rPr>
          <w:i/>
        </w:rPr>
      </w:pPr>
      <w:r w:rsidRPr="003F486D">
        <w:rPr>
          <w:i/>
        </w:rPr>
        <w:t>Mittel für Ausbildung und Unterstützung</w:t>
      </w:r>
    </w:p>
    <w:p w:rsidR="008134A5" w:rsidRPr="003F486D" w:rsidRDefault="008134A5" w:rsidP="008134A5">
      <w:pPr>
        <w:keepNext/>
      </w:pPr>
    </w:p>
    <w:p w:rsidR="008134A5" w:rsidRPr="003F486D" w:rsidRDefault="008134A5" w:rsidP="008134A5">
      <w:pPr>
        <w:rPr>
          <w:color w:val="000000" w:themeColor="text1"/>
          <w:spacing w:val="-2"/>
        </w:rPr>
      </w:pPr>
      <w:r w:rsidRPr="003F486D">
        <w:rPr>
          <w:color w:val="000000" w:themeColor="text1"/>
          <w:spacing w:val="-2"/>
        </w:rPr>
        <w:t>2.3.2.16</w:t>
      </w:r>
      <w:r w:rsidRPr="003F486D">
        <w:rPr>
          <w:spacing w:val="-2"/>
        </w:rPr>
        <w:tab/>
      </w:r>
      <w:r w:rsidRPr="003F486D">
        <w:rPr>
          <w:color w:val="000000" w:themeColor="text1"/>
          <w:spacing w:val="-2"/>
        </w:rPr>
        <w:t xml:space="preserve">Um die Effektivität jener Personen, die Schulung und Unterstützung zum UPOV-System erteilen, zu verbessern, wird das Verbandsbüro Schulungsmaterialien ausarbeiten (z. B. Standardpräsentationen und Links zu einschlägigen UPOV-Materialien), die online zur Verfügung gestellt werden. </w:t>
      </w:r>
    </w:p>
    <w:p w:rsidR="008134A5" w:rsidRPr="003F486D" w:rsidRDefault="008134A5" w:rsidP="008134A5">
      <w:pPr>
        <w:jc w:val="left"/>
      </w:pPr>
    </w:p>
    <w:p w:rsidR="008134A5" w:rsidRPr="003F486D" w:rsidRDefault="008134A5" w:rsidP="008134A5">
      <w:pPr>
        <w:jc w:val="left"/>
      </w:pPr>
    </w:p>
    <w:p w:rsidR="008134A5" w:rsidRPr="00CB1685" w:rsidRDefault="008134A5" w:rsidP="008134A5">
      <w:pPr>
        <w:pStyle w:val="ListParagraph"/>
        <w:numPr>
          <w:ilvl w:val="2"/>
          <w:numId w:val="22"/>
        </w:numPr>
        <w:rPr>
          <w:b/>
        </w:rPr>
      </w:pPr>
      <w:proofErr w:type="spellStart"/>
      <w:r w:rsidRPr="00CB1685">
        <w:rPr>
          <w:b/>
        </w:rPr>
        <w:t>Tätigkeiten</w:t>
      </w:r>
      <w:proofErr w:type="spellEnd"/>
    </w:p>
    <w:p w:rsidR="008134A5" w:rsidRPr="003F486D" w:rsidRDefault="008134A5" w:rsidP="008134A5"/>
    <w:p w:rsidR="008134A5" w:rsidRPr="008134A5" w:rsidRDefault="008134A5" w:rsidP="008134A5">
      <w:pPr>
        <w:pStyle w:val="ListParagraph"/>
        <w:numPr>
          <w:ilvl w:val="0"/>
          <w:numId w:val="11"/>
        </w:numPr>
        <w:tabs>
          <w:tab w:val="clear" w:pos="720"/>
          <w:tab w:val="num" w:pos="927"/>
        </w:tabs>
        <w:spacing w:after="120"/>
        <w:ind w:left="927"/>
        <w:rPr>
          <w:lang w:val="de-DE"/>
        </w:rPr>
      </w:pPr>
      <w:r w:rsidRPr="008134A5">
        <w:rPr>
          <w:lang w:val="de-DE"/>
        </w:rPr>
        <w:t>Unterstützung bei der Ausarbeitung von Rechtsvorschriften.</w:t>
      </w:r>
    </w:p>
    <w:p w:rsidR="008134A5" w:rsidRPr="003F486D" w:rsidRDefault="008134A5" w:rsidP="008134A5">
      <w:pPr>
        <w:numPr>
          <w:ilvl w:val="0"/>
          <w:numId w:val="11"/>
        </w:numPr>
        <w:tabs>
          <w:tab w:val="clear" w:pos="720"/>
          <w:tab w:val="num" w:pos="927"/>
        </w:tabs>
        <w:spacing w:after="120"/>
        <w:ind w:left="1134" w:hanging="567"/>
      </w:pPr>
      <w:r w:rsidRPr="003F486D">
        <w:t>Ausarbeitung und Durchführung von Fernlehrgängen.</w:t>
      </w:r>
    </w:p>
    <w:p w:rsidR="008134A5" w:rsidRPr="003F486D" w:rsidRDefault="008134A5" w:rsidP="008134A5">
      <w:pPr>
        <w:numPr>
          <w:ilvl w:val="0"/>
          <w:numId w:val="11"/>
        </w:numPr>
        <w:tabs>
          <w:tab w:val="clear" w:pos="720"/>
          <w:tab w:val="num" w:pos="927"/>
        </w:tabs>
        <w:spacing w:after="120"/>
        <w:ind w:left="1134" w:hanging="567"/>
      </w:pPr>
      <w:r w:rsidRPr="003F486D">
        <w:t>Tätigkeiten zur Ausbildung und Unterstützung.</w:t>
      </w:r>
    </w:p>
    <w:p w:rsidR="008134A5" w:rsidRPr="003F486D" w:rsidRDefault="008134A5" w:rsidP="008134A5">
      <w:pPr>
        <w:numPr>
          <w:ilvl w:val="0"/>
          <w:numId w:val="11"/>
        </w:numPr>
        <w:tabs>
          <w:tab w:val="clear" w:pos="720"/>
          <w:tab w:val="num" w:pos="927"/>
        </w:tabs>
        <w:spacing w:after="120"/>
        <w:ind w:left="1134" w:hanging="567"/>
      </w:pPr>
      <w:r w:rsidRPr="003F486D">
        <w:t>Erstellung von Ausbildungsressourcen für Ausbilder</w:t>
      </w:r>
      <w:r>
        <w:t>.</w:t>
      </w:r>
    </w:p>
    <w:p w:rsidR="008134A5" w:rsidRDefault="008134A5" w:rsidP="008134A5">
      <w:pPr>
        <w:numPr>
          <w:ilvl w:val="0"/>
          <w:numId w:val="11"/>
        </w:numPr>
        <w:tabs>
          <w:tab w:val="clear" w:pos="720"/>
          <w:tab w:val="num" w:pos="927"/>
        </w:tabs>
        <w:spacing w:after="120"/>
        <w:ind w:left="1134" w:hanging="567"/>
      </w:pPr>
      <w:r w:rsidRPr="003F486D">
        <w:t>Unterstützung von Projekten zur Einführung und Umsetzung des UPOV-Systems.</w:t>
      </w:r>
    </w:p>
    <w:p w:rsidR="008134A5" w:rsidRPr="0043538E" w:rsidRDefault="008134A5" w:rsidP="008134A5">
      <w:pPr>
        <w:numPr>
          <w:ilvl w:val="0"/>
          <w:numId w:val="11"/>
        </w:numPr>
        <w:tabs>
          <w:tab w:val="clear" w:pos="720"/>
          <w:tab w:val="num" w:pos="927"/>
        </w:tabs>
        <w:spacing w:after="120"/>
        <w:ind w:left="1134" w:hanging="567"/>
      </w:pPr>
      <w:r>
        <w:t>Sensibilisierungsveranstaltungen.</w:t>
      </w:r>
    </w:p>
    <w:p w:rsidR="008134A5" w:rsidRPr="003F486D" w:rsidRDefault="008134A5" w:rsidP="008134A5">
      <w:pPr>
        <w:tabs>
          <w:tab w:val="left" w:pos="567"/>
        </w:tabs>
      </w:pPr>
    </w:p>
    <w:p w:rsidR="008134A5" w:rsidRPr="003F486D" w:rsidRDefault="008134A5" w:rsidP="008134A5">
      <w:pPr>
        <w:tabs>
          <w:tab w:val="left" w:pos="567"/>
        </w:tabs>
      </w:pPr>
    </w:p>
    <w:p w:rsidR="008134A5" w:rsidRPr="003F486D" w:rsidRDefault="008134A5" w:rsidP="008134A5">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pPr>
      <w:r w:rsidRPr="003F486D">
        <w:rPr>
          <w:b/>
        </w:rPr>
        <w:t>2.3.4</w:t>
      </w:r>
      <w:r w:rsidRPr="003F486D">
        <w:tab/>
      </w:r>
      <w:r w:rsidRPr="003F486D">
        <w:rPr>
          <w:b/>
        </w:rPr>
        <w:t>Erwartete Ergebnisse und Planerfüllungsindikatoren</w:t>
      </w:r>
    </w:p>
    <w:p w:rsidR="008134A5" w:rsidRPr="003F486D" w:rsidRDefault="008134A5" w:rsidP="008134A5">
      <w:pPr>
        <w:keepNext/>
        <w:tabs>
          <w:tab w:val="left" w:pos="567"/>
        </w:tabs>
      </w:pPr>
    </w:p>
    <w:tbl>
      <w:tblPr>
        <w:tblW w:w="9889" w:type="dxa"/>
        <w:tblInd w:w="-103" w:type="dxa"/>
        <w:tblLayout w:type="fixed"/>
        <w:tblCellMar>
          <w:top w:w="57" w:type="dxa"/>
          <w:left w:w="57" w:type="dxa"/>
          <w:bottom w:w="28" w:type="dxa"/>
          <w:right w:w="57" w:type="dxa"/>
        </w:tblCellMar>
        <w:tblLook w:val="0000" w:firstRow="0" w:lastRow="0" w:firstColumn="0" w:lastColumn="0" w:noHBand="0" w:noVBand="0"/>
      </w:tblPr>
      <w:tblGrid>
        <w:gridCol w:w="4643"/>
        <w:gridCol w:w="5246"/>
      </w:tblGrid>
      <w:tr w:rsidR="008134A5" w:rsidRPr="003F486D" w:rsidTr="008134A5">
        <w:trPr>
          <w:cantSplit/>
          <w:tblHeader/>
        </w:trPr>
        <w:tc>
          <w:tcPr>
            <w:tcW w:w="4643" w:type="dxa"/>
            <w:tcBorders>
              <w:top w:val="single" w:sz="4" w:space="0" w:color="000000"/>
              <w:left w:val="single" w:sz="4" w:space="0" w:color="000000"/>
              <w:bottom w:val="single" w:sz="4" w:space="0" w:color="000000"/>
              <w:right w:val="single" w:sz="4" w:space="0" w:color="000000"/>
            </w:tcBorders>
          </w:tcPr>
          <w:p w:rsidR="008134A5" w:rsidRPr="003F486D" w:rsidRDefault="008134A5" w:rsidP="008134A5">
            <w:pPr>
              <w:keepNext/>
              <w:ind w:left="397" w:hanging="397"/>
              <w:jc w:val="center"/>
              <w:rPr>
                <w:color w:val="000000"/>
                <w:u w:val="single"/>
              </w:rPr>
            </w:pPr>
            <w:r w:rsidRPr="003F486D">
              <w:rPr>
                <w:color w:val="000000"/>
                <w:u w:val="single"/>
              </w:rPr>
              <w:t>Erwartete Ergebnisse</w:t>
            </w:r>
          </w:p>
        </w:tc>
        <w:tc>
          <w:tcPr>
            <w:tcW w:w="5246" w:type="dxa"/>
            <w:tcBorders>
              <w:top w:val="single" w:sz="4" w:space="0" w:color="000000"/>
              <w:left w:val="single" w:sz="4" w:space="0" w:color="000000"/>
              <w:bottom w:val="single" w:sz="4" w:space="0" w:color="000000"/>
              <w:right w:val="single" w:sz="4" w:space="0" w:color="000000"/>
            </w:tcBorders>
          </w:tcPr>
          <w:p w:rsidR="008134A5" w:rsidRPr="003F486D" w:rsidRDefault="008134A5" w:rsidP="008134A5">
            <w:pPr>
              <w:keepNext/>
              <w:jc w:val="center"/>
              <w:rPr>
                <w:color w:val="000000"/>
                <w:u w:val="single"/>
              </w:rPr>
            </w:pPr>
            <w:r w:rsidRPr="003F486D">
              <w:rPr>
                <w:color w:val="000000"/>
                <w:u w:val="single"/>
              </w:rPr>
              <w:t>Planerfüllungsindikatoren</w:t>
            </w:r>
          </w:p>
        </w:tc>
      </w:tr>
      <w:tr w:rsidR="008134A5" w:rsidRPr="006B70B0" w:rsidTr="008134A5">
        <w:trPr>
          <w:cantSplit/>
        </w:trPr>
        <w:tc>
          <w:tcPr>
            <w:tcW w:w="4643" w:type="dxa"/>
            <w:tcBorders>
              <w:top w:val="single" w:sz="4" w:space="0" w:color="000000"/>
              <w:left w:val="single" w:sz="4" w:space="0" w:color="000000"/>
              <w:bottom w:val="single" w:sz="4" w:space="0" w:color="000000"/>
              <w:right w:val="single" w:sz="4" w:space="0" w:color="000000"/>
            </w:tcBorders>
          </w:tcPr>
          <w:p w:rsidR="008134A5" w:rsidRPr="003F486D" w:rsidRDefault="008134A5" w:rsidP="008134A5">
            <w:pPr>
              <w:keepNext/>
              <w:ind w:left="397" w:hanging="397"/>
              <w:jc w:val="left"/>
              <w:rPr>
                <w:color w:val="000000"/>
              </w:rPr>
            </w:pPr>
            <w:r w:rsidRPr="003F486D">
              <w:rPr>
                <w:color w:val="000000"/>
              </w:rPr>
              <w:t>1.</w:t>
            </w:r>
            <w:r w:rsidRPr="003F486D">
              <w:tab/>
            </w:r>
            <w:r w:rsidRPr="003F486D">
              <w:rPr>
                <w:color w:val="000000"/>
              </w:rPr>
              <w:t>Sensibilisierung für die Bedeutung von Sortenschu</w:t>
            </w:r>
            <w:r>
              <w:rPr>
                <w:color w:val="000000"/>
              </w:rPr>
              <w:t>tz gemäß dem UPOV-Übereinkommen</w:t>
            </w:r>
            <w:r w:rsidRPr="003F486D">
              <w:rPr>
                <w:color w:val="000000"/>
              </w:rPr>
              <w:t xml:space="preserve"> </w:t>
            </w:r>
          </w:p>
        </w:tc>
        <w:tc>
          <w:tcPr>
            <w:tcW w:w="5246" w:type="dxa"/>
            <w:tcBorders>
              <w:top w:val="single" w:sz="4" w:space="0" w:color="000000"/>
              <w:left w:val="single" w:sz="4" w:space="0" w:color="000000"/>
              <w:bottom w:val="single" w:sz="4" w:space="0" w:color="000000"/>
              <w:right w:val="single" w:sz="4" w:space="0" w:color="000000"/>
            </w:tcBorders>
          </w:tcPr>
          <w:p w:rsidR="008134A5" w:rsidRPr="003F486D" w:rsidRDefault="008134A5" w:rsidP="008134A5">
            <w:pPr>
              <w:spacing w:after="60"/>
              <w:ind w:left="397" w:hanging="397"/>
              <w:jc w:val="left"/>
              <w:rPr>
                <w:color w:val="000000"/>
              </w:rPr>
            </w:pPr>
            <w:r w:rsidRPr="003F486D">
              <w:t>a)</w:t>
            </w:r>
            <w:r w:rsidRPr="003F486D">
              <w:tab/>
              <w:t>Erteilte Auskünfte an Staaten und Organisationen bei Veranstaltungen der UPOV;</w:t>
            </w:r>
          </w:p>
          <w:p w:rsidR="008134A5" w:rsidRPr="003F486D" w:rsidRDefault="008134A5" w:rsidP="008134A5">
            <w:pPr>
              <w:spacing w:after="60"/>
              <w:ind w:left="397" w:hanging="397"/>
              <w:jc w:val="left"/>
              <w:rPr>
                <w:color w:val="000000"/>
              </w:rPr>
            </w:pPr>
            <w:r w:rsidRPr="003F486D">
              <w:t>b)</w:t>
            </w:r>
            <w:r w:rsidRPr="003F486D">
              <w:tab/>
              <w:t>Staaten und Organisationen, die das Verbandsbüro um Unterstützung bei der Ausarbeitung von Rechtsvorschriften zum Sortenschutz ersuchen;</w:t>
            </w:r>
          </w:p>
          <w:p w:rsidR="008134A5" w:rsidRPr="003F486D" w:rsidRDefault="008134A5" w:rsidP="008134A5">
            <w:pPr>
              <w:spacing w:after="60"/>
              <w:ind w:left="397" w:hanging="397"/>
              <w:jc w:val="left"/>
            </w:pPr>
            <w:r w:rsidRPr="003F486D">
              <w:t>c)</w:t>
            </w:r>
            <w:r w:rsidRPr="003F486D">
              <w:tab/>
              <w:t>Staaten und Organisationen, die beim Rat der UPOV das Verfahren für den Beitritt zum UPOV-Übereinkommen einleiten;</w:t>
            </w:r>
          </w:p>
          <w:p w:rsidR="008134A5" w:rsidRPr="003F486D" w:rsidRDefault="008134A5" w:rsidP="008134A5">
            <w:pPr>
              <w:ind w:left="397" w:hanging="397"/>
              <w:jc w:val="left"/>
            </w:pPr>
            <w:r w:rsidRPr="003F486D">
              <w:t>d)</w:t>
            </w:r>
            <w:r w:rsidRPr="003F486D">
              <w:tab/>
              <w:t>Teilnahme an Sensibilisierungsveranstaltungen der UPOV, oder Veranstaltungen mit beteiligtem Personal der UPOV oder UPOV-Ausbildern im Namen von Personal der UPOV.</w:t>
            </w:r>
          </w:p>
        </w:tc>
      </w:tr>
      <w:tr w:rsidR="008134A5" w:rsidRPr="006B70B0" w:rsidTr="008134A5">
        <w:trPr>
          <w:cantSplit/>
        </w:trPr>
        <w:tc>
          <w:tcPr>
            <w:tcW w:w="4643" w:type="dxa"/>
            <w:tcBorders>
              <w:top w:val="single" w:sz="4" w:space="0" w:color="000000"/>
              <w:left w:val="single" w:sz="4" w:space="0" w:color="000000"/>
              <w:bottom w:val="single" w:sz="4" w:space="0" w:color="000000"/>
              <w:right w:val="single" w:sz="4" w:space="0" w:color="000000"/>
            </w:tcBorders>
          </w:tcPr>
          <w:p w:rsidR="008134A5" w:rsidRPr="003F486D" w:rsidRDefault="008134A5" w:rsidP="008134A5">
            <w:pPr>
              <w:keepNext/>
              <w:ind w:left="397" w:hanging="397"/>
              <w:jc w:val="left"/>
              <w:rPr>
                <w:color w:val="000000"/>
              </w:rPr>
            </w:pPr>
            <w:r w:rsidRPr="003F486D">
              <w:rPr>
                <w:color w:val="000000"/>
              </w:rPr>
              <w:t>2.</w:t>
            </w:r>
            <w:r w:rsidRPr="003F486D">
              <w:tab/>
            </w:r>
            <w:r w:rsidRPr="003F486D">
              <w:rPr>
                <w:color w:val="000000"/>
              </w:rPr>
              <w:t xml:space="preserve">Unterstützung bei der Ausarbeitung von Rechtsvorschriften zum Sortenschutz gemäß der Akte von 1991 des UPOV-Übereinkommens </w:t>
            </w:r>
          </w:p>
        </w:tc>
        <w:tc>
          <w:tcPr>
            <w:tcW w:w="5246" w:type="dxa"/>
            <w:tcBorders>
              <w:top w:val="single" w:sz="4" w:space="0" w:color="000000"/>
              <w:left w:val="single" w:sz="4" w:space="0" w:color="000000"/>
              <w:bottom w:val="single" w:sz="4" w:space="0" w:color="000000"/>
              <w:right w:val="single" w:sz="4" w:space="0" w:color="000000"/>
            </w:tcBorders>
          </w:tcPr>
          <w:p w:rsidR="008134A5" w:rsidRPr="003F486D" w:rsidRDefault="008134A5" w:rsidP="008134A5">
            <w:pPr>
              <w:spacing w:after="60"/>
              <w:ind w:left="397" w:hanging="397"/>
              <w:jc w:val="left"/>
              <w:rPr>
                <w:color w:val="000000"/>
              </w:rPr>
            </w:pPr>
            <w:r w:rsidRPr="003F486D">
              <w:rPr>
                <w:color w:val="000000"/>
              </w:rPr>
              <w:t>a)</w:t>
            </w:r>
            <w:r w:rsidRPr="003F486D">
              <w:tab/>
            </w:r>
            <w:r w:rsidRPr="003F486D">
              <w:rPr>
                <w:color w:val="000000"/>
              </w:rPr>
              <w:t>Sitzungen mit Regierungsvertretern zur Besprechung von Gesetzgebungsfragen</w:t>
            </w:r>
          </w:p>
          <w:p w:rsidR="008134A5" w:rsidRPr="003F486D" w:rsidRDefault="008134A5" w:rsidP="008134A5">
            <w:pPr>
              <w:spacing w:after="60"/>
              <w:ind w:left="397" w:hanging="397"/>
              <w:jc w:val="left"/>
              <w:rPr>
                <w:color w:val="000000"/>
              </w:rPr>
            </w:pPr>
            <w:r w:rsidRPr="003F486D">
              <w:t>b)</w:t>
            </w:r>
            <w:r w:rsidRPr="003F486D">
              <w:tab/>
              <w:t>Staaten und Organisationen, die Kommentare zu Rechtsvorschriften erhalten haben;</w:t>
            </w:r>
          </w:p>
          <w:p w:rsidR="008134A5" w:rsidRPr="003F486D" w:rsidRDefault="008134A5" w:rsidP="008134A5">
            <w:pPr>
              <w:keepNext/>
              <w:ind w:left="397" w:hanging="397"/>
              <w:jc w:val="left"/>
            </w:pPr>
            <w:r w:rsidRPr="003F486D">
              <w:t>c)</w:t>
            </w:r>
            <w:r w:rsidRPr="003F486D">
              <w:tab/>
              <w:t>Staaten und Organisationen, die eine positive S</w:t>
            </w:r>
            <w:r>
              <w:t>tellungnahme des Rates erwirken.</w:t>
            </w:r>
          </w:p>
        </w:tc>
      </w:tr>
      <w:tr w:rsidR="008134A5" w:rsidRPr="006B70B0" w:rsidTr="008134A5">
        <w:trPr>
          <w:cantSplit/>
        </w:trPr>
        <w:tc>
          <w:tcPr>
            <w:tcW w:w="4643" w:type="dxa"/>
            <w:tcBorders>
              <w:top w:val="single" w:sz="4" w:space="0" w:color="000000"/>
              <w:left w:val="single" w:sz="4" w:space="0" w:color="000000"/>
              <w:bottom w:val="single" w:sz="4" w:space="0" w:color="000000"/>
              <w:right w:val="single" w:sz="4" w:space="0" w:color="000000"/>
            </w:tcBorders>
          </w:tcPr>
          <w:p w:rsidR="008134A5" w:rsidRPr="003F486D" w:rsidRDefault="008134A5" w:rsidP="008134A5">
            <w:pPr>
              <w:keepNext/>
              <w:ind w:left="397" w:hanging="397"/>
              <w:jc w:val="left"/>
              <w:rPr>
                <w:color w:val="000000"/>
              </w:rPr>
            </w:pPr>
            <w:r w:rsidRPr="003F486D">
              <w:t>3.</w:t>
            </w:r>
            <w:r w:rsidRPr="003F486D">
              <w:tab/>
              <w:t>Unterstützung von Staaten und Organisationen beim Beitritt zur Akte von 1991 des UPOV-Übereinkommens</w:t>
            </w:r>
          </w:p>
        </w:tc>
        <w:tc>
          <w:tcPr>
            <w:tcW w:w="5246" w:type="dxa"/>
            <w:tcBorders>
              <w:top w:val="single" w:sz="4" w:space="0" w:color="000000"/>
              <w:left w:val="single" w:sz="4" w:space="0" w:color="000000"/>
              <w:bottom w:val="single" w:sz="4" w:space="0" w:color="000000"/>
              <w:right w:val="single" w:sz="4" w:space="0" w:color="000000"/>
            </w:tcBorders>
          </w:tcPr>
          <w:p w:rsidR="008134A5" w:rsidRPr="003F486D" w:rsidRDefault="008134A5" w:rsidP="008134A5">
            <w:pPr>
              <w:spacing w:after="60"/>
              <w:ind w:left="397" w:hanging="397"/>
              <w:jc w:val="left"/>
            </w:pPr>
            <w:r w:rsidRPr="003F486D">
              <w:t>a)</w:t>
            </w:r>
            <w:r w:rsidRPr="003F486D">
              <w:tab/>
              <w:t>Staaten, die zur Akte von 1991 des UPOV-Übereinkommens beitreten oder sie ratifizieren;</w:t>
            </w:r>
          </w:p>
          <w:p w:rsidR="008134A5" w:rsidRPr="003F486D" w:rsidRDefault="008134A5" w:rsidP="008134A5">
            <w:pPr>
              <w:keepNext/>
              <w:ind w:left="397" w:hanging="397"/>
              <w:jc w:val="left"/>
              <w:rPr>
                <w:color w:val="000000"/>
              </w:rPr>
            </w:pPr>
            <w:r w:rsidRPr="003F486D">
              <w:t>b)</w:t>
            </w:r>
            <w:r w:rsidRPr="003F486D">
              <w:tab/>
              <w:t>Staaten und Organisationen, die der UPOV beitreten.</w:t>
            </w:r>
          </w:p>
        </w:tc>
      </w:tr>
      <w:tr w:rsidR="008134A5" w:rsidRPr="006B70B0" w:rsidTr="008134A5">
        <w:trPr>
          <w:cantSplit/>
        </w:trPr>
        <w:tc>
          <w:tcPr>
            <w:tcW w:w="4643" w:type="dxa"/>
            <w:tcBorders>
              <w:top w:val="single" w:sz="4" w:space="0" w:color="000000"/>
              <w:left w:val="single" w:sz="4" w:space="0" w:color="000000"/>
              <w:bottom w:val="single" w:sz="4" w:space="0" w:color="000000"/>
              <w:right w:val="single" w:sz="4" w:space="0" w:color="000000"/>
            </w:tcBorders>
          </w:tcPr>
          <w:p w:rsidR="008134A5" w:rsidRPr="003F486D" w:rsidRDefault="008134A5" w:rsidP="008134A5">
            <w:pPr>
              <w:ind w:left="397" w:hanging="397"/>
              <w:jc w:val="left"/>
              <w:rPr>
                <w:color w:val="000000"/>
              </w:rPr>
            </w:pPr>
            <w:r w:rsidRPr="003F486D">
              <w:rPr>
                <w:color w:val="000000"/>
              </w:rPr>
              <w:t>4.</w:t>
            </w:r>
            <w:r w:rsidRPr="003F486D">
              <w:tab/>
            </w:r>
            <w:r w:rsidRPr="003F486D">
              <w:rPr>
                <w:color w:val="000000"/>
              </w:rPr>
              <w:t>Unterstützung bei der Umsetzung wirksamer Sor</w:t>
            </w:r>
            <w:r>
              <w:rPr>
                <w:color w:val="000000"/>
              </w:rPr>
              <w:t>tenschutzsysteme gemäß dem UPOV-</w:t>
            </w:r>
            <w:r w:rsidRPr="003F486D">
              <w:rPr>
                <w:color w:val="000000"/>
              </w:rPr>
              <w:t>Übereinkommen</w:t>
            </w:r>
          </w:p>
        </w:tc>
        <w:tc>
          <w:tcPr>
            <w:tcW w:w="5246" w:type="dxa"/>
            <w:tcBorders>
              <w:top w:val="single" w:sz="4" w:space="0" w:color="000000"/>
              <w:left w:val="single" w:sz="4" w:space="0" w:color="000000"/>
              <w:bottom w:val="single" w:sz="4" w:space="0" w:color="000000"/>
              <w:right w:val="single" w:sz="4" w:space="0" w:color="000000"/>
            </w:tcBorders>
          </w:tcPr>
          <w:p w:rsidR="008134A5" w:rsidRPr="003F486D" w:rsidRDefault="008134A5" w:rsidP="008134A5">
            <w:pPr>
              <w:spacing w:after="60"/>
              <w:ind w:left="397" w:hanging="397"/>
              <w:jc w:val="left"/>
              <w:rPr>
                <w:color w:val="000000"/>
              </w:rPr>
            </w:pPr>
            <w:r w:rsidRPr="003F486D">
              <w:t>a)</w:t>
            </w:r>
            <w:r w:rsidRPr="003F486D">
              <w:tab/>
              <w:t>Teilnahme an Fernlehrgängen;</w:t>
            </w:r>
          </w:p>
          <w:p w:rsidR="008134A5" w:rsidRPr="003F486D" w:rsidRDefault="008134A5" w:rsidP="008134A5">
            <w:pPr>
              <w:spacing w:after="60"/>
              <w:ind w:left="397" w:hanging="397"/>
              <w:jc w:val="left"/>
              <w:rPr>
                <w:color w:val="000000"/>
              </w:rPr>
            </w:pPr>
            <w:bookmarkStart w:id="3" w:name="OLE_LINK3"/>
            <w:bookmarkStart w:id="4" w:name="OLE_LINK4"/>
            <w:r w:rsidRPr="003F486D">
              <w:t>b)</w:t>
            </w:r>
            <w:r w:rsidRPr="003F486D">
              <w:tab/>
              <w:t>Schulung von Ausbildern;</w:t>
            </w:r>
          </w:p>
          <w:p w:rsidR="008134A5" w:rsidRPr="003F486D" w:rsidRDefault="008134A5" w:rsidP="008134A5">
            <w:pPr>
              <w:spacing w:after="60"/>
              <w:ind w:left="397" w:hanging="397"/>
              <w:jc w:val="left"/>
              <w:rPr>
                <w:color w:val="000000"/>
              </w:rPr>
            </w:pPr>
            <w:r w:rsidRPr="003F486D">
              <w:t xml:space="preserve">c) </w:t>
            </w:r>
            <w:r w:rsidRPr="003F486D">
              <w:tab/>
              <w:t>Zusammen mit der UPOV entwickelte Ausbildungstätigkeiten;</w:t>
            </w:r>
          </w:p>
          <w:p w:rsidR="008134A5" w:rsidRPr="003F486D" w:rsidRDefault="008134A5" w:rsidP="008134A5">
            <w:pPr>
              <w:spacing w:after="60"/>
              <w:ind w:left="397" w:hanging="397"/>
              <w:jc w:val="left"/>
              <w:rPr>
                <w:color w:val="000000"/>
              </w:rPr>
            </w:pPr>
            <w:r w:rsidRPr="003F486D">
              <w:t>b)</w:t>
            </w:r>
            <w:r w:rsidRPr="003F486D">
              <w:tab/>
              <w:t>Teilnahme von Beobachterstaaten und -Organisationen an CAJ, TC, TWP und den damit verbundenen vorbereitenden Arbeitstagungen;</w:t>
            </w:r>
          </w:p>
          <w:bookmarkEnd w:id="3"/>
          <w:bookmarkEnd w:id="4"/>
          <w:p w:rsidR="008134A5" w:rsidRPr="003F486D" w:rsidRDefault="008134A5" w:rsidP="008134A5">
            <w:pPr>
              <w:spacing w:after="60"/>
              <w:ind w:left="397" w:hanging="397"/>
              <w:jc w:val="left"/>
              <w:rPr>
                <w:color w:val="000000"/>
              </w:rPr>
            </w:pPr>
            <w:r w:rsidRPr="003F486D">
              <w:t>e)</w:t>
            </w:r>
            <w:r w:rsidRPr="003F486D">
              <w:tab/>
              <w:t>Teilnahme an Veranstaltungen der UPOV;</w:t>
            </w:r>
          </w:p>
          <w:p w:rsidR="008134A5" w:rsidRPr="003F486D" w:rsidRDefault="008134A5" w:rsidP="008134A5">
            <w:pPr>
              <w:spacing w:after="60"/>
              <w:ind w:left="397" w:hanging="397"/>
              <w:jc w:val="left"/>
              <w:rPr>
                <w:color w:val="000000"/>
              </w:rPr>
            </w:pPr>
            <w:r w:rsidRPr="003F486D">
              <w:t xml:space="preserve">f) </w:t>
            </w:r>
            <w:r w:rsidRPr="003F486D">
              <w:tab/>
              <w:t>Teilnahme an Veranstaltungen mit beteiligtem Personal der UPOV oder UPOV-Ausbildern im Namen der UPOV;</w:t>
            </w:r>
          </w:p>
          <w:p w:rsidR="008134A5" w:rsidRPr="003F486D" w:rsidRDefault="008134A5" w:rsidP="008134A5">
            <w:pPr>
              <w:spacing w:after="60"/>
              <w:ind w:left="397" w:hanging="397"/>
              <w:jc w:val="left"/>
              <w:rPr>
                <w:color w:val="000000"/>
              </w:rPr>
            </w:pPr>
            <w:r w:rsidRPr="003F486D">
              <w:t>g)</w:t>
            </w:r>
            <w:r w:rsidRPr="003F486D">
              <w:tab/>
              <w:t>Lehrgänge über das UPOV-Sortenschutzsystem;</w:t>
            </w:r>
          </w:p>
          <w:p w:rsidR="008134A5" w:rsidRPr="003F486D" w:rsidRDefault="008134A5" w:rsidP="008134A5">
            <w:pPr>
              <w:ind w:left="397" w:hanging="397"/>
              <w:jc w:val="left"/>
              <w:rPr>
                <w:color w:val="000000"/>
              </w:rPr>
            </w:pPr>
            <w:r w:rsidRPr="003F486D">
              <w:t>h)</w:t>
            </w:r>
            <w:r w:rsidRPr="003F486D">
              <w:tab/>
              <w:t>Durchführung von Projekten mit Partnerorganisationen und Gebern.</w:t>
            </w:r>
          </w:p>
        </w:tc>
      </w:tr>
    </w:tbl>
    <w:p w:rsidR="008134A5" w:rsidRPr="003F486D" w:rsidRDefault="008134A5" w:rsidP="008134A5"/>
    <w:p w:rsidR="008134A5" w:rsidRPr="003F486D" w:rsidRDefault="008134A5" w:rsidP="008134A5">
      <w:pPr>
        <w:keepNext/>
        <w:tabs>
          <w:tab w:val="left" w:pos="567"/>
        </w:tabs>
        <w:ind w:left="2835" w:hanging="2835"/>
        <w:rPr>
          <w:b/>
          <w:u w:val="single"/>
        </w:rPr>
      </w:pPr>
      <w:r w:rsidRPr="003F486D">
        <w:br w:type="page"/>
      </w:r>
      <w:r w:rsidRPr="003F486D">
        <w:rPr>
          <w:b/>
        </w:rPr>
        <w:t>2.4</w:t>
      </w:r>
      <w:r w:rsidRPr="003F486D">
        <w:tab/>
      </w:r>
      <w:r w:rsidRPr="003F486D">
        <w:rPr>
          <w:b/>
          <w:u w:val="single"/>
        </w:rPr>
        <w:t>Unterprogramm UV.4</w:t>
      </w:r>
      <w:r w:rsidRPr="003F486D">
        <w:rPr>
          <w:b/>
        </w:rPr>
        <w:t>:</w:t>
      </w:r>
      <w:r w:rsidRPr="003F486D">
        <w:tab/>
      </w:r>
      <w:r w:rsidRPr="003F486D">
        <w:tab/>
      </w:r>
      <w:r w:rsidRPr="003F486D">
        <w:rPr>
          <w:b/>
          <w:u w:val="single"/>
        </w:rPr>
        <w:t>Externe Beziehungen</w:t>
      </w:r>
    </w:p>
    <w:p w:rsidR="008134A5" w:rsidRPr="003F486D" w:rsidRDefault="008134A5" w:rsidP="008134A5">
      <w:pPr>
        <w:keepNext/>
      </w:pPr>
    </w:p>
    <w:p w:rsidR="008134A5" w:rsidRPr="003F486D" w:rsidRDefault="008134A5" w:rsidP="008134A5">
      <w:pPr>
        <w:keepNext/>
        <w:rPr>
          <w:b/>
          <w:color w:val="000000"/>
        </w:rPr>
      </w:pPr>
      <w:r w:rsidRPr="003F486D">
        <w:rPr>
          <w:b/>
          <w:color w:val="000000"/>
        </w:rPr>
        <w:t>2.4.1</w:t>
      </w:r>
      <w:r w:rsidRPr="003F486D">
        <w:tab/>
      </w:r>
      <w:r w:rsidRPr="003F486D">
        <w:rPr>
          <w:b/>
        </w:rPr>
        <w:t>Ziele</w:t>
      </w:r>
    </w:p>
    <w:p w:rsidR="008134A5" w:rsidRPr="003F486D" w:rsidRDefault="008134A5" w:rsidP="008134A5">
      <w:pPr>
        <w:keepNext/>
        <w:tabs>
          <w:tab w:val="num" w:pos="567"/>
        </w:tabs>
      </w:pPr>
    </w:p>
    <w:p w:rsidR="008134A5" w:rsidRPr="003F486D" w:rsidRDefault="008134A5" w:rsidP="008134A5">
      <w:r w:rsidRPr="003F486D">
        <w:tab/>
        <w:t>a)</w:t>
      </w:r>
      <w:r w:rsidRPr="003F486D">
        <w:tab/>
        <w:t>Erweiterung und Vertiefung des Verständnisses des UPOV-Sortenschutzsystems.</w:t>
      </w:r>
    </w:p>
    <w:p w:rsidR="008134A5" w:rsidRPr="003F486D" w:rsidRDefault="008134A5" w:rsidP="008134A5"/>
    <w:p w:rsidR="008134A5" w:rsidRPr="003F486D" w:rsidRDefault="008134A5" w:rsidP="008134A5">
      <w:r w:rsidRPr="003F486D">
        <w:tab/>
        <w:t>b)</w:t>
      </w:r>
      <w:r w:rsidRPr="003F486D">
        <w:tab/>
        <w:t>Erteilung von Auskünften über das UPOV-Übereinkommen an andere zwischenstaatliche Organisationen mit dem Ziel der gegenseitigen Unterstützung mit anderen internationalen Verträgen.</w:t>
      </w:r>
    </w:p>
    <w:p w:rsidR="008134A5" w:rsidRPr="003F486D" w:rsidRDefault="008134A5" w:rsidP="008134A5"/>
    <w:p w:rsidR="008134A5" w:rsidRPr="003F486D" w:rsidRDefault="008134A5" w:rsidP="008134A5"/>
    <w:p w:rsidR="008134A5" w:rsidRPr="003F486D" w:rsidRDefault="008134A5" w:rsidP="008134A5">
      <w:pPr>
        <w:tabs>
          <w:tab w:val="left" w:pos="567"/>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pPr>
      <w:r w:rsidRPr="003F486D">
        <w:rPr>
          <w:b/>
        </w:rPr>
        <w:t>2.4.2</w:t>
      </w:r>
      <w:r w:rsidRPr="003F486D">
        <w:tab/>
      </w:r>
      <w:r w:rsidRPr="003F486D">
        <w:rPr>
          <w:b/>
        </w:rPr>
        <w:t>Hintergrund</w:t>
      </w:r>
    </w:p>
    <w:p w:rsidR="008134A5" w:rsidRPr="003F486D" w:rsidRDefault="008134A5" w:rsidP="008134A5">
      <w:pPr>
        <w:tabs>
          <w:tab w:val="left" w:pos="567"/>
        </w:tabs>
      </w:pPr>
    </w:p>
    <w:p w:rsidR="008134A5" w:rsidRPr="003F486D" w:rsidRDefault="008134A5" w:rsidP="008134A5">
      <w:pPr>
        <w:pStyle w:val="Heading2"/>
        <w:rPr>
          <w:lang w:val="de-DE"/>
        </w:rPr>
      </w:pPr>
      <w:r w:rsidRPr="003F486D">
        <w:rPr>
          <w:lang w:val="de-DE"/>
        </w:rPr>
        <w:t>Einleitung</w:t>
      </w:r>
    </w:p>
    <w:p w:rsidR="008134A5" w:rsidRPr="003F486D" w:rsidRDefault="008134A5" w:rsidP="008134A5">
      <w:pPr>
        <w:keepNext/>
        <w:tabs>
          <w:tab w:val="left" w:pos="567"/>
        </w:tabs>
        <w:ind w:left="2835" w:hanging="2835"/>
        <w:rPr>
          <w:spacing w:val="-2"/>
        </w:rPr>
      </w:pPr>
    </w:p>
    <w:p w:rsidR="008134A5" w:rsidRPr="003F486D" w:rsidRDefault="008134A5" w:rsidP="008134A5">
      <w:r w:rsidRPr="003F486D">
        <w:rPr>
          <w:spacing w:val="-2"/>
        </w:rPr>
        <w:t>2.4.2.1</w:t>
      </w:r>
      <w:r w:rsidRPr="003F486D">
        <w:rPr>
          <w:spacing w:val="-2"/>
        </w:rPr>
        <w:tab/>
      </w:r>
      <w:r w:rsidRPr="003F486D">
        <w:t xml:space="preserve">Der Auftrag der UPOV ist die Bereitstellung und Förderung eines wirksamen Sortenschutzsystems mit dem Ziel, die Entwicklung neuer Pflanzensorten zum Nutzen der Gesellschaft zu begünstigen. Ziel dieses Unterprogramms ist es, zu erklären, wie das UPOV-System die Entwicklung neuer Pflanzensorten fördert, welchen Nutzen neue Sorten für die Gesellschaft haben und welche Rolle das UPOV-System im Hinblick auf Agrar- und Wirtschaftspolitik </w:t>
      </w:r>
      <w:r>
        <w:rPr>
          <w:spacing w:val="-2"/>
        </w:rPr>
        <w:t>im Agrarsektor</w:t>
      </w:r>
      <w:r w:rsidRPr="00DD2791">
        <w:t xml:space="preserve"> </w:t>
      </w:r>
      <w:r w:rsidRPr="003F486D">
        <w:t>spielt</w:t>
      </w:r>
      <w:r w:rsidRPr="003F486D">
        <w:rPr>
          <w:spacing w:val="-2"/>
        </w:rPr>
        <w:t xml:space="preserve">. </w:t>
      </w:r>
    </w:p>
    <w:p w:rsidR="008134A5" w:rsidRPr="003F486D" w:rsidRDefault="008134A5" w:rsidP="008134A5">
      <w:pPr>
        <w:tabs>
          <w:tab w:val="left" w:pos="851"/>
        </w:tabs>
      </w:pPr>
    </w:p>
    <w:p w:rsidR="008134A5" w:rsidRPr="003F486D" w:rsidRDefault="008134A5" w:rsidP="008134A5">
      <w:pPr>
        <w:tabs>
          <w:tab w:val="left" w:pos="851"/>
        </w:tabs>
      </w:pPr>
    </w:p>
    <w:p w:rsidR="008134A5" w:rsidRPr="003F486D" w:rsidRDefault="008134A5" w:rsidP="008134A5">
      <w:pPr>
        <w:pStyle w:val="Heading2"/>
        <w:rPr>
          <w:lang w:val="de-DE"/>
        </w:rPr>
      </w:pPr>
      <w:r w:rsidRPr="003F486D">
        <w:rPr>
          <w:lang w:val="de-DE"/>
        </w:rPr>
        <w:t>Kommunikation mit Interessenvertretern</w:t>
      </w:r>
    </w:p>
    <w:p w:rsidR="008134A5" w:rsidRPr="003F486D" w:rsidRDefault="008134A5" w:rsidP="008134A5"/>
    <w:p w:rsidR="008134A5" w:rsidRPr="003F486D" w:rsidRDefault="008134A5" w:rsidP="008134A5">
      <w:pPr>
        <w:rPr>
          <w:rFonts w:cs="Arial"/>
          <w:snapToGrid w:val="0"/>
        </w:rPr>
      </w:pPr>
      <w:r w:rsidRPr="003F486D">
        <w:t>2.4.2.2</w:t>
      </w:r>
      <w:r w:rsidRPr="003F486D">
        <w:tab/>
        <w:t>Es werden auch weiterhin allgemeine</w:t>
      </w:r>
      <w:r>
        <w:t xml:space="preserve"> Informationen</w:t>
      </w:r>
      <w:r w:rsidRPr="003F486D">
        <w:t xml:space="preserve">, die für eine breite </w:t>
      </w:r>
      <w:r>
        <w:t>Spanne</w:t>
      </w:r>
      <w:r w:rsidRPr="003F486D">
        <w:t xml:space="preserve"> von Interessenvertretern geeignet sind, ausgearbeitet werden. Beispielsweise wird weiter an häufig gestellten Fragen zum UPOV-System und an der Entwicklung anschaulicher Erläuterungen und Beispiele der Vorteile des UPOV-Systems gearbeitet werden. Sofern zweckdienlich</w:t>
      </w:r>
      <w:r>
        <w:t>,</w:t>
      </w:r>
      <w:r w:rsidRPr="003F486D">
        <w:t xml:space="preserve"> wird die UPOV Beiträge zu Artikeln in einschlägigen Publikationen beitragen.</w:t>
      </w:r>
      <w:r>
        <w:t xml:space="preserve"> </w:t>
      </w:r>
    </w:p>
    <w:p w:rsidR="008134A5" w:rsidRPr="003F486D" w:rsidRDefault="008134A5" w:rsidP="008134A5">
      <w:pPr>
        <w:spacing w:line="360" w:lineRule="auto"/>
        <w:rPr>
          <w:rFonts w:cs="Arial"/>
          <w:snapToGrid w:val="0"/>
        </w:rPr>
      </w:pPr>
    </w:p>
    <w:p w:rsidR="008134A5" w:rsidRPr="003F486D" w:rsidRDefault="008134A5" w:rsidP="008134A5">
      <w:pPr>
        <w:rPr>
          <w:rFonts w:cs="Arial"/>
          <w:snapToGrid w:val="0"/>
        </w:rPr>
      </w:pPr>
      <w:r w:rsidRPr="003F486D">
        <w:t>2.4.2.3</w:t>
      </w:r>
      <w:r w:rsidRPr="003F486D">
        <w:tab/>
        <w:t>Die UPOV-</w:t>
      </w:r>
      <w:r>
        <w:t>Website</w:t>
      </w:r>
      <w:r w:rsidRPr="003F486D">
        <w:t xml:space="preserve"> ist ein wichtiges Mittel für die Kommunikation mit allen UPOV-Interessenvertretern und wird mit geeigneten neuen Materialien aktualisiert werden, um die Bedeutung des Sortenschutzes zu erläutern. Um die Effektivität der </w:t>
      </w:r>
      <w:r>
        <w:t>Website</w:t>
      </w:r>
      <w:r w:rsidRPr="003F486D">
        <w:t xml:space="preserve"> zur Erklärung des UPOV-Systems zu verbessern, w</w:t>
      </w:r>
      <w:r>
        <w:t xml:space="preserve">urden 2016 </w:t>
      </w:r>
      <w:r w:rsidRPr="003F486D">
        <w:t>auf der UPOV-</w:t>
      </w:r>
      <w:r>
        <w:t>Website</w:t>
      </w:r>
      <w:r w:rsidRPr="003F486D">
        <w:t xml:space="preserve"> interessengruppenbezogene Funktionen</w:t>
      </w:r>
      <w:r>
        <w:t xml:space="preserve"> eingeführt. In der Rechnungsperiode 2018-2019 werden diese </w:t>
      </w:r>
      <w:r w:rsidRPr="003F486D">
        <w:t>inte</w:t>
      </w:r>
      <w:r>
        <w:t>ressengruppenbezogene Funktionen für Züchtern, Landwirte</w:t>
      </w:r>
      <w:r w:rsidRPr="003F486D">
        <w:t xml:space="preserve">, politische Entscheidungsträger und </w:t>
      </w:r>
      <w:r>
        <w:t>die allgemeine</w:t>
      </w:r>
      <w:r w:rsidRPr="003F486D">
        <w:t xml:space="preserve"> Öffentlichkeit</w:t>
      </w:r>
      <w:r>
        <w:t xml:space="preserve"> überwacht und aktualisiert.</w:t>
      </w:r>
    </w:p>
    <w:p w:rsidR="008134A5" w:rsidRPr="003F486D" w:rsidRDefault="008134A5" w:rsidP="008134A5">
      <w:pPr>
        <w:rPr>
          <w:rFonts w:cs="Arial"/>
          <w:snapToGrid w:val="0"/>
        </w:rPr>
      </w:pPr>
    </w:p>
    <w:p w:rsidR="008134A5" w:rsidRPr="003F486D" w:rsidRDefault="008134A5" w:rsidP="008134A5">
      <w:r w:rsidRPr="003F486D">
        <w:t>2.4.2.4</w:t>
      </w:r>
      <w:r w:rsidRPr="003F486D">
        <w:tab/>
        <w:t xml:space="preserve">Die UPOV wird auch weiterhin mit Nichtregierungsorganisationen, die Interessengruppen vertreten, kommunizieren: </w:t>
      </w:r>
    </w:p>
    <w:p w:rsidR="008134A5" w:rsidRPr="003F486D" w:rsidRDefault="008134A5" w:rsidP="008134A5">
      <w:pPr>
        <w:tabs>
          <w:tab w:val="left" w:pos="851"/>
        </w:tabs>
      </w:pPr>
    </w:p>
    <w:p w:rsidR="008134A5" w:rsidRPr="008134A5" w:rsidRDefault="008134A5" w:rsidP="008134A5">
      <w:pPr>
        <w:pStyle w:val="ListParagraph"/>
        <w:numPr>
          <w:ilvl w:val="0"/>
          <w:numId w:val="15"/>
        </w:numPr>
        <w:tabs>
          <w:tab w:val="left" w:pos="851"/>
        </w:tabs>
        <w:ind w:left="567"/>
        <w:rPr>
          <w:rFonts w:cs="Arial"/>
          <w:snapToGrid w:val="0"/>
          <w:lang w:val="de-DE"/>
        </w:rPr>
      </w:pPr>
      <w:r w:rsidRPr="008134A5">
        <w:rPr>
          <w:lang w:val="de-DE"/>
        </w:rPr>
        <w:t xml:space="preserve">Züchter / Saatguthersteller / </w:t>
      </w:r>
      <w:proofErr w:type="spellStart"/>
      <w:r w:rsidRPr="008134A5">
        <w:rPr>
          <w:lang w:val="de-DE"/>
        </w:rPr>
        <w:t>Pflanzenvermehrer</w:t>
      </w:r>
      <w:proofErr w:type="spellEnd"/>
      <w:r w:rsidRPr="008134A5">
        <w:rPr>
          <w:lang w:val="de-DE"/>
        </w:rPr>
        <w:t>: darunter die Internationale Gemeinschaft der Züchter vegetativ vermehrbarer Zier- und Obstpflanzen (CIOPORA), de</w:t>
      </w:r>
      <w:r w:rsidR="00860C04">
        <w:rPr>
          <w:lang w:val="de-DE"/>
        </w:rPr>
        <w:t xml:space="preserve">r </w:t>
      </w:r>
      <w:r w:rsidRPr="008134A5">
        <w:rPr>
          <w:lang w:val="de-DE"/>
        </w:rPr>
        <w:t xml:space="preserve">ISF, </w:t>
      </w:r>
      <w:proofErr w:type="spellStart"/>
      <w:r w:rsidRPr="008134A5">
        <w:rPr>
          <w:lang w:val="de-DE"/>
        </w:rPr>
        <w:t>CropLife</w:t>
      </w:r>
      <w:proofErr w:type="spellEnd"/>
      <w:r w:rsidRPr="008134A5">
        <w:rPr>
          <w:lang w:val="de-DE"/>
        </w:rPr>
        <w:t xml:space="preserve"> International, der Internationale Verband des Erwerbsgartenbaus (AIPH), der Afrikanische Saatguthandelsverband (AFSTA), die Saatgutvereinigung für Asien und den Pazifik (APSA), der Europäische Saatgutverband (ESA), die </w:t>
      </w:r>
      <w:proofErr w:type="spellStart"/>
      <w:r w:rsidRPr="008134A5">
        <w:rPr>
          <w:i/>
          <w:snapToGrid w:val="0"/>
          <w:lang w:val="de-DE"/>
        </w:rPr>
        <w:t>Federación</w:t>
      </w:r>
      <w:proofErr w:type="spellEnd"/>
      <w:r w:rsidRPr="008134A5">
        <w:rPr>
          <w:i/>
          <w:snapToGrid w:val="0"/>
          <w:lang w:val="de-DE"/>
        </w:rPr>
        <w:t xml:space="preserve"> </w:t>
      </w:r>
      <w:proofErr w:type="spellStart"/>
      <w:r w:rsidRPr="008134A5">
        <w:rPr>
          <w:i/>
          <w:snapToGrid w:val="0"/>
          <w:lang w:val="de-DE"/>
        </w:rPr>
        <w:t>Latinoamericana</w:t>
      </w:r>
      <w:proofErr w:type="spellEnd"/>
      <w:r w:rsidRPr="008134A5">
        <w:rPr>
          <w:i/>
          <w:snapToGrid w:val="0"/>
          <w:lang w:val="de-DE"/>
        </w:rPr>
        <w:t xml:space="preserve"> de </w:t>
      </w:r>
      <w:proofErr w:type="spellStart"/>
      <w:r w:rsidRPr="008134A5">
        <w:rPr>
          <w:i/>
          <w:snapToGrid w:val="0"/>
          <w:lang w:val="de-DE"/>
        </w:rPr>
        <w:t>Asociaciones</w:t>
      </w:r>
      <w:proofErr w:type="spellEnd"/>
      <w:r w:rsidRPr="008134A5">
        <w:rPr>
          <w:i/>
          <w:snapToGrid w:val="0"/>
          <w:lang w:val="de-DE"/>
        </w:rPr>
        <w:t xml:space="preserve"> de </w:t>
      </w:r>
      <w:proofErr w:type="spellStart"/>
      <w:r w:rsidRPr="008134A5">
        <w:rPr>
          <w:i/>
          <w:snapToGrid w:val="0"/>
          <w:lang w:val="de-DE"/>
        </w:rPr>
        <w:t>Semillistas</w:t>
      </w:r>
      <w:proofErr w:type="spellEnd"/>
      <w:r w:rsidRPr="008134A5">
        <w:rPr>
          <w:lang w:val="de-DE"/>
        </w:rPr>
        <w:t xml:space="preserve"> (FELAS), die </w:t>
      </w:r>
      <w:proofErr w:type="spellStart"/>
      <w:r w:rsidRPr="008134A5">
        <w:rPr>
          <w:lang w:val="de-DE"/>
        </w:rPr>
        <w:t>Seed</w:t>
      </w:r>
      <w:proofErr w:type="spellEnd"/>
      <w:r w:rsidRPr="008134A5">
        <w:rPr>
          <w:lang w:val="de-DE"/>
        </w:rPr>
        <w:t xml:space="preserve"> </w:t>
      </w:r>
      <w:proofErr w:type="spellStart"/>
      <w:r w:rsidRPr="008134A5">
        <w:rPr>
          <w:lang w:val="de-DE"/>
        </w:rPr>
        <w:t>Association</w:t>
      </w:r>
      <w:proofErr w:type="spellEnd"/>
      <w:r w:rsidRPr="008134A5">
        <w:rPr>
          <w:lang w:val="de-DE"/>
        </w:rPr>
        <w:t xml:space="preserve"> </w:t>
      </w:r>
      <w:proofErr w:type="spellStart"/>
      <w:r w:rsidRPr="008134A5">
        <w:rPr>
          <w:lang w:val="de-DE"/>
        </w:rPr>
        <w:t>of</w:t>
      </w:r>
      <w:proofErr w:type="spellEnd"/>
      <w:r w:rsidRPr="008134A5">
        <w:rPr>
          <w:lang w:val="de-DE"/>
        </w:rPr>
        <w:t xml:space="preserve"> </w:t>
      </w:r>
      <w:proofErr w:type="spellStart"/>
      <w:r w:rsidRPr="008134A5">
        <w:rPr>
          <w:lang w:val="de-DE"/>
        </w:rPr>
        <w:t>the</w:t>
      </w:r>
      <w:proofErr w:type="spellEnd"/>
      <w:r w:rsidRPr="008134A5">
        <w:rPr>
          <w:lang w:val="de-DE"/>
        </w:rPr>
        <w:t xml:space="preserve"> </w:t>
      </w:r>
      <w:proofErr w:type="spellStart"/>
      <w:r w:rsidRPr="008134A5">
        <w:rPr>
          <w:lang w:val="de-DE"/>
        </w:rPr>
        <w:t>Americas</w:t>
      </w:r>
      <w:proofErr w:type="spellEnd"/>
      <w:r w:rsidRPr="008134A5">
        <w:rPr>
          <w:lang w:val="de-DE"/>
        </w:rPr>
        <w:t xml:space="preserve"> (SAA).</w:t>
      </w:r>
    </w:p>
    <w:p w:rsidR="008134A5" w:rsidRPr="008134A5" w:rsidRDefault="008134A5" w:rsidP="008134A5">
      <w:pPr>
        <w:pStyle w:val="ListParagraph"/>
        <w:tabs>
          <w:tab w:val="left" w:pos="851"/>
        </w:tabs>
        <w:ind w:left="567"/>
        <w:rPr>
          <w:rFonts w:cs="Arial"/>
          <w:snapToGrid w:val="0"/>
          <w:lang w:val="de-DE"/>
        </w:rPr>
      </w:pPr>
    </w:p>
    <w:p w:rsidR="008134A5" w:rsidRPr="008134A5" w:rsidRDefault="008134A5" w:rsidP="008134A5">
      <w:pPr>
        <w:pStyle w:val="ListParagraph"/>
        <w:numPr>
          <w:ilvl w:val="0"/>
          <w:numId w:val="15"/>
        </w:numPr>
        <w:tabs>
          <w:tab w:val="left" w:pos="851"/>
        </w:tabs>
        <w:ind w:left="567"/>
        <w:rPr>
          <w:rFonts w:cs="Arial"/>
          <w:snapToGrid w:val="0"/>
          <w:lang w:val="de-DE"/>
        </w:rPr>
      </w:pPr>
      <w:r w:rsidRPr="008134A5">
        <w:rPr>
          <w:lang w:val="de-DE"/>
        </w:rPr>
        <w:t xml:space="preserve">Landwirte: Weltbauernverband (WFO), </w:t>
      </w:r>
      <w:proofErr w:type="spellStart"/>
      <w:r w:rsidRPr="008134A5">
        <w:rPr>
          <w:lang w:val="de-DE"/>
        </w:rPr>
        <w:t>Ausschuß</w:t>
      </w:r>
      <w:proofErr w:type="spellEnd"/>
      <w:r w:rsidRPr="008134A5">
        <w:rPr>
          <w:lang w:val="de-DE"/>
        </w:rPr>
        <w:t xml:space="preserve"> landwirtschaftlicher Organisationen in der Europäischen Union (COPA); Allgemeiner </w:t>
      </w:r>
      <w:proofErr w:type="spellStart"/>
      <w:r w:rsidRPr="008134A5">
        <w:rPr>
          <w:lang w:val="de-DE"/>
        </w:rPr>
        <w:t>Ausschuß</w:t>
      </w:r>
      <w:proofErr w:type="spellEnd"/>
      <w:r w:rsidRPr="008134A5">
        <w:rPr>
          <w:lang w:val="de-DE"/>
        </w:rPr>
        <w:t xml:space="preserve"> für ländliches Genossenschaftswesen der Europäischen Union (COGECA); Europäische Koordination Via </w:t>
      </w:r>
      <w:proofErr w:type="spellStart"/>
      <w:r w:rsidRPr="008134A5">
        <w:rPr>
          <w:lang w:val="de-DE"/>
        </w:rPr>
        <w:t>Campesina</w:t>
      </w:r>
      <w:proofErr w:type="spellEnd"/>
      <w:r w:rsidRPr="008134A5">
        <w:rPr>
          <w:lang w:val="de-DE"/>
        </w:rPr>
        <w:t xml:space="preserve"> (ECVC).</w:t>
      </w:r>
    </w:p>
    <w:p w:rsidR="008134A5" w:rsidRPr="003F486D" w:rsidRDefault="008134A5" w:rsidP="008134A5">
      <w:pPr>
        <w:tabs>
          <w:tab w:val="left" w:pos="851"/>
        </w:tabs>
        <w:rPr>
          <w:rFonts w:cs="Arial"/>
          <w:snapToGrid w:val="0"/>
        </w:rPr>
      </w:pPr>
    </w:p>
    <w:p w:rsidR="008134A5" w:rsidRPr="008134A5" w:rsidRDefault="008134A5" w:rsidP="008134A5">
      <w:pPr>
        <w:pStyle w:val="ListParagraph"/>
        <w:numPr>
          <w:ilvl w:val="0"/>
          <w:numId w:val="15"/>
        </w:numPr>
        <w:tabs>
          <w:tab w:val="left" w:pos="851"/>
        </w:tabs>
        <w:ind w:left="567"/>
        <w:rPr>
          <w:rFonts w:cs="Arial"/>
          <w:snapToGrid w:val="0"/>
          <w:lang w:val="de-DE"/>
        </w:rPr>
      </w:pPr>
      <w:r w:rsidRPr="008134A5">
        <w:rPr>
          <w:rFonts w:cs="Arial"/>
          <w:snapToGrid w:val="0"/>
          <w:lang w:val="de-DE"/>
        </w:rPr>
        <w:t>Zivilgesellschaft: Vereinigung für Pflanzenzüchtung zum Nutzen der Gesellschaft (APBREBES)</w:t>
      </w:r>
    </w:p>
    <w:p w:rsidR="008134A5" w:rsidRPr="003F486D" w:rsidRDefault="008134A5" w:rsidP="008134A5">
      <w:pPr>
        <w:tabs>
          <w:tab w:val="left" w:pos="851"/>
        </w:tabs>
      </w:pPr>
    </w:p>
    <w:p w:rsidR="008134A5" w:rsidRPr="003F486D" w:rsidRDefault="008134A5" w:rsidP="008134A5">
      <w:pPr>
        <w:tabs>
          <w:tab w:val="left" w:pos="851"/>
        </w:tabs>
      </w:pPr>
    </w:p>
    <w:p w:rsidR="008134A5" w:rsidRPr="003F486D" w:rsidRDefault="008134A5" w:rsidP="008134A5">
      <w:pPr>
        <w:pStyle w:val="Heading2"/>
        <w:rPr>
          <w:lang w:val="de-DE"/>
        </w:rPr>
      </w:pPr>
      <w:r w:rsidRPr="003F486D">
        <w:rPr>
          <w:lang w:val="de-DE"/>
        </w:rPr>
        <w:t>Kommunikation mit anderen Organisationen</w:t>
      </w:r>
    </w:p>
    <w:p w:rsidR="008134A5" w:rsidRPr="003F486D" w:rsidRDefault="008134A5" w:rsidP="008134A5">
      <w:pPr>
        <w:tabs>
          <w:tab w:val="left" w:pos="851"/>
        </w:tabs>
      </w:pPr>
    </w:p>
    <w:p w:rsidR="008134A5" w:rsidRPr="003F486D" w:rsidRDefault="008134A5" w:rsidP="008134A5">
      <w:r w:rsidRPr="003F486D">
        <w:t>2.4.2.5</w:t>
      </w:r>
      <w:r w:rsidRPr="003F486D">
        <w:tab/>
        <w:t>Die UPOV wird sich an der Arbeit einschlägiger zwischenstaatlicher Organisationen beteiligen, um das UPOV-Sortenschutzsystem mit dem Ziel der gegenseitigen Unterstützung zu erläutern und</w:t>
      </w:r>
      <w:r>
        <w:t xml:space="preserve"> Informationen</w:t>
      </w:r>
      <w:r w:rsidRPr="003F486D">
        <w:t xml:space="preserve"> auszutauschen. Die UPOV wird weiterhin in Verbindung mit der WIPO; der WTO und insbesondere deren Rat für handelsbezogene Aspekte der Rechte des geistigen Eigentums (Rat für TRIPS); der Konferenz der Vertragsparteien des Übereinkommens über die biologische Vielfalt (CBD), einschließlich insbesondere ihren verschiedenen Ausschüssen und Arbeitsgruppen betreffend das Nagoya-Protokoll über den Zugang zu </w:t>
      </w:r>
      <w:r>
        <w:t>g</w:t>
      </w:r>
      <w:r w:rsidRPr="003F486D">
        <w:t>enetischen Ressourcen und die gerechte und ausgewogene Beteiligung an den Vorteilen aus ihrer Nutzung zum Übereinkommen über die biologische Vielfalt; und der Ernährungs- und Landwirtschaftsorganisation der Vereinten Nationen (FAO), einschließlich insbesondere dem Verwaltungsrat des Internationalen Vertrags über pflanzengenetische Ressourcen für Ernährung und Landwirtschaft (ITPGRFA)</w:t>
      </w:r>
      <w:r>
        <w:t xml:space="preserve"> </w:t>
      </w:r>
      <w:r w:rsidRPr="003F486D">
        <w:t xml:space="preserve">stehen. Die Rolle von Sortenschutz für Forschungsinstitute des öffentlichen Sektors bedeutet, </w:t>
      </w:r>
      <w:proofErr w:type="spellStart"/>
      <w:r w:rsidRPr="003F486D">
        <w:t>daß</w:t>
      </w:r>
      <w:proofErr w:type="spellEnd"/>
      <w:r w:rsidRPr="003F486D">
        <w:t xml:space="preserve"> die UPOV sich auch darum bemühen wird, Verbindungen zu den einschlägigen Zentren der Beratenden Gruppe für die internationale landwirtschaftliche Forschung (CGIAR) zu entwickeln und aufrecht zu erhalten. </w:t>
      </w:r>
    </w:p>
    <w:p w:rsidR="008134A5" w:rsidRPr="003F486D" w:rsidRDefault="008134A5" w:rsidP="008134A5">
      <w:pPr>
        <w:tabs>
          <w:tab w:val="left" w:pos="851"/>
        </w:tabs>
      </w:pPr>
    </w:p>
    <w:p w:rsidR="003B442C" w:rsidRPr="003F486D" w:rsidRDefault="008134A5" w:rsidP="003B442C">
      <w:pPr>
        <w:rPr>
          <w:snapToGrid w:val="0"/>
        </w:rPr>
      </w:pPr>
      <w:r w:rsidRPr="003F486D">
        <w:t>2.4.2.6</w:t>
      </w:r>
      <w:r w:rsidRPr="003F486D">
        <w:tab/>
        <w:t xml:space="preserve">Im Hinblick auf Organisationen im Saatgutbereich ist die Zusammenarbeit der UPOV mit der OECD im Hinblick auf die Saatgutschemata der OECD, und mit der ISTA besonders wichtig im Hinblick auf technische Angelegenheiten, z.B. DUS-Prüfung, Sortenbezeichnungen und die Rolle molekularer Marker bei der Sortenprüfung und -erkennung. </w:t>
      </w:r>
      <w:r w:rsidR="003B442C">
        <w:t>D</w:t>
      </w:r>
      <w:r w:rsidR="003B442C">
        <w:rPr>
          <w:snapToGrid w:val="0"/>
        </w:rPr>
        <w:t xml:space="preserve">ie </w:t>
      </w:r>
      <w:r w:rsidR="003B442C" w:rsidRPr="00417518">
        <w:rPr>
          <w:i/>
          <w:snapToGrid w:val="0"/>
        </w:rPr>
        <w:t xml:space="preserve">World </w:t>
      </w:r>
      <w:proofErr w:type="spellStart"/>
      <w:r w:rsidR="003B442C" w:rsidRPr="00417518">
        <w:rPr>
          <w:i/>
          <w:snapToGrid w:val="0"/>
        </w:rPr>
        <w:t>Seed</w:t>
      </w:r>
      <w:proofErr w:type="spellEnd"/>
      <w:r w:rsidR="003B442C" w:rsidRPr="00417518">
        <w:rPr>
          <w:i/>
          <w:snapToGrid w:val="0"/>
        </w:rPr>
        <w:t xml:space="preserve"> </w:t>
      </w:r>
      <w:proofErr w:type="spellStart"/>
      <w:r w:rsidR="003B442C" w:rsidRPr="00417518">
        <w:rPr>
          <w:i/>
          <w:snapToGrid w:val="0"/>
        </w:rPr>
        <w:t>Partnership</w:t>
      </w:r>
      <w:proofErr w:type="spellEnd"/>
      <w:r w:rsidR="00EA72FF">
        <w:rPr>
          <w:i/>
          <w:snapToGrid w:val="0"/>
        </w:rPr>
        <w:t xml:space="preserve"> </w:t>
      </w:r>
      <w:r w:rsidR="00EA72FF">
        <w:rPr>
          <w:rFonts w:eastAsia="Arial" w:cs="Arial"/>
          <w:spacing w:val="4"/>
        </w:rPr>
        <w:t>(</w:t>
      </w:r>
      <w:hyperlink r:id="rId20">
        <w:r w:rsidR="00EA72FF">
          <w:rPr>
            <w:rFonts w:eastAsia="Arial" w:cs="Arial"/>
            <w:color w:val="0000FF"/>
            <w:u w:val="single" w:color="0000FF"/>
          </w:rPr>
          <w:t>ww</w:t>
        </w:r>
        <w:r w:rsidR="00EA72FF">
          <w:rPr>
            <w:rFonts w:eastAsia="Arial" w:cs="Arial"/>
            <w:color w:val="0000FF"/>
            <w:spacing w:val="-2"/>
            <w:u w:val="single" w:color="0000FF"/>
          </w:rPr>
          <w:t>w</w:t>
        </w:r>
        <w:r w:rsidR="00EA72FF">
          <w:rPr>
            <w:rFonts w:eastAsia="Arial" w:cs="Arial"/>
            <w:color w:val="0000FF"/>
            <w:spacing w:val="2"/>
            <w:u w:val="single" w:color="0000FF"/>
          </w:rPr>
          <w:t>.</w:t>
        </w:r>
        <w:r w:rsidR="00EA72FF">
          <w:rPr>
            <w:rFonts w:eastAsia="Arial" w:cs="Arial"/>
            <w:color w:val="0000FF"/>
            <w:u w:val="single" w:color="0000FF"/>
          </w:rPr>
          <w:t>wo</w:t>
        </w:r>
        <w:r w:rsidR="00EA72FF">
          <w:rPr>
            <w:rFonts w:eastAsia="Arial" w:cs="Arial"/>
            <w:color w:val="0000FF"/>
            <w:spacing w:val="1"/>
            <w:u w:val="single" w:color="0000FF"/>
          </w:rPr>
          <w:t>r</w:t>
        </w:r>
        <w:r w:rsidR="00EA72FF">
          <w:rPr>
            <w:rFonts w:eastAsia="Arial" w:cs="Arial"/>
            <w:color w:val="0000FF"/>
            <w:spacing w:val="-1"/>
            <w:u w:val="single" w:color="0000FF"/>
          </w:rPr>
          <w:t>l</w:t>
        </w:r>
        <w:r w:rsidR="00EA72FF">
          <w:rPr>
            <w:rFonts w:eastAsia="Arial" w:cs="Arial"/>
            <w:color w:val="0000FF"/>
            <w:u w:val="single" w:color="0000FF"/>
          </w:rPr>
          <w:t>d</w:t>
        </w:r>
        <w:r w:rsidR="00EA72FF">
          <w:rPr>
            <w:rFonts w:eastAsia="Arial" w:cs="Arial"/>
            <w:color w:val="0000FF"/>
            <w:spacing w:val="1"/>
            <w:u w:val="single" w:color="0000FF"/>
          </w:rPr>
          <w:t>s</w:t>
        </w:r>
        <w:r w:rsidR="00EA72FF">
          <w:rPr>
            <w:rFonts w:eastAsia="Arial" w:cs="Arial"/>
            <w:color w:val="0000FF"/>
            <w:u w:val="single" w:color="0000FF"/>
          </w:rPr>
          <w:t>e</w:t>
        </w:r>
        <w:r w:rsidR="00EA72FF">
          <w:rPr>
            <w:rFonts w:eastAsia="Arial" w:cs="Arial"/>
            <w:color w:val="0000FF"/>
            <w:spacing w:val="2"/>
            <w:u w:val="single" w:color="0000FF"/>
          </w:rPr>
          <w:t>e</w:t>
        </w:r>
        <w:r w:rsidR="00EA72FF">
          <w:rPr>
            <w:rFonts w:eastAsia="Arial" w:cs="Arial"/>
            <w:color w:val="0000FF"/>
            <w:u w:val="single" w:color="0000FF"/>
          </w:rPr>
          <w:t>dpa</w:t>
        </w:r>
        <w:r w:rsidR="00EA72FF">
          <w:rPr>
            <w:rFonts w:eastAsia="Arial" w:cs="Arial"/>
            <w:color w:val="0000FF"/>
            <w:spacing w:val="1"/>
            <w:u w:val="single" w:color="0000FF"/>
          </w:rPr>
          <w:t>r</w:t>
        </w:r>
        <w:r w:rsidR="00EA72FF">
          <w:rPr>
            <w:rFonts w:eastAsia="Arial" w:cs="Arial"/>
            <w:color w:val="0000FF"/>
            <w:spacing w:val="2"/>
            <w:u w:val="single" w:color="0000FF"/>
          </w:rPr>
          <w:t>t</w:t>
        </w:r>
        <w:r w:rsidR="00EA72FF">
          <w:rPr>
            <w:rFonts w:eastAsia="Arial" w:cs="Arial"/>
            <w:color w:val="0000FF"/>
            <w:u w:val="single" w:color="0000FF"/>
          </w:rPr>
          <w:t>ne</w:t>
        </w:r>
        <w:r w:rsidR="00EA72FF">
          <w:rPr>
            <w:rFonts w:eastAsia="Arial" w:cs="Arial"/>
            <w:color w:val="0000FF"/>
            <w:spacing w:val="1"/>
            <w:u w:val="single" w:color="0000FF"/>
          </w:rPr>
          <w:t>rs</w:t>
        </w:r>
        <w:r w:rsidR="00EA72FF">
          <w:rPr>
            <w:rFonts w:eastAsia="Arial" w:cs="Arial"/>
            <w:color w:val="0000FF"/>
            <w:u w:val="single" w:color="0000FF"/>
          </w:rPr>
          <w:t>h</w:t>
        </w:r>
        <w:r w:rsidR="00EA72FF">
          <w:rPr>
            <w:rFonts w:eastAsia="Arial" w:cs="Arial"/>
            <w:color w:val="0000FF"/>
            <w:spacing w:val="1"/>
            <w:u w:val="single" w:color="0000FF"/>
          </w:rPr>
          <w:t>i</w:t>
        </w:r>
        <w:r w:rsidR="00EA72FF">
          <w:rPr>
            <w:rFonts w:eastAsia="Arial" w:cs="Arial"/>
            <w:color w:val="0000FF"/>
            <w:u w:val="single" w:color="0000FF"/>
          </w:rPr>
          <w:t>p.o</w:t>
        </w:r>
        <w:r w:rsidR="00EA72FF">
          <w:rPr>
            <w:rFonts w:eastAsia="Arial" w:cs="Arial"/>
            <w:color w:val="0000FF"/>
            <w:spacing w:val="1"/>
            <w:u w:val="single" w:color="0000FF"/>
          </w:rPr>
          <w:t>rg</w:t>
        </w:r>
      </w:hyperlink>
      <w:r w:rsidR="00EA72FF">
        <w:rPr>
          <w:rFonts w:eastAsia="Arial" w:cs="Arial"/>
          <w:color w:val="000000"/>
          <w:spacing w:val="1"/>
        </w:rPr>
        <w:t>)</w:t>
      </w:r>
      <w:r w:rsidR="003B442C">
        <w:rPr>
          <w:snapToGrid w:val="0"/>
        </w:rPr>
        <w:t xml:space="preserve">, eine gemeinsame Initiative von </w:t>
      </w:r>
      <w:r w:rsidR="003B442C" w:rsidRPr="003F486D">
        <w:rPr>
          <w:snapToGrid w:val="0"/>
        </w:rPr>
        <w:t>OECD, UPOV, ISTA</w:t>
      </w:r>
      <w:r w:rsidR="003B442C">
        <w:rPr>
          <w:snapToGrid w:val="0"/>
        </w:rPr>
        <w:t xml:space="preserve"> und </w:t>
      </w:r>
      <w:r w:rsidR="003B442C" w:rsidRPr="003F486D">
        <w:rPr>
          <w:snapToGrid w:val="0"/>
        </w:rPr>
        <w:t>ISF</w:t>
      </w:r>
      <w:r w:rsidR="003B442C">
        <w:rPr>
          <w:snapToGrid w:val="0"/>
        </w:rPr>
        <w:t>, wurde 2017</w:t>
      </w:r>
      <w:r w:rsidR="003B442C" w:rsidRPr="003F486D">
        <w:rPr>
          <w:snapToGrid w:val="0"/>
        </w:rPr>
        <w:t xml:space="preserve"> </w:t>
      </w:r>
      <w:r w:rsidR="003B442C">
        <w:rPr>
          <w:snapToGrid w:val="0"/>
        </w:rPr>
        <w:t xml:space="preserve">als </w:t>
      </w:r>
      <w:r w:rsidR="003B442C" w:rsidRPr="00463324">
        <w:rPr>
          <w:snapToGrid w:val="0"/>
        </w:rPr>
        <w:t>eine einzige</w:t>
      </w:r>
      <w:r w:rsidR="003B442C">
        <w:rPr>
          <w:snapToGrid w:val="0"/>
        </w:rPr>
        <w:t xml:space="preserve"> Anlaufstelle</w:t>
      </w:r>
      <w:r w:rsidR="003B442C" w:rsidRPr="00463324">
        <w:rPr>
          <w:snapToGrid w:val="0"/>
        </w:rPr>
        <w:t xml:space="preserve"> für </w:t>
      </w:r>
      <w:r w:rsidR="003B442C">
        <w:rPr>
          <w:snapToGrid w:val="0"/>
        </w:rPr>
        <w:t>Informationen</w:t>
      </w:r>
      <w:r w:rsidR="003B442C" w:rsidRPr="00463324">
        <w:rPr>
          <w:snapToGrid w:val="0"/>
        </w:rPr>
        <w:t xml:space="preserve"> zu</w:t>
      </w:r>
      <w:r w:rsidR="003B442C">
        <w:rPr>
          <w:snapToGrid w:val="0"/>
        </w:rPr>
        <w:t>r Rolle von international harmonisierten Saatgutsystemen bei der Unterstützung von nachhaltiger Landwirtschaft</w:t>
      </w:r>
      <w:r w:rsidR="003B442C" w:rsidRPr="00C738AB">
        <w:rPr>
          <w:snapToGrid w:val="0"/>
        </w:rPr>
        <w:t xml:space="preserve"> </w:t>
      </w:r>
      <w:r w:rsidR="003B442C">
        <w:rPr>
          <w:snapToGrid w:val="0"/>
        </w:rPr>
        <w:t>lanciert</w:t>
      </w:r>
      <w:r w:rsidR="003B442C" w:rsidRPr="003F486D">
        <w:rPr>
          <w:snapToGrid w:val="0"/>
        </w:rPr>
        <w:t>.</w:t>
      </w:r>
    </w:p>
    <w:p w:rsidR="00860C04" w:rsidRDefault="00860C04" w:rsidP="008134A5"/>
    <w:p w:rsidR="008134A5" w:rsidRPr="003F486D" w:rsidRDefault="00860C04" w:rsidP="008134A5">
      <w:r>
        <w:t>2.4.2.7</w:t>
      </w:r>
      <w:r>
        <w:tab/>
      </w:r>
      <w:r w:rsidR="008134A5" w:rsidRPr="003F486D">
        <w:t>In Bezug auf Sortenbezeichnungen ist die Zusammenarbeit mit der Internationalen Kommission für die Nomenklatur der Kulturpflanzen (</w:t>
      </w:r>
      <w:r w:rsidR="008134A5" w:rsidRPr="003F486D">
        <w:rPr>
          <w:i/>
        </w:rPr>
        <w:t xml:space="preserve">International </w:t>
      </w:r>
      <w:proofErr w:type="spellStart"/>
      <w:r w:rsidR="008134A5" w:rsidRPr="003F486D">
        <w:rPr>
          <w:i/>
        </w:rPr>
        <w:t>Commission</w:t>
      </w:r>
      <w:proofErr w:type="spellEnd"/>
      <w:r w:rsidR="008134A5">
        <w:rPr>
          <w:i/>
        </w:rPr>
        <w:t xml:space="preserve"> für </w:t>
      </w:r>
      <w:proofErr w:type="spellStart"/>
      <w:r w:rsidR="008134A5" w:rsidRPr="003F486D">
        <w:rPr>
          <w:i/>
        </w:rPr>
        <w:t>the</w:t>
      </w:r>
      <w:proofErr w:type="spellEnd"/>
      <w:r w:rsidR="008134A5" w:rsidRPr="003F486D">
        <w:rPr>
          <w:i/>
        </w:rPr>
        <w:t xml:space="preserve"> </w:t>
      </w:r>
      <w:proofErr w:type="spellStart"/>
      <w:r w:rsidR="008134A5" w:rsidRPr="003F486D">
        <w:rPr>
          <w:i/>
        </w:rPr>
        <w:t>Nomenclature</w:t>
      </w:r>
      <w:proofErr w:type="spellEnd"/>
      <w:r w:rsidR="008134A5" w:rsidRPr="003F486D">
        <w:rPr>
          <w:i/>
        </w:rPr>
        <w:t xml:space="preserve"> </w:t>
      </w:r>
      <w:proofErr w:type="spellStart"/>
      <w:r w:rsidR="008134A5" w:rsidRPr="003F486D">
        <w:rPr>
          <w:i/>
        </w:rPr>
        <w:t>of</w:t>
      </w:r>
      <w:proofErr w:type="spellEnd"/>
      <w:r w:rsidR="008134A5" w:rsidRPr="003F486D">
        <w:rPr>
          <w:i/>
        </w:rPr>
        <w:t xml:space="preserve"> </w:t>
      </w:r>
      <w:proofErr w:type="spellStart"/>
      <w:r w:rsidR="008134A5" w:rsidRPr="003F486D">
        <w:rPr>
          <w:i/>
        </w:rPr>
        <w:t>Cultivated</w:t>
      </w:r>
      <w:proofErr w:type="spellEnd"/>
      <w:r w:rsidR="008134A5" w:rsidRPr="003F486D">
        <w:rPr>
          <w:i/>
        </w:rPr>
        <w:t xml:space="preserve"> </w:t>
      </w:r>
      <w:proofErr w:type="spellStart"/>
      <w:r w:rsidR="008134A5" w:rsidRPr="003F486D">
        <w:rPr>
          <w:i/>
        </w:rPr>
        <w:t>Plants</w:t>
      </w:r>
      <w:proofErr w:type="spellEnd"/>
      <w:r w:rsidR="008134A5" w:rsidRPr="003F486D">
        <w:t>), der Internationalen Vereinigung der biologischen Wissenschaften (</w:t>
      </w:r>
      <w:r w:rsidR="008134A5" w:rsidRPr="003F486D">
        <w:rPr>
          <w:i/>
        </w:rPr>
        <w:t xml:space="preserve">International Union </w:t>
      </w:r>
      <w:proofErr w:type="spellStart"/>
      <w:r w:rsidR="008134A5" w:rsidRPr="003F486D">
        <w:rPr>
          <w:i/>
        </w:rPr>
        <w:t>of</w:t>
      </w:r>
      <w:proofErr w:type="spellEnd"/>
      <w:r w:rsidR="008134A5" w:rsidRPr="003F486D">
        <w:rPr>
          <w:i/>
        </w:rPr>
        <w:t xml:space="preserve"> Biological </w:t>
      </w:r>
      <w:proofErr w:type="spellStart"/>
      <w:r w:rsidR="008134A5" w:rsidRPr="003F486D">
        <w:rPr>
          <w:i/>
        </w:rPr>
        <w:t>Sciences</w:t>
      </w:r>
      <w:proofErr w:type="spellEnd"/>
      <w:r w:rsidR="008134A5" w:rsidRPr="003F486D">
        <w:t>) (IUBS Kommission) ebenfalls von Bedeutung.</w:t>
      </w:r>
      <w:r w:rsidR="008134A5">
        <w:t xml:space="preserve"> </w:t>
      </w:r>
    </w:p>
    <w:p w:rsidR="008134A5" w:rsidRPr="003F486D" w:rsidRDefault="008134A5" w:rsidP="008134A5"/>
    <w:p w:rsidR="008134A5" w:rsidRPr="003F486D" w:rsidRDefault="008134A5" w:rsidP="008134A5"/>
    <w:p w:rsidR="008134A5" w:rsidRPr="003F486D" w:rsidRDefault="008134A5" w:rsidP="008134A5">
      <w:pPr>
        <w:keepNext/>
        <w:rPr>
          <w:b/>
        </w:rPr>
      </w:pPr>
      <w:r w:rsidRPr="003F486D">
        <w:rPr>
          <w:b/>
        </w:rPr>
        <w:t>2.4.3</w:t>
      </w:r>
      <w:r w:rsidRPr="003F486D">
        <w:tab/>
      </w:r>
      <w:r w:rsidRPr="003F486D">
        <w:rPr>
          <w:b/>
        </w:rPr>
        <w:t>Tätigkeiten</w:t>
      </w:r>
    </w:p>
    <w:p w:rsidR="008134A5" w:rsidRPr="003F486D" w:rsidRDefault="008134A5" w:rsidP="008134A5">
      <w:pPr>
        <w:keepNext/>
      </w:pPr>
    </w:p>
    <w:p w:rsidR="008134A5" w:rsidRPr="003F486D" w:rsidRDefault="008134A5" w:rsidP="008134A5">
      <w:pPr>
        <w:numPr>
          <w:ilvl w:val="0"/>
          <w:numId w:val="12"/>
        </w:numPr>
        <w:tabs>
          <w:tab w:val="clear" w:pos="720"/>
        </w:tabs>
        <w:spacing w:after="120"/>
        <w:ind w:left="1134" w:hanging="504"/>
      </w:pPr>
      <w:r w:rsidRPr="003F486D">
        <w:t>Teilnahme an Sitzungen von zwischenstaatlichen Organisationen und Nichtregierungsorganisationen.</w:t>
      </w:r>
    </w:p>
    <w:p w:rsidR="008134A5" w:rsidRPr="003F486D" w:rsidRDefault="008134A5" w:rsidP="008134A5">
      <w:pPr>
        <w:numPr>
          <w:ilvl w:val="0"/>
          <w:numId w:val="12"/>
        </w:numPr>
        <w:tabs>
          <w:tab w:val="clear" w:pos="720"/>
        </w:tabs>
        <w:spacing w:after="120"/>
        <w:ind w:left="1134" w:hanging="504"/>
      </w:pPr>
      <w:r w:rsidRPr="003F486D">
        <w:t>Erteilung von Kommentaren und Auskünften an andere zwischenstaatliche Organisationen.</w:t>
      </w:r>
    </w:p>
    <w:p w:rsidR="008134A5" w:rsidRPr="003F486D" w:rsidRDefault="008134A5" w:rsidP="008134A5">
      <w:pPr>
        <w:numPr>
          <w:ilvl w:val="0"/>
          <w:numId w:val="12"/>
        </w:numPr>
        <w:spacing w:after="120"/>
        <w:ind w:left="1134" w:hanging="505"/>
      </w:pPr>
      <w:r w:rsidRPr="003F486D">
        <w:t>Erhaltung und Weiterentwicklung der UPOV-</w:t>
      </w:r>
      <w:r>
        <w:t>Website</w:t>
      </w:r>
      <w:r w:rsidRPr="003F486D">
        <w:t>, einschließlich interessengruppenbezogener Funktionen.</w:t>
      </w:r>
    </w:p>
    <w:p w:rsidR="008134A5" w:rsidRPr="008134A5" w:rsidRDefault="008134A5" w:rsidP="008134A5">
      <w:pPr>
        <w:pStyle w:val="ListParagraph"/>
        <w:numPr>
          <w:ilvl w:val="0"/>
          <w:numId w:val="12"/>
        </w:numPr>
        <w:spacing w:after="120"/>
        <w:ind w:left="1134" w:hanging="505"/>
        <w:contextualSpacing w:val="0"/>
        <w:rPr>
          <w:lang w:val="de-DE"/>
        </w:rPr>
      </w:pPr>
      <w:r w:rsidRPr="008134A5">
        <w:rPr>
          <w:lang w:val="de-DE"/>
        </w:rPr>
        <w:t>Ausarbeitung und Verbreitung von Informationsmaterial für Interessengruppen.</w:t>
      </w:r>
    </w:p>
    <w:p w:rsidR="008134A5" w:rsidRPr="008134A5" w:rsidRDefault="008134A5" w:rsidP="008134A5">
      <w:pPr>
        <w:pStyle w:val="ListParagraph"/>
        <w:numPr>
          <w:ilvl w:val="0"/>
          <w:numId w:val="12"/>
        </w:numPr>
        <w:spacing w:after="120"/>
        <w:ind w:left="1134" w:hanging="504"/>
        <w:rPr>
          <w:lang w:val="de-DE"/>
        </w:rPr>
      </w:pPr>
      <w:r w:rsidRPr="008134A5">
        <w:rPr>
          <w:lang w:val="de-DE"/>
        </w:rPr>
        <w:t>Seminare und Symposien über einschlägige Themen.</w:t>
      </w:r>
    </w:p>
    <w:p w:rsidR="008134A5" w:rsidRPr="003F486D" w:rsidRDefault="008134A5" w:rsidP="008134A5"/>
    <w:p w:rsidR="008134A5" w:rsidRPr="003F486D" w:rsidRDefault="008134A5" w:rsidP="008134A5"/>
    <w:p w:rsidR="008134A5" w:rsidRPr="003F486D" w:rsidRDefault="008134A5" w:rsidP="008134A5">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pPr>
      <w:r w:rsidRPr="003F486D">
        <w:rPr>
          <w:b/>
        </w:rPr>
        <w:t>2.4.4</w:t>
      </w:r>
      <w:r w:rsidRPr="003F486D">
        <w:tab/>
      </w:r>
      <w:r w:rsidRPr="003F486D">
        <w:rPr>
          <w:b/>
        </w:rPr>
        <w:t>Erwartete Ergebnisse und Planerfüllungsindikatoren</w:t>
      </w:r>
    </w:p>
    <w:p w:rsidR="008134A5" w:rsidRPr="003F486D" w:rsidRDefault="008134A5" w:rsidP="008134A5">
      <w:pPr>
        <w:keepNext/>
      </w:pPr>
    </w:p>
    <w:tbl>
      <w:tblPr>
        <w:tblW w:w="9889" w:type="dxa"/>
        <w:tblInd w:w="-103" w:type="dxa"/>
        <w:tblLayout w:type="fixed"/>
        <w:tblCellMar>
          <w:top w:w="57" w:type="dxa"/>
          <w:left w:w="57" w:type="dxa"/>
          <w:bottom w:w="28" w:type="dxa"/>
          <w:right w:w="57" w:type="dxa"/>
        </w:tblCellMar>
        <w:tblLook w:val="0000" w:firstRow="0" w:lastRow="0" w:firstColumn="0" w:lastColumn="0" w:noHBand="0" w:noVBand="0"/>
      </w:tblPr>
      <w:tblGrid>
        <w:gridCol w:w="4503"/>
        <w:gridCol w:w="5386"/>
      </w:tblGrid>
      <w:tr w:rsidR="008134A5" w:rsidRPr="003F486D" w:rsidTr="008134A5">
        <w:trPr>
          <w:cantSplit/>
          <w:tblHeader/>
        </w:trPr>
        <w:tc>
          <w:tcPr>
            <w:tcW w:w="4503" w:type="dxa"/>
            <w:tcBorders>
              <w:top w:val="single" w:sz="4" w:space="0" w:color="000000"/>
              <w:left w:val="single" w:sz="4" w:space="0" w:color="000000"/>
              <w:bottom w:val="single" w:sz="4" w:space="0" w:color="000000"/>
              <w:right w:val="single" w:sz="4" w:space="0" w:color="000000"/>
            </w:tcBorders>
          </w:tcPr>
          <w:p w:rsidR="008134A5" w:rsidRPr="003F486D" w:rsidRDefault="008134A5" w:rsidP="008134A5">
            <w:pPr>
              <w:keepNext/>
              <w:ind w:left="397" w:hanging="397"/>
              <w:jc w:val="center"/>
              <w:rPr>
                <w:color w:val="000000"/>
                <w:u w:val="single"/>
              </w:rPr>
            </w:pPr>
            <w:r w:rsidRPr="003F486D">
              <w:rPr>
                <w:color w:val="000000"/>
                <w:u w:val="single"/>
              </w:rPr>
              <w:t>Erwartete Ergebnisse</w:t>
            </w:r>
          </w:p>
        </w:tc>
        <w:tc>
          <w:tcPr>
            <w:tcW w:w="5386" w:type="dxa"/>
            <w:tcBorders>
              <w:top w:val="single" w:sz="4" w:space="0" w:color="000000"/>
              <w:left w:val="single" w:sz="4" w:space="0" w:color="000000"/>
              <w:bottom w:val="single" w:sz="4" w:space="0" w:color="000000"/>
              <w:right w:val="single" w:sz="4" w:space="0" w:color="000000"/>
            </w:tcBorders>
          </w:tcPr>
          <w:p w:rsidR="008134A5" w:rsidRPr="003F486D" w:rsidRDefault="008134A5" w:rsidP="008134A5">
            <w:pPr>
              <w:keepNext/>
              <w:ind w:left="397" w:hanging="397"/>
              <w:jc w:val="center"/>
              <w:rPr>
                <w:color w:val="000000"/>
                <w:u w:val="single"/>
              </w:rPr>
            </w:pPr>
            <w:r w:rsidRPr="003F486D">
              <w:rPr>
                <w:color w:val="000000"/>
                <w:u w:val="single"/>
              </w:rPr>
              <w:t>Planerfüllungsindikatoren</w:t>
            </w:r>
          </w:p>
        </w:tc>
      </w:tr>
      <w:tr w:rsidR="008134A5" w:rsidRPr="006B70B0" w:rsidTr="008134A5">
        <w:trPr>
          <w:cantSplit/>
        </w:trPr>
        <w:tc>
          <w:tcPr>
            <w:tcW w:w="4503" w:type="dxa"/>
            <w:tcBorders>
              <w:top w:val="single" w:sz="4" w:space="0" w:color="000000"/>
              <w:left w:val="single" w:sz="4" w:space="0" w:color="000000"/>
              <w:bottom w:val="single" w:sz="4" w:space="0" w:color="000000"/>
              <w:right w:val="single" w:sz="4" w:space="0" w:color="000000"/>
            </w:tcBorders>
          </w:tcPr>
          <w:p w:rsidR="008134A5" w:rsidRPr="003F486D" w:rsidRDefault="008134A5" w:rsidP="008134A5">
            <w:pPr>
              <w:keepNext/>
              <w:ind w:left="397" w:hanging="397"/>
              <w:jc w:val="left"/>
              <w:rPr>
                <w:color w:val="000000"/>
              </w:rPr>
            </w:pPr>
            <w:r w:rsidRPr="003F486D">
              <w:rPr>
                <w:color w:val="000000"/>
              </w:rPr>
              <w:t>1.</w:t>
            </w:r>
            <w:r w:rsidRPr="003F486D">
              <w:tab/>
            </w:r>
            <w:r w:rsidRPr="003F486D">
              <w:rPr>
                <w:color w:val="000000"/>
              </w:rPr>
              <w:t>Vertiefung des öffentlichen Verständnisses der Rolle und Tätigkeit der UPOV</w:t>
            </w:r>
          </w:p>
        </w:tc>
        <w:tc>
          <w:tcPr>
            <w:tcW w:w="5386" w:type="dxa"/>
            <w:tcBorders>
              <w:top w:val="single" w:sz="4" w:space="0" w:color="000000"/>
              <w:left w:val="single" w:sz="4" w:space="0" w:color="000000"/>
              <w:bottom w:val="single" w:sz="4" w:space="0" w:color="000000"/>
              <w:right w:val="single" w:sz="4" w:space="0" w:color="000000"/>
            </w:tcBorders>
          </w:tcPr>
          <w:p w:rsidR="008134A5" w:rsidRPr="003F486D" w:rsidRDefault="008134A5" w:rsidP="008134A5">
            <w:pPr>
              <w:keepNext/>
              <w:spacing w:after="60"/>
              <w:ind w:left="397" w:hanging="397"/>
              <w:jc w:val="left"/>
              <w:rPr>
                <w:color w:val="000000"/>
              </w:rPr>
            </w:pPr>
            <w:r w:rsidRPr="003F486D">
              <w:rPr>
                <w:color w:val="000000"/>
              </w:rPr>
              <w:t>a)</w:t>
            </w:r>
            <w:r w:rsidRPr="003F486D">
              <w:tab/>
              <w:t>Verfügbarkeit geeigneter</w:t>
            </w:r>
            <w:r>
              <w:t xml:space="preserve"> Informationen</w:t>
            </w:r>
            <w:r w:rsidRPr="003F486D">
              <w:t xml:space="preserve"> und Materialien für die allgemeine Öffentlichkeit über die UPOV-</w:t>
            </w:r>
            <w:r>
              <w:t>Website</w:t>
            </w:r>
            <w:r w:rsidRPr="003F486D">
              <w:t xml:space="preserve"> und andere Medien;</w:t>
            </w:r>
          </w:p>
          <w:p w:rsidR="008134A5" w:rsidRPr="003F486D" w:rsidRDefault="008134A5" w:rsidP="008134A5">
            <w:pPr>
              <w:keepNext/>
              <w:ind w:left="397" w:hanging="397"/>
              <w:jc w:val="left"/>
              <w:rPr>
                <w:color w:val="000000"/>
              </w:rPr>
            </w:pPr>
            <w:r w:rsidRPr="003F486D">
              <w:rPr>
                <w:color w:val="000000"/>
              </w:rPr>
              <w:t>b)</w:t>
            </w:r>
            <w:r w:rsidRPr="003F486D">
              <w:tab/>
              <w:t>Besuche der für die allgemeine Öffentlichkeit bereitgestellten Funktionen auf der UPOV-Webseite</w:t>
            </w:r>
            <w:r w:rsidRPr="003F486D">
              <w:rPr>
                <w:color w:val="000000"/>
              </w:rPr>
              <w:t>.</w:t>
            </w:r>
          </w:p>
        </w:tc>
      </w:tr>
      <w:tr w:rsidR="008134A5" w:rsidRPr="006B70B0" w:rsidTr="008134A5">
        <w:trPr>
          <w:cantSplit/>
        </w:trPr>
        <w:tc>
          <w:tcPr>
            <w:tcW w:w="4503" w:type="dxa"/>
            <w:tcBorders>
              <w:top w:val="single" w:sz="4" w:space="0" w:color="000000"/>
              <w:left w:val="single" w:sz="4" w:space="0" w:color="000000"/>
              <w:bottom w:val="single" w:sz="4" w:space="0" w:color="000000"/>
              <w:right w:val="single" w:sz="4" w:space="0" w:color="000000"/>
            </w:tcBorders>
          </w:tcPr>
          <w:p w:rsidR="008134A5" w:rsidRPr="003F486D" w:rsidRDefault="008134A5" w:rsidP="008134A5">
            <w:pPr>
              <w:keepNext/>
              <w:ind w:left="397" w:hanging="397"/>
              <w:jc w:val="left"/>
              <w:rPr>
                <w:color w:val="000000"/>
              </w:rPr>
            </w:pPr>
            <w:r w:rsidRPr="003F486D">
              <w:rPr>
                <w:color w:val="000000"/>
              </w:rPr>
              <w:t>2.</w:t>
            </w:r>
            <w:r w:rsidRPr="003F486D">
              <w:tab/>
            </w:r>
            <w:r w:rsidRPr="003F486D">
              <w:rPr>
                <w:color w:val="000000"/>
              </w:rPr>
              <w:t xml:space="preserve">Vertiefung des Verständnisses der Rolle und der Tätigkeiten der UPOV für Interessengruppen </w:t>
            </w:r>
          </w:p>
        </w:tc>
        <w:tc>
          <w:tcPr>
            <w:tcW w:w="5386" w:type="dxa"/>
            <w:tcBorders>
              <w:top w:val="single" w:sz="4" w:space="0" w:color="000000"/>
              <w:left w:val="single" w:sz="4" w:space="0" w:color="000000"/>
              <w:bottom w:val="single" w:sz="4" w:space="0" w:color="000000"/>
              <w:right w:val="single" w:sz="4" w:space="0" w:color="000000"/>
            </w:tcBorders>
          </w:tcPr>
          <w:p w:rsidR="008134A5" w:rsidRPr="003F486D" w:rsidRDefault="008134A5" w:rsidP="008134A5">
            <w:pPr>
              <w:keepNext/>
              <w:spacing w:after="60"/>
              <w:ind w:left="397" w:hanging="397"/>
              <w:jc w:val="left"/>
              <w:rPr>
                <w:color w:val="000000"/>
              </w:rPr>
            </w:pPr>
            <w:r w:rsidRPr="003F486D">
              <w:rPr>
                <w:color w:val="000000"/>
              </w:rPr>
              <w:t>a)</w:t>
            </w:r>
            <w:r w:rsidRPr="003F486D">
              <w:rPr>
                <w:color w:val="000000"/>
              </w:rPr>
              <w:tab/>
            </w:r>
            <w:r>
              <w:rPr>
                <w:color w:val="000000"/>
              </w:rPr>
              <w:t>Verfügbarkeit</w:t>
            </w:r>
            <w:r w:rsidRPr="003F486D">
              <w:rPr>
                <w:color w:val="000000"/>
              </w:rPr>
              <w:t xml:space="preserve"> </w:t>
            </w:r>
            <w:r>
              <w:rPr>
                <w:color w:val="000000"/>
              </w:rPr>
              <w:t>geeigneter Informationen und Materialien</w:t>
            </w:r>
            <w:r w:rsidRPr="003F486D">
              <w:rPr>
                <w:color w:val="000000"/>
              </w:rPr>
              <w:t xml:space="preserve">, </w:t>
            </w:r>
            <w:r>
              <w:rPr>
                <w:color w:val="000000"/>
              </w:rPr>
              <w:t>insbesondere für Züchter</w:t>
            </w:r>
            <w:r w:rsidRPr="003F486D">
              <w:rPr>
                <w:color w:val="000000"/>
              </w:rPr>
              <w:t xml:space="preserve">, </w:t>
            </w:r>
            <w:r>
              <w:rPr>
                <w:color w:val="000000"/>
              </w:rPr>
              <w:t>Landwirte und Politikentscheider, auf der</w:t>
            </w:r>
            <w:r w:rsidRPr="003F486D">
              <w:rPr>
                <w:color w:val="000000"/>
              </w:rPr>
              <w:t xml:space="preserve"> </w:t>
            </w:r>
            <w:r>
              <w:rPr>
                <w:color w:val="000000"/>
              </w:rPr>
              <w:t>UPOV-Website und durch</w:t>
            </w:r>
            <w:r w:rsidRPr="003F486D">
              <w:rPr>
                <w:color w:val="000000"/>
              </w:rPr>
              <w:t xml:space="preserve"> sonstige </w:t>
            </w:r>
            <w:r>
              <w:rPr>
                <w:color w:val="000000"/>
              </w:rPr>
              <w:t>Medien</w:t>
            </w:r>
            <w:r w:rsidRPr="003F486D">
              <w:rPr>
                <w:color w:val="000000"/>
              </w:rPr>
              <w:t>;</w:t>
            </w:r>
          </w:p>
          <w:p w:rsidR="008134A5" w:rsidRPr="003F486D" w:rsidRDefault="008134A5" w:rsidP="008134A5">
            <w:pPr>
              <w:keepNext/>
              <w:spacing w:after="60"/>
              <w:ind w:left="397" w:hanging="397"/>
              <w:jc w:val="left"/>
              <w:rPr>
                <w:color w:val="000000"/>
              </w:rPr>
            </w:pPr>
            <w:r w:rsidRPr="003F486D">
              <w:t>b)</w:t>
            </w:r>
            <w:r w:rsidRPr="003F486D">
              <w:rPr>
                <w:color w:val="000000"/>
              </w:rPr>
              <w:tab/>
            </w:r>
            <w:r w:rsidRPr="003F486D">
              <w:t>Interessengruppenbezogene Funktionen auf der UPOV-</w:t>
            </w:r>
            <w:r>
              <w:t>Website</w:t>
            </w:r>
            <w:r w:rsidRPr="003F486D">
              <w:t>;</w:t>
            </w:r>
          </w:p>
          <w:p w:rsidR="008134A5" w:rsidRPr="003F486D" w:rsidRDefault="008134A5" w:rsidP="008134A5">
            <w:pPr>
              <w:keepNext/>
              <w:spacing w:after="60"/>
              <w:ind w:left="397" w:hanging="397"/>
              <w:jc w:val="left"/>
              <w:rPr>
                <w:color w:val="000000"/>
              </w:rPr>
            </w:pPr>
            <w:r w:rsidRPr="003F486D">
              <w:rPr>
                <w:color w:val="000000"/>
              </w:rPr>
              <w:t>c)</w:t>
            </w:r>
            <w:r w:rsidRPr="003F486D">
              <w:tab/>
              <w:t>Teilnahme von Interessenvertretern an Seminaren und Symposien;</w:t>
            </w:r>
          </w:p>
          <w:p w:rsidR="008134A5" w:rsidRPr="003F486D" w:rsidRDefault="008134A5" w:rsidP="008134A5">
            <w:pPr>
              <w:keepNext/>
              <w:spacing w:after="60"/>
              <w:ind w:left="397" w:hanging="397"/>
              <w:jc w:val="left"/>
              <w:rPr>
                <w:color w:val="000000"/>
              </w:rPr>
            </w:pPr>
            <w:r>
              <w:rPr>
                <w:color w:val="000000"/>
              </w:rPr>
              <w:t>d)</w:t>
            </w:r>
            <w:r w:rsidRPr="003F486D">
              <w:tab/>
              <w:t>Teilnahme an Sitzungen von und mit maßgeblichen Interessenvertretern.</w:t>
            </w:r>
            <w:r w:rsidRPr="003F486D">
              <w:rPr>
                <w:color w:val="000000"/>
              </w:rPr>
              <w:t xml:space="preserve"> </w:t>
            </w:r>
          </w:p>
          <w:p w:rsidR="008134A5" w:rsidRPr="003F486D" w:rsidRDefault="008134A5" w:rsidP="008134A5">
            <w:pPr>
              <w:keepNext/>
              <w:spacing w:after="60"/>
              <w:ind w:left="397" w:hanging="397"/>
              <w:jc w:val="left"/>
              <w:rPr>
                <w:color w:val="000000"/>
              </w:rPr>
            </w:pPr>
            <w:r>
              <w:rPr>
                <w:color w:val="000000"/>
              </w:rPr>
              <w:t>e</w:t>
            </w:r>
            <w:r w:rsidRPr="003F486D">
              <w:rPr>
                <w:color w:val="000000"/>
              </w:rPr>
              <w:t>)</w:t>
            </w:r>
            <w:r w:rsidRPr="003F486D">
              <w:rPr>
                <w:color w:val="000000"/>
              </w:rPr>
              <w:tab/>
            </w:r>
            <w:r>
              <w:rPr>
                <w:color w:val="000000"/>
              </w:rPr>
              <w:t>Artikel</w:t>
            </w:r>
            <w:r w:rsidRPr="003F486D">
              <w:rPr>
                <w:color w:val="000000"/>
              </w:rPr>
              <w:t xml:space="preserve"> in </w:t>
            </w:r>
            <w:r>
              <w:rPr>
                <w:color w:val="000000"/>
              </w:rPr>
              <w:t>maßgeblichen</w:t>
            </w:r>
            <w:r w:rsidRPr="003F486D">
              <w:rPr>
                <w:color w:val="000000"/>
              </w:rPr>
              <w:t xml:space="preserve"> </w:t>
            </w:r>
            <w:r>
              <w:rPr>
                <w:color w:val="000000"/>
              </w:rPr>
              <w:t xml:space="preserve">Veröffentlichungen, an denen die </w:t>
            </w:r>
            <w:r w:rsidRPr="003F486D">
              <w:rPr>
                <w:color w:val="000000"/>
              </w:rPr>
              <w:t xml:space="preserve">UPOV </w:t>
            </w:r>
            <w:r>
              <w:rPr>
                <w:color w:val="000000"/>
              </w:rPr>
              <w:t>mitgewirkt hat</w:t>
            </w:r>
            <w:r w:rsidRPr="003F486D">
              <w:rPr>
                <w:color w:val="000000"/>
              </w:rPr>
              <w:t>.</w:t>
            </w:r>
          </w:p>
        </w:tc>
      </w:tr>
      <w:tr w:rsidR="008134A5" w:rsidRPr="006B70B0" w:rsidTr="008134A5">
        <w:trPr>
          <w:cantSplit/>
        </w:trPr>
        <w:tc>
          <w:tcPr>
            <w:tcW w:w="4503" w:type="dxa"/>
            <w:tcBorders>
              <w:top w:val="single" w:sz="4" w:space="0" w:color="000000"/>
              <w:left w:val="single" w:sz="4" w:space="0" w:color="000000"/>
              <w:bottom w:val="single" w:sz="4" w:space="0" w:color="000000"/>
              <w:right w:val="single" w:sz="4" w:space="0" w:color="000000"/>
            </w:tcBorders>
          </w:tcPr>
          <w:p w:rsidR="008134A5" w:rsidRPr="003F486D" w:rsidRDefault="008134A5" w:rsidP="008134A5">
            <w:pPr>
              <w:keepNext/>
              <w:ind w:left="397" w:hanging="397"/>
              <w:jc w:val="left"/>
              <w:rPr>
                <w:color w:val="000000"/>
              </w:rPr>
            </w:pPr>
            <w:r w:rsidRPr="003F486D">
              <w:rPr>
                <w:color w:val="000000"/>
              </w:rPr>
              <w:t>3.</w:t>
            </w:r>
            <w:r w:rsidRPr="003F486D">
              <w:tab/>
            </w:r>
            <w:r w:rsidRPr="003F486D">
              <w:rPr>
                <w:color w:val="000000"/>
              </w:rPr>
              <w:t>Vertiefung des Verständnisses der Rolle und der Tätigkeit der UPOV bei anderen Organisationen</w:t>
            </w:r>
          </w:p>
        </w:tc>
        <w:tc>
          <w:tcPr>
            <w:tcW w:w="5386" w:type="dxa"/>
            <w:tcBorders>
              <w:top w:val="single" w:sz="4" w:space="0" w:color="000000"/>
              <w:left w:val="single" w:sz="4" w:space="0" w:color="000000"/>
              <w:bottom w:val="single" w:sz="4" w:space="0" w:color="000000"/>
              <w:right w:val="single" w:sz="4" w:space="0" w:color="000000"/>
            </w:tcBorders>
          </w:tcPr>
          <w:p w:rsidR="008134A5" w:rsidRPr="003F486D" w:rsidRDefault="008134A5" w:rsidP="008134A5">
            <w:pPr>
              <w:keepNext/>
              <w:spacing w:after="60"/>
              <w:ind w:left="397" w:hanging="397"/>
              <w:jc w:val="left"/>
              <w:rPr>
                <w:color w:val="000000"/>
              </w:rPr>
            </w:pPr>
            <w:r>
              <w:rPr>
                <w:color w:val="000000"/>
              </w:rPr>
              <w:t>a)</w:t>
            </w:r>
            <w:r w:rsidRPr="003F486D">
              <w:tab/>
            </w:r>
            <w:r w:rsidRPr="003F486D">
              <w:rPr>
                <w:color w:val="000000"/>
              </w:rPr>
              <w:t>Teilnahme an Sitzungen von und mit einschlägigen Interessenvertretern;</w:t>
            </w:r>
          </w:p>
          <w:p w:rsidR="008134A5" w:rsidRPr="003F486D" w:rsidRDefault="008134A5" w:rsidP="008134A5">
            <w:pPr>
              <w:ind w:left="397" w:hanging="397"/>
              <w:jc w:val="left"/>
              <w:rPr>
                <w:color w:val="000000"/>
              </w:rPr>
            </w:pPr>
            <w:r w:rsidRPr="003F486D">
              <w:rPr>
                <w:color w:val="000000"/>
              </w:rPr>
              <w:t>b)</w:t>
            </w:r>
            <w:r w:rsidRPr="003F486D">
              <w:rPr>
                <w:color w:val="000000"/>
              </w:rPr>
              <w:tab/>
              <w:t>Beiträge für einschlägige Organisationen.</w:t>
            </w:r>
          </w:p>
        </w:tc>
      </w:tr>
    </w:tbl>
    <w:p w:rsidR="008134A5" w:rsidRPr="003F486D" w:rsidRDefault="008134A5" w:rsidP="008134A5">
      <w:pPr>
        <w:keepNext/>
        <w:rPr>
          <w:b/>
        </w:rPr>
      </w:pPr>
    </w:p>
    <w:p w:rsidR="008134A5" w:rsidRPr="003F486D" w:rsidRDefault="008134A5" w:rsidP="008134A5">
      <w:pPr>
        <w:jc w:val="left"/>
        <w:rPr>
          <w:b/>
        </w:rPr>
      </w:pPr>
      <w:r w:rsidRPr="003F486D">
        <w:rPr>
          <w:b/>
        </w:rPr>
        <w:br w:type="page"/>
      </w:r>
    </w:p>
    <w:p w:rsidR="008134A5" w:rsidRPr="003F486D" w:rsidRDefault="008134A5" w:rsidP="008134A5">
      <w:pPr>
        <w:keepNext/>
        <w:rPr>
          <w:b/>
        </w:rPr>
      </w:pPr>
      <w:r w:rsidRPr="003F486D">
        <w:rPr>
          <w:b/>
        </w:rPr>
        <w:t>3.</w:t>
      </w:r>
      <w:r w:rsidRPr="003F486D">
        <w:tab/>
      </w:r>
      <w:r w:rsidRPr="003F486D">
        <w:rPr>
          <w:b/>
        </w:rPr>
        <w:t>VORGESCHLAGENER HAUSHALTSPLAN</w:t>
      </w:r>
    </w:p>
    <w:p w:rsidR="008134A5" w:rsidRPr="003F486D" w:rsidRDefault="008134A5" w:rsidP="008134A5">
      <w:pPr>
        <w:keepNext/>
      </w:pPr>
    </w:p>
    <w:p w:rsidR="008134A5" w:rsidRPr="003F486D" w:rsidRDefault="008134A5" w:rsidP="008134A5">
      <w:pPr>
        <w:rPr>
          <w:spacing w:val="-2"/>
          <w:szCs w:val="24"/>
        </w:rPr>
      </w:pPr>
      <w:r w:rsidRPr="003F486D">
        <w:t>3.1</w:t>
      </w:r>
      <w:r w:rsidRPr="003F486D">
        <w:tab/>
        <w:t xml:space="preserve">Der vorgeschlagene Haushaltsplan für die Rechnungsperiode 2018-2019 sieht Einnahmen von </w:t>
      </w:r>
      <w:r w:rsidRPr="003F486D">
        <w:rPr>
          <w:spacing w:val="-2"/>
        </w:rPr>
        <w:t>6 940 000</w:t>
      </w:r>
      <w:r>
        <w:t xml:space="preserve"> </w:t>
      </w:r>
      <w:r w:rsidRPr="003F486D">
        <w:t>Schw</w:t>
      </w:r>
      <w:r>
        <w:t>eizer Franken im Vergleich zu 6 823 </w:t>
      </w:r>
      <w:r w:rsidRPr="003F486D">
        <w:t>000 Schweizer Franken im Ha</w:t>
      </w:r>
      <w:r>
        <w:t>ushaltsplan von 2016</w:t>
      </w:r>
      <w:r>
        <w:noBreakHyphen/>
        <w:t>2017 (vergleiche</w:t>
      </w:r>
      <w:r w:rsidRPr="003F486D">
        <w:t xml:space="preserve"> </w:t>
      </w:r>
      <w:r w:rsidRPr="003F486D">
        <w:rPr>
          <w:b/>
          <w:spacing w:val="-2"/>
        </w:rPr>
        <w:t>Tabellen 1 und 2</w:t>
      </w:r>
      <w:r>
        <w:rPr>
          <w:b/>
          <w:spacing w:val="-2"/>
        </w:rPr>
        <w:t>)</w:t>
      </w:r>
      <w:r w:rsidRPr="00AD78C3">
        <w:t xml:space="preserve"> </w:t>
      </w:r>
      <w:r w:rsidRPr="003F486D">
        <w:t>vor.</w:t>
      </w:r>
      <w:r>
        <w:t xml:space="preserve"> </w:t>
      </w:r>
    </w:p>
    <w:p w:rsidR="008134A5" w:rsidRPr="003F486D" w:rsidRDefault="008134A5" w:rsidP="008134A5">
      <w:pPr>
        <w:rPr>
          <w:spacing w:val="-2"/>
          <w:szCs w:val="24"/>
        </w:rPr>
      </w:pPr>
    </w:p>
    <w:p w:rsidR="008134A5" w:rsidRPr="003F486D" w:rsidRDefault="008134A5" w:rsidP="008134A5">
      <w:pPr>
        <w:jc w:val="center"/>
        <w:rPr>
          <w:rFonts w:cs="Arial"/>
          <w:b/>
          <w:bCs/>
        </w:rPr>
      </w:pPr>
      <w:r w:rsidRPr="003F486D">
        <w:rPr>
          <w:rFonts w:cs="Arial"/>
          <w:b/>
          <w:bCs/>
        </w:rPr>
        <w:t>Tabelle 1:</w:t>
      </w:r>
      <w:r>
        <w:rPr>
          <w:rFonts w:cs="Arial"/>
          <w:b/>
          <w:bCs/>
        </w:rPr>
        <w:t xml:space="preserve"> </w:t>
      </w:r>
      <w:r w:rsidRPr="003F486D">
        <w:rPr>
          <w:rFonts w:cs="Arial"/>
          <w:b/>
          <w:bCs/>
        </w:rPr>
        <w:t>Einnahmen</w:t>
      </w:r>
      <w:r>
        <w:rPr>
          <w:rFonts w:cs="Arial"/>
          <w:b/>
          <w:bCs/>
        </w:rPr>
        <w:t xml:space="preserve"> und </w:t>
      </w:r>
      <w:r w:rsidRPr="003F486D">
        <w:rPr>
          <w:rFonts w:cs="Arial"/>
          <w:b/>
          <w:bCs/>
        </w:rPr>
        <w:t>Ausgaben 2014-2015, 2016-2017</w:t>
      </w:r>
      <w:r>
        <w:rPr>
          <w:rFonts w:cs="Arial"/>
          <w:b/>
          <w:bCs/>
        </w:rPr>
        <w:t xml:space="preserve"> und </w:t>
      </w:r>
      <w:r w:rsidRPr="003F486D">
        <w:rPr>
          <w:rFonts w:cs="Arial"/>
          <w:b/>
          <w:bCs/>
        </w:rPr>
        <w:t>2018-2019</w:t>
      </w:r>
    </w:p>
    <w:p w:rsidR="008134A5" w:rsidRPr="003F486D" w:rsidRDefault="008134A5" w:rsidP="008134A5">
      <w:pPr>
        <w:jc w:val="center"/>
        <w:rPr>
          <w:rFonts w:cs="Arial"/>
          <w:i/>
          <w:iCs/>
        </w:rPr>
      </w:pPr>
      <w:r w:rsidRPr="003F486D">
        <w:rPr>
          <w:rFonts w:cs="Arial"/>
          <w:i/>
          <w:iCs/>
        </w:rPr>
        <w:t>(in tausend Schweizer Franken)</w:t>
      </w:r>
    </w:p>
    <w:p w:rsidR="008134A5" w:rsidRPr="003F486D" w:rsidRDefault="008134A5" w:rsidP="008134A5">
      <w:pPr>
        <w:jc w:val="center"/>
        <w:rPr>
          <w:rFonts w:cs="Arial"/>
          <w:i/>
          <w:iCs/>
        </w:rPr>
      </w:pPr>
    </w:p>
    <w:p w:rsidR="008134A5" w:rsidRPr="003F486D" w:rsidRDefault="005370F3" w:rsidP="008134A5">
      <w:pPr>
        <w:jc w:val="center"/>
        <w:rPr>
          <w:spacing w:val="-2"/>
          <w:szCs w:val="24"/>
        </w:rPr>
      </w:pPr>
      <w:r w:rsidRPr="005370F3">
        <w:rPr>
          <w:noProof/>
          <w:lang w:val="en-US"/>
        </w:rPr>
        <w:drawing>
          <wp:inline distT="0" distB="0" distL="0" distR="0">
            <wp:extent cx="5695950" cy="17430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95950" cy="1743075"/>
                    </a:xfrm>
                    <a:prstGeom prst="rect">
                      <a:avLst/>
                    </a:prstGeom>
                    <a:noFill/>
                    <a:ln>
                      <a:noFill/>
                    </a:ln>
                  </pic:spPr>
                </pic:pic>
              </a:graphicData>
            </a:graphic>
          </wp:inline>
        </w:drawing>
      </w:r>
    </w:p>
    <w:p w:rsidR="008134A5" w:rsidRPr="003F486D" w:rsidRDefault="008134A5" w:rsidP="008134A5">
      <w:pPr>
        <w:jc w:val="center"/>
        <w:rPr>
          <w:spacing w:val="-2"/>
          <w:szCs w:val="24"/>
        </w:rPr>
      </w:pPr>
    </w:p>
    <w:p w:rsidR="008134A5" w:rsidRPr="003F486D" w:rsidRDefault="008134A5" w:rsidP="008134A5">
      <w:pPr>
        <w:rPr>
          <w:spacing w:val="-2"/>
          <w:szCs w:val="24"/>
        </w:rPr>
      </w:pPr>
      <w:r w:rsidRPr="003F486D">
        <w:t>3.2</w:t>
      </w:r>
      <w:r w:rsidRPr="003F486D">
        <w:tab/>
        <w:t>Die Ausgaben werden auf denselben Wert wie die Einnahmen geschätzt.</w:t>
      </w:r>
    </w:p>
    <w:p w:rsidR="008134A5" w:rsidRPr="003F486D" w:rsidRDefault="008134A5" w:rsidP="008134A5">
      <w:pPr>
        <w:rPr>
          <w:spacing w:val="-2"/>
          <w:szCs w:val="24"/>
        </w:rPr>
      </w:pPr>
    </w:p>
    <w:p w:rsidR="008134A5" w:rsidRPr="003F486D" w:rsidRDefault="008134A5" w:rsidP="008134A5">
      <w:pPr>
        <w:rPr>
          <w:spacing w:val="-2"/>
          <w:szCs w:val="24"/>
        </w:rPr>
      </w:pPr>
      <w:r w:rsidRPr="003F486D">
        <w:t>3.3</w:t>
      </w:r>
      <w:r w:rsidRPr="003F486D">
        <w:tab/>
        <w:t xml:space="preserve">In </w:t>
      </w:r>
      <w:proofErr w:type="spellStart"/>
      <w:r w:rsidRPr="003F486D">
        <w:t>bezug</w:t>
      </w:r>
      <w:proofErr w:type="spellEnd"/>
      <w:r w:rsidRPr="003F486D">
        <w:t xml:space="preserve"> auf den Reservefonds wird daran erinner</w:t>
      </w:r>
      <w:r>
        <w:t xml:space="preserve">t, </w:t>
      </w:r>
      <w:proofErr w:type="spellStart"/>
      <w:r>
        <w:t>daß</w:t>
      </w:r>
      <w:proofErr w:type="spellEnd"/>
      <w:r>
        <w:t xml:space="preserve"> das Dokument UPOV/INF/4/4</w:t>
      </w:r>
      <w:r w:rsidRPr="003F486D">
        <w:t xml:space="preserve"> „Finanzordnung und ihre Durchführungsbestimmungen der UPOV“, Regel 4.6 lautet: „[...] Wenn der Reservefond nach </w:t>
      </w:r>
      <w:proofErr w:type="spellStart"/>
      <w:r w:rsidRPr="003F486D">
        <w:t>Abschluß</w:t>
      </w:r>
      <w:proofErr w:type="spellEnd"/>
      <w:r w:rsidRPr="003F486D">
        <w:t xml:space="preserve"> der Rechnungsperiode 15 % der Gesamteinnahmen übersteigt, soll der überschüssige Betrag an die UPOV-Mitglieder zurückgezahlt werden, sofern vom Rat nicht anders entschieden</w:t>
      </w:r>
      <w:r>
        <w:t xml:space="preserve"> hat</w:t>
      </w:r>
      <w:r w:rsidRPr="003F486D">
        <w:t xml:space="preserve">. Jedes Mitglied der UPOV kann bestimmen, </w:t>
      </w:r>
      <w:proofErr w:type="spellStart"/>
      <w:r w:rsidRPr="003F486D">
        <w:t>daß</w:t>
      </w:r>
      <w:proofErr w:type="spellEnd"/>
      <w:r w:rsidRPr="003F486D">
        <w:t xml:space="preserve"> die ihm zustehende Rückzahlung in ein von ihm angegebenes Sonderkonto oder einen Treuhandfonds eingezahlt wird.“ Die notwendigen Vorkehrungen werden für die Prüfung durch den Beratenden </w:t>
      </w:r>
      <w:proofErr w:type="spellStart"/>
      <w:r w:rsidRPr="003F486D">
        <w:t>Ausschuß</w:t>
      </w:r>
      <w:proofErr w:type="spellEnd"/>
      <w:r w:rsidRPr="003F486D">
        <w:t xml:space="preserve"> und den Rat erfolgen, sofern diese Lage vor </w:t>
      </w:r>
      <w:proofErr w:type="spellStart"/>
      <w:r w:rsidRPr="003F486D">
        <w:t>Rechnungsabschluß</w:t>
      </w:r>
      <w:proofErr w:type="spellEnd"/>
      <w:r w:rsidRPr="003F486D">
        <w:t xml:space="preserve"> der Rechnungsperiode 2016-2017 wirksam wird. </w:t>
      </w:r>
    </w:p>
    <w:p w:rsidR="008134A5" w:rsidRPr="003F486D" w:rsidRDefault="008134A5" w:rsidP="008134A5">
      <w:pPr>
        <w:rPr>
          <w:spacing w:val="-2"/>
          <w:szCs w:val="24"/>
        </w:rPr>
      </w:pPr>
    </w:p>
    <w:p w:rsidR="008134A5" w:rsidRPr="003F486D" w:rsidRDefault="008134A5" w:rsidP="008134A5">
      <w:pPr>
        <w:jc w:val="center"/>
        <w:rPr>
          <w:rFonts w:cs="Arial"/>
          <w:b/>
          <w:bCs/>
        </w:rPr>
      </w:pPr>
      <w:r w:rsidRPr="003F486D">
        <w:rPr>
          <w:rFonts w:cs="Arial"/>
          <w:b/>
          <w:bCs/>
        </w:rPr>
        <w:t>Tabelle 2:</w:t>
      </w:r>
      <w:r>
        <w:rPr>
          <w:rFonts w:cs="Arial"/>
          <w:b/>
          <w:bCs/>
        </w:rPr>
        <w:t xml:space="preserve"> </w:t>
      </w:r>
      <w:r w:rsidRPr="003F486D">
        <w:rPr>
          <w:b/>
        </w:rPr>
        <w:t xml:space="preserve">Struktur des Haushaltsentwurfs </w:t>
      </w:r>
      <w:r w:rsidRPr="003F486D">
        <w:rPr>
          <w:rFonts w:cs="Arial"/>
          <w:b/>
          <w:bCs/>
        </w:rPr>
        <w:t>2018-2019 im Vergleich zu 2014-2015</w:t>
      </w:r>
      <w:r>
        <w:rPr>
          <w:rFonts w:cs="Arial"/>
          <w:b/>
          <w:bCs/>
        </w:rPr>
        <w:t xml:space="preserve"> und </w:t>
      </w:r>
      <w:r w:rsidRPr="003F486D">
        <w:rPr>
          <w:rFonts w:cs="Arial"/>
          <w:b/>
          <w:bCs/>
        </w:rPr>
        <w:t>2016-2017</w:t>
      </w:r>
    </w:p>
    <w:p w:rsidR="008134A5" w:rsidRPr="003F486D" w:rsidRDefault="008134A5" w:rsidP="008134A5">
      <w:pPr>
        <w:jc w:val="center"/>
        <w:rPr>
          <w:spacing w:val="-2"/>
          <w:szCs w:val="24"/>
        </w:rPr>
      </w:pPr>
      <w:r w:rsidRPr="003F486D">
        <w:rPr>
          <w:rFonts w:cs="Arial"/>
          <w:i/>
          <w:iCs/>
        </w:rPr>
        <w:t>(in tausend Schweizer Franken)</w:t>
      </w:r>
    </w:p>
    <w:p w:rsidR="008134A5" w:rsidRPr="003F486D" w:rsidRDefault="008134A5" w:rsidP="008134A5"/>
    <w:p w:rsidR="008134A5" w:rsidRPr="003F486D" w:rsidRDefault="005370F3" w:rsidP="008134A5">
      <w:pPr>
        <w:jc w:val="center"/>
      </w:pPr>
      <w:r w:rsidRPr="005370F3">
        <w:rPr>
          <w:noProof/>
          <w:lang w:val="en-US"/>
        </w:rPr>
        <w:drawing>
          <wp:inline distT="0" distB="0" distL="0" distR="0">
            <wp:extent cx="5753100" cy="38385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53100" cy="3838575"/>
                    </a:xfrm>
                    <a:prstGeom prst="rect">
                      <a:avLst/>
                    </a:prstGeom>
                    <a:noFill/>
                    <a:ln>
                      <a:noFill/>
                    </a:ln>
                  </pic:spPr>
                </pic:pic>
              </a:graphicData>
            </a:graphic>
          </wp:inline>
        </w:drawing>
      </w:r>
    </w:p>
    <w:p w:rsidR="008134A5" w:rsidRPr="003F486D" w:rsidRDefault="008134A5" w:rsidP="008134A5">
      <w:pPr>
        <w:keepLines/>
        <w:tabs>
          <w:tab w:val="left" w:pos="567"/>
        </w:tabs>
      </w:pPr>
      <w:r w:rsidRPr="003F486D">
        <w:t>3.4</w:t>
      </w:r>
      <w:r w:rsidRPr="003F486D">
        <w:tab/>
      </w:r>
      <w:r w:rsidRPr="003F486D">
        <w:rPr>
          <w:b/>
        </w:rPr>
        <w:t>Tabelle 3</w:t>
      </w:r>
      <w:r w:rsidRPr="003F486D">
        <w:t xml:space="preserve"> enthält einen Mittelplan für die Rechnungsperioden 2016-2017 und 2018-1019. Die gesamten Mittel für das Tätigkeitsprogramm, das die UPOV in der Rechnungsperiode 2018-1019 durchführen soll, </w:t>
      </w:r>
      <w:proofErr w:type="gramStart"/>
      <w:r w:rsidRPr="003F486D">
        <w:t>beläuft</w:t>
      </w:r>
      <w:proofErr w:type="gramEnd"/>
      <w:r w:rsidRPr="003F486D">
        <w:t xml:space="preserve"> sich auf </w:t>
      </w:r>
      <w:r w:rsidRPr="003F486D">
        <w:rPr>
          <w:spacing w:val="-2"/>
        </w:rPr>
        <w:t>7 476 000</w:t>
      </w:r>
      <w:r w:rsidRPr="003F486D">
        <w:t xml:space="preserve"> Schweizer Franken. Dieser Betrag </w:t>
      </w:r>
      <w:proofErr w:type="spellStart"/>
      <w:r w:rsidRPr="003F486D">
        <w:t>umfaßt</w:t>
      </w:r>
      <w:proofErr w:type="spellEnd"/>
      <w:r w:rsidRPr="003F486D">
        <w:t xml:space="preserve"> </w:t>
      </w:r>
      <w:r w:rsidRPr="003F486D">
        <w:rPr>
          <w:spacing w:val="-2"/>
        </w:rPr>
        <w:t>6 940 000</w:t>
      </w:r>
      <w:r w:rsidRPr="003F486D">
        <w:t xml:space="preserve"> Schweizer Franken im ordentlichen Haushalt (vergleiche Tabelle 1) und schätzungsweise 536</w:t>
      </w:r>
      <w:r w:rsidRPr="003F486D">
        <w:rPr>
          <w:spacing w:val="-2"/>
        </w:rPr>
        <w:t xml:space="preserve"> 000</w:t>
      </w:r>
      <w:r w:rsidRPr="003F486D">
        <w:t xml:space="preserve"> Schweizer Franken, die im Rahmen von Treuhandvereinbarungen finanziert werden.</w:t>
      </w:r>
      <w:r>
        <w:t xml:space="preserve"> </w:t>
      </w:r>
    </w:p>
    <w:p w:rsidR="008134A5" w:rsidRPr="003F486D" w:rsidRDefault="008134A5" w:rsidP="008134A5">
      <w:pPr>
        <w:tabs>
          <w:tab w:val="left" w:pos="567"/>
        </w:tabs>
      </w:pPr>
    </w:p>
    <w:p w:rsidR="008134A5" w:rsidRPr="003F486D" w:rsidRDefault="008134A5" w:rsidP="008134A5">
      <w:pPr>
        <w:keepLines/>
        <w:tabs>
          <w:tab w:val="left" w:pos="567"/>
        </w:tabs>
      </w:pPr>
      <w:r w:rsidRPr="003F486D">
        <w:t>3.5</w:t>
      </w:r>
      <w:r w:rsidRPr="003F486D">
        <w:tab/>
        <w:t>Für die Rechnungsperiode 2018-1019 dürften sich Einnahmen und Ausgaben die Waage halten.</w:t>
      </w:r>
    </w:p>
    <w:p w:rsidR="008134A5" w:rsidRPr="003F486D" w:rsidRDefault="008134A5" w:rsidP="008134A5">
      <w:pPr>
        <w:tabs>
          <w:tab w:val="left" w:pos="567"/>
        </w:tabs>
      </w:pPr>
    </w:p>
    <w:p w:rsidR="008134A5" w:rsidRPr="003F486D" w:rsidRDefault="008134A5" w:rsidP="008134A5">
      <w:pPr>
        <w:tabs>
          <w:tab w:val="left" w:pos="567"/>
        </w:tabs>
        <w:rPr>
          <w:spacing w:val="-2"/>
          <w:szCs w:val="24"/>
        </w:rPr>
      </w:pPr>
      <w:r w:rsidRPr="003F486D">
        <w:t>3.6</w:t>
      </w:r>
      <w:r w:rsidRPr="003F486D">
        <w:tab/>
        <w:t xml:space="preserve">Treuhandgelder sind freiwillige Geldzuwendungen von Verbandsmitgliedern an die UPOV und werden in der Regel zur Finanzierung eines zwischen dem Verbandsbüro und dem Gebermitglied vereinbarten spezifischen Programms bereitgestellt. Ohne die unabhängigen Entscheidungen von Gebermitgliedern beeinflussen zu wollen, wird damit gerechnet, </w:t>
      </w:r>
      <w:proofErr w:type="spellStart"/>
      <w:r w:rsidRPr="003F486D">
        <w:t>daß</w:t>
      </w:r>
      <w:proofErr w:type="spellEnd"/>
      <w:r w:rsidRPr="003F486D">
        <w:t xml:space="preserve"> sich der Gesamtbetrag der Treuhandgelder für die Rechnungsperiode 2018-1019 auf 536</w:t>
      </w:r>
      <w:r w:rsidRPr="003F486D">
        <w:rPr>
          <w:spacing w:val="-2"/>
        </w:rPr>
        <w:t xml:space="preserve"> 000</w:t>
      </w:r>
      <w:r w:rsidRPr="003F486D">
        <w:t xml:space="preserve"> Schweizer Franken stellen wird. Es ist zu erwähnen, </w:t>
      </w:r>
      <w:proofErr w:type="spellStart"/>
      <w:r w:rsidRPr="003F486D">
        <w:t>daß</w:t>
      </w:r>
      <w:proofErr w:type="spellEnd"/>
      <w:r w:rsidRPr="003F486D">
        <w:t xml:space="preserve"> geldliche Beiträge (z.B. Treuhandgelder) und nichtgeldliche Beiträge (Sachleistungen)</w:t>
      </w:r>
      <w:r>
        <w:t>,</w:t>
      </w:r>
      <w:r w:rsidRPr="003F486D">
        <w:t xml:space="preserve"> insbesondere technische Unterstützung und Ausbildungsveranstaltungen von Verbandsmitgliedern, im Haushaltsplan der UPOV nicht ausgewiesen sind.</w:t>
      </w:r>
    </w:p>
    <w:p w:rsidR="008134A5" w:rsidRPr="003F486D" w:rsidRDefault="008134A5" w:rsidP="008134A5">
      <w:pPr>
        <w:rPr>
          <w:spacing w:val="-2"/>
          <w:szCs w:val="24"/>
        </w:rPr>
      </w:pPr>
    </w:p>
    <w:p w:rsidR="008134A5" w:rsidRPr="003F486D" w:rsidRDefault="008134A5" w:rsidP="008134A5">
      <w:pPr>
        <w:jc w:val="center"/>
        <w:rPr>
          <w:spacing w:val="-2"/>
          <w:szCs w:val="24"/>
        </w:rPr>
      </w:pPr>
      <w:r w:rsidRPr="003F486D">
        <w:rPr>
          <w:b/>
        </w:rPr>
        <w:t>Tabelle 3:</w:t>
      </w:r>
      <w:r>
        <w:rPr>
          <w:b/>
        </w:rPr>
        <w:t xml:space="preserve"> </w:t>
      </w:r>
      <w:r w:rsidRPr="003F486D">
        <w:rPr>
          <w:b/>
        </w:rPr>
        <w:t>Mittelplan</w:t>
      </w:r>
      <w:r w:rsidRPr="003F486D">
        <w:rPr>
          <w:rFonts w:cs="Arial"/>
          <w:b/>
          <w:bCs/>
        </w:rPr>
        <w:t xml:space="preserve"> 2016­2017</w:t>
      </w:r>
      <w:r>
        <w:rPr>
          <w:rFonts w:cs="Arial"/>
          <w:b/>
          <w:bCs/>
        </w:rPr>
        <w:t xml:space="preserve"> und </w:t>
      </w:r>
      <w:r w:rsidRPr="003F486D">
        <w:rPr>
          <w:rFonts w:cs="Arial"/>
          <w:b/>
          <w:bCs/>
        </w:rPr>
        <w:t>2018-2019</w:t>
      </w:r>
    </w:p>
    <w:p w:rsidR="008134A5" w:rsidRPr="003F486D" w:rsidRDefault="008134A5" w:rsidP="008134A5">
      <w:pPr>
        <w:jc w:val="center"/>
        <w:rPr>
          <w:rFonts w:cs="Arial"/>
          <w:i/>
          <w:iCs/>
        </w:rPr>
      </w:pPr>
      <w:r w:rsidRPr="003F486D">
        <w:rPr>
          <w:rFonts w:cs="Arial"/>
          <w:i/>
          <w:iCs/>
        </w:rPr>
        <w:t>(in tausend Schweizer Franken)</w:t>
      </w:r>
    </w:p>
    <w:p w:rsidR="008134A5" w:rsidRPr="003F486D" w:rsidRDefault="008134A5" w:rsidP="008134A5">
      <w:pPr>
        <w:jc w:val="center"/>
        <w:rPr>
          <w:spacing w:val="-2"/>
          <w:szCs w:val="24"/>
        </w:rPr>
      </w:pPr>
    </w:p>
    <w:p w:rsidR="008134A5" w:rsidRPr="003F486D" w:rsidRDefault="0096246F" w:rsidP="008134A5">
      <w:pPr>
        <w:jc w:val="center"/>
        <w:rPr>
          <w:spacing w:val="-2"/>
          <w:szCs w:val="24"/>
        </w:rPr>
      </w:pPr>
      <w:r w:rsidRPr="0096246F">
        <w:rPr>
          <w:noProof/>
          <w:lang w:val="en-US"/>
        </w:rPr>
        <w:drawing>
          <wp:inline distT="0" distB="0" distL="0" distR="0">
            <wp:extent cx="4962525" cy="31337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962525" cy="3133725"/>
                    </a:xfrm>
                    <a:prstGeom prst="rect">
                      <a:avLst/>
                    </a:prstGeom>
                    <a:noFill/>
                    <a:ln>
                      <a:noFill/>
                    </a:ln>
                  </pic:spPr>
                </pic:pic>
              </a:graphicData>
            </a:graphic>
          </wp:inline>
        </w:drawing>
      </w:r>
    </w:p>
    <w:p w:rsidR="008134A5" w:rsidRPr="003F486D" w:rsidRDefault="008134A5" w:rsidP="008134A5">
      <w:pPr>
        <w:jc w:val="center"/>
        <w:rPr>
          <w:spacing w:val="-2"/>
          <w:szCs w:val="24"/>
        </w:rPr>
      </w:pPr>
    </w:p>
    <w:p w:rsidR="008134A5" w:rsidRPr="003F486D" w:rsidRDefault="008134A5" w:rsidP="008134A5">
      <w:pPr>
        <w:jc w:val="center"/>
        <w:rPr>
          <w:spacing w:val="-2"/>
          <w:szCs w:val="24"/>
        </w:rPr>
      </w:pPr>
    </w:p>
    <w:p w:rsidR="008134A5" w:rsidRPr="003F486D" w:rsidRDefault="008134A5" w:rsidP="008134A5">
      <w:pPr>
        <w:jc w:val="left"/>
      </w:pPr>
      <w:bookmarkStart w:id="5" w:name="RANGE!A1:F18"/>
      <w:bookmarkEnd w:id="5"/>
      <w:r w:rsidRPr="003F486D">
        <w:br w:type="page"/>
      </w:r>
    </w:p>
    <w:p w:rsidR="008134A5" w:rsidRPr="003F486D" w:rsidRDefault="008134A5" w:rsidP="008134A5">
      <w:pPr>
        <w:tabs>
          <w:tab w:val="left" w:pos="567"/>
        </w:tabs>
      </w:pPr>
      <w:r w:rsidRPr="003F486D">
        <w:t>3.7</w:t>
      </w:r>
      <w:r w:rsidRPr="003F486D">
        <w:tab/>
      </w:r>
      <w:r w:rsidRPr="003F486D">
        <w:rPr>
          <w:b/>
        </w:rPr>
        <w:t>Tabelle 4</w:t>
      </w:r>
      <w:r w:rsidRPr="003F486D">
        <w:t xml:space="preserve"> zeigt die Haushaltsveränderungen nach Ausgabenposten zwischen den Rechnungs</w:t>
      </w:r>
      <w:r w:rsidR="009D0D5E">
        <w:t>-</w:t>
      </w:r>
      <w:r w:rsidRPr="003F486D">
        <w:t xml:space="preserve">perioden 2016-2017 und 2018-2019. Der vorgeschlagene Haushaltsplan </w:t>
      </w:r>
      <w:r w:rsidR="009D0D5E">
        <w:t>für die Rechnungsperiode 2018</w:t>
      </w:r>
      <w:r w:rsidR="009D0D5E">
        <w:noBreakHyphen/>
      </w:r>
      <w:r w:rsidRPr="003F486D">
        <w:t xml:space="preserve">2019 beläuft sich auf </w:t>
      </w:r>
      <w:r>
        <w:rPr>
          <w:spacing w:val="-2"/>
        </w:rPr>
        <w:t>6 940 </w:t>
      </w:r>
      <w:r w:rsidRPr="003F486D">
        <w:rPr>
          <w:spacing w:val="-2"/>
        </w:rPr>
        <w:t>000</w:t>
      </w:r>
      <w:r w:rsidRPr="003F486D">
        <w:t xml:space="preserve"> Schweizer Franken,</w:t>
      </w:r>
      <w:r>
        <w:t xml:space="preserve"> was </w:t>
      </w:r>
      <w:r w:rsidRPr="003F486D">
        <w:t>einer Zunahme von 117 000 Schweizer Franken bzw. 1,7% gegenüber dem Haushaltsplan für 2016-2017 entspricht.</w:t>
      </w:r>
      <w:r>
        <w:t xml:space="preserve"> </w:t>
      </w:r>
    </w:p>
    <w:p w:rsidR="008134A5" w:rsidRPr="003F486D" w:rsidRDefault="008134A5" w:rsidP="008134A5">
      <w:pPr>
        <w:jc w:val="left"/>
        <w:rPr>
          <w:rFonts w:cs="Arial"/>
          <w:b/>
          <w:bCs/>
        </w:rPr>
      </w:pPr>
    </w:p>
    <w:p w:rsidR="008134A5" w:rsidRPr="003F486D" w:rsidRDefault="008134A5" w:rsidP="008134A5">
      <w:pPr>
        <w:jc w:val="center"/>
        <w:rPr>
          <w:rFonts w:cs="Arial"/>
          <w:b/>
          <w:bCs/>
        </w:rPr>
      </w:pPr>
      <w:r w:rsidRPr="003F486D">
        <w:rPr>
          <w:b/>
        </w:rPr>
        <w:t>Tabelle 4:</w:t>
      </w:r>
      <w:r>
        <w:rPr>
          <w:b/>
        </w:rPr>
        <w:t xml:space="preserve"> </w:t>
      </w:r>
      <w:r w:rsidRPr="003F486D">
        <w:rPr>
          <w:b/>
        </w:rPr>
        <w:t>Vorgeschlagener Haushaltsplan 2018-2019:</w:t>
      </w:r>
      <w:r>
        <w:rPr>
          <w:b/>
        </w:rPr>
        <w:t xml:space="preserve"> </w:t>
      </w:r>
      <w:r w:rsidRPr="003F486D">
        <w:rPr>
          <w:b/>
        </w:rPr>
        <w:t>Haushaltsveränderung nach Ausgabenposten</w:t>
      </w:r>
    </w:p>
    <w:p w:rsidR="008134A5" w:rsidRPr="003F486D" w:rsidRDefault="008134A5" w:rsidP="008134A5">
      <w:pPr>
        <w:jc w:val="center"/>
        <w:rPr>
          <w:spacing w:val="-2"/>
        </w:rPr>
      </w:pPr>
      <w:r w:rsidRPr="003F486D">
        <w:rPr>
          <w:rFonts w:cs="Arial"/>
          <w:i/>
          <w:iCs/>
        </w:rPr>
        <w:t xml:space="preserve"> (in tausend Schweizer Franken)</w:t>
      </w:r>
    </w:p>
    <w:p w:rsidR="008134A5" w:rsidRPr="003F486D" w:rsidRDefault="008134A5" w:rsidP="008134A5">
      <w:pPr>
        <w:rPr>
          <w:b/>
          <w:spacing w:val="-2"/>
          <w:szCs w:val="24"/>
        </w:rPr>
      </w:pPr>
    </w:p>
    <w:p w:rsidR="008134A5" w:rsidRPr="003F486D" w:rsidRDefault="00205BB8" w:rsidP="008134A5">
      <w:pPr>
        <w:jc w:val="center"/>
        <w:rPr>
          <w:b/>
          <w:spacing w:val="-2"/>
          <w:szCs w:val="24"/>
        </w:rPr>
      </w:pPr>
      <w:r w:rsidRPr="00205BB8">
        <w:rPr>
          <w:noProof/>
          <w:lang w:val="en-US"/>
        </w:rPr>
        <w:drawing>
          <wp:inline distT="0" distB="0" distL="0" distR="0">
            <wp:extent cx="5638800" cy="62103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38800" cy="6210300"/>
                    </a:xfrm>
                    <a:prstGeom prst="rect">
                      <a:avLst/>
                    </a:prstGeom>
                    <a:noFill/>
                    <a:ln>
                      <a:noFill/>
                    </a:ln>
                  </pic:spPr>
                </pic:pic>
              </a:graphicData>
            </a:graphic>
          </wp:inline>
        </w:drawing>
      </w:r>
    </w:p>
    <w:p w:rsidR="008134A5" w:rsidRPr="003F486D" w:rsidRDefault="008134A5" w:rsidP="008134A5">
      <w:pPr>
        <w:jc w:val="center"/>
        <w:rPr>
          <w:b/>
          <w:spacing w:val="-2"/>
          <w:szCs w:val="24"/>
        </w:rPr>
      </w:pPr>
    </w:p>
    <w:p w:rsidR="008134A5" w:rsidRPr="003F486D" w:rsidRDefault="008134A5" w:rsidP="008134A5">
      <w:pPr>
        <w:rPr>
          <w:b/>
          <w:spacing w:val="-2"/>
          <w:szCs w:val="24"/>
        </w:rPr>
      </w:pPr>
    </w:p>
    <w:p w:rsidR="008134A5" w:rsidRPr="003F486D" w:rsidRDefault="008134A5" w:rsidP="008134A5">
      <w:pPr>
        <w:jc w:val="left"/>
      </w:pPr>
      <w:r w:rsidRPr="003F486D">
        <w:br w:type="page"/>
      </w:r>
    </w:p>
    <w:p w:rsidR="008134A5" w:rsidRPr="003F486D" w:rsidRDefault="008134A5" w:rsidP="008134A5">
      <w:pPr>
        <w:tabs>
          <w:tab w:val="left" w:pos="567"/>
        </w:tabs>
      </w:pPr>
      <w:r w:rsidRPr="003F486D">
        <w:t>3.8</w:t>
      </w:r>
      <w:r w:rsidRPr="003F486D">
        <w:tab/>
        <w:t xml:space="preserve">Aus </w:t>
      </w:r>
      <w:r w:rsidRPr="003F486D">
        <w:rPr>
          <w:b/>
        </w:rPr>
        <w:t>Tabelle 5</w:t>
      </w:r>
      <w:r w:rsidRPr="003F486D">
        <w:t xml:space="preserve"> geht die Anzahl </w:t>
      </w:r>
      <w:r>
        <w:t xml:space="preserve">von </w:t>
      </w:r>
      <w:r w:rsidRPr="003F486D">
        <w:t xml:space="preserve">Posten nach Postenkategorien hervor. Der Posten des </w:t>
      </w:r>
      <w:r>
        <w:t>General</w:t>
      </w:r>
      <w:r w:rsidRPr="003F486D">
        <w:t xml:space="preserve">sekretärs ist in dieser Zahl enthalten, jedoch ohne Kosten, da der derzeitige </w:t>
      </w:r>
      <w:r>
        <w:t>General</w:t>
      </w:r>
      <w:r w:rsidRPr="003F486D">
        <w:t xml:space="preserve">direktor der WIPO ein Gehalt oder Zulagen für seine Funktion als </w:t>
      </w:r>
      <w:r>
        <w:t>General</w:t>
      </w:r>
      <w:r w:rsidRPr="003F486D">
        <w:t xml:space="preserve">sekretär der UPOV abgelehnt hat. </w:t>
      </w:r>
    </w:p>
    <w:p w:rsidR="008134A5" w:rsidRPr="003F486D" w:rsidRDefault="008134A5" w:rsidP="008134A5">
      <w:pPr>
        <w:tabs>
          <w:tab w:val="left" w:pos="567"/>
        </w:tabs>
      </w:pPr>
    </w:p>
    <w:p w:rsidR="008134A5" w:rsidRPr="003F486D" w:rsidRDefault="008134A5" w:rsidP="008134A5">
      <w:pPr>
        <w:tabs>
          <w:tab w:val="left" w:pos="567"/>
        </w:tabs>
        <w:rPr>
          <w:spacing w:val="-2"/>
        </w:rPr>
      </w:pPr>
      <w:r w:rsidRPr="003F486D">
        <w:rPr>
          <w:spacing w:val="-2"/>
        </w:rPr>
        <w:t>3.9</w:t>
      </w:r>
      <w:r w:rsidRPr="003F486D">
        <w:rPr>
          <w:spacing w:val="-2"/>
        </w:rPr>
        <w:tab/>
      </w:r>
      <w:r>
        <w:rPr>
          <w:spacing w:val="-2"/>
        </w:rPr>
        <w:t>Das</w:t>
      </w:r>
      <w:r w:rsidRPr="003F486D">
        <w:rPr>
          <w:spacing w:val="-2"/>
        </w:rPr>
        <w:t xml:space="preserve"> Programm und Haushaltsplan</w:t>
      </w:r>
      <w:r>
        <w:rPr>
          <w:spacing w:val="-2"/>
        </w:rPr>
        <w:t xml:space="preserve"> für die</w:t>
      </w:r>
      <w:r w:rsidRPr="003F486D">
        <w:rPr>
          <w:spacing w:val="-2"/>
        </w:rPr>
        <w:t xml:space="preserve"> Rechnungsperiode </w:t>
      </w:r>
      <w:r w:rsidRPr="003F486D">
        <w:rPr>
          <w:snapToGrid w:val="0"/>
          <w:spacing w:val="-2"/>
          <w:szCs w:val="24"/>
        </w:rPr>
        <w:t xml:space="preserve">2018­2019 </w:t>
      </w:r>
      <w:r>
        <w:rPr>
          <w:spacing w:val="-2"/>
        </w:rPr>
        <w:t>sieht einen weiteren</w:t>
      </w:r>
      <w:r w:rsidRPr="003F486D">
        <w:rPr>
          <w:spacing w:val="-2"/>
        </w:rPr>
        <w:t xml:space="preserve"> </w:t>
      </w:r>
      <w:r>
        <w:rPr>
          <w:spacing w:val="-2"/>
        </w:rPr>
        <w:t>Posten vor</w:t>
      </w:r>
      <w:r w:rsidRPr="003F486D">
        <w:rPr>
          <w:spacing w:val="-2"/>
        </w:rPr>
        <w:t>.</w:t>
      </w:r>
      <w:r>
        <w:rPr>
          <w:spacing w:val="-2"/>
        </w:rPr>
        <w:t xml:space="preserve"> Der</w:t>
      </w:r>
      <w:r w:rsidRPr="003F486D">
        <w:rPr>
          <w:spacing w:val="-2"/>
        </w:rPr>
        <w:t xml:space="preserve"> </w:t>
      </w:r>
      <w:r>
        <w:rPr>
          <w:spacing w:val="-2"/>
        </w:rPr>
        <w:t>zusätzliche Posten wird ein</w:t>
      </w:r>
      <w:r w:rsidRPr="003F486D">
        <w:rPr>
          <w:spacing w:val="-2"/>
        </w:rPr>
        <w:t xml:space="preserve"> IT</w:t>
      </w:r>
      <w:r>
        <w:rPr>
          <w:spacing w:val="-2"/>
        </w:rPr>
        <w:t>-Fachmann in der Kategorie ‚Höherer Dienst’ belegen</w:t>
      </w:r>
      <w:r w:rsidRPr="003F486D">
        <w:rPr>
          <w:spacing w:val="-2"/>
        </w:rPr>
        <w:t>.</w:t>
      </w:r>
      <w:r>
        <w:rPr>
          <w:spacing w:val="-2"/>
        </w:rPr>
        <w:t xml:space="preserve"> </w:t>
      </w:r>
      <w:r w:rsidRPr="003F486D">
        <w:rPr>
          <w:spacing w:val="-2"/>
        </w:rPr>
        <w:t xml:space="preserve">In </w:t>
      </w:r>
      <w:r>
        <w:rPr>
          <w:spacing w:val="-2"/>
        </w:rPr>
        <w:t>vorherigen</w:t>
      </w:r>
      <w:r w:rsidRPr="003F486D">
        <w:rPr>
          <w:spacing w:val="-2"/>
        </w:rPr>
        <w:t xml:space="preserve"> </w:t>
      </w:r>
      <w:r>
        <w:rPr>
          <w:spacing w:val="-2"/>
        </w:rPr>
        <w:t xml:space="preserve">Rechnungsperioden wurde die </w:t>
      </w:r>
      <w:r w:rsidRPr="003F486D">
        <w:t>IT</w:t>
      </w:r>
      <w:r>
        <w:t>-</w:t>
      </w:r>
      <w:r w:rsidRPr="003F486D">
        <w:t>Entwicklung</w:t>
      </w:r>
      <w:r>
        <w:t xml:space="preserve"> und -Wartung</w:t>
      </w:r>
      <w:r w:rsidRPr="003F486D">
        <w:t xml:space="preserve"> </w:t>
      </w:r>
      <w:r>
        <w:t>der</w:t>
      </w:r>
      <w:r w:rsidRPr="003F486D">
        <w:t xml:space="preserve"> </w:t>
      </w:r>
      <w:r>
        <w:t xml:space="preserve">Datenbanken der UPOV und </w:t>
      </w:r>
      <w:r w:rsidRPr="003F486D">
        <w:t>sonstige</w:t>
      </w:r>
      <w:r>
        <w:t>r</w:t>
      </w:r>
      <w:r w:rsidRPr="003F486D">
        <w:t xml:space="preserve"> IT</w:t>
      </w:r>
      <w:r>
        <w:t>-Systeme</w:t>
      </w:r>
      <w:r w:rsidRPr="003F486D">
        <w:t xml:space="preserve">, </w:t>
      </w:r>
      <w:r>
        <w:t>wie beispielsweise die</w:t>
      </w:r>
      <w:r w:rsidRPr="003F486D">
        <w:t xml:space="preserve"> </w:t>
      </w:r>
      <w:r>
        <w:t>Vorlage für Prüfungsrichtlinien,</w:t>
      </w:r>
      <w:r w:rsidRPr="003F486D">
        <w:t xml:space="preserve"> </w:t>
      </w:r>
      <w:r>
        <w:t>von</w:t>
      </w:r>
      <w:r w:rsidRPr="003F486D">
        <w:t xml:space="preserve"> </w:t>
      </w:r>
      <w:r>
        <w:t>IT-Fachleuten</w:t>
      </w:r>
      <w:r w:rsidRPr="003F486D">
        <w:t xml:space="preserve"> </w:t>
      </w:r>
      <w:r>
        <w:t>der WIPO</w:t>
      </w:r>
      <w:r w:rsidRPr="003F486D">
        <w:t xml:space="preserve"> </w:t>
      </w:r>
      <w:r>
        <w:t>als Teil der</w:t>
      </w:r>
      <w:r w:rsidRPr="003F486D">
        <w:t xml:space="preserve"> </w:t>
      </w:r>
      <w:r>
        <w:t>gemeinsamen Ausgaben</w:t>
      </w:r>
      <w:r w:rsidRPr="003F486D">
        <w:t xml:space="preserve"> im Rahmen de</w:t>
      </w:r>
      <w:r>
        <w:t>r</w:t>
      </w:r>
      <w:r w:rsidRPr="003F486D">
        <w:t xml:space="preserve"> </w:t>
      </w:r>
      <w:r w:rsidRPr="003F486D">
        <w:rPr>
          <w:rFonts w:cs="Arial"/>
        </w:rPr>
        <w:t>„</w:t>
      </w:r>
      <w:r w:rsidRPr="00620ABB">
        <w:rPr>
          <w:rFonts w:cs="Arial"/>
        </w:rPr>
        <w:t>Vereinbarung zwischen der Weltorganisation für geistiges Eigentum und dem Internationalen Verband zum Schutz von Pflanzenzüchtungen</w:t>
      </w:r>
      <w:r w:rsidRPr="003F486D">
        <w:rPr>
          <w:rFonts w:cs="Arial"/>
        </w:rPr>
        <w:t xml:space="preserve">“ </w:t>
      </w:r>
      <w:r>
        <w:t>durchgeführt oder verwaltet</w:t>
      </w:r>
      <w:r w:rsidRPr="003F486D">
        <w:t xml:space="preserve"> </w:t>
      </w:r>
      <w:r w:rsidRPr="003F486D">
        <w:rPr>
          <w:rFonts w:cs="Arial"/>
        </w:rPr>
        <w:t>(vergleiche</w:t>
      </w:r>
      <w:r>
        <w:rPr>
          <w:rFonts w:cs="Arial"/>
        </w:rPr>
        <w:t xml:space="preserve"> </w:t>
      </w:r>
      <w:r w:rsidRPr="003F486D">
        <w:rPr>
          <w:rFonts w:cs="Arial"/>
        </w:rPr>
        <w:t>Dokument UPOV/INF/8).</w:t>
      </w:r>
      <w:r>
        <w:rPr>
          <w:rFonts w:cs="Arial"/>
        </w:rPr>
        <w:t xml:space="preserve"> Diese</w:t>
      </w:r>
      <w:r w:rsidRPr="003F486D">
        <w:rPr>
          <w:rFonts w:cs="Arial"/>
        </w:rPr>
        <w:t xml:space="preserve"> Dienstleistungen </w:t>
      </w:r>
      <w:r>
        <w:rPr>
          <w:rFonts w:cs="Arial"/>
        </w:rPr>
        <w:t>werden nicht mehr</w:t>
      </w:r>
      <w:r w:rsidRPr="003F486D">
        <w:rPr>
          <w:rFonts w:cs="Arial"/>
        </w:rPr>
        <w:t xml:space="preserve"> </w:t>
      </w:r>
      <w:r>
        <w:rPr>
          <w:rFonts w:cs="Arial"/>
        </w:rPr>
        <w:t>als gemeinsame</w:t>
      </w:r>
      <w:r w:rsidRPr="003F486D">
        <w:rPr>
          <w:rFonts w:cs="Arial"/>
        </w:rPr>
        <w:t xml:space="preserve"> Dienstleistungen</w:t>
      </w:r>
      <w:r w:rsidRPr="00B10A11">
        <w:rPr>
          <w:rFonts w:cs="Arial"/>
        </w:rPr>
        <w:t xml:space="preserve"> </w:t>
      </w:r>
      <w:r>
        <w:rPr>
          <w:rFonts w:cs="Arial"/>
        </w:rPr>
        <w:t>bereitgestellt</w:t>
      </w:r>
      <w:r w:rsidRPr="003F486D">
        <w:rPr>
          <w:rFonts w:cs="Arial"/>
        </w:rPr>
        <w:t>.</w:t>
      </w:r>
      <w:r>
        <w:rPr>
          <w:rFonts w:cs="Arial"/>
        </w:rPr>
        <w:t xml:space="preserve"> Obgleich</w:t>
      </w:r>
      <w:r w:rsidRPr="003F486D">
        <w:rPr>
          <w:rFonts w:cs="Arial"/>
        </w:rPr>
        <w:t xml:space="preserve"> </w:t>
      </w:r>
      <w:r>
        <w:rPr>
          <w:rFonts w:cs="Arial"/>
        </w:rPr>
        <w:t>diese</w:t>
      </w:r>
      <w:r w:rsidRPr="003F486D">
        <w:rPr>
          <w:rFonts w:cs="Arial"/>
        </w:rPr>
        <w:t xml:space="preserve"> Entwicklung </w:t>
      </w:r>
      <w:r>
        <w:rPr>
          <w:rFonts w:cs="Arial"/>
        </w:rPr>
        <w:t>es ermöglicht hat, die der</w:t>
      </w:r>
      <w:r w:rsidRPr="003F486D">
        <w:rPr>
          <w:rFonts w:cs="Arial"/>
        </w:rPr>
        <w:t xml:space="preserve"> UPOV</w:t>
      </w:r>
      <w:r>
        <w:rPr>
          <w:rFonts w:cs="Arial"/>
        </w:rPr>
        <w:t xml:space="preserve"> von</w:t>
      </w:r>
      <w:r w:rsidRPr="003F486D">
        <w:rPr>
          <w:rFonts w:cs="Arial"/>
        </w:rPr>
        <w:t xml:space="preserve"> </w:t>
      </w:r>
      <w:r>
        <w:rPr>
          <w:rFonts w:cs="Arial"/>
        </w:rPr>
        <w:t xml:space="preserve">der </w:t>
      </w:r>
      <w:r w:rsidRPr="003F486D">
        <w:rPr>
          <w:rFonts w:cs="Arial"/>
        </w:rPr>
        <w:t>WIPO</w:t>
      </w:r>
      <w:r>
        <w:rPr>
          <w:rFonts w:cs="Arial"/>
        </w:rPr>
        <w:t xml:space="preserve"> in Rechnung gestellten Betriebskosten</w:t>
      </w:r>
      <w:r w:rsidRPr="003F486D">
        <w:rPr>
          <w:rFonts w:cs="Arial"/>
        </w:rPr>
        <w:t xml:space="preserve"> </w:t>
      </w:r>
      <w:r>
        <w:rPr>
          <w:rFonts w:cs="Arial"/>
        </w:rPr>
        <w:t>in Grenzen zu halten</w:t>
      </w:r>
      <w:r w:rsidRPr="003F486D">
        <w:rPr>
          <w:rFonts w:cs="Arial"/>
        </w:rPr>
        <w:t xml:space="preserve">, </w:t>
      </w:r>
      <w:r>
        <w:rPr>
          <w:rFonts w:cs="Arial"/>
        </w:rPr>
        <w:t xml:space="preserve">bedeutet dies, </w:t>
      </w:r>
      <w:proofErr w:type="spellStart"/>
      <w:r>
        <w:rPr>
          <w:rFonts w:cs="Arial"/>
        </w:rPr>
        <w:t>daß</w:t>
      </w:r>
      <w:proofErr w:type="spellEnd"/>
      <w:r>
        <w:rPr>
          <w:rFonts w:cs="Arial"/>
        </w:rPr>
        <w:t xml:space="preserve"> die</w:t>
      </w:r>
      <w:r w:rsidRPr="003F486D">
        <w:rPr>
          <w:rFonts w:cs="Arial"/>
        </w:rPr>
        <w:t xml:space="preserve"> UPOV </w:t>
      </w:r>
      <w:r>
        <w:rPr>
          <w:rFonts w:cs="Arial"/>
        </w:rPr>
        <w:t>künftig ihre eigenen</w:t>
      </w:r>
      <w:r w:rsidRPr="003F486D">
        <w:rPr>
          <w:rFonts w:cs="Arial"/>
        </w:rPr>
        <w:t xml:space="preserve"> </w:t>
      </w:r>
      <w:r>
        <w:rPr>
          <w:rFonts w:cs="Arial"/>
        </w:rPr>
        <w:t>Vereinbarungen für IT-Fachwissen</w:t>
      </w:r>
      <w:r w:rsidRPr="003F486D">
        <w:rPr>
          <w:rFonts w:cs="Arial"/>
        </w:rPr>
        <w:t xml:space="preserve"> </w:t>
      </w:r>
      <w:r>
        <w:rPr>
          <w:rFonts w:cs="Arial"/>
        </w:rPr>
        <w:t>für Wartung und Entwicklung solcher IT-Systeme</w:t>
      </w:r>
      <w:r w:rsidRPr="003F486D">
        <w:rPr>
          <w:rFonts w:cs="Arial"/>
        </w:rPr>
        <w:t xml:space="preserve"> </w:t>
      </w:r>
      <w:r>
        <w:rPr>
          <w:rFonts w:cs="Arial"/>
        </w:rPr>
        <w:t>braucht</w:t>
      </w:r>
      <w:r w:rsidRPr="003F486D">
        <w:rPr>
          <w:rFonts w:cs="Arial"/>
        </w:rPr>
        <w:t>.</w:t>
      </w:r>
      <w:r>
        <w:rPr>
          <w:rFonts w:cs="Arial"/>
        </w:rPr>
        <w:t xml:space="preserve"> Das</w:t>
      </w:r>
      <w:r w:rsidRPr="003F486D">
        <w:rPr>
          <w:rFonts w:cs="Arial"/>
        </w:rPr>
        <w:t xml:space="preserve"> Elektronische Antragsformblatt, </w:t>
      </w:r>
      <w:r>
        <w:rPr>
          <w:rFonts w:cs="Arial"/>
        </w:rPr>
        <w:t xml:space="preserve">das </w:t>
      </w:r>
      <w:r w:rsidRPr="003F486D">
        <w:rPr>
          <w:rFonts w:cs="Arial"/>
        </w:rPr>
        <w:t>im Jahr 20</w:t>
      </w:r>
      <w:r w:rsidRPr="003F486D">
        <w:rPr>
          <w:spacing w:val="-2"/>
        </w:rPr>
        <w:t>17</w:t>
      </w:r>
      <w:r w:rsidRPr="00B10A11">
        <w:rPr>
          <w:rFonts w:cs="Arial"/>
        </w:rPr>
        <w:t xml:space="preserve"> </w:t>
      </w:r>
      <w:r>
        <w:rPr>
          <w:rFonts w:cs="Arial"/>
        </w:rPr>
        <w:t>lanciert wurde</w:t>
      </w:r>
      <w:r w:rsidRPr="003F486D">
        <w:rPr>
          <w:spacing w:val="-2"/>
        </w:rPr>
        <w:t xml:space="preserve">, </w:t>
      </w:r>
      <w:r w:rsidRPr="003F486D">
        <w:rPr>
          <w:rFonts w:cs="Arial"/>
        </w:rPr>
        <w:t>is</w:t>
      </w:r>
      <w:r>
        <w:rPr>
          <w:rFonts w:cs="Arial"/>
        </w:rPr>
        <w:t>t</w:t>
      </w:r>
      <w:r w:rsidRPr="003F486D">
        <w:rPr>
          <w:rFonts w:cs="Arial"/>
        </w:rPr>
        <w:t xml:space="preserve"> </w:t>
      </w:r>
      <w:r>
        <w:rPr>
          <w:rFonts w:cs="Arial"/>
        </w:rPr>
        <w:t>ein</w:t>
      </w:r>
      <w:r w:rsidRPr="003F486D">
        <w:rPr>
          <w:rFonts w:cs="Arial"/>
        </w:rPr>
        <w:t xml:space="preserve"> </w:t>
      </w:r>
      <w:r>
        <w:rPr>
          <w:rFonts w:cs="Arial"/>
        </w:rPr>
        <w:t>wichtiges</w:t>
      </w:r>
      <w:r w:rsidRPr="003F486D">
        <w:rPr>
          <w:rFonts w:cs="Arial"/>
        </w:rPr>
        <w:t xml:space="preserve"> </w:t>
      </w:r>
      <w:r>
        <w:rPr>
          <w:rFonts w:cs="Arial"/>
        </w:rPr>
        <w:t xml:space="preserve">neues </w:t>
      </w:r>
      <w:r w:rsidRPr="003F486D">
        <w:rPr>
          <w:rFonts w:cs="Arial"/>
        </w:rPr>
        <w:t>IT</w:t>
      </w:r>
      <w:r>
        <w:rPr>
          <w:rFonts w:cs="Arial"/>
        </w:rPr>
        <w:t xml:space="preserve">-Instrument, das die Einreichung von </w:t>
      </w:r>
      <w:r>
        <w:rPr>
          <w:spacing w:val="-2"/>
        </w:rPr>
        <w:t>Anträgen</w:t>
      </w:r>
      <w:r w:rsidRPr="003F486D">
        <w:rPr>
          <w:spacing w:val="-2"/>
        </w:rPr>
        <w:t xml:space="preserve"> </w:t>
      </w:r>
      <w:r>
        <w:rPr>
          <w:spacing w:val="-2"/>
        </w:rPr>
        <w:t>bei</w:t>
      </w:r>
      <w:r w:rsidRPr="003F486D">
        <w:rPr>
          <w:spacing w:val="-2"/>
        </w:rPr>
        <w:t xml:space="preserve"> Verbandsmitgliedern</w:t>
      </w:r>
      <w:r>
        <w:rPr>
          <w:spacing w:val="-2"/>
        </w:rPr>
        <w:t xml:space="preserve"> erleichtert, und war nur</w:t>
      </w:r>
      <w:r w:rsidRPr="003F486D">
        <w:rPr>
          <w:spacing w:val="-2"/>
        </w:rPr>
        <w:t xml:space="preserve"> </w:t>
      </w:r>
      <w:r>
        <w:rPr>
          <w:spacing w:val="-2"/>
        </w:rPr>
        <w:t>auf der Grundlage</w:t>
      </w:r>
      <w:r w:rsidRPr="006A1E38">
        <w:rPr>
          <w:spacing w:val="-2"/>
        </w:rPr>
        <w:t xml:space="preserve"> </w:t>
      </w:r>
      <w:r>
        <w:rPr>
          <w:spacing w:val="-2"/>
        </w:rPr>
        <w:t xml:space="preserve">möglich, </w:t>
      </w:r>
      <w:proofErr w:type="spellStart"/>
      <w:r>
        <w:rPr>
          <w:spacing w:val="-2"/>
        </w:rPr>
        <w:t>daß</w:t>
      </w:r>
      <w:proofErr w:type="spellEnd"/>
      <w:r>
        <w:rPr>
          <w:spacing w:val="-2"/>
        </w:rPr>
        <w:t xml:space="preserve"> die Gebühren</w:t>
      </w:r>
      <w:r w:rsidRPr="003F486D">
        <w:rPr>
          <w:spacing w:val="-2"/>
        </w:rPr>
        <w:t xml:space="preserve"> </w:t>
      </w:r>
      <w:r>
        <w:rPr>
          <w:spacing w:val="-2"/>
        </w:rPr>
        <w:t>von Nutzern</w:t>
      </w:r>
      <w:r w:rsidRPr="003F486D">
        <w:rPr>
          <w:spacing w:val="-2"/>
        </w:rPr>
        <w:t xml:space="preserve"> </w:t>
      </w:r>
      <w:r>
        <w:rPr>
          <w:spacing w:val="-2"/>
        </w:rPr>
        <w:t>letztendlich</w:t>
      </w:r>
      <w:r w:rsidRPr="003F486D">
        <w:rPr>
          <w:spacing w:val="-2"/>
        </w:rPr>
        <w:t xml:space="preserve"> </w:t>
      </w:r>
      <w:r>
        <w:rPr>
          <w:spacing w:val="-2"/>
        </w:rPr>
        <w:t xml:space="preserve">die </w:t>
      </w:r>
      <w:r w:rsidRPr="003F486D">
        <w:rPr>
          <w:spacing w:val="-2"/>
        </w:rPr>
        <w:t xml:space="preserve">Kosten </w:t>
      </w:r>
      <w:r>
        <w:rPr>
          <w:spacing w:val="-2"/>
        </w:rPr>
        <w:t>für dessen</w:t>
      </w:r>
      <w:r w:rsidRPr="003F486D">
        <w:rPr>
          <w:spacing w:val="-2"/>
        </w:rPr>
        <w:t xml:space="preserve"> Entwicklung</w:t>
      </w:r>
      <w:r>
        <w:rPr>
          <w:spacing w:val="-2"/>
        </w:rPr>
        <w:t xml:space="preserve"> und Wartung decken</w:t>
      </w:r>
      <w:r w:rsidRPr="003F486D">
        <w:rPr>
          <w:spacing w:val="-2"/>
        </w:rPr>
        <w:t>.</w:t>
      </w:r>
      <w:r>
        <w:rPr>
          <w:spacing w:val="-2"/>
        </w:rPr>
        <w:t xml:space="preserve"> Die</w:t>
      </w:r>
      <w:r w:rsidRPr="003F486D">
        <w:rPr>
          <w:spacing w:val="-2"/>
        </w:rPr>
        <w:t xml:space="preserve"> Einnahmen </w:t>
      </w:r>
      <w:r>
        <w:rPr>
          <w:spacing w:val="-2"/>
        </w:rPr>
        <w:t xml:space="preserve">aus dem </w:t>
      </w:r>
      <w:r w:rsidRPr="003F486D">
        <w:rPr>
          <w:spacing w:val="-2"/>
        </w:rPr>
        <w:t xml:space="preserve">EAF, </w:t>
      </w:r>
      <w:r>
        <w:rPr>
          <w:spacing w:val="-2"/>
        </w:rPr>
        <w:t>die von</w:t>
      </w:r>
      <w:r w:rsidRPr="003F486D">
        <w:rPr>
          <w:spacing w:val="-2"/>
        </w:rPr>
        <w:t xml:space="preserve"> </w:t>
      </w:r>
      <w:r>
        <w:rPr>
          <w:spacing w:val="-2"/>
        </w:rPr>
        <w:t>der Mitwirkung am</w:t>
      </w:r>
      <w:r w:rsidRPr="003F486D">
        <w:rPr>
          <w:spacing w:val="-2"/>
        </w:rPr>
        <w:t xml:space="preserve"> EAF </w:t>
      </w:r>
      <w:r>
        <w:rPr>
          <w:spacing w:val="-2"/>
        </w:rPr>
        <w:t>durch</w:t>
      </w:r>
      <w:r w:rsidRPr="003F486D">
        <w:rPr>
          <w:spacing w:val="-2"/>
        </w:rPr>
        <w:t xml:space="preserve"> </w:t>
      </w:r>
      <w:r>
        <w:rPr>
          <w:spacing w:val="-2"/>
        </w:rPr>
        <w:t xml:space="preserve">Verbandsmitglieder für eine </w:t>
      </w:r>
      <w:r w:rsidRPr="003F486D">
        <w:rPr>
          <w:spacing w:val="-2"/>
        </w:rPr>
        <w:t>maxi</w:t>
      </w:r>
      <w:r>
        <w:rPr>
          <w:spacing w:val="-2"/>
        </w:rPr>
        <w:t>male Verwendung durch</w:t>
      </w:r>
      <w:r w:rsidRPr="003F486D">
        <w:rPr>
          <w:spacing w:val="-2"/>
        </w:rPr>
        <w:t xml:space="preserve"> </w:t>
      </w:r>
      <w:r>
        <w:rPr>
          <w:spacing w:val="-2"/>
        </w:rPr>
        <w:t>Züchter</w:t>
      </w:r>
      <w:r w:rsidRPr="00B10A11">
        <w:rPr>
          <w:spacing w:val="-2"/>
        </w:rPr>
        <w:t xml:space="preserve"> </w:t>
      </w:r>
      <w:r>
        <w:rPr>
          <w:spacing w:val="-2"/>
        </w:rPr>
        <w:t>abhängen werden,</w:t>
      </w:r>
      <w:r w:rsidRPr="003F486D">
        <w:rPr>
          <w:spacing w:val="-2"/>
        </w:rPr>
        <w:t xml:space="preserve"> </w:t>
      </w:r>
      <w:proofErr w:type="gramStart"/>
      <w:r>
        <w:rPr>
          <w:spacing w:val="-2"/>
        </w:rPr>
        <w:t>wird</w:t>
      </w:r>
      <w:proofErr w:type="gramEnd"/>
      <w:r>
        <w:rPr>
          <w:spacing w:val="-2"/>
        </w:rPr>
        <w:t xml:space="preserve"> voraussichtlich einen erheblichen finanziellen</w:t>
      </w:r>
      <w:r w:rsidRPr="003F486D">
        <w:rPr>
          <w:spacing w:val="-2"/>
        </w:rPr>
        <w:t xml:space="preserve"> </w:t>
      </w:r>
      <w:r>
        <w:rPr>
          <w:spacing w:val="-2"/>
        </w:rPr>
        <w:t>Beitrag darzustellen</w:t>
      </w:r>
      <w:r w:rsidRPr="003F486D">
        <w:rPr>
          <w:spacing w:val="-2"/>
        </w:rPr>
        <w:t>.</w:t>
      </w:r>
    </w:p>
    <w:p w:rsidR="008134A5" w:rsidRPr="003F486D" w:rsidRDefault="008134A5" w:rsidP="008134A5">
      <w:pPr>
        <w:tabs>
          <w:tab w:val="left" w:pos="567"/>
        </w:tabs>
        <w:rPr>
          <w:spacing w:val="-2"/>
        </w:rPr>
      </w:pPr>
    </w:p>
    <w:p w:rsidR="008134A5" w:rsidRPr="003F486D" w:rsidRDefault="008134A5" w:rsidP="008134A5">
      <w:pPr>
        <w:tabs>
          <w:tab w:val="left" w:pos="567"/>
        </w:tabs>
        <w:rPr>
          <w:spacing w:val="-2"/>
        </w:rPr>
      </w:pPr>
      <w:r w:rsidRPr="003F486D">
        <w:rPr>
          <w:spacing w:val="-2"/>
        </w:rPr>
        <w:t>3.10</w:t>
      </w:r>
      <w:r w:rsidRPr="003F486D">
        <w:rPr>
          <w:spacing w:val="-2"/>
        </w:rPr>
        <w:tab/>
      </w:r>
      <w:r>
        <w:rPr>
          <w:spacing w:val="-2"/>
        </w:rPr>
        <w:t xml:space="preserve">Einer der </w:t>
      </w:r>
      <w:r w:rsidRPr="005860C6">
        <w:rPr>
          <w:spacing w:val="-2"/>
        </w:rPr>
        <w:t xml:space="preserve">Posten im höheren Dienst </w:t>
      </w:r>
      <w:r>
        <w:rPr>
          <w:spacing w:val="-2"/>
        </w:rPr>
        <w:t xml:space="preserve">wird für einen Teil der </w:t>
      </w:r>
      <w:r w:rsidRPr="003F486D">
        <w:rPr>
          <w:spacing w:val="-2"/>
        </w:rPr>
        <w:t>Rechnungsperiode</w:t>
      </w:r>
      <w:r w:rsidRPr="00B10A11">
        <w:rPr>
          <w:spacing w:val="-2"/>
        </w:rPr>
        <w:t xml:space="preserve"> </w:t>
      </w:r>
      <w:r w:rsidRPr="003F486D">
        <w:rPr>
          <w:snapToGrid w:val="0"/>
          <w:spacing w:val="-2"/>
          <w:szCs w:val="24"/>
        </w:rPr>
        <w:t>2018­2019</w:t>
      </w:r>
      <w:r w:rsidRPr="003F486D">
        <w:rPr>
          <w:spacing w:val="-2"/>
        </w:rPr>
        <w:t xml:space="preserve"> </w:t>
      </w:r>
      <w:r>
        <w:rPr>
          <w:spacing w:val="-2"/>
        </w:rPr>
        <w:t>durch einen</w:t>
      </w:r>
      <w:r w:rsidRPr="003F486D">
        <w:rPr>
          <w:spacing w:val="-2"/>
        </w:rPr>
        <w:t xml:space="preserve"> </w:t>
      </w:r>
      <w:r>
        <w:rPr>
          <w:spacing w:val="-2"/>
        </w:rPr>
        <w:t>Zeitvertrag besetzt werden</w:t>
      </w:r>
      <w:r w:rsidRPr="003F486D">
        <w:rPr>
          <w:spacing w:val="-2"/>
        </w:rPr>
        <w:t xml:space="preserve">. </w:t>
      </w:r>
      <w:r>
        <w:rPr>
          <w:spacing w:val="-2"/>
        </w:rPr>
        <w:t>Außerdem wird i</w:t>
      </w:r>
      <w:r w:rsidRPr="003F486D">
        <w:t xml:space="preserve">n Einklang mit dem Ansatz in </w:t>
      </w:r>
      <w:r>
        <w:t>vorherigen</w:t>
      </w:r>
      <w:r w:rsidRPr="003F486D">
        <w:t xml:space="preserve"> Finanzperiode</w:t>
      </w:r>
      <w:r>
        <w:t xml:space="preserve">n </w:t>
      </w:r>
      <w:r w:rsidRPr="003F486D">
        <w:t>in der Kategorie allgemeiner Dienst soweit erforderlich und im Rahmen des Budgets auf Zeitverträge zurückgegriffen werden</w:t>
      </w:r>
      <w:r>
        <w:t xml:space="preserve">. Für die </w:t>
      </w:r>
      <w:r>
        <w:rPr>
          <w:spacing w:val="-2"/>
        </w:rPr>
        <w:t xml:space="preserve">Rechnungsperiode 2018-2019 wurden Vorkehrungen für einen Verwaltungsmitarbeiter </w:t>
      </w:r>
      <w:r w:rsidRPr="003F486D">
        <w:rPr>
          <w:spacing w:val="-2"/>
        </w:rPr>
        <w:t xml:space="preserve">im Rahmen </w:t>
      </w:r>
      <w:r>
        <w:rPr>
          <w:spacing w:val="-2"/>
        </w:rPr>
        <w:t>eines</w:t>
      </w:r>
      <w:r w:rsidRPr="003F486D">
        <w:rPr>
          <w:spacing w:val="-2"/>
        </w:rPr>
        <w:t xml:space="preserve"> </w:t>
      </w:r>
      <w:r>
        <w:rPr>
          <w:spacing w:val="-2"/>
        </w:rPr>
        <w:t>Zeitvertrags</w:t>
      </w:r>
      <w:r w:rsidRPr="00B10A11">
        <w:rPr>
          <w:spacing w:val="-2"/>
        </w:rPr>
        <w:t xml:space="preserve"> </w:t>
      </w:r>
      <w:r>
        <w:rPr>
          <w:spacing w:val="-2"/>
        </w:rPr>
        <w:t>getroffen</w:t>
      </w:r>
      <w:r w:rsidRPr="003F486D">
        <w:rPr>
          <w:spacing w:val="-2"/>
        </w:rPr>
        <w:t xml:space="preserve">, </w:t>
      </w:r>
      <w:r>
        <w:rPr>
          <w:spacing w:val="-2"/>
        </w:rPr>
        <w:t>dessen</w:t>
      </w:r>
      <w:r w:rsidRPr="003F486D">
        <w:rPr>
          <w:spacing w:val="-2"/>
        </w:rPr>
        <w:t xml:space="preserve"> Arbeit </w:t>
      </w:r>
      <w:r w:rsidRPr="005860C6">
        <w:rPr>
          <w:spacing w:val="-2"/>
        </w:rPr>
        <w:t>administrative Unterstützung</w:t>
      </w:r>
      <w:r w:rsidRPr="003F486D">
        <w:rPr>
          <w:spacing w:val="-2"/>
        </w:rPr>
        <w:t xml:space="preserve"> </w:t>
      </w:r>
      <w:r>
        <w:rPr>
          <w:spacing w:val="-2"/>
        </w:rPr>
        <w:t>für das EAF</w:t>
      </w:r>
      <w:r w:rsidRPr="0076383A">
        <w:rPr>
          <w:spacing w:val="-2"/>
        </w:rPr>
        <w:t xml:space="preserve"> </w:t>
      </w:r>
      <w:r>
        <w:rPr>
          <w:spacing w:val="-2"/>
        </w:rPr>
        <w:t>umfassen</w:t>
      </w:r>
      <w:r w:rsidRPr="003F486D">
        <w:rPr>
          <w:spacing w:val="-2"/>
        </w:rPr>
        <w:t xml:space="preserve"> </w:t>
      </w:r>
      <w:r>
        <w:rPr>
          <w:spacing w:val="-2"/>
        </w:rPr>
        <w:t>wird</w:t>
      </w:r>
      <w:r w:rsidRPr="003F486D">
        <w:rPr>
          <w:spacing w:val="-2"/>
        </w:rPr>
        <w:t>.</w:t>
      </w:r>
      <w:r>
        <w:rPr>
          <w:spacing w:val="-2"/>
        </w:rPr>
        <w:t xml:space="preserve"> Z</w:t>
      </w:r>
      <w:r w:rsidRPr="005860C6">
        <w:rPr>
          <w:spacing w:val="-2"/>
        </w:rPr>
        <w:t>usätzliche administrative Unterstützung</w:t>
      </w:r>
      <w:r w:rsidRPr="003F486D">
        <w:rPr>
          <w:spacing w:val="-2"/>
        </w:rPr>
        <w:t xml:space="preserve"> </w:t>
      </w:r>
      <w:r>
        <w:rPr>
          <w:spacing w:val="-2"/>
        </w:rPr>
        <w:t>wird</w:t>
      </w:r>
      <w:r w:rsidRPr="00B10A11">
        <w:rPr>
          <w:spacing w:val="-2"/>
        </w:rPr>
        <w:t xml:space="preserve"> </w:t>
      </w:r>
      <w:r>
        <w:rPr>
          <w:spacing w:val="-2"/>
        </w:rPr>
        <w:t>je nach Bedarf</w:t>
      </w:r>
      <w:r w:rsidRPr="003F486D">
        <w:rPr>
          <w:spacing w:val="-2"/>
        </w:rPr>
        <w:t xml:space="preserve"> </w:t>
      </w:r>
      <w:r>
        <w:rPr>
          <w:spacing w:val="-2"/>
        </w:rPr>
        <w:t xml:space="preserve">von </w:t>
      </w:r>
      <w:r w:rsidRPr="003F486D">
        <w:rPr>
          <w:spacing w:val="-2"/>
        </w:rPr>
        <w:t>Fremdpersonal (</w:t>
      </w:r>
      <w:r w:rsidRPr="005860C6">
        <w:rPr>
          <w:spacing w:val="-2"/>
        </w:rPr>
        <w:t>Nichtpersonalkosten</w:t>
      </w:r>
      <w:r w:rsidRPr="003F486D">
        <w:rPr>
          <w:spacing w:val="-2"/>
        </w:rPr>
        <w:t>)</w:t>
      </w:r>
      <w:r w:rsidRPr="00B10A11">
        <w:rPr>
          <w:spacing w:val="-2"/>
        </w:rPr>
        <w:t xml:space="preserve"> </w:t>
      </w:r>
      <w:r>
        <w:rPr>
          <w:spacing w:val="-2"/>
        </w:rPr>
        <w:t>bereitgestellt</w:t>
      </w:r>
      <w:r w:rsidRPr="003F486D">
        <w:rPr>
          <w:spacing w:val="-2"/>
        </w:rPr>
        <w:t xml:space="preserve"> </w:t>
      </w:r>
      <w:r>
        <w:rPr>
          <w:spacing w:val="-2"/>
        </w:rPr>
        <w:t>werden</w:t>
      </w:r>
      <w:r w:rsidRPr="003F486D">
        <w:rPr>
          <w:spacing w:val="-2"/>
        </w:rPr>
        <w:t xml:space="preserve">. </w:t>
      </w:r>
    </w:p>
    <w:p w:rsidR="008134A5" w:rsidRPr="003F486D" w:rsidRDefault="008134A5" w:rsidP="008134A5">
      <w:pPr>
        <w:rPr>
          <w:spacing w:val="-2"/>
          <w:szCs w:val="24"/>
        </w:rPr>
      </w:pPr>
    </w:p>
    <w:p w:rsidR="008134A5" w:rsidRPr="003F486D" w:rsidRDefault="008134A5" w:rsidP="008134A5">
      <w:pPr>
        <w:jc w:val="center"/>
        <w:rPr>
          <w:rFonts w:cs="Arial"/>
          <w:b/>
          <w:bCs/>
        </w:rPr>
      </w:pPr>
      <w:r w:rsidRPr="003F486D">
        <w:rPr>
          <w:b/>
        </w:rPr>
        <w:t>Tabelle 5:</w:t>
      </w:r>
      <w:r>
        <w:rPr>
          <w:b/>
        </w:rPr>
        <w:t xml:space="preserve"> </w:t>
      </w:r>
      <w:r w:rsidRPr="003F486D">
        <w:rPr>
          <w:b/>
        </w:rPr>
        <w:t>Haushaltsplan 2018-2019:</w:t>
      </w:r>
      <w:r>
        <w:rPr>
          <w:b/>
        </w:rPr>
        <w:t xml:space="preserve"> </w:t>
      </w:r>
      <w:r w:rsidRPr="003F486D">
        <w:rPr>
          <w:b/>
        </w:rPr>
        <w:t>Posten nach Kategorien</w:t>
      </w:r>
    </w:p>
    <w:p w:rsidR="008134A5" w:rsidRPr="003F486D" w:rsidRDefault="008134A5" w:rsidP="008134A5">
      <w:pPr>
        <w:jc w:val="center"/>
        <w:rPr>
          <w:spacing w:val="-2"/>
          <w:szCs w:val="24"/>
        </w:rPr>
      </w:pPr>
    </w:p>
    <w:p w:rsidR="008134A5" w:rsidRPr="003F486D" w:rsidRDefault="004A1190" w:rsidP="008134A5">
      <w:pPr>
        <w:jc w:val="center"/>
        <w:rPr>
          <w:spacing w:val="-2"/>
          <w:szCs w:val="24"/>
        </w:rPr>
      </w:pPr>
      <w:r w:rsidRPr="004A1190">
        <w:rPr>
          <w:noProof/>
          <w:lang w:val="en-US"/>
        </w:rPr>
        <w:drawing>
          <wp:inline distT="0" distB="0" distL="0" distR="0">
            <wp:extent cx="4505325" cy="13049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05325" cy="1304925"/>
                    </a:xfrm>
                    <a:prstGeom prst="rect">
                      <a:avLst/>
                    </a:prstGeom>
                    <a:noFill/>
                    <a:ln>
                      <a:noFill/>
                    </a:ln>
                  </pic:spPr>
                </pic:pic>
              </a:graphicData>
            </a:graphic>
          </wp:inline>
        </w:drawing>
      </w:r>
    </w:p>
    <w:p w:rsidR="008134A5" w:rsidRPr="003F486D" w:rsidRDefault="008134A5" w:rsidP="008134A5">
      <w:pPr>
        <w:jc w:val="center"/>
        <w:rPr>
          <w:spacing w:val="-2"/>
          <w:szCs w:val="24"/>
        </w:rPr>
      </w:pPr>
    </w:p>
    <w:p w:rsidR="008134A5" w:rsidRPr="003F486D" w:rsidRDefault="008134A5" w:rsidP="008134A5">
      <w:pPr>
        <w:jc w:val="center"/>
        <w:rPr>
          <w:spacing w:val="-2"/>
          <w:szCs w:val="24"/>
        </w:rPr>
      </w:pPr>
    </w:p>
    <w:p w:rsidR="008134A5" w:rsidRPr="003F486D" w:rsidRDefault="008134A5" w:rsidP="008134A5">
      <w:pPr>
        <w:rPr>
          <w:spacing w:val="-2"/>
          <w:szCs w:val="24"/>
        </w:rPr>
      </w:pPr>
    </w:p>
    <w:p w:rsidR="008134A5" w:rsidRPr="003F486D" w:rsidRDefault="008134A5" w:rsidP="008134A5">
      <w:pPr>
        <w:tabs>
          <w:tab w:val="left" w:pos="567"/>
        </w:tabs>
      </w:pPr>
      <w:r w:rsidRPr="003F486D">
        <w:rPr>
          <w:color w:val="000000"/>
        </w:rPr>
        <w:t>3.11</w:t>
      </w:r>
      <w:r w:rsidRPr="003F486D">
        <w:tab/>
      </w:r>
      <w:r w:rsidRPr="003F486D">
        <w:rPr>
          <w:b/>
        </w:rPr>
        <w:t>Tabelle 6</w:t>
      </w:r>
      <w:r w:rsidRPr="003F486D">
        <w:t xml:space="preserve"> enthält die veranschlagten Haushaltszuweisungen nach Unterprogrammen.</w:t>
      </w:r>
    </w:p>
    <w:p w:rsidR="008134A5" w:rsidRPr="003F486D" w:rsidRDefault="008134A5" w:rsidP="008134A5">
      <w:pPr>
        <w:tabs>
          <w:tab w:val="left" w:pos="567"/>
        </w:tabs>
      </w:pPr>
    </w:p>
    <w:p w:rsidR="008134A5" w:rsidRPr="003F486D" w:rsidRDefault="008134A5" w:rsidP="008134A5">
      <w:pPr>
        <w:tabs>
          <w:tab w:val="left" w:pos="567"/>
        </w:tabs>
      </w:pPr>
      <w:r w:rsidRPr="003F486D">
        <w:rPr>
          <w:color w:val="000000"/>
        </w:rPr>
        <w:t>3.12</w:t>
      </w:r>
      <w:r w:rsidRPr="003F486D">
        <w:tab/>
        <w:t>Der Vorschlag für Programm und Haushaltsplan für die Rechnungsperiode 2018-2019 ist in vier Unterprogramme aufgeteilt:</w:t>
      </w:r>
      <w:r>
        <w:t xml:space="preserve"> </w:t>
      </w:r>
    </w:p>
    <w:p w:rsidR="008134A5" w:rsidRPr="003F486D" w:rsidRDefault="008134A5" w:rsidP="008134A5">
      <w:pPr>
        <w:tabs>
          <w:tab w:val="left" w:pos="567"/>
        </w:tabs>
      </w:pPr>
    </w:p>
    <w:p w:rsidR="008134A5" w:rsidRPr="003F486D" w:rsidRDefault="008134A5" w:rsidP="008134A5">
      <w:pPr>
        <w:keepNext/>
        <w:autoSpaceDE w:val="0"/>
        <w:autoSpaceDN w:val="0"/>
        <w:adjustRightInd w:val="0"/>
        <w:ind w:left="1417" w:hanging="850"/>
        <w:jc w:val="left"/>
        <w:rPr>
          <w:bCs/>
          <w:szCs w:val="24"/>
        </w:rPr>
      </w:pPr>
      <w:r w:rsidRPr="003F486D">
        <w:t>UV.1:</w:t>
      </w:r>
      <w:r w:rsidRPr="003F486D">
        <w:tab/>
        <w:t>Allgemeine Sortenschutzpolitik</w:t>
      </w:r>
    </w:p>
    <w:p w:rsidR="008134A5" w:rsidRPr="003F486D" w:rsidRDefault="008134A5" w:rsidP="008134A5">
      <w:pPr>
        <w:ind w:left="1417" w:hanging="850"/>
      </w:pPr>
      <w:r w:rsidRPr="003F486D">
        <w:t>UV.2:</w:t>
      </w:r>
      <w:r w:rsidRPr="003F486D">
        <w:tab/>
        <w:t>Dienstleistungen für den Verband zur Verbesserung der Wirksamkeit des UPOV-Systems</w:t>
      </w:r>
    </w:p>
    <w:p w:rsidR="008134A5" w:rsidRPr="003F486D" w:rsidRDefault="008134A5" w:rsidP="008134A5">
      <w:pPr>
        <w:ind w:left="1417" w:hanging="850"/>
      </w:pPr>
      <w:r w:rsidRPr="003F486D">
        <w:t>UV.3:</w:t>
      </w:r>
      <w:r w:rsidRPr="003F486D">
        <w:tab/>
        <w:t>Unterstützung bei der Einführung und Umsetzung des UPOV-Systems</w:t>
      </w:r>
    </w:p>
    <w:p w:rsidR="008134A5" w:rsidRPr="003F486D" w:rsidRDefault="008134A5" w:rsidP="008134A5">
      <w:pPr>
        <w:ind w:left="1417" w:hanging="850"/>
      </w:pPr>
      <w:r w:rsidRPr="003F486D">
        <w:t>UV.4:</w:t>
      </w:r>
      <w:r w:rsidRPr="003F486D">
        <w:tab/>
        <w:t>Externe Beziehungen</w:t>
      </w:r>
    </w:p>
    <w:p w:rsidR="008134A5" w:rsidRPr="003F486D" w:rsidRDefault="008134A5" w:rsidP="008134A5">
      <w:pPr>
        <w:tabs>
          <w:tab w:val="left" w:pos="567"/>
        </w:tabs>
      </w:pPr>
    </w:p>
    <w:p w:rsidR="008134A5" w:rsidRPr="003F486D" w:rsidRDefault="008134A5" w:rsidP="008134A5">
      <w:pPr>
        <w:tabs>
          <w:tab w:val="left" w:pos="567"/>
        </w:tabs>
      </w:pPr>
      <w:r w:rsidRPr="003F486D">
        <w:rPr>
          <w:color w:val="000000"/>
        </w:rPr>
        <w:t>3.13</w:t>
      </w:r>
      <w:r w:rsidRPr="003F486D">
        <w:tab/>
        <w:t xml:space="preserve">Die Personalkosten wurden nach Unterprogrammen als Anteil der Arbeitszeit der Mitarbeiter zugewiesen, die für jedes Unterprogramm aufgewandt werden dürfte. Die Nichtpersonalkosten wurden nach Unterprogramm gemäß den </w:t>
      </w:r>
      <w:r>
        <w:t>veranschlagt</w:t>
      </w:r>
      <w:r w:rsidRPr="003F486D">
        <w:t xml:space="preserve">en Tätigkeiten aufgeteilt. Es ist anzumerken, </w:t>
      </w:r>
      <w:proofErr w:type="spellStart"/>
      <w:r w:rsidRPr="003F486D">
        <w:t>daß</w:t>
      </w:r>
      <w:proofErr w:type="spellEnd"/>
      <w:r w:rsidRPr="003F486D">
        <w:t xml:space="preserve"> die gemeinsamen Ausgaben mit der WIPO für die der UPOV </w:t>
      </w:r>
      <w:proofErr w:type="gramStart"/>
      <w:r w:rsidRPr="003F486D">
        <w:t>erbrachten</w:t>
      </w:r>
      <w:proofErr w:type="gramEnd"/>
      <w:r w:rsidRPr="003F486D">
        <w:t xml:space="preserve"> Verwaltungsdienste im Unterprogramm UV.2 ausgewiesen sind.</w:t>
      </w:r>
    </w:p>
    <w:p w:rsidR="008134A5" w:rsidRPr="003F486D" w:rsidRDefault="008134A5" w:rsidP="008134A5">
      <w:pPr>
        <w:rPr>
          <w:spacing w:val="-2"/>
          <w:szCs w:val="24"/>
        </w:rPr>
      </w:pPr>
    </w:p>
    <w:p w:rsidR="008134A5" w:rsidRPr="003F486D" w:rsidRDefault="008134A5" w:rsidP="008134A5">
      <w:pPr>
        <w:keepNext/>
        <w:jc w:val="center"/>
        <w:rPr>
          <w:rFonts w:cs="Arial"/>
        </w:rPr>
      </w:pPr>
      <w:r w:rsidRPr="003F486D">
        <w:rPr>
          <w:b/>
        </w:rPr>
        <w:t>Tabelle 6:</w:t>
      </w:r>
      <w:r>
        <w:rPr>
          <w:b/>
        </w:rPr>
        <w:t xml:space="preserve"> </w:t>
      </w:r>
      <w:r w:rsidRPr="003F486D">
        <w:rPr>
          <w:b/>
        </w:rPr>
        <w:t>Vorgeschlagener Haushaltsplan 2018-2019: Zuweisung nach Ausgabenposten</w:t>
      </w:r>
      <w:r w:rsidRPr="003F486D">
        <w:rPr>
          <w:rFonts w:cs="Arial"/>
          <w:b/>
          <w:bCs/>
        </w:rPr>
        <w:br/>
      </w:r>
      <w:r w:rsidRPr="003F486D">
        <w:t>(in tausend Schweizer Franken)</w:t>
      </w:r>
    </w:p>
    <w:p w:rsidR="008134A5" w:rsidRPr="003F486D" w:rsidRDefault="008134A5" w:rsidP="008134A5">
      <w:pPr>
        <w:keepNext/>
        <w:jc w:val="center"/>
        <w:rPr>
          <w:spacing w:val="-2"/>
          <w:szCs w:val="24"/>
        </w:rPr>
      </w:pPr>
    </w:p>
    <w:p w:rsidR="008134A5" w:rsidRPr="003F486D" w:rsidRDefault="00926645" w:rsidP="008134A5">
      <w:pPr>
        <w:jc w:val="center"/>
        <w:rPr>
          <w:spacing w:val="-2"/>
          <w:szCs w:val="24"/>
        </w:rPr>
      </w:pPr>
      <w:r w:rsidRPr="00926645">
        <w:rPr>
          <w:noProof/>
          <w:lang w:val="en-US"/>
        </w:rPr>
        <w:drawing>
          <wp:inline distT="0" distB="0" distL="0" distR="0" wp14:anchorId="50AA478C" wp14:editId="2F87B97A">
            <wp:extent cx="6120765" cy="3670703"/>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20765" cy="3670703"/>
                    </a:xfrm>
                    <a:prstGeom prst="rect">
                      <a:avLst/>
                    </a:prstGeom>
                    <a:noFill/>
                    <a:ln>
                      <a:noFill/>
                    </a:ln>
                  </pic:spPr>
                </pic:pic>
              </a:graphicData>
            </a:graphic>
          </wp:inline>
        </w:drawing>
      </w:r>
    </w:p>
    <w:p w:rsidR="008134A5" w:rsidRPr="00FD32F9" w:rsidRDefault="008134A5" w:rsidP="00FD32F9"/>
    <w:p w:rsidR="008134A5" w:rsidRPr="003F486D" w:rsidRDefault="008134A5" w:rsidP="008134A5">
      <w:pPr>
        <w:jc w:val="left"/>
        <w:rPr>
          <w:color w:val="000000"/>
        </w:rPr>
      </w:pPr>
    </w:p>
    <w:p w:rsidR="008134A5" w:rsidRPr="003F486D" w:rsidRDefault="008134A5" w:rsidP="008134A5">
      <w:pPr>
        <w:keepNext/>
        <w:tabs>
          <w:tab w:val="left" w:pos="567"/>
        </w:tabs>
      </w:pPr>
      <w:r w:rsidRPr="003F486D">
        <w:rPr>
          <w:color w:val="000000"/>
        </w:rPr>
        <w:t>3.14</w:t>
      </w:r>
      <w:r w:rsidRPr="003F486D">
        <w:tab/>
      </w:r>
      <w:r w:rsidRPr="003F486D">
        <w:rPr>
          <w:b/>
        </w:rPr>
        <w:t>Tabelle 7</w:t>
      </w:r>
      <w:r w:rsidRPr="003F486D">
        <w:t xml:space="preserve"> gibt die Haushaltsveränderungen nach Unterprogrammen zwischen dem Haushaltsplan 2016-2017 und dem vorgeschlagenen Haushaltsplan 2018-2019 an.</w:t>
      </w:r>
    </w:p>
    <w:p w:rsidR="008134A5" w:rsidRPr="003F486D" w:rsidRDefault="008134A5" w:rsidP="008134A5">
      <w:pPr>
        <w:keepNext/>
        <w:tabs>
          <w:tab w:val="left" w:pos="567"/>
        </w:tabs>
      </w:pPr>
    </w:p>
    <w:p w:rsidR="008134A5" w:rsidRPr="003F486D" w:rsidRDefault="008134A5" w:rsidP="008134A5">
      <w:pPr>
        <w:jc w:val="center"/>
      </w:pPr>
      <w:r w:rsidRPr="003F486D">
        <w:rPr>
          <w:b/>
          <w:color w:val="000000"/>
        </w:rPr>
        <w:t>Tabelle 7:</w:t>
      </w:r>
      <w:r>
        <w:rPr>
          <w:b/>
          <w:color w:val="000000"/>
        </w:rPr>
        <w:t xml:space="preserve"> </w:t>
      </w:r>
      <w:r w:rsidRPr="003F486D">
        <w:rPr>
          <w:b/>
          <w:color w:val="000000"/>
        </w:rPr>
        <w:t>Haushalts</w:t>
      </w:r>
      <w:r>
        <w:rPr>
          <w:b/>
          <w:color w:val="000000"/>
        </w:rPr>
        <w:t>veränderung nach Unterprogramm</w:t>
      </w:r>
      <w:r w:rsidRPr="003F486D">
        <w:rPr>
          <w:rFonts w:cs="Arial"/>
          <w:b/>
          <w:bCs/>
          <w:color w:val="000000"/>
        </w:rPr>
        <w:br/>
      </w:r>
      <w:r w:rsidRPr="003F486D">
        <w:rPr>
          <w:i/>
          <w:color w:val="000000"/>
        </w:rPr>
        <w:t>(in tausend Schweizer Franken)</w:t>
      </w:r>
    </w:p>
    <w:p w:rsidR="008134A5" w:rsidRPr="003F486D" w:rsidRDefault="008134A5" w:rsidP="008134A5">
      <w:pPr>
        <w:jc w:val="center"/>
        <w:rPr>
          <w:spacing w:val="-2"/>
          <w:szCs w:val="24"/>
        </w:rPr>
      </w:pPr>
    </w:p>
    <w:p w:rsidR="008134A5" w:rsidRPr="003F486D" w:rsidRDefault="00AB7F4F" w:rsidP="008134A5">
      <w:pPr>
        <w:jc w:val="center"/>
        <w:rPr>
          <w:spacing w:val="-2"/>
          <w:szCs w:val="24"/>
        </w:rPr>
      </w:pPr>
      <w:r w:rsidRPr="00AB7F4F">
        <w:rPr>
          <w:noProof/>
          <w:lang w:val="en-US"/>
        </w:rPr>
        <w:drawing>
          <wp:inline distT="0" distB="0" distL="0" distR="0">
            <wp:extent cx="3905250" cy="18478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905250" cy="1847850"/>
                    </a:xfrm>
                    <a:prstGeom prst="rect">
                      <a:avLst/>
                    </a:prstGeom>
                    <a:noFill/>
                    <a:ln>
                      <a:noFill/>
                    </a:ln>
                  </pic:spPr>
                </pic:pic>
              </a:graphicData>
            </a:graphic>
          </wp:inline>
        </w:drawing>
      </w:r>
    </w:p>
    <w:p w:rsidR="008134A5" w:rsidRPr="003F486D" w:rsidRDefault="008134A5" w:rsidP="008134A5">
      <w:pPr>
        <w:rPr>
          <w:spacing w:val="-2"/>
          <w:szCs w:val="24"/>
        </w:rPr>
      </w:pPr>
    </w:p>
    <w:p w:rsidR="008134A5" w:rsidRPr="003F486D" w:rsidRDefault="008134A5" w:rsidP="008134A5">
      <w:pPr>
        <w:rPr>
          <w:spacing w:val="-2"/>
          <w:szCs w:val="24"/>
        </w:rPr>
      </w:pPr>
    </w:p>
    <w:p w:rsidR="008134A5" w:rsidRPr="003F486D" w:rsidRDefault="008134A5" w:rsidP="008134A5">
      <w:r w:rsidRPr="003F486D">
        <w:rPr>
          <w:color w:val="000000"/>
        </w:rPr>
        <w:t>3.15</w:t>
      </w:r>
      <w:r w:rsidRPr="003F486D">
        <w:tab/>
      </w:r>
      <w:r w:rsidRPr="003F486D">
        <w:rPr>
          <w:b/>
        </w:rPr>
        <w:t>Tabelle 8</w:t>
      </w:r>
      <w:r w:rsidRPr="003F486D">
        <w:t xml:space="preserve"> enthält</w:t>
      </w:r>
      <w:r>
        <w:t xml:space="preserve"> Informationen</w:t>
      </w:r>
      <w:r w:rsidRPr="003F486D">
        <w:t xml:space="preserve"> zu den Einnahmen nach Quellen</w:t>
      </w:r>
      <w:r>
        <w:t xml:space="preserve"> für die Rechnungsperioden 2016</w:t>
      </w:r>
      <w:r>
        <w:noBreakHyphen/>
      </w:r>
      <w:r w:rsidRPr="003F486D">
        <w:t xml:space="preserve">2017 und </w:t>
      </w:r>
      <w:r>
        <w:t>2018-2019</w:t>
      </w:r>
      <w:r w:rsidR="00AB7F4F">
        <w:t>.</w:t>
      </w:r>
    </w:p>
    <w:p w:rsidR="008134A5" w:rsidRPr="003F486D" w:rsidRDefault="008134A5" w:rsidP="008134A5"/>
    <w:p w:rsidR="008134A5" w:rsidRPr="003F486D" w:rsidRDefault="008134A5" w:rsidP="008134A5">
      <w:r w:rsidRPr="003F486D">
        <w:rPr>
          <w:color w:val="000000"/>
        </w:rPr>
        <w:t>3.16</w:t>
      </w:r>
      <w:r w:rsidRPr="003F486D">
        <w:tab/>
        <w:t xml:space="preserve">Die Gesamteinnahmen im ordentlichen Haushaltsplan für die Rechnungsperiode 2018-2019 dürften sich auf </w:t>
      </w:r>
      <w:r w:rsidRPr="003F486D">
        <w:rPr>
          <w:spacing w:val="-2"/>
        </w:rPr>
        <w:t>6</w:t>
      </w:r>
      <w:r>
        <w:rPr>
          <w:spacing w:val="-2"/>
        </w:rPr>
        <w:t xml:space="preserve"> </w:t>
      </w:r>
      <w:r w:rsidRPr="003F486D">
        <w:rPr>
          <w:spacing w:val="-2"/>
        </w:rPr>
        <w:t>940</w:t>
      </w:r>
      <w:r>
        <w:rPr>
          <w:spacing w:val="-2"/>
        </w:rPr>
        <w:t xml:space="preserve"> </w:t>
      </w:r>
      <w:r w:rsidRPr="003F486D">
        <w:rPr>
          <w:spacing w:val="-2"/>
        </w:rPr>
        <w:t>000</w:t>
      </w:r>
      <w:r>
        <w:t xml:space="preserve"> </w:t>
      </w:r>
      <w:r w:rsidRPr="003F486D">
        <w:t>Schweizer Franken belaufen. Dieser Einnahmenbetrag liegt um 117</w:t>
      </w:r>
      <w:r>
        <w:rPr>
          <w:spacing w:val="-2"/>
        </w:rPr>
        <w:t> </w:t>
      </w:r>
      <w:r w:rsidRPr="003F486D">
        <w:rPr>
          <w:spacing w:val="-2"/>
        </w:rPr>
        <w:t>000</w:t>
      </w:r>
      <w:r w:rsidRPr="003F486D">
        <w:t xml:space="preserve"> Schweizer Franken bzw. 1</w:t>
      </w:r>
      <w:r w:rsidRPr="003F486D">
        <w:rPr>
          <w:spacing w:val="-2"/>
        </w:rPr>
        <w:t>,7</w:t>
      </w:r>
      <w:r w:rsidRPr="003F486D">
        <w:t xml:space="preserve">% höher als die Einnahmen von </w:t>
      </w:r>
      <w:r w:rsidRPr="003F486D">
        <w:rPr>
          <w:spacing w:val="-2"/>
        </w:rPr>
        <w:t>6</w:t>
      </w:r>
      <w:r>
        <w:rPr>
          <w:spacing w:val="-2"/>
        </w:rPr>
        <w:t xml:space="preserve"> </w:t>
      </w:r>
      <w:r w:rsidRPr="003F486D">
        <w:rPr>
          <w:spacing w:val="-2"/>
        </w:rPr>
        <w:t>823</w:t>
      </w:r>
      <w:r>
        <w:rPr>
          <w:spacing w:val="-2"/>
        </w:rPr>
        <w:t xml:space="preserve"> </w:t>
      </w:r>
      <w:r w:rsidRPr="003F486D">
        <w:rPr>
          <w:spacing w:val="-2"/>
        </w:rPr>
        <w:t>000</w:t>
      </w:r>
      <w:r w:rsidRPr="003F486D">
        <w:t xml:space="preserve"> Schweizer Franken für die Rechnungsperiode 2016-2017. Diese Prognose geht insbesondere von </w:t>
      </w:r>
      <w:r>
        <w:t>62,95 Beitragseinheiten im Jahre 2018 und 63,15 Beitragseinheiten im Jahre 2019</w:t>
      </w:r>
      <w:r w:rsidRPr="003F486D">
        <w:t xml:space="preserve"> aus</w:t>
      </w:r>
      <w:r>
        <w:t>,</w:t>
      </w:r>
      <w:r w:rsidRPr="003F486D">
        <w:t xml:space="preserve"> ohne Änderung der Höhe der Beitragseinheit, die in der Rechnungsperiode 2018-2019 bei 53</w:t>
      </w:r>
      <w:r>
        <w:t xml:space="preserve"> </w:t>
      </w:r>
      <w:r w:rsidRPr="003F486D">
        <w:t>641 Schweizer Franken verbleiben soll.</w:t>
      </w:r>
      <w:r>
        <w:t xml:space="preserve"> </w:t>
      </w:r>
    </w:p>
    <w:p w:rsidR="008134A5" w:rsidRPr="003F486D" w:rsidRDefault="008134A5" w:rsidP="008134A5"/>
    <w:p w:rsidR="008134A5" w:rsidRPr="003F486D" w:rsidRDefault="008134A5" w:rsidP="00FD32F9">
      <w:pPr>
        <w:keepLines/>
      </w:pPr>
      <w:r w:rsidRPr="003F486D">
        <w:rPr>
          <w:color w:val="000000"/>
        </w:rPr>
        <w:t>3.17</w:t>
      </w:r>
      <w:r w:rsidRPr="003F486D">
        <w:tab/>
        <w:t xml:space="preserve">Die Einnahmen aus Beiträgen werden aufgrund der Annahme veranschlagt, </w:t>
      </w:r>
      <w:proofErr w:type="spellStart"/>
      <w:r w:rsidRPr="003F486D">
        <w:t>daß</w:t>
      </w:r>
      <w:proofErr w:type="spellEnd"/>
      <w:r w:rsidRPr="003F486D">
        <w:t xml:space="preserve"> ein neues Verbandsmitglied pro Jahr je 0,2 Beitragseinheiten an den Haushaltsplan (und 1</w:t>
      </w:r>
      <w:r>
        <w:t xml:space="preserve"> </w:t>
      </w:r>
      <w:r w:rsidRPr="003F486D">
        <w:t xml:space="preserve">667 Schweizer Franken an den Betriebsmittelfonds) entrichtet. Der Rat entschied auf seiner dreiundzwanzigsten außerordentlichen Tagung vom 7. April 2006 in Genf, </w:t>
      </w:r>
      <w:proofErr w:type="spellStart"/>
      <w:r w:rsidRPr="003F486D">
        <w:t>daß</w:t>
      </w:r>
      <w:proofErr w:type="spellEnd"/>
      <w:r w:rsidRPr="003F486D">
        <w:t xml:space="preserve"> „die Verbandsmitglieder die Zahl ihrer Beitragseinheiten nicht nach unten revidieren sollten, ohne die Auswirkungen für die UPOV zu bedenken und zu überlegen, wie diese Reduzierung durch andere Verbandsmitglieder ausgeglichen würde. Insbesondere sollten die Verbandsmitglieder die Anzahl ihrer Beitragseinheiten während einer vom Rat gebilligten Haushaltsperiode nur unter außergewöhnlichen und unvermeidlichen Umständen reduzieren“ (Anlage I des Dokuments C(Extr.)/23/5). Auf dieser Grundlage wird keine Reduzierung der Zahl der Beitragseinheiten der Verbandsmitglieder in der Rechnungsperiode 2016-2017 erwartet.</w:t>
      </w:r>
    </w:p>
    <w:p w:rsidR="008134A5" w:rsidRPr="003F486D" w:rsidRDefault="008134A5" w:rsidP="008134A5"/>
    <w:p w:rsidR="008134A5" w:rsidRPr="003F486D" w:rsidRDefault="008134A5" w:rsidP="008134A5">
      <w:pPr>
        <w:tabs>
          <w:tab w:val="left" w:pos="567"/>
        </w:tabs>
      </w:pPr>
      <w:r w:rsidRPr="003F486D">
        <w:rPr>
          <w:color w:val="000000"/>
        </w:rPr>
        <w:t>3.18</w:t>
      </w:r>
      <w:r w:rsidRPr="003F486D">
        <w:tab/>
        <w:t>Nebst den Beiträgen der Verbandsmitg</w:t>
      </w:r>
      <w:r>
        <w:t>lieder sind Einnahmen der UPOV</w:t>
      </w:r>
      <w:r w:rsidRPr="003F486D">
        <w:t xml:space="preserve"> aus</w:t>
      </w:r>
      <w:r>
        <w:t xml:space="preserve"> </w:t>
      </w:r>
      <w:r w:rsidRPr="003F486D">
        <w:t>verschiedene</w:t>
      </w:r>
      <w:r>
        <w:t>n</w:t>
      </w:r>
      <w:r w:rsidRPr="003F486D">
        <w:t xml:space="preserve"> Einnahmen</w:t>
      </w:r>
      <w:r>
        <w:t xml:space="preserve"> veranschlagt</w:t>
      </w:r>
      <w:r w:rsidRPr="003F486D">
        <w:t xml:space="preserve"> (176</w:t>
      </w:r>
      <w:r>
        <w:rPr>
          <w:spacing w:val="-2"/>
          <w:szCs w:val="24"/>
        </w:rPr>
        <w:t xml:space="preserve"> </w:t>
      </w:r>
      <w:r w:rsidRPr="003F486D">
        <w:rPr>
          <w:spacing w:val="-2"/>
          <w:szCs w:val="24"/>
        </w:rPr>
        <w:t>000 Schweizer Franken</w:t>
      </w:r>
      <w:r w:rsidRPr="003F486D">
        <w:t xml:space="preserve">), </w:t>
      </w:r>
      <w:r>
        <w:t>einschließlich</w:t>
      </w:r>
      <w:r w:rsidRPr="003F486D">
        <w:t>:</w:t>
      </w:r>
    </w:p>
    <w:p w:rsidR="008134A5" w:rsidRPr="003F486D" w:rsidRDefault="008134A5" w:rsidP="008134A5">
      <w:pPr>
        <w:tabs>
          <w:tab w:val="left" w:pos="567"/>
        </w:tabs>
      </w:pPr>
    </w:p>
    <w:p w:rsidR="008134A5" w:rsidRPr="008134A5" w:rsidRDefault="008134A5" w:rsidP="007B43E6">
      <w:pPr>
        <w:pStyle w:val="ListParagraph"/>
        <w:numPr>
          <w:ilvl w:val="0"/>
          <w:numId w:val="20"/>
        </w:numPr>
        <w:tabs>
          <w:tab w:val="left" w:pos="709"/>
          <w:tab w:val="left" w:pos="7088"/>
        </w:tabs>
        <w:ind w:left="709" w:hanging="289"/>
        <w:rPr>
          <w:lang w:val="de-DE"/>
        </w:rPr>
      </w:pPr>
      <w:r w:rsidRPr="008134A5">
        <w:rPr>
          <w:lang w:val="de-DE"/>
        </w:rPr>
        <w:t>Gebühren aus dem UPOV-Fernlehrgangprogramm:</w:t>
      </w:r>
      <w:r w:rsidRPr="008134A5">
        <w:rPr>
          <w:lang w:val="de-DE"/>
        </w:rPr>
        <w:tab/>
      </w:r>
      <w:r w:rsidRPr="008134A5">
        <w:rPr>
          <w:spacing w:val="-2"/>
          <w:szCs w:val="24"/>
          <w:lang w:val="de-DE"/>
        </w:rPr>
        <w:t xml:space="preserve">16 000 Schweizer Franken </w:t>
      </w:r>
    </w:p>
    <w:p w:rsidR="008134A5" w:rsidRPr="008134A5" w:rsidRDefault="008134A5" w:rsidP="007B43E6">
      <w:pPr>
        <w:pStyle w:val="ListParagraph"/>
        <w:numPr>
          <w:ilvl w:val="0"/>
          <w:numId w:val="20"/>
        </w:numPr>
        <w:tabs>
          <w:tab w:val="left" w:pos="709"/>
          <w:tab w:val="left" w:pos="7088"/>
        </w:tabs>
        <w:ind w:left="709" w:hanging="289"/>
        <w:rPr>
          <w:lang w:val="de-DE"/>
        </w:rPr>
      </w:pPr>
      <w:r w:rsidRPr="008134A5">
        <w:rPr>
          <w:lang w:val="de-DE"/>
        </w:rPr>
        <w:t>Kosten für Verwaltungsunterstützung im Rahmen der Treuhandgelder:</w:t>
      </w:r>
      <w:r w:rsidRPr="008134A5">
        <w:rPr>
          <w:lang w:val="de-DE"/>
        </w:rPr>
        <w:tab/>
      </w:r>
      <w:r w:rsidRPr="008134A5">
        <w:rPr>
          <w:spacing w:val="-2"/>
          <w:szCs w:val="24"/>
          <w:lang w:val="de-DE"/>
        </w:rPr>
        <w:t xml:space="preserve">70 000 Schweizer Franken </w:t>
      </w:r>
    </w:p>
    <w:p w:rsidR="008134A5" w:rsidRPr="008134A5" w:rsidRDefault="008134A5" w:rsidP="007B43E6">
      <w:pPr>
        <w:pStyle w:val="ListParagraph"/>
        <w:numPr>
          <w:ilvl w:val="0"/>
          <w:numId w:val="20"/>
        </w:numPr>
        <w:tabs>
          <w:tab w:val="left" w:pos="709"/>
          <w:tab w:val="left" w:pos="7088"/>
        </w:tabs>
        <w:ind w:left="709" w:hanging="289"/>
        <w:rPr>
          <w:lang w:val="de-DE"/>
        </w:rPr>
      </w:pPr>
      <w:r w:rsidRPr="008134A5">
        <w:rPr>
          <w:lang w:val="de-DE"/>
        </w:rPr>
        <w:t>Gebühren aus dem EAF:</w:t>
      </w:r>
      <w:r w:rsidR="004927A3">
        <w:rPr>
          <w:lang w:val="de-DE"/>
        </w:rPr>
        <w:tab/>
      </w:r>
      <w:r w:rsidRPr="008134A5">
        <w:rPr>
          <w:lang w:val="de-DE"/>
        </w:rPr>
        <w:t>90</w:t>
      </w:r>
      <w:r w:rsidRPr="008134A5">
        <w:rPr>
          <w:spacing w:val="-2"/>
          <w:szCs w:val="24"/>
          <w:lang w:val="de-DE"/>
        </w:rPr>
        <w:t xml:space="preserve"> 000 Schweizer Franken </w:t>
      </w:r>
    </w:p>
    <w:p w:rsidR="008134A5" w:rsidRPr="003F486D" w:rsidRDefault="008134A5" w:rsidP="008134A5"/>
    <w:p w:rsidR="008134A5" w:rsidRPr="003F486D" w:rsidRDefault="008134A5" w:rsidP="008134A5">
      <w:r>
        <w:t>Die</w:t>
      </w:r>
      <w:r w:rsidRPr="003F486D">
        <w:t xml:space="preserve"> </w:t>
      </w:r>
      <w:r>
        <w:t xml:space="preserve">anderen </w:t>
      </w:r>
      <w:r w:rsidRPr="003F486D">
        <w:t>Einnahmen</w:t>
      </w:r>
      <w:r>
        <w:t xml:space="preserve">quellen als die aus Beiträgen werden voraussichtlich </w:t>
      </w:r>
      <w:r w:rsidRPr="003F486D">
        <w:t>2</w:t>
      </w:r>
      <w:r>
        <w:t>,</w:t>
      </w:r>
      <w:r w:rsidRPr="003F486D">
        <w:rPr>
          <w:spacing w:val="-2"/>
          <w:szCs w:val="24"/>
        </w:rPr>
        <w:t>5</w:t>
      </w:r>
      <w:r w:rsidRPr="003F486D">
        <w:t xml:space="preserve">% </w:t>
      </w:r>
      <w:r>
        <w:t>der</w:t>
      </w:r>
      <w:r w:rsidRPr="003F486D">
        <w:t xml:space="preserve"> </w:t>
      </w:r>
      <w:r>
        <w:t>Gesamteinnahmen</w:t>
      </w:r>
      <w:r w:rsidRPr="003F486D">
        <w:t xml:space="preserve"> im Jahr 2018-2019</w:t>
      </w:r>
      <w:r>
        <w:t xml:space="preserve"> darstellen</w:t>
      </w:r>
      <w:r w:rsidRPr="003F486D">
        <w:t xml:space="preserve">. </w:t>
      </w:r>
    </w:p>
    <w:p w:rsidR="008134A5" w:rsidRPr="003F486D" w:rsidRDefault="008134A5" w:rsidP="008134A5">
      <w:pPr>
        <w:rPr>
          <w:spacing w:val="-2"/>
          <w:szCs w:val="24"/>
        </w:rPr>
      </w:pPr>
    </w:p>
    <w:p w:rsidR="008134A5" w:rsidRPr="003F486D" w:rsidRDefault="008134A5" w:rsidP="008134A5">
      <w:pPr>
        <w:keepNext/>
        <w:jc w:val="center"/>
        <w:rPr>
          <w:rFonts w:cs="Arial"/>
          <w:i/>
          <w:iCs/>
        </w:rPr>
      </w:pPr>
      <w:r w:rsidRPr="003F486D">
        <w:rPr>
          <w:rFonts w:cs="Arial"/>
          <w:b/>
          <w:bCs/>
        </w:rPr>
        <w:t>Tabelle 8:</w:t>
      </w:r>
      <w:r>
        <w:rPr>
          <w:rFonts w:cs="Arial"/>
          <w:b/>
          <w:bCs/>
        </w:rPr>
        <w:t xml:space="preserve"> </w:t>
      </w:r>
      <w:r w:rsidRPr="003F486D">
        <w:rPr>
          <w:rFonts w:cs="Arial"/>
          <w:b/>
          <w:bCs/>
        </w:rPr>
        <w:t>Einnahmen 2016-2017</w:t>
      </w:r>
      <w:r>
        <w:rPr>
          <w:rFonts w:cs="Arial"/>
          <w:b/>
          <w:bCs/>
        </w:rPr>
        <w:t xml:space="preserve"> und </w:t>
      </w:r>
      <w:r w:rsidRPr="003F486D">
        <w:rPr>
          <w:rFonts w:cs="Arial"/>
          <w:b/>
          <w:bCs/>
        </w:rPr>
        <w:t>2018-2019:</w:t>
      </w:r>
      <w:r>
        <w:rPr>
          <w:rFonts w:cs="Arial"/>
          <w:b/>
          <w:bCs/>
        </w:rPr>
        <w:t xml:space="preserve"> </w:t>
      </w:r>
      <w:r w:rsidRPr="003F486D">
        <w:rPr>
          <w:b/>
        </w:rPr>
        <w:t>Veränderung nach Quellen</w:t>
      </w:r>
      <w:r w:rsidRPr="003F486D">
        <w:rPr>
          <w:rFonts w:cs="Arial"/>
          <w:b/>
          <w:bCs/>
        </w:rPr>
        <w:br/>
      </w:r>
      <w:r w:rsidRPr="003F486D">
        <w:rPr>
          <w:rFonts w:cs="Arial"/>
          <w:i/>
          <w:iCs/>
        </w:rPr>
        <w:t>(in tausend Schweizer Franken)</w:t>
      </w:r>
    </w:p>
    <w:p w:rsidR="008134A5" w:rsidRPr="003F486D" w:rsidRDefault="008134A5" w:rsidP="008134A5">
      <w:pPr>
        <w:keepNext/>
        <w:jc w:val="center"/>
        <w:rPr>
          <w:rFonts w:cs="Arial"/>
          <w:i/>
          <w:iCs/>
        </w:rPr>
      </w:pPr>
    </w:p>
    <w:p w:rsidR="008134A5" w:rsidRPr="003F486D" w:rsidRDefault="00FD32F9" w:rsidP="008134A5">
      <w:pPr>
        <w:jc w:val="center"/>
        <w:rPr>
          <w:spacing w:val="-2"/>
          <w:szCs w:val="24"/>
        </w:rPr>
      </w:pPr>
      <w:r w:rsidRPr="00FD32F9">
        <w:rPr>
          <w:noProof/>
          <w:lang w:val="en-US"/>
        </w:rPr>
        <w:drawing>
          <wp:inline distT="0" distB="0" distL="0" distR="0">
            <wp:extent cx="5886450" cy="214312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886450" cy="2143125"/>
                    </a:xfrm>
                    <a:prstGeom prst="rect">
                      <a:avLst/>
                    </a:prstGeom>
                    <a:noFill/>
                    <a:ln>
                      <a:noFill/>
                    </a:ln>
                  </pic:spPr>
                </pic:pic>
              </a:graphicData>
            </a:graphic>
          </wp:inline>
        </w:drawing>
      </w:r>
    </w:p>
    <w:p w:rsidR="008134A5" w:rsidRPr="003F486D" w:rsidRDefault="008134A5" w:rsidP="008134A5">
      <w:pPr>
        <w:jc w:val="center"/>
        <w:rPr>
          <w:spacing w:val="-2"/>
          <w:szCs w:val="24"/>
        </w:rPr>
      </w:pPr>
    </w:p>
    <w:p w:rsidR="008134A5" w:rsidRPr="003F486D" w:rsidRDefault="008134A5" w:rsidP="008134A5">
      <w:pPr>
        <w:jc w:val="center"/>
        <w:rPr>
          <w:spacing w:val="-2"/>
          <w:szCs w:val="24"/>
        </w:rPr>
      </w:pPr>
    </w:p>
    <w:p w:rsidR="008134A5" w:rsidRPr="003F486D" w:rsidRDefault="008134A5" w:rsidP="008134A5">
      <w:pPr>
        <w:jc w:val="left"/>
        <w:rPr>
          <w:b/>
        </w:rPr>
      </w:pPr>
      <w:r w:rsidRPr="003F486D">
        <w:rPr>
          <w:b/>
        </w:rPr>
        <w:br w:type="page"/>
      </w:r>
    </w:p>
    <w:p w:rsidR="008134A5" w:rsidRPr="003F486D" w:rsidRDefault="008134A5" w:rsidP="008134A5">
      <w:pPr>
        <w:keepNext/>
        <w:rPr>
          <w:b/>
        </w:rPr>
      </w:pPr>
      <w:r w:rsidRPr="003F486D">
        <w:rPr>
          <w:b/>
        </w:rPr>
        <w:t>4.</w:t>
      </w:r>
      <w:r w:rsidRPr="003F486D">
        <w:tab/>
      </w:r>
      <w:r w:rsidRPr="003F486D">
        <w:rPr>
          <w:b/>
        </w:rPr>
        <w:t>FINANZINDIKATOREN 2012-2021</w:t>
      </w:r>
    </w:p>
    <w:p w:rsidR="008134A5" w:rsidRPr="003F486D" w:rsidRDefault="008134A5" w:rsidP="008134A5"/>
    <w:p w:rsidR="008134A5" w:rsidRPr="003F486D" w:rsidRDefault="008134A5" w:rsidP="008134A5">
      <w:pPr>
        <w:tabs>
          <w:tab w:val="left" w:pos="567"/>
        </w:tabs>
      </w:pPr>
      <w:r w:rsidRPr="003F486D">
        <w:t>4.1</w:t>
      </w:r>
      <w:r w:rsidRPr="003F486D">
        <w:tab/>
        <w:t xml:space="preserve">Das Programm und Haushaltsplan für die Rechnungsperiode 2018-2019 </w:t>
      </w:r>
      <w:proofErr w:type="spellStart"/>
      <w:r w:rsidRPr="003F486D">
        <w:t>umfaßt</w:t>
      </w:r>
      <w:proofErr w:type="spellEnd"/>
      <w:r w:rsidRPr="003F486D">
        <w:t xml:space="preserve"> eine Darstellung der Finanzindikatoren über einen Zeitraum von zehn Jahren, einschließlich zweier Jahre über die neue Rechnungsperiode hinaus, sowie</w:t>
      </w:r>
      <w:r>
        <w:t xml:space="preserve"> Informationen</w:t>
      </w:r>
      <w:r w:rsidRPr="003F486D">
        <w:t xml:space="preserve"> aus der </w:t>
      </w:r>
      <w:r>
        <w:t>jüngsten</w:t>
      </w:r>
      <w:r w:rsidRPr="003F486D">
        <w:t xml:space="preserve"> Vergangenheit. Die Darstellung der Finanzindikatoren soll den vorgeschlagenen Haushaltsplan für die Rechnungsperiode 2018-2019 in einen Kontext stellen: Angabe der Trends und Beurteilung der künftigen finanziellen Nachhaltigkeit. Diese Auskünfte werden erteilt, um den Verbandsmitgliedern die Überprüfung und Entscheidung bezüglich des vorgeschlagenen Programms und Haushaltsplans zu erleichtern, und sollten nicht als spezifisches finanzielles Engagement oder eine Billigung der Finanzen über das Jahr 2019 hinaus ausgelegt werden. </w:t>
      </w:r>
    </w:p>
    <w:p w:rsidR="008134A5" w:rsidRPr="003F486D" w:rsidRDefault="008134A5" w:rsidP="008134A5">
      <w:pPr>
        <w:tabs>
          <w:tab w:val="left" w:pos="567"/>
        </w:tabs>
      </w:pPr>
    </w:p>
    <w:p w:rsidR="008134A5" w:rsidRPr="003F486D" w:rsidRDefault="008134A5" w:rsidP="008134A5">
      <w:pPr>
        <w:tabs>
          <w:tab w:val="left" w:pos="567"/>
        </w:tabs>
      </w:pPr>
      <w:r w:rsidRPr="003F486D">
        <w:t>4.2</w:t>
      </w:r>
      <w:r w:rsidRPr="003F486D">
        <w:tab/>
        <w:t xml:space="preserve">Aus </w:t>
      </w:r>
      <w:r w:rsidRPr="003F486D">
        <w:rPr>
          <w:b/>
        </w:rPr>
        <w:t>Tabelle 9</w:t>
      </w:r>
      <w:r w:rsidRPr="003F486D">
        <w:t xml:space="preserve"> und dem nachstehenden </w:t>
      </w:r>
      <w:r w:rsidRPr="003F486D">
        <w:rPr>
          <w:b/>
        </w:rPr>
        <w:t>Diagramm</w:t>
      </w:r>
      <w:r w:rsidRPr="003F486D">
        <w:t xml:space="preserve"> geht die Entwicklung des ordentlichen Haushaltsplans in </w:t>
      </w:r>
      <w:proofErr w:type="spellStart"/>
      <w:r w:rsidRPr="003F486D">
        <w:t>bezug</w:t>
      </w:r>
      <w:proofErr w:type="spellEnd"/>
      <w:r w:rsidRPr="003F486D">
        <w:t xml:space="preserve"> auf Einnahmen, Ausgaben und Höhe des Reserve- und des Betriebsmittelfonds hervor.</w:t>
      </w:r>
    </w:p>
    <w:p w:rsidR="008134A5" w:rsidRPr="003F486D" w:rsidRDefault="008134A5" w:rsidP="008134A5">
      <w:pPr>
        <w:rPr>
          <w:spacing w:val="-2"/>
          <w:szCs w:val="24"/>
        </w:rPr>
      </w:pPr>
    </w:p>
    <w:p w:rsidR="008134A5" w:rsidRPr="003F486D" w:rsidRDefault="008134A5" w:rsidP="008134A5">
      <w:pPr>
        <w:jc w:val="center"/>
        <w:rPr>
          <w:spacing w:val="-2"/>
          <w:szCs w:val="24"/>
        </w:rPr>
      </w:pPr>
      <w:r w:rsidRPr="003F486D">
        <w:rPr>
          <w:b/>
        </w:rPr>
        <w:t>Tabelle 9:</w:t>
      </w:r>
      <w:r>
        <w:rPr>
          <w:b/>
        </w:rPr>
        <w:t xml:space="preserve"> </w:t>
      </w:r>
      <w:r w:rsidRPr="003F486D">
        <w:rPr>
          <w:b/>
        </w:rPr>
        <w:t xml:space="preserve">Einnahmen, Ausgaben und Reserven für </w:t>
      </w:r>
      <w:r w:rsidRPr="003F486D">
        <w:rPr>
          <w:rFonts w:cs="Arial"/>
          <w:b/>
          <w:bCs/>
        </w:rPr>
        <w:t>2012-2021</w:t>
      </w:r>
      <w:r w:rsidRPr="003F486D">
        <w:rPr>
          <w:rFonts w:cs="Arial"/>
          <w:b/>
          <w:bCs/>
        </w:rPr>
        <w:br/>
      </w:r>
      <w:r w:rsidRPr="003F486D">
        <w:rPr>
          <w:rFonts w:cs="Arial"/>
          <w:i/>
          <w:iCs/>
        </w:rPr>
        <w:t>(in tausend Schweizer Franken)</w:t>
      </w:r>
    </w:p>
    <w:p w:rsidR="008134A5" w:rsidRPr="003F486D" w:rsidRDefault="008134A5" w:rsidP="008134A5">
      <w:pPr>
        <w:rPr>
          <w:rFonts w:cs="Arial"/>
          <w:sz w:val="18"/>
        </w:rPr>
      </w:pPr>
    </w:p>
    <w:p w:rsidR="008134A5" w:rsidRPr="003F486D" w:rsidRDefault="006D332A" w:rsidP="008134A5">
      <w:r w:rsidRPr="006D332A">
        <w:rPr>
          <w:rFonts w:cs="Arial"/>
          <w:noProof/>
          <w:sz w:val="18"/>
          <w:lang w:val="en-US"/>
        </w:rPr>
        <w:drawing>
          <wp:inline distT="0" distB="0" distL="0" distR="0">
            <wp:extent cx="6120765" cy="963228"/>
            <wp:effectExtent l="0" t="0" r="0" b="8890"/>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20765" cy="963228"/>
                    </a:xfrm>
                    <a:prstGeom prst="rect">
                      <a:avLst/>
                    </a:prstGeom>
                    <a:noFill/>
                    <a:ln>
                      <a:noFill/>
                    </a:ln>
                  </pic:spPr>
                </pic:pic>
              </a:graphicData>
            </a:graphic>
          </wp:inline>
        </w:drawing>
      </w:r>
    </w:p>
    <w:p w:rsidR="008134A5" w:rsidRPr="003F486D" w:rsidRDefault="008134A5" w:rsidP="008134A5"/>
    <w:p w:rsidR="008134A5" w:rsidRPr="003F486D" w:rsidRDefault="008134A5" w:rsidP="008134A5"/>
    <w:p w:rsidR="008134A5" w:rsidRPr="003F486D" w:rsidRDefault="008134A5" w:rsidP="008134A5">
      <w:pPr>
        <w:keepNext/>
        <w:jc w:val="center"/>
        <w:rPr>
          <w:rFonts w:cs="Arial"/>
          <w:b/>
          <w:bCs/>
        </w:rPr>
      </w:pPr>
      <w:r w:rsidRPr="003F486D">
        <w:rPr>
          <w:rFonts w:cs="Arial"/>
          <w:b/>
          <w:bCs/>
        </w:rPr>
        <w:t>Tabelle 9 Diagramm</w:t>
      </w:r>
    </w:p>
    <w:p w:rsidR="008134A5" w:rsidRPr="003F486D" w:rsidRDefault="008134A5" w:rsidP="008134A5">
      <w:pPr>
        <w:keepNext/>
        <w:jc w:val="center"/>
      </w:pPr>
    </w:p>
    <w:p w:rsidR="008134A5" w:rsidRPr="003F486D" w:rsidRDefault="008134A5" w:rsidP="008134A5">
      <w:r w:rsidRPr="00F16060">
        <w:rPr>
          <w:noProof/>
          <w:lang w:val="en-US"/>
        </w:rPr>
        <w:drawing>
          <wp:inline distT="0" distB="0" distL="0" distR="0" wp14:anchorId="74D25A7D" wp14:editId="44E65855">
            <wp:extent cx="6120765" cy="3356797"/>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120765" cy="3356797"/>
                    </a:xfrm>
                    <a:prstGeom prst="rect">
                      <a:avLst/>
                    </a:prstGeom>
                    <a:noFill/>
                    <a:ln>
                      <a:noFill/>
                    </a:ln>
                  </pic:spPr>
                </pic:pic>
              </a:graphicData>
            </a:graphic>
          </wp:inline>
        </w:drawing>
      </w:r>
    </w:p>
    <w:p w:rsidR="008134A5" w:rsidRPr="003F486D" w:rsidRDefault="008134A5" w:rsidP="008134A5">
      <w:pPr>
        <w:jc w:val="left"/>
      </w:pPr>
      <w:r w:rsidRPr="003F486D">
        <w:br w:type="page"/>
      </w:r>
    </w:p>
    <w:p w:rsidR="008134A5" w:rsidRPr="003F486D" w:rsidRDefault="008134A5" w:rsidP="008134A5">
      <w:pPr>
        <w:keepNext/>
      </w:pPr>
      <w:r w:rsidRPr="003F486D">
        <w:t>4.3</w:t>
      </w:r>
      <w:r w:rsidRPr="003F486D">
        <w:tab/>
        <w:t>Folgende Annahmen werden aufgestellt:</w:t>
      </w:r>
    </w:p>
    <w:p w:rsidR="008134A5" w:rsidRPr="003F486D" w:rsidRDefault="008134A5" w:rsidP="008134A5">
      <w:pPr>
        <w:keepNext/>
      </w:pPr>
    </w:p>
    <w:p w:rsidR="008134A5" w:rsidRPr="003F486D" w:rsidRDefault="008134A5" w:rsidP="008134A5">
      <w:pPr>
        <w:ind w:left="567" w:hanging="567"/>
      </w:pPr>
      <w:r w:rsidRPr="003F486D">
        <w:rPr>
          <w:i/>
        </w:rPr>
        <w:t>–</w:t>
      </w:r>
      <w:r w:rsidRPr="003F486D">
        <w:tab/>
      </w:r>
      <w:r w:rsidRPr="003F486D">
        <w:rPr>
          <w:u w:val="single"/>
        </w:rPr>
        <w:t>Einnahmen und Betriebsmittelfonds</w:t>
      </w:r>
      <w:r w:rsidRPr="003F486D">
        <w:t>: Beitritt eines weiteren</w:t>
      </w:r>
      <w:r w:rsidR="000B77A1">
        <w:t xml:space="preserve"> Mitglieds pro Jahr, das je 0,2 </w:t>
      </w:r>
      <w:r w:rsidRPr="003F486D">
        <w:t>Beitragseinheiten an den Haushalt und 1</w:t>
      </w:r>
      <w:r>
        <w:t xml:space="preserve"> </w:t>
      </w:r>
      <w:r w:rsidRPr="003F486D">
        <w:t xml:space="preserve">667 Schweizer Franken an den Betriebsmittelfonds entrichtet. Die entsprechenden Beträge wurden etwas abgerundet eingefügt. </w:t>
      </w:r>
      <w:r>
        <w:t>Die</w:t>
      </w:r>
      <w:r w:rsidRPr="003F486D">
        <w:t xml:space="preserve"> Einnahmen aus einem elektronischen System </w:t>
      </w:r>
      <w:r>
        <w:t>f</w:t>
      </w:r>
      <w:r w:rsidRPr="003F486D">
        <w:t>ür die Einreichung von Anträgen für 20</w:t>
      </w:r>
      <w:r>
        <w:t>20-</w:t>
      </w:r>
      <w:r w:rsidRPr="003F486D">
        <w:t>20</w:t>
      </w:r>
      <w:r>
        <w:t>21</w:t>
      </w:r>
      <w:r w:rsidRPr="003F486D">
        <w:t xml:space="preserve"> </w:t>
      </w:r>
      <w:r w:rsidR="000B77A1">
        <w:t>werden mit 250 000 </w:t>
      </w:r>
      <w:r>
        <w:t>Schweizer Franken veranschlagt</w:t>
      </w:r>
      <w:r w:rsidRPr="003F486D">
        <w:t>.</w:t>
      </w:r>
    </w:p>
    <w:p w:rsidR="008134A5" w:rsidRPr="003F486D" w:rsidRDefault="008134A5" w:rsidP="008134A5">
      <w:pPr>
        <w:ind w:left="567" w:hanging="567"/>
      </w:pPr>
    </w:p>
    <w:p w:rsidR="008134A5" w:rsidRPr="003F486D" w:rsidRDefault="008134A5" w:rsidP="008134A5">
      <w:pPr>
        <w:ind w:left="567" w:hanging="567"/>
      </w:pPr>
    </w:p>
    <w:p w:rsidR="008134A5" w:rsidRPr="003F486D" w:rsidRDefault="008134A5" w:rsidP="008134A5">
      <w:pPr>
        <w:keepNext/>
        <w:ind w:left="567" w:hanging="567"/>
      </w:pPr>
      <w:r w:rsidRPr="003F486D">
        <w:t>–</w:t>
      </w:r>
      <w:r w:rsidRPr="003F486D">
        <w:tab/>
      </w:r>
      <w:r w:rsidRPr="00CB1685">
        <w:rPr>
          <w:u w:val="single"/>
        </w:rPr>
        <w:t>Ausgaben</w:t>
      </w:r>
      <w:r w:rsidRPr="003F486D">
        <w:t>:</w:t>
      </w:r>
      <w:r>
        <w:t xml:space="preserve"> </w:t>
      </w:r>
    </w:p>
    <w:p w:rsidR="008134A5" w:rsidRPr="003F486D" w:rsidRDefault="008134A5" w:rsidP="008134A5">
      <w:pPr>
        <w:keepNext/>
        <w:ind w:left="567" w:hanging="567"/>
      </w:pPr>
    </w:p>
    <w:p w:rsidR="008134A5" w:rsidRPr="003F486D" w:rsidRDefault="008134A5" w:rsidP="008134A5">
      <w:pPr>
        <w:ind w:left="567" w:hanging="567"/>
      </w:pPr>
      <w:r w:rsidRPr="003F486D">
        <w:tab/>
      </w:r>
      <w:r w:rsidRPr="003F486D">
        <w:rPr>
          <w:i/>
        </w:rPr>
        <w:t>Personalkosten:</w:t>
      </w:r>
      <w:r>
        <w:rPr>
          <w:i/>
        </w:rPr>
        <w:t xml:space="preserve"> </w:t>
      </w:r>
      <w:r w:rsidRPr="003F486D">
        <w:t xml:space="preserve">Im Berichtszeitraum </w:t>
      </w:r>
      <w:r>
        <w:t xml:space="preserve">wird </w:t>
      </w:r>
      <w:r w:rsidRPr="003F486D">
        <w:t>ein</w:t>
      </w:r>
      <w:r>
        <w:t xml:space="preserve"> weiterer</w:t>
      </w:r>
      <w:r w:rsidRPr="003F486D">
        <w:t xml:space="preserve"> Mitarbeiter für das Verbandsbüro erwartet. </w:t>
      </w:r>
      <w:r w:rsidR="000B77A1">
        <w:br/>
      </w:r>
      <w:r w:rsidRPr="003F486D">
        <w:t xml:space="preserve">Es wird erwartet, </w:t>
      </w:r>
      <w:proofErr w:type="spellStart"/>
      <w:r w:rsidRPr="003F486D">
        <w:t>daß</w:t>
      </w:r>
      <w:proofErr w:type="spellEnd"/>
      <w:r w:rsidRPr="003F486D">
        <w:t xml:space="preserve"> Personalkosten bei </w:t>
      </w:r>
      <w:r w:rsidRPr="003F486D">
        <w:rPr>
          <w:spacing w:val="-2"/>
        </w:rPr>
        <w:t>6</w:t>
      </w:r>
      <w:r>
        <w:rPr>
          <w:spacing w:val="-2"/>
        </w:rPr>
        <w:t>8</w:t>
      </w:r>
      <w:r w:rsidRPr="003F486D">
        <w:rPr>
          <w:spacing w:val="-2"/>
        </w:rPr>
        <w:t>,</w:t>
      </w:r>
      <w:r>
        <w:rPr>
          <w:spacing w:val="-2"/>
        </w:rPr>
        <w:t>8</w:t>
      </w:r>
      <w:r w:rsidRPr="003F486D">
        <w:rPr>
          <w:spacing w:val="-2"/>
        </w:rPr>
        <w:t>%</w:t>
      </w:r>
      <w:r w:rsidRPr="003F486D">
        <w:t xml:space="preserve"> des Haushalts in der Rechnungsperiode 201</w:t>
      </w:r>
      <w:r>
        <w:t>8-2019</w:t>
      </w:r>
      <w:r w:rsidRPr="003F486D">
        <w:t xml:space="preserve"> und </w:t>
      </w:r>
      <w:r w:rsidRPr="003F486D">
        <w:rPr>
          <w:spacing w:val="-2"/>
        </w:rPr>
        <w:t>6</w:t>
      </w:r>
      <w:r>
        <w:rPr>
          <w:spacing w:val="-2"/>
        </w:rPr>
        <w:t>9</w:t>
      </w:r>
      <w:r w:rsidRPr="003F486D">
        <w:rPr>
          <w:spacing w:val="-2"/>
        </w:rPr>
        <w:t>,</w:t>
      </w:r>
      <w:r>
        <w:rPr>
          <w:spacing w:val="-2"/>
        </w:rPr>
        <w:t>0</w:t>
      </w:r>
      <w:r w:rsidRPr="003F486D">
        <w:rPr>
          <w:spacing w:val="-2"/>
        </w:rPr>
        <w:t>%</w:t>
      </w:r>
      <w:r w:rsidRPr="003F486D">
        <w:t xml:space="preserve"> in der Rechnungsperiode 20</w:t>
      </w:r>
      <w:r>
        <w:t>20</w:t>
      </w:r>
      <w:r w:rsidRPr="003F486D">
        <w:t>-20</w:t>
      </w:r>
      <w:r>
        <w:t>21,</w:t>
      </w:r>
      <w:r w:rsidRPr="003F486D">
        <w:t xml:space="preserve"> im Vergleich zu </w:t>
      </w:r>
      <w:r w:rsidRPr="003F486D">
        <w:rPr>
          <w:spacing w:val="-2"/>
        </w:rPr>
        <w:t>6</w:t>
      </w:r>
      <w:r>
        <w:rPr>
          <w:spacing w:val="-2"/>
        </w:rPr>
        <w:t>5</w:t>
      </w:r>
      <w:r w:rsidRPr="003F486D">
        <w:rPr>
          <w:spacing w:val="-2"/>
        </w:rPr>
        <w:t>,</w:t>
      </w:r>
      <w:r>
        <w:rPr>
          <w:spacing w:val="-2"/>
        </w:rPr>
        <w:t>1</w:t>
      </w:r>
      <w:r w:rsidRPr="003F486D">
        <w:rPr>
          <w:spacing w:val="-2"/>
        </w:rPr>
        <w:t>%</w:t>
      </w:r>
      <w:r w:rsidRPr="003F486D">
        <w:t xml:space="preserve"> in der Rechnungsperiode 201</w:t>
      </w:r>
      <w:r>
        <w:t>4</w:t>
      </w:r>
      <w:r>
        <w:noBreakHyphen/>
      </w:r>
      <w:r w:rsidRPr="003F486D">
        <w:t>201</w:t>
      </w:r>
      <w:r>
        <w:t>5</w:t>
      </w:r>
      <w:r w:rsidRPr="003F486D">
        <w:t xml:space="preserve"> und </w:t>
      </w:r>
      <w:r w:rsidRPr="003F486D">
        <w:rPr>
          <w:spacing w:val="-2"/>
        </w:rPr>
        <w:t>6</w:t>
      </w:r>
      <w:r>
        <w:rPr>
          <w:spacing w:val="-2"/>
        </w:rPr>
        <w:t>3</w:t>
      </w:r>
      <w:r w:rsidRPr="003F486D">
        <w:rPr>
          <w:spacing w:val="-2"/>
        </w:rPr>
        <w:t>,</w:t>
      </w:r>
      <w:r>
        <w:rPr>
          <w:spacing w:val="-2"/>
        </w:rPr>
        <w:t>7</w:t>
      </w:r>
      <w:r w:rsidRPr="003F486D">
        <w:rPr>
          <w:spacing w:val="-2"/>
        </w:rPr>
        <w:t>%</w:t>
      </w:r>
      <w:r w:rsidRPr="003F486D">
        <w:t xml:space="preserve"> des Haushalts der Rechnungsperiode 201</w:t>
      </w:r>
      <w:r>
        <w:t>6</w:t>
      </w:r>
      <w:r w:rsidRPr="003F486D">
        <w:t>-201</w:t>
      </w:r>
      <w:r>
        <w:t>7,</w:t>
      </w:r>
      <w:r w:rsidRPr="00763016">
        <w:t xml:space="preserve"> </w:t>
      </w:r>
      <w:r w:rsidRPr="003F486D">
        <w:t>liegen werden.</w:t>
      </w:r>
      <w:r>
        <w:t xml:space="preserve"> </w:t>
      </w:r>
    </w:p>
    <w:p w:rsidR="008134A5" w:rsidRPr="003F486D" w:rsidRDefault="008134A5" w:rsidP="008134A5">
      <w:pPr>
        <w:ind w:left="567" w:hanging="567"/>
      </w:pPr>
    </w:p>
    <w:p w:rsidR="008134A5" w:rsidRPr="003F486D" w:rsidRDefault="008134A5" w:rsidP="008134A5">
      <w:pPr>
        <w:ind w:left="567" w:hanging="567"/>
      </w:pPr>
      <w:r w:rsidRPr="003F486D">
        <w:tab/>
      </w:r>
      <w:r w:rsidRPr="003F486D">
        <w:rPr>
          <w:i/>
        </w:rPr>
        <w:t>Nichtpersonalkosten:</w:t>
      </w:r>
      <w:r>
        <w:t xml:space="preserve"> </w:t>
      </w:r>
      <w:r w:rsidRPr="003F486D">
        <w:t xml:space="preserve">Es ist vorgesehen, </w:t>
      </w:r>
      <w:proofErr w:type="spellStart"/>
      <w:r w:rsidRPr="003F486D">
        <w:t>daß</w:t>
      </w:r>
      <w:proofErr w:type="spellEnd"/>
      <w:r w:rsidRPr="003F486D">
        <w:t xml:space="preserve"> Betriebsaufwand, Mobiliar und Bürobedarf gleich bleiben und bei jeweils </w:t>
      </w:r>
      <w:r>
        <w:t>31</w:t>
      </w:r>
      <w:r w:rsidRPr="003F486D">
        <w:rPr>
          <w:spacing w:val="-2"/>
        </w:rPr>
        <w:t>,</w:t>
      </w:r>
      <w:r>
        <w:rPr>
          <w:spacing w:val="-2"/>
        </w:rPr>
        <w:t>3</w:t>
      </w:r>
      <w:r w:rsidRPr="003F486D">
        <w:rPr>
          <w:spacing w:val="-2"/>
        </w:rPr>
        <w:t>%</w:t>
      </w:r>
      <w:r w:rsidRPr="003F486D">
        <w:t xml:space="preserve"> des Haushalts der Rechnungsperioden 201</w:t>
      </w:r>
      <w:r>
        <w:t>8</w:t>
      </w:r>
      <w:r w:rsidRPr="003F486D">
        <w:t>-201</w:t>
      </w:r>
      <w:r>
        <w:t>9</w:t>
      </w:r>
      <w:r w:rsidRPr="003F486D">
        <w:t xml:space="preserve"> und 20</w:t>
      </w:r>
      <w:r>
        <w:t>20</w:t>
      </w:r>
      <w:r w:rsidRPr="003F486D">
        <w:t>-20</w:t>
      </w:r>
      <w:r>
        <w:t>21</w:t>
      </w:r>
      <w:r w:rsidRPr="003F486D">
        <w:t xml:space="preserve"> im Vergleich zu </w:t>
      </w:r>
      <w:r>
        <w:t>19</w:t>
      </w:r>
      <w:r w:rsidRPr="003F486D">
        <w:rPr>
          <w:spacing w:val="-2"/>
        </w:rPr>
        <w:t>,2%</w:t>
      </w:r>
      <w:r w:rsidRPr="003F486D">
        <w:t xml:space="preserve"> in der Rechnungsperiode 201</w:t>
      </w:r>
      <w:r>
        <w:t>4</w:t>
      </w:r>
      <w:r w:rsidRPr="003F486D">
        <w:t>-201</w:t>
      </w:r>
      <w:r>
        <w:t>5</w:t>
      </w:r>
      <w:r w:rsidRPr="003F486D">
        <w:t xml:space="preserve"> und </w:t>
      </w:r>
      <w:r>
        <w:t>18</w:t>
      </w:r>
      <w:r w:rsidRPr="003F486D">
        <w:rPr>
          <w:spacing w:val="-2"/>
        </w:rPr>
        <w:t>,</w:t>
      </w:r>
      <w:r>
        <w:rPr>
          <w:spacing w:val="-2"/>
        </w:rPr>
        <w:t>6</w:t>
      </w:r>
      <w:r w:rsidRPr="003F486D">
        <w:rPr>
          <w:spacing w:val="-2"/>
        </w:rPr>
        <w:t>%</w:t>
      </w:r>
      <w:r w:rsidRPr="003F486D">
        <w:t xml:space="preserve"> des Haushalts der Rechnungsperiode 201</w:t>
      </w:r>
      <w:r>
        <w:t>6</w:t>
      </w:r>
      <w:r w:rsidRPr="003F486D">
        <w:t>-201</w:t>
      </w:r>
      <w:r>
        <w:t>7</w:t>
      </w:r>
      <w:r w:rsidRPr="00763016">
        <w:t xml:space="preserve"> </w:t>
      </w:r>
      <w:r w:rsidRPr="003F486D">
        <w:t xml:space="preserve">liegen werden. Es ist vorgesehen, </w:t>
      </w:r>
      <w:proofErr w:type="spellStart"/>
      <w:r w:rsidRPr="003F486D">
        <w:t>daß</w:t>
      </w:r>
      <w:proofErr w:type="spellEnd"/>
      <w:r w:rsidRPr="003F486D">
        <w:t xml:space="preserve"> vertraglich vereinbarte Dienstleistungen jeweils bei </w:t>
      </w:r>
      <w:r>
        <w:t>5</w:t>
      </w:r>
      <w:r w:rsidRPr="003F486D">
        <w:rPr>
          <w:spacing w:val="-2"/>
        </w:rPr>
        <w:t>,</w:t>
      </w:r>
      <w:r>
        <w:rPr>
          <w:spacing w:val="-2"/>
        </w:rPr>
        <w:t>6</w:t>
      </w:r>
      <w:r w:rsidRPr="003F486D">
        <w:rPr>
          <w:spacing w:val="-2"/>
        </w:rPr>
        <w:t>%</w:t>
      </w:r>
      <w:r w:rsidRPr="003F486D">
        <w:t xml:space="preserve"> des Haushalts in der Rechnungsperiode 201</w:t>
      </w:r>
      <w:r>
        <w:t>8-2019</w:t>
      </w:r>
      <w:r w:rsidRPr="003F486D">
        <w:t xml:space="preserve"> und</w:t>
      </w:r>
      <w:r>
        <w:t xml:space="preserve"> 5</w:t>
      </w:r>
      <w:r w:rsidRPr="003F486D">
        <w:rPr>
          <w:spacing w:val="-2"/>
        </w:rPr>
        <w:t>,</w:t>
      </w:r>
      <w:r>
        <w:rPr>
          <w:spacing w:val="-2"/>
        </w:rPr>
        <w:t>5</w:t>
      </w:r>
      <w:r w:rsidRPr="003F486D">
        <w:rPr>
          <w:spacing w:val="-2"/>
        </w:rPr>
        <w:t>%</w:t>
      </w:r>
      <w:r w:rsidRPr="003F486D">
        <w:t xml:space="preserve"> in der Rechnungsperiode 20</w:t>
      </w:r>
      <w:r>
        <w:t>20</w:t>
      </w:r>
      <w:r>
        <w:noBreakHyphen/>
      </w:r>
      <w:r w:rsidRPr="003F486D">
        <w:t>20</w:t>
      </w:r>
      <w:r>
        <w:t>21</w:t>
      </w:r>
      <w:r w:rsidRPr="003F486D">
        <w:t xml:space="preserve"> im Vergleich zu </w:t>
      </w:r>
      <w:r>
        <w:t>15</w:t>
      </w:r>
      <w:r w:rsidRPr="003F486D">
        <w:rPr>
          <w:spacing w:val="-2"/>
        </w:rPr>
        <w:t>,</w:t>
      </w:r>
      <w:r>
        <w:rPr>
          <w:spacing w:val="-2"/>
        </w:rPr>
        <w:t>7</w:t>
      </w:r>
      <w:r w:rsidRPr="003F486D">
        <w:rPr>
          <w:spacing w:val="-2"/>
        </w:rPr>
        <w:t>%</w:t>
      </w:r>
      <w:r w:rsidRPr="003F486D">
        <w:t xml:space="preserve"> in der Rechnungsperiode </w:t>
      </w:r>
      <w:r>
        <w:t xml:space="preserve">2014-2015 </w:t>
      </w:r>
      <w:r w:rsidRPr="003F486D">
        <w:t xml:space="preserve">und </w:t>
      </w:r>
      <w:r>
        <w:t>0,6</w:t>
      </w:r>
      <w:r w:rsidRPr="003F486D">
        <w:rPr>
          <w:spacing w:val="-2"/>
        </w:rPr>
        <w:t>%</w:t>
      </w:r>
      <w:r w:rsidRPr="003F486D">
        <w:t xml:space="preserve"> des Haushalts der Rechnungsperiode 201</w:t>
      </w:r>
      <w:r>
        <w:t>6-</w:t>
      </w:r>
      <w:r w:rsidRPr="003F486D">
        <w:t>201</w:t>
      </w:r>
      <w:r>
        <w:t>7</w:t>
      </w:r>
      <w:r w:rsidRPr="003F486D">
        <w:t xml:space="preserve"> liegen werden.</w:t>
      </w:r>
      <w:r>
        <w:t xml:space="preserve"> Praktika werden </w:t>
      </w:r>
      <w:r w:rsidRPr="003F486D">
        <w:t>in der Rechnungsperiode 201</w:t>
      </w:r>
      <w:r>
        <w:t>8-2019</w:t>
      </w:r>
      <w:r w:rsidRPr="003F486D">
        <w:t xml:space="preserve"> </w:t>
      </w:r>
      <w:r>
        <w:t xml:space="preserve">voraussichtlich 0,6 des Etats ausmachen. </w:t>
      </w:r>
    </w:p>
    <w:p w:rsidR="008134A5" w:rsidRPr="003F486D" w:rsidRDefault="008134A5" w:rsidP="008134A5">
      <w:pPr>
        <w:ind w:left="567" w:hanging="567"/>
      </w:pPr>
    </w:p>
    <w:p w:rsidR="008134A5" w:rsidRPr="003F486D" w:rsidRDefault="008134A5" w:rsidP="008134A5">
      <w:pPr>
        <w:ind w:left="567" w:hanging="567"/>
      </w:pPr>
    </w:p>
    <w:p w:rsidR="008134A5" w:rsidRPr="003F486D" w:rsidRDefault="008134A5" w:rsidP="008134A5">
      <w:pPr>
        <w:ind w:left="567" w:hanging="567"/>
      </w:pPr>
    </w:p>
    <w:p w:rsidR="008134A5" w:rsidRPr="003F486D" w:rsidRDefault="008134A5" w:rsidP="008134A5">
      <w:pPr>
        <w:ind w:left="567" w:hanging="567"/>
        <w:jc w:val="right"/>
      </w:pPr>
      <w:r w:rsidRPr="003F486D">
        <w:t>[Anhang I folgt]</w:t>
      </w:r>
    </w:p>
    <w:p w:rsidR="008134A5" w:rsidRPr="003F486D" w:rsidRDefault="008134A5" w:rsidP="008134A5">
      <w:pPr>
        <w:keepNext/>
      </w:pPr>
    </w:p>
    <w:p w:rsidR="008134A5" w:rsidRPr="003F486D" w:rsidRDefault="008134A5" w:rsidP="008134A5">
      <w:pPr>
        <w:ind w:left="567" w:hanging="567"/>
        <w:jc w:val="right"/>
        <w:sectPr w:rsidR="008134A5" w:rsidRPr="003F486D" w:rsidSect="008134A5">
          <w:headerReference w:type="default" r:id="rId31"/>
          <w:headerReference w:type="first" r:id="rId32"/>
          <w:pgSz w:w="11907" w:h="16840" w:code="9"/>
          <w:pgMar w:top="510" w:right="1134" w:bottom="993" w:left="1134" w:header="510" w:footer="680" w:gutter="0"/>
          <w:pgNumType w:start="1"/>
          <w:cols w:space="720"/>
          <w:titlePg/>
        </w:sectPr>
      </w:pPr>
    </w:p>
    <w:p w:rsidR="008134A5" w:rsidRPr="003F486D" w:rsidRDefault="008134A5" w:rsidP="008134A5">
      <w:pPr>
        <w:ind w:left="567" w:hanging="567"/>
        <w:jc w:val="center"/>
      </w:pPr>
      <w:r w:rsidRPr="003F486D">
        <w:t>ANLAGE – ANHANG I</w:t>
      </w:r>
    </w:p>
    <w:p w:rsidR="008134A5" w:rsidRPr="003F486D" w:rsidRDefault="008134A5" w:rsidP="008134A5">
      <w:pPr>
        <w:ind w:left="567" w:hanging="567"/>
        <w:jc w:val="center"/>
      </w:pPr>
    </w:p>
    <w:p w:rsidR="008134A5" w:rsidRPr="003F486D" w:rsidRDefault="008134A5" w:rsidP="008134A5">
      <w:pPr>
        <w:jc w:val="center"/>
        <w:rPr>
          <w:rFonts w:cs="Arial"/>
          <w:i/>
          <w:sz w:val="16"/>
        </w:rPr>
      </w:pPr>
      <w:r w:rsidRPr="003F486D">
        <w:rPr>
          <w:rFonts w:cs="Arial"/>
          <w:szCs w:val="24"/>
        </w:rPr>
        <w:t>STAND IN BEZUG AUF DEN INTERNATIONALEN VERBAND ZUM SCHUTZ</w:t>
      </w:r>
      <w:r w:rsidRPr="003F486D">
        <w:rPr>
          <w:rFonts w:cs="Arial"/>
          <w:szCs w:val="24"/>
        </w:rPr>
        <w:br/>
      </w:r>
      <w:r w:rsidRPr="00A022C5">
        <w:t>VON PFLANZENZÜCHTUNGEN</w:t>
      </w:r>
      <w:r w:rsidRPr="003F486D">
        <w:rPr>
          <w:rFonts w:cs="Arial"/>
          <w:szCs w:val="24"/>
        </w:rPr>
        <w:t xml:space="preserve"> (UPOV)</w:t>
      </w:r>
      <w:r w:rsidRPr="003F486D">
        <w:rPr>
          <w:rFonts w:cs="Arial"/>
          <w:szCs w:val="24"/>
        </w:rPr>
        <w:br/>
      </w:r>
      <w:r>
        <w:rPr>
          <w:rFonts w:cs="Arial"/>
          <w:i/>
          <w:sz w:val="16"/>
        </w:rPr>
        <w:t>zum</w:t>
      </w:r>
      <w:r w:rsidRPr="003F486D">
        <w:rPr>
          <w:rFonts w:cs="Arial"/>
          <w:i/>
          <w:sz w:val="16"/>
        </w:rPr>
        <w:t xml:space="preserve"> </w:t>
      </w:r>
      <w:r>
        <w:rPr>
          <w:rFonts w:cs="Arial"/>
          <w:i/>
          <w:sz w:val="16"/>
        </w:rPr>
        <w:t xml:space="preserve">31. </w:t>
      </w:r>
      <w:r w:rsidRPr="003F486D">
        <w:rPr>
          <w:rFonts w:cs="Arial"/>
          <w:i/>
          <w:sz w:val="16"/>
        </w:rPr>
        <w:t>De</w:t>
      </w:r>
      <w:r>
        <w:rPr>
          <w:rFonts w:cs="Arial"/>
          <w:i/>
          <w:sz w:val="16"/>
        </w:rPr>
        <w:t>z</w:t>
      </w:r>
      <w:r w:rsidRPr="003F486D">
        <w:rPr>
          <w:rFonts w:cs="Arial"/>
          <w:i/>
          <w:sz w:val="16"/>
        </w:rPr>
        <w:t>ember 2016</w:t>
      </w:r>
    </w:p>
    <w:p w:rsidR="008134A5" w:rsidRPr="003F486D" w:rsidRDefault="008134A5" w:rsidP="008134A5">
      <w:pPr>
        <w:jc w:val="center"/>
        <w:rPr>
          <w:b/>
        </w:rPr>
      </w:pPr>
    </w:p>
    <w:p w:rsidR="008134A5" w:rsidRPr="00A022C5" w:rsidRDefault="008134A5" w:rsidP="008134A5">
      <w:pPr>
        <w:spacing w:line="360" w:lineRule="auto"/>
        <w:jc w:val="center"/>
        <w:rPr>
          <w:rFonts w:cs="Arial"/>
          <w:b/>
          <w:sz w:val="18"/>
        </w:rPr>
      </w:pPr>
      <w:r w:rsidRPr="00A022C5">
        <w:rPr>
          <w:rFonts w:cs="Arial"/>
          <w:b/>
          <w:sz w:val="18"/>
        </w:rPr>
        <w:t>I.  UPOV-Mitglieder</w:t>
      </w:r>
    </w:p>
    <w:tbl>
      <w:tblPr>
        <w:tblStyle w:val="TableGrid"/>
        <w:tblW w:w="104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2126"/>
        <w:gridCol w:w="1276"/>
        <w:gridCol w:w="1843"/>
        <w:gridCol w:w="2693"/>
      </w:tblGrid>
      <w:tr w:rsidR="008134A5" w:rsidRPr="004A4A07" w:rsidTr="008134A5">
        <w:trPr>
          <w:jc w:val="center"/>
        </w:trPr>
        <w:tc>
          <w:tcPr>
            <w:tcW w:w="2547" w:type="dxa"/>
          </w:tcPr>
          <w:p w:rsidR="008134A5" w:rsidRPr="009667CC" w:rsidRDefault="008134A5" w:rsidP="008134A5">
            <w:pPr>
              <w:spacing w:before="40"/>
              <w:jc w:val="left"/>
              <w:rPr>
                <w:rFonts w:cs="Arial"/>
                <w:sz w:val="16"/>
                <w:szCs w:val="16"/>
              </w:rPr>
            </w:pPr>
            <w:r w:rsidRPr="009667CC">
              <w:rPr>
                <w:rFonts w:cs="Arial"/>
                <w:sz w:val="16"/>
                <w:szCs w:val="16"/>
              </w:rPr>
              <w:t xml:space="preserve">Afrikanische Organisation </w:t>
            </w:r>
          </w:p>
        </w:tc>
        <w:tc>
          <w:tcPr>
            <w:tcW w:w="2126" w:type="dxa"/>
          </w:tcPr>
          <w:p w:rsidR="008134A5" w:rsidRPr="009667CC" w:rsidRDefault="008134A5" w:rsidP="008134A5">
            <w:pPr>
              <w:spacing w:before="40"/>
              <w:jc w:val="left"/>
              <w:rPr>
                <w:rFonts w:cs="Arial"/>
                <w:sz w:val="16"/>
                <w:szCs w:val="16"/>
              </w:rPr>
            </w:pPr>
            <w:r w:rsidRPr="009667CC">
              <w:rPr>
                <w:rFonts w:cs="Arial"/>
                <w:sz w:val="16"/>
                <w:szCs w:val="16"/>
              </w:rPr>
              <w:t>Deutschland</w:t>
            </w:r>
            <w:r w:rsidRPr="009667CC">
              <w:rPr>
                <w:rStyle w:val="FootnoteReference"/>
                <w:rFonts w:cs="Arial"/>
                <w:sz w:val="16"/>
                <w:szCs w:val="16"/>
              </w:rPr>
              <w:t>3</w:t>
            </w:r>
          </w:p>
        </w:tc>
        <w:tc>
          <w:tcPr>
            <w:tcW w:w="1276" w:type="dxa"/>
          </w:tcPr>
          <w:p w:rsidR="008134A5" w:rsidRPr="009667CC" w:rsidRDefault="008134A5" w:rsidP="008134A5">
            <w:pPr>
              <w:spacing w:before="40"/>
              <w:jc w:val="left"/>
              <w:rPr>
                <w:rFonts w:cs="Arial"/>
                <w:sz w:val="16"/>
                <w:szCs w:val="16"/>
              </w:rPr>
            </w:pPr>
            <w:r w:rsidRPr="009667CC">
              <w:rPr>
                <w:rFonts w:cs="Arial"/>
                <w:sz w:val="16"/>
                <w:szCs w:val="16"/>
              </w:rPr>
              <w:t>Kanada</w:t>
            </w:r>
            <w:r w:rsidRPr="009667CC">
              <w:rPr>
                <w:rStyle w:val="FootnoteReference"/>
                <w:rFonts w:cs="Arial"/>
                <w:sz w:val="16"/>
                <w:szCs w:val="16"/>
              </w:rPr>
              <w:t>3</w:t>
            </w:r>
          </w:p>
        </w:tc>
        <w:tc>
          <w:tcPr>
            <w:tcW w:w="1843" w:type="dxa"/>
          </w:tcPr>
          <w:p w:rsidR="008134A5" w:rsidRPr="009667CC" w:rsidRDefault="008134A5" w:rsidP="008134A5">
            <w:pPr>
              <w:spacing w:before="40"/>
              <w:jc w:val="left"/>
              <w:rPr>
                <w:rFonts w:cs="Arial"/>
                <w:sz w:val="16"/>
                <w:szCs w:val="16"/>
              </w:rPr>
            </w:pPr>
            <w:r w:rsidRPr="009667CC">
              <w:rPr>
                <w:rFonts w:cs="Arial"/>
                <w:sz w:val="16"/>
                <w:szCs w:val="16"/>
              </w:rPr>
              <w:t>Paraguay</w:t>
            </w:r>
            <w:r w:rsidRPr="009667CC">
              <w:rPr>
                <w:rFonts w:cs="Arial"/>
                <w:sz w:val="16"/>
                <w:szCs w:val="16"/>
                <w:vertAlign w:val="superscript"/>
              </w:rPr>
              <w:t>2</w:t>
            </w:r>
          </w:p>
        </w:tc>
        <w:tc>
          <w:tcPr>
            <w:tcW w:w="2693" w:type="dxa"/>
          </w:tcPr>
          <w:p w:rsidR="008134A5" w:rsidRPr="009667CC" w:rsidRDefault="008134A5" w:rsidP="008134A5">
            <w:pPr>
              <w:spacing w:before="40"/>
              <w:jc w:val="left"/>
              <w:rPr>
                <w:rFonts w:cs="Arial"/>
                <w:sz w:val="16"/>
                <w:szCs w:val="16"/>
              </w:rPr>
            </w:pPr>
            <w:r w:rsidRPr="009667CC">
              <w:rPr>
                <w:rFonts w:cs="Arial"/>
                <w:sz w:val="16"/>
                <w:szCs w:val="16"/>
              </w:rPr>
              <w:t>Trinidad und Tobago</w:t>
            </w:r>
            <w:r w:rsidRPr="009667CC">
              <w:rPr>
                <w:rFonts w:cs="Arial"/>
                <w:sz w:val="16"/>
                <w:szCs w:val="16"/>
                <w:vertAlign w:val="superscript"/>
              </w:rPr>
              <w:t>2</w:t>
            </w:r>
          </w:p>
        </w:tc>
      </w:tr>
      <w:tr w:rsidR="008134A5" w:rsidRPr="004A4A07" w:rsidTr="008134A5">
        <w:trPr>
          <w:jc w:val="center"/>
        </w:trPr>
        <w:tc>
          <w:tcPr>
            <w:tcW w:w="2547" w:type="dxa"/>
          </w:tcPr>
          <w:p w:rsidR="008134A5" w:rsidRPr="009667CC" w:rsidRDefault="008134A5" w:rsidP="008134A5">
            <w:pPr>
              <w:spacing w:before="40"/>
              <w:jc w:val="left"/>
              <w:rPr>
                <w:rFonts w:cs="Arial"/>
                <w:sz w:val="16"/>
                <w:szCs w:val="16"/>
              </w:rPr>
            </w:pPr>
            <w:r w:rsidRPr="009667CC">
              <w:rPr>
                <w:rFonts w:cs="Arial"/>
                <w:sz w:val="16"/>
                <w:szCs w:val="16"/>
              </w:rPr>
              <w:t xml:space="preserve">  für geistiges Eigentum</w:t>
            </w:r>
            <w:r w:rsidRPr="009667CC">
              <w:rPr>
                <w:rFonts w:cs="Arial"/>
                <w:sz w:val="16"/>
                <w:szCs w:val="16"/>
                <w:vertAlign w:val="superscript"/>
              </w:rPr>
              <w:t>3,5</w:t>
            </w:r>
          </w:p>
        </w:tc>
        <w:tc>
          <w:tcPr>
            <w:tcW w:w="2126" w:type="dxa"/>
          </w:tcPr>
          <w:p w:rsidR="008134A5" w:rsidRPr="009667CC" w:rsidRDefault="008134A5" w:rsidP="008134A5">
            <w:pPr>
              <w:spacing w:before="40"/>
              <w:jc w:val="left"/>
              <w:rPr>
                <w:rFonts w:cs="Arial"/>
                <w:sz w:val="16"/>
                <w:szCs w:val="16"/>
              </w:rPr>
            </w:pPr>
            <w:r w:rsidRPr="009667CC">
              <w:rPr>
                <w:rFonts w:cs="Arial"/>
                <w:sz w:val="16"/>
                <w:szCs w:val="16"/>
              </w:rPr>
              <w:t>Dominikanische Republik</w:t>
            </w:r>
            <w:r w:rsidRPr="009667CC">
              <w:rPr>
                <w:rFonts w:cs="Arial"/>
                <w:sz w:val="16"/>
                <w:szCs w:val="16"/>
                <w:vertAlign w:val="superscript"/>
              </w:rPr>
              <w:t>3</w:t>
            </w:r>
          </w:p>
        </w:tc>
        <w:tc>
          <w:tcPr>
            <w:tcW w:w="1276" w:type="dxa"/>
          </w:tcPr>
          <w:p w:rsidR="008134A5" w:rsidRPr="009667CC" w:rsidRDefault="008134A5" w:rsidP="008134A5">
            <w:pPr>
              <w:spacing w:before="40"/>
              <w:jc w:val="left"/>
              <w:rPr>
                <w:rFonts w:cs="Arial"/>
                <w:sz w:val="16"/>
                <w:szCs w:val="16"/>
              </w:rPr>
            </w:pPr>
            <w:r w:rsidRPr="009667CC">
              <w:rPr>
                <w:rFonts w:cs="Arial"/>
                <w:sz w:val="16"/>
                <w:szCs w:val="16"/>
              </w:rPr>
              <w:t>Kenia</w:t>
            </w:r>
            <w:r w:rsidRPr="009667CC">
              <w:rPr>
                <w:rFonts w:cs="Arial"/>
                <w:sz w:val="16"/>
                <w:szCs w:val="16"/>
                <w:vertAlign w:val="superscript"/>
              </w:rPr>
              <w:t>2</w:t>
            </w:r>
          </w:p>
        </w:tc>
        <w:tc>
          <w:tcPr>
            <w:tcW w:w="1843" w:type="dxa"/>
          </w:tcPr>
          <w:p w:rsidR="008134A5" w:rsidRPr="009667CC" w:rsidRDefault="008134A5" w:rsidP="008134A5">
            <w:pPr>
              <w:spacing w:before="40"/>
              <w:jc w:val="left"/>
              <w:rPr>
                <w:rFonts w:cs="Arial"/>
                <w:sz w:val="16"/>
                <w:szCs w:val="16"/>
                <w:vertAlign w:val="superscript"/>
              </w:rPr>
            </w:pPr>
            <w:r w:rsidRPr="009667CC">
              <w:rPr>
                <w:rFonts w:cs="Arial"/>
                <w:sz w:val="16"/>
                <w:szCs w:val="16"/>
              </w:rPr>
              <w:t>Peru</w:t>
            </w:r>
            <w:r w:rsidRPr="009667CC">
              <w:rPr>
                <w:rStyle w:val="FootnoteReference"/>
                <w:rFonts w:cs="Arial"/>
                <w:sz w:val="16"/>
                <w:szCs w:val="16"/>
              </w:rPr>
              <w:t>3</w:t>
            </w:r>
          </w:p>
        </w:tc>
        <w:tc>
          <w:tcPr>
            <w:tcW w:w="2693" w:type="dxa"/>
          </w:tcPr>
          <w:p w:rsidR="008134A5" w:rsidRPr="009667CC" w:rsidRDefault="008134A5" w:rsidP="008134A5">
            <w:pPr>
              <w:spacing w:before="40"/>
              <w:jc w:val="left"/>
              <w:rPr>
                <w:rFonts w:cs="Arial"/>
                <w:sz w:val="16"/>
                <w:szCs w:val="16"/>
                <w:vertAlign w:val="superscript"/>
              </w:rPr>
            </w:pPr>
            <w:r w:rsidRPr="009667CC">
              <w:rPr>
                <w:rFonts w:cs="Arial"/>
                <w:sz w:val="16"/>
                <w:szCs w:val="16"/>
              </w:rPr>
              <w:t>Tschechische Republik</w:t>
            </w:r>
            <w:r w:rsidRPr="009667CC">
              <w:rPr>
                <w:rStyle w:val="FootnoteReference"/>
                <w:rFonts w:cs="Arial"/>
                <w:sz w:val="16"/>
                <w:szCs w:val="16"/>
              </w:rPr>
              <w:t>3</w:t>
            </w:r>
          </w:p>
        </w:tc>
      </w:tr>
      <w:tr w:rsidR="008134A5" w:rsidRPr="004A4A07" w:rsidTr="008134A5">
        <w:trPr>
          <w:jc w:val="center"/>
        </w:trPr>
        <w:tc>
          <w:tcPr>
            <w:tcW w:w="2547" w:type="dxa"/>
          </w:tcPr>
          <w:p w:rsidR="008134A5" w:rsidRPr="009667CC" w:rsidRDefault="008134A5" w:rsidP="008134A5">
            <w:pPr>
              <w:spacing w:before="40"/>
              <w:jc w:val="left"/>
              <w:rPr>
                <w:rFonts w:cs="Arial"/>
                <w:sz w:val="16"/>
                <w:szCs w:val="16"/>
              </w:rPr>
            </w:pPr>
            <w:r w:rsidRPr="009667CC">
              <w:rPr>
                <w:rFonts w:cs="Arial"/>
                <w:sz w:val="16"/>
                <w:szCs w:val="16"/>
              </w:rPr>
              <w:t>Albanien</w:t>
            </w:r>
            <w:r w:rsidRPr="009667CC">
              <w:rPr>
                <w:rFonts w:cs="Arial"/>
                <w:sz w:val="16"/>
                <w:szCs w:val="16"/>
                <w:vertAlign w:val="superscript"/>
              </w:rPr>
              <w:t>3</w:t>
            </w:r>
          </w:p>
        </w:tc>
        <w:tc>
          <w:tcPr>
            <w:tcW w:w="2126" w:type="dxa"/>
          </w:tcPr>
          <w:p w:rsidR="008134A5" w:rsidRPr="009667CC" w:rsidRDefault="008134A5" w:rsidP="008134A5">
            <w:pPr>
              <w:spacing w:before="40"/>
              <w:jc w:val="left"/>
              <w:rPr>
                <w:rFonts w:cs="Arial"/>
                <w:sz w:val="16"/>
                <w:szCs w:val="16"/>
              </w:rPr>
            </w:pPr>
            <w:r w:rsidRPr="009667CC">
              <w:rPr>
                <w:rFonts w:cs="Arial"/>
                <w:sz w:val="16"/>
                <w:szCs w:val="16"/>
              </w:rPr>
              <w:t>Ecuador</w:t>
            </w:r>
            <w:r w:rsidRPr="009667CC">
              <w:rPr>
                <w:rFonts w:cs="Arial"/>
                <w:sz w:val="16"/>
                <w:szCs w:val="16"/>
                <w:vertAlign w:val="superscript"/>
              </w:rPr>
              <w:t>2</w:t>
            </w:r>
          </w:p>
        </w:tc>
        <w:tc>
          <w:tcPr>
            <w:tcW w:w="1276" w:type="dxa"/>
          </w:tcPr>
          <w:p w:rsidR="008134A5" w:rsidRPr="009667CC" w:rsidRDefault="008134A5" w:rsidP="008134A5">
            <w:pPr>
              <w:spacing w:before="40"/>
              <w:jc w:val="left"/>
              <w:rPr>
                <w:rFonts w:cs="Arial"/>
                <w:sz w:val="16"/>
                <w:szCs w:val="16"/>
              </w:rPr>
            </w:pPr>
            <w:r w:rsidRPr="009667CC">
              <w:rPr>
                <w:rFonts w:cs="Arial"/>
                <w:sz w:val="16"/>
                <w:szCs w:val="16"/>
              </w:rPr>
              <w:t>Kirgisistan</w:t>
            </w:r>
            <w:r w:rsidRPr="009667CC">
              <w:rPr>
                <w:rFonts w:cs="Arial"/>
                <w:sz w:val="16"/>
                <w:szCs w:val="16"/>
                <w:vertAlign w:val="superscript"/>
              </w:rPr>
              <w:t>3</w:t>
            </w:r>
          </w:p>
        </w:tc>
        <w:tc>
          <w:tcPr>
            <w:tcW w:w="1843" w:type="dxa"/>
          </w:tcPr>
          <w:p w:rsidR="008134A5" w:rsidRPr="009667CC" w:rsidRDefault="008134A5" w:rsidP="008134A5">
            <w:pPr>
              <w:spacing w:before="40"/>
              <w:jc w:val="left"/>
              <w:rPr>
                <w:rFonts w:cs="Arial"/>
                <w:sz w:val="16"/>
                <w:szCs w:val="16"/>
                <w:vertAlign w:val="superscript"/>
              </w:rPr>
            </w:pPr>
            <w:r w:rsidRPr="009667CC">
              <w:rPr>
                <w:rFonts w:cs="Arial"/>
                <w:sz w:val="16"/>
                <w:szCs w:val="16"/>
              </w:rPr>
              <w:t>Polen</w:t>
            </w:r>
            <w:r w:rsidRPr="009667CC">
              <w:rPr>
                <w:rStyle w:val="FootnoteReference"/>
                <w:rFonts w:cs="Arial"/>
                <w:sz w:val="16"/>
                <w:szCs w:val="16"/>
              </w:rPr>
              <w:t>3</w:t>
            </w:r>
          </w:p>
        </w:tc>
        <w:tc>
          <w:tcPr>
            <w:tcW w:w="2693" w:type="dxa"/>
          </w:tcPr>
          <w:p w:rsidR="008134A5" w:rsidRPr="009667CC" w:rsidRDefault="008134A5" w:rsidP="008134A5">
            <w:pPr>
              <w:spacing w:before="40"/>
              <w:jc w:val="left"/>
              <w:rPr>
                <w:rFonts w:cs="Arial"/>
                <w:sz w:val="16"/>
                <w:szCs w:val="16"/>
              </w:rPr>
            </w:pPr>
            <w:r w:rsidRPr="009667CC">
              <w:rPr>
                <w:rFonts w:cs="Arial"/>
                <w:sz w:val="16"/>
                <w:szCs w:val="16"/>
              </w:rPr>
              <w:t>Tunesien</w:t>
            </w:r>
            <w:r w:rsidRPr="009667CC">
              <w:rPr>
                <w:rFonts w:cs="Arial"/>
                <w:sz w:val="16"/>
                <w:szCs w:val="16"/>
                <w:vertAlign w:val="subscript"/>
              </w:rPr>
              <w:t>3</w:t>
            </w:r>
          </w:p>
        </w:tc>
      </w:tr>
      <w:tr w:rsidR="008134A5" w:rsidRPr="004A4A07" w:rsidTr="008134A5">
        <w:trPr>
          <w:jc w:val="center"/>
        </w:trPr>
        <w:tc>
          <w:tcPr>
            <w:tcW w:w="2547" w:type="dxa"/>
          </w:tcPr>
          <w:p w:rsidR="008134A5" w:rsidRPr="009667CC" w:rsidRDefault="008134A5" w:rsidP="008134A5">
            <w:pPr>
              <w:spacing w:before="40"/>
              <w:jc w:val="left"/>
              <w:rPr>
                <w:rFonts w:cs="Arial"/>
                <w:sz w:val="16"/>
                <w:szCs w:val="16"/>
              </w:rPr>
            </w:pPr>
            <w:r w:rsidRPr="009667CC">
              <w:rPr>
                <w:rFonts w:cs="Arial"/>
                <w:sz w:val="16"/>
                <w:szCs w:val="16"/>
              </w:rPr>
              <w:t>Argentinien</w:t>
            </w:r>
            <w:r w:rsidRPr="009667CC">
              <w:rPr>
                <w:rStyle w:val="FootnoteReference"/>
                <w:rFonts w:cs="Arial"/>
                <w:sz w:val="16"/>
                <w:szCs w:val="16"/>
              </w:rPr>
              <w:t>2</w:t>
            </w:r>
          </w:p>
        </w:tc>
        <w:tc>
          <w:tcPr>
            <w:tcW w:w="2126" w:type="dxa"/>
          </w:tcPr>
          <w:p w:rsidR="008134A5" w:rsidRPr="009667CC" w:rsidRDefault="008134A5" w:rsidP="008134A5">
            <w:pPr>
              <w:spacing w:before="40"/>
              <w:jc w:val="left"/>
              <w:rPr>
                <w:rFonts w:cs="Arial"/>
                <w:sz w:val="16"/>
                <w:szCs w:val="16"/>
              </w:rPr>
            </w:pPr>
            <w:r w:rsidRPr="009667CC">
              <w:rPr>
                <w:rFonts w:cs="Arial"/>
                <w:sz w:val="16"/>
                <w:szCs w:val="16"/>
              </w:rPr>
              <w:t>Ehemalige jugoslawische</w:t>
            </w:r>
          </w:p>
        </w:tc>
        <w:tc>
          <w:tcPr>
            <w:tcW w:w="1276" w:type="dxa"/>
          </w:tcPr>
          <w:p w:rsidR="008134A5" w:rsidRPr="009667CC" w:rsidRDefault="008134A5" w:rsidP="008134A5">
            <w:pPr>
              <w:spacing w:before="40"/>
              <w:jc w:val="left"/>
              <w:rPr>
                <w:rFonts w:cs="Arial"/>
                <w:sz w:val="16"/>
                <w:szCs w:val="16"/>
              </w:rPr>
            </w:pPr>
            <w:r w:rsidRPr="009667CC">
              <w:rPr>
                <w:rFonts w:cs="Arial"/>
                <w:sz w:val="16"/>
                <w:szCs w:val="16"/>
              </w:rPr>
              <w:t>Kolumbien</w:t>
            </w:r>
            <w:r w:rsidRPr="009667CC">
              <w:rPr>
                <w:rFonts w:cs="Arial"/>
                <w:sz w:val="16"/>
                <w:szCs w:val="16"/>
                <w:vertAlign w:val="superscript"/>
              </w:rPr>
              <w:t>2</w:t>
            </w:r>
          </w:p>
        </w:tc>
        <w:tc>
          <w:tcPr>
            <w:tcW w:w="1843" w:type="dxa"/>
          </w:tcPr>
          <w:p w:rsidR="008134A5" w:rsidRPr="009667CC" w:rsidRDefault="008134A5" w:rsidP="008134A5">
            <w:pPr>
              <w:spacing w:before="40"/>
              <w:jc w:val="left"/>
              <w:rPr>
                <w:rFonts w:cs="Arial"/>
                <w:sz w:val="16"/>
                <w:szCs w:val="16"/>
              </w:rPr>
            </w:pPr>
            <w:r w:rsidRPr="009667CC">
              <w:rPr>
                <w:rFonts w:cs="Arial"/>
                <w:sz w:val="16"/>
                <w:szCs w:val="16"/>
              </w:rPr>
              <w:t>Portugal</w:t>
            </w:r>
            <w:r w:rsidRPr="009667CC">
              <w:rPr>
                <w:rFonts w:cs="Arial"/>
                <w:sz w:val="16"/>
                <w:szCs w:val="16"/>
                <w:vertAlign w:val="superscript"/>
              </w:rPr>
              <w:t>2</w:t>
            </w:r>
          </w:p>
        </w:tc>
        <w:tc>
          <w:tcPr>
            <w:tcW w:w="2693" w:type="dxa"/>
          </w:tcPr>
          <w:p w:rsidR="008134A5" w:rsidRPr="009667CC" w:rsidRDefault="008134A5" w:rsidP="008134A5">
            <w:pPr>
              <w:spacing w:before="40"/>
              <w:jc w:val="left"/>
              <w:rPr>
                <w:rFonts w:cs="Arial"/>
                <w:sz w:val="16"/>
                <w:szCs w:val="16"/>
              </w:rPr>
            </w:pPr>
            <w:r w:rsidRPr="009667CC">
              <w:rPr>
                <w:rFonts w:cs="Arial"/>
                <w:sz w:val="16"/>
                <w:szCs w:val="16"/>
              </w:rPr>
              <w:t>Türkei</w:t>
            </w:r>
            <w:r w:rsidRPr="009667CC">
              <w:rPr>
                <w:rFonts w:cs="Arial"/>
                <w:sz w:val="16"/>
                <w:szCs w:val="16"/>
                <w:vertAlign w:val="superscript"/>
              </w:rPr>
              <w:t>3</w:t>
            </w:r>
          </w:p>
        </w:tc>
      </w:tr>
      <w:tr w:rsidR="008134A5" w:rsidRPr="004A4A07" w:rsidTr="008134A5">
        <w:trPr>
          <w:jc w:val="center"/>
        </w:trPr>
        <w:tc>
          <w:tcPr>
            <w:tcW w:w="2547" w:type="dxa"/>
          </w:tcPr>
          <w:p w:rsidR="008134A5" w:rsidRPr="009667CC" w:rsidRDefault="008134A5" w:rsidP="008134A5">
            <w:pPr>
              <w:spacing w:before="40"/>
              <w:jc w:val="left"/>
              <w:rPr>
                <w:rFonts w:cs="Arial"/>
                <w:sz w:val="16"/>
                <w:szCs w:val="16"/>
              </w:rPr>
            </w:pPr>
            <w:r w:rsidRPr="009667CC">
              <w:rPr>
                <w:rFonts w:cs="Arial"/>
                <w:sz w:val="16"/>
                <w:szCs w:val="16"/>
              </w:rPr>
              <w:t>Aserbaidschan</w:t>
            </w:r>
            <w:r w:rsidRPr="009667CC">
              <w:rPr>
                <w:rFonts w:cs="Arial"/>
                <w:sz w:val="16"/>
                <w:szCs w:val="16"/>
                <w:vertAlign w:val="superscript"/>
              </w:rPr>
              <w:t>3</w:t>
            </w:r>
          </w:p>
        </w:tc>
        <w:tc>
          <w:tcPr>
            <w:tcW w:w="2126" w:type="dxa"/>
          </w:tcPr>
          <w:p w:rsidR="008134A5" w:rsidRPr="009667CC" w:rsidRDefault="008134A5" w:rsidP="008134A5">
            <w:pPr>
              <w:spacing w:before="40"/>
              <w:jc w:val="left"/>
              <w:rPr>
                <w:rFonts w:cs="Arial"/>
                <w:sz w:val="16"/>
                <w:szCs w:val="16"/>
              </w:rPr>
            </w:pPr>
            <w:r w:rsidRPr="009667CC">
              <w:rPr>
                <w:rFonts w:cs="Arial"/>
                <w:sz w:val="16"/>
                <w:szCs w:val="16"/>
              </w:rPr>
              <w:t>Republik Mazedonien</w:t>
            </w:r>
            <w:r w:rsidRPr="009667CC">
              <w:rPr>
                <w:rFonts w:cs="Arial"/>
                <w:sz w:val="16"/>
                <w:szCs w:val="16"/>
                <w:vertAlign w:val="superscript"/>
              </w:rPr>
              <w:t>3</w:t>
            </w:r>
          </w:p>
        </w:tc>
        <w:tc>
          <w:tcPr>
            <w:tcW w:w="1276" w:type="dxa"/>
          </w:tcPr>
          <w:p w:rsidR="008134A5" w:rsidRPr="009667CC" w:rsidRDefault="008134A5" w:rsidP="008134A5">
            <w:pPr>
              <w:spacing w:before="40"/>
              <w:jc w:val="left"/>
              <w:rPr>
                <w:rFonts w:cs="Arial"/>
                <w:sz w:val="16"/>
                <w:szCs w:val="16"/>
              </w:rPr>
            </w:pPr>
            <w:r w:rsidRPr="009667CC">
              <w:rPr>
                <w:rFonts w:cs="Arial"/>
                <w:sz w:val="16"/>
                <w:szCs w:val="16"/>
              </w:rPr>
              <w:t>Kroatien</w:t>
            </w:r>
            <w:r w:rsidRPr="009667CC">
              <w:rPr>
                <w:rFonts w:cs="Arial"/>
                <w:sz w:val="16"/>
                <w:szCs w:val="16"/>
                <w:vertAlign w:val="superscript"/>
              </w:rPr>
              <w:t>3</w:t>
            </w:r>
          </w:p>
        </w:tc>
        <w:tc>
          <w:tcPr>
            <w:tcW w:w="1843" w:type="dxa"/>
          </w:tcPr>
          <w:p w:rsidR="008134A5" w:rsidRPr="009667CC" w:rsidRDefault="008134A5" w:rsidP="008134A5">
            <w:pPr>
              <w:spacing w:before="40"/>
              <w:jc w:val="left"/>
              <w:rPr>
                <w:rFonts w:cs="Arial"/>
                <w:sz w:val="16"/>
                <w:szCs w:val="16"/>
              </w:rPr>
            </w:pPr>
            <w:r w:rsidRPr="009667CC">
              <w:rPr>
                <w:rFonts w:cs="Arial"/>
                <w:sz w:val="16"/>
                <w:szCs w:val="16"/>
              </w:rPr>
              <w:t>Republik Korea</w:t>
            </w:r>
            <w:r w:rsidRPr="009667CC">
              <w:rPr>
                <w:rFonts w:cs="Arial"/>
                <w:sz w:val="16"/>
                <w:szCs w:val="16"/>
                <w:vertAlign w:val="superscript"/>
              </w:rPr>
              <w:t>3</w:t>
            </w:r>
          </w:p>
        </w:tc>
        <w:tc>
          <w:tcPr>
            <w:tcW w:w="2693" w:type="dxa"/>
          </w:tcPr>
          <w:p w:rsidR="008134A5" w:rsidRPr="009667CC" w:rsidRDefault="008134A5" w:rsidP="008134A5">
            <w:pPr>
              <w:spacing w:before="40"/>
              <w:jc w:val="left"/>
              <w:rPr>
                <w:rFonts w:cs="Arial"/>
                <w:sz w:val="16"/>
                <w:szCs w:val="16"/>
              </w:rPr>
            </w:pPr>
            <w:r w:rsidRPr="009667CC">
              <w:rPr>
                <w:rFonts w:cs="Arial"/>
                <w:sz w:val="16"/>
                <w:szCs w:val="16"/>
              </w:rPr>
              <w:t>Ukraine</w:t>
            </w:r>
            <w:r w:rsidRPr="009667CC">
              <w:rPr>
                <w:rFonts w:cs="Arial"/>
                <w:sz w:val="16"/>
                <w:szCs w:val="16"/>
                <w:vertAlign w:val="superscript"/>
              </w:rPr>
              <w:t>3</w:t>
            </w:r>
          </w:p>
        </w:tc>
      </w:tr>
      <w:tr w:rsidR="008134A5" w:rsidRPr="004A4A07" w:rsidTr="008134A5">
        <w:trPr>
          <w:jc w:val="center"/>
        </w:trPr>
        <w:tc>
          <w:tcPr>
            <w:tcW w:w="2547" w:type="dxa"/>
          </w:tcPr>
          <w:p w:rsidR="008134A5" w:rsidRPr="009667CC" w:rsidRDefault="008134A5" w:rsidP="008134A5">
            <w:pPr>
              <w:spacing w:before="40"/>
              <w:jc w:val="left"/>
              <w:rPr>
                <w:rFonts w:cs="Arial"/>
                <w:sz w:val="16"/>
                <w:szCs w:val="16"/>
              </w:rPr>
            </w:pPr>
            <w:r w:rsidRPr="009667CC">
              <w:rPr>
                <w:rFonts w:cs="Arial"/>
                <w:sz w:val="16"/>
                <w:szCs w:val="16"/>
              </w:rPr>
              <w:t>Australien</w:t>
            </w:r>
            <w:r w:rsidRPr="009667CC">
              <w:rPr>
                <w:rFonts w:cs="Arial"/>
                <w:sz w:val="16"/>
                <w:szCs w:val="16"/>
                <w:vertAlign w:val="superscript"/>
              </w:rPr>
              <w:t>3</w:t>
            </w:r>
          </w:p>
        </w:tc>
        <w:tc>
          <w:tcPr>
            <w:tcW w:w="2126" w:type="dxa"/>
          </w:tcPr>
          <w:p w:rsidR="008134A5" w:rsidRPr="009667CC" w:rsidRDefault="008134A5" w:rsidP="008134A5">
            <w:pPr>
              <w:spacing w:before="40"/>
              <w:jc w:val="left"/>
              <w:rPr>
                <w:rFonts w:cs="Arial"/>
                <w:sz w:val="16"/>
                <w:szCs w:val="16"/>
              </w:rPr>
            </w:pPr>
            <w:r w:rsidRPr="009667CC">
              <w:rPr>
                <w:rFonts w:cs="Arial"/>
                <w:sz w:val="16"/>
                <w:szCs w:val="16"/>
              </w:rPr>
              <w:t>Estland</w:t>
            </w:r>
            <w:r w:rsidRPr="009667CC">
              <w:rPr>
                <w:rFonts w:cs="Arial"/>
                <w:sz w:val="16"/>
                <w:szCs w:val="16"/>
                <w:vertAlign w:val="superscript"/>
              </w:rPr>
              <w:t>3</w:t>
            </w:r>
          </w:p>
        </w:tc>
        <w:tc>
          <w:tcPr>
            <w:tcW w:w="1276" w:type="dxa"/>
          </w:tcPr>
          <w:p w:rsidR="008134A5" w:rsidRPr="009667CC" w:rsidRDefault="008134A5" w:rsidP="008134A5">
            <w:pPr>
              <w:spacing w:before="40"/>
              <w:jc w:val="left"/>
              <w:rPr>
                <w:rFonts w:cs="Arial"/>
                <w:sz w:val="16"/>
                <w:szCs w:val="16"/>
              </w:rPr>
            </w:pPr>
            <w:r w:rsidRPr="009667CC">
              <w:rPr>
                <w:rFonts w:cs="Arial"/>
                <w:sz w:val="16"/>
                <w:szCs w:val="16"/>
              </w:rPr>
              <w:t>Lettland</w:t>
            </w:r>
            <w:r w:rsidRPr="009667CC">
              <w:rPr>
                <w:rFonts w:cs="Arial"/>
                <w:sz w:val="16"/>
                <w:szCs w:val="16"/>
                <w:vertAlign w:val="superscript"/>
              </w:rPr>
              <w:t>3</w:t>
            </w:r>
          </w:p>
        </w:tc>
        <w:tc>
          <w:tcPr>
            <w:tcW w:w="1843" w:type="dxa"/>
          </w:tcPr>
          <w:p w:rsidR="008134A5" w:rsidRPr="009667CC" w:rsidRDefault="008134A5" w:rsidP="008134A5">
            <w:pPr>
              <w:spacing w:before="40"/>
              <w:jc w:val="left"/>
              <w:rPr>
                <w:rFonts w:cs="Arial"/>
                <w:sz w:val="16"/>
                <w:szCs w:val="16"/>
              </w:rPr>
            </w:pPr>
            <w:r w:rsidRPr="009667CC">
              <w:rPr>
                <w:rFonts w:cs="Arial"/>
                <w:sz w:val="16"/>
                <w:szCs w:val="16"/>
              </w:rPr>
              <w:t>Republik Moldau</w:t>
            </w:r>
            <w:r w:rsidRPr="009667CC">
              <w:rPr>
                <w:rFonts w:cs="Arial"/>
                <w:sz w:val="16"/>
                <w:szCs w:val="16"/>
                <w:vertAlign w:val="superscript"/>
              </w:rPr>
              <w:t>3</w:t>
            </w:r>
          </w:p>
        </w:tc>
        <w:tc>
          <w:tcPr>
            <w:tcW w:w="2693" w:type="dxa"/>
          </w:tcPr>
          <w:p w:rsidR="008134A5" w:rsidRPr="009667CC" w:rsidRDefault="008134A5" w:rsidP="008134A5">
            <w:pPr>
              <w:spacing w:before="40"/>
              <w:jc w:val="left"/>
              <w:rPr>
                <w:rFonts w:cs="Arial"/>
                <w:sz w:val="16"/>
                <w:szCs w:val="16"/>
              </w:rPr>
            </w:pPr>
            <w:r w:rsidRPr="009667CC">
              <w:rPr>
                <w:rFonts w:cs="Arial"/>
                <w:sz w:val="16"/>
                <w:szCs w:val="16"/>
              </w:rPr>
              <w:t>Ungarn</w:t>
            </w:r>
            <w:r w:rsidRPr="009667CC">
              <w:rPr>
                <w:rFonts w:cs="Arial"/>
                <w:sz w:val="16"/>
                <w:szCs w:val="16"/>
                <w:vertAlign w:val="superscript"/>
              </w:rPr>
              <w:t>3</w:t>
            </w:r>
          </w:p>
        </w:tc>
      </w:tr>
      <w:tr w:rsidR="008134A5" w:rsidRPr="004A4A07" w:rsidTr="008134A5">
        <w:trPr>
          <w:jc w:val="center"/>
        </w:trPr>
        <w:tc>
          <w:tcPr>
            <w:tcW w:w="2547" w:type="dxa"/>
          </w:tcPr>
          <w:p w:rsidR="008134A5" w:rsidRPr="009667CC" w:rsidRDefault="008134A5" w:rsidP="008134A5">
            <w:pPr>
              <w:spacing w:before="40"/>
              <w:jc w:val="left"/>
              <w:rPr>
                <w:rFonts w:cs="Arial"/>
                <w:sz w:val="16"/>
                <w:szCs w:val="16"/>
              </w:rPr>
            </w:pPr>
            <w:r w:rsidRPr="009667CC">
              <w:rPr>
                <w:rFonts w:cs="Arial"/>
                <w:sz w:val="16"/>
                <w:szCs w:val="16"/>
              </w:rPr>
              <w:t>Belarus</w:t>
            </w:r>
            <w:r w:rsidRPr="009667CC">
              <w:rPr>
                <w:rFonts w:cs="Arial"/>
                <w:sz w:val="16"/>
                <w:szCs w:val="16"/>
                <w:vertAlign w:val="superscript"/>
              </w:rPr>
              <w:t>3</w:t>
            </w:r>
          </w:p>
        </w:tc>
        <w:tc>
          <w:tcPr>
            <w:tcW w:w="2126" w:type="dxa"/>
          </w:tcPr>
          <w:p w:rsidR="008134A5" w:rsidRPr="009667CC" w:rsidRDefault="008134A5" w:rsidP="008134A5">
            <w:pPr>
              <w:spacing w:before="40"/>
              <w:jc w:val="left"/>
              <w:rPr>
                <w:rFonts w:cs="Arial"/>
                <w:sz w:val="16"/>
                <w:szCs w:val="16"/>
                <w:vertAlign w:val="superscript"/>
              </w:rPr>
            </w:pPr>
            <w:r w:rsidRPr="009667CC">
              <w:rPr>
                <w:rFonts w:cs="Arial"/>
                <w:sz w:val="16"/>
                <w:szCs w:val="16"/>
              </w:rPr>
              <w:t>Europäische Union</w:t>
            </w:r>
            <w:r w:rsidRPr="009667CC">
              <w:rPr>
                <w:rFonts w:cs="Arial"/>
                <w:sz w:val="16"/>
                <w:szCs w:val="16"/>
                <w:vertAlign w:val="superscript"/>
              </w:rPr>
              <w:t>3, 4</w:t>
            </w:r>
          </w:p>
        </w:tc>
        <w:tc>
          <w:tcPr>
            <w:tcW w:w="1276" w:type="dxa"/>
          </w:tcPr>
          <w:p w:rsidR="008134A5" w:rsidRPr="009667CC" w:rsidRDefault="008134A5" w:rsidP="008134A5">
            <w:pPr>
              <w:spacing w:before="40"/>
              <w:jc w:val="left"/>
              <w:rPr>
                <w:rFonts w:cs="Arial"/>
                <w:sz w:val="16"/>
                <w:szCs w:val="16"/>
              </w:rPr>
            </w:pPr>
            <w:r w:rsidRPr="009667CC">
              <w:rPr>
                <w:rFonts w:cs="Arial"/>
                <w:sz w:val="16"/>
                <w:szCs w:val="16"/>
              </w:rPr>
              <w:t>Litauen</w:t>
            </w:r>
            <w:r w:rsidRPr="009667CC">
              <w:rPr>
                <w:rFonts w:cs="Arial"/>
                <w:sz w:val="16"/>
                <w:szCs w:val="16"/>
                <w:vertAlign w:val="superscript"/>
              </w:rPr>
              <w:t>3</w:t>
            </w:r>
          </w:p>
        </w:tc>
        <w:tc>
          <w:tcPr>
            <w:tcW w:w="1843" w:type="dxa"/>
          </w:tcPr>
          <w:p w:rsidR="008134A5" w:rsidRPr="009667CC" w:rsidRDefault="008134A5" w:rsidP="008134A5">
            <w:pPr>
              <w:spacing w:before="40"/>
              <w:jc w:val="left"/>
              <w:rPr>
                <w:rFonts w:cs="Arial"/>
                <w:sz w:val="16"/>
                <w:szCs w:val="16"/>
              </w:rPr>
            </w:pPr>
            <w:r w:rsidRPr="009667CC">
              <w:rPr>
                <w:rFonts w:cs="Arial"/>
                <w:sz w:val="16"/>
                <w:szCs w:val="16"/>
              </w:rPr>
              <w:t>Rumänien</w:t>
            </w:r>
            <w:r w:rsidRPr="009667CC">
              <w:rPr>
                <w:rFonts w:cs="Arial"/>
                <w:sz w:val="16"/>
                <w:szCs w:val="16"/>
                <w:vertAlign w:val="superscript"/>
              </w:rPr>
              <w:t>3</w:t>
            </w:r>
          </w:p>
        </w:tc>
        <w:tc>
          <w:tcPr>
            <w:tcW w:w="2693" w:type="dxa"/>
          </w:tcPr>
          <w:p w:rsidR="008134A5" w:rsidRPr="009667CC" w:rsidRDefault="008134A5" w:rsidP="008134A5">
            <w:pPr>
              <w:spacing w:before="40"/>
              <w:jc w:val="left"/>
              <w:rPr>
                <w:rFonts w:cs="Arial"/>
                <w:sz w:val="16"/>
                <w:szCs w:val="16"/>
              </w:rPr>
            </w:pPr>
            <w:r w:rsidRPr="009667CC">
              <w:rPr>
                <w:rFonts w:cs="Arial"/>
                <w:sz w:val="16"/>
                <w:szCs w:val="16"/>
              </w:rPr>
              <w:t>Uruguay</w:t>
            </w:r>
            <w:r w:rsidRPr="009667CC">
              <w:rPr>
                <w:rStyle w:val="FootnoteReference"/>
                <w:rFonts w:cs="Arial"/>
                <w:sz w:val="16"/>
                <w:szCs w:val="16"/>
              </w:rPr>
              <w:t>2</w:t>
            </w:r>
          </w:p>
        </w:tc>
      </w:tr>
      <w:tr w:rsidR="008134A5" w:rsidRPr="004A4A07" w:rsidTr="008134A5">
        <w:trPr>
          <w:jc w:val="center"/>
        </w:trPr>
        <w:tc>
          <w:tcPr>
            <w:tcW w:w="2547" w:type="dxa"/>
          </w:tcPr>
          <w:p w:rsidR="008134A5" w:rsidRPr="009667CC" w:rsidRDefault="008134A5" w:rsidP="008134A5">
            <w:pPr>
              <w:spacing w:before="40"/>
              <w:jc w:val="left"/>
              <w:rPr>
                <w:rFonts w:cs="Arial"/>
                <w:sz w:val="16"/>
                <w:szCs w:val="16"/>
              </w:rPr>
            </w:pPr>
            <w:r w:rsidRPr="009667CC">
              <w:rPr>
                <w:rFonts w:cs="Arial"/>
                <w:sz w:val="16"/>
                <w:szCs w:val="16"/>
              </w:rPr>
              <w:t>Belgien</w:t>
            </w:r>
            <w:r w:rsidRPr="009667CC">
              <w:rPr>
                <w:rStyle w:val="FootnoteReference"/>
                <w:rFonts w:cs="Arial"/>
                <w:sz w:val="16"/>
                <w:szCs w:val="16"/>
              </w:rPr>
              <w:t>1</w:t>
            </w:r>
          </w:p>
        </w:tc>
        <w:tc>
          <w:tcPr>
            <w:tcW w:w="2126" w:type="dxa"/>
          </w:tcPr>
          <w:p w:rsidR="008134A5" w:rsidRPr="009667CC" w:rsidRDefault="008134A5" w:rsidP="008134A5">
            <w:pPr>
              <w:spacing w:before="40"/>
              <w:jc w:val="left"/>
              <w:rPr>
                <w:rFonts w:cs="Arial"/>
                <w:sz w:val="16"/>
                <w:szCs w:val="16"/>
                <w:vertAlign w:val="superscript"/>
              </w:rPr>
            </w:pPr>
            <w:r w:rsidRPr="009667CC">
              <w:rPr>
                <w:rFonts w:cs="Arial"/>
                <w:sz w:val="16"/>
                <w:szCs w:val="16"/>
              </w:rPr>
              <w:t>Finnland</w:t>
            </w:r>
            <w:r w:rsidRPr="009667CC">
              <w:rPr>
                <w:rStyle w:val="FootnoteReference"/>
                <w:rFonts w:cs="Arial"/>
                <w:sz w:val="16"/>
                <w:szCs w:val="16"/>
              </w:rPr>
              <w:t>3</w:t>
            </w:r>
          </w:p>
        </w:tc>
        <w:tc>
          <w:tcPr>
            <w:tcW w:w="1276" w:type="dxa"/>
          </w:tcPr>
          <w:p w:rsidR="008134A5" w:rsidRPr="009667CC" w:rsidRDefault="008134A5" w:rsidP="008134A5">
            <w:pPr>
              <w:spacing w:before="40"/>
              <w:jc w:val="left"/>
              <w:rPr>
                <w:rFonts w:cs="Arial"/>
                <w:sz w:val="16"/>
                <w:szCs w:val="16"/>
              </w:rPr>
            </w:pPr>
            <w:r w:rsidRPr="009667CC">
              <w:rPr>
                <w:rFonts w:cs="Arial"/>
                <w:sz w:val="16"/>
                <w:szCs w:val="16"/>
              </w:rPr>
              <w:t>Marokko</w:t>
            </w:r>
            <w:r w:rsidRPr="009667CC">
              <w:rPr>
                <w:rFonts w:cs="Arial"/>
                <w:sz w:val="16"/>
                <w:szCs w:val="16"/>
                <w:vertAlign w:val="superscript"/>
              </w:rPr>
              <w:t>3</w:t>
            </w:r>
          </w:p>
        </w:tc>
        <w:tc>
          <w:tcPr>
            <w:tcW w:w="1843" w:type="dxa"/>
          </w:tcPr>
          <w:p w:rsidR="008134A5" w:rsidRPr="009667CC" w:rsidRDefault="008134A5" w:rsidP="008134A5">
            <w:pPr>
              <w:spacing w:before="40"/>
              <w:jc w:val="left"/>
              <w:rPr>
                <w:rFonts w:cs="Arial"/>
                <w:sz w:val="16"/>
                <w:szCs w:val="16"/>
              </w:rPr>
            </w:pPr>
            <w:r w:rsidRPr="009667CC">
              <w:rPr>
                <w:rFonts w:cs="Arial"/>
                <w:sz w:val="16"/>
                <w:szCs w:val="16"/>
              </w:rPr>
              <w:t>Russische Föderation</w:t>
            </w:r>
            <w:r w:rsidRPr="009667CC">
              <w:rPr>
                <w:rFonts w:cs="Arial"/>
                <w:sz w:val="16"/>
                <w:szCs w:val="16"/>
                <w:vertAlign w:val="superscript"/>
              </w:rPr>
              <w:t>3</w:t>
            </w:r>
          </w:p>
        </w:tc>
        <w:tc>
          <w:tcPr>
            <w:tcW w:w="2693" w:type="dxa"/>
          </w:tcPr>
          <w:p w:rsidR="008134A5" w:rsidRPr="00674101" w:rsidRDefault="008134A5" w:rsidP="008134A5">
            <w:pPr>
              <w:spacing w:before="40"/>
              <w:jc w:val="left"/>
              <w:rPr>
                <w:rFonts w:cs="Arial"/>
                <w:sz w:val="16"/>
                <w:szCs w:val="16"/>
                <w:vertAlign w:val="superscript"/>
              </w:rPr>
            </w:pPr>
            <w:r w:rsidRPr="009667CC">
              <w:rPr>
                <w:rFonts w:cs="Arial"/>
                <w:sz w:val="16"/>
                <w:szCs w:val="16"/>
              </w:rPr>
              <w:t>Usbekistan</w:t>
            </w:r>
            <w:r w:rsidRPr="009667CC">
              <w:rPr>
                <w:rFonts w:cs="Arial"/>
                <w:sz w:val="16"/>
                <w:szCs w:val="16"/>
                <w:vertAlign w:val="superscript"/>
              </w:rPr>
              <w:t>3</w:t>
            </w:r>
          </w:p>
        </w:tc>
      </w:tr>
      <w:tr w:rsidR="008134A5" w:rsidRPr="004A4A07" w:rsidTr="008134A5">
        <w:trPr>
          <w:trHeight w:val="232"/>
          <w:jc w:val="center"/>
        </w:trPr>
        <w:tc>
          <w:tcPr>
            <w:tcW w:w="2547" w:type="dxa"/>
          </w:tcPr>
          <w:p w:rsidR="008134A5" w:rsidRPr="009667CC" w:rsidRDefault="008134A5" w:rsidP="008134A5">
            <w:pPr>
              <w:spacing w:before="40"/>
              <w:jc w:val="left"/>
              <w:rPr>
                <w:rFonts w:cs="Arial"/>
                <w:sz w:val="16"/>
                <w:szCs w:val="16"/>
              </w:rPr>
            </w:pPr>
            <w:r>
              <w:rPr>
                <w:rFonts w:cs="Arial"/>
                <w:sz w:val="16"/>
                <w:szCs w:val="16"/>
              </w:rPr>
              <w:t>Bolivien (</w:t>
            </w:r>
            <w:proofErr w:type="spellStart"/>
            <w:r>
              <w:rPr>
                <w:rFonts w:cs="Arial"/>
                <w:sz w:val="16"/>
                <w:szCs w:val="16"/>
              </w:rPr>
              <w:t>Plurinationaler</w:t>
            </w:r>
            <w:proofErr w:type="spellEnd"/>
            <w:r>
              <w:rPr>
                <w:rFonts w:cs="Arial"/>
                <w:sz w:val="16"/>
                <w:szCs w:val="16"/>
              </w:rPr>
              <w:t xml:space="preserve"> </w:t>
            </w:r>
            <w:r w:rsidRPr="009667CC">
              <w:rPr>
                <w:rFonts w:cs="Arial"/>
                <w:sz w:val="16"/>
                <w:szCs w:val="16"/>
              </w:rPr>
              <w:t>Staat)</w:t>
            </w:r>
            <w:r w:rsidRPr="009667CC">
              <w:rPr>
                <w:rFonts w:cs="Arial"/>
                <w:sz w:val="16"/>
                <w:szCs w:val="16"/>
                <w:vertAlign w:val="superscript"/>
              </w:rPr>
              <w:t>2</w:t>
            </w:r>
          </w:p>
        </w:tc>
        <w:tc>
          <w:tcPr>
            <w:tcW w:w="2126" w:type="dxa"/>
          </w:tcPr>
          <w:p w:rsidR="008134A5" w:rsidRPr="009667CC" w:rsidRDefault="008134A5" w:rsidP="008134A5">
            <w:pPr>
              <w:spacing w:before="40"/>
              <w:jc w:val="left"/>
              <w:rPr>
                <w:rFonts w:cs="Arial"/>
                <w:sz w:val="16"/>
                <w:szCs w:val="16"/>
              </w:rPr>
            </w:pPr>
            <w:r w:rsidRPr="009667CC">
              <w:rPr>
                <w:rFonts w:cs="Arial"/>
                <w:sz w:val="16"/>
                <w:szCs w:val="16"/>
              </w:rPr>
              <w:t>Frankreich</w:t>
            </w:r>
            <w:r w:rsidRPr="009667CC">
              <w:rPr>
                <w:rStyle w:val="FootnoteReference"/>
                <w:rFonts w:cs="Arial"/>
                <w:sz w:val="16"/>
                <w:szCs w:val="16"/>
              </w:rPr>
              <w:t>3</w:t>
            </w:r>
          </w:p>
        </w:tc>
        <w:tc>
          <w:tcPr>
            <w:tcW w:w="1276" w:type="dxa"/>
          </w:tcPr>
          <w:p w:rsidR="008134A5" w:rsidRPr="009667CC" w:rsidRDefault="008134A5" w:rsidP="008134A5">
            <w:pPr>
              <w:spacing w:before="40"/>
              <w:jc w:val="left"/>
              <w:rPr>
                <w:rFonts w:cs="Arial"/>
                <w:sz w:val="16"/>
                <w:szCs w:val="16"/>
              </w:rPr>
            </w:pPr>
            <w:r>
              <w:rPr>
                <w:rFonts w:cs="Arial"/>
                <w:sz w:val="16"/>
                <w:szCs w:val="16"/>
              </w:rPr>
              <w:t>Montenegro</w:t>
            </w:r>
            <w:r w:rsidRPr="00674101">
              <w:rPr>
                <w:rFonts w:cs="Arial"/>
                <w:sz w:val="16"/>
                <w:szCs w:val="16"/>
                <w:vertAlign w:val="superscript"/>
              </w:rPr>
              <w:t>3</w:t>
            </w:r>
          </w:p>
        </w:tc>
        <w:tc>
          <w:tcPr>
            <w:tcW w:w="1843" w:type="dxa"/>
          </w:tcPr>
          <w:p w:rsidR="008134A5" w:rsidRPr="009667CC" w:rsidRDefault="008134A5" w:rsidP="008134A5">
            <w:pPr>
              <w:spacing w:before="40"/>
              <w:jc w:val="left"/>
              <w:rPr>
                <w:rFonts w:cs="Arial"/>
                <w:sz w:val="16"/>
                <w:szCs w:val="16"/>
              </w:rPr>
            </w:pPr>
            <w:r w:rsidRPr="009667CC">
              <w:rPr>
                <w:rFonts w:cs="Arial"/>
                <w:sz w:val="16"/>
                <w:szCs w:val="16"/>
              </w:rPr>
              <w:t>Schweden</w:t>
            </w:r>
            <w:r w:rsidRPr="009667CC">
              <w:rPr>
                <w:rFonts w:cs="Arial"/>
                <w:sz w:val="16"/>
                <w:szCs w:val="16"/>
                <w:vertAlign w:val="superscript"/>
              </w:rPr>
              <w:t>3</w:t>
            </w:r>
          </w:p>
        </w:tc>
        <w:tc>
          <w:tcPr>
            <w:tcW w:w="2693" w:type="dxa"/>
          </w:tcPr>
          <w:p w:rsidR="008134A5" w:rsidRPr="009667CC" w:rsidRDefault="008134A5" w:rsidP="008134A5">
            <w:pPr>
              <w:spacing w:before="40"/>
              <w:jc w:val="left"/>
              <w:rPr>
                <w:rFonts w:cs="Arial"/>
                <w:sz w:val="16"/>
                <w:szCs w:val="16"/>
              </w:rPr>
            </w:pPr>
            <w:r>
              <w:rPr>
                <w:rFonts w:cs="Arial"/>
                <w:sz w:val="16"/>
                <w:szCs w:val="16"/>
              </w:rPr>
              <w:t>Vereinigte Republik von Tansania</w:t>
            </w:r>
            <w:r w:rsidRPr="00674101">
              <w:rPr>
                <w:rFonts w:cs="Arial"/>
                <w:sz w:val="16"/>
                <w:szCs w:val="16"/>
                <w:vertAlign w:val="superscript"/>
              </w:rPr>
              <w:t>3</w:t>
            </w:r>
          </w:p>
        </w:tc>
      </w:tr>
      <w:tr w:rsidR="008134A5" w:rsidRPr="004A4A07" w:rsidTr="008134A5">
        <w:trPr>
          <w:trHeight w:val="80"/>
          <w:jc w:val="center"/>
        </w:trPr>
        <w:tc>
          <w:tcPr>
            <w:tcW w:w="2547" w:type="dxa"/>
          </w:tcPr>
          <w:p w:rsidR="008134A5" w:rsidRPr="009667CC" w:rsidRDefault="008134A5" w:rsidP="008134A5">
            <w:pPr>
              <w:spacing w:before="40"/>
              <w:jc w:val="left"/>
              <w:rPr>
                <w:rFonts w:cs="Arial"/>
                <w:sz w:val="16"/>
                <w:szCs w:val="16"/>
              </w:rPr>
            </w:pPr>
            <w:r w:rsidRPr="009667CC">
              <w:rPr>
                <w:rFonts w:cs="Arial"/>
                <w:sz w:val="16"/>
                <w:szCs w:val="16"/>
              </w:rPr>
              <w:t>Brasilien</w:t>
            </w:r>
            <w:r w:rsidRPr="009667CC">
              <w:rPr>
                <w:rFonts w:cs="Arial"/>
                <w:sz w:val="16"/>
                <w:szCs w:val="16"/>
                <w:vertAlign w:val="superscript"/>
              </w:rPr>
              <w:t>2</w:t>
            </w:r>
          </w:p>
        </w:tc>
        <w:tc>
          <w:tcPr>
            <w:tcW w:w="2126" w:type="dxa"/>
          </w:tcPr>
          <w:p w:rsidR="008134A5" w:rsidRPr="009667CC" w:rsidRDefault="008134A5" w:rsidP="008134A5">
            <w:pPr>
              <w:spacing w:before="40"/>
              <w:jc w:val="left"/>
              <w:rPr>
                <w:rFonts w:cs="Arial"/>
                <w:sz w:val="16"/>
                <w:szCs w:val="16"/>
              </w:rPr>
            </w:pPr>
            <w:r w:rsidRPr="009667CC">
              <w:rPr>
                <w:rFonts w:cs="Arial"/>
                <w:sz w:val="16"/>
                <w:szCs w:val="16"/>
              </w:rPr>
              <w:t>Georgien</w:t>
            </w:r>
            <w:r w:rsidRPr="009667CC">
              <w:rPr>
                <w:rFonts w:cs="Arial"/>
                <w:sz w:val="16"/>
                <w:szCs w:val="16"/>
                <w:vertAlign w:val="superscript"/>
              </w:rPr>
              <w:t>3</w:t>
            </w:r>
          </w:p>
        </w:tc>
        <w:tc>
          <w:tcPr>
            <w:tcW w:w="1276" w:type="dxa"/>
          </w:tcPr>
          <w:p w:rsidR="008134A5" w:rsidRPr="009667CC" w:rsidRDefault="008134A5" w:rsidP="008134A5">
            <w:pPr>
              <w:spacing w:before="40"/>
              <w:jc w:val="left"/>
              <w:rPr>
                <w:rFonts w:cs="Arial"/>
                <w:sz w:val="16"/>
                <w:szCs w:val="16"/>
              </w:rPr>
            </w:pPr>
            <w:r w:rsidRPr="009667CC">
              <w:rPr>
                <w:rFonts w:cs="Arial"/>
                <w:sz w:val="16"/>
                <w:szCs w:val="16"/>
              </w:rPr>
              <w:t>Mexiko</w:t>
            </w:r>
            <w:r w:rsidRPr="009667CC">
              <w:rPr>
                <w:rFonts w:cs="Arial"/>
                <w:sz w:val="16"/>
                <w:szCs w:val="16"/>
                <w:vertAlign w:val="superscript"/>
              </w:rPr>
              <w:t>2</w:t>
            </w:r>
          </w:p>
        </w:tc>
        <w:tc>
          <w:tcPr>
            <w:tcW w:w="1843" w:type="dxa"/>
          </w:tcPr>
          <w:p w:rsidR="008134A5" w:rsidRPr="009667CC" w:rsidRDefault="008134A5" w:rsidP="008134A5">
            <w:pPr>
              <w:spacing w:before="40"/>
              <w:jc w:val="left"/>
              <w:rPr>
                <w:rFonts w:cs="Arial"/>
                <w:sz w:val="16"/>
                <w:szCs w:val="16"/>
              </w:rPr>
            </w:pPr>
            <w:r w:rsidRPr="009667CC">
              <w:rPr>
                <w:rFonts w:cs="Arial"/>
                <w:sz w:val="16"/>
                <w:szCs w:val="16"/>
              </w:rPr>
              <w:t>Schweiz</w:t>
            </w:r>
            <w:r w:rsidRPr="009667CC">
              <w:rPr>
                <w:rStyle w:val="FootnoteReference"/>
                <w:rFonts w:cs="Arial"/>
                <w:sz w:val="16"/>
                <w:szCs w:val="16"/>
              </w:rPr>
              <w:t>3</w:t>
            </w:r>
          </w:p>
        </w:tc>
        <w:tc>
          <w:tcPr>
            <w:tcW w:w="2693" w:type="dxa"/>
          </w:tcPr>
          <w:p w:rsidR="008134A5" w:rsidRPr="009667CC" w:rsidRDefault="008134A5" w:rsidP="008134A5">
            <w:pPr>
              <w:spacing w:before="40"/>
              <w:jc w:val="left"/>
              <w:rPr>
                <w:rFonts w:cs="Arial"/>
                <w:sz w:val="16"/>
                <w:szCs w:val="16"/>
              </w:rPr>
            </w:pPr>
            <w:r w:rsidRPr="009667CC">
              <w:rPr>
                <w:rFonts w:cs="Arial"/>
                <w:sz w:val="16"/>
                <w:szCs w:val="16"/>
              </w:rPr>
              <w:t>Vereinigte Staaten von</w:t>
            </w:r>
          </w:p>
        </w:tc>
      </w:tr>
      <w:tr w:rsidR="008134A5" w:rsidRPr="004A4A07" w:rsidTr="008134A5">
        <w:trPr>
          <w:jc w:val="center"/>
        </w:trPr>
        <w:tc>
          <w:tcPr>
            <w:tcW w:w="2547" w:type="dxa"/>
          </w:tcPr>
          <w:p w:rsidR="008134A5" w:rsidRPr="009667CC" w:rsidRDefault="008134A5" w:rsidP="008134A5">
            <w:pPr>
              <w:spacing w:before="40"/>
              <w:jc w:val="left"/>
              <w:rPr>
                <w:rFonts w:cs="Arial"/>
                <w:sz w:val="16"/>
                <w:szCs w:val="16"/>
              </w:rPr>
            </w:pPr>
            <w:r w:rsidRPr="009667CC">
              <w:rPr>
                <w:rFonts w:cs="Arial"/>
                <w:sz w:val="16"/>
                <w:szCs w:val="16"/>
              </w:rPr>
              <w:t>Bulgarien</w:t>
            </w:r>
            <w:r w:rsidRPr="009667CC">
              <w:rPr>
                <w:rFonts w:cs="Arial"/>
                <w:sz w:val="16"/>
                <w:szCs w:val="16"/>
                <w:vertAlign w:val="superscript"/>
              </w:rPr>
              <w:t>3</w:t>
            </w:r>
          </w:p>
        </w:tc>
        <w:tc>
          <w:tcPr>
            <w:tcW w:w="2126" w:type="dxa"/>
          </w:tcPr>
          <w:p w:rsidR="008134A5" w:rsidRPr="009667CC" w:rsidRDefault="008134A5" w:rsidP="008134A5">
            <w:pPr>
              <w:spacing w:before="40"/>
              <w:jc w:val="left"/>
              <w:rPr>
                <w:rFonts w:cs="Arial"/>
                <w:sz w:val="16"/>
                <w:szCs w:val="16"/>
              </w:rPr>
            </w:pPr>
            <w:r w:rsidRPr="009667CC">
              <w:rPr>
                <w:rFonts w:cs="Arial"/>
                <w:sz w:val="16"/>
                <w:szCs w:val="16"/>
              </w:rPr>
              <w:t>Irland</w:t>
            </w:r>
            <w:r w:rsidRPr="009667CC">
              <w:rPr>
                <w:rStyle w:val="FootnoteReference"/>
                <w:rFonts w:cs="Arial"/>
                <w:sz w:val="16"/>
                <w:szCs w:val="16"/>
              </w:rPr>
              <w:t>3</w:t>
            </w:r>
          </w:p>
        </w:tc>
        <w:tc>
          <w:tcPr>
            <w:tcW w:w="1276" w:type="dxa"/>
          </w:tcPr>
          <w:p w:rsidR="008134A5" w:rsidRPr="009667CC" w:rsidRDefault="008134A5" w:rsidP="008134A5">
            <w:pPr>
              <w:spacing w:before="40"/>
              <w:jc w:val="left"/>
              <w:rPr>
                <w:rFonts w:cs="Arial"/>
                <w:sz w:val="16"/>
                <w:szCs w:val="16"/>
              </w:rPr>
            </w:pPr>
            <w:r w:rsidRPr="009667CC">
              <w:rPr>
                <w:rFonts w:cs="Arial"/>
                <w:sz w:val="16"/>
                <w:szCs w:val="16"/>
              </w:rPr>
              <w:t>Neuseeland</w:t>
            </w:r>
            <w:r w:rsidRPr="009667CC">
              <w:rPr>
                <w:rStyle w:val="FootnoteReference"/>
                <w:rFonts w:cs="Arial"/>
                <w:sz w:val="16"/>
                <w:szCs w:val="16"/>
              </w:rPr>
              <w:t>2</w:t>
            </w:r>
          </w:p>
        </w:tc>
        <w:tc>
          <w:tcPr>
            <w:tcW w:w="1843" w:type="dxa"/>
          </w:tcPr>
          <w:p w:rsidR="008134A5" w:rsidRPr="009667CC" w:rsidRDefault="008134A5" w:rsidP="008134A5">
            <w:pPr>
              <w:spacing w:before="40"/>
              <w:jc w:val="left"/>
              <w:rPr>
                <w:rFonts w:cs="Arial"/>
                <w:sz w:val="16"/>
                <w:szCs w:val="16"/>
              </w:rPr>
            </w:pPr>
            <w:r w:rsidRPr="009667CC">
              <w:rPr>
                <w:rFonts w:cs="Arial"/>
                <w:sz w:val="16"/>
                <w:szCs w:val="16"/>
              </w:rPr>
              <w:t>Serbien</w:t>
            </w:r>
            <w:r w:rsidRPr="009667CC">
              <w:rPr>
                <w:rFonts w:cs="Arial"/>
                <w:sz w:val="16"/>
                <w:szCs w:val="16"/>
                <w:vertAlign w:val="superscript"/>
              </w:rPr>
              <w:t>3</w:t>
            </w:r>
          </w:p>
        </w:tc>
        <w:tc>
          <w:tcPr>
            <w:tcW w:w="2693" w:type="dxa"/>
          </w:tcPr>
          <w:p w:rsidR="008134A5" w:rsidRPr="009667CC" w:rsidRDefault="008134A5" w:rsidP="008134A5">
            <w:pPr>
              <w:spacing w:before="40"/>
              <w:jc w:val="left"/>
              <w:rPr>
                <w:rFonts w:cs="Arial"/>
                <w:sz w:val="16"/>
                <w:szCs w:val="16"/>
              </w:rPr>
            </w:pPr>
            <w:r w:rsidRPr="009667CC">
              <w:rPr>
                <w:rFonts w:cs="Arial"/>
                <w:sz w:val="16"/>
                <w:szCs w:val="16"/>
              </w:rPr>
              <w:t xml:space="preserve">  Amerika</w:t>
            </w:r>
            <w:r w:rsidRPr="009667CC">
              <w:rPr>
                <w:rFonts w:cs="Arial"/>
                <w:sz w:val="16"/>
                <w:szCs w:val="16"/>
                <w:vertAlign w:val="superscript"/>
              </w:rPr>
              <w:t>3</w:t>
            </w:r>
          </w:p>
        </w:tc>
      </w:tr>
      <w:tr w:rsidR="008134A5" w:rsidRPr="004A4A07" w:rsidTr="008134A5">
        <w:trPr>
          <w:jc w:val="center"/>
        </w:trPr>
        <w:tc>
          <w:tcPr>
            <w:tcW w:w="2547" w:type="dxa"/>
          </w:tcPr>
          <w:p w:rsidR="008134A5" w:rsidRPr="009667CC" w:rsidRDefault="008134A5" w:rsidP="008134A5">
            <w:pPr>
              <w:spacing w:before="40"/>
              <w:jc w:val="left"/>
              <w:rPr>
                <w:rFonts w:cs="Arial"/>
                <w:sz w:val="16"/>
                <w:szCs w:val="16"/>
              </w:rPr>
            </w:pPr>
            <w:r w:rsidRPr="009667CC">
              <w:rPr>
                <w:rFonts w:cs="Arial"/>
                <w:sz w:val="16"/>
                <w:szCs w:val="16"/>
              </w:rPr>
              <w:t>Chile</w:t>
            </w:r>
            <w:r w:rsidRPr="009667CC">
              <w:rPr>
                <w:rStyle w:val="FootnoteReference"/>
                <w:rFonts w:cs="Arial"/>
                <w:sz w:val="16"/>
                <w:szCs w:val="16"/>
              </w:rPr>
              <w:t>2</w:t>
            </w:r>
          </w:p>
        </w:tc>
        <w:tc>
          <w:tcPr>
            <w:tcW w:w="2126" w:type="dxa"/>
          </w:tcPr>
          <w:p w:rsidR="008134A5" w:rsidRPr="009667CC" w:rsidRDefault="008134A5" w:rsidP="008134A5">
            <w:pPr>
              <w:spacing w:before="40"/>
              <w:jc w:val="left"/>
              <w:rPr>
                <w:rFonts w:cs="Arial"/>
                <w:sz w:val="16"/>
                <w:szCs w:val="16"/>
              </w:rPr>
            </w:pPr>
            <w:r w:rsidRPr="009667CC">
              <w:rPr>
                <w:rFonts w:cs="Arial"/>
                <w:sz w:val="16"/>
                <w:szCs w:val="16"/>
              </w:rPr>
              <w:t>Island</w:t>
            </w:r>
            <w:r w:rsidRPr="009667CC">
              <w:rPr>
                <w:rFonts w:cs="Arial"/>
                <w:sz w:val="16"/>
                <w:szCs w:val="16"/>
                <w:vertAlign w:val="superscript"/>
              </w:rPr>
              <w:t>3</w:t>
            </w:r>
          </w:p>
        </w:tc>
        <w:tc>
          <w:tcPr>
            <w:tcW w:w="1276" w:type="dxa"/>
          </w:tcPr>
          <w:p w:rsidR="008134A5" w:rsidRPr="009667CC" w:rsidRDefault="008134A5" w:rsidP="008134A5">
            <w:pPr>
              <w:spacing w:before="40"/>
              <w:jc w:val="left"/>
              <w:rPr>
                <w:rFonts w:cs="Arial"/>
                <w:sz w:val="16"/>
                <w:szCs w:val="16"/>
              </w:rPr>
            </w:pPr>
            <w:r w:rsidRPr="009667CC">
              <w:rPr>
                <w:rFonts w:cs="Arial"/>
                <w:sz w:val="16"/>
                <w:szCs w:val="16"/>
              </w:rPr>
              <w:t>Nicaragua</w:t>
            </w:r>
            <w:r w:rsidRPr="009667CC">
              <w:rPr>
                <w:rFonts w:cs="Arial"/>
                <w:sz w:val="16"/>
                <w:szCs w:val="16"/>
                <w:vertAlign w:val="superscript"/>
              </w:rPr>
              <w:t>2</w:t>
            </w:r>
          </w:p>
        </w:tc>
        <w:tc>
          <w:tcPr>
            <w:tcW w:w="1843" w:type="dxa"/>
          </w:tcPr>
          <w:p w:rsidR="008134A5" w:rsidRPr="009667CC" w:rsidRDefault="008134A5" w:rsidP="008134A5">
            <w:pPr>
              <w:spacing w:before="40"/>
              <w:jc w:val="left"/>
              <w:rPr>
                <w:rFonts w:cs="Arial"/>
                <w:sz w:val="16"/>
                <w:szCs w:val="16"/>
              </w:rPr>
            </w:pPr>
            <w:r w:rsidRPr="009667CC">
              <w:rPr>
                <w:rFonts w:cs="Arial"/>
                <w:sz w:val="16"/>
                <w:szCs w:val="16"/>
              </w:rPr>
              <w:t>Singapur</w:t>
            </w:r>
            <w:r w:rsidRPr="009667CC">
              <w:rPr>
                <w:rFonts w:cs="Arial"/>
                <w:sz w:val="16"/>
                <w:szCs w:val="16"/>
                <w:vertAlign w:val="superscript"/>
              </w:rPr>
              <w:t>3</w:t>
            </w:r>
          </w:p>
        </w:tc>
        <w:tc>
          <w:tcPr>
            <w:tcW w:w="2693" w:type="dxa"/>
          </w:tcPr>
          <w:p w:rsidR="008134A5" w:rsidRPr="009667CC" w:rsidRDefault="008134A5" w:rsidP="008134A5">
            <w:pPr>
              <w:spacing w:before="40"/>
              <w:jc w:val="left"/>
              <w:rPr>
                <w:rFonts w:cs="Arial"/>
                <w:sz w:val="16"/>
                <w:szCs w:val="16"/>
              </w:rPr>
            </w:pPr>
            <w:r w:rsidRPr="009667CC">
              <w:rPr>
                <w:rFonts w:cs="Arial"/>
                <w:sz w:val="16"/>
                <w:szCs w:val="16"/>
              </w:rPr>
              <w:t>Vereinigtes Königreich</w:t>
            </w:r>
            <w:r w:rsidRPr="009667CC">
              <w:rPr>
                <w:rStyle w:val="FootnoteReference"/>
                <w:rFonts w:cs="Arial"/>
                <w:sz w:val="16"/>
                <w:szCs w:val="16"/>
              </w:rPr>
              <w:t>3</w:t>
            </w:r>
          </w:p>
        </w:tc>
      </w:tr>
      <w:tr w:rsidR="008134A5" w:rsidRPr="004A4A07" w:rsidTr="008134A5">
        <w:trPr>
          <w:jc w:val="center"/>
        </w:trPr>
        <w:tc>
          <w:tcPr>
            <w:tcW w:w="2547" w:type="dxa"/>
          </w:tcPr>
          <w:p w:rsidR="008134A5" w:rsidRPr="009667CC" w:rsidRDefault="008134A5" w:rsidP="008134A5">
            <w:pPr>
              <w:spacing w:before="40"/>
              <w:jc w:val="left"/>
              <w:rPr>
                <w:rFonts w:cs="Arial"/>
                <w:sz w:val="16"/>
                <w:szCs w:val="16"/>
              </w:rPr>
            </w:pPr>
            <w:r w:rsidRPr="009667CC">
              <w:rPr>
                <w:rFonts w:cs="Arial"/>
                <w:sz w:val="16"/>
                <w:szCs w:val="16"/>
              </w:rPr>
              <w:t>China</w:t>
            </w:r>
            <w:r w:rsidRPr="009667CC">
              <w:rPr>
                <w:rFonts w:cs="Arial"/>
                <w:sz w:val="16"/>
                <w:szCs w:val="16"/>
                <w:vertAlign w:val="superscript"/>
              </w:rPr>
              <w:t>2</w:t>
            </w:r>
          </w:p>
        </w:tc>
        <w:tc>
          <w:tcPr>
            <w:tcW w:w="2126" w:type="dxa"/>
          </w:tcPr>
          <w:p w:rsidR="008134A5" w:rsidRPr="009667CC" w:rsidRDefault="008134A5" w:rsidP="008134A5">
            <w:pPr>
              <w:spacing w:before="40"/>
              <w:jc w:val="left"/>
              <w:rPr>
                <w:rFonts w:cs="Arial"/>
                <w:sz w:val="16"/>
                <w:szCs w:val="16"/>
              </w:rPr>
            </w:pPr>
            <w:r w:rsidRPr="009667CC">
              <w:rPr>
                <w:rFonts w:cs="Arial"/>
                <w:sz w:val="16"/>
                <w:szCs w:val="16"/>
              </w:rPr>
              <w:t>Israel</w:t>
            </w:r>
            <w:r w:rsidRPr="009667CC">
              <w:rPr>
                <w:rFonts w:cs="Arial"/>
                <w:sz w:val="16"/>
                <w:szCs w:val="16"/>
                <w:vertAlign w:val="superscript"/>
              </w:rPr>
              <w:t>3</w:t>
            </w:r>
          </w:p>
        </w:tc>
        <w:tc>
          <w:tcPr>
            <w:tcW w:w="1276" w:type="dxa"/>
          </w:tcPr>
          <w:p w:rsidR="008134A5" w:rsidRPr="009667CC" w:rsidRDefault="008134A5" w:rsidP="008134A5">
            <w:pPr>
              <w:spacing w:before="40"/>
              <w:jc w:val="left"/>
              <w:rPr>
                <w:rFonts w:cs="Arial"/>
                <w:sz w:val="16"/>
                <w:szCs w:val="16"/>
              </w:rPr>
            </w:pPr>
            <w:r w:rsidRPr="009667CC">
              <w:rPr>
                <w:rFonts w:cs="Arial"/>
                <w:sz w:val="16"/>
                <w:szCs w:val="16"/>
              </w:rPr>
              <w:t>Niederlande</w:t>
            </w:r>
            <w:r w:rsidRPr="009667CC">
              <w:rPr>
                <w:rFonts w:cs="Arial"/>
                <w:sz w:val="16"/>
                <w:szCs w:val="16"/>
                <w:vertAlign w:val="superscript"/>
              </w:rPr>
              <w:t>3</w:t>
            </w:r>
          </w:p>
        </w:tc>
        <w:tc>
          <w:tcPr>
            <w:tcW w:w="1843" w:type="dxa"/>
          </w:tcPr>
          <w:p w:rsidR="008134A5" w:rsidRPr="009667CC" w:rsidRDefault="008134A5" w:rsidP="008134A5">
            <w:pPr>
              <w:spacing w:before="40"/>
              <w:jc w:val="left"/>
              <w:rPr>
                <w:rFonts w:cs="Arial"/>
                <w:sz w:val="16"/>
                <w:szCs w:val="16"/>
                <w:vertAlign w:val="superscript"/>
              </w:rPr>
            </w:pPr>
            <w:r w:rsidRPr="009667CC">
              <w:rPr>
                <w:rFonts w:cs="Arial"/>
                <w:sz w:val="16"/>
                <w:szCs w:val="16"/>
              </w:rPr>
              <w:t>Slowakei</w:t>
            </w:r>
            <w:r w:rsidRPr="009667CC">
              <w:rPr>
                <w:rFonts w:cs="Arial"/>
                <w:sz w:val="16"/>
                <w:szCs w:val="16"/>
                <w:vertAlign w:val="superscript"/>
              </w:rPr>
              <w:t>3</w:t>
            </w:r>
          </w:p>
        </w:tc>
        <w:tc>
          <w:tcPr>
            <w:tcW w:w="2693" w:type="dxa"/>
          </w:tcPr>
          <w:p w:rsidR="008134A5" w:rsidRPr="009667CC" w:rsidRDefault="008134A5" w:rsidP="008134A5">
            <w:pPr>
              <w:spacing w:before="40"/>
              <w:jc w:val="left"/>
              <w:rPr>
                <w:rFonts w:cs="Arial"/>
                <w:sz w:val="16"/>
                <w:szCs w:val="16"/>
                <w:vertAlign w:val="superscript"/>
              </w:rPr>
            </w:pPr>
            <w:r w:rsidRPr="009667CC">
              <w:rPr>
                <w:rFonts w:cs="Arial"/>
                <w:sz w:val="16"/>
                <w:szCs w:val="16"/>
              </w:rPr>
              <w:t>Vietnam</w:t>
            </w:r>
            <w:r w:rsidRPr="009667CC">
              <w:rPr>
                <w:rFonts w:cs="Arial"/>
                <w:sz w:val="16"/>
                <w:szCs w:val="16"/>
                <w:vertAlign w:val="superscript"/>
              </w:rPr>
              <w:t>3</w:t>
            </w:r>
          </w:p>
        </w:tc>
      </w:tr>
      <w:tr w:rsidR="008134A5" w:rsidRPr="004A4A07" w:rsidTr="008134A5">
        <w:trPr>
          <w:jc w:val="center"/>
        </w:trPr>
        <w:tc>
          <w:tcPr>
            <w:tcW w:w="2547" w:type="dxa"/>
          </w:tcPr>
          <w:p w:rsidR="008134A5" w:rsidRPr="009667CC" w:rsidRDefault="008134A5" w:rsidP="008134A5">
            <w:pPr>
              <w:spacing w:before="40"/>
              <w:jc w:val="left"/>
              <w:rPr>
                <w:rFonts w:cs="Arial"/>
                <w:sz w:val="16"/>
                <w:szCs w:val="16"/>
              </w:rPr>
            </w:pPr>
            <w:r w:rsidRPr="009667CC">
              <w:rPr>
                <w:rFonts w:cs="Arial"/>
                <w:sz w:val="16"/>
                <w:szCs w:val="16"/>
              </w:rPr>
              <w:t>Costa Rica</w:t>
            </w:r>
            <w:r w:rsidRPr="009667CC">
              <w:rPr>
                <w:rFonts w:cs="Arial"/>
                <w:sz w:val="16"/>
                <w:szCs w:val="16"/>
                <w:vertAlign w:val="superscript"/>
              </w:rPr>
              <w:t>3</w:t>
            </w:r>
          </w:p>
        </w:tc>
        <w:tc>
          <w:tcPr>
            <w:tcW w:w="2126" w:type="dxa"/>
          </w:tcPr>
          <w:p w:rsidR="008134A5" w:rsidRPr="009667CC" w:rsidRDefault="008134A5" w:rsidP="008134A5">
            <w:pPr>
              <w:spacing w:before="40"/>
              <w:jc w:val="left"/>
              <w:rPr>
                <w:rFonts w:cs="Arial"/>
                <w:sz w:val="16"/>
                <w:szCs w:val="16"/>
              </w:rPr>
            </w:pPr>
            <w:r w:rsidRPr="009667CC">
              <w:rPr>
                <w:rFonts w:cs="Arial"/>
                <w:sz w:val="16"/>
                <w:szCs w:val="16"/>
              </w:rPr>
              <w:t>Italien</w:t>
            </w:r>
            <w:r w:rsidRPr="009667CC">
              <w:rPr>
                <w:rStyle w:val="FootnoteReference"/>
                <w:rFonts w:cs="Arial"/>
                <w:sz w:val="16"/>
                <w:szCs w:val="16"/>
              </w:rPr>
              <w:t>2</w:t>
            </w:r>
          </w:p>
        </w:tc>
        <w:tc>
          <w:tcPr>
            <w:tcW w:w="1276" w:type="dxa"/>
          </w:tcPr>
          <w:p w:rsidR="008134A5" w:rsidRPr="009667CC" w:rsidRDefault="008134A5" w:rsidP="008134A5">
            <w:pPr>
              <w:spacing w:before="40"/>
              <w:jc w:val="left"/>
              <w:rPr>
                <w:rFonts w:cs="Arial"/>
                <w:sz w:val="16"/>
                <w:szCs w:val="16"/>
              </w:rPr>
            </w:pPr>
            <w:r w:rsidRPr="009667CC">
              <w:rPr>
                <w:rFonts w:cs="Arial"/>
                <w:sz w:val="16"/>
                <w:szCs w:val="16"/>
              </w:rPr>
              <w:t>Norwegen</w:t>
            </w:r>
            <w:r w:rsidRPr="009667CC">
              <w:rPr>
                <w:rStyle w:val="FootnoteReference"/>
                <w:rFonts w:cs="Arial"/>
                <w:sz w:val="16"/>
                <w:szCs w:val="16"/>
              </w:rPr>
              <w:t>2</w:t>
            </w:r>
          </w:p>
        </w:tc>
        <w:tc>
          <w:tcPr>
            <w:tcW w:w="1843" w:type="dxa"/>
          </w:tcPr>
          <w:p w:rsidR="008134A5" w:rsidRPr="009667CC" w:rsidRDefault="008134A5" w:rsidP="008134A5">
            <w:pPr>
              <w:spacing w:before="40"/>
              <w:jc w:val="left"/>
              <w:rPr>
                <w:rFonts w:cs="Arial"/>
                <w:sz w:val="16"/>
                <w:szCs w:val="16"/>
              </w:rPr>
            </w:pPr>
            <w:r w:rsidRPr="009667CC">
              <w:rPr>
                <w:rFonts w:cs="Arial"/>
                <w:sz w:val="16"/>
                <w:szCs w:val="16"/>
              </w:rPr>
              <w:t>Slowenien</w:t>
            </w:r>
            <w:r w:rsidRPr="009667CC">
              <w:rPr>
                <w:rFonts w:cs="Arial"/>
                <w:sz w:val="16"/>
                <w:szCs w:val="16"/>
                <w:vertAlign w:val="superscript"/>
              </w:rPr>
              <w:t>3</w:t>
            </w:r>
          </w:p>
        </w:tc>
        <w:tc>
          <w:tcPr>
            <w:tcW w:w="2693" w:type="dxa"/>
          </w:tcPr>
          <w:p w:rsidR="008134A5" w:rsidRPr="009667CC" w:rsidRDefault="008134A5" w:rsidP="008134A5">
            <w:pPr>
              <w:spacing w:before="40"/>
              <w:jc w:val="left"/>
              <w:rPr>
                <w:rFonts w:cs="Arial"/>
                <w:sz w:val="16"/>
                <w:szCs w:val="16"/>
              </w:rPr>
            </w:pPr>
          </w:p>
        </w:tc>
      </w:tr>
      <w:tr w:rsidR="008134A5" w:rsidRPr="004A4A07" w:rsidTr="008134A5">
        <w:trPr>
          <w:trHeight w:val="113"/>
          <w:jc w:val="center"/>
        </w:trPr>
        <w:tc>
          <w:tcPr>
            <w:tcW w:w="2547" w:type="dxa"/>
          </w:tcPr>
          <w:p w:rsidR="008134A5" w:rsidRPr="009667CC" w:rsidRDefault="008134A5" w:rsidP="008134A5">
            <w:pPr>
              <w:spacing w:before="40"/>
              <w:jc w:val="left"/>
              <w:rPr>
                <w:rFonts w:cs="Arial"/>
                <w:sz w:val="16"/>
                <w:szCs w:val="16"/>
              </w:rPr>
            </w:pPr>
            <w:r w:rsidRPr="009667CC">
              <w:rPr>
                <w:rFonts w:cs="Arial"/>
                <w:sz w:val="16"/>
                <w:szCs w:val="16"/>
              </w:rPr>
              <w:t>Dänemark</w:t>
            </w:r>
            <w:r w:rsidRPr="009667CC">
              <w:rPr>
                <w:rStyle w:val="FootnoteReference"/>
                <w:rFonts w:cs="Arial"/>
                <w:sz w:val="16"/>
                <w:szCs w:val="16"/>
              </w:rPr>
              <w:t>3</w:t>
            </w:r>
          </w:p>
        </w:tc>
        <w:tc>
          <w:tcPr>
            <w:tcW w:w="2126" w:type="dxa"/>
          </w:tcPr>
          <w:p w:rsidR="008134A5" w:rsidRPr="009667CC" w:rsidRDefault="008134A5" w:rsidP="008134A5">
            <w:pPr>
              <w:jc w:val="left"/>
              <w:rPr>
                <w:rFonts w:cs="Arial"/>
                <w:sz w:val="16"/>
                <w:szCs w:val="16"/>
              </w:rPr>
            </w:pPr>
            <w:r w:rsidRPr="009667CC">
              <w:rPr>
                <w:rFonts w:cs="Arial"/>
                <w:sz w:val="16"/>
                <w:szCs w:val="16"/>
              </w:rPr>
              <w:t>Japan</w:t>
            </w:r>
            <w:r w:rsidRPr="009667CC">
              <w:rPr>
                <w:rFonts w:cs="Arial"/>
                <w:sz w:val="16"/>
                <w:szCs w:val="16"/>
                <w:vertAlign w:val="superscript"/>
              </w:rPr>
              <w:t>3</w:t>
            </w:r>
          </w:p>
        </w:tc>
        <w:tc>
          <w:tcPr>
            <w:tcW w:w="1276" w:type="dxa"/>
          </w:tcPr>
          <w:p w:rsidR="008134A5" w:rsidRPr="009667CC" w:rsidRDefault="008134A5" w:rsidP="008134A5">
            <w:pPr>
              <w:spacing w:before="40"/>
              <w:jc w:val="left"/>
              <w:rPr>
                <w:rFonts w:cs="Arial"/>
                <w:sz w:val="16"/>
                <w:szCs w:val="16"/>
              </w:rPr>
            </w:pPr>
            <w:r w:rsidRPr="009667CC">
              <w:rPr>
                <w:rFonts w:cs="Arial"/>
                <w:sz w:val="16"/>
                <w:szCs w:val="16"/>
              </w:rPr>
              <w:t>Oman</w:t>
            </w:r>
            <w:r w:rsidRPr="009667CC">
              <w:rPr>
                <w:rFonts w:cs="Arial"/>
                <w:sz w:val="16"/>
                <w:szCs w:val="16"/>
                <w:vertAlign w:val="superscript"/>
              </w:rPr>
              <w:t>3</w:t>
            </w:r>
          </w:p>
        </w:tc>
        <w:tc>
          <w:tcPr>
            <w:tcW w:w="1843" w:type="dxa"/>
          </w:tcPr>
          <w:p w:rsidR="008134A5" w:rsidRPr="009667CC" w:rsidRDefault="008134A5" w:rsidP="008134A5">
            <w:pPr>
              <w:spacing w:before="40"/>
              <w:jc w:val="left"/>
              <w:rPr>
                <w:rFonts w:cs="Arial"/>
                <w:sz w:val="16"/>
                <w:szCs w:val="16"/>
              </w:rPr>
            </w:pPr>
            <w:r w:rsidRPr="009667CC">
              <w:rPr>
                <w:rFonts w:cs="Arial"/>
                <w:sz w:val="16"/>
                <w:szCs w:val="16"/>
              </w:rPr>
              <w:t>Spanien</w:t>
            </w:r>
            <w:r w:rsidRPr="009667CC">
              <w:rPr>
                <w:rFonts w:cs="Arial"/>
                <w:sz w:val="16"/>
                <w:szCs w:val="16"/>
                <w:vertAlign w:val="superscript"/>
              </w:rPr>
              <w:t>3</w:t>
            </w:r>
          </w:p>
        </w:tc>
        <w:tc>
          <w:tcPr>
            <w:tcW w:w="2693" w:type="dxa"/>
          </w:tcPr>
          <w:p w:rsidR="008134A5" w:rsidRPr="009667CC" w:rsidRDefault="008134A5" w:rsidP="008134A5">
            <w:pPr>
              <w:spacing w:before="40"/>
              <w:jc w:val="left"/>
              <w:rPr>
                <w:rFonts w:cs="Arial"/>
                <w:sz w:val="16"/>
                <w:szCs w:val="16"/>
              </w:rPr>
            </w:pPr>
          </w:p>
        </w:tc>
      </w:tr>
      <w:tr w:rsidR="008134A5" w:rsidRPr="004A4A07" w:rsidTr="008134A5">
        <w:trPr>
          <w:jc w:val="center"/>
        </w:trPr>
        <w:tc>
          <w:tcPr>
            <w:tcW w:w="2547" w:type="dxa"/>
          </w:tcPr>
          <w:p w:rsidR="008134A5" w:rsidRPr="009667CC" w:rsidRDefault="008134A5" w:rsidP="008134A5">
            <w:pPr>
              <w:spacing w:before="40"/>
              <w:jc w:val="left"/>
              <w:rPr>
                <w:rFonts w:cs="Arial"/>
                <w:sz w:val="16"/>
                <w:szCs w:val="16"/>
              </w:rPr>
            </w:pPr>
            <w:r w:rsidRPr="009667CC">
              <w:rPr>
                <w:rFonts w:cs="Arial"/>
                <w:sz w:val="16"/>
                <w:szCs w:val="16"/>
              </w:rPr>
              <w:t>Brasilien</w:t>
            </w:r>
            <w:r w:rsidRPr="009667CC">
              <w:rPr>
                <w:rFonts w:cs="Arial"/>
                <w:sz w:val="16"/>
                <w:szCs w:val="16"/>
                <w:vertAlign w:val="superscript"/>
              </w:rPr>
              <w:t>2</w:t>
            </w:r>
          </w:p>
        </w:tc>
        <w:tc>
          <w:tcPr>
            <w:tcW w:w="2126" w:type="dxa"/>
          </w:tcPr>
          <w:p w:rsidR="008134A5" w:rsidRPr="009667CC" w:rsidRDefault="008134A5" w:rsidP="008134A5">
            <w:pPr>
              <w:spacing w:before="40"/>
              <w:jc w:val="left"/>
              <w:rPr>
                <w:rFonts w:cs="Arial"/>
                <w:sz w:val="16"/>
                <w:szCs w:val="16"/>
              </w:rPr>
            </w:pPr>
            <w:r w:rsidRPr="009667CC">
              <w:rPr>
                <w:rFonts w:cs="Arial"/>
                <w:sz w:val="16"/>
                <w:szCs w:val="16"/>
              </w:rPr>
              <w:t>Jordanien</w:t>
            </w:r>
            <w:r w:rsidRPr="009667CC">
              <w:rPr>
                <w:rFonts w:cs="Arial"/>
                <w:sz w:val="16"/>
                <w:szCs w:val="16"/>
                <w:vertAlign w:val="superscript"/>
              </w:rPr>
              <w:t>3</w:t>
            </w:r>
          </w:p>
        </w:tc>
        <w:tc>
          <w:tcPr>
            <w:tcW w:w="1276" w:type="dxa"/>
          </w:tcPr>
          <w:p w:rsidR="008134A5" w:rsidRPr="009667CC" w:rsidRDefault="008134A5" w:rsidP="008134A5">
            <w:pPr>
              <w:spacing w:before="40"/>
              <w:jc w:val="left"/>
              <w:rPr>
                <w:rFonts w:cs="Arial"/>
                <w:sz w:val="16"/>
                <w:szCs w:val="16"/>
              </w:rPr>
            </w:pPr>
            <w:r w:rsidRPr="009667CC">
              <w:rPr>
                <w:rFonts w:cs="Arial"/>
                <w:sz w:val="16"/>
                <w:szCs w:val="16"/>
              </w:rPr>
              <w:t>Österreich</w:t>
            </w:r>
            <w:r w:rsidRPr="009667CC">
              <w:rPr>
                <w:rStyle w:val="FootnoteReference"/>
                <w:rFonts w:cs="Arial"/>
                <w:sz w:val="16"/>
                <w:szCs w:val="16"/>
              </w:rPr>
              <w:t>3</w:t>
            </w:r>
          </w:p>
        </w:tc>
        <w:tc>
          <w:tcPr>
            <w:tcW w:w="1843" w:type="dxa"/>
          </w:tcPr>
          <w:p w:rsidR="008134A5" w:rsidRPr="009667CC" w:rsidRDefault="008134A5" w:rsidP="008134A5">
            <w:pPr>
              <w:spacing w:before="40"/>
              <w:jc w:val="left"/>
              <w:rPr>
                <w:rFonts w:cs="Arial"/>
                <w:sz w:val="16"/>
                <w:szCs w:val="16"/>
              </w:rPr>
            </w:pPr>
            <w:r w:rsidRPr="009667CC">
              <w:rPr>
                <w:rFonts w:cs="Arial"/>
                <w:sz w:val="16"/>
                <w:szCs w:val="16"/>
              </w:rPr>
              <w:t>Südafrika</w:t>
            </w:r>
            <w:r w:rsidRPr="009667CC">
              <w:rPr>
                <w:rFonts w:cs="Arial"/>
                <w:sz w:val="16"/>
                <w:szCs w:val="16"/>
                <w:vertAlign w:val="superscript"/>
              </w:rPr>
              <w:t>2</w:t>
            </w:r>
          </w:p>
        </w:tc>
        <w:tc>
          <w:tcPr>
            <w:tcW w:w="2693" w:type="dxa"/>
          </w:tcPr>
          <w:p w:rsidR="008134A5" w:rsidRPr="009667CC" w:rsidRDefault="008134A5" w:rsidP="008134A5">
            <w:pPr>
              <w:spacing w:before="40"/>
              <w:jc w:val="left"/>
              <w:rPr>
                <w:rFonts w:cs="Arial"/>
                <w:sz w:val="16"/>
                <w:szCs w:val="16"/>
              </w:rPr>
            </w:pPr>
            <w:r w:rsidRPr="009667CC">
              <w:rPr>
                <w:rFonts w:cs="Arial"/>
                <w:sz w:val="16"/>
                <w:szCs w:val="16"/>
              </w:rPr>
              <w:t>(Insgesamt</w:t>
            </w:r>
            <w:r w:rsidRPr="00037DA2">
              <w:rPr>
                <w:rFonts w:cs="Arial"/>
                <w:sz w:val="16"/>
                <w:szCs w:val="16"/>
              </w:rPr>
              <w:t>: 74)</w:t>
            </w:r>
          </w:p>
        </w:tc>
      </w:tr>
      <w:tr w:rsidR="008134A5" w:rsidRPr="004A4A07" w:rsidTr="008134A5">
        <w:trPr>
          <w:jc w:val="center"/>
        </w:trPr>
        <w:tc>
          <w:tcPr>
            <w:tcW w:w="2547" w:type="dxa"/>
          </w:tcPr>
          <w:p w:rsidR="008134A5" w:rsidRPr="009667CC" w:rsidRDefault="008134A5" w:rsidP="008134A5">
            <w:pPr>
              <w:spacing w:before="40"/>
              <w:jc w:val="left"/>
              <w:rPr>
                <w:rFonts w:cs="Arial"/>
                <w:sz w:val="16"/>
                <w:szCs w:val="16"/>
              </w:rPr>
            </w:pPr>
          </w:p>
        </w:tc>
        <w:tc>
          <w:tcPr>
            <w:tcW w:w="2126" w:type="dxa"/>
          </w:tcPr>
          <w:p w:rsidR="008134A5" w:rsidRPr="009667CC" w:rsidRDefault="008134A5" w:rsidP="008134A5">
            <w:pPr>
              <w:spacing w:before="40"/>
              <w:jc w:val="left"/>
              <w:rPr>
                <w:rFonts w:cs="Arial"/>
                <w:sz w:val="16"/>
                <w:szCs w:val="16"/>
              </w:rPr>
            </w:pPr>
          </w:p>
        </w:tc>
        <w:tc>
          <w:tcPr>
            <w:tcW w:w="1276" w:type="dxa"/>
          </w:tcPr>
          <w:p w:rsidR="008134A5" w:rsidRPr="009667CC" w:rsidRDefault="008134A5" w:rsidP="008134A5">
            <w:pPr>
              <w:spacing w:before="40"/>
              <w:jc w:val="left"/>
              <w:rPr>
                <w:rFonts w:cs="Arial"/>
                <w:sz w:val="16"/>
                <w:szCs w:val="16"/>
              </w:rPr>
            </w:pPr>
            <w:r w:rsidRPr="009667CC">
              <w:rPr>
                <w:rFonts w:cs="Arial"/>
                <w:sz w:val="16"/>
                <w:szCs w:val="16"/>
              </w:rPr>
              <w:t>Panama</w:t>
            </w:r>
            <w:r w:rsidRPr="009667CC">
              <w:rPr>
                <w:rFonts w:cs="Arial"/>
                <w:sz w:val="16"/>
                <w:szCs w:val="16"/>
                <w:vertAlign w:val="superscript"/>
              </w:rPr>
              <w:t>3</w:t>
            </w:r>
          </w:p>
        </w:tc>
        <w:tc>
          <w:tcPr>
            <w:tcW w:w="1843" w:type="dxa"/>
          </w:tcPr>
          <w:p w:rsidR="008134A5" w:rsidRPr="009667CC" w:rsidRDefault="008134A5" w:rsidP="008134A5">
            <w:pPr>
              <w:spacing w:before="40"/>
              <w:jc w:val="left"/>
              <w:rPr>
                <w:rFonts w:cs="Arial"/>
                <w:sz w:val="16"/>
                <w:szCs w:val="16"/>
              </w:rPr>
            </w:pPr>
          </w:p>
        </w:tc>
        <w:tc>
          <w:tcPr>
            <w:tcW w:w="2693" w:type="dxa"/>
          </w:tcPr>
          <w:p w:rsidR="008134A5" w:rsidRPr="009667CC" w:rsidRDefault="008134A5" w:rsidP="008134A5">
            <w:pPr>
              <w:spacing w:before="40"/>
              <w:jc w:val="left"/>
              <w:rPr>
                <w:rFonts w:cs="Arial"/>
                <w:sz w:val="16"/>
                <w:szCs w:val="16"/>
              </w:rPr>
            </w:pPr>
          </w:p>
        </w:tc>
      </w:tr>
    </w:tbl>
    <w:p w:rsidR="008134A5" w:rsidRPr="00A022C5" w:rsidRDefault="008134A5" w:rsidP="008134A5">
      <w:pPr>
        <w:tabs>
          <w:tab w:val="left" w:pos="1560"/>
        </w:tabs>
        <w:spacing w:after="60"/>
        <w:ind w:left="284"/>
        <w:jc w:val="left"/>
        <w:rPr>
          <w:sz w:val="16"/>
          <w:u w:val="single"/>
        </w:rPr>
      </w:pPr>
    </w:p>
    <w:p w:rsidR="008134A5" w:rsidRPr="00A022C5" w:rsidRDefault="008134A5" w:rsidP="008134A5">
      <w:pPr>
        <w:tabs>
          <w:tab w:val="left" w:pos="284"/>
        </w:tabs>
        <w:spacing w:after="60"/>
        <w:ind w:left="284"/>
        <w:jc w:val="left"/>
        <w:rPr>
          <w:rFonts w:cs="Arial"/>
          <w:sz w:val="14"/>
          <w:szCs w:val="16"/>
        </w:rPr>
      </w:pPr>
      <w:r w:rsidRPr="00A022C5">
        <w:rPr>
          <w:sz w:val="14"/>
          <w:vertAlign w:val="superscript"/>
        </w:rPr>
        <w:t>1</w:t>
      </w:r>
      <w:r w:rsidRPr="00A022C5">
        <w:tab/>
      </w:r>
      <w:r w:rsidRPr="00A022C5">
        <w:rPr>
          <w:sz w:val="14"/>
        </w:rPr>
        <w:t>Das Übereinkommen von 1961, in der durch die Zusatzakte von 1972 geänderten Fassung, ist die neueste Akte, an die 1 Staat gebunden ist.</w:t>
      </w:r>
    </w:p>
    <w:p w:rsidR="008134A5" w:rsidRPr="00A022C5" w:rsidRDefault="008134A5" w:rsidP="008134A5">
      <w:pPr>
        <w:tabs>
          <w:tab w:val="left" w:pos="284"/>
        </w:tabs>
        <w:spacing w:after="60"/>
        <w:ind w:left="284"/>
        <w:jc w:val="left"/>
        <w:rPr>
          <w:rFonts w:cs="Arial"/>
          <w:sz w:val="14"/>
          <w:szCs w:val="16"/>
        </w:rPr>
      </w:pPr>
      <w:r w:rsidRPr="00A022C5">
        <w:rPr>
          <w:sz w:val="14"/>
          <w:vertAlign w:val="superscript"/>
        </w:rPr>
        <w:t>2</w:t>
      </w:r>
      <w:r w:rsidRPr="00A022C5">
        <w:tab/>
      </w:r>
      <w:r w:rsidRPr="00A022C5">
        <w:rPr>
          <w:sz w:val="14"/>
        </w:rPr>
        <w:t>Die Akte von 1978 ist die neueste Akte, an die 1</w:t>
      </w:r>
      <w:r>
        <w:rPr>
          <w:sz w:val="14"/>
        </w:rPr>
        <w:t>7</w:t>
      </w:r>
      <w:r w:rsidRPr="00A022C5">
        <w:rPr>
          <w:sz w:val="14"/>
        </w:rPr>
        <w:t xml:space="preserve"> Staaten gebunden sind.</w:t>
      </w:r>
    </w:p>
    <w:p w:rsidR="008134A5" w:rsidRPr="00A022C5" w:rsidRDefault="008134A5" w:rsidP="008134A5">
      <w:pPr>
        <w:tabs>
          <w:tab w:val="left" w:pos="284"/>
        </w:tabs>
        <w:spacing w:after="60"/>
        <w:ind w:left="284"/>
        <w:jc w:val="left"/>
        <w:rPr>
          <w:rFonts w:cs="Arial"/>
          <w:sz w:val="14"/>
          <w:szCs w:val="16"/>
        </w:rPr>
      </w:pPr>
      <w:r w:rsidRPr="00A022C5">
        <w:rPr>
          <w:sz w:val="14"/>
          <w:vertAlign w:val="superscript"/>
        </w:rPr>
        <w:t>3</w:t>
      </w:r>
      <w:r w:rsidRPr="00A022C5">
        <w:tab/>
      </w:r>
      <w:r w:rsidRPr="00A022C5">
        <w:rPr>
          <w:sz w:val="14"/>
        </w:rPr>
        <w:t>Die Akte von 1991</w:t>
      </w:r>
      <w:r>
        <w:rPr>
          <w:sz w:val="14"/>
        </w:rPr>
        <w:t xml:space="preserve"> ist die neueste Akte, an die 54</w:t>
      </w:r>
      <w:r w:rsidRPr="00A022C5">
        <w:rPr>
          <w:sz w:val="14"/>
        </w:rPr>
        <w:t xml:space="preserve"> Staaten und 2 Organisationen gebunden sind.</w:t>
      </w:r>
    </w:p>
    <w:p w:rsidR="008134A5" w:rsidRPr="00A022C5" w:rsidRDefault="008134A5" w:rsidP="008134A5">
      <w:pPr>
        <w:tabs>
          <w:tab w:val="left" w:pos="284"/>
        </w:tabs>
        <w:ind w:left="284"/>
        <w:jc w:val="left"/>
        <w:rPr>
          <w:rFonts w:cs="Arial"/>
          <w:sz w:val="14"/>
          <w:szCs w:val="16"/>
        </w:rPr>
      </w:pPr>
      <w:r w:rsidRPr="00A022C5">
        <w:rPr>
          <w:sz w:val="14"/>
          <w:vertAlign w:val="superscript"/>
        </w:rPr>
        <w:t>4</w:t>
      </w:r>
      <w:r w:rsidRPr="00A022C5">
        <w:tab/>
      </w:r>
      <w:r w:rsidRPr="00A022C5">
        <w:rPr>
          <w:sz w:val="14"/>
        </w:rPr>
        <w:t xml:space="preserve">Verfügt über ein Sortenschutzsystem, das die Hoheitsgebiete seiner 28 Mitglieder </w:t>
      </w:r>
      <w:proofErr w:type="spellStart"/>
      <w:r w:rsidRPr="00A022C5">
        <w:rPr>
          <w:sz w:val="14"/>
        </w:rPr>
        <w:t>umfaßt</w:t>
      </w:r>
      <w:proofErr w:type="spellEnd"/>
      <w:r w:rsidRPr="00A022C5">
        <w:rPr>
          <w:sz w:val="14"/>
        </w:rPr>
        <w:t>.</w:t>
      </w:r>
    </w:p>
    <w:p w:rsidR="008134A5" w:rsidRPr="00A022C5" w:rsidRDefault="008134A5" w:rsidP="008134A5">
      <w:pPr>
        <w:tabs>
          <w:tab w:val="left" w:pos="284"/>
        </w:tabs>
        <w:spacing w:after="60"/>
        <w:ind w:left="567"/>
        <w:jc w:val="left"/>
        <w:rPr>
          <w:rFonts w:cs="Arial"/>
          <w:sz w:val="14"/>
          <w:szCs w:val="14"/>
        </w:rPr>
      </w:pPr>
      <w:r w:rsidRPr="00A022C5">
        <w:rPr>
          <w:i/>
          <w:sz w:val="14"/>
        </w:rPr>
        <w:t xml:space="preserve">(Mitgliedstaaten der Europäischen Union:  Belgien, Bulgarien, Dänemark, Deutschland, Estland, Finnland, Frankreich, Griechenland, Irland, Italien, Kroatien, Lettland, Litauen, Luxemburg, Malta, Niederlande, Österreich, Polen, Portugal, Rumänien, Slowakei, Slowenien, Spanien, Schweden, Tschechische Republik, Ungarn, Vereinigtes Königreich, Zypern) </w:t>
      </w:r>
    </w:p>
    <w:p w:rsidR="008134A5" w:rsidRPr="00A022C5" w:rsidRDefault="008134A5" w:rsidP="008134A5">
      <w:pPr>
        <w:tabs>
          <w:tab w:val="left" w:pos="284"/>
        </w:tabs>
        <w:ind w:left="284"/>
        <w:jc w:val="left"/>
        <w:rPr>
          <w:rFonts w:cs="Arial"/>
          <w:sz w:val="14"/>
          <w:szCs w:val="16"/>
        </w:rPr>
      </w:pPr>
      <w:r w:rsidRPr="00A022C5">
        <w:rPr>
          <w:sz w:val="14"/>
          <w:vertAlign w:val="superscript"/>
        </w:rPr>
        <w:t>5</w:t>
      </w:r>
      <w:r w:rsidRPr="00A022C5">
        <w:tab/>
      </w:r>
      <w:r w:rsidRPr="00A022C5">
        <w:rPr>
          <w:sz w:val="14"/>
        </w:rPr>
        <w:t xml:space="preserve">Verfügt über ein Sortenschutzsystem, das die Hoheitsgebiete seiner 17 Mitglieder </w:t>
      </w:r>
      <w:proofErr w:type="spellStart"/>
      <w:r w:rsidRPr="00A022C5">
        <w:rPr>
          <w:sz w:val="14"/>
        </w:rPr>
        <w:t>umfaßt</w:t>
      </w:r>
      <w:proofErr w:type="spellEnd"/>
      <w:r w:rsidRPr="00A022C5">
        <w:rPr>
          <w:sz w:val="14"/>
        </w:rPr>
        <w:t>.</w:t>
      </w:r>
    </w:p>
    <w:p w:rsidR="008134A5" w:rsidRDefault="008134A5" w:rsidP="008134A5">
      <w:pPr>
        <w:tabs>
          <w:tab w:val="left" w:pos="1560"/>
        </w:tabs>
        <w:spacing w:after="60"/>
        <w:ind w:left="567"/>
        <w:rPr>
          <w:i/>
          <w:sz w:val="14"/>
        </w:rPr>
      </w:pPr>
      <w:r w:rsidRPr="00A022C5">
        <w:rPr>
          <w:i/>
          <w:sz w:val="14"/>
        </w:rPr>
        <w:t>(Mitgliedstaaten der OAPI:  Äquatorialguinea, Benin, Burkina Faso, Elfenbeinküste, Gabun, Guinea, Guinea</w:t>
      </w:r>
      <w:r w:rsidRPr="00A022C5">
        <w:t>-</w:t>
      </w:r>
      <w:r w:rsidRPr="00A022C5">
        <w:rPr>
          <w:i/>
          <w:sz w:val="14"/>
        </w:rPr>
        <w:t xml:space="preserve">Bissau, Kamerun, Komoren, Kongo, </w:t>
      </w:r>
      <w:r>
        <w:rPr>
          <w:i/>
          <w:sz w:val="14"/>
        </w:rPr>
        <w:t xml:space="preserve">          </w:t>
      </w:r>
      <w:r w:rsidRPr="00A022C5">
        <w:rPr>
          <w:i/>
          <w:sz w:val="14"/>
        </w:rPr>
        <w:t>Mali, Mauretanien, Niger, Senegal, Togo, Tscha</w:t>
      </w:r>
      <w:r>
        <w:rPr>
          <w:i/>
          <w:sz w:val="14"/>
        </w:rPr>
        <w:t>d, Zentralafrikanische Republik).</w:t>
      </w:r>
    </w:p>
    <w:p w:rsidR="008134A5" w:rsidRPr="003F486D" w:rsidRDefault="008134A5" w:rsidP="008134A5">
      <w:pPr>
        <w:tabs>
          <w:tab w:val="left" w:pos="1560"/>
        </w:tabs>
        <w:spacing w:after="60"/>
        <w:rPr>
          <w:sz w:val="16"/>
          <w:u w:val="single"/>
        </w:rPr>
      </w:pPr>
    </w:p>
    <w:p w:rsidR="008134A5" w:rsidRPr="003F486D" w:rsidRDefault="008134A5" w:rsidP="008134A5">
      <w:pPr>
        <w:keepNext/>
        <w:jc w:val="center"/>
        <w:rPr>
          <w:rFonts w:cs="Arial"/>
          <w:b/>
          <w:sz w:val="18"/>
          <w:szCs w:val="24"/>
        </w:rPr>
      </w:pPr>
      <w:r w:rsidRPr="003F486D">
        <w:rPr>
          <w:rFonts w:cs="Arial"/>
          <w:b/>
          <w:sz w:val="18"/>
          <w:szCs w:val="24"/>
        </w:rPr>
        <w:t>II.</w:t>
      </w:r>
      <w:r>
        <w:rPr>
          <w:rFonts w:cs="Arial"/>
          <w:b/>
          <w:sz w:val="18"/>
          <w:szCs w:val="24"/>
        </w:rPr>
        <w:t xml:space="preserve"> </w:t>
      </w:r>
      <w:r w:rsidRPr="00A022C5">
        <w:rPr>
          <w:b/>
          <w:sz w:val="18"/>
        </w:rPr>
        <w:t>Staaten und zwischenstaatliche Organisationen, die das Verfahren für den Beitritt zum UPOV-Übereinkommen eingeleitet haben</w:t>
      </w:r>
    </w:p>
    <w:p w:rsidR="008134A5" w:rsidRPr="003F486D" w:rsidRDefault="008134A5" w:rsidP="008134A5">
      <w:pPr>
        <w:rPr>
          <w:sz w:val="16"/>
          <w:szCs w:val="16"/>
        </w:rPr>
      </w:pPr>
    </w:p>
    <w:p w:rsidR="008134A5" w:rsidRPr="003F486D" w:rsidRDefault="008134A5" w:rsidP="008134A5">
      <w:pPr>
        <w:keepNext/>
        <w:rPr>
          <w:rFonts w:cs="Arial"/>
          <w:i/>
          <w:sz w:val="16"/>
          <w:szCs w:val="16"/>
        </w:rPr>
      </w:pPr>
      <w:r w:rsidRPr="006D0EC9">
        <w:rPr>
          <w:rFonts w:cs="Arial"/>
          <w:i/>
          <w:sz w:val="16"/>
          <w:szCs w:val="16"/>
        </w:rPr>
        <w:t>Staaten (15):</w:t>
      </w:r>
    </w:p>
    <w:p w:rsidR="008134A5" w:rsidRPr="003F486D" w:rsidRDefault="008134A5" w:rsidP="008134A5">
      <w:pPr>
        <w:keepNext/>
        <w:rPr>
          <w:rFonts w:cs="Arial"/>
          <w:sz w:val="16"/>
          <w:szCs w:val="16"/>
        </w:rPr>
      </w:pPr>
    </w:p>
    <w:p w:rsidR="008134A5" w:rsidRDefault="008134A5" w:rsidP="008134A5">
      <w:pPr>
        <w:rPr>
          <w:spacing w:val="-2"/>
          <w:sz w:val="16"/>
        </w:rPr>
      </w:pPr>
      <w:r w:rsidRPr="00A022C5">
        <w:rPr>
          <w:spacing w:val="-2"/>
          <w:sz w:val="16"/>
        </w:rPr>
        <w:t>Ägypten, Armenien, Bosnien-Herzegowina, Ghana, Guatemala, Honduras, Indien, Iran (Islamische Republik), Kasachstan, Malaysia, Mauritius, Philippinen, Simbabwe, Tadschikistan, Venezuela (Bolivarische Republik)</w:t>
      </w:r>
    </w:p>
    <w:p w:rsidR="008134A5" w:rsidRPr="003F486D" w:rsidRDefault="008134A5" w:rsidP="008134A5">
      <w:pPr>
        <w:rPr>
          <w:rFonts w:cs="Arial"/>
          <w:sz w:val="16"/>
          <w:szCs w:val="16"/>
        </w:rPr>
      </w:pPr>
    </w:p>
    <w:p w:rsidR="008134A5" w:rsidRPr="003F486D" w:rsidRDefault="008134A5" w:rsidP="008134A5">
      <w:pPr>
        <w:rPr>
          <w:rFonts w:cs="Arial"/>
          <w:i/>
          <w:spacing w:val="-2"/>
          <w:sz w:val="16"/>
          <w:szCs w:val="16"/>
        </w:rPr>
      </w:pPr>
      <w:r w:rsidRPr="003F486D">
        <w:rPr>
          <w:rFonts w:cs="Arial"/>
          <w:i/>
          <w:spacing w:val="-2"/>
          <w:sz w:val="16"/>
          <w:szCs w:val="16"/>
        </w:rPr>
        <w:t>Organisation (1):</w:t>
      </w:r>
    </w:p>
    <w:p w:rsidR="008134A5" w:rsidRPr="003F486D" w:rsidRDefault="008134A5" w:rsidP="008134A5">
      <w:pPr>
        <w:rPr>
          <w:rFonts w:cs="Arial"/>
          <w:spacing w:val="-2"/>
          <w:sz w:val="16"/>
          <w:szCs w:val="16"/>
        </w:rPr>
      </w:pPr>
    </w:p>
    <w:p w:rsidR="008134A5" w:rsidRPr="003F486D" w:rsidRDefault="008134A5" w:rsidP="008134A5">
      <w:pPr>
        <w:rPr>
          <w:rFonts w:cs="Arial"/>
          <w:sz w:val="16"/>
          <w:szCs w:val="24"/>
        </w:rPr>
      </w:pPr>
      <w:r w:rsidRPr="00A022C5">
        <w:rPr>
          <w:sz w:val="16"/>
        </w:rPr>
        <w:t xml:space="preserve">Afrikanische Regionalorganisation für geistiges Eigentum </w:t>
      </w:r>
      <w:r w:rsidRPr="003F486D">
        <w:rPr>
          <w:rFonts w:cs="Arial"/>
          <w:sz w:val="16"/>
          <w:szCs w:val="24"/>
        </w:rPr>
        <w:t xml:space="preserve">(ARIPO) </w:t>
      </w:r>
    </w:p>
    <w:p w:rsidR="008134A5" w:rsidRPr="003F486D" w:rsidRDefault="008134A5" w:rsidP="008134A5">
      <w:pPr>
        <w:rPr>
          <w:rFonts w:cs="Arial"/>
          <w:sz w:val="16"/>
          <w:szCs w:val="16"/>
        </w:rPr>
      </w:pPr>
      <w:r w:rsidRPr="003F486D">
        <w:rPr>
          <w:rFonts w:cs="Arial"/>
          <w:i/>
          <w:sz w:val="16"/>
          <w:szCs w:val="24"/>
        </w:rPr>
        <w:t>(</w:t>
      </w:r>
      <w:r w:rsidRPr="00A022C5">
        <w:rPr>
          <w:i/>
          <w:sz w:val="16"/>
        </w:rPr>
        <w:t>Mitgliedstaaten der ARIPO (19):  Botswana, Gambia, Ghana, Kenia, Lesotho, Liberia, Malawi, Mosambik, Namibia, Ruanda, Sambia, Sao Tome und </w:t>
      </w:r>
      <w:proofErr w:type="spellStart"/>
      <w:r w:rsidRPr="00A022C5">
        <w:rPr>
          <w:i/>
          <w:sz w:val="16"/>
        </w:rPr>
        <w:t>Principe</w:t>
      </w:r>
      <w:proofErr w:type="spellEnd"/>
      <w:r w:rsidRPr="00A022C5">
        <w:rPr>
          <w:i/>
          <w:sz w:val="16"/>
        </w:rPr>
        <w:t>, Sierra Leone, Simbabwe, Somalia, Sudan, Swasiland, Uganda, Vereinigte Republik Tansania</w:t>
      </w:r>
      <w:r w:rsidRPr="003F486D">
        <w:rPr>
          <w:rFonts w:cs="Arial"/>
          <w:i/>
          <w:sz w:val="16"/>
          <w:szCs w:val="24"/>
        </w:rPr>
        <w:t>)</w:t>
      </w:r>
    </w:p>
    <w:p w:rsidR="008134A5" w:rsidRPr="003F486D" w:rsidRDefault="008134A5" w:rsidP="008134A5">
      <w:pPr>
        <w:rPr>
          <w:rFonts w:cs="Arial"/>
          <w:sz w:val="16"/>
          <w:szCs w:val="16"/>
        </w:rPr>
      </w:pPr>
    </w:p>
    <w:p w:rsidR="008134A5" w:rsidRPr="003F486D" w:rsidRDefault="008134A5" w:rsidP="008134A5">
      <w:pPr>
        <w:tabs>
          <w:tab w:val="left" w:pos="1560"/>
        </w:tabs>
        <w:spacing w:after="60"/>
        <w:rPr>
          <w:sz w:val="16"/>
          <w:u w:val="single"/>
        </w:rPr>
      </w:pPr>
    </w:p>
    <w:p w:rsidR="008134A5" w:rsidRPr="003F486D" w:rsidRDefault="008134A5" w:rsidP="008134A5">
      <w:pPr>
        <w:jc w:val="center"/>
        <w:rPr>
          <w:rFonts w:cs="Arial"/>
          <w:b/>
          <w:sz w:val="18"/>
          <w:szCs w:val="24"/>
        </w:rPr>
      </w:pPr>
      <w:r w:rsidRPr="003F486D">
        <w:rPr>
          <w:rFonts w:cs="Arial"/>
          <w:b/>
          <w:sz w:val="18"/>
          <w:szCs w:val="24"/>
        </w:rPr>
        <w:t>III.</w:t>
      </w:r>
      <w:r>
        <w:rPr>
          <w:rFonts w:cs="Arial"/>
          <w:b/>
          <w:sz w:val="18"/>
          <w:szCs w:val="24"/>
        </w:rPr>
        <w:t xml:space="preserve"> </w:t>
      </w:r>
      <w:r w:rsidRPr="00A022C5">
        <w:rPr>
          <w:b/>
          <w:sz w:val="18"/>
        </w:rPr>
        <w:t>Staaten, die im Hinblick auf Unterstützung bei der Ausarbeitung von Rechtsvorschrifte</w:t>
      </w:r>
      <w:r>
        <w:rPr>
          <w:b/>
          <w:sz w:val="18"/>
        </w:rPr>
        <w:t>n aufgrund des UPOV</w:t>
      </w:r>
      <w:r>
        <w:rPr>
          <w:b/>
          <w:sz w:val="18"/>
        </w:rPr>
        <w:noBreakHyphen/>
      </w:r>
      <w:r w:rsidRPr="00A022C5">
        <w:rPr>
          <w:b/>
          <w:sz w:val="18"/>
        </w:rPr>
        <w:t>Übereinkommens mit dem Verbandsbüro in Verbindung standen</w:t>
      </w:r>
    </w:p>
    <w:p w:rsidR="008134A5" w:rsidRPr="003F486D" w:rsidRDefault="008134A5" w:rsidP="008134A5">
      <w:pPr>
        <w:jc w:val="center"/>
        <w:rPr>
          <w:rFonts w:cs="Arial"/>
          <w:b/>
          <w:sz w:val="18"/>
          <w:szCs w:val="24"/>
        </w:rPr>
      </w:pPr>
    </w:p>
    <w:p w:rsidR="008134A5" w:rsidRPr="003F486D" w:rsidRDefault="008134A5" w:rsidP="008134A5">
      <w:pPr>
        <w:keepNext/>
        <w:rPr>
          <w:rFonts w:cs="Arial"/>
          <w:i/>
          <w:sz w:val="16"/>
          <w:szCs w:val="24"/>
        </w:rPr>
      </w:pPr>
      <w:r w:rsidRPr="006D0EC9">
        <w:rPr>
          <w:rFonts w:cs="Arial"/>
          <w:i/>
          <w:sz w:val="16"/>
          <w:szCs w:val="24"/>
        </w:rPr>
        <w:t>Staaten (2</w:t>
      </w:r>
      <w:r>
        <w:rPr>
          <w:rFonts w:cs="Arial"/>
          <w:i/>
          <w:sz w:val="16"/>
          <w:szCs w:val="24"/>
        </w:rPr>
        <w:t>5</w:t>
      </w:r>
      <w:r w:rsidRPr="006D0EC9">
        <w:rPr>
          <w:rFonts w:cs="Arial"/>
          <w:i/>
          <w:sz w:val="16"/>
          <w:szCs w:val="24"/>
        </w:rPr>
        <w:t>):</w:t>
      </w:r>
    </w:p>
    <w:p w:rsidR="008134A5" w:rsidRPr="003F486D" w:rsidRDefault="008134A5" w:rsidP="008134A5">
      <w:pPr>
        <w:keepNext/>
        <w:rPr>
          <w:rFonts w:cs="Arial"/>
          <w:sz w:val="10"/>
          <w:szCs w:val="24"/>
        </w:rPr>
      </w:pPr>
    </w:p>
    <w:p w:rsidR="008134A5" w:rsidRDefault="008134A5" w:rsidP="008134A5">
      <w:pPr>
        <w:rPr>
          <w:sz w:val="16"/>
        </w:rPr>
      </w:pPr>
      <w:r w:rsidRPr="00A022C5">
        <w:rPr>
          <w:sz w:val="16"/>
        </w:rPr>
        <w:t xml:space="preserve">Algerien, Bahrain, Barbados, Brunei Darussalam, Demokratische Volksrepublik Laos, </w:t>
      </w:r>
      <w:proofErr w:type="spellStart"/>
      <w:r w:rsidRPr="00A022C5">
        <w:rPr>
          <w:sz w:val="16"/>
        </w:rPr>
        <w:t>El</w:t>
      </w:r>
      <w:proofErr w:type="spellEnd"/>
      <w:r w:rsidRPr="00A022C5">
        <w:rPr>
          <w:sz w:val="16"/>
        </w:rPr>
        <w:t xml:space="preserve"> Salvador, Indonesien, Irak, </w:t>
      </w:r>
      <w:r>
        <w:rPr>
          <w:sz w:val="16"/>
        </w:rPr>
        <w:t xml:space="preserve">Jamaica, </w:t>
      </w:r>
      <w:r w:rsidRPr="00A022C5">
        <w:rPr>
          <w:sz w:val="16"/>
        </w:rPr>
        <w:t>Kambodscha, Kuba, Libyen,</w:t>
      </w:r>
      <w:r>
        <w:rPr>
          <w:sz w:val="16"/>
        </w:rPr>
        <w:t xml:space="preserve"> Liechtenstein,</w:t>
      </w:r>
      <w:r w:rsidRPr="00A022C5">
        <w:rPr>
          <w:sz w:val="16"/>
        </w:rPr>
        <w:t xml:space="preserve"> Mosambik, Myanmar, Namibia, Pakistan, Saudi-Arabien, Sambia, Sudan, Thailand, Tonga, Turkmenistan, Vereinigte Arabische Emirate und Zypern</w:t>
      </w:r>
    </w:p>
    <w:p w:rsidR="008134A5" w:rsidRPr="003F486D" w:rsidRDefault="008134A5" w:rsidP="008134A5">
      <w:pPr>
        <w:rPr>
          <w:rFonts w:cs="Arial"/>
          <w:sz w:val="16"/>
          <w:szCs w:val="24"/>
        </w:rPr>
      </w:pPr>
    </w:p>
    <w:p w:rsidR="008134A5" w:rsidRPr="003F486D" w:rsidRDefault="008134A5" w:rsidP="008134A5">
      <w:pPr>
        <w:keepNext/>
        <w:rPr>
          <w:rFonts w:cs="Arial"/>
          <w:i/>
          <w:sz w:val="16"/>
          <w:szCs w:val="24"/>
        </w:rPr>
      </w:pPr>
      <w:r w:rsidRPr="003F486D">
        <w:rPr>
          <w:rFonts w:cs="Arial"/>
          <w:i/>
          <w:sz w:val="16"/>
          <w:szCs w:val="24"/>
        </w:rPr>
        <w:t>Organisation (1):</w:t>
      </w:r>
    </w:p>
    <w:p w:rsidR="008134A5" w:rsidRPr="003F486D" w:rsidRDefault="008134A5" w:rsidP="008134A5">
      <w:pPr>
        <w:keepNext/>
        <w:rPr>
          <w:rFonts w:cs="Arial"/>
          <w:sz w:val="10"/>
          <w:szCs w:val="24"/>
        </w:rPr>
      </w:pPr>
    </w:p>
    <w:p w:rsidR="008134A5" w:rsidRPr="003F486D" w:rsidRDefault="008134A5" w:rsidP="008134A5">
      <w:pPr>
        <w:rPr>
          <w:rFonts w:cs="Arial"/>
          <w:sz w:val="16"/>
          <w:szCs w:val="24"/>
        </w:rPr>
      </w:pPr>
      <w:r w:rsidRPr="00A022C5">
        <w:rPr>
          <w:sz w:val="16"/>
        </w:rPr>
        <w:t>Entwicklungsgemeinschaft des südlichen Afrika</w:t>
      </w:r>
      <w:r w:rsidRPr="003F486D">
        <w:rPr>
          <w:rFonts w:cs="Arial"/>
          <w:sz w:val="16"/>
          <w:szCs w:val="24"/>
        </w:rPr>
        <w:t xml:space="preserve"> (SADC) </w:t>
      </w:r>
    </w:p>
    <w:p w:rsidR="008134A5" w:rsidRPr="003F486D" w:rsidRDefault="008134A5" w:rsidP="008134A5">
      <w:pPr>
        <w:rPr>
          <w:rFonts w:cs="Arial"/>
          <w:i/>
          <w:sz w:val="16"/>
          <w:szCs w:val="24"/>
        </w:rPr>
      </w:pPr>
      <w:r w:rsidRPr="003F486D">
        <w:rPr>
          <w:rFonts w:cs="Arial"/>
          <w:i/>
          <w:sz w:val="16"/>
          <w:szCs w:val="24"/>
        </w:rPr>
        <w:t>(</w:t>
      </w:r>
      <w:r w:rsidRPr="00A022C5">
        <w:rPr>
          <w:i/>
          <w:sz w:val="16"/>
        </w:rPr>
        <w:t>Mitgliedstaaten der SADC (15):  Angola, Botswana, Demokratische Republik Kongo, Lesotho, Madagaskar, Malawi, Mauritius, Mosambik, Namibia, Sambia, Seychellen, Simbabwe, Südafrika, Swasiland, Vereinigte Republik Tansania</w:t>
      </w:r>
      <w:r w:rsidRPr="003F486D">
        <w:rPr>
          <w:rFonts w:cs="Arial"/>
          <w:i/>
          <w:sz w:val="16"/>
          <w:szCs w:val="24"/>
        </w:rPr>
        <w:t>)</w:t>
      </w:r>
    </w:p>
    <w:p w:rsidR="008134A5" w:rsidRPr="003F486D" w:rsidRDefault="008134A5" w:rsidP="008134A5">
      <w:pPr>
        <w:rPr>
          <w:rFonts w:cs="Arial"/>
          <w:i/>
          <w:sz w:val="16"/>
          <w:szCs w:val="24"/>
        </w:rPr>
      </w:pPr>
    </w:p>
    <w:p w:rsidR="008134A5" w:rsidRPr="003F486D" w:rsidRDefault="008134A5" w:rsidP="008134A5">
      <w:pPr>
        <w:rPr>
          <w:rFonts w:cs="Arial"/>
          <w:snapToGrid w:val="0"/>
          <w:color w:val="000000"/>
        </w:rPr>
      </w:pPr>
    </w:p>
    <w:p w:rsidR="008134A5" w:rsidRPr="003F486D" w:rsidRDefault="008134A5" w:rsidP="008134A5">
      <w:pPr>
        <w:rPr>
          <w:rFonts w:cs="Arial"/>
          <w:snapToGrid w:val="0"/>
          <w:color w:val="000000"/>
        </w:rPr>
      </w:pPr>
    </w:p>
    <w:p w:rsidR="008134A5" w:rsidRPr="008134A5" w:rsidRDefault="008134A5" w:rsidP="008134A5">
      <w:pPr>
        <w:pStyle w:val="Endofdocument"/>
        <w:jc w:val="right"/>
        <w:rPr>
          <w:rFonts w:ascii="Arial" w:hAnsi="Arial" w:cs="Arial"/>
          <w:snapToGrid w:val="0"/>
          <w:color w:val="000000"/>
          <w:sz w:val="20"/>
          <w:lang w:val="de-DE"/>
        </w:rPr>
      </w:pPr>
      <w:r w:rsidRPr="008134A5">
        <w:rPr>
          <w:rFonts w:ascii="Arial" w:hAnsi="Arial" w:cs="Arial"/>
          <w:snapToGrid w:val="0"/>
          <w:color w:val="000000"/>
          <w:sz w:val="20"/>
          <w:lang w:val="de-DE"/>
        </w:rPr>
        <w:t>[Anhang II folgt]</w:t>
      </w:r>
    </w:p>
    <w:p w:rsidR="008134A5" w:rsidRPr="008134A5" w:rsidRDefault="008134A5" w:rsidP="008134A5">
      <w:pPr>
        <w:pStyle w:val="Endofdocument"/>
        <w:jc w:val="both"/>
        <w:rPr>
          <w:rFonts w:ascii="Arial" w:hAnsi="Arial" w:cs="Arial"/>
          <w:snapToGrid w:val="0"/>
          <w:color w:val="000000"/>
          <w:sz w:val="20"/>
          <w:lang w:val="de-DE"/>
        </w:rPr>
        <w:sectPr w:rsidR="008134A5" w:rsidRPr="008134A5" w:rsidSect="008134A5">
          <w:pgSz w:w="11907" w:h="16840" w:code="9"/>
          <w:pgMar w:top="510" w:right="1134" w:bottom="1134" w:left="1134" w:header="510" w:footer="624" w:gutter="0"/>
          <w:pgNumType w:start="2"/>
          <w:cols w:space="720"/>
          <w:titlePg/>
        </w:sectPr>
      </w:pPr>
    </w:p>
    <w:p w:rsidR="008134A5" w:rsidRPr="003F486D" w:rsidRDefault="008134A5" w:rsidP="008134A5">
      <w:pPr>
        <w:jc w:val="center"/>
      </w:pPr>
      <w:r w:rsidRPr="003F486D">
        <w:t xml:space="preserve">ANLAGE - ANHANG II </w:t>
      </w:r>
    </w:p>
    <w:p w:rsidR="008134A5" w:rsidRPr="003F486D" w:rsidRDefault="008134A5" w:rsidP="008134A5">
      <w:pPr>
        <w:jc w:val="center"/>
      </w:pPr>
    </w:p>
    <w:p w:rsidR="008134A5" w:rsidRPr="003F486D" w:rsidRDefault="008134A5" w:rsidP="008134A5">
      <w:pPr>
        <w:jc w:val="center"/>
      </w:pPr>
    </w:p>
    <w:p w:rsidR="008134A5" w:rsidRPr="003F486D" w:rsidRDefault="008134A5" w:rsidP="008134A5">
      <w:pPr>
        <w:jc w:val="center"/>
      </w:pPr>
      <w:r w:rsidRPr="003F486D">
        <w:t>VERFAHREN ZUR HAUSHALTSAUFSTELLUNG</w:t>
      </w:r>
    </w:p>
    <w:p w:rsidR="008134A5" w:rsidRPr="003F486D" w:rsidRDefault="008134A5" w:rsidP="008134A5">
      <w:pPr>
        <w:jc w:val="center"/>
      </w:pPr>
    </w:p>
    <w:p w:rsidR="008134A5" w:rsidRPr="003F486D" w:rsidRDefault="008134A5" w:rsidP="008134A5">
      <w:pPr>
        <w:jc w:val="center"/>
      </w:pPr>
    </w:p>
    <w:p w:rsidR="008134A5" w:rsidRPr="003F486D" w:rsidRDefault="008134A5" w:rsidP="008134A5">
      <w:pPr>
        <w:tabs>
          <w:tab w:val="left" w:pos="567"/>
        </w:tabs>
      </w:pPr>
      <w:r w:rsidRPr="003F486D">
        <w:t>1.</w:t>
      </w:r>
      <w:r w:rsidRPr="003F486D">
        <w:tab/>
        <w:t>Die Beschreibung der Verfahren zur Aufstellung des ordentlichen Haushaltsplans sieht die Kodifizierung und Klärung der Haushaltspraxis sowie die Rolle der verschiedenen Abschnitte in diesem Programm und Haushaltsplan vor.</w:t>
      </w:r>
      <w:r>
        <w:t xml:space="preserve"> </w:t>
      </w:r>
      <w:r w:rsidRPr="003F486D">
        <w:t xml:space="preserve">Der </w:t>
      </w:r>
      <w:proofErr w:type="spellStart"/>
      <w:r w:rsidRPr="003F486D">
        <w:t>Prozeß</w:t>
      </w:r>
      <w:proofErr w:type="spellEnd"/>
      <w:r w:rsidRPr="003F486D">
        <w:t xml:space="preserve"> der Haushaltsaufstellung beginnt mit dem angenommenen Haushaltsplan für die Rechnungsperiode 2016-2017</w:t>
      </w:r>
      <w:r>
        <w:t xml:space="preserve"> </w:t>
      </w:r>
      <w:r w:rsidRPr="003F486D">
        <w:t>und schließt mit dem vorgeschlagenen Haushaltsplan für die Rechnungsperiode 2018-2019, indem die Veränderung der Mittel zwischen dem Haushaltsplan für die Rechnungsperiode 2016-2017</w:t>
      </w:r>
      <w:r>
        <w:t xml:space="preserve"> </w:t>
      </w:r>
      <w:r w:rsidRPr="003F486D">
        <w:t xml:space="preserve">und dem vorgeschlagenen Haushaltsplan für die Rechnungsperiode </w:t>
      </w:r>
      <w:r>
        <w:t>2018</w:t>
      </w:r>
      <w:r>
        <w:noBreakHyphen/>
      </w:r>
      <w:r w:rsidRPr="003F486D">
        <w:t xml:space="preserve">2019 einbezogen wird. Tabelle 4 </w:t>
      </w:r>
      <w:proofErr w:type="spellStart"/>
      <w:r w:rsidRPr="003F486D">
        <w:t>faßt</w:t>
      </w:r>
      <w:proofErr w:type="spellEnd"/>
      <w:r w:rsidRPr="003F486D">
        <w:t xml:space="preserve"> die in diesem Anhang I erörterten Hauptindikatoren zusammen.</w:t>
      </w:r>
    </w:p>
    <w:p w:rsidR="008134A5" w:rsidRPr="003F486D" w:rsidRDefault="008134A5" w:rsidP="008134A5"/>
    <w:p w:rsidR="008134A5" w:rsidRPr="003F486D" w:rsidRDefault="008134A5" w:rsidP="008134A5">
      <w:pPr>
        <w:tabs>
          <w:tab w:val="left" w:pos="567"/>
        </w:tabs>
      </w:pPr>
      <w:r w:rsidRPr="003F486D">
        <w:t>2.</w:t>
      </w:r>
      <w:r w:rsidRPr="003F486D">
        <w:tab/>
        <w:t>Haushaltsplan 2016-2017:</w:t>
      </w:r>
      <w:r>
        <w:t xml:space="preserve"> </w:t>
      </w:r>
      <w:r w:rsidRPr="003F486D">
        <w:t xml:space="preserve">Der Ausgangspunkt für den Haushaltsplan ist in Dokument C/49/4 </w:t>
      </w:r>
      <w:proofErr w:type="spellStart"/>
      <w:r w:rsidRPr="003F486D">
        <w:t>Rev</w:t>
      </w:r>
      <w:proofErr w:type="spellEnd"/>
      <w:r w:rsidRPr="003F486D">
        <w:t>. dargelegt.</w:t>
      </w:r>
    </w:p>
    <w:p w:rsidR="008134A5" w:rsidRPr="003F486D" w:rsidRDefault="008134A5" w:rsidP="008134A5"/>
    <w:p w:rsidR="008134A5" w:rsidRPr="003F486D" w:rsidRDefault="008134A5" w:rsidP="008134A5">
      <w:pPr>
        <w:tabs>
          <w:tab w:val="left" w:pos="567"/>
        </w:tabs>
      </w:pPr>
      <w:r w:rsidRPr="003F486D">
        <w:t>3.</w:t>
      </w:r>
      <w:r w:rsidRPr="003F486D">
        <w:tab/>
        <w:t>Vorgeschlagener Haushaltsplan 2018-2019:</w:t>
      </w:r>
      <w:r>
        <w:t xml:space="preserve"> </w:t>
      </w:r>
      <w:r w:rsidRPr="003F486D">
        <w:t>Der vorgeschlagene Haushaltsplan ist das Ergebnis der Addition der Veränderung der Mittel gegenüber dem Haushaltsplan 2016-2017 und der darauffolgenden Anpassungen der Ausgabenposten gemäß den UPOV-Prioritäten.</w:t>
      </w:r>
    </w:p>
    <w:p w:rsidR="008134A5" w:rsidRPr="003F486D" w:rsidRDefault="008134A5" w:rsidP="008134A5"/>
    <w:p w:rsidR="008134A5" w:rsidRPr="003F486D" w:rsidRDefault="008134A5" w:rsidP="008134A5">
      <w:pPr>
        <w:tabs>
          <w:tab w:val="left" w:pos="567"/>
        </w:tabs>
      </w:pPr>
      <w:r w:rsidRPr="003F486D">
        <w:t>4.</w:t>
      </w:r>
      <w:r w:rsidRPr="003F486D">
        <w:tab/>
        <w:t>Ein Mittelplan über zehn Jahre ist in Tabelle 9 dieses Dokuments wiedergegeben, um einen globalen Finanzüberblick, einschließlich der Haushaltsvoranschläge, der verfügbaren Mittel und der Bewegungen der Reserven, zu vermitteln. Dieser Mittelplan soll bei der Einschätzung der finanziellen Nachhaltigkeit des Verbandes auf mittlere Sicht behilflich sein.</w:t>
      </w:r>
    </w:p>
    <w:p w:rsidR="008134A5" w:rsidRPr="003F486D" w:rsidRDefault="008134A5" w:rsidP="008134A5"/>
    <w:p w:rsidR="008134A5" w:rsidRPr="003F486D" w:rsidRDefault="008134A5" w:rsidP="008134A5"/>
    <w:p w:rsidR="008134A5" w:rsidRPr="003F486D" w:rsidRDefault="008134A5" w:rsidP="008134A5"/>
    <w:p w:rsidR="008134A5" w:rsidRPr="008134A5" w:rsidRDefault="008134A5" w:rsidP="008134A5">
      <w:pPr>
        <w:pStyle w:val="Endofdocument"/>
        <w:jc w:val="right"/>
        <w:rPr>
          <w:rFonts w:ascii="Arial" w:hAnsi="Arial" w:cs="Arial"/>
          <w:snapToGrid w:val="0"/>
          <w:color w:val="000000"/>
          <w:sz w:val="20"/>
          <w:lang w:val="de-DE"/>
        </w:rPr>
      </w:pPr>
      <w:r w:rsidRPr="008134A5">
        <w:rPr>
          <w:rFonts w:ascii="Arial" w:hAnsi="Arial"/>
          <w:snapToGrid w:val="0"/>
          <w:color w:val="000000"/>
          <w:sz w:val="20"/>
          <w:lang w:val="de-DE"/>
        </w:rPr>
        <w:t>[Anhang III folgt]</w:t>
      </w:r>
    </w:p>
    <w:p w:rsidR="008134A5" w:rsidRPr="003F486D" w:rsidRDefault="008134A5" w:rsidP="008134A5"/>
    <w:p w:rsidR="008134A5" w:rsidRPr="003F486D" w:rsidRDefault="008134A5" w:rsidP="008134A5"/>
    <w:p w:rsidR="008134A5" w:rsidRPr="003F486D" w:rsidRDefault="008134A5" w:rsidP="008134A5"/>
    <w:p w:rsidR="008134A5" w:rsidRPr="003F486D" w:rsidRDefault="008134A5" w:rsidP="008134A5"/>
    <w:p w:rsidR="008134A5" w:rsidRPr="003F486D" w:rsidRDefault="008134A5" w:rsidP="008134A5">
      <w:pPr>
        <w:sectPr w:rsidR="008134A5" w:rsidRPr="003F486D" w:rsidSect="008134A5">
          <w:headerReference w:type="first" r:id="rId33"/>
          <w:pgSz w:w="11907" w:h="16840" w:code="9"/>
          <w:pgMar w:top="510" w:right="1134" w:bottom="1134" w:left="1134" w:header="510" w:footer="624" w:gutter="0"/>
          <w:pgNumType w:start="2"/>
          <w:cols w:space="720"/>
          <w:titlePg/>
        </w:sectPr>
      </w:pPr>
    </w:p>
    <w:p w:rsidR="008134A5" w:rsidRPr="003F486D" w:rsidRDefault="008134A5" w:rsidP="008134A5">
      <w:pPr>
        <w:jc w:val="center"/>
      </w:pPr>
      <w:r w:rsidRPr="003F486D">
        <w:t>ANLAGE - ANHANG III</w:t>
      </w:r>
    </w:p>
    <w:p w:rsidR="008134A5" w:rsidRPr="003F486D" w:rsidRDefault="008134A5" w:rsidP="008134A5">
      <w:pPr>
        <w:jc w:val="center"/>
      </w:pPr>
    </w:p>
    <w:p w:rsidR="008134A5" w:rsidRDefault="008134A5" w:rsidP="008134A5">
      <w:pPr>
        <w:jc w:val="center"/>
      </w:pPr>
      <w:r w:rsidRPr="003F486D">
        <w:t>BEITRÄGE DER VERBANDSMITGLIEDER</w:t>
      </w:r>
    </w:p>
    <w:p w:rsidR="008134A5" w:rsidRDefault="002C579F" w:rsidP="008134A5">
      <w:pPr>
        <w:jc w:val="center"/>
      </w:pPr>
      <w:r>
        <w:t>Z</w:t>
      </w:r>
      <w:r w:rsidRPr="003F486D">
        <w:t xml:space="preserve">UM </w:t>
      </w:r>
      <w:r w:rsidR="008134A5" w:rsidRPr="003F486D">
        <w:t xml:space="preserve">31. </w:t>
      </w:r>
      <w:r>
        <w:t xml:space="preserve">JULI </w:t>
      </w:r>
      <w:r w:rsidR="008134A5" w:rsidRPr="003F486D">
        <w:t>2017</w:t>
      </w:r>
    </w:p>
    <w:p w:rsidR="008134A5" w:rsidRPr="003F486D" w:rsidRDefault="008134A5" w:rsidP="008134A5">
      <w:pPr>
        <w:jc w:val="center"/>
        <w:rPr>
          <w:caps/>
        </w:rPr>
      </w:pPr>
      <w:r w:rsidRPr="003F486D">
        <w:t>(in Schweizer Franken)</w:t>
      </w:r>
    </w:p>
    <w:p w:rsidR="008134A5" w:rsidRPr="003F486D" w:rsidRDefault="008134A5" w:rsidP="008134A5">
      <w:pPr>
        <w:jc w:val="center"/>
      </w:pPr>
    </w:p>
    <w:p w:rsidR="008134A5" w:rsidRPr="003F486D" w:rsidRDefault="008134A5" w:rsidP="008134A5">
      <w:pPr>
        <w:jc w:val="center"/>
      </w:pPr>
    </w:p>
    <w:tbl>
      <w:tblPr>
        <w:tblW w:w="9680" w:type="dxa"/>
        <w:tblInd w:w="30" w:type="dxa"/>
        <w:tblLayout w:type="fixed"/>
        <w:tblCellMar>
          <w:top w:w="57" w:type="dxa"/>
          <w:left w:w="113" w:type="dxa"/>
          <w:bottom w:w="28" w:type="dxa"/>
          <w:right w:w="57" w:type="dxa"/>
        </w:tblCellMar>
        <w:tblLook w:val="0000" w:firstRow="0" w:lastRow="0" w:firstColumn="0" w:lastColumn="0" w:noHBand="0" w:noVBand="0"/>
      </w:tblPr>
      <w:tblGrid>
        <w:gridCol w:w="1218"/>
        <w:gridCol w:w="1275"/>
        <w:gridCol w:w="3036"/>
        <w:gridCol w:w="1032"/>
        <w:gridCol w:w="1560"/>
        <w:gridCol w:w="1559"/>
      </w:tblGrid>
      <w:tr w:rsidR="008134A5" w:rsidRPr="00FB02F9" w:rsidTr="008134A5">
        <w:trPr>
          <w:cantSplit/>
          <w:tblHeader/>
        </w:trPr>
        <w:tc>
          <w:tcPr>
            <w:tcW w:w="1218" w:type="dxa"/>
            <w:tcBorders>
              <w:top w:val="single" w:sz="8" w:space="0" w:color="auto"/>
              <w:bottom w:val="single" w:sz="8" w:space="0" w:color="auto"/>
            </w:tcBorders>
            <w:vAlign w:val="bottom"/>
          </w:tcPr>
          <w:p w:rsidR="008134A5" w:rsidRPr="00FB02F9" w:rsidRDefault="008134A5" w:rsidP="008134A5">
            <w:pPr>
              <w:jc w:val="center"/>
              <w:rPr>
                <w:rFonts w:cs="Arial"/>
                <w:sz w:val="18"/>
                <w:szCs w:val="18"/>
              </w:rPr>
            </w:pPr>
            <w:bookmarkStart w:id="6" w:name="_Hlk490552649"/>
            <w:r w:rsidRPr="00FB02F9">
              <w:rPr>
                <w:rFonts w:cs="Arial"/>
                <w:sz w:val="18"/>
                <w:szCs w:val="18"/>
              </w:rPr>
              <w:t>2016</w:t>
            </w:r>
            <w:r w:rsidRPr="00FB02F9">
              <w:rPr>
                <w:rFonts w:cs="Arial"/>
                <w:sz w:val="18"/>
                <w:szCs w:val="18"/>
              </w:rPr>
              <w:br/>
            </w:r>
            <w:r w:rsidRPr="00FB02F9">
              <w:rPr>
                <w:rFonts w:cs="Arial"/>
                <w:snapToGrid w:val="0"/>
                <w:sz w:val="18"/>
                <w:szCs w:val="18"/>
              </w:rPr>
              <w:t>In Rechnung gestellt</w:t>
            </w:r>
          </w:p>
        </w:tc>
        <w:tc>
          <w:tcPr>
            <w:tcW w:w="1275" w:type="dxa"/>
            <w:tcBorders>
              <w:top w:val="single" w:sz="8" w:space="0" w:color="auto"/>
              <w:bottom w:val="single" w:sz="8" w:space="0" w:color="auto"/>
            </w:tcBorders>
            <w:vAlign w:val="bottom"/>
          </w:tcPr>
          <w:p w:rsidR="008134A5" w:rsidRPr="00FB02F9" w:rsidRDefault="008134A5" w:rsidP="008134A5">
            <w:pPr>
              <w:jc w:val="center"/>
              <w:rPr>
                <w:rFonts w:cs="Arial"/>
                <w:sz w:val="18"/>
                <w:szCs w:val="18"/>
              </w:rPr>
            </w:pPr>
            <w:r w:rsidRPr="00FB02F9">
              <w:rPr>
                <w:rFonts w:cs="Arial"/>
                <w:sz w:val="18"/>
                <w:szCs w:val="18"/>
              </w:rPr>
              <w:t>2017</w:t>
            </w:r>
            <w:r w:rsidRPr="00FB02F9">
              <w:rPr>
                <w:rFonts w:cs="Arial"/>
                <w:sz w:val="18"/>
                <w:szCs w:val="18"/>
              </w:rPr>
              <w:br/>
            </w:r>
            <w:r w:rsidRPr="00FB02F9">
              <w:rPr>
                <w:rFonts w:cs="Arial"/>
                <w:snapToGrid w:val="0"/>
                <w:sz w:val="18"/>
                <w:szCs w:val="18"/>
              </w:rPr>
              <w:t>In Rechnung gestellt</w:t>
            </w:r>
          </w:p>
        </w:tc>
        <w:tc>
          <w:tcPr>
            <w:tcW w:w="3036" w:type="dxa"/>
            <w:tcBorders>
              <w:top w:val="single" w:sz="8" w:space="0" w:color="auto"/>
              <w:bottom w:val="single" w:sz="8" w:space="0" w:color="auto"/>
            </w:tcBorders>
            <w:vAlign w:val="bottom"/>
          </w:tcPr>
          <w:p w:rsidR="008134A5" w:rsidRPr="00FB02F9" w:rsidRDefault="008134A5" w:rsidP="008134A5">
            <w:pPr>
              <w:jc w:val="center"/>
              <w:rPr>
                <w:rFonts w:cs="Arial"/>
                <w:snapToGrid w:val="0"/>
                <w:sz w:val="18"/>
                <w:szCs w:val="18"/>
              </w:rPr>
            </w:pPr>
            <w:r w:rsidRPr="00FB02F9">
              <w:rPr>
                <w:rFonts w:cs="Arial"/>
                <w:snapToGrid w:val="0"/>
                <w:sz w:val="18"/>
                <w:szCs w:val="18"/>
              </w:rPr>
              <w:t>Mitglieder</w:t>
            </w:r>
          </w:p>
        </w:tc>
        <w:tc>
          <w:tcPr>
            <w:tcW w:w="1032" w:type="dxa"/>
            <w:tcBorders>
              <w:top w:val="single" w:sz="8" w:space="0" w:color="auto"/>
              <w:bottom w:val="single" w:sz="8" w:space="0" w:color="auto"/>
            </w:tcBorders>
            <w:vAlign w:val="bottom"/>
          </w:tcPr>
          <w:p w:rsidR="008134A5" w:rsidRPr="00FB02F9" w:rsidRDefault="008134A5" w:rsidP="008134A5">
            <w:pPr>
              <w:jc w:val="center"/>
              <w:rPr>
                <w:rFonts w:cs="Arial"/>
                <w:snapToGrid w:val="0"/>
                <w:sz w:val="18"/>
                <w:szCs w:val="18"/>
              </w:rPr>
            </w:pPr>
            <w:r w:rsidRPr="00FB02F9">
              <w:rPr>
                <w:rFonts w:cs="Arial"/>
                <w:snapToGrid w:val="0"/>
                <w:sz w:val="18"/>
                <w:szCs w:val="18"/>
              </w:rPr>
              <w:t>Beitrags-einheiten</w:t>
            </w:r>
          </w:p>
        </w:tc>
        <w:tc>
          <w:tcPr>
            <w:tcW w:w="1560" w:type="dxa"/>
            <w:tcBorders>
              <w:top w:val="single" w:sz="8" w:space="0" w:color="auto"/>
              <w:bottom w:val="single" w:sz="8" w:space="0" w:color="auto"/>
            </w:tcBorders>
            <w:vAlign w:val="bottom"/>
          </w:tcPr>
          <w:p w:rsidR="008134A5" w:rsidRPr="00FB02F9" w:rsidRDefault="008134A5" w:rsidP="008134A5">
            <w:pPr>
              <w:jc w:val="center"/>
              <w:rPr>
                <w:rFonts w:cs="Arial"/>
                <w:sz w:val="18"/>
                <w:szCs w:val="18"/>
              </w:rPr>
            </w:pPr>
            <w:r w:rsidRPr="00FB02F9">
              <w:rPr>
                <w:rFonts w:cs="Arial"/>
                <w:sz w:val="18"/>
                <w:szCs w:val="18"/>
              </w:rPr>
              <w:t>2018</w:t>
            </w:r>
            <w:r w:rsidRPr="00FB02F9">
              <w:rPr>
                <w:rFonts w:cs="Arial"/>
                <w:sz w:val="18"/>
                <w:szCs w:val="18"/>
              </w:rPr>
              <w:br/>
              <w:t>Für Rechnungs-stellung geschätzt</w:t>
            </w:r>
          </w:p>
        </w:tc>
        <w:tc>
          <w:tcPr>
            <w:tcW w:w="1559" w:type="dxa"/>
            <w:tcBorders>
              <w:top w:val="single" w:sz="8" w:space="0" w:color="auto"/>
              <w:bottom w:val="single" w:sz="8" w:space="0" w:color="auto"/>
            </w:tcBorders>
            <w:vAlign w:val="bottom"/>
          </w:tcPr>
          <w:p w:rsidR="008134A5" w:rsidRPr="00FB02F9" w:rsidRDefault="008134A5" w:rsidP="008134A5">
            <w:pPr>
              <w:jc w:val="center"/>
              <w:rPr>
                <w:rFonts w:cs="Arial"/>
                <w:sz w:val="18"/>
                <w:szCs w:val="18"/>
              </w:rPr>
            </w:pPr>
            <w:r w:rsidRPr="00FB02F9">
              <w:rPr>
                <w:rFonts w:cs="Arial"/>
                <w:sz w:val="18"/>
                <w:szCs w:val="18"/>
              </w:rPr>
              <w:t>2019</w:t>
            </w:r>
            <w:r w:rsidRPr="00FB02F9">
              <w:rPr>
                <w:rFonts w:cs="Arial"/>
                <w:sz w:val="18"/>
                <w:szCs w:val="18"/>
              </w:rPr>
              <w:br/>
              <w:t>Für Rechnungs-stellung geschätzt</w:t>
            </w:r>
          </w:p>
        </w:tc>
      </w:tr>
      <w:tr w:rsidR="008134A5" w:rsidRPr="00FB02F9" w:rsidTr="008134A5">
        <w:trPr>
          <w:cantSplit/>
          <w:tblHeader/>
        </w:trPr>
        <w:tc>
          <w:tcPr>
            <w:tcW w:w="1218" w:type="dxa"/>
            <w:tcBorders>
              <w:top w:val="single" w:sz="8" w:space="0" w:color="auto"/>
            </w:tcBorders>
          </w:tcPr>
          <w:p w:rsidR="008134A5" w:rsidRPr="00FB02F9" w:rsidRDefault="008134A5" w:rsidP="008134A5">
            <w:pPr>
              <w:jc w:val="right"/>
              <w:rPr>
                <w:rFonts w:cs="Arial"/>
                <w:snapToGrid w:val="0"/>
                <w:color w:val="000000"/>
                <w:sz w:val="10"/>
                <w:szCs w:val="18"/>
              </w:rPr>
            </w:pPr>
          </w:p>
        </w:tc>
        <w:tc>
          <w:tcPr>
            <w:tcW w:w="1275" w:type="dxa"/>
            <w:tcBorders>
              <w:top w:val="single" w:sz="8" w:space="0" w:color="auto"/>
            </w:tcBorders>
          </w:tcPr>
          <w:p w:rsidR="008134A5" w:rsidRPr="00FB02F9" w:rsidRDefault="008134A5" w:rsidP="008134A5">
            <w:pPr>
              <w:jc w:val="right"/>
              <w:rPr>
                <w:rFonts w:cs="Arial"/>
                <w:snapToGrid w:val="0"/>
                <w:color w:val="000000"/>
                <w:sz w:val="10"/>
                <w:szCs w:val="18"/>
              </w:rPr>
            </w:pPr>
          </w:p>
        </w:tc>
        <w:tc>
          <w:tcPr>
            <w:tcW w:w="3036" w:type="dxa"/>
            <w:tcBorders>
              <w:top w:val="single" w:sz="8" w:space="0" w:color="auto"/>
            </w:tcBorders>
          </w:tcPr>
          <w:p w:rsidR="008134A5" w:rsidRPr="00FB02F9" w:rsidRDefault="008134A5" w:rsidP="008134A5">
            <w:pPr>
              <w:rPr>
                <w:rFonts w:cs="Arial"/>
                <w:snapToGrid w:val="0"/>
                <w:color w:val="000000"/>
                <w:sz w:val="10"/>
                <w:szCs w:val="18"/>
              </w:rPr>
            </w:pPr>
          </w:p>
        </w:tc>
        <w:tc>
          <w:tcPr>
            <w:tcW w:w="1032" w:type="dxa"/>
            <w:tcBorders>
              <w:top w:val="single" w:sz="8" w:space="0" w:color="auto"/>
            </w:tcBorders>
          </w:tcPr>
          <w:p w:rsidR="008134A5" w:rsidRPr="00FB02F9" w:rsidRDefault="008134A5" w:rsidP="008134A5">
            <w:pPr>
              <w:tabs>
                <w:tab w:val="decimal" w:pos="482"/>
              </w:tabs>
              <w:jc w:val="left"/>
              <w:rPr>
                <w:rFonts w:cs="Arial"/>
                <w:snapToGrid w:val="0"/>
                <w:color w:val="000000"/>
                <w:sz w:val="10"/>
                <w:szCs w:val="18"/>
              </w:rPr>
            </w:pPr>
          </w:p>
        </w:tc>
        <w:tc>
          <w:tcPr>
            <w:tcW w:w="1560" w:type="dxa"/>
            <w:tcBorders>
              <w:top w:val="single" w:sz="8" w:space="0" w:color="auto"/>
            </w:tcBorders>
          </w:tcPr>
          <w:p w:rsidR="008134A5" w:rsidRPr="00FB02F9" w:rsidRDefault="008134A5" w:rsidP="008134A5">
            <w:pPr>
              <w:jc w:val="right"/>
              <w:rPr>
                <w:rFonts w:cs="Arial"/>
                <w:snapToGrid w:val="0"/>
                <w:color w:val="000000"/>
                <w:sz w:val="10"/>
                <w:szCs w:val="18"/>
              </w:rPr>
            </w:pPr>
          </w:p>
        </w:tc>
        <w:tc>
          <w:tcPr>
            <w:tcW w:w="1559" w:type="dxa"/>
            <w:tcBorders>
              <w:top w:val="single" w:sz="8" w:space="0" w:color="auto"/>
            </w:tcBorders>
          </w:tcPr>
          <w:p w:rsidR="008134A5" w:rsidRPr="00FB02F9" w:rsidRDefault="008134A5" w:rsidP="008134A5">
            <w:pPr>
              <w:jc w:val="right"/>
              <w:rPr>
                <w:rFonts w:cs="Arial"/>
                <w:snapToGrid w:val="0"/>
                <w:color w:val="000000"/>
                <w:sz w:val="10"/>
                <w:szCs w:val="18"/>
              </w:rPr>
            </w:pPr>
          </w:p>
        </w:tc>
      </w:tr>
      <w:tr w:rsidR="008134A5" w:rsidRPr="00FB02F9" w:rsidTr="008134A5">
        <w:trPr>
          <w:cantSplit/>
        </w:trPr>
        <w:tc>
          <w:tcPr>
            <w:tcW w:w="1218" w:type="dxa"/>
          </w:tcPr>
          <w:p w:rsidR="008134A5" w:rsidRPr="00FB02F9" w:rsidRDefault="008134A5" w:rsidP="008134A5">
            <w:pPr>
              <w:ind w:right="170"/>
              <w:jc w:val="right"/>
              <w:rPr>
                <w:rFonts w:cs="Arial"/>
                <w:snapToGrid w:val="0"/>
                <w:color w:val="000000"/>
                <w:sz w:val="18"/>
                <w:szCs w:val="18"/>
              </w:rPr>
            </w:pPr>
            <w:bookmarkStart w:id="7" w:name="_Hlk173836680"/>
            <w:r w:rsidRPr="00FB02F9">
              <w:rPr>
                <w:rFonts w:cs="Arial"/>
                <w:snapToGrid w:val="0"/>
                <w:color w:val="000000"/>
                <w:sz w:val="18"/>
                <w:szCs w:val="18"/>
              </w:rPr>
              <w:t>10,728</w:t>
            </w:r>
          </w:p>
        </w:tc>
        <w:tc>
          <w:tcPr>
            <w:tcW w:w="1275" w:type="dxa"/>
          </w:tcPr>
          <w:p w:rsidR="008134A5" w:rsidRPr="00FB02F9" w:rsidRDefault="008134A5" w:rsidP="00EB68A6">
            <w:pPr>
              <w:ind w:right="170"/>
              <w:jc w:val="right"/>
              <w:rPr>
                <w:rFonts w:cs="Arial"/>
                <w:snapToGrid w:val="0"/>
                <w:color w:val="000000"/>
                <w:sz w:val="18"/>
                <w:szCs w:val="18"/>
              </w:rPr>
            </w:pPr>
            <w:r w:rsidRPr="00FB02F9">
              <w:rPr>
                <w:rFonts w:cs="Arial"/>
                <w:snapToGrid w:val="0"/>
                <w:color w:val="000000"/>
                <w:sz w:val="18"/>
                <w:szCs w:val="18"/>
              </w:rPr>
              <w:t>10,</w:t>
            </w:r>
            <w:r w:rsidR="00EB68A6">
              <w:rPr>
                <w:rFonts w:cs="Arial"/>
                <w:snapToGrid w:val="0"/>
                <w:color w:val="000000"/>
                <w:sz w:val="18"/>
                <w:szCs w:val="18"/>
              </w:rPr>
              <w:t>543</w:t>
            </w:r>
          </w:p>
        </w:tc>
        <w:tc>
          <w:tcPr>
            <w:tcW w:w="3036" w:type="dxa"/>
          </w:tcPr>
          <w:p w:rsidR="008134A5" w:rsidRPr="00FB02F9" w:rsidRDefault="008134A5" w:rsidP="008134A5">
            <w:pPr>
              <w:jc w:val="left"/>
              <w:rPr>
                <w:rFonts w:cs="Arial"/>
                <w:snapToGrid w:val="0"/>
                <w:color w:val="000000"/>
                <w:sz w:val="18"/>
                <w:szCs w:val="18"/>
              </w:rPr>
            </w:pPr>
            <w:r w:rsidRPr="00FB02F9">
              <w:rPr>
                <w:rFonts w:cs="Arial"/>
                <w:snapToGrid w:val="0"/>
                <w:color w:val="000000"/>
                <w:sz w:val="18"/>
                <w:szCs w:val="18"/>
              </w:rPr>
              <w:t>Afrikanische Organisation für geistiges Eigentum (OAPI)</w:t>
            </w:r>
          </w:p>
        </w:tc>
        <w:tc>
          <w:tcPr>
            <w:tcW w:w="1032" w:type="dxa"/>
          </w:tcPr>
          <w:p w:rsidR="008134A5" w:rsidRPr="00FB02F9" w:rsidRDefault="008134A5" w:rsidP="002A18A8">
            <w:pPr>
              <w:ind w:right="284"/>
              <w:jc w:val="right"/>
              <w:rPr>
                <w:rFonts w:cs="Arial"/>
                <w:snapToGrid w:val="0"/>
                <w:color w:val="000000"/>
                <w:sz w:val="18"/>
                <w:szCs w:val="18"/>
              </w:rPr>
            </w:pPr>
            <w:r w:rsidRPr="00FB02F9">
              <w:rPr>
                <w:rFonts w:cs="Arial"/>
                <w:snapToGrid w:val="0"/>
                <w:color w:val="000000"/>
                <w:sz w:val="18"/>
                <w:szCs w:val="18"/>
              </w:rPr>
              <w:t>0.20</w:t>
            </w:r>
          </w:p>
        </w:tc>
        <w:tc>
          <w:tcPr>
            <w:tcW w:w="1560" w:type="dxa"/>
          </w:tcPr>
          <w:p w:rsidR="008134A5" w:rsidRPr="00FB02F9" w:rsidRDefault="008134A5" w:rsidP="008134A5">
            <w:pPr>
              <w:ind w:right="284"/>
              <w:jc w:val="right"/>
              <w:rPr>
                <w:rFonts w:cs="Arial"/>
                <w:snapToGrid w:val="0"/>
                <w:color w:val="000000"/>
                <w:sz w:val="18"/>
                <w:szCs w:val="18"/>
              </w:rPr>
            </w:pPr>
            <w:r w:rsidRPr="00FB02F9">
              <w:rPr>
                <w:rFonts w:cs="Arial"/>
                <w:snapToGrid w:val="0"/>
                <w:color w:val="000000"/>
                <w:sz w:val="18"/>
                <w:szCs w:val="18"/>
              </w:rPr>
              <w:t>10,728</w:t>
            </w:r>
          </w:p>
        </w:tc>
        <w:tc>
          <w:tcPr>
            <w:tcW w:w="1559" w:type="dxa"/>
          </w:tcPr>
          <w:p w:rsidR="008134A5" w:rsidRPr="00FB02F9" w:rsidRDefault="008134A5" w:rsidP="008134A5">
            <w:pPr>
              <w:ind w:right="284"/>
              <w:jc w:val="right"/>
              <w:rPr>
                <w:rFonts w:cs="Arial"/>
                <w:snapToGrid w:val="0"/>
                <w:color w:val="000000"/>
                <w:sz w:val="18"/>
                <w:szCs w:val="18"/>
              </w:rPr>
            </w:pPr>
            <w:r w:rsidRPr="00FB02F9">
              <w:rPr>
                <w:rFonts w:cs="Arial"/>
                <w:snapToGrid w:val="0"/>
                <w:color w:val="000000"/>
                <w:sz w:val="18"/>
                <w:szCs w:val="18"/>
              </w:rPr>
              <w:t xml:space="preserve">10,728 </w:t>
            </w:r>
          </w:p>
        </w:tc>
      </w:tr>
      <w:bookmarkEnd w:id="7"/>
      <w:tr w:rsidR="008134A5" w:rsidRPr="00FB02F9" w:rsidTr="008134A5">
        <w:trPr>
          <w:cantSplit/>
        </w:trPr>
        <w:tc>
          <w:tcPr>
            <w:tcW w:w="1218" w:type="dxa"/>
          </w:tcPr>
          <w:p w:rsidR="008134A5" w:rsidRPr="00FB02F9" w:rsidRDefault="008134A5" w:rsidP="008134A5">
            <w:pPr>
              <w:ind w:right="170"/>
              <w:jc w:val="right"/>
              <w:rPr>
                <w:rFonts w:cs="Arial"/>
                <w:snapToGrid w:val="0"/>
                <w:color w:val="000000"/>
                <w:sz w:val="18"/>
                <w:szCs w:val="18"/>
              </w:rPr>
            </w:pPr>
            <w:r w:rsidRPr="00FB02F9">
              <w:rPr>
                <w:rFonts w:cs="Arial"/>
                <w:snapToGrid w:val="0"/>
                <w:color w:val="000000"/>
                <w:sz w:val="18"/>
                <w:szCs w:val="18"/>
              </w:rPr>
              <w:t>10,728</w:t>
            </w:r>
          </w:p>
        </w:tc>
        <w:tc>
          <w:tcPr>
            <w:tcW w:w="1275" w:type="dxa"/>
          </w:tcPr>
          <w:p w:rsidR="008134A5" w:rsidRPr="00FB02F9" w:rsidRDefault="008134A5" w:rsidP="008134A5">
            <w:pPr>
              <w:ind w:right="170"/>
              <w:jc w:val="right"/>
              <w:rPr>
                <w:rFonts w:cs="Arial"/>
                <w:snapToGrid w:val="0"/>
                <w:color w:val="000000"/>
                <w:sz w:val="18"/>
                <w:szCs w:val="18"/>
              </w:rPr>
            </w:pPr>
            <w:r w:rsidRPr="00FB02F9">
              <w:rPr>
                <w:rFonts w:cs="Arial"/>
                <w:snapToGrid w:val="0"/>
                <w:color w:val="000000"/>
                <w:sz w:val="18"/>
                <w:szCs w:val="18"/>
              </w:rPr>
              <w:t>10,728</w:t>
            </w:r>
          </w:p>
        </w:tc>
        <w:tc>
          <w:tcPr>
            <w:tcW w:w="3036" w:type="dxa"/>
          </w:tcPr>
          <w:p w:rsidR="008134A5" w:rsidRPr="00FB02F9" w:rsidRDefault="008134A5" w:rsidP="008134A5">
            <w:pPr>
              <w:jc w:val="left"/>
              <w:rPr>
                <w:rFonts w:cs="Arial"/>
                <w:snapToGrid w:val="0"/>
                <w:color w:val="000000"/>
                <w:sz w:val="18"/>
                <w:szCs w:val="18"/>
              </w:rPr>
            </w:pPr>
            <w:r w:rsidRPr="00FB02F9">
              <w:rPr>
                <w:rFonts w:cs="Arial"/>
                <w:snapToGrid w:val="0"/>
                <w:color w:val="000000"/>
                <w:sz w:val="18"/>
                <w:szCs w:val="18"/>
              </w:rPr>
              <w:t>Albanien</w:t>
            </w:r>
          </w:p>
        </w:tc>
        <w:tc>
          <w:tcPr>
            <w:tcW w:w="1032" w:type="dxa"/>
          </w:tcPr>
          <w:p w:rsidR="008134A5" w:rsidRPr="00FB02F9" w:rsidRDefault="008134A5" w:rsidP="002A18A8">
            <w:pPr>
              <w:ind w:right="284"/>
              <w:jc w:val="right"/>
              <w:rPr>
                <w:rFonts w:cs="Arial"/>
                <w:snapToGrid w:val="0"/>
                <w:color w:val="000000"/>
                <w:sz w:val="18"/>
                <w:szCs w:val="18"/>
              </w:rPr>
            </w:pPr>
            <w:r w:rsidRPr="00FB02F9">
              <w:rPr>
                <w:rFonts w:cs="Arial"/>
                <w:snapToGrid w:val="0"/>
                <w:color w:val="000000"/>
                <w:sz w:val="18"/>
                <w:szCs w:val="18"/>
              </w:rPr>
              <w:t>0.20</w:t>
            </w:r>
          </w:p>
        </w:tc>
        <w:tc>
          <w:tcPr>
            <w:tcW w:w="1560" w:type="dxa"/>
          </w:tcPr>
          <w:p w:rsidR="008134A5" w:rsidRPr="00FB02F9" w:rsidRDefault="008134A5" w:rsidP="008134A5">
            <w:pPr>
              <w:ind w:right="284"/>
              <w:jc w:val="right"/>
              <w:rPr>
                <w:rFonts w:cs="Arial"/>
                <w:snapToGrid w:val="0"/>
                <w:color w:val="000000"/>
                <w:sz w:val="18"/>
                <w:szCs w:val="18"/>
              </w:rPr>
            </w:pPr>
            <w:r w:rsidRPr="00FB02F9">
              <w:rPr>
                <w:rFonts w:cs="Arial"/>
                <w:snapToGrid w:val="0"/>
                <w:color w:val="000000"/>
                <w:sz w:val="18"/>
                <w:szCs w:val="18"/>
              </w:rPr>
              <w:t>10,728</w:t>
            </w:r>
          </w:p>
        </w:tc>
        <w:tc>
          <w:tcPr>
            <w:tcW w:w="1559" w:type="dxa"/>
          </w:tcPr>
          <w:p w:rsidR="008134A5" w:rsidRPr="00FB02F9" w:rsidRDefault="008134A5" w:rsidP="008134A5">
            <w:pPr>
              <w:ind w:right="284"/>
              <w:jc w:val="right"/>
              <w:rPr>
                <w:rFonts w:cs="Arial"/>
                <w:snapToGrid w:val="0"/>
                <w:color w:val="000000"/>
                <w:sz w:val="18"/>
                <w:szCs w:val="18"/>
              </w:rPr>
            </w:pPr>
            <w:r w:rsidRPr="00FB02F9">
              <w:rPr>
                <w:rFonts w:cs="Arial"/>
                <w:snapToGrid w:val="0"/>
                <w:color w:val="000000"/>
                <w:sz w:val="18"/>
                <w:szCs w:val="18"/>
              </w:rPr>
              <w:t>10,728</w:t>
            </w:r>
          </w:p>
        </w:tc>
      </w:tr>
      <w:tr w:rsidR="008134A5" w:rsidRPr="00FB02F9" w:rsidTr="008134A5">
        <w:trPr>
          <w:cantSplit/>
        </w:trPr>
        <w:tc>
          <w:tcPr>
            <w:tcW w:w="1218" w:type="dxa"/>
          </w:tcPr>
          <w:p w:rsidR="008134A5" w:rsidRPr="00FB02F9" w:rsidRDefault="008134A5" w:rsidP="008134A5">
            <w:pPr>
              <w:ind w:right="170"/>
              <w:jc w:val="right"/>
              <w:rPr>
                <w:rFonts w:cs="Arial"/>
                <w:snapToGrid w:val="0"/>
                <w:color w:val="000000"/>
                <w:sz w:val="18"/>
                <w:szCs w:val="18"/>
              </w:rPr>
            </w:pPr>
            <w:r w:rsidRPr="00FB02F9">
              <w:rPr>
                <w:rFonts w:cs="Arial"/>
                <w:snapToGrid w:val="0"/>
                <w:color w:val="000000"/>
                <w:sz w:val="18"/>
                <w:szCs w:val="18"/>
              </w:rPr>
              <w:t>26,820</w:t>
            </w:r>
          </w:p>
        </w:tc>
        <w:tc>
          <w:tcPr>
            <w:tcW w:w="1275" w:type="dxa"/>
          </w:tcPr>
          <w:p w:rsidR="008134A5" w:rsidRPr="00FB02F9" w:rsidRDefault="008134A5" w:rsidP="008134A5">
            <w:pPr>
              <w:ind w:right="170"/>
              <w:jc w:val="right"/>
              <w:rPr>
                <w:rFonts w:cs="Arial"/>
                <w:snapToGrid w:val="0"/>
                <w:color w:val="000000"/>
                <w:sz w:val="18"/>
                <w:szCs w:val="18"/>
              </w:rPr>
            </w:pPr>
            <w:r w:rsidRPr="00FB02F9">
              <w:rPr>
                <w:rFonts w:cs="Arial"/>
                <w:snapToGrid w:val="0"/>
                <w:color w:val="000000"/>
                <w:sz w:val="18"/>
                <w:szCs w:val="18"/>
              </w:rPr>
              <w:t>0</w:t>
            </w:r>
          </w:p>
        </w:tc>
        <w:tc>
          <w:tcPr>
            <w:tcW w:w="3036" w:type="dxa"/>
          </w:tcPr>
          <w:p w:rsidR="008134A5" w:rsidRPr="00FB02F9" w:rsidRDefault="008134A5" w:rsidP="008134A5">
            <w:pPr>
              <w:jc w:val="left"/>
              <w:rPr>
                <w:rFonts w:cs="Arial"/>
                <w:snapToGrid w:val="0"/>
                <w:color w:val="000000"/>
                <w:sz w:val="18"/>
                <w:szCs w:val="18"/>
              </w:rPr>
            </w:pPr>
            <w:r w:rsidRPr="00FB02F9">
              <w:rPr>
                <w:rFonts w:cs="Arial"/>
                <w:snapToGrid w:val="0"/>
                <w:color w:val="000000"/>
                <w:sz w:val="18"/>
                <w:szCs w:val="18"/>
              </w:rPr>
              <w:t>Argentinien</w:t>
            </w:r>
          </w:p>
        </w:tc>
        <w:tc>
          <w:tcPr>
            <w:tcW w:w="1032" w:type="dxa"/>
          </w:tcPr>
          <w:p w:rsidR="008134A5" w:rsidRPr="00FB02F9" w:rsidRDefault="008134A5" w:rsidP="002A18A8">
            <w:pPr>
              <w:ind w:right="284"/>
              <w:jc w:val="right"/>
              <w:rPr>
                <w:rFonts w:cs="Arial"/>
                <w:snapToGrid w:val="0"/>
                <w:color w:val="000000"/>
                <w:sz w:val="18"/>
                <w:szCs w:val="18"/>
              </w:rPr>
            </w:pPr>
            <w:r w:rsidRPr="00FB02F9">
              <w:rPr>
                <w:rFonts w:cs="Arial"/>
                <w:snapToGrid w:val="0"/>
                <w:color w:val="000000"/>
                <w:sz w:val="18"/>
                <w:szCs w:val="18"/>
              </w:rPr>
              <w:t>0.50</w:t>
            </w:r>
          </w:p>
        </w:tc>
        <w:tc>
          <w:tcPr>
            <w:tcW w:w="1560" w:type="dxa"/>
          </w:tcPr>
          <w:p w:rsidR="008134A5" w:rsidRPr="00FB02F9" w:rsidRDefault="008134A5" w:rsidP="008134A5">
            <w:pPr>
              <w:ind w:right="284"/>
              <w:jc w:val="right"/>
              <w:rPr>
                <w:rFonts w:cs="Arial"/>
                <w:snapToGrid w:val="0"/>
                <w:color w:val="000000"/>
                <w:sz w:val="18"/>
                <w:szCs w:val="18"/>
              </w:rPr>
            </w:pPr>
            <w:r w:rsidRPr="00FB02F9">
              <w:rPr>
                <w:rFonts w:cs="Arial"/>
                <w:snapToGrid w:val="0"/>
                <w:color w:val="000000"/>
                <w:sz w:val="18"/>
                <w:szCs w:val="18"/>
              </w:rPr>
              <w:t>26,820</w:t>
            </w:r>
          </w:p>
        </w:tc>
        <w:tc>
          <w:tcPr>
            <w:tcW w:w="1559" w:type="dxa"/>
          </w:tcPr>
          <w:p w:rsidR="008134A5" w:rsidRPr="00FB02F9" w:rsidRDefault="008134A5" w:rsidP="008134A5">
            <w:pPr>
              <w:ind w:right="284"/>
              <w:jc w:val="right"/>
              <w:rPr>
                <w:rFonts w:cs="Arial"/>
                <w:snapToGrid w:val="0"/>
                <w:color w:val="000000"/>
                <w:sz w:val="18"/>
                <w:szCs w:val="18"/>
              </w:rPr>
            </w:pPr>
            <w:r w:rsidRPr="00FB02F9">
              <w:rPr>
                <w:rFonts w:cs="Arial"/>
                <w:snapToGrid w:val="0"/>
                <w:color w:val="000000"/>
                <w:sz w:val="18"/>
                <w:szCs w:val="18"/>
              </w:rPr>
              <w:t>26,820</w:t>
            </w:r>
          </w:p>
        </w:tc>
      </w:tr>
      <w:tr w:rsidR="008134A5" w:rsidRPr="00FB02F9" w:rsidTr="008134A5">
        <w:trPr>
          <w:cantSplit/>
        </w:trPr>
        <w:tc>
          <w:tcPr>
            <w:tcW w:w="1218" w:type="dxa"/>
          </w:tcPr>
          <w:p w:rsidR="008134A5" w:rsidRPr="00FB02F9" w:rsidRDefault="008134A5" w:rsidP="008134A5">
            <w:pPr>
              <w:ind w:right="170"/>
              <w:jc w:val="right"/>
              <w:rPr>
                <w:rFonts w:cs="Arial"/>
                <w:snapToGrid w:val="0"/>
                <w:color w:val="000000"/>
                <w:sz w:val="18"/>
                <w:szCs w:val="18"/>
              </w:rPr>
            </w:pPr>
            <w:r w:rsidRPr="00FB02F9">
              <w:rPr>
                <w:rFonts w:cs="Arial"/>
                <w:snapToGrid w:val="0"/>
                <w:color w:val="000000"/>
                <w:sz w:val="18"/>
                <w:szCs w:val="18"/>
              </w:rPr>
              <w:t>10,728</w:t>
            </w:r>
          </w:p>
        </w:tc>
        <w:tc>
          <w:tcPr>
            <w:tcW w:w="1275" w:type="dxa"/>
          </w:tcPr>
          <w:p w:rsidR="008134A5" w:rsidRPr="00FB02F9" w:rsidRDefault="008134A5" w:rsidP="008134A5">
            <w:pPr>
              <w:ind w:right="170"/>
              <w:jc w:val="right"/>
              <w:rPr>
                <w:rFonts w:cs="Arial"/>
                <w:snapToGrid w:val="0"/>
                <w:color w:val="000000"/>
                <w:sz w:val="18"/>
                <w:szCs w:val="18"/>
              </w:rPr>
            </w:pPr>
            <w:r w:rsidRPr="00FB02F9">
              <w:rPr>
                <w:rFonts w:cs="Arial"/>
                <w:snapToGrid w:val="0"/>
                <w:color w:val="000000"/>
                <w:sz w:val="18"/>
                <w:szCs w:val="18"/>
              </w:rPr>
              <w:t>10,728</w:t>
            </w:r>
          </w:p>
        </w:tc>
        <w:tc>
          <w:tcPr>
            <w:tcW w:w="3036" w:type="dxa"/>
          </w:tcPr>
          <w:p w:rsidR="008134A5" w:rsidRPr="00FB02F9" w:rsidRDefault="008134A5" w:rsidP="008134A5">
            <w:pPr>
              <w:jc w:val="left"/>
              <w:rPr>
                <w:rFonts w:cs="Arial"/>
                <w:snapToGrid w:val="0"/>
                <w:color w:val="000000"/>
                <w:sz w:val="18"/>
                <w:szCs w:val="18"/>
              </w:rPr>
            </w:pPr>
            <w:r w:rsidRPr="00FB02F9">
              <w:rPr>
                <w:rFonts w:cs="Arial"/>
                <w:snapToGrid w:val="0"/>
                <w:color w:val="000000"/>
                <w:sz w:val="18"/>
                <w:szCs w:val="18"/>
              </w:rPr>
              <w:t>Aserbaidschan</w:t>
            </w:r>
          </w:p>
        </w:tc>
        <w:tc>
          <w:tcPr>
            <w:tcW w:w="1032" w:type="dxa"/>
          </w:tcPr>
          <w:p w:rsidR="008134A5" w:rsidRPr="00FB02F9" w:rsidRDefault="008134A5" w:rsidP="002A18A8">
            <w:pPr>
              <w:ind w:right="284"/>
              <w:jc w:val="right"/>
              <w:rPr>
                <w:rFonts w:cs="Arial"/>
                <w:snapToGrid w:val="0"/>
                <w:color w:val="000000"/>
                <w:sz w:val="18"/>
                <w:szCs w:val="18"/>
              </w:rPr>
            </w:pPr>
            <w:r w:rsidRPr="00FB02F9">
              <w:rPr>
                <w:rFonts w:cs="Arial"/>
                <w:snapToGrid w:val="0"/>
                <w:color w:val="000000"/>
                <w:sz w:val="18"/>
                <w:szCs w:val="18"/>
              </w:rPr>
              <w:t>0.20</w:t>
            </w:r>
          </w:p>
        </w:tc>
        <w:tc>
          <w:tcPr>
            <w:tcW w:w="1560" w:type="dxa"/>
          </w:tcPr>
          <w:p w:rsidR="008134A5" w:rsidRPr="00FB02F9" w:rsidRDefault="008134A5" w:rsidP="008134A5">
            <w:pPr>
              <w:ind w:right="284"/>
              <w:jc w:val="right"/>
              <w:rPr>
                <w:rFonts w:cs="Arial"/>
                <w:snapToGrid w:val="0"/>
                <w:color w:val="000000"/>
                <w:sz w:val="18"/>
                <w:szCs w:val="18"/>
              </w:rPr>
            </w:pPr>
            <w:r w:rsidRPr="00FB02F9">
              <w:rPr>
                <w:rFonts w:cs="Arial"/>
                <w:snapToGrid w:val="0"/>
                <w:color w:val="000000"/>
                <w:sz w:val="18"/>
                <w:szCs w:val="18"/>
              </w:rPr>
              <w:t>10,728</w:t>
            </w:r>
          </w:p>
        </w:tc>
        <w:tc>
          <w:tcPr>
            <w:tcW w:w="1559" w:type="dxa"/>
          </w:tcPr>
          <w:p w:rsidR="008134A5" w:rsidRPr="00FB02F9" w:rsidRDefault="008134A5" w:rsidP="008134A5">
            <w:pPr>
              <w:ind w:right="284"/>
              <w:jc w:val="right"/>
              <w:rPr>
                <w:rFonts w:cs="Arial"/>
                <w:snapToGrid w:val="0"/>
                <w:color w:val="000000"/>
                <w:sz w:val="18"/>
                <w:szCs w:val="18"/>
              </w:rPr>
            </w:pPr>
            <w:r w:rsidRPr="00FB02F9">
              <w:rPr>
                <w:rFonts w:cs="Arial"/>
                <w:snapToGrid w:val="0"/>
                <w:color w:val="000000"/>
                <w:sz w:val="18"/>
                <w:szCs w:val="18"/>
              </w:rPr>
              <w:t>10,728</w:t>
            </w:r>
          </w:p>
        </w:tc>
      </w:tr>
      <w:tr w:rsidR="008134A5" w:rsidRPr="00FB02F9" w:rsidTr="008134A5">
        <w:trPr>
          <w:cantSplit/>
        </w:trPr>
        <w:tc>
          <w:tcPr>
            <w:tcW w:w="1218" w:type="dxa"/>
          </w:tcPr>
          <w:p w:rsidR="008134A5" w:rsidRPr="00FB02F9" w:rsidRDefault="008134A5" w:rsidP="008134A5">
            <w:pPr>
              <w:ind w:right="170"/>
              <w:jc w:val="right"/>
              <w:rPr>
                <w:rFonts w:cs="Arial"/>
                <w:snapToGrid w:val="0"/>
                <w:color w:val="000000"/>
                <w:sz w:val="18"/>
                <w:szCs w:val="18"/>
              </w:rPr>
            </w:pPr>
            <w:r w:rsidRPr="00FB02F9">
              <w:rPr>
                <w:rFonts w:cs="Arial"/>
                <w:snapToGrid w:val="0"/>
                <w:color w:val="000000"/>
                <w:sz w:val="18"/>
                <w:szCs w:val="18"/>
              </w:rPr>
              <w:t>53,641</w:t>
            </w:r>
          </w:p>
        </w:tc>
        <w:tc>
          <w:tcPr>
            <w:tcW w:w="1275" w:type="dxa"/>
          </w:tcPr>
          <w:p w:rsidR="008134A5" w:rsidRPr="00FB02F9" w:rsidRDefault="008134A5" w:rsidP="008134A5">
            <w:pPr>
              <w:ind w:right="170"/>
              <w:jc w:val="right"/>
              <w:rPr>
                <w:rFonts w:cs="Arial"/>
                <w:snapToGrid w:val="0"/>
                <w:color w:val="000000"/>
                <w:sz w:val="18"/>
                <w:szCs w:val="18"/>
              </w:rPr>
            </w:pPr>
            <w:r w:rsidRPr="00FB02F9">
              <w:rPr>
                <w:rFonts w:cs="Arial"/>
                <w:snapToGrid w:val="0"/>
                <w:color w:val="000000"/>
                <w:sz w:val="18"/>
                <w:szCs w:val="18"/>
              </w:rPr>
              <w:t>53,641</w:t>
            </w:r>
          </w:p>
        </w:tc>
        <w:tc>
          <w:tcPr>
            <w:tcW w:w="3036" w:type="dxa"/>
          </w:tcPr>
          <w:p w:rsidR="008134A5" w:rsidRPr="00FB02F9" w:rsidRDefault="008134A5" w:rsidP="008134A5">
            <w:pPr>
              <w:jc w:val="left"/>
              <w:rPr>
                <w:rFonts w:cs="Arial"/>
                <w:snapToGrid w:val="0"/>
                <w:color w:val="000000"/>
                <w:sz w:val="18"/>
                <w:szCs w:val="18"/>
              </w:rPr>
            </w:pPr>
            <w:r w:rsidRPr="00FB02F9">
              <w:rPr>
                <w:rFonts w:cs="Arial"/>
                <w:snapToGrid w:val="0"/>
                <w:color w:val="000000"/>
                <w:sz w:val="18"/>
                <w:szCs w:val="18"/>
              </w:rPr>
              <w:t>Australien</w:t>
            </w:r>
          </w:p>
        </w:tc>
        <w:tc>
          <w:tcPr>
            <w:tcW w:w="1032" w:type="dxa"/>
          </w:tcPr>
          <w:p w:rsidR="008134A5" w:rsidRPr="00FB02F9" w:rsidRDefault="008134A5" w:rsidP="002A18A8">
            <w:pPr>
              <w:ind w:right="284"/>
              <w:jc w:val="right"/>
              <w:rPr>
                <w:rFonts w:cs="Arial"/>
                <w:snapToGrid w:val="0"/>
                <w:color w:val="000000"/>
                <w:sz w:val="18"/>
                <w:szCs w:val="18"/>
              </w:rPr>
            </w:pPr>
            <w:r w:rsidRPr="00FB02F9">
              <w:rPr>
                <w:rFonts w:cs="Arial"/>
                <w:sz w:val="18"/>
                <w:szCs w:val="18"/>
              </w:rPr>
              <w:t>1.00</w:t>
            </w:r>
          </w:p>
        </w:tc>
        <w:tc>
          <w:tcPr>
            <w:tcW w:w="1560" w:type="dxa"/>
          </w:tcPr>
          <w:p w:rsidR="008134A5" w:rsidRPr="00FB02F9" w:rsidRDefault="008134A5" w:rsidP="008134A5">
            <w:pPr>
              <w:ind w:right="284"/>
              <w:jc w:val="right"/>
              <w:rPr>
                <w:rFonts w:cs="Arial"/>
                <w:snapToGrid w:val="0"/>
                <w:color w:val="000000"/>
                <w:sz w:val="18"/>
                <w:szCs w:val="18"/>
              </w:rPr>
            </w:pPr>
            <w:r w:rsidRPr="00FB02F9">
              <w:rPr>
                <w:rFonts w:cs="Arial"/>
                <w:snapToGrid w:val="0"/>
                <w:color w:val="000000"/>
                <w:sz w:val="18"/>
                <w:szCs w:val="18"/>
              </w:rPr>
              <w:t>53,641</w:t>
            </w:r>
          </w:p>
        </w:tc>
        <w:tc>
          <w:tcPr>
            <w:tcW w:w="1559" w:type="dxa"/>
          </w:tcPr>
          <w:p w:rsidR="008134A5" w:rsidRPr="00FB02F9" w:rsidRDefault="008134A5" w:rsidP="008134A5">
            <w:pPr>
              <w:ind w:right="284"/>
              <w:jc w:val="right"/>
              <w:rPr>
                <w:rFonts w:cs="Arial"/>
                <w:snapToGrid w:val="0"/>
                <w:color w:val="000000"/>
                <w:sz w:val="18"/>
                <w:szCs w:val="18"/>
              </w:rPr>
            </w:pPr>
            <w:r w:rsidRPr="00FB02F9">
              <w:rPr>
                <w:rFonts w:cs="Arial"/>
                <w:snapToGrid w:val="0"/>
                <w:color w:val="000000"/>
                <w:sz w:val="18"/>
                <w:szCs w:val="18"/>
              </w:rPr>
              <w:t>53,641</w:t>
            </w:r>
          </w:p>
        </w:tc>
      </w:tr>
      <w:tr w:rsidR="008134A5" w:rsidRPr="00FB02F9" w:rsidTr="008134A5">
        <w:trPr>
          <w:cantSplit/>
        </w:trPr>
        <w:tc>
          <w:tcPr>
            <w:tcW w:w="1218" w:type="dxa"/>
          </w:tcPr>
          <w:p w:rsidR="008134A5" w:rsidRPr="00FB02F9" w:rsidRDefault="008134A5" w:rsidP="008134A5">
            <w:pPr>
              <w:ind w:right="170"/>
              <w:jc w:val="right"/>
              <w:rPr>
                <w:rFonts w:cs="Arial"/>
                <w:snapToGrid w:val="0"/>
                <w:color w:val="000000"/>
                <w:sz w:val="18"/>
                <w:szCs w:val="18"/>
              </w:rPr>
            </w:pPr>
            <w:r w:rsidRPr="00FB02F9">
              <w:rPr>
                <w:rFonts w:cs="Arial"/>
                <w:snapToGrid w:val="0"/>
                <w:color w:val="000000"/>
                <w:sz w:val="18"/>
                <w:szCs w:val="18"/>
              </w:rPr>
              <w:t>10,728</w:t>
            </w:r>
          </w:p>
        </w:tc>
        <w:tc>
          <w:tcPr>
            <w:tcW w:w="1275" w:type="dxa"/>
          </w:tcPr>
          <w:p w:rsidR="008134A5" w:rsidRPr="00FB02F9" w:rsidRDefault="002939A5" w:rsidP="008134A5">
            <w:pPr>
              <w:ind w:right="170"/>
              <w:jc w:val="right"/>
              <w:rPr>
                <w:rFonts w:cs="Arial"/>
                <w:snapToGrid w:val="0"/>
                <w:color w:val="000000"/>
                <w:sz w:val="18"/>
                <w:szCs w:val="18"/>
              </w:rPr>
            </w:pPr>
            <w:r>
              <w:rPr>
                <w:rFonts w:cs="Arial"/>
                <w:snapToGrid w:val="0"/>
                <w:color w:val="000000"/>
                <w:sz w:val="18"/>
                <w:szCs w:val="18"/>
              </w:rPr>
              <w:t>0</w:t>
            </w:r>
          </w:p>
        </w:tc>
        <w:tc>
          <w:tcPr>
            <w:tcW w:w="3036" w:type="dxa"/>
          </w:tcPr>
          <w:p w:rsidR="008134A5" w:rsidRPr="00FB02F9" w:rsidRDefault="008134A5" w:rsidP="008134A5">
            <w:pPr>
              <w:jc w:val="left"/>
              <w:rPr>
                <w:rFonts w:cs="Arial"/>
                <w:snapToGrid w:val="0"/>
                <w:color w:val="000000"/>
                <w:sz w:val="18"/>
                <w:szCs w:val="18"/>
                <w:vertAlign w:val="superscript"/>
              </w:rPr>
            </w:pPr>
            <w:r w:rsidRPr="00FB02F9">
              <w:rPr>
                <w:rFonts w:cs="Arial"/>
                <w:snapToGrid w:val="0"/>
                <w:color w:val="000000"/>
                <w:sz w:val="18"/>
                <w:szCs w:val="18"/>
              </w:rPr>
              <w:t>Belarus</w:t>
            </w:r>
          </w:p>
        </w:tc>
        <w:tc>
          <w:tcPr>
            <w:tcW w:w="1032" w:type="dxa"/>
          </w:tcPr>
          <w:p w:rsidR="008134A5" w:rsidRPr="00FB02F9" w:rsidRDefault="008134A5" w:rsidP="002A18A8">
            <w:pPr>
              <w:ind w:right="284"/>
              <w:jc w:val="right"/>
              <w:rPr>
                <w:rFonts w:cs="Arial"/>
                <w:snapToGrid w:val="0"/>
                <w:color w:val="000000"/>
                <w:sz w:val="18"/>
                <w:szCs w:val="18"/>
                <w:vertAlign w:val="superscript"/>
              </w:rPr>
            </w:pPr>
            <w:r w:rsidRPr="00FB02F9">
              <w:rPr>
                <w:rFonts w:cs="Arial"/>
                <w:snapToGrid w:val="0"/>
                <w:color w:val="000000"/>
                <w:sz w:val="18"/>
                <w:szCs w:val="18"/>
              </w:rPr>
              <w:t>0.20</w:t>
            </w:r>
          </w:p>
        </w:tc>
        <w:tc>
          <w:tcPr>
            <w:tcW w:w="1560" w:type="dxa"/>
          </w:tcPr>
          <w:p w:rsidR="008134A5" w:rsidRPr="00FB02F9" w:rsidRDefault="008134A5" w:rsidP="008134A5">
            <w:pPr>
              <w:ind w:right="284"/>
              <w:jc w:val="right"/>
              <w:rPr>
                <w:rFonts w:cs="Arial"/>
                <w:snapToGrid w:val="0"/>
                <w:color w:val="000000"/>
                <w:sz w:val="18"/>
                <w:szCs w:val="18"/>
              </w:rPr>
            </w:pPr>
            <w:r w:rsidRPr="00FB02F9">
              <w:rPr>
                <w:rFonts w:cs="Arial"/>
                <w:snapToGrid w:val="0"/>
                <w:color w:val="000000"/>
                <w:sz w:val="18"/>
                <w:szCs w:val="18"/>
              </w:rPr>
              <w:t>10,728</w:t>
            </w:r>
          </w:p>
        </w:tc>
        <w:tc>
          <w:tcPr>
            <w:tcW w:w="1559" w:type="dxa"/>
          </w:tcPr>
          <w:p w:rsidR="008134A5" w:rsidRPr="00FB02F9" w:rsidRDefault="008134A5" w:rsidP="008134A5">
            <w:pPr>
              <w:ind w:right="284"/>
              <w:jc w:val="right"/>
              <w:rPr>
                <w:rFonts w:cs="Arial"/>
                <w:snapToGrid w:val="0"/>
                <w:color w:val="000000"/>
                <w:sz w:val="18"/>
                <w:szCs w:val="18"/>
              </w:rPr>
            </w:pPr>
            <w:r w:rsidRPr="00FB02F9">
              <w:rPr>
                <w:rFonts w:cs="Arial"/>
                <w:snapToGrid w:val="0"/>
                <w:color w:val="000000"/>
                <w:sz w:val="18"/>
                <w:szCs w:val="18"/>
              </w:rPr>
              <w:t>10,728</w:t>
            </w:r>
          </w:p>
        </w:tc>
      </w:tr>
      <w:tr w:rsidR="008134A5" w:rsidRPr="00FB02F9" w:rsidTr="008134A5">
        <w:trPr>
          <w:cantSplit/>
        </w:trPr>
        <w:tc>
          <w:tcPr>
            <w:tcW w:w="1218" w:type="dxa"/>
          </w:tcPr>
          <w:p w:rsidR="008134A5" w:rsidRPr="00FB02F9" w:rsidRDefault="008134A5" w:rsidP="008134A5">
            <w:pPr>
              <w:ind w:right="170"/>
              <w:jc w:val="right"/>
              <w:rPr>
                <w:rFonts w:cs="Arial"/>
                <w:snapToGrid w:val="0"/>
                <w:color w:val="000000"/>
                <w:sz w:val="18"/>
                <w:szCs w:val="18"/>
              </w:rPr>
            </w:pPr>
            <w:r w:rsidRPr="00FB02F9">
              <w:rPr>
                <w:rFonts w:cs="Arial"/>
                <w:snapToGrid w:val="0"/>
                <w:color w:val="000000"/>
                <w:sz w:val="18"/>
                <w:szCs w:val="18"/>
              </w:rPr>
              <w:t>80,462</w:t>
            </w:r>
          </w:p>
        </w:tc>
        <w:tc>
          <w:tcPr>
            <w:tcW w:w="1275" w:type="dxa"/>
          </w:tcPr>
          <w:p w:rsidR="008134A5" w:rsidRPr="00FB02F9" w:rsidRDefault="008134A5" w:rsidP="008134A5">
            <w:pPr>
              <w:ind w:right="170"/>
              <w:jc w:val="right"/>
              <w:rPr>
                <w:rFonts w:cs="Arial"/>
                <w:snapToGrid w:val="0"/>
                <w:color w:val="000000"/>
                <w:sz w:val="18"/>
                <w:szCs w:val="18"/>
              </w:rPr>
            </w:pPr>
            <w:r w:rsidRPr="00FB02F9">
              <w:rPr>
                <w:rFonts w:cs="Arial"/>
                <w:snapToGrid w:val="0"/>
                <w:color w:val="000000"/>
                <w:sz w:val="18"/>
                <w:szCs w:val="18"/>
              </w:rPr>
              <w:t>80,462</w:t>
            </w:r>
          </w:p>
        </w:tc>
        <w:tc>
          <w:tcPr>
            <w:tcW w:w="3036" w:type="dxa"/>
          </w:tcPr>
          <w:p w:rsidR="008134A5" w:rsidRPr="00FB02F9" w:rsidRDefault="008134A5" w:rsidP="008134A5">
            <w:pPr>
              <w:jc w:val="left"/>
              <w:rPr>
                <w:rFonts w:cs="Arial"/>
                <w:snapToGrid w:val="0"/>
                <w:color w:val="000000"/>
                <w:sz w:val="18"/>
                <w:szCs w:val="18"/>
                <w:vertAlign w:val="superscript"/>
              </w:rPr>
            </w:pPr>
            <w:r w:rsidRPr="00FB02F9">
              <w:rPr>
                <w:rFonts w:cs="Arial"/>
                <w:snapToGrid w:val="0"/>
                <w:color w:val="000000"/>
                <w:sz w:val="18"/>
                <w:szCs w:val="18"/>
              </w:rPr>
              <w:t>Belgien</w:t>
            </w:r>
          </w:p>
        </w:tc>
        <w:tc>
          <w:tcPr>
            <w:tcW w:w="1032" w:type="dxa"/>
          </w:tcPr>
          <w:p w:rsidR="008134A5" w:rsidRPr="00FB02F9" w:rsidRDefault="008134A5" w:rsidP="002A18A8">
            <w:pPr>
              <w:ind w:right="284"/>
              <w:jc w:val="right"/>
              <w:rPr>
                <w:rFonts w:cs="Arial"/>
                <w:snapToGrid w:val="0"/>
                <w:color w:val="000000"/>
                <w:sz w:val="18"/>
                <w:szCs w:val="18"/>
              </w:rPr>
            </w:pPr>
            <w:r w:rsidRPr="00FB02F9">
              <w:rPr>
                <w:rFonts w:cs="Arial"/>
                <w:snapToGrid w:val="0"/>
                <w:color w:val="000000"/>
                <w:sz w:val="18"/>
                <w:szCs w:val="18"/>
              </w:rPr>
              <w:t>1.50</w:t>
            </w:r>
          </w:p>
        </w:tc>
        <w:tc>
          <w:tcPr>
            <w:tcW w:w="1560" w:type="dxa"/>
          </w:tcPr>
          <w:p w:rsidR="008134A5" w:rsidRPr="00FB02F9" w:rsidRDefault="008134A5" w:rsidP="008134A5">
            <w:pPr>
              <w:ind w:right="284"/>
              <w:jc w:val="right"/>
              <w:rPr>
                <w:rFonts w:cs="Arial"/>
                <w:snapToGrid w:val="0"/>
                <w:color w:val="000000"/>
                <w:sz w:val="18"/>
                <w:szCs w:val="18"/>
              </w:rPr>
            </w:pPr>
            <w:r w:rsidRPr="00FB02F9">
              <w:rPr>
                <w:rFonts w:cs="Arial"/>
                <w:snapToGrid w:val="0"/>
                <w:color w:val="000000"/>
                <w:sz w:val="18"/>
                <w:szCs w:val="18"/>
              </w:rPr>
              <w:t>80,462</w:t>
            </w:r>
          </w:p>
        </w:tc>
        <w:tc>
          <w:tcPr>
            <w:tcW w:w="1559" w:type="dxa"/>
          </w:tcPr>
          <w:p w:rsidR="008134A5" w:rsidRPr="00FB02F9" w:rsidRDefault="008134A5" w:rsidP="008134A5">
            <w:pPr>
              <w:ind w:right="284"/>
              <w:jc w:val="right"/>
              <w:rPr>
                <w:rFonts w:cs="Arial"/>
                <w:snapToGrid w:val="0"/>
                <w:color w:val="000000"/>
                <w:sz w:val="18"/>
                <w:szCs w:val="18"/>
              </w:rPr>
            </w:pPr>
            <w:r w:rsidRPr="00FB02F9">
              <w:rPr>
                <w:rFonts w:cs="Arial"/>
                <w:snapToGrid w:val="0"/>
                <w:color w:val="000000"/>
                <w:sz w:val="18"/>
                <w:szCs w:val="18"/>
              </w:rPr>
              <w:t>80,462</w:t>
            </w:r>
          </w:p>
        </w:tc>
      </w:tr>
      <w:tr w:rsidR="008134A5" w:rsidRPr="00FB02F9" w:rsidTr="008134A5">
        <w:trPr>
          <w:cantSplit/>
        </w:trPr>
        <w:tc>
          <w:tcPr>
            <w:tcW w:w="1218" w:type="dxa"/>
          </w:tcPr>
          <w:p w:rsidR="008134A5" w:rsidRPr="00FB02F9" w:rsidRDefault="002939A5" w:rsidP="008134A5">
            <w:pPr>
              <w:ind w:right="170"/>
              <w:jc w:val="right"/>
              <w:rPr>
                <w:rFonts w:cs="Arial"/>
                <w:snapToGrid w:val="0"/>
                <w:color w:val="000000"/>
                <w:sz w:val="18"/>
                <w:szCs w:val="18"/>
              </w:rPr>
            </w:pPr>
            <w:r>
              <w:rPr>
                <w:rFonts w:cs="Arial"/>
                <w:snapToGrid w:val="0"/>
                <w:color w:val="000000"/>
                <w:sz w:val="18"/>
                <w:szCs w:val="18"/>
              </w:rPr>
              <w:t>0</w:t>
            </w:r>
          </w:p>
        </w:tc>
        <w:tc>
          <w:tcPr>
            <w:tcW w:w="1275" w:type="dxa"/>
          </w:tcPr>
          <w:p w:rsidR="008134A5" w:rsidRPr="00FB02F9" w:rsidRDefault="002939A5" w:rsidP="008134A5">
            <w:pPr>
              <w:ind w:right="170"/>
              <w:jc w:val="right"/>
              <w:rPr>
                <w:rFonts w:cs="Arial"/>
                <w:snapToGrid w:val="0"/>
                <w:color w:val="000000"/>
                <w:sz w:val="18"/>
                <w:szCs w:val="18"/>
              </w:rPr>
            </w:pPr>
            <w:r>
              <w:rPr>
                <w:rFonts w:cs="Arial"/>
                <w:snapToGrid w:val="0"/>
                <w:color w:val="000000"/>
                <w:sz w:val="18"/>
                <w:szCs w:val="18"/>
              </w:rPr>
              <w:t>0</w:t>
            </w:r>
          </w:p>
        </w:tc>
        <w:tc>
          <w:tcPr>
            <w:tcW w:w="3036" w:type="dxa"/>
          </w:tcPr>
          <w:p w:rsidR="008134A5" w:rsidRPr="00FB02F9" w:rsidRDefault="008134A5" w:rsidP="008134A5">
            <w:pPr>
              <w:jc w:val="left"/>
              <w:rPr>
                <w:rFonts w:cs="Arial"/>
                <w:snapToGrid w:val="0"/>
                <w:color w:val="000000"/>
                <w:sz w:val="18"/>
                <w:szCs w:val="18"/>
              </w:rPr>
            </w:pPr>
            <w:r w:rsidRPr="00FB02F9">
              <w:rPr>
                <w:rFonts w:cs="Arial"/>
                <w:snapToGrid w:val="0"/>
                <w:color w:val="000000"/>
                <w:sz w:val="18"/>
                <w:szCs w:val="18"/>
              </w:rPr>
              <w:t>Bolivien (</w:t>
            </w:r>
            <w:proofErr w:type="spellStart"/>
            <w:r w:rsidRPr="00FB02F9">
              <w:rPr>
                <w:rFonts w:cs="Arial"/>
                <w:snapToGrid w:val="0"/>
                <w:color w:val="000000"/>
                <w:sz w:val="18"/>
                <w:szCs w:val="18"/>
              </w:rPr>
              <w:t>Plurinationaler</w:t>
            </w:r>
            <w:proofErr w:type="spellEnd"/>
            <w:r w:rsidRPr="00FB02F9">
              <w:rPr>
                <w:rFonts w:cs="Arial"/>
                <w:snapToGrid w:val="0"/>
                <w:color w:val="000000"/>
                <w:sz w:val="18"/>
                <w:szCs w:val="18"/>
              </w:rPr>
              <w:t xml:space="preserve"> Staat)</w:t>
            </w:r>
          </w:p>
        </w:tc>
        <w:tc>
          <w:tcPr>
            <w:tcW w:w="1032" w:type="dxa"/>
          </w:tcPr>
          <w:p w:rsidR="008134A5" w:rsidRPr="00FB02F9" w:rsidRDefault="008134A5" w:rsidP="002A18A8">
            <w:pPr>
              <w:ind w:right="284"/>
              <w:jc w:val="right"/>
              <w:rPr>
                <w:rFonts w:cs="Arial"/>
                <w:snapToGrid w:val="0"/>
                <w:color w:val="000000"/>
                <w:sz w:val="18"/>
                <w:szCs w:val="18"/>
              </w:rPr>
            </w:pPr>
            <w:r w:rsidRPr="00FB02F9">
              <w:rPr>
                <w:rFonts w:cs="Arial"/>
                <w:snapToGrid w:val="0"/>
                <w:color w:val="000000"/>
                <w:sz w:val="18"/>
                <w:szCs w:val="18"/>
              </w:rPr>
              <w:t>0.20</w:t>
            </w:r>
          </w:p>
        </w:tc>
        <w:tc>
          <w:tcPr>
            <w:tcW w:w="1560" w:type="dxa"/>
          </w:tcPr>
          <w:p w:rsidR="008134A5" w:rsidRPr="00FB02F9" w:rsidRDefault="008134A5" w:rsidP="008134A5">
            <w:pPr>
              <w:ind w:right="284"/>
              <w:jc w:val="right"/>
              <w:rPr>
                <w:rFonts w:cs="Arial"/>
                <w:snapToGrid w:val="0"/>
                <w:color w:val="000000"/>
                <w:sz w:val="18"/>
                <w:szCs w:val="18"/>
              </w:rPr>
            </w:pPr>
            <w:r w:rsidRPr="00FB02F9">
              <w:rPr>
                <w:rFonts w:cs="Arial"/>
                <w:snapToGrid w:val="0"/>
                <w:color w:val="000000"/>
                <w:sz w:val="18"/>
                <w:szCs w:val="18"/>
              </w:rPr>
              <w:t>10,728</w:t>
            </w:r>
          </w:p>
        </w:tc>
        <w:tc>
          <w:tcPr>
            <w:tcW w:w="1559" w:type="dxa"/>
          </w:tcPr>
          <w:p w:rsidR="008134A5" w:rsidRPr="00FB02F9" w:rsidRDefault="008134A5" w:rsidP="008134A5">
            <w:pPr>
              <w:ind w:right="284"/>
              <w:jc w:val="right"/>
              <w:rPr>
                <w:rFonts w:cs="Arial"/>
                <w:snapToGrid w:val="0"/>
                <w:color w:val="000000"/>
                <w:sz w:val="18"/>
                <w:szCs w:val="18"/>
              </w:rPr>
            </w:pPr>
            <w:r w:rsidRPr="00FB02F9">
              <w:rPr>
                <w:rFonts w:cs="Arial"/>
                <w:snapToGrid w:val="0"/>
                <w:color w:val="000000"/>
                <w:sz w:val="18"/>
                <w:szCs w:val="18"/>
              </w:rPr>
              <w:t>10,728</w:t>
            </w:r>
          </w:p>
        </w:tc>
      </w:tr>
      <w:tr w:rsidR="008134A5" w:rsidRPr="00FB02F9" w:rsidTr="008134A5">
        <w:trPr>
          <w:cantSplit/>
        </w:trPr>
        <w:tc>
          <w:tcPr>
            <w:tcW w:w="1218" w:type="dxa"/>
          </w:tcPr>
          <w:p w:rsidR="008134A5" w:rsidRPr="00FB02F9" w:rsidRDefault="008134A5" w:rsidP="008134A5">
            <w:pPr>
              <w:ind w:right="170"/>
              <w:jc w:val="right"/>
              <w:rPr>
                <w:rFonts w:cs="Arial"/>
                <w:snapToGrid w:val="0"/>
                <w:color w:val="000000"/>
                <w:sz w:val="18"/>
                <w:szCs w:val="18"/>
              </w:rPr>
            </w:pPr>
            <w:r w:rsidRPr="00FB02F9">
              <w:rPr>
                <w:rFonts w:cs="Arial"/>
                <w:snapToGrid w:val="0"/>
                <w:color w:val="000000"/>
                <w:sz w:val="18"/>
                <w:szCs w:val="18"/>
              </w:rPr>
              <w:t>13,410</w:t>
            </w:r>
          </w:p>
        </w:tc>
        <w:tc>
          <w:tcPr>
            <w:tcW w:w="1275" w:type="dxa"/>
          </w:tcPr>
          <w:p w:rsidR="008134A5" w:rsidRPr="00FB02F9" w:rsidRDefault="002939A5" w:rsidP="008134A5">
            <w:pPr>
              <w:ind w:right="170"/>
              <w:jc w:val="right"/>
              <w:rPr>
                <w:rFonts w:cs="Arial"/>
                <w:snapToGrid w:val="0"/>
                <w:color w:val="000000"/>
                <w:sz w:val="18"/>
                <w:szCs w:val="18"/>
              </w:rPr>
            </w:pPr>
            <w:r>
              <w:rPr>
                <w:rFonts w:cs="Arial"/>
                <w:snapToGrid w:val="0"/>
                <w:color w:val="000000"/>
                <w:sz w:val="18"/>
                <w:szCs w:val="18"/>
              </w:rPr>
              <w:t>0</w:t>
            </w:r>
          </w:p>
        </w:tc>
        <w:tc>
          <w:tcPr>
            <w:tcW w:w="3036" w:type="dxa"/>
          </w:tcPr>
          <w:p w:rsidR="008134A5" w:rsidRPr="00FB02F9" w:rsidRDefault="008134A5" w:rsidP="008134A5">
            <w:pPr>
              <w:jc w:val="left"/>
              <w:rPr>
                <w:rFonts w:cs="Arial"/>
                <w:snapToGrid w:val="0"/>
                <w:color w:val="000000"/>
                <w:sz w:val="18"/>
                <w:szCs w:val="18"/>
              </w:rPr>
            </w:pPr>
            <w:r w:rsidRPr="00FB02F9">
              <w:rPr>
                <w:rFonts w:cs="Arial"/>
                <w:snapToGrid w:val="0"/>
                <w:color w:val="000000"/>
                <w:sz w:val="18"/>
                <w:szCs w:val="18"/>
              </w:rPr>
              <w:t>Brasilien</w:t>
            </w:r>
          </w:p>
        </w:tc>
        <w:tc>
          <w:tcPr>
            <w:tcW w:w="1032" w:type="dxa"/>
          </w:tcPr>
          <w:p w:rsidR="008134A5" w:rsidRPr="00FB02F9" w:rsidRDefault="008134A5" w:rsidP="002A18A8">
            <w:pPr>
              <w:ind w:right="284"/>
              <w:jc w:val="right"/>
              <w:rPr>
                <w:rFonts w:cs="Arial"/>
                <w:snapToGrid w:val="0"/>
                <w:color w:val="000000"/>
                <w:sz w:val="18"/>
                <w:szCs w:val="18"/>
              </w:rPr>
            </w:pPr>
            <w:r w:rsidRPr="00FB02F9">
              <w:rPr>
                <w:rFonts w:cs="Arial"/>
                <w:snapToGrid w:val="0"/>
                <w:color w:val="000000"/>
                <w:sz w:val="18"/>
                <w:szCs w:val="18"/>
              </w:rPr>
              <w:t>0.25</w:t>
            </w:r>
          </w:p>
        </w:tc>
        <w:tc>
          <w:tcPr>
            <w:tcW w:w="1560" w:type="dxa"/>
          </w:tcPr>
          <w:p w:rsidR="008134A5" w:rsidRPr="00FB02F9" w:rsidRDefault="008134A5" w:rsidP="008134A5">
            <w:pPr>
              <w:ind w:right="284"/>
              <w:jc w:val="right"/>
              <w:rPr>
                <w:rFonts w:cs="Arial"/>
                <w:snapToGrid w:val="0"/>
                <w:color w:val="000000"/>
                <w:sz w:val="18"/>
                <w:szCs w:val="18"/>
              </w:rPr>
            </w:pPr>
            <w:r w:rsidRPr="00FB02F9">
              <w:rPr>
                <w:rFonts w:cs="Arial"/>
                <w:snapToGrid w:val="0"/>
                <w:color w:val="000000"/>
                <w:sz w:val="18"/>
                <w:szCs w:val="18"/>
              </w:rPr>
              <w:t>13,410</w:t>
            </w:r>
          </w:p>
        </w:tc>
        <w:tc>
          <w:tcPr>
            <w:tcW w:w="1559" w:type="dxa"/>
          </w:tcPr>
          <w:p w:rsidR="008134A5" w:rsidRPr="00FB02F9" w:rsidRDefault="008134A5" w:rsidP="008134A5">
            <w:pPr>
              <w:ind w:right="284"/>
              <w:jc w:val="right"/>
              <w:rPr>
                <w:rFonts w:cs="Arial"/>
                <w:snapToGrid w:val="0"/>
                <w:color w:val="000000"/>
                <w:sz w:val="18"/>
                <w:szCs w:val="18"/>
              </w:rPr>
            </w:pPr>
            <w:r w:rsidRPr="00FB02F9">
              <w:rPr>
                <w:rFonts w:cs="Arial"/>
                <w:snapToGrid w:val="0"/>
                <w:color w:val="000000"/>
                <w:sz w:val="18"/>
                <w:szCs w:val="18"/>
              </w:rPr>
              <w:t>13,410</w:t>
            </w:r>
          </w:p>
        </w:tc>
      </w:tr>
      <w:tr w:rsidR="008134A5" w:rsidRPr="00FB02F9" w:rsidTr="008134A5">
        <w:trPr>
          <w:cantSplit/>
        </w:trPr>
        <w:tc>
          <w:tcPr>
            <w:tcW w:w="1218" w:type="dxa"/>
          </w:tcPr>
          <w:p w:rsidR="008134A5" w:rsidRPr="00FB02F9" w:rsidRDefault="008134A5" w:rsidP="008134A5">
            <w:pPr>
              <w:ind w:right="170"/>
              <w:jc w:val="right"/>
              <w:rPr>
                <w:rFonts w:cs="Arial"/>
                <w:snapToGrid w:val="0"/>
                <w:color w:val="000000"/>
                <w:sz w:val="18"/>
                <w:szCs w:val="18"/>
              </w:rPr>
            </w:pPr>
            <w:r w:rsidRPr="00FB02F9">
              <w:rPr>
                <w:rFonts w:cs="Arial"/>
                <w:snapToGrid w:val="0"/>
                <w:color w:val="000000"/>
                <w:sz w:val="18"/>
                <w:szCs w:val="18"/>
              </w:rPr>
              <w:t>10,728</w:t>
            </w:r>
          </w:p>
        </w:tc>
        <w:tc>
          <w:tcPr>
            <w:tcW w:w="1275" w:type="dxa"/>
          </w:tcPr>
          <w:p w:rsidR="008134A5" w:rsidRPr="00FB02F9" w:rsidRDefault="008134A5" w:rsidP="008134A5">
            <w:pPr>
              <w:ind w:right="170"/>
              <w:jc w:val="right"/>
              <w:rPr>
                <w:rFonts w:cs="Arial"/>
                <w:snapToGrid w:val="0"/>
                <w:color w:val="000000"/>
                <w:sz w:val="18"/>
                <w:szCs w:val="18"/>
              </w:rPr>
            </w:pPr>
            <w:r w:rsidRPr="00FB02F9">
              <w:rPr>
                <w:rFonts w:cs="Arial"/>
                <w:snapToGrid w:val="0"/>
                <w:color w:val="000000"/>
                <w:sz w:val="18"/>
                <w:szCs w:val="18"/>
              </w:rPr>
              <w:t>10,728</w:t>
            </w:r>
          </w:p>
        </w:tc>
        <w:tc>
          <w:tcPr>
            <w:tcW w:w="3036" w:type="dxa"/>
          </w:tcPr>
          <w:p w:rsidR="008134A5" w:rsidRPr="00FB02F9" w:rsidRDefault="008134A5" w:rsidP="008134A5">
            <w:pPr>
              <w:jc w:val="left"/>
              <w:rPr>
                <w:rFonts w:cs="Arial"/>
                <w:snapToGrid w:val="0"/>
                <w:color w:val="000000"/>
                <w:sz w:val="18"/>
                <w:szCs w:val="18"/>
              </w:rPr>
            </w:pPr>
            <w:r w:rsidRPr="00FB02F9">
              <w:rPr>
                <w:rFonts w:cs="Arial"/>
                <w:snapToGrid w:val="0"/>
                <w:color w:val="000000"/>
                <w:sz w:val="18"/>
                <w:szCs w:val="18"/>
              </w:rPr>
              <w:t>Bulgarien</w:t>
            </w:r>
          </w:p>
        </w:tc>
        <w:tc>
          <w:tcPr>
            <w:tcW w:w="1032" w:type="dxa"/>
          </w:tcPr>
          <w:p w:rsidR="008134A5" w:rsidRPr="00FB02F9" w:rsidRDefault="008134A5" w:rsidP="002A18A8">
            <w:pPr>
              <w:ind w:right="284"/>
              <w:jc w:val="right"/>
              <w:rPr>
                <w:rFonts w:cs="Arial"/>
                <w:snapToGrid w:val="0"/>
                <w:color w:val="000000"/>
                <w:sz w:val="18"/>
                <w:szCs w:val="18"/>
              </w:rPr>
            </w:pPr>
            <w:r w:rsidRPr="00FB02F9">
              <w:rPr>
                <w:rFonts w:cs="Arial"/>
                <w:snapToGrid w:val="0"/>
                <w:color w:val="000000"/>
                <w:sz w:val="18"/>
                <w:szCs w:val="18"/>
              </w:rPr>
              <w:t>0.20</w:t>
            </w:r>
          </w:p>
        </w:tc>
        <w:tc>
          <w:tcPr>
            <w:tcW w:w="1560" w:type="dxa"/>
          </w:tcPr>
          <w:p w:rsidR="008134A5" w:rsidRPr="00FB02F9" w:rsidRDefault="008134A5" w:rsidP="008134A5">
            <w:pPr>
              <w:ind w:right="284"/>
              <w:jc w:val="right"/>
              <w:rPr>
                <w:rFonts w:cs="Arial"/>
                <w:snapToGrid w:val="0"/>
                <w:color w:val="000000"/>
                <w:sz w:val="18"/>
                <w:szCs w:val="18"/>
              </w:rPr>
            </w:pPr>
            <w:r w:rsidRPr="00FB02F9">
              <w:rPr>
                <w:rFonts w:cs="Arial"/>
                <w:snapToGrid w:val="0"/>
                <w:color w:val="000000"/>
                <w:sz w:val="18"/>
                <w:szCs w:val="18"/>
              </w:rPr>
              <w:t>10,728</w:t>
            </w:r>
          </w:p>
        </w:tc>
        <w:tc>
          <w:tcPr>
            <w:tcW w:w="1559" w:type="dxa"/>
          </w:tcPr>
          <w:p w:rsidR="008134A5" w:rsidRPr="00FB02F9" w:rsidRDefault="008134A5" w:rsidP="008134A5">
            <w:pPr>
              <w:ind w:right="284"/>
              <w:jc w:val="right"/>
              <w:rPr>
                <w:rFonts w:cs="Arial"/>
                <w:snapToGrid w:val="0"/>
                <w:color w:val="000000"/>
                <w:sz w:val="18"/>
                <w:szCs w:val="18"/>
              </w:rPr>
            </w:pPr>
            <w:r w:rsidRPr="00FB02F9">
              <w:rPr>
                <w:rFonts w:cs="Arial"/>
                <w:snapToGrid w:val="0"/>
                <w:color w:val="000000"/>
                <w:sz w:val="18"/>
                <w:szCs w:val="18"/>
              </w:rPr>
              <w:t>10,728</w:t>
            </w:r>
          </w:p>
        </w:tc>
      </w:tr>
      <w:tr w:rsidR="008134A5" w:rsidRPr="00FB02F9" w:rsidTr="008134A5">
        <w:trPr>
          <w:cantSplit/>
        </w:trPr>
        <w:tc>
          <w:tcPr>
            <w:tcW w:w="1218" w:type="dxa"/>
          </w:tcPr>
          <w:p w:rsidR="008134A5" w:rsidRPr="00FB02F9" w:rsidRDefault="008134A5" w:rsidP="008134A5">
            <w:pPr>
              <w:ind w:right="170"/>
              <w:jc w:val="right"/>
              <w:rPr>
                <w:rFonts w:cs="Arial"/>
                <w:snapToGrid w:val="0"/>
                <w:color w:val="000000"/>
                <w:sz w:val="18"/>
                <w:szCs w:val="18"/>
              </w:rPr>
            </w:pPr>
            <w:r w:rsidRPr="00FB02F9">
              <w:rPr>
                <w:rFonts w:cs="Arial"/>
                <w:snapToGrid w:val="0"/>
                <w:color w:val="000000"/>
                <w:sz w:val="18"/>
                <w:szCs w:val="18"/>
              </w:rPr>
              <w:t>10,728</w:t>
            </w:r>
          </w:p>
        </w:tc>
        <w:tc>
          <w:tcPr>
            <w:tcW w:w="1275" w:type="dxa"/>
          </w:tcPr>
          <w:p w:rsidR="008134A5" w:rsidRPr="00FB02F9" w:rsidRDefault="008134A5" w:rsidP="008134A5">
            <w:pPr>
              <w:ind w:right="170"/>
              <w:jc w:val="right"/>
              <w:rPr>
                <w:rFonts w:cs="Arial"/>
                <w:snapToGrid w:val="0"/>
                <w:color w:val="000000"/>
                <w:sz w:val="18"/>
                <w:szCs w:val="18"/>
              </w:rPr>
            </w:pPr>
            <w:r w:rsidRPr="00FB02F9">
              <w:rPr>
                <w:rFonts w:cs="Arial"/>
                <w:snapToGrid w:val="0"/>
                <w:color w:val="000000"/>
                <w:sz w:val="18"/>
                <w:szCs w:val="18"/>
              </w:rPr>
              <w:t>10,728</w:t>
            </w:r>
          </w:p>
        </w:tc>
        <w:tc>
          <w:tcPr>
            <w:tcW w:w="3036" w:type="dxa"/>
          </w:tcPr>
          <w:p w:rsidR="008134A5" w:rsidRPr="00FB02F9" w:rsidRDefault="008134A5" w:rsidP="008134A5">
            <w:pPr>
              <w:jc w:val="left"/>
              <w:rPr>
                <w:rFonts w:cs="Arial"/>
                <w:snapToGrid w:val="0"/>
                <w:color w:val="000000"/>
                <w:sz w:val="18"/>
                <w:szCs w:val="18"/>
              </w:rPr>
            </w:pPr>
            <w:r w:rsidRPr="00FB02F9">
              <w:rPr>
                <w:rFonts w:cs="Arial"/>
                <w:snapToGrid w:val="0"/>
                <w:color w:val="000000"/>
                <w:sz w:val="18"/>
                <w:szCs w:val="18"/>
              </w:rPr>
              <w:t>Chile</w:t>
            </w:r>
          </w:p>
        </w:tc>
        <w:tc>
          <w:tcPr>
            <w:tcW w:w="1032" w:type="dxa"/>
          </w:tcPr>
          <w:p w:rsidR="008134A5" w:rsidRPr="00FB02F9" w:rsidRDefault="008134A5" w:rsidP="002A18A8">
            <w:pPr>
              <w:ind w:right="284"/>
              <w:jc w:val="right"/>
              <w:rPr>
                <w:rFonts w:cs="Arial"/>
                <w:snapToGrid w:val="0"/>
                <w:color w:val="000000"/>
                <w:sz w:val="18"/>
                <w:szCs w:val="18"/>
              </w:rPr>
            </w:pPr>
            <w:r w:rsidRPr="00FB02F9">
              <w:rPr>
                <w:rFonts w:cs="Arial"/>
                <w:snapToGrid w:val="0"/>
                <w:color w:val="000000"/>
                <w:sz w:val="18"/>
                <w:szCs w:val="18"/>
              </w:rPr>
              <w:t>0.20</w:t>
            </w:r>
          </w:p>
        </w:tc>
        <w:tc>
          <w:tcPr>
            <w:tcW w:w="1560" w:type="dxa"/>
          </w:tcPr>
          <w:p w:rsidR="008134A5" w:rsidRPr="00FB02F9" w:rsidRDefault="008134A5" w:rsidP="008134A5">
            <w:pPr>
              <w:ind w:right="284"/>
              <w:jc w:val="right"/>
              <w:rPr>
                <w:rFonts w:cs="Arial"/>
                <w:snapToGrid w:val="0"/>
                <w:color w:val="000000"/>
                <w:sz w:val="18"/>
                <w:szCs w:val="18"/>
              </w:rPr>
            </w:pPr>
            <w:r w:rsidRPr="00FB02F9">
              <w:rPr>
                <w:rFonts w:cs="Arial"/>
                <w:snapToGrid w:val="0"/>
                <w:color w:val="000000"/>
                <w:sz w:val="18"/>
                <w:szCs w:val="18"/>
              </w:rPr>
              <w:t>10,728</w:t>
            </w:r>
          </w:p>
        </w:tc>
        <w:tc>
          <w:tcPr>
            <w:tcW w:w="1559" w:type="dxa"/>
          </w:tcPr>
          <w:p w:rsidR="008134A5" w:rsidRPr="00FB02F9" w:rsidRDefault="008134A5" w:rsidP="008134A5">
            <w:pPr>
              <w:ind w:right="284"/>
              <w:jc w:val="right"/>
              <w:rPr>
                <w:rFonts w:cs="Arial"/>
                <w:snapToGrid w:val="0"/>
                <w:color w:val="000000"/>
                <w:sz w:val="18"/>
                <w:szCs w:val="18"/>
              </w:rPr>
            </w:pPr>
            <w:r w:rsidRPr="00FB02F9">
              <w:rPr>
                <w:rFonts w:cs="Arial"/>
                <w:snapToGrid w:val="0"/>
                <w:color w:val="000000"/>
                <w:sz w:val="18"/>
                <w:szCs w:val="18"/>
              </w:rPr>
              <w:t>10,728</w:t>
            </w:r>
          </w:p>
        </w:tc>
      </w:tr>
      <w:tr w:rsidR="008134A5" w:rsidRPr="00FB02F9" w:rsidTr="008134A5">
        <w:trPr>
          <w:cantSplit/>
        </w:trPr>
        <w:tc>
          <w:tcPr>
            <w:tcW w:w="1218" w:type="dxa"/>
          </w:tcPr>
          <w:p w:rsidR="008134A5" w:rsidRPr="00FB02F9" w:rsidRDefault="008134A5" w:rsidP="008134A5">
            <w:pPr>
              <w:ind w:right="170"/>
              <w:jc w:val="right"/>
              <w:rPr>
                <w:rFonts w:cs="Arial"/>
                <w:snapToGrid w:val="0"/>
                <w:color w:val="000000"/>
                <w:sz w:val="18"/>
                <w:szCs w:val="18"/>
              </w:rPr>
            </w:pPr>
            <w:r w:rsidRPr="00FB02F9">
              <w:rPr>
                <w:rFonts w:cs="Arial"/>
                <w:snapToGrid w:val="0"/>
                <w:color w:val="000000"/>
                <w:sz w:val="18"/>
                <w:szCs w:val="18"/>
              </w:rPr>
              <w:t>26,820</w:t>
            </w:r>
          </w:p>
        </w:tc>
        <w:tc>
          <w:tcPr>
            <w:tcW w:w="1275" w:type="dxa"/>
          </w:tcPr>
          <w:p w:rsidR="008134A5" w:rsidRPr="00FB02F9" w:rsidRDefault="002939A5" w:rsidP="008134A5">
            <w:pPr>
              <w:ind w:right="170"/>
              <w:jc w:val="right"/>
              <w:rPr>
                <w:rFonts w:cs="Arial"/>
                <w:snapToGrid w:val="0"/>
                <w:color w:val="000000"/>
                <w:sz w:val="18"/>
                <w:szCs w:val="18"/>
              </w:rPr>
            </w:pPr>
            <w:r>
              <w:rPr>
                <w:rFonts w:cs="Arial"/>
                <w:snapToGrid w:val="0"/>
                <w:color w:val="000000"/>
                <w:sz w:val="18"/>
                <w:szCs w:val="18"/>
              </w:rPr>
              <w:t>0</w:t>
            </w:r>
          </w:p>
        </w:tc>
        <w:tc>
          <w:tcPr>
            <w:tcW w:w="3036" w:type="dxa"/>
          </w:tcPr>
          <w:p w:rsidR="008134A5" w:rsidRPr="00FB02F9" w:rsidRDefault="008134A5" w:rsidP="008134A5">
            <w:pPr>
              <w:jc w:val="left"/>
              <w:rPr>
                <w:rFonts w:cs="Arial"/>
                <w:snapToGrid w:val="0"/>
                <w:color w:val="000000"/>
                <w:sz w:val="18"/>
                <w:szCs w:val="18"/>
              </w:rPr>
            </w:pPr>
            <w:r w:rsidRPr="00FB02F9">
              <w:rPr>
                <w:rFonts w:cs="Arial"/>
                <w:snapToGrid w:val="0"/>
                <w:color w:val="000000"/>
                <w:sz w:val="18"/>
                <w:szCs w:val="18"/>
              </w:rPr>
              <w:t>China</w:t>
            </w:r>
          </w:p>
        </w:tc>
        <w:tc>
          <w:tcPr>
            <w:tcW w:w="1032" w:type="dxa"/>
          </w:tcPr>
          <w:p w:rsidR="008134A5" w:rsidRPr="00FB02F9" w:rsidRDefault="008134A5" w:rsidP="002A18A8">
            <w:pPr>
              <w:ind w:right="284"/>
              <w:jc w:val="right"/>
              <w:rPr>
                <w:rFonts w:cs="Arial"/>
                <w:snapToGrid w:val="0"/>
                <w:color w:val="000000"/>
                <w:sz w:val="18"/>
                <w:szCs w:val="18"/>
              </w:rPr>
            </w:pPr>
            <w:r w:rsidRPr="00FB02F9">
              <w:rPr>
                <w:rFonts w:cs="Arial"/>
                <w:snapToGrid w:val="0"/>
                <w:color w:val="000000"/>
                <w:sz w:val="18"/>
                <w:szCs w:val="18"/>
              </w:rPr>
              <w:t>0.50</w:t>
            </w:r>
          </w:p>
        </w:tc>
        <w:tc>
          <w:tcPr>
            <w:tcW w:w="1560" w:type="dxa"/>
          </w:tcPr>
          <w:p w:rsidR="008134A5" w:rsidRPr="00FB02F9" w:rsidRDefault="008134A5" w:rsidP="008134A5">
            <w:pPr>
              <w:ind w:right="284"/>
              <w:jc w:val="right"/>
              <w:rPr>
                <w:rFonts w:cs="Arial"/>
                <w:snapToGrid w:val="0"/>
                <w:color w:val="000000"/>
                <w:sz w:val="18"/>
                <w:szCs w:val="18"/>
              </w:rPr>
            </w:pPr>
            <w:r w:rsidRPr="00FB02F9">
              <w:rPr>
                <w:rFonts w:cs="Arial"/>
                <w:snapToGrid w:val="0"/>
                <w:color w:val="000000"/>
                <w:sz w:val="18"/>
                <w:szCs w:val="18"/>
              </w:rPr>
              <w:t>26,820</w:t>
            </w:r>
          </w:p>
        </w:tc>
        <w:tc>
          <w:tcPr>
            <w:tcW w:w="1559" w:type="dxa"/>
          </w:tcPr>
          <w:p w:rsidR="008134A5" w:rsidRPr="00FB02F9" w:rsidRDefault="008134A5" w:rsidP="008134A5">
            <w:pPr>
              <w:ind w:right="284"/>
              <w:jc w:val="right"/>
              <w:rPr>
                <w:rFonts w:cs="Arial"/>
                <w:snapToGrid w:val="0"/>
                <w:color w:val="000000"/>
                <w:sz w:val="18"/>
                <w:szCs w:val="18"/>
              </w:rPr>
            </w:pPr>
            <w:r w:rsidRPr="00FB02F9">
              <w:rPr>
                <w:rFonts w:cs="Arial"/>
                <w:snapToGrid w:val="0"/>
                <w:color w:val="000000"/>
                <w:sz w:val="18"/>
                <w:szCs w:val="18"/>
              </w:rPr>
              <w:t>26,820</w:t>
            </w:r>
          </w:p>
        </w:tc>
      </w:tr>
      <w:tr w:rsidR="008134A5" w:rsidRPr="00FB02F9" w:rsidTr="008134A5">
        <w:trPr>
          <w:cantSplit/>
        </w:trPr>
        <w:tc>
          <w:tcPr>
            <w:tcW w:w="1218" w:type="dxa"/>
          </w:tcPr>
          <w:p w:rsidR="008134A5" w:rsidRPr="00FB02F9" w:rsidRDefault="008134A5" w:rsidP="008134A5">
            <w:pPr>
              <w:ind w:right="170"/>
              <w:jc w:val="right"/>
              <w:rPr>
                <w:rFonts w:cs="Arial"/>
                <w:snapToGrid w:val="0"/>
                <w:color w:val="000000"/>
                <w:sz w:val="18"/>
                <w:szCs w:val="18"/>
              </w:rPr>
            </w:pPr>
            <w:r w:rsidRPr="00FB02F9">
              <w:rPr>
                <w:rFonts w:cs="Arial"/>
                <w:snapToGrid w:val="0"/>
                <w:color w:val="000000"/>
                <w:sz w:val="18"/>
                <w:szCs w:val="18"/>
              </w:rPr>
              <w:t>10,728</w:t>
            </w:r>
          </w:p>
        </w:tc>
        <w:tc>
          <w:tcPr>
            <w:tcW w:w="1275" w:type="dxa"/>
          </w:tcPr>
          <w:p w:rsidR="008134A5" w:rsidRPr="00FB02F9" w:rsidRDefault="008134A5" w:rsidP="008134A5">
            <w:pPr>
              <w:ind w:right="170"/>
              <w:jc w:val="right"/>
              <w:rPr>
                <w:rFonts w:cs="Arial"/>
                <w:snapToGrid w:val="0"/>
                <w:color w:val="000000"/>
                <w:sz w:val="18"/>
                <w:szCs w:val="18"/>
              </w:rPr>
            </w:pPr>
            <w:r w:rsidRPr="00FB02F9">
              <w:rPr>
                <w:rFonts w:cs="Arial"/>
                <w:snapToGrid w:val="0"/>
                <w:color w:val="000000"/>
                <w:sz w:val="18"/>
                <w:szCs w:val="18"/>
              </w:rPr>
              <w:t>10,728</w:t>
            </w:r>
          </w:p>
        </w:tc>
        <w:tc>
          <w:tcPr>
            <w:tcW w:w="3036" w:type="dxa"/>
          </w:tcPr>
          <w:p w:rsidR="008134A5" w:rsidRPr="00FB02F9" w:rsidRDefault="008134A5" w:rsidP="008134A5">
            <w:pPr>
              <w:jc w:val="left"/>
              <w:rPr>
                <w:rFonts w:cs="Arial"/>
                <w:snapToGrid w:val="0"/>
                <w:color w:val="000000"/>
                <w:sz w:val="18"/>
                <w:szCs w:val="18"/>
              </w:rPr>
            </w:pPr>
            <w:r w:rsidRPr="00FB02F9">
              <w:rPr>
                <w:rFonts w:cs="Arial"/>
                <w:snapToGrid w:val="0"/>
                <w:color w:val="000000"/>
                <w:sz w:val="18"/>
                <w:szCs w:val="18"/>
              </w:rPr>
              <w:t>Costa Rica</w:t>
            </w:r>
          </w:p>
        </w:tc>
        <w:tc>
          <w:tcPr>
            <w:tcW w:w="1032" w:type="dxa"/>
          </w:tcPr>
          <w:p w:rsidR="008134A5" w:rsidRPr="00FB02F9" w:rsidRDefault="008134A5" w:rsidP="002A18A8">
            <w:pPr>
              <w:ind w:right="284"/>
              <w:jc w:val="right"/>
              <w:rPr>
                <w:rFonts w:cs="Arial"/>
                <w:snapToGrid w:val="0"/>
                <w:color w:val="000000"/>
                <w:sz w:val="18"/>
                <w:szCs w:val="18"/>
              </w:rPr>
            </w:pPr>
            <w:r w:rsidRPr="00FB02F9">
              <w:rPr>
                <w:rFonts w:cs="Arial"/>
                <w:snapToGrid w:val="0"/>
                <w:color w:val="000000"/>
                <w:sz w:val="18"/>
                <w:szCs w:val="18"/>
              </w:rPr>
              <w:t>0.20</w:t>
            </w:r>
          </w:p>
        </w:tc>
        <w:tc>
          <w:tcPr>
            <w:tcW w:w="1560" w:type="dxa"/>
          </w:tcPr>
          <w:p w:rsidR="008134A5" w:rsidRPr="00FB02F9" w:rsidRDefault="008134A5" w:rsidP="008134A5">
            <w:pPr>
              <w:ind w:right="284"/>
              <w:jc w:val="right"/>
              <w:rPr>
                <w:rFonts w:cs="Arial"/>
                <w:snapToGrid w:val="0"/>
                <w:color w:val="000000"/>
                <w:sz w:val="18"/>
                <w:szCs w:val="18"/>
              </w:rPr>
            </w:pPr>
            <w:r w:rsidRPr="00FB02F9">
              <w:rPr>
                <w:rFonts w:cs="Arial"/>
                <w:snapToGrid w:val="0"/>
                <w:color w:val="000000"/>
                <w:sz w:val="18"/>
                <w:szCs w:val="18"/>
              </w:rPr>
              <w:t>10,728</w:t>
            </w:r>
          </w:p>
        </w:tc>
        <w:tc>
          <w:tcPr>
            <w:tcW w:w="1559" w:type="dxa"/>
          </w:tcPr>
          <w:p w:rsidR="008134A5" w:rsidRPr="00FB02F9" w:rsidRDefault="008134A5" w:rsidP="008134A5">
            <w:pPr>
              <w:ind w:right="284"/>
              <w:jc w:val="right"/>
              <w:rPr>
                <w:rFonts w:cs="Arial"/>
                <w:snapToGrid w:val="0"/>
                <w:color w:val="000000"/>
                <w:sz w:val="18"/>
                <w:szCs w:val="18"/>
              </w:rPr>
            </w:pPr>
            <w:r w:rsidRPr="00FB02F9">
              <w:rPr>
                <w:rFonts w:cs="Arial"/>
                <w:snapToGrid w:val="0"/>
                <w:color w:val="000000"/>
                <w:sz w:val="18"/>
                <w:szCs w:val="18"/>
              </w:rPr>
              <w:t>10,728</w:t>
            </w:r>
          </w:p>
        </w:tc>
      </w:tr>
      <w:tr w:rsidR="008134A5" w:rsidRPr="00FB02F9" w:rsidTr="008134A5">
        <w:trPr>
          <w:cantSplit/>
        </w:trPr>
        <w:tc>
          <w:tcPr>
            <w:tcW w:w="1218" w:type="dxa"/>
          </w:tcPr>
          <w:p w:rsidR="008134A5" w:rsidRPr="00FB02F9" w:rsidRDefault="008134A5" w:rsidP="008134A5">
            <w:pPr>
              <w:ind w:right="170"/>
              <w:jc w:val="right"/>
              <w:rPr>
                <w:rFonts w:cs="Arial"/>
                <w:snapToGrid w:val="0"/>
                <w:color w:val="000000"/>
                <w:sz w:val="18"/>
                <w:szCs w:val="18"/>
              </w:rPr>
            </w:pPr>
            <w:r w:rsidRPr="00FB02F9">
              <w:rPr>
                <w:rFonts w:cs="Arial"/>
                <w:snapToGrid w:val="0"/>
                <w:color w:val="000000"/>
                <w:sz w:val="18"/>
                <w:szCs w:val="18"/>
              </w:rPr>
              <w:t>26,820</w:t>
            </w:r>
          </w:p>
        </w:tc>
        <w:tc>
          <w:tcPr>
            <w:tcW w:w="1275" w:type="dxa"/>
          </w:tcPr>
          <w:p w:rsidR="008134A5" w:rsidRPr="00FB02F9" w:rsidRDefault="008134A5" w:rsidP="008134A5">
            <w:pPr>
              <w:ind w:right="170"/>
              <w:jc w:val="right"/>
              <w:rPr>
                <w:rFonts w:cs="Arial"/>
                <w:snapToGrid w:val="0"/>
                <w:color w:val="000000"/>
                <w:sz w:val="18"/>
                <w:szCs w:val="18"/>
              </w:rPr>
            </w:pPr>
            <w:r w:rsidRPr="00FB02F9">
              <w:rPr>
                <w:rFonts w:cs="Arial"/>
                <w:snapToGrid w:val="0"/>
                <w:color w:val="000000"/>
                <w:sz w:val="18"/>
                <w:szCs w:val="18"/>
              </w:rPr>
              <w:t>26,820</w:t>
            </w:r>
          </w:p>
        </w:tc>
        <w:tc>
          <w:tcPr>
            <w:tcW w:w="3036" w:type="dxa"/>
          </w:tcPr>
          <w:p w:rsidR="008134A5" w:rsidRPr="00FB02F9" w:rsidRDefault="008134A5" w:rsidP="008134A5">
            <w:pPr>
              <w:jc w:val="left"/>
              <w:rPr>
                <w:rFonts w:cs="Arial"/>
                <w:snapToGrid w:val="0"/>
                <w:color w:val="000000"/>
                <w:sz w:val="18"/>
                <w:szCs w:val="18"/>
              </w:rPr>
            </w:pPr>
            <w:r w:rsidRPr="00FB02F9">
              <w:rPr>
                <w:rFonts w:cs="Arial"/>
                <w:snapToGrid w:val="0"/>
                <w:color w:val="000000"/>
                <w:sz w:val="18"/>
                <w:szCs w:val="18"/>
              </w:rPr>
              <w:t>Dänemark</w:t>
            </w:r>
          </w:p>
        </w:tc>
        <w:tc>
          <w:tcPr>
            <w:tcW w:w="1032" w:type="dxa"/>
          </w:tcPr>
          <w:p w:rsidR="008134A5" w:rsidRPr="00FB02F9" w:rsidRDefault="008134A5" w:rsidP="002A18A8">
            <w:pPr>
              <w:ind w:right="284"/>
              <w:jc w:val="right"/>
              <w:rPr>
                <w:rFonts w:cs="Arial"/>
                <w:snapToGrid w:val="0"/>
                <w:color w:val="000000"/>
                <w:sz w:val="18"/>
                <w:szCs w:val="18"/>
              </w:rPr>
            </w:pPr>
            <w:r w:rsidRPr="00FB02F9">
              <w:rPr>
                <w:rFonts w:cs="Arial"/>
                <w:snapToGrid w:val="0"/>
                <w:color w:val="000000"/>
                <w:sz w:val="18"/>
                <w:szCs w:val="18"/>
              </w:rPr>
              <w:t>0.50</w:t>
            </w:r>
          </w:p>
        </w:tc>
        <w:tc>
          <w:tcPr>
            <w:tcW w:w="1560" w:type="dxa"/>
          </w:tcPr>
          <w:p w:rsidR="008134A5" w:rsidRPr="00FB02F9" w:rsidRDefault="008134A5" w:rsidP="008134A5">
            <w:pPr>
              <w:ind w:right="284"/>
              <w:jc w:val="right"/>
              <w:rPr>
                <w:rFonts w:cs="Arial"/>
                <w:snapToGrid w:val="0"/>
                <w:color w:val="000000"/>
                <w:sz w:val="18"/>
                <w:szCs w:val="18"/>
              </w:rPr>
            </w:pPr>
            <w:r w:rsidRPr="00FB02F9">
              <w:rPr>
                <w:rFonts w:cs="Arial"/>
                <w:snapToGrid w:val="0"/>
                <w:color w:val="000000"/>
                <w:sz w:val="18"/>
                <w:szCs w:val="18"/>
              </w:rPr>
              <w:t>26,820</w:t>
            </w:r>
          </w:p>
        </w:tc>
        <w:tc>
          <w:tcPr>
            <w:tcW w:w="1559" w:type="dxa"/>
          </w:tcPr>
          <w:p w:rsidR="008134A5" w:rsidRPr="00FB02F9" w:rsidRDefault="008134A5" w:rsidP="008134A5">
            <w:pPr>
              <w:ind w:right="284"/>
              <w:jc w:val="right"/>
              <w:rPr>
                <w:rFonts w:cs="Arial"/>
                <w:snapToGrid w:val="0"/>
                <w:color w:val="000000"/>
                <w:sz w:val="18"/>
                <w:szCs w:val="18"/>
              </w:rPr>
            </w:pPr>
            <w:r w:rsidRPr="00FB02F9">
              <w:rPr>
                <w:rFonts w:cs="Arial"/>
                <w:snapToGrid w:val="0"/>
                <w:color w:val="000000"/>
                <w:sz w:val="18"/>
                <w:szCs w:val="18"/>
              </w:rPr>
              <w:t>26,820</w:t>
            </w:r>
          </w:p>
        </w:tc>
      </w:tr>
      <w:tr w:rsidR="008134A5" w:rsidRPr="00FB02F9" w:rsidTr="008134A5">
        <w:trPr>
          <w:cantSplit/>
        </w:trPr>
        <w:tc>
          <w:tcPr>
            <w:tcW w:w="1218" w:type="dxa"/>
          </w:tcPr>
          <w:p w:rsidR="008134A5" w:rsidRPr="00FB02F9" w:rsidRDefault="008134A5" w:rsidP="008134A5">
            <w:pPr>
              <w:ind w:right="170"/>
              <w:jc w:val="right"/>
              <w:rPr>
                <w:rFonts w:cs="Arial"/>
                <w:snapToGrid w:val="0"/>
                <w:color w:val="000000"/>
                <w:sz w:val="18"/>
                <w:szCs w:val="18"/>
              </w:rPr>
            </w:pPr>
            <w:r w:rsidRPr="00FB02F9">
              <w:rPr>
                <w:rFonts w:cs="Arial"/>
                <w:snapToGrid w:val="0"/>
                <w:color w:val="000000"/>
                <w:sz w:val="18"/>
                <w:szCs w:val="18"/>
              </w:rPr>
              <w:t>268,205</w:t>
            </w:r>
          </w:p>
        </w:tc>
        <w:tc>
          <w:tcPr>
            <w:tcW w:w="1275" w:type="dxa"/>
          </w:tcPr>
          <w:p w:rsidR="008134A5" w:rsidRPr="00FB02F9" w:rsidRDefault="008134A5" w:rsidP="008134A5">
            <w:pPr>
              <w:ind w:right="170"/>
              <w:jc w:val="right"/>
              <w:rPr>
                <w:rFonts w:cs="Arial"/>
                <w:snapToGrid w:val="0"/>
                <w:color w:val="000000"/>
                <w:sz w:val="18"/>
                <w:szCs w:val="18"/>
              </w:rPr>
            </w:pPr>
            <w:r w:rsidRPr="00FB02F9">
              <w:rPr>
                <w:rFonts w:cs="Arial"/>
                <w:snapToGrid w:val="0"/>
                <w:color w:val="000000"/>
                <w:sz w:val="18"/>
                <w:szCs w:val="18"/>
              </w:rPr>
              <w:t>268,205</w:t>
            </w:r>
          </w:p>
        </w:tc>
        <w:tc>
          <w:tcPr>
            <w:tcW w:w="3036" w:type="dxa"/>
          </w:tcPr>
          <w:p w:rsidR="008134A5" w:rsidRPr="00FB02F9" w:rsidRDefault="008134A5" w:rsidP="008134A5">
            <w:pPr>
              <w:jc w:val="left"/>
              <w:rPr>
                <w:rFonts w:cs="Arial"/>
                <w:snapToGrid w:val="0"/>
                <w:color w:val="000000"/>
                <w:sz w:val="18"/>
                <w:szCs w:val="18"/>
              </w:rPr>
            </w:pPr>
            <w:r w:rsidRPr="00FB02F9">
              <w:rPr>
                <w:rFonts w:cs="Arial"/>
                <w:snapToGrid w:val="0"/>
                <w:color w:val="000000"/>
                <w:sz w:val="18"/>
                <w:szCs w:val="18"/>
              </w:rPr>
              <w:t>Deutschland</w:t>
            </w:r>
          </w:p>
        </w:tc>
        <w:tc>
          <w:tcPr>
            <w:tcW w:w="1032" w:type="dxa"/>
          </w:tcPr>
          <w:p w:rsidR="008134A5" w:rsidRPr="00FB02F9" w:rsidRDefault="008134A5" w:rsidP="002A18A8">
            <w:pPr>
              <w:ind w:right="284"/>
              <w:jc w:val="right"/>
              <w:rPr>
                <w:rFonts w:cs="Arial"/>
                <w:snapToGrid w:val="0"/>
                <w:color w:val="000000"/>
                <w:sz w:val="18"/>
                <w:szCs w:val="18"/>
              </w:rPr>
            </w:pPr>
            <w:r w:rsidRPr="00FB02F9">
              <w:rPr>
                <w:rFonts w:cs="Arial"/>
                <w:sz w:val="18"/>
                <w:szCs w:val="18"/>
              </w:rPr>
              <w:t>5.00</w:t>
            </w:r>
          </w:p>
        </w:tc>
        <w:tc>
          <w:tcPr>
            <w:tcW w:w="1560" w:type="dxa"/>
          </w:tcPr>
          <w:p w:rsidR="008134A5" w:rsidRPr="00FB02F9" w:rsidRDefault="008134A5" w:rsidP="008134A5">
            <w:pPr>
              <w:ind w:right="284"/>
              <w:jc w:val="right"/>
              <w:rPr>
                <w:rFonts w:cs="Arial"/>
                <w:snapToGrid w:val="0"/>
                <w:color w:val="000000"/>
                <w:sz w:val="18"/>
                <w:szCs w:val="18"/>
              </w:rPr>
            </w:pPr>
            <w:r w:rsidRPr="00FB02F9">
              <w:rPr>
                <w:rFonts w:cs="Arial"/>
                <w:snapToGrid w:val="0"/>
                <w:color w:val="000000"/>
                <w:sz w:val="18"/>
                <w:szCs w:val="18"/>
              </w:rPr>
              <w:t>268,205</w:t>
            </w:r>
          </w:p>
        </w:tc>
        <w:tc>
          <w:tcPr>
            <w:tcW w:w="1559" w:type="dxa"/>
          </w:tcPr>
          <w:p w:rsidR="008134A5" w:rsidRPr="00FB02F9" w:rsidRDefault="008134A5" w:rsidP="008134A5">
            <w:pPr>
              <w:ind w:right="284"/>
              <w:jc w:val="right"/>
              <w:rPr>
                <w:rFonts w:cs="Arial"/>
                <w:snapToGrid w:val="0"/>
                <w:color w:val="000000"/>
                <w:sz w:val="18"/>
                <w:szCs w:val="18"/>
              </w:rPr>
            </w:pPr>
            <w:r w:rsidRPr="00FB02F9">
              <w:rPr>
                <w:rFonts w:cs="Arial"/>
                <w:snapToGrid w:val="0"/>
                <w:color w:val="000000"/>
                <w:sz w:val="18"/>
                <w:szCs w:val="18"/>
              </w:rPr>
              <w:t>268,205</w:t>
            </w:r>
          </w:p>
        </w:tc>
      </w:tr>
      <w:tr w:rsidR="008134A5" w:rsidRPr="00FB02F9" w:rsidTr="008134A5">
        <w:trPr>
          <w:cantSplit/>
        </w:trPr>
        <w:tc>
          <w:tcPr>
            <w:tcW w:w="1218" w:type="dxa"/>
          </w:tcPr>
          <w:p w:rsidR="008134A5" w:rsidRPr="00FB02F9" w:rsidRDefault="008134A5" w:rsidP="008134A5">
            <w:pPr>
              <w:ind w:right="170"/>
              <w:jc w:val="right"/>
              <w:rPr>
                <w:rFonts w:cs="Arial"/>
                <w:snapToGrid w:val="0"/>
                <w:color w:val="000000"/>
                <w:sz w:val="18"/>
                <w:szCs w:val="18"/>
              </w:rPr>
            </w:pPr>
            <w:r w:rsidRPr="00FB02F9">
              <w:rPr>
                <w:rFonts w:cs="Arial"/>
                <w:snapToGrid w:val="0"/>
                <w:color w:val="000000"/>
                <w:sz w:val="18"/>
                <w:szCs w:val="18"/>
              </w:rPr>
              <w:t>10,728</w:t>
            </w:r>
          </w:p>
        </w:tc>
        <w:tc>
          <w:tcPr>
            <w:tcW w:w="1275" w:type="dxa"/>
          </w:tcPr>
          <w:p w:rsidR="008134A5" w:rsidRPr="00FB02F9" w:rsidRDefault="008134A5" w:rsidP="002939A5">
            <w:pPr>
              <w:ind w:right="170"/>
              <w:jc w:val="right"/>
              <w:rPr>
                <w:rFonts w:cs="Arial"/>
                <w:snapToGrid w:val="0"/>
                <w:color w:val="000000"/>
                <w:sz w:val="18"/>
                <w:szCs w:val="18"/>
              </w:rPr>
            </w:pPr>
            <w:r w:rsidRPr="00FB02F9">
              <w:rPr>
                <w:rFonts w:cs="Arial"/>
                <w:snapToGrid w:val="0"/>
                <w:color w:val="000000"/>
                <w:sz w:val="18"/>
                <w:szCs w:val="18"/>
              </w:rPr>
              <w:t>10,</w:t>
            </w:r>
            <w:r w:rsidR="002939A5">
              <w:rPr>
                <w:rFonts w:cs="Arial"/>
                <w:snapToGrid w:val="0"/>
                <w:color w:val="000000"/>
                <w:sz w:val="18"/>
                <w:szCs w:val="18"/>
              </w:rPr>
              <w:t>566</w:t>
            </w:r>
          </w:p>
        </w:tc>
        <w:tc>
          <w:tcPr>
            <w:tcW w:w="3036" w:type="dxa"/>
          </w:tcPr>
          <w:p w:rsidR="008134A5" w:rsidRPr="00FB02F9" w:rsidRDefault="008134A5" w:rsidP="008134A5">
            <w:pPr>
              <w:jc w:val="left"/>
              <w:rPr>
                <w:rFonts w:cs="Arial"/>
                <w:snapToGrid w:val="0"/>
                <w:color w:val="000000"/>
                <w:sz w:val="18"/>
                <w:szCs w:val="18"/>
              </w:rPr>
            </w:pPr>
            <w:r w:rsidRPr="00FB02F9">
              <w:rPr>
                <w:rFonts w:cs="Arial"/>
                <w:snapToGrid w:val="0"/>
                <w:color w:val="000000"/>
                <w:sz w:val="18"/>
                <w:szCs w:val="18"/>
              </w:rPr>
              <w:t>Dominikanische Republik</w:t>
            </w:r>
          </w:p>
        </w:tc>
        <w:tc>
          <w:tcPr>
            <w:tcW w:w="1032" w:type="dxa"/>
          </w:tcPr>
          <w:p w:rsidR="008134A5" w:rsidRPr="00FB02F9" w:rsidRDefault="008134A5" w:rsidP="002A18A8">
            <w:pPr>
              <w:ind w:right="284"/>
              <w:jc w:val="right"/>
              <w:rPr>
                <w:rFonts w:cs="Arial"/>
                <w:snapToGrid w:val="0"/>
                <w:color w:val="000000"/>
                <w:sz w:val="18"/>
                <w:szCs w:val="18"/>
              </w:rPr>
            </w:pPr>
            <w:r w:rsidRPr="00FB02F9">
              <w:rPr>
                <w:rFonts w:cs="Arial"/>
                <w:snapToGrid w:val="0"/>
                <w:color w:val="000000"/>
                <w:sz w:val="18"/>
                <w:szCs w:val="18"/>
              </w:rPr>
              <w:t>0.20</w:t>
            </w:r>
          </w:p>
        </w:tc>
        <w:tc>
          <w:tcPr>
            <w:tcW w:w="1560" w:type="dxa"/>
          </w:tcPr>
          <w:p w:rsidR="008134A5" w:rsidRPr="00FB02F9" w:rsidRDefault="008134A5" w:rsidP="008134A5">
            <w:pPr>
              <w:ind w:right="284"/>
              <w:jc w:val="right"/>
              <w:rPr>
                <w:rFonts w:cs="Arial"/>
                <w:snapToGrid w:val="0"/>
                <w:color w:val="000000"/>
                <w:sz w:val="18"/>
                <w:szCs w:val="18"/>
              </w:rPr>
            </w:pPr>
            <w:r w:rsidRPr="00FB02F9">
              <w:rPr>
                <w:rFonts w:cs="Arial"/>
                <w:snapToGrid w:val="0"/>
                <w:color w:val="000000"/>
                <w:sz w:val="18"/>
                <w:szCs w:val="18"/>
              </w:rPr>
              <w:t>10,728</w:t>
            </w:r>
          </w:p>
        </w:tc>
        <w:tc>
          <w:tcPr>
            <w:tcW w:w="1559" w:type="dxa"/>
          </w:tcPr>
          <w:p w:rsidR="008134A5" w:rsidRPr="00FB02F9" w:rsidRDefault="008134A5" w:rsidP="008134A5">
            <w:pPr>
              <w:ind w:right="284"/>
              <w:jc w:val="right"/>
              <w:rPr>
                <w:rFonts w:cs="Arial"/>
                <w:snapToGrid w:val="0"/>
                <w:color w:val="000000"/>
                <w:sz w:val="18"/>
                <w:szCs w:val="18"/>
              </w:rPr>
            </w:pPr>
            <w:r w:rsidRPr="00FB02F9">
              <w:rPr>
                <w:rFonts w:cs="Arial"/>
                <w:snapToGrid w:val="0"/>
                <w:color w:val="000000"/>
                <w:sz w:val="18"/>
                <w:szCs w:val="18"/>
              </w:rPr>
              <w:t>10,728</w:t>
            </w:r>
          </w:p>
        </w:tc>
      </w:tr>
      <w:tr w:rsidR="008134A5" w:rsidRPr="00FB02F9" w:rsidTr="008134A5">
        <w:trPr>
          <w:cantSplit/>
        </w:trPr>
        <w:tc>
          <w:tcPr>
            <w:tcW w:w="1218" w:type="dxa"/>
          </w:tcPr>
          <w:p w:rsidR="008134A5" w:rsidRPr="00FB02F9" w:rsidRDefault="008134A5" w:rsidP="008134A5">
            <w:pPr>
              <w:ind w:right="170"/>
              <w:jc w:val="right"/>
              <w:rPr>
                <w:rFonts w:cs="Arial"/>
                <w:snapToGrid w:val="0"/>
                <w:color w:val="000000"/>
                <w:sz w:val="18"/>
                <w:szCs w:val="18"/>
              </w:rPr>
            </w:pPr>
            <w:r w:rsidRPr="00FB02F9">
              <w:rPr>
                <w:rFonts w:cs="Arial"/>
                <w:snapToGrid w:val="0"/>
                <w:color w:val="000000"/>
                <w:sz w:val="18"/>
                <w:szCs w:val="18"/>
              </w:rPr>
              <w:t>10,728</w:t>
            </w:r>
          </w:p>
        </w:tc>
        <w:tc>
          <w:tcPr>
            <w:tcW w:w="1275" w:type="dxa"/>
          </w:tcPr>
          <w:p w:rsidR="008134A5" w:rsidRPr="00FB02F9" w:rsidRDefault="008134A5" w:rsidP="008134A5">
            <w:pPr>
              <w:ind w:right="170"/>
              <w:jc w:val="right"/>
              <w:rPr>
                <w:rFonts w:cs="Arial"/>
                <w:snapToGrid w:val="0"/>
                <w:color w:val="000000"/>
                <w:sz w:val="18"/>
                <w:szCs w:val="18"/>
              </w:rPr>
            </w:pPr>
            <w:r w:rsidRPr="00FB02F9">
              <w:rPr>
                <w:rFonts w:cs="Arial"/>
                <w:snapToGrid w:val="0"/>
                <w:color w:val="000000"/>
                <w:sz w:val="18"/>
                <w:szCs w:val="18"/>
              </w:rPr>
              <w:t>10,728</w:t>
            </w:r>
          </w:p>
        </w:tc>
        <w:tc>
          <w:tcPr>
            <w:tcW w:w="3036" w:type="dxa"/>
          </w:tcPr>
          <w:p w:rsidR="008134A5" w:rsidRPr="00FB02F9" w:rsidRDefault="008134A5" w:rsidP="008134A5">
            <w:pPr>
              <w:jc w:val="left"/>
              <w:rPr>
                <w:rFonts w:cs="Arial"/>
                <w:snapToGrid w:val="0"/>
                <w:color w:val="000000"/>
                <w:sz w:val="18"/>
                <w:szCs w:val="18"/>
              </w:rPr>
            </w:pPr>
            <w:r w:rsidRPr="00FB02F9">
              <w:rPr>
                <w:rFonts w:cs="Arial"/>
                <w:snapToGrid w:val="0"/>
                <w:color w:val="000000"/>
                <w:sz w:val="18"/>
                <w:szCs w:val="18"/>
              </w:rPr>
              <w:t>Ecuador</w:t>
            </w:r>
          </w:p>
        </w:tc>
        <w:tc>
          <w:tcPr>
            <w:tcW w:w="1032" w:type="dxa"/>
          </w:tcPr>
          <w:p w:rsidR="008134A5" w:rsidRPr="00FB02F9" w:rsidRDefault="008134A5" w:rsidP="002A18A8">
            <w:pPr>
              <w:ind w:right="284"/>
              <w:jc w:val="right"/>
              <w:rPr>
                <w:rFonts w:cs="Arial"/>
                <w:snapToGrid w:val="0"/>
                <w:color w:val="000000"/>
                <w:sz w:val="18"/>
                <w:szCs w:val="18"/>
              </w:rPr>
            </w:pPr>
            <w:r w:rsidRPr="00FB02F9">
              <w:rPr>
                <w:rFonts w:cs="Arial"/>
                <w:snapToGrid w:val="0"/>
                <w:color w:val="000000"/>
                <w:sz w:val="18"/>
                <w:szCs w:val="18"/>
              </w:rPr>
              <w:t>0.20</w:t>
            </w:r>
          </w:p>
        </w:tc>
        <w:tc>
          <w:tcPr>
            <w:tcW w:w="1560" w:type="dxa"/>
          </w:tcPr>
          <w:p w:rsidR="008134A5" w:rsidRPr="00FB02F9" w:rsidRDefault="008134A5" w:rsidP="008134A5">
            <w:pPr>
              <w:ind w:right="284"/>
              <w:jc w:val="right"/>
              <w:rPr>
                <w:rFonts w:cs="Arial"/>
                <w:snapToGrid w:val="0"/>
                <w:color w:val="000000"/>
                <w:sz w:val="18"/>
                <w:szCs w:val="18"/>
              </w:rPr>
            </w:pPr>
            <w:r w:rsidRPr="00FB02F9">
              <w:rPr>
                <w:rFonts w:cs="Arial"/>
                <w:snapToGrid w:val="0"/>
                <w:color w:val="000000"/>
                <w:sz w:val="18"/>
                <w:szCs w:val="18"/>
              </w:rPr>
              <w:t>10,728</w:t>
            </w:r>
          </w:p>
        </w:tc>
        <w:tc>
          <w:tcPr>
            <w:tcW w:w="1559" w:type="dxa"/>
          </w:tcPr>
          <w:p w:rsidR="008134A5" w:rsidRPr="00FB02F9" w:rsidRDefault="008134A5" w:rsidP="008134A5">
            <w:pPr>
              <w:ind w:right="284"/>
              <w:jc w:val="right"/>
              <w:rPr>
                <w:rFonts w:cs="Arial"/>
                <w:snapToGrid w:val="0"/>
                <w:color w:val="000000"/>
                <w:sz w:val="18"/>
                <w:szCs w:val="18"/>
              </w:rPr>
            </w:pPr>
            <w:r w:rsidRPr="00FB02F9">
              <w:rPr>
                <w:rFonts w:cs="Arial"/>
                <w:snapToGrid w:val="0"/>
                <w:color w:val="000000"/>
                <w:sz w:val="18"/>
                <w:szCs w:val="18"/>
              </w:rPr>
              <w:t>10,728</w:t>
            </w:r>
          </w:p>
        </w:tc>
      </w:tr>
      <w:tr w:rsidR="008134A5" w:rsidRPr="00FB02F9" w:rsidTr="008134A5">
        <w:trPr>
          <w:cantSplit/>
        </w:trPr>
        <w:tc>
          <w:tcPr>
            <w:tcW w:w="1218" w:type="dxa"/>
          </w:tcPr>
          <w:p w:rsidR="008134A5" w:rsidRPr="00FB02F9" w:rsidRDefault="008134A5" w:rsidP="008134A5">
            <w:pPr>
              <w:ind w:right="170"/>
              <w:jc w:val="right"/>
              <w:rPr>
                <w:rFonts w:cs="Arial"/>
                <w:snapToGrid w:val="0"/>
                <w:color w:val="000000"/>
                <w:sz w:val="18"/>
                <w:szCs w:val="18"/>
              </w:rPr>
            </w:pPr>
            <w:r w:rsidRPr="00FB02F9">
              <w:rPr>
                <w:rFonts w:cs="Arial"/>
                <w:snapToGrid w:val="0"/>
                <w:color w:val="000000"/>
                <w:sz w:val="18"/>
                <w:szCs w:val="18"/>
              </w:rPr>
              <w:t>10,728</w:t>
            </w:r>
          </w:p>
        </w:tc>
        <w:tc>
          <w:tcPr>
            <w:tcW w:w="1275" w:type="dxa"/>
          </w:tcPr>
          <w:p w:rsidR="008134A5" w:rsidRPr="00FB02F9" w:rsidRDefault="008134A5" w:rsidP="008134A5">
            <w:pPr>
              <w:ind w:right="170"/>
              <w:jc w:val="right"/>
              <w:rPr>
                <w:rFonts w:cs="Arial"/>
                <w:snapToGrid w:val="0"/>
                <w:color w:val="000000"/>
                <w:sz w:val="18"/>
                <w:szCs w:val="18"/>
              </w:rPr>
            </w:pPr>
            <w:r w:rsidRPr="00FB02F9">
              <w:rPr>
                <w:rFonts w:cs="Arial"/>
                <w:snapToGrid w:val="0"/>
                <w:color w:val="000000"/>
                <w:sz w:val="18"/>
                <w:szCs w:val="18"/>
              </w:rPr>
              <w:t>10,728</w:t>
            </w:r>
          </w:p>
        </w:tc>
        <w:tc>
          <w:tcPr>
            <w:tcW w:w="3036" w:type="dxa"/>
          </w:tcPr>
          <w:p w:rsidR="008134A5" w:rsidRPr="00FB02F9" w:rsidRDefault="008134A5" w:rsidP="008134A5">
            <w:pPr>
              <w:jc w:val="left"/>
              <w:rPr>
                <w:rFonts w:cs="Arial"/>
                <w:snapToGrid w:val="0"/>
                <w:color w:val="000000"/>
                <w:sz w:val="18"/>
                <w:szCs w:val="18"/>
              </w:rPr>
            </w:pPr>
            <w:r w:rsidRPr="00FB02F9">
              <w:rPr>
                <w:rFonts w:cs="Arial"/>
                <w:snapToGrid w:val="0"/>
                <w:color w:val="000000"/>
                <w:sz w:val="18"/>
                <w:szCs w:val="18"/>
              </w:rPr>
              <w:t>Ehemalige jugoslawische Republik Mazedonien</w:t>
            </w:r>
          </w:p>
        </w:tc>
        <w:tc>
          <w:tcPr>
            <w:tcW w:w="1032" w:type="dxa"/>
          </w:tcPr>
          <w:p w:rsidR="008134A5" w:rsidRPr="00FB02F9" w:rsidRDefault="008134A5" w:rsidP="002A18A8">
            <w:pPr>
              <w:ind w:right="284"/>
              <w:jc w:val="right"/>
              <w:rPr>
                <w:rFonts w:cs="Arial"/>
                <w:sz w:val="18"/>
                <w:szCs w:val="18"/>
              </w:rPr>
            </w:pPr>
            <w:r w:rsidRPr="00FB02F9">
              <w:rPr>
                <w:rFonts w:cs="Arial"/>
                <w:sz w:val="18"/>
                <w:szCs w:val="18"/>
              </w:rPr>
              <w:t>0.20</w:t>
            </w:r>
          </w:p>
        </w:tc>
        <w:tc>
          <w:tcPr>
            <w:tcW w:w="1560" w:type="dxa"/>
          </w:tcPr>
          <w:p w:rsidR="008134A5" w:rsidRPr="00FB02F9" w:rsidRDefault="008134A5" w:rsidP="008134A5">
            <w:pPr>
              <w:ind w:right="284"/>
              <w:jc w:val="right"/>
              <w:rPr>
                <w:rFonts w:cs="Arial"/>
                <w:snapToGrid w:val="0"/>
                <w:color w:val="000000"/>
                <w:sz w:val="18"/>
                <w:szCs w:val="18"/>
              </w:rPr>
            </w:pPr>
            <w:r w:rsidRPr="00FB02F9">
              <w:rPr>
                <w:rFonts w:cs="Arial"/>
                <w:snapToGrid w:val="0"/>
                <w:color w:val="000000"/>
                <w:sz w:val="18"/>
                <w:szCs w:val="18"/>
              </w:rPr>
              <w:t>10,728</w:t>
            </w:r>
          </w:p>
        </w:tc>
        <w:tc>
          <w:tcPr>
            <w:tcW w:w="1559" w:type="dxa"/>
          </w:tcPr>
          <w:p w:rsidR="008134A5" w:rsidRPr="00FB02F9" w:rsidRDefault="008134A5" w:rsidP="008134A5">
            <w:pPr>
              <w:ind w:right="284"/>
              <w:jc w:val="right"/>
              <w:rPr>
                <w:rFonts w:cs="Arial"/>
                <w:snapToGrid w:val="0"/>
                <w:color w:val="000000"/>
                <w:sz w:val="18"/>
                <w:szCs w:val="18"/>
              </w:rPr>
            </w:pPr>
            <w:r w:rsidRPr="00FB02F9">
              <w:rPr>
                <w:rFonts w:cs="Arial"/>
                <w:snapToGrid w:val="0"/>
                <w:color w:val="000000"/>
                <w:sz w:val="18"/>
                <w:szCs w:val="18"/>
              </w:rPr>
              <w:t>10,728</w:t>
            </w:r>
          </w:p>
        </w:tc>
      </w:tr>
      <w:tr w:rsidR="008134A5" w:rsidRPr="00FB02F9" w:rsidTr="008134A5">
        <w:trPr>
          <w:cantSplit/>
        </w:trPr>
        <w:tc>
          <w:tcPr>
            <w:tcW w:w="1218" w:type="dxa"/>
          </w:tcPr>
          <w:p w:rsidR="008134A5" w:rsidRPr="00FB02F9" w:rsidRDefault="008134A5" w:rsidP="008134A5">
            <w:pPr>
              <w:ind w:right="170"/>
              <w:jc w:val="right"/>
              <w:rPr>
                <w:rFonts w:cs="Arial"/>
                <w:snapToGrid w:val="0"/>
                <w:color w:val="000000"/>
                <w:sz w:val="18"/>
                <w:szCs w:val="18"/>
              </w:rPr>
            </w:pPr>
            <w:r w:rsidRPr="00FB02F9">
              <w:rPr>
                <w:rFonts w:cs="Arial"/>
                <w:snapToGrid w:val="0"/>
                <w:color w:val="000000"/>
                <w:sz w:val="18"/>
                <w:szCs w:val="18"/>
              </w:rPr>
              <w:t>10,728</w:t>
            </w:r>
          </w:p>
        </w:tc>
        <w:tc>
          <w:tcPr>
            <w:tcW w:w="1275" w:type="dxa"/>
          </w:tcPr>
          <w:p w:rsidR="008134A5" w:rsidRPr="00FB02F9" w:rsidRDefault="008134A5" w:rsidP="008134A5">
            <w:pPr>
              <w:ind w:right="170"/>
              <w:jc w:val="right"/>
              <w:rPr>
                <w:rFonts w:cs="Arial"/>
                <w:snapToGrid w:val="0"/>
                <w:color w:val="000000"/>
                <w:sz w:val="18"/>
                <w:szCs w:val="18"/>
              </w:rPr>
            </w:pPr>
            <w:r w:rsidRPr="00FB02F9">
              <w:rPr>
                <w:rFonts w:cs="Arial"/>
                <w:snapToGrid w:val="0"/>
                <w:color w:val="000000"/>
                <w:sz w:val="18"/>
                <w:szCs w:val="18"/>
              </w:rPr>
              <w:t>10,728</w:t>
            </w:r>
          </w:p>
        </w:tc>
        <w:tc>
          <w:tcPr>
            <w:tcW w:w="3036" w:type="dxa"/>
          </w:tcPr>
          <w:p w:rsidR="008134A5" w:rsidRPr="00FB02F9" w:rsidRDefault="008134A5" w:rsidP="008134A5">
            <w:pPr>
              <w:jc w:val="left"/>
              <w:rPr>
                <w:rFonts w:cs="Arial"/>
                <w:snapToGrid w:val="0"/>
                <w:color w:val="000000"/>
                <w:sz w:val="18"/>
                <w:szCs w:val="18"/>
              </w:rPr>
            </w:pPr>
            <w:r w:rsidRPr="00FB02F9">
              <w:rPr>
                <w:rFonts w:cs="Arial"/>
                <w:snapToGrid w:val="0"/>
                <w:color w:val="000000"/>
                <w:sz w:val="18"/>
                <w:szCs w:val="18"/>
              </w:rPr>
              <w:t>Estland</w:t>
            </w:r>
          </w:p>
        </w:tc>
        <w:tc>
          <w:tcPr>
            <w:tcW w:w="1032" w:type="dxa"/>
          </w:tcPr>
          <w:p w:rsidR="008134A5" w:rsidRPr="00FB02F9" w:rsidRDefault="008134A5" w:rsidP="002A18A8">
            <w:pPr>
              <w:ind w:right="284"/>
              <w:jc w:val="right"/>
              <w:rPr>
                <w:rFonts w:cs="Arial"/>
                <w:snapToGrid w:val="0"/>
                <w:color w:val="000000"/>
                <w:sz w:val="18"/>
                <w:szCs w:val="18"/>
              </w:rPr>
            </w:pPr>
            <w:r w:rsidRPr="00FB02F9">
              <w:rPr>
                <w:rFonts w:cs="Arial"/>
                <w:snapToGrid w:val="0"/>
                <w:color w:val="000000"/>
                <w:sz w:val="18"/>
                <w:szCs w:val="18"/>
              </w:rPr>
              <w:t>0.20</w:t>
            </w:r>
          </w:p>
        </w:tc>
        <w:tc>
          <w:tcPr>
            <w:tcW w:w="1560" w:type="dxa"/>
          </w:tcPr>
          <w:p w:rsidR="008134A5" w:rsidRPr="00FB02F9" w:rsidRDefault="008134A5" w:rsidP="008134A5">
            <w:pPr>
              <w:ind w:right="284"/>
              <w:jc w:val="right"/>
              <w:rPr>
                <w:rFonts w:cs="Arial"/>
                <w:snapToGrid w:val="0"/>
                <w:color w:val="000000"/>
                <w:sz w:val="18"/>
                <w:szCs w:val="18"/>
              </w:rPr>
            </w:pPr>
            <w:r w:rsidRPr="00FB02F9">
              <w:rPr>
                <w:rFonts w:cs="Arial"/>
                <w:snapToGrid w:val="0"/>
                <w:color w:val="000000"/>
                <w:sz w:val="18"/>
                <w:szCs w:val="18"/>
              </w:rPr>
              <w:t>10,728</w:t>
            </w:r>
          </w:p>
        </w:tc>
        <w:tc>
          <w:tcPr>
            <w:tcW w:w="1559" w:type="dxa"/>
          </w:tcPr>
          <w:p w:rsidR="008134A5" w:rsidRPr="00FB02F9" w:rsidRDefault="008134A5" w:rsidP="008134A5">
            <w:pPr>
              <w:ind w:right="284"/>
              <w:jc w:val="right"/>
              <w:rPr>
                <w:rFonts w:cs="Arial"/>
                <w:snapToGrid w:val="0"/>
                <w:color w:val="000000"/>
                <w:sz w:val="18"/>
                <w:szCs w:val="18"/>
              </w:rPr>
            </w:pPr>
            <w:r w:rsidRPr="00FB02F9">
              <w:rPr>
                <w:rFonts w:cs="Arial"/>
                <w:snapToGrid w:val="0"/>
                <w:color w:val="000000"/>
                <w:sz w:val="18"/>
                <w:szCs w:val="18"/>
              </w:rPr>
              <w:t>10,728</w:t>
            </w:r>
          </w:p>
        </w:tc>
      </w:tr>
      <w:tr w:rsidR="008134A5" w:rsidRPr="00FB02F9" w:rsidTr="008134A5">
        <w:trPr>
          <w:cantSplit/>
        </w:trPr>
        <w:tc>
          <w:tcPr>
            <w:tcW w:w="1218" w:type="dxa"/>
          </w:tcPr>
          <w:p w:rsidR="008134A5" w:rsidRPr="00FB02F9" w:rsidRDefault="008134A5" w:rsidP="008134A5">
            <w:pPr>
              <w:ind w:right="170"/>
              <w:jc w:val="right"/>
              <w:rPr>
                <w:rFonts w:cs="Arial"/>
                <w:snapToGrid w:val="0"/>
                <w:color w:val="000000"/>
                <w:sz w:val="18"/>
                <w:szCs w:val="18"/>
              </w:rPr>
            </w:pPr>
            <w:r w:rsidRPr="00FB02F9">
              <w:rPr>
                <w:rFonts w:cs="Arial"/>
                <w:snapToGrid w:val="0"/>
                <w:color w:val="000000"/>
                <w:sz w:val="18"/>
                <w:szCs w:val="18"/>
              </w:rPr>
              <w:t>268,205</w:t>
            </w:r>
          </w:p>
        </w:tc>
        <w:tc>
          <w:tcPr>
            <w:tcW w:w="1275" w:type="dxa"/>
          </w:tcPr>
          <w:p w:rsidR="008134A5" w:rsidRPr="00FB02F9" w:rsidRDefault="008134A5" w:rsidP="008134A5">
            <w:pPr>
              <w:ind w:right="170"/>
              <w:jc w:val="right"/>
              <w:rPr>
                <w:rFonts w:cs="Arial"/>
                <w:snapToGrid w:val="0"/>
                <w:color w:val="000000"/>
                <w:sz w:val="18"/>
                <w:szCs w:val="18"/>
              </w:rPr>
            </w:pPr>
            <w:r w:rsidRPr="00FB02F9">
              <w:rPr>
                <w:rFonts w:cs="Arial"/>
                <w:snapToGrid w:val="0"/>
                <w:color w:val="000000"/>
                <w:sz w:val="18"/>
                <w:szCs w:val="18"/>
              </w:rPr>
              <w:t>268,205</w:t>
            </w:r>
          </w:p>
        </w:tc>
        <w:tc>
          <w:tcPr>
            <w:tcW w:w="3036" w:type="dxa"/>
          </w:tcPr>
          <w:p w:rsidR="008134A5" w:rsidRPr="00FB02F9" w:rsidRDefault="008134A5" w:rsidP="008134A5">
            <w:pPr>
              <w:jc w:val="left"/>
              <w:rPr>
                <w:rFonts w:cs="Arial"/>
                <w:snapToGrid w:val="0"/>
                <w:color w:val="000000"/>
                <w:sz w:val="18"/>
                <w:szCs w:val="18"/>
              </w:rPr>
            </w:pPr>
            <w:r w:rsidRPr="00FB02F9">
              <w:rPr>
                <w:rFonts w:cs="Arial"/>
                <w:snapToGrid w:val="0"/>
                <w:color w:val="000000"/>
                <w:sz w:val="18"/>
                <w:szCs w:val="18"/>
              </w:rPr>
              <w:t>Europäische Union</w:t>
            </w:r>
          </w:p>
        </w:tc>
        <w:tc>
          <w:tcPr>
            <w:tcW w:w="1032" w:type="dxa"/>
          </w:tcPr>
          <w:p w:rsidR="008134A5" w:rsidRPr="00FB02F9" w:rsidRDefault="008134A5" w:rsidP="002A18A8">
            <w:pPr>
              <w:ind w:right="284"/>
              <w:jc w:val="right"/>
              <w:rPr>
                <w:rFonts w:cs="Arial"/>
                <w:snapToGrid w:val="0"/>
                <w:color w:val="000000"/>
                <w:sz w:val="18"/>
                <w:szCs w:val="18"/>
              </w:rPr>
            </w:pPr>
            <w:r w:rsidRPr="00FB02F9">
              <w:rPr>
                <w:rFonts w:cs="Arial"/>
                <w:sz w:val="18"/>
                <w:szCs w:val="18"/>
              </w:rPr>
              <w:t>5.00</w:t>
            </w:r>
          </w:p>
        </w:tc>
        <w:tc>
          <w:tcPr>
            <w:tcW w:w="1560" w:type="dxa"/>
          </w:tcPr>
          <w:p w:rsidR="008134A5" w:rsidRPr="00FB02F9" w:rsidRDefault="008134A5" w:rsidP="008134A5">
            <w:pPr>
              <w:ind w:right="284"/>
              <w:jc w:val="right"/>
              <w:rPr>
                <w:rFonts w:cs="Arial"/>
                <w:snapToGrid w:val="0"/>
                <w:color w:val="000000"/>
                <w:sz w:val="18"/>
                <w:szCs w:val="18"/>
              </w:rPr>
            </w:pPr>
            <w:r w:rsidRPr="00FB02F9">
              <w:rPr>
                <w:rFonts w:cs="Arial"/>
                <w:snapToGrid w:val="0"/>
                <w:color w:val="000000"/>
                <w:sz w:val="18"/>
                <w:szCs w:val="18"/>
              </w:rPr>
              <w:t>268,205</w:t>
            </w:r>
          </w:p>
        </w:tc>
        <w:tc>
          <w:tcPr>
            <w:tcW w:w="1559" w:type="dxa"/>
          </w:tcPr>
          <w:p w:rsidR="008134A5" w:rsidRPr="00FB02F9" w:rsidRDefault="008134A5" w:rsidP="008134A5">
            <w:pPr>
              <w:ind w:right="284"/>
              <w:jc w:val="right"/>
              <w:rPr>
                <w:rFonts w:cs="Arial"/>
                <w:snapToGrid w:val="0"/>
                <w:color w:val="000000"/>
                <w:sz w:val="18"/>
                <w:szCs w:val="18"/>
              </w:rPr>
            </w:pPr>
            <w:r w:rsidRPr="00FB02F9">
              <w:rPr>
                <w:rFonts w:cs="Arial"/>
                <w:snapToGrid w:val="0"/>
                <w:color w:val="000000"/>
                <w:sz w:val="18"/>
                <w:szCs w:val="18"/>
              </w:rPr>
              <w:t>268,205</w:t>
            </w:r>
          </w:p>
        </w:tc>
      </w:tr>
      <w:tr w:rsidR="008134A5" w:rsidRPr="00FB02F9" w:rsidTr="008134A5">
        <w:trPr>
          <w:cantSplit/>
        </w:trPr>
        <w:tc>
          <w:tcPr>
            <w:tcW w:w="1218" w:type="dxa"/>
          </w:tcPr>
          <w:p w:rsidR="008134A5" w:rsidRPr="00FB02F9" w:rsidRDefault="008134A5" w:rsidP="008134A5">
            <w:pPr>
              <w:ind w:right="170"/>
              <w:jc w:val="right"/>
              <w:rPr>
                <w:rFonts w:cs="Arial"/>
                <w:snapToGrid w:val="0"/>
                <w:color w:val="000000"/>
                <w:sz w:val="18"/>
                <w:szCs w:val="18"/>
              </w:rPr>
            </w:pPr>
            <w:r w:rsidRPr="00FB02F9">
              <w:rPr>
                <w:rFonts w:cs="Arial"/>
                <w:snapToGrid w:val="0"/>
                <w:color w:val="000000"/>
                <w:sz w:val="18"/>
                <w:szCs w:val="18"/>
              </w:rPr>
              <w:t>53,641</w:t>
            </w:r>
          </w:p>
        </w:tc>
        <w:tc>
          <w:tcPr>
            <w:tcW w:w="1275" w:type="dxa"/>
          </w:tcPr>
          <w:p w:rsidR="008134A5" w:rsidRPr="00FB02F9" w:rsidRDefault="008134A5" w:rsidP="008134A5">
            <w:pPr>
              <w:ind w:right="170"/>
              <w:jc w:val="right"/>
              <w:rPr>
                <w:rFonts w:cs="Arial"/>
                <w:snapToGrid w:val="0"/>
                <w:color w:val="000000"/>
                <w:sz w:val="18"/>
                <w:szCs w:val="18"/>
              </w:rPr>
            </w:pPr>
            <w:r w:rsidRPr="00FB02F9">
              <w:rPr>
                <w:rFonts w:cs="Arial"/>
                <w:snapToGrid w:val="0"/>
                <w:color w:val="000000"/>
                <w:sz w:val="18"/>
                <w:szCs w:val="18"/>
              </w:rPr>
              <w:t>53,641</w:t>
            </w:r>
          </w:p>
        </w:tc>
        <w:tc>
          <w:tcPr>
            <w:tcW w:w="3036" w:type="dxa"/>
          </w:tcPr>
          <w:p w:rsidR="008134A5" w:rsidRPr="00FB02F9" w:rsidRDefault="008134A5" w:rsidP="008134A5">
            <w:pPr>
              <w:jc w:val="left"/>
              <w:rPr>
                <w:rFonts w:cs="Arial"/>
                <w:snapToGrid w:val="0"/>
                <w:color w:val="000000"/>
                <w:sz w:val="18"/>
                <w:szCs w:val="18"/>
              </w:rPr>
            </w:pPr>
            <w:r w:rsidRPr="00FB02F9">
              <w:rPr>
                <w:rFonts w:cs="Arial"/>
                <w:snapToGrid w:val="0"/>
                <w:color w:val="000000"/>
                <w:sz w:val="18"/>
                <w:szCs w:val="18"/>
              </w:rPr>
              <w:t>Finnland</w:t>
            </w:r>
          </w:p>
        </w:tc>
        <w:tc>
          <w:tcPr>
            <w:tcW w:w="1032" w:type="dxa"/>
          </w:tcPr>
          <w:p w:rsidR="008134A5" w:rsidRPr="00FB02F9" w:rsidRDefault="008134A5" w:rsidP="002A18A8">
            <w:pPr>
              <w:ind w:right="284"/>
              <w:jc w:val="right"/>
              <w:rPr>
                <w:rFonts w:cs="Arial"/>
                <w:snapToGrid w:val="0"/>
                <w:color w:val="000000"/>
                <w:sz w:val="18"/>
                <w:szCs w:val="18"/>
              </w:rPr>
            </w:pPr>
            <w:r w:rsidRPr="00FB02F9">
              <w:rPr>
                <w:rFonts w:cs="Arial"/>
                <w:sz w:val="18"/>
                <w:szCs w:val="18"/>
              </w:rPr>
              <w:t>1.00</w:t>
            </w:r>
          </w:p>
        </w:tc>
        <w:tc>
          <w:tcPr>
            <w:tcW w:w="1560" w:type="dxa"/>
          </w:tcPr>
          <w:p w:rsidR="008134A5" w:rsidRPr="00FB02F9" w:rsidRDefault="008134A5" w:rsidP="008134A5">
            <w:pPr>
              <w:ind w:right="284"/>
              <w:jc w:val="right"/>
              <w:rPr>
                <w:rFonts w:cs="Arial"/>
                <w:snapToGrid w:val="0"/>
                <w:color w:val="000000"/>
                <w:sz w:val="18"/>
                <w:szCs w:val="18"/>
              </w:rPr>
            </w:pPr>
            <w:r w:rsidRPr="00FB02F9">
              <w:rPr>
                <w:rFonts w:cs="Arial"/>
                <w:snapToGrid w:val="0"/>
                <w:color w:val="000000"/>
                <w:sz w:val="18"/>
                <w:szCs w:val="18"/>
              </w:rPr>
              <w:t>53,641</w:t>
            </w:r>
          </w:p>
        </w:tc>
        <w:tc>
          <w:tcPr>
            <w:tcW w:w="1559" w:type="dxa"/>
          </w:tcPr>
          <w:p w:rsidR="008134A5" w:rsidRPr="00FB02F9" w:rsidRDefault="008134A5" w:rsidP="008134A5">
            <w:pPr>
              <w:ind w:right="284"/>
              <w:jc w:val="right"/>
              <w:rPr>
                <w:rFonts w:cs="Arial"/>
                <w:snapToGrid w:val="0"/>
                <w:color w:val="000000"/>
                <w:sz w:val="18"/>
                <w:szCs w:val="18"/>
              </w:rPr>
            </w:pPr>
            <w:r w:rsidRPr="00FB02F9">
              <w:rPr>
                <w:rFonts w:cs="Arial"/>
                <w:snapToGrid w:val="0"/>
                <w:color w:val="000000"/>
                <w:sz w:val="18"/>
                <w:szCs w:val="18"/>
              </w:rPr>
              <w:t>53,641</w:t>
            </w:r>
          </w:p>
        </w:tc>
      </w:tr>
      <w:tr w:rsidR="008134A5" w:rsidRPr="00FB02F9" w:rsidTr="008134A5">
        <w:trPr>
          <w:cantSplit/>
        </w:trPr>
        <w:tc>
          <w:tcPr>
            <w:tcW w:w="1218" w:type="dxa"/>
          </w:tcPr>
          <w:p w:rsidR="008134A5" w:rsidRPr="00FB02F9" w:rsidRDefault="008134A5" w:rsidP="008134A5">
            <w:pPr>
              <w:ind w:right="170"/>
              <w:jc w:val="right"/>
              <w:rPr>
                <w:rFonts w:cs="Arial"/>
                <w:snapToGrid w:val="0"/>
                <w:color w:val="000000"/>
                <w:sz w:val="18"/>
                <w:szCs w:val="18"/>
              </w:rPr>
            </w:pPr>
            <w:r w:rsidRPr="00FB02F9">
              <w:rPr>
                <w:rFonts w:cs="Arial"/>
                <w:snapToGrid w:val="0"/>
                <w:color w:val="000000"/>
                <w:sz w:val="18"/>
                <w:szCs w:val="18"/>
              </w:rPr>
              <w:t>268,205</w:t>
            </w:r>
          </w:p>
        </w:tc>
        <w:tc>
          <w:tcPr>
            <w:tcW w:w="1275" w:type="dxa"/>
          </w:tcPr>
          <w:p w:rsidR="008134A5" w:rsidRPr="00FB02F9" w:rsidRDefault="008134A5" w:rsidP="008134A5">
            <w:pPr>
              <w:ind w:right="170"/>
              <w:jc w:val="right"/>
              <w:rPr>
                <w:rFonts w:cs="Arial"/>
                <w:snapToGrid w:val="0"/>
                <w:color w:val="000000"/>
                <w:sz w:val="18"/>
                <w:szCs w:val="18"/>
              </w:rPr>
            </w:pPr>
            <w:r w:rsidRPr="00FB02F9">
              <w:rPr>
                <w:rFonts w:cs="Arial"/>
                <w:snapToGrid w:val="0"/>
                <w:color w:val="000000"/>
                <w:sz w:val="18"/>
                <w:szCs w:val="18"/>
              </w:rPr>
              <w:t>268,205</w:t>
            </w:r>
          </w:p>
        </w:tc>
        <w:tc>
          <w:tcPr>
            <w:tcW w:w="3036" w:type="dxa"/>
          </w:tcPr>
          <w:p w:rsidR="008134A5" w:rsidRPr="00FB02F9" w:rsidRDefault="008134A5" w:rsidP="008134A5">
            <w:pPr>
              <w:jc w:val="left"/>
              <w:rPr>
                <w:rFonts w:cs="Arial"/>
                <w:snapToGrid w:val="0"/>
                <w:color w:val="000000"/>
                <w:sz w:val="18"/>
                <w:szCs w:val="18"/>
              </w:rPr>
            </w:pPr>
            <w:r w:rsidRPr="00FB02F9">
              <w:rPr>
                <w:rFonts w:cs="Arial"/>
                <w:snapToGrid w:val="0"/>
                <w:color w:val="000000"/>
                <w:sz w:val="18"/>
                <w:szCs w:val="18"/>
              </w:rPr>
              <w:t>Frankreich</w:t>
            </w:r>
          </w:p>
        </w:tc>
        <w:tc>
          <w:tcPr>
            <w:tcW w:w="1032" w:type="dxa"/>
          </w:tcPr>
          <w:p w:rsidR="008134A5" w:rsidRPr="00FB02F9" w:rsidRDefault="008134A5" w:rsidP="002A18A8">
            <w:pPr>
              <w:ind w:right="284"/>
              <w:jc w:val="right"/>
              <w:rPr>
                <w:rFonts w:cs="Arial"/>
                <w:snapToGrid w:val="0"/>
                <w:color w:val="000000"/>
                <w:sz w:val="18"/>
                <w:szCs w:val="18"/>
              </w:rPr>
            </w:pPr>
            <w:r w:rsidRPr="00FB02F9">
              <w:rPr>
                <w:rFonts w:cs="Arial"/>
                <w:sz w:val="18"/>
                <w:szCs w:val="18"/>
              </w:rPr>
              <w:t>5.00</w:t>
            </w:r>
          </w:p>
        </w:tc>
        <w:tc>
          <w:tcPr>
            <w:tcW w:w="1560" w:type="dxa"/>
          </w:tcPr>
          <w:p w:rsidR="008134A5" w:rsidRPr="00FB02F9" w:rsidRDefault="008134A5" w:rsidP="008134A5">
            <w:pPr>
              <w:ind w:right="284"/>
              <w:jc w:val="right"/>
              <w:rPr>
                <w:rFonts w:cs="Arial"/>
                <w:snapToGrid w:val="0"/>
                <w:color w:val="000000"/>
                <w:sz w:val="18"/>
                <w:szCs w:val="18"/>
              </w:rPr>
            </w:pPr>
            <w:r w:rsidRPr="00FB02F9">
              <w:rPr>
                <w:rFonts w:cs="Arial"/>
                <w:snapToGrid w:val="0"/>
                <w:color w:val="000000"/>
                <w:sz w:val="18"/>
                <w:szCs w:val="18"/>
              </w:rPr>
              <w:t>268,205</w:t>
            </w:r>
          </w:p>
        </w:tc>
        <w:tc>
          <w:tcPr>
            <w:tcW w:w="1559" w:type="dxa"/>
          </w:tcPr>
          <w:p w:rsidR="008134A5" w:rsidRPr="00FB02F9" w:rsidRDefault="008134A5" w:rsidP="008134A5">
            <w:pPr>
              <w:ind w:right="284"/>
              <w:jc w:val="right"/>
              <w:rPr>
                <w:rFonts w:cs="Arial"/>
                <w:snapToGrid w:val="0"/>
                <w:color w:val="000000"/>
                <w:sz w:val="18"/>
                <w:szCs w:val="18"/>
              </w:rPr>
            </w:pPr>
            <w:r w:rsidRPr="00FB02F9">
              <w:rPr>
                <w:rFonts w:cs="Arial"/>
                <w:snapToGrid w:val="0"/>
                <w:color w:val="000000"/>
                <w:sz w:val="18"/>
                <w:szCs w:val="18"/>
              </w:rPr>
              <w:t>268,205</w:t>
            </w:r>
          </w:p>
        </w:tc>
      </w:tr>
      <w:tr w:rsidR="008134A5" w:rsidRPr="00FB02F9" w:rsidTr="008134A5">
        <w:trPr>
          <w:cantSplit/>
        </w:trPr>
        <w:tc>
          <w:tcPr>
            <w:tcW w:w="1218" w:type="dxa"/>
          </w:tcPr>
          <w:p w:rsidR="008134A5" w:rsidRPr="00FB02F9" w:rsidRDefault="008134A5" w:rsidP="008134A5">
            <w:pPr>
              <w:ind w:right="170"/>
              <w:jc w:val="right"/>
              <w:rPr>
                <w:rFonts w:cs="Arial"/>
                <w:snapToGrid w:val="0"/>
                <w:color w:val="000000"/>
                <w:sz w:val="18"/>
                <w:szCs w:val="18"/>
              </w:rPr>
            </w:pPr>
            <w:r w:rsidRPr="00FB02F9">
              <w:rPr>
                <w:rFonts w:cs="Arial"/>
                <w:snapToGrid w:val="0"/>
                <w:color w:val="000000"/>
                <w:sz w:val="18"/>
                <w:szCs w:val="18"/>
              </w:rPr>
              <w:t>10,728</w:t>
            </w:r>
          </w:p>
        </w:tc>
        <w:tc>
          <w:tcPr>
            <w:tcW w:w="1275" w:type="dxa"/>
          </w:tcPr>
          <w:p w:rsidR="008134A5" w:rsidRPr="00FB02F9" w:rsidRDefault="008134A5" w:rsidP="008134A5">
            <w:pPr>
              <w:ind w:right="170"/>
              <w:jc w:val="right"/>
              <w:rPr>
                <w:rFonts w:cs="Arial"/>
                <w:snapToGrid w:val="0"/>
                <w:color w:val="000000"/>
                <w:sz w:val="18"/>
                <w:szCs w:val="18"/>
              </w:rPr>
            </w:pPr>
            <w:r w:rsidRPr="00FB02F9">
              <w:rPr>
                <w:rFonts w:cs="Arial"/>
                <w:snapToGrid w:val="0"/>
                <w:color w:val="000000"/>
                <w:sz w:val="18"/>
                <w:szCs w:val="18"/>
              </w:rPr>
              <w:t>10,728</w:t>
            </w:r>
          </w:p>
        </w:tc>
        <w:tc>
          <w:tcPr>
            <w:tcW w:w="3036" w:type="dxa"/>
          </w:tcPr>
          <w:p w:rsidR="008134A5" w:rsidRPr="00FB02F9" w:rsidRDefault="008134A5" w:rsidP="008134A5">
            <w:pPr>
              <w:jc w:val="left"/>
              <w:rPr>
                <w:rFonts w:cs="Arial"/>
                <w:snapToGrid w:val="0"/>
                <w:color w:val="000000"/>
                <w:sz w:val="18"/>
                <w:szCs w:val="18"/>
              </w:rPr>
            </w:pPr>
            <w:r w:rsidRPr="00FB02F9">
              <w:rPr>
                <w:rFonts w:cs="Arial"/>
                <w:snapToGrid w:val="0"/>
                <w:color w:val="000000"/>
                <w:sz w:val="18"/>
                <w:szCs w:val="18"/>
              </w:rPr>
              <w:t>Georgien</w:t>
            </w:r>
          </w:p>
        </w:tc>
        <w:tc>
          <w:tcPr>
            <w:tcW w:w="1032" w:type="dxa"/>
          </w:tcPr>
          <w:p w:rsidR="008134A5" w:rsidRPr="00FB02F9" w:rsidRDefault="008134A5" w:rsidP="002A18A8">
            <w:pPr>
              <w:ind w:right="284"/>
              <w:jc w:val="right"/>
              <w:rPr>
                <w:rFonts w:cs="Arial"/>
                <w:snapToGrid w:val="0"/>
                <w:color w:val="000000"/>
                <w:sz w:val="18"/>
                <w:szCs w:val="18"/>
              </w:rPr>
            </w:pPr>
            <w:r w:rsidRPr="00FB02F9">
              <w:rPr>
                <w:rFonts w:cs="Arial"/>
                <w:snapToGrid w:val="0"/>
                <w:color w:val="000000"/>
                <w:sz w:val="18"/>
                <w:szCs w:val="18"/>
              </w:rPr>
              <w:t>0.20</w:t>
            </w:r>
          </w:p>
        </w:tc>
        <w:tc>
          <w:tcPr>
            <w:tcW w:w="1560" w:type="dxa"/>
          </w:tcPr>
          <w:p w:rsidR="008134A5" w:rsidRPr="00FB02F9" w:rsidRDefault="008134A5" w:rsidP="008134A5">
            <w:pPr>
              <w:ind w:right="284"/>
              <w:jc w:val="right"/>
              <w:rPr>
                <w:rFonts w:cs="Arial"/>
                <w:snapToGrid w:val="0"/>
                <w:color w:val="000000"/>
                <w:sz w:val="18"/>
                <w:szCs w:val="18"/>
              </w:rPr>
            </w:pPr>
            <w:r w:rsidRPr="00FB02F9">
              <w:rPr>
                <w:rFonts w:cs="Arial"/>
                <w:snapToGrid w:val="0"/>
                <w:color w:val="000000"/>
                <w:sz w:val="18"/>
                <w:szCs w:val="18"/>
              </w:rPr>
              <w:t>10,728</w:t>
            </w:r>
          </w:p>
        </w:tc>
        <w:tc>
          <w:tcPr>
            <w:tcW w:w="1559" w:type="dxa"/>
          </w:tcPr>
          <w:p w:rsidR="008134A5" w:rsidRPr="00FB02F9" w:rsidRDefault="008134A5" w:rsidP="008134A5">
            <w:pPr>
              <w:ind w:right="284"/>
              <w:jc w:val="right"/>
              <w:rPr>
                <w:rFonts w:cs="Arial"/>
                <w:snapToGrid w:val="0"/>
                <w:color w:val="000000"/>
                <w:sz w:val="18"/>
                <w:szCs w:val="18"/>
              </w:rPr>
            </w:pPr>
            <w:r w:rsidRPr="00FB02F9">
              <w:rPr>
                <w:rFonts w:cs="Arial"/>
                <w:snapToGrid w:val="0"/>
                <w:color w:val="000000"/>
                <w:sz w:val="18"/>
                <w:szCs w:val="18"/>
              </w:rPr>
              <w:t>10,728</w:t>
            </w:r>
          </w:p>
        </w:tc>
      </w:tr>
      <w:tr w:rsidR="008134A5" w:rsidRPr="00FB02F9" w:rsidTr="008134A5">
        <w:trPr>
          <w:cantSplit/>
        </w:trPr>
        <w:tc>
          <w:tcPr>
            <w:tcW w:w="1218" w:type="dxa"/>
          </w:tcPr>
          <w:p w:rsidR="008134A5" w:rsidRPr="00FB02F9" w:rsidRDefault="008134A5" w:rsidP="008134A5">
            <w:pPr>
              <w:ind w:right="170"/>
              <w:jc w:val="right"/>
              <w:rPr>
                <w:rFonts w:cs="Arial"/>
                <w:snapToGrid w:val="0"/>
                <w:color w:val="000000"/>
                <w:sz w:val="18"/>
                <w:szCs w:val="18"/>
              </w:rPr>
            </w:pPr>
            <w:r w:rsidRPr="00FB02F9">
              <w:rPr>
                <w:rFonts w:cs="Arial"/>
                <w:snapToGrid w:val="0"/>
                <w:color w:val="000000"/>
                <w:sz w:val="18"/>
                <w:szCs w:val="18"/>
              </w:rPr>
              <w:t>53,641</w:t>
            </w:r>
          </w:p>
        </w:tc>
        <w:tc>
          <w:tcPr>
            <w:tcW w:w="1275" w:type="dxa"/>
          </w:tcPr>
          <w:p w:rsidR="008134A5" w:rsidRPr="00FB02F9" w:rsidRDefault="008134A5" w:rsidP="008134A5">
            <w:pPr>
              <w:ind w:right="170"/>
              <w:jc w:val="right"/>
              <w:rPr>
                <w:rFonts w:cs="Arial"/>
                <w:snapToGrid w:val="0"/>
                <w:color w:val="000000"/>
                <w:sz w:val="18"/>
                <w:szCs w:val="18"/>
              </w:rPr>
            </w:pPr>
            <w:r w:rsidRPr="00FB02F9">
              <w:rPr>
                <w:rFonts w:cs="Arial"/>
                <w:snapToGrid w:val="0"/>
                <w:color w:val="000000"/>
                <w:sz w:val="18"/>
                <w:szCs w:val="18"/>
              </w:rPr>
              <w:t>53,641</w:t>
            </w:r>
          </w:p>
        </w:tc>
        <w:tc>
          <w:tcPr>
            <w:tcW w:w="3036" w:type="dxa"/>
          </w:tcPr>
          <w:p w:rsidR="008134A5" w:rsidRPr="00FB02F9" w:rsidRDefault="008134A5" w:rsidP="008134A5">
            <w:pPr>
              <w:jc w:val="left"/>
              <w:rPr>
                <w:rFonts w:cs="Arial"/>
                <w:snapToGrid w:val="0"/>
                <w:color w:val="000000"/>
                <w:sz w:val="18"/>
                <w:szCs w:val="18"/>
              </w:rPr>
            </w:pPr>
            <w:r w:rsidRPr="00FB02F9">
              <w:rPr>
                <w:rFonts w:cs="Arial"/>
                <w:snapToGrid w:val="0"/>
                <w:color w:val="000000"/>
                <w:sz w:val="18"/>
                <w:szCs w:val="18"/>
              </w:rPr>
              <w:t>Irland</w:t>
            </w:r>
          </w:p>
        </w:tc>
        <w:tc>
          <w:tcPr>
            <w:tcW w:w="1032" w:type="dxa"/>
          </w:tcPr>
          <w:p w:rsidR="008134A5" w:rsidRPr="00FB02F9" w:rsidRDefault="008134A5" w:rsidP="002A18A8">
            <w:pPr>
              <w:ind w:right="284"/>
              <w:jc w:val="right"/>
              <w:rPr>
                <w:rFonts w:cs="Arial"/>
                <w:snapToGrid w:val="0"/>
                <w:color w:val="000000"/>
                <w:sz w:val="18"/>
                <w:szCs w:val="18"/>
                <w:vertAlign w:val="superscript"/>
              </w:rPr>
            </w:pPr>
            <w:r w:rsidRPr="00FB02F9">
              <w:rPr>
                <w:rFonts w:cs="Arial"/>
                <w:sz w:val="18"/>
                <w:szCs w:val="18"/>
              </w:rPr>
              <w:t>1.00</w:t>
            </w:r>
          </w:p>
        </w:tc>
        <w:tc>
          <w:tcPr>
            <w:tcW w:w="1560" w:type="dxa"/>
          </w:tcPr>
          <w:p w:rsidR="008134A5" w:rsidRPr="00FB02F9" w:rsidRDefault="008134A5" w:rsidP="008134A5">
            <w:pPr>
              <w:ind w:right="284"/>
              <w:jc w:val="right"/>
              <w:rPr>
                <w:rFonts w:cs="Arial"/>
                <w:snapToGrid w:val="0"/>
                <w:color w:val="000000"/>
                <w:sz w:val="18"/>
                <w:szCs w:val="18"/>
              </w:rPr>
            </w:pPr>
            <w:r w:rsidRPr="00FB02F9">
              <w:rPr>
                <w:rFonts w:cs="Arial"/>
                <w:snapToGrid w:val="0"/>
                <w:color w:val="000000"/>
                <w:sz w:val="18"/>
                <w:szCs w:val="18"/>
              </w:rPr>
              <w:t>53,641</w:t>
            </w:r>
          </w:p>
        </w:tc>
        <w:tc>
          <w:tcPr>
            <w:tcW w:w="1559" w:type="dxa"/>
          </w:tcPr>
          <w:p w:rsidR="008134A5" w:rsidRPr="00FB02F9" w:rsidRDefault="008134A5" w:rsidP="008134A5">
            <w:pPr>
              <w:ind w:right="284"/>
              <w:jc w:val="right"/>
              <w:rPr>
                <w:rFonts w:cs="Arial"/>
                <w:snapToGrid w:val="0"/>
                <w:color w:val="000000"/>
                <w:sz w:val="18"/>
                <w:szCs w:val="18"/>
              </w:rPr>
            </w:pPr>
            <w:r w:rsidRPr="00FB02F9">
              <w:rPr>
                <w:rFonts w:cs="Arial"/>
                <w:snapToGrid w:val="0"/>
                <w:color w:val="000000"/>
                <w:sz w:val="18"/>
                <w:szCs w:val="18"/>
              </w:rPr>
              <w:t>53,641</w:t>
            </w:r>
          </w:p>
        </w:tc>
      </w:tr>
      <w:tr w:rsidR="008134A5" w:rsidRPr="00FB02F9" w:rsidTr="008134A5">
        <w:trPr>
          <w:cantSplit/>
        </w:trPr>
        <w:tc>
          <w:tcPr>
            <w:tcW w:w="1218" w:type="dxa"/>
          </w:tcPr>
          <w:p w:rsidR="008134A5" w:rsidRPr="00FB02F9" w:rsidRDefault="008134A5" w:rsidP="008134A5">
            <w:pPr>
              <w:ind w:right="170"/>
              <w:jc w:val="right"/>
              <w:rPr>
                <w:rFonts w:cs="Arial"/>
                <w:snapToGrid w:val="0"/>
                <w:color w:val="000000"/>
                <w:sz w:val="18"/>
                <w:szCs w:val="18"/>
              </w:rPr>
            </w:pPr>
            <w:r w:rsidRPr="00FB02F9">
              <w:rPr>
                <w:rFonts w:cs="Arial"/>
                <w:snapToGrid w:val="0"/>
                <w:color w:val="000000"/>
                <w:sz w:val="18"/>
                <w:szCs w:val="18"/>
              </w:rPr>
              <w:t>10,728</w:t>
            </w:r>
          </w:p>
        </w:tc>
        <w:tc>
          <w:tcPr>
            <w:tcW w:w="1275" w:type="dxa"/>
          </w:tcPr>
          <w:p w:rsidR="008134A5" w:rsidRPr="00FB02F9" w:rsidRDefault="008134A5" w:rsidP="008134A5">
            <w:pPr>
              <w:ind w:right="170"/>
              <w:jc w:val="right"/>
              <w:rPr>
                <w:rFonts w:cs="Arial"/>
                <w:snapToGrid w:val="0"/>
                <w:color w:val="000000"/>
                <w:sz w:val="18"/>
                <w:szCs w:val="18"/>
              </w:rPr>
            </w:pPr>
            <w:r w:rsidRPr="00FB02F9">
              <w:rPr>
                <w:rFonts w:cs="Arial"/>
                <w:snapToGrid w:val="0"/>
                <w:color w:val="000000"/>
                <w:sz w:val="18"/>
                <w:szCs w:val="18"/>
              </w:rPr>
              <w:t>10,728</w:t>
            </w:r>
          </w:p>
        </w:tc>
        <w:tc>
          <w:tcPr>
            <w:tcW w:w="3036" w:type="dxa"/>
          </w:tcPr>
          <w:p w:rsidR="008134A5" w:rsidRPr="00FB02F9" w:rsidRDefault="008134A5" w:rsidP="008134A5">
            <w:pPr>
              <w:jc w:val="left"/>
              <w:rPr>
                <w:rFonts w:cs="Arial"/>
                <w:snapToGrid w:val="0"/>
                <w:color w:val="000000"/>
                <w:sz w:val="18"/>
                <w:szCs w:val="18"/>
              </w:rPr>
            </w:pPr>
            <w:r w:rsidRPr="00FB02F9">
              <w:rPr>
                <w:rFonts w:cs="Arial"/>
                <w:snapToGrid w:val="0"/>
                <w:color w:val="000000"/>
                <w:sz w:val="18"/>
                <w:szCs w:val="18"/>
              </w:rPr>
              <w:t>Island</w:t>
            </w:r>
          </w:p>
        </w:tc>
        <w:tc>
          <w:tcPr>
            <w:tcW w:w="1032" w:type="dxa"/>
          </w:tcPr>
          <w:p w:rsidR="008134A5" w:rsidRPr="00FB02F9" w:rsidRDefault="008134A5" w:rsidP="002A18A8">
            <w:pPr>
              <w:ind w:right="284"/>
              <w:jc w:val="right"/>
              <w:rPr>
                <w:rFonts w:cs="Arial"/>
                <w:snapToGrid w:val="0"/>
                <w:color w:val="000000"/>
                <w:sz w:val="18"/>
                <w:szCs w:val="18"/>
              </w:rPr>
            </w:pPr>
            <w:r w:rsidRPr="00FB02F9">
              <w:rPr>
                <w:rFonts w:cs="Arial"/>
                <w:snapToGrid w:val="0"/>
                <w:color w:val="000000"/>
                <w:sz w:val="18"/>
                <w:szCs w:val="18"/>
              </w:rPr>
              <w:t>0.20</w:t>
            </w:r>
          </w:p>
        </w:tc>
        <w:tc>
          <w:tcPr>
            <w:tcW w:w="1560" w:type="dxa"/>
          </w:tcPr>
          <w:p w:rsidR="008134A5" w:rsidRPr="00FB02F9" w:rsidRDefault="008134A5" w:rsidP="008134A5">
            <w:pPr>
              <w:ind w:right="284"/>
              <w:jc w:val="right"/>
              <w:rPr>
                <w:rFonts w:cs="Arial"/>
                <w:snapToGrid w:val="0"/>
                <w:color w:val="000000"/>
                <w:sz w:val="18"/>
                <w:szCs w:val="18"/>
              </w:rPr>
            </w:pPr>
            <w:r w:rsidRPr="00FB02F9">
              <w:rPr>
                <w:rFonts w:cs="Arial"/>
                <w:snapToGrid w:val="0"/>
                <w:color w:val="000000"/>
                <w:sz w:val="18"/>
                <w:szCs w:val="18"/>
              </w:rPr>
              <w:t>10,728</w:t>
            </w:r>
          </w:p>
        </w:tc>
        <w:tc>
          <w:tcPr>
            <w:tcW w:w="1559" w:type="dxa"/>
          </w:tcPr>
          <w:p w:rsidR="008134A5" w:rsidRPr="00FB02F9" w:rsidRDefault="008134A5" w:rsidP="008134A5">
            <w:pPr>
              <w:ind w:right="284"/>
              <w:jc w:val="right"/>
              <w:rPr>
                <w:rFonts w:cs="Arial"/>
                <w:snapToGrid w:val="0"/>
                <w:color w:val="000000"/>
                <w:sz w:val="18"/>
                <w:szCs w:val="18"/>
              </w:rPr>
            </w:pPr>
            <w:r w:rsidRPr="00FB02F9">
              <w:rPr>
                <w:rFonts w:cs="Arial"/>
                <w:snapToGrid w:val="0"/>
                <w:color w:val="000000"/>
                <w:sz w:val="18"/>
                <w:szCs w:val="18"/>
              </w:rPr>
              <w:t>10,728</w:t>
            </w:r>
          </w:p>
        </w:tc>
      </w:tr>
      <w:tr w:rsidR="008134A5" w:rsidRPr="00FB02F9" w:rsidTr="008134A5">
        <w:trPr>
          <w:cantSplit/>
        </w:trPr>
        <w:tc>
          <w:tcPr>
            <w:tcW w:w="1218" w:type="dxa"/>
          </w:tcPr>
          <w:p w:rsidR="008134A5" w:rsidRPr="00FB02F9" w:rsidRDefault="008134A5" w:rsidP="008134A5">
            <w:pPr>
              <w:ind w:right="170"/>
              <w:jc w:val="right"/>
              <w:rPr>
                <w:rFonts w:cs="Arial"/>
                <w:snapToGrid w:val="0"/>
                <w:color w:val="000000"/>
                <w:sz w:val="18"/>
                <w:szCs w:val="18"/>
              </w:rPr>
            </w:pPr>
            <w:r w:rsidRPr="00FB02F9">
              <w:rPr>
                <w:rFonts w:cs="Arial"/>
                <w:snapToGrid w:val="0"/>
                <w:color w:val="000000"/>
                <w:sz w:val="18"/>
                <w:szCs w:val="18"/>
              </w:rPr>
              <w:t>26,820</w:t>
            </w:r>
          </w:p>
        </w:tc>
        <w:tc>
          <w:tcPr>
            <w:tcW w:w="1275" w:type="dxa"/>
          </w:tcPr>
          <w:p w:rsidR="008134A5" w:rsidRPr="00FB02F9" w:rsidRDefault="008134A5" w:rsidP="008134A5">
            <w:pPr>
              <w:ind w:right="170"/>
              <w:jc w:val="right"/>
              <w:rPr>
                <w:rFonts w:cs="Arial"/>
                <w:snapToGrid w:val="0"/>
                <w:color w:val="000000"/>
                <w:sz w:val="18"/>
                <w:szCs w:val="18"/>
              </w:rPr>
            </w:pPr>
            <w:r w:rsidRPr="00FB02F9">
              <w:rPr>
                <w:rFonts w:cs="Arial"/>
                <w:snapToGrid w:val="0"/>
                <w:color w:val="000000"/>
                <w:sz w:val="18"/>
                <w:szCs w:val="18"/>
              </w:rPr>
              <w:t>26,820</w:t>
            </w:r>
          </w:p>
        </w:tc>
        <w:tc>
          <w:tcPr>
            <w:tcW w:w="3036" w:type="dxa"/>
          </w:tcPr>
          <w:p w:rsidR="008134A5" w:rsidRPr="00FB02F9" w:rsidRDefault="008134A5" w:rsidP="008134A5">
            <w:pPr>
              <w:jc w:val="left"/>
              <w:rPr>
                <w:rFonts w:cs="Arial"/>
                <w:snapToGrid w:val="0"/>
                <w:color w:val="000000"/>
                <w:sz w:val="18"/>
                <w:szCs w:val="18"/>
              </w:rPr>
            </w:pPr>
            <w:r w:rsidRPr="00FB02F9">
              <w:rPr>
                <w:rFonts w:cs="Arial"/>
                <w:snapToGrid w:val="0"/>
                <w:color w:val="000000"/>
                <w:sz w:val="18"/>
                <w:szCs w:val="18"/>
              </w:rPr>
              <w:t>Israel</w:t>
            </w:r>
          </w:p>
        </w:tc>
        <w:tc>
          <w:tcPr>
            <w:tcW w:w="1032" w:type="dxa"/>
          </w:tcPr>
          <w:p w:rsidR="008134A5" w:rsidRPr="00FB02F9" w:rsidRDefault="008134A5" w:rsidP="002A18A8">
            <w:pPr>
              <w:ind w:right="284"/>
              <w:jc w:val="right"/>
              <w:rPr>
                <w:rFonts w:cs="Arial"/>
                <w:snapToGrid w:val="0"/>
                <w:color w:val="000000"/>
                <w:sz w:val="18"/>
                <w:szCs w:val="18"/>
              </w:rPr>
            </w:pPr>
            <w:r w:rsidRPr="00FB02F9">
              <w:rPr>
                <w:rFonts w:cs="Arial"/>
                <w:snapToGrid w:val="0"/>
                <w:color w:val="000000"/>
                <w:sz w:val="18"/>
                <w:szCs w:val="18"/>
              </w:rPr>
              <w:t>0.50</w:t>
            </w:r>
          </w:p>
        </w:tc>
        <w:tc>
          <w:tcPr>
            <w:tcW w:w="1560" w:type="dxa"/>
          </w:tcPr>
          <w:p w:rsidR="008134A5" w:rsidRPr="00FB02F9" w:rsidRDefault="008134A5" w:rsidP="008134A5">
            <w:pPr>
              <w:ind w:right="284"/>
              <w:jc w:val="right"/>
              <w:rPr>
                <w:rFonts w:cs="Arial"/>
                <w:snapToGrid w:val="0"/>
                <w:color w:val="000000"/>
                <w:sz w:val="18"/>
                <w:szCs w:val="18"/>
              </w:rPr>
            </w:pPr>
            <w:r w:rsidRPr="00FB02F9">
              <w:rPr>
                <w:rFonts w:cs="Arial"/>
                <w:snapToGrid w:val="0"/>
                <w:color w:val="000000"/>
                <w:sz w:val="18"/>
                <w:szCs w:val="18"/>
              </w:rPr>
              <w:t>26,820</w:t>
            </w:r>
          </w:p>
        </w:tc>
        <w:tc>
          <w:tcPr>
            <w:tcW w:w="1559" w:type="dxa"/>
          </w:tcPr>
          <w:p w:rsidR="008134A5" w:rsidRPr="00FB02F9" w:rsidRDefault="008134A5" w:rsidP="008134A5">
            <w:pPr>
              <w:ind w:right="284"/>
              <w:jc w:val="right"/>
              <w:rPr>
                <w:rFonts w:cs="Arial"/>
                <w:snapToGrid w:val="0"/>
                <w:color w:val="000000"/>
                <w:sz w:val="18"/>
                <w:szCs w:val="18"/>
              </w:rPr>
            </w:pPr>
            <w:r w:rsidRPr="00FB02F9">
              <w:rPr>
                <w:rFonts w:cs="Arial"/>
                <w:snapToGrid w:val="0"/>
                <w:color w:val="000000"/>
                <w:sz w:val="18"/>
                <w:szCs w:val="18"/>
              </w:rPr>
              <w:t>26,820</w:t>
            </w:r>
          </w:p>
        </w:tc>
      </w:tr>
      <w:tr w:rsidR="008134A5" w:rsidRPr="00FB02F9" w:rsidTr="008134A5">
        <w:trPr>
          <w:cantSplit/>
        </w:trPr>
        <w:tc>
          <w:tcPr>
            <w:tcW w:w="1218" w:type="dxa"/>
          </w:tcPr>
          <w:p w:rsidR="008134A5" w:rsidRPr="00FB02F9" w:rsidRDefault="008134A5" w:rsidP="008134A5">
            <w:pPr>
              <w:ind w:right="170"/>
              <w:jc w:val="right"/>
              <w:rPr>
                <w:rFonts w:cs="Arial"/>
                <w:snapToGrid w:val="0"/>
                <w:color w:val="000000"/>
                <w:sz w:val="18"/>
                <w:szCs w:val="18"/>
              </w:rPr>
            </w:pPr>
            <w:r w:rsidRPr="00FB02F9">
              <w:rPr>
                <w:rFonts w:cs="Arial"/>
                <w:snapToGrid w:val="0"/>
                <w:color w:val="000000"/>
                <w:sz w:val="18"/>
                <w:szCs w:val="18"/>
              </w:rPr>
              <w:t>107,282</w:t>
            </w:r>
          </w:p>
        </w:tc>
        <w:tc>
          <w:tcPr>
            <w:tcW w:w="1275" w:type="dxa"/>
          </w:tcPr>
          <w:p w:rsidR="008134A5" w:rsidRPr="00FB02F9" w:rsidRDefault="008134A5" w:rsidP="008134A5">
            <w:pPr>
              <w:ind w:right="170"/>
              <w:jc w:val="right"/>
              <w:rPr>
                <w:rFonts w:cs="Arial"/>
                <w:snapToGrid w:val="0"/>
                <w:color w:val="000000"/>
                <w:sz w:val="18"/>
                <w:szCs w:val="18"/>
              </w:rPr>
            </w:pPr>
            <w:r w:rsidRPr="00FB02F9">
              <w:rPr>
                <w:rFonts w:cs="Arial"/>
                <w:snapToGrid w:val="0"/>
                <w:color w:val="000000"/>
                <w:sz w:val="18"/>
                <w:szCs w:val="18"/>
              </w:rPr>
              <w:t>107,282</w:t>
            </w:r>
          </w:p>
        </w:tc>
        <w:tc>
          <w:tcPr>
            <w:tcW w:w="3036" w:type="dxa"/>
          </w:tcPr>
          <w:p w:rsidR="008134A5" w:rsidRPr="00FB02F9" w:rsidRDefault="008134A5" w:rsidP="008134A5">
            <w:pPr>
              <w:jc w:val="left"/>
              <w:rPr>
                <w:rFonts w:cs="Arial"/>
                <w:snapToGrid w:val="0"/>
                <w:color w:val="000000"/>
                <w:sz w:val="18"/>
                <w:szCs w:val="18"/>
                <w:vertAlign w:val="superscript"/>
              </w:rPr>
            </w:pPr>
            <w:r w:rsidRPr="00FB02F9">
              <w:rPr>
                <w:rFonts w:cs="Arial"/>
                <w:snapToGrid w:val="0"/>
                <w:color w:val="000000"/>
                <w:sz w:val="18"/>
                <w:szCs w:val="18"/>
              </w:rPr>
              <w:t>Italien</w:t>
            </w:r>
          </w:p>
        </w:tc>
        <w:tc>
          <w:tcPr>
            <w:tcW w:w="1032" w:type="dxa"/>
          </w:tcPr>
          <w:p w:rsidR="008134A5" w:rsidRPr="00FB02F9" w:rsidRDefault="008134A5" w:rsidP="002A18A8">
            <w:pPr>
              <w:ind w:right="284"/>
              <w:jc w:val="right"/>
              <w:rPr>
                <w:rFonts w:cs="Arial"/>
                <w:snapToGrid w:val="0"/>
                <w:color w:val="000000"/>
                <w:sz w:val="18"/>
                <w:szCs w:val="18"/>
              </w:rPr>
            </w:pPr>
            <w:r w:rsidRPr="00FB02F9">
              <w:rPr>
                <w:rFonts w:cs="Arial"/>
                <w:snapToGrid w:val="0"/>
                <w:color w:val="000000"/>
                <w:sz w:val="18"/>
                <w:szCs w:val="18"/>
              </w:rPr>
              <w:t>2.00</w:t>
            </w:r>
          </w:p>
        </w:tc>
        <w:tc>
          <w:tcPr>
            <w:tcW w:w="1560" w:type="dxa"/>
          </w:tcPr>
          <w:p w:rsidR="008134A5" w:rsidRPr="00FB02F9" w:rsidRDefault="008134A5" w:rsidP="008134A5">
            <w:pPr>
              <w:ind w:right="284"/>
              <w:jc w:val="right"/>
              <w:rPr>
                <w:rFonts w:cs="Arial"/>
                <w:snapToGrid w:val="0"/>
                <w:color w:val="000000"/>
                <w:sz w:val="18"/>
                <w:szCs w:val="18"/>
              </w:rPr>
            </w:pPr>
            <w:r w:rsidRPr="00FB02F9">
              <w:rPr>
                <w:rFonts w:cs="Arial"/>
                <w:snapToGrid w:val="0"/>
                <w:color w:val="000000"/>
                <w:sz w:val="18"/>
                <w:szCs w:val="18"/>
              </w:rPr>
              <w:t>107,282</w:t>
            </w:r>
          </w:p>
        </w:tc>
        <w:tc>
          <w:tcPr>
            <w:tcW w:w="1559" w:type="dxa"/>
          </w:tcPr>
          <w:p w:rsidR="008134A5" w:rsidRPr="00FB02F9" w:rsidRDefault="008134A5" w:rsidP="008134A5">
            <w:pPr>
              <w:ind w:right="284"/>
              <w:jc w:val="right"/>
              <w:rPr>
                <w:rFonts w:cs="Arial"/>
                <w:snapToGrid w:val="0"/>
                <w:color w:val="000000"/>
                <w:sz w:val="18"/>
                <w:szCs w:val="18"/>
              </w:rPr>
            </w:pPr>
            <w:r w:rsidRPr="00FB02F9">
              <w:rPr>
                <w:rFonts w:cs="Arial"/>
                <w:snapToGrid w:val="0"/>
                <w:color w:val="000000"/>
                <w:sz w:val="18"/>
                <w:szCs w:val="18"/>
              </w:rPr>
              <w:t>107,282</w:t>
            </w:r>
          </w:p>
        </w:tc>
      </w:tr>
      <w:tr w:rsidR="008134A5" w:rsidRPr="00FB02F9" w:rsidTr="008134A5">
        <w:trPr>
          <w:cantSplit/>
        </w:trPr>
        <w:tc>
          <w:tcPr>
            <w:tcW w:w="1218" w:type="dxa"/>
          </w:tcPr>
          <w:p w:rsidR="008134A5" w:rsidRPr="00FB02F9" w:rsidRDefault="008134A5" w:rsidP="008134A5">
            <w:pPr>
              <w:ind w:right="170"/>
              <w:jc w:val="right"/>
              <w:rPr>
                <w:rFonts w:cs="Arial"/>
                <w:snapToGrid w:val="0"/>
                <w:color w:val="000000"/>
                <w:sz w:val="18"/>
                <w:szCs w:val="18"/>
              </w:rPr>
            </w:pPr>
            <w:r w:rsidRPr="00FB02F9">
              <w:rPr>
                <w:rFonts w:cs="Arial"/>
                <w:snapToGrid w:val="0"/>
                <w:color w:val="000000"/>
                <w:sz w:val="18"/>
                <w:szCs w:val="18"/>
              </w:rPr>
              <w:t>268,205</w:t>
            </w:r>
          </w:p>
        </w:tc>
        <w:tc>
          <w:tcPr>
            <w:tcW w:w="1275" w:type="dxa"/>
          </w:tcPr>
          <w:p w:rsidR="008134A5" w:rsidRPr="00FB02F9" w:rsidRDefault="008134A5" w:rsidP="008134A5">
            <w:pPr>
              <w:ind w:right="170"/>
              <w:jc w:val="right"/>
              <w:rPr>
                <w:rFonts w:cs="Arial"/>
                <w:snapToGrid w:val="0"/>
                <w:color w:val="000000"/>
                <w:sz w:val="18"/>
                <w:szCs w:val="18"/>
              </w:rPr>
            </w:pPr>
            <w:r w:rsidRPr="00FB02F9">
              <w:rPr>
                <w:rFonts w:cs="Arial"/>
                <w:snapToGrid w:val="0"/>
                <w:color w:val="000000"/>
                <w:sz w:val="18"/>
                <w:szCs w:val="18"/>
              </w:rPr>
              <w:t>268,205</w:t>
            </w:r>
          </w:p>
        </w:tc>
        <w:tc>
          <w:tcPr>
            <w:tcW w:w="3036" w:type="dxa"/>
          </w:tcPr>
          <w:p w:rsidR="008134A5" w:rsidRPr="00FB02F9" w:rsidRDefault="008134A5" w:rsidP="008134A5">
            <w:pPr>
              <w:jc w:val="left"/>
              <w:rPr>
                <w:rFonts w:cs="Arial"/>
                <w:snapToGrid w:val="0"/>
                <w:color w:val="000000"/>
                <w:sz w:val="18"/>
                <w:szCs w:val="18"/>
              </w:rPr>
            </w:pPr>
            <w:r w:rsidRPr="00FB02F9">
              <w:rPr>
                <w:rFonts w:cs="Arial"/>
                <w:snapToGrid w:val="0"/>
                <w:color w:val="000000"/>
                <w:sz w:val="18"/>
                <w:szCs w:val="18"/>
              </w:rPr>
              <w:t>Japan</w:t>
            </w:r>
          </w:p>
        </w:tc>
        <w:tc>
          <w:tcPr>
            <w:tcW w:w="1032" w:type="dxa"/>
          </w:tcPr>
          <w:p w:rsidR="008134A5" w:rsidRPr="00FB02F9" w:rsidRDefault="008134A5" w:rsidP="002A18A8">
            <w:pPr>
              <w:ind w:right="284"/>
              <w:jc w:val="right"/>
              <w:rPr>
                <w:rFonts w:cs="Arial"/>
                <w:snapToGrid w:val="0"/>
                <w:color w:val="000000"/>
                <w:sz w:val="18"/>
                <w:szCs w:val="18"/>
              </w:rPr>
            </w:pPr>
            <w:r w:rsidRPr="00FB02F9">
              <w:rPr>
                <w:rFonts w:cs="Arial"/>
                <w:sz w:val="18"/>
                <w:szCs w:val="18"/>
              </w:rPr>
              <w:t>5.00</w:t>
            </w:r>
          </w:p>
        </w:tc>
        <w:tc>
          <w:tcPr>
            <w:tcW w:w="1560" w:type="dxa"/>
          </w:tcPr>
          <w:p w:rsidR="008134A5" w:rsidRPr="00FB02F9" w:rsidRDefault="008134A5" w:rsidP="008134A5">
            <w:pPr>
              <w:ind w:right="284"/>
              <w:jc w:val="right"/>
              <w:rPr>
                <w:rFonts w:cs="Arial"/>
                <w:snapToGrid w:val="0"/>
                <w:color w:val="000000"/>
                <w:sz w:val="18"/>
                <w:szCs w:val="18"/>
              </w:rPr>
            </w:pPr>
            <w:r w:rsidRPr="00FB02F9">
              <w:rPr>
                <w:rFonts w:cs="Arial"/>
                <w:snapToGrid w:val="0"/>
                <w:color w:val="000000"/>
                <w:sz w:val="18"/>
                <w:szCs w:val="18"/>
              </w:rPr>
              <w:t>268,205</w:t>
            </w:r>
          </w:p>
        </w:tc>
        <w:tc>
          <w:tcPr>
            <w:tcW w:w="1559" w:type="dxa"/>
          </w:tcPr>
          <w:p w:rsidR="008134A5" w:rsidRPr="00FB02F9" w:rsidRDefault="008134A5" w:rsidP="008134A5">
            <w:pPr>
              <w:ind w:right="284"/>
              <w:jc w:val="right"/>
              <w:rPr>
                <w:rFonts w:cs="Arial"/>
                <w:snapToGrid w:val="0"/>
                <w:color w:val="000000"/>
                <w:sz w:val="18"/>
                <w:szCs w:val="18"/>
              </w:rPr>
            </w:pPr>
            <w:r w:rsidRPr="00FB02F9">
              <w:rPr>
                <w:rFonts w:cs="Arial"/>
                <w:snapToGrid w:val="0"/>
                <w:color w:val="000000"/>
                <w:sz w:val="18"/>
                <w:szCs w:val="18"/>
              </w:rPr>
              <w:t>268,205</w:t>
            </w:r>
          </w:p>
        </w:tc>
      </w:tr>
      <w:tr w:rsidR="008134A5" w:rsidRPr="00FB02F9" w:rsidTr="008134A5">
        <w:trPr>
          <w:cantSplit/>
        </w:trPr>
        <w:tc>
          <w:tcPr>
            <w:tcW w:w="1218" w:type="dxa"/>
          </w:tcPr>
          <w:p w:rsidR="008134A5" w:rsidRPr="00FB02F9" w:rsidRDefault="008134A5" w:rsidP="008134A5">
            <w:pPr>
              <w:ind w:right="170"/>
              <w:jc w:val="right"/>
              <w:rPr>
                <w:rFonts w:cs="Arial"/>
                <w:snapToGrid w:val="0"/>
                <w:color w:val="000000"/>
                <w:sz w:val="18"/>
                <w:szCs w:val="18"/>
              </w:rPr>
            </w:pPr>
            <w:r w:rsidRPr="00FB02F9">
              <w:rPr>
                <w:rFonts w:cs="Arial"/>
                <w:snapToGrid w:val="0"/>
                <w:color w:val="000000"/>
                <w:sz w:val="18"/>
                <w:szCs w:val="18"/>
              </w:rPr>
              <w:t>10,728</w:t>
            </w:r>
          </w:p>
        </w:tc>
        <w:tc>
          <w:tcPr>
            <w:tcW w:w="1275" w:type="dxa"/>
          </w:tcPr>
          <w:p w:rsidR="008134A5" w:rsidRPr="00FB02F9" w:rsidRDefault="002939A5" w:rsidP="008134A5">
            <w:pPr>
              <w:ind w:right="170"/>
              <w:jc w:val="right"/>
              <w:rPr>
                <w:rFonts w:cs="Arial"/>
                <w:snapToGrid w:val="0"/>
                <w:color w:val="000000"/>
                <w:sz w:val="18"/>
                <w:szCs w:val="18"/>
              </w:rPr>
            </w:pPr>
            <w:r>
              <w:rPr>
                <w:rFonts w:cs="Arial"/>
                <w:snapToGrid w:val="0"/>
                <w:color w:val="000000"/>
                <w:sz w:val="18"/>
                <w:szCs w:val="18"/>
              </w:rPr>
              <w:t>0</w:t>
            </w:r>
          </w:p>
        </w:tc>
        <w:tc>
          <w:tcPr>
            <w:tcW w:w="3036" w:type="dxa"/>
          </w:tcPr>
          <w:p w:rsidR="008134A5" w:rsidRPr="00FB02F9" w:rsidRDefault="008134A5" w:rsidP="008134A5">
            <w:pPr>
              <w:jc w:val="left"/>
              <w:rPr>
                <w:rFonts w:cs="Arial"/>
                <w:snapToGrid w:val="0"/>
                <w:color w:val="000000"/>
                <w:sz w:val="18"/>
                <w:szCs w:val="18"/>
              </w:rPr>
            </w:pPr>
            <w:r w:rsidRPr="00FB02F9">
              <w:rPr>
                <w:rFonts w:cs="Arial"/>
                <w:snapToGrid w:val="0"/>
                <w:color w:val="000000"/>
                <w:sz w:val="18"/>
                <w:szCs w:val="18"/>
              </w:rPr>
              <w:t>Jordanien</w:t>
            </w:r>
          </w:p>
        </w:tc>
        <w:tc>
          <w:tcPr>
            <w:tcW w:w="1032" w:type="dxa"/>
          </w:tcPr>
          <w:p w:rsidR="008134A5" w:rsidRPr="00FB02F9" w:rsidRDefault="008134A5" w:rsidP="002A18A8">
            <w:pPr>
              <w:ind w:right="284"/>
              <w:jc w:val="right"/>
              <w:rPr>
                <w:rFonts w:cs="Arial"/>
                <w:sz w:val="18"/>
                <w:szCs w:val="18"/>
              </w:rPr>
            </w:pPr>
            <w:r w:rsidRPr="00FB02F9">
              <w:rPr>
                <w:rFonts w:cs="Arial"/>
                <w:snapToGrid w:val="0"/>
                <w:color w:val="000000"/>
                <w:sz w:val="18"/>
                <w:szCs w:val="18"/>
              </w:rPr>
              <w:t>0.20</w:t>
            </w:r>
          </w:p>
        </w:tc>
        <w:tc>
          <w:tcPr>
            <w:tcW w:w="1560" w:type="dxa"/>
          </w:tcPr>
          <w:p w:rsidR="008134A5" w:rsidRPr="00FB02F9" w:rsidRDefault="008134A5" w:rsidP="008134A5">
            <w:pPr>
              <w:ind w:right="284"/>
              <w:jc w:val="right"/>
              <w:rPr>
                <w:rFonts w:cs="Arial"/>
                <w:snapToGrid w:val="0"/>
                <w:color w:val="000000"/>
                <w:sz w:val="18"/>
                <w:szCs w:val="18"/>
              </w:rPr>
            </w:pPr>
            <w:r w:rsidRPr="00FB02F9">
              <w:rPr>
                <w:rFonts w:cs="Arial"/>
                <w:snapToGrid w:val="0"/>
                <w:color w:val="000000"/>
                <w:sz w:val="18"/>
                <w:szCs w:val="18"/>
              </w:rPr>
              <w:t>10,728</w:t>
            </w:r>
          </w:p>
        </w:tc>
        <w:tc>
          <w:tcPr>
            <w:tcW w:w="1559" w:type="dxa"/>
          </w:tcPr>
          <w:p w:rsidR="008134A5" w:rsidRPr="00FB02F9" w:rsidRDefault="008134A5" w:rsidP="008134A5">
            <w:pPr>
              <w:ind w:right="284"/>
              <w:jc w:val="right"/>
              <w:rPr>
                <w:rFonts w:cs="Arial"/>
                <w:snapToGrid w:val="0"/>
                <w:color w:val="000000"/>
                <w:sz w:val="18"/>
                <w:szCs w:val="18"/>
              </w:rPr>
            </w:pPr>
            <w:r w:rsidRPr="00FB02F9">
              <w:rPr>
                <w:rFonts w:cs="Arial"/>
                <w:snapToGrid w:val="0"/>
                <w:color w:val="000000"/>
                <w:sz w:val="18"/>
                <w:szCs w:val="18"/>
              </w:rPr>
              <w:t>10,728</w:t>
            </w:r>
          </w:p>
        </w:tc>
      </w:tr>
      <w:tr w:rsidR="008134A5" w:rsidRPr="00FB02F9" w:rsidTr="008134A5">
        <w:trPr>
          <w:cantSplit/>
        </w:trPr>
        <w:tc>
          <w:tcPr>
            <w:tcW w:w="1218" w:type="dxa"/>
          </w:tcPr>
          <w:p w:rsidR="008134A5" w:rsidRPr="00FB02F9" w:rsidRDefault="008134A5" w:rsidP="008134A5">
            <w:pPr>
              <w:ind w:right="170"/>
              <w:jc w:val="right"/>
              <w:rPr>
                <w:rFonts w:cs="Arial"/>
                <w:snapToGrid w:val="0"/>
                <w:color w:val="000000"/>
                <w:sz w:val="18"/>
                <w:szCs w:val="18"/>
              </w:rPr>
            </w:pPr>
            <w:r w:rsidRPr="00FB02F9">
              <w:rPr>
                <w:rFonts w:cs="Arial"/>
                <w:snapToGrid w:val="0"/>
                <w:color w:val="000000"/>
                <w:sz w:val="18"/>
                <w:szCs w:val="18"/>
              </w:rPr>
              <w:t>53,641</w:t>
            </w:r>
          </w:p>
        </w:tc>
        <w:tc>
          <w:tcPr>
            <w:tcW w:w="1275" w:type="dxa"/>
          </w:tcPr>
          <w:p w:rsidR="008134A5" w:rsidRPr="00FB02F9" w:rsidRDefault="008134A5" w:rsidP="008134A5">
            <w:pPr>
              <w:ind w:right="170"/>
              <w:jc w:val="right"/>
              <w:rPr>
                <w:rFonts w:cs="Arial"/>
                <w:snapToGrid w:val="0"/>
                <w:color w:val="000000"/>
                <w:sz w:val="18"/>
                <w:szCs w:val="18"/>
              </w:rPr>
            </w:pPr>
            <w:r w:rsidRPr="00FB02F9">
              <w:rPr>
                <w:rFonts w:cs="Arial"/>
                <w:snapToGrid w:val="0"/>
                <w:color w:val="000000"/>
                <w:sz w:val="18"/>
                <w:szCs w:val="18"/>
              </w:rPr>
              <w:t>53,641</w:t>
            </w:r>
          </w:p>
        </w:tc>
        <w:tc>
          <w:tcPr>
            <w:tcW w:w="3036" w:type="dxa"/>
          </w:tcPr>
          <w:p w:rsidR="008134A5" w:rsidRPr="00FB02F9" w:rsidRDefault="008134A5" w:rsidP="008134A5">
            <w:pPr>
              <w:jc w:val="left"/>
              <w:rPr>
                <w:rFonts w:cs="Arial"/>
                <w:snapToGrid w:val="0"/>
                <w:color w:val="000000"/>
                <w:sz w:val="18"/>
                <w:szCs w:val="18"/>
              </w:rPr>
            </w:pPr>
            <w:r w:rsidRPr="00FB02F9">
              <w:rPr>
                <w:rFonts w:cs="Arial"/>
                <w:snapToGrid w:val="0"/>
                <w:color w:val="000000"/>
                <w:sz w:val="18"/>
                <w:szCs w:val="18"/>
              </w:rPr>
              <w:t>Kanada</w:t>
            </w:r>
          </w:p>
        </w:tc>
        <w:tc>
          <w:tcPr>
            <w:tcW w:w="1032" w:type="dxa"/>
          </w:tcPr>
          <w:p w:rsidR="008134A5" w:rsidRPr="00FB02F9" w:rsidRDefault="008134A5" w:rsidP="002A18A8">
            <w:pPr>
              <w:ind w:right="284"/>
              <w:jc w:val="right"/>
              <w:rPr>
                <w:rFonts w:cs="Arial"/>
                <w:snapToGrid w:val="0"/>
                <w:color w:val="000000"/>
                <w:sz w:val="18"/>
                <w:szCs w:val="18"/>
              </w:rPr>
            </w:pPr>
            <w:r w:rsidRPr="00FB02F9">
              <w:rPr>
                <w:rFonts w:cs="Arial"/>
                <w:sz w:val="18"/>
                <w:szCs w:val="18"/>
              </w:rPr>
              <w:t>1.00</w:t>
            </w:r>
          </w:p>
        </w:tc>
        <w:tc>
          <w:tcPr>
            <w:tcW w:w="1560" w:type="dxa"/>
          </w:tcPr>
          <w:p w:rsidR="008134A5" w:rsidRPr="00FB02F9" w:rsidRDefault="008134A5" w:rsidP="008134A5">
            <w:pPr>
              <w:ind w:right="284"/>
              <w:jc w:val="right"/>
              <w:rPr>
                <w:rFonts w:cs="Arial"/>
                <w:snapToGrid w:val="0"/>
                <w:color w:val="000000"/>
                <w:sz w:val="18"/>
                <w:szCs w:val="18"/>
              </w:rPr>
            </w:pPr>
            <w:r w:rsidRPr="00FB02F9">
              <w:rPr>
                <w:rFonts w:cs="Arial"/>
                <w:snapToGrid w:val="0"/>
                <w:color w:val="000000"/>
                <w:sz w:val="18"/>
                <w:szCs w:val="18"/>
              </w:rPr>
              <w:t>53,641</w:t>
            </w:r>
          </w:p>
        </w:tc>
        <w:tc>
          <w:tcPr>
            <w:tcW w:w="1559" w:type="dxa"/>
          </w:tcPr>
          <w:p w:rsidR="008134A5" w:rsidRPr="00FB02F9" w:rsidRDefault="008134A5" w:rsidP="008134A5">
            <w:pPr>
              <w:ind w:right="284"/>
              <w:jc w:val="right"/>
              <w:rPr>
                <w:rFonts w:cs="Arial"/>
                <w:snapToGrid w:val="0"/>
                <w:color w:val="000000"/>
                <w:sz w:val="18"/>
                <w:szCs w:val="18"/>
              </w:rPr>
            </w:pPr>
            <w:r w:rsidRPr="00FB02F9">
              <w:rPr>
                <w:rFonts w:cs="Arial"/>
                <w:snapToGrid w:val="0"/>
                <w:color w:val="000000"/>
                <w:sz w:val="18"/>
                <w:szCs w:val="18"/>
              </w:rPr>
              <w:t>53,641</w:t>
            </w:r>
          </w:p>
        </w:tc>
      </w:tr>
      <w:tr w:rsidR="008134A5" w:rsidRPr="00FB02F9" w:rsidTr="008134A5">
        <w:trPr>
          <w:cantSplit/>
        </w:trPr>
        <w:tc>
          <w:tcPr>
            <w:tcW w:w="1218" w:type="dxa"/>
          </w:tcPr>
          <w:p w:rsidR="008134A5" w:rsidRPr="00FB02F9" w:rsidRDefault="008134A5" w:rsidP="008134A5">
            <w:pPr>
              <w:ind w:right="170"/>
              <w:jc w:val="right"/>
              <w:rPr>
                <w:rFonts w:cs="Arial"/>
                <w:snapToGrid w:val="0"/>
                <w:color w:val="000000"/>
                <w:sz w:val="18"/>
                <w:szCs w:val="18"/>
              </w:rPr>
            </w:pPr>
            <w:r w:rsidRPr="00FB02F9">
              <w:rPr>
                <w:rFonts w:cs="Arial"/>
                <w:snapToGrid w:val="0"/>
                <w:color w:val="000000"/>
                <w:sz w:val="18"/>
                <w:szCs w:val="18"/>
              </w:rPr>
              <w:t>10,728</w:t>
            </w:r>
          </w:p>
        </w:tc>
        <w:tc>
          <w:tcPr>
            <w:tcW w:w="1275" w:type="dxa"/>
          </w:tcPr>
          <w:p w:rsidR="008134A5" w:rsidRPr="00FB02F9" w:rsidRDefault="008134A5" w:rsidP="008134A5">
            <w:pPr>
              <w:ind w:right="170"/>
              <w:jc w:val="right"/>
              <w:rPr>
                <w:rFonts w:cs="Arial"/>
                <w:snapToGrid w:val="0"/>
                <w:color w:val="000000"/>
                <w:sz w:val="18"/>
                <w:szCs w:val="18"/>
              </w:rPr>
            </w:pPr>
            <w:r w:rsidRPr="00FB02F9">
              <w:rPr>
                <w:rFonts w:cs="Arial"/>
                <w:snapToGrid w:val="0"/>
                <w:color w:val="000000"/>
                <w:sz w:val="18"/>
                <w:szCs w:val="18"/>
              </w:rPr>
              <w:t>10,728</w:t>
            </w:r>
          </w:p>
        </w:tc>
        <w:tc>
          <w:tcPr>
            <w:tcW w:w="3036" w:type="dxa"/>
          </w:tcPr>
          <w:p w:rsidR="008134A5" w:rsidRPr="00FB02F9" w:rsidRDefault="008134A5" w:rsidP="008134A5">
            <w:pPr>
              <w:jc w:val="left"/>
              <w:rPr>
                <w:rFonts w:cs="Arial"/>
                <w:snapToGrid w:val="0"/>
                <w:color w:val="000000"/>
                <w:sz w:val="18"/>
                <w:szCs w:val="18"/>
              </w:rPr>
            </w:pPr>
            <w:r w:rsidRPr="00FB02F9">
              <w:rPr>
                <w:rFonts w:cs="Arial"/>
                <w:snapToGrid w:val="0"/>
                <w:color w:val="000000"/>
                <w:sz w:val="18"/>
                <w:szCs w:val="18"/>
              </w:rPr>
              <w:t>Kenia</w:t>
            </w:r>
          </w:p>
        </w:tc>
        <w:tc>
          <w:tcPr>
            <w:tcW w:w="1032" w:type="dxa"/>
          </w:tcPr>
          <w:p w:rsidR="008134A5" w:rsidRPr="00FB02F9" w:rsidRDefault="008134A5" w:rsidP="002A18A8">
            <w:pPr>
              <w:ind w:right="284"/>
              <w:jc w:val="right"/>
              <w:rPr>
                <w:rFonts w:cs="Arial"/>
                <w:sz w:val="18"/>
                <w:szCs w:val="18"/>
              </w:rPr>
            </w:pPr>
            <w:r w:rsidRPr="00FB02F9">
              <w:rPr>
                <w:rFonts w:cs="Arial"/>
                <w:sz w:val="18"/>
                <w:szCs w:val="18"/>
              </w:rPr>
              <w:t>0.20</w:t>
            </w:r>
          </w:p>
        </w:tc>
        <w:tc>
          <w:tcPr>
            <w:tcW w:w="1560" w:type="dxa"/>
          </w:tcPr>
          <w:p w:rsidR="008134A5" w:rsidRPr="00FB02F9" w:rsidRDefault="008134A5" w:rsidP="008134A5">
            <w:pPr>
              <w:ind w:right="284"/>
              <w:jc w:val="right"/>
              <w:rPr>
                <w:rFonts w:cs="Arial"/>
                <w:snapToGrid w:val="0"/>
                <w:color w:val="000000"/>
                <w:sz w:val="18"/>
                <w:szCs w:val="18"/>
              </w:rPr>
            </w:pPr>
            <w:r w:rsidRPr="00FB02F9">
              <w:rPr>
                <w:rFonts w:cs="Arial"/>
                <w:snapToGrid w:val="0"/>
                <w:color w:val="000000"/>
                <w:sz w:val="18"/>
                <w:szCs w:val="18"/>
              </w:rPr>
              <w:t>10,728</w:t>
            </w:r>
          </w:p>
        </w:tc>
        <w:tc>
          <w:tcPr>
            <w:tcW w:w="1559" w:type="dxa"/>
          </w:tcPr>
          <w:p w:rsidR="008134A5" w:rsidRPr="00FB02F9" w:rsidRDefault="008134A5" w:rsidP="008134A5">
            <w:pPr>
              <w:ind w:right="284"/>
              <w:jc w:val="right"/>
              <w:rPr>
                <w:rFonts w:cs="Arial"/>
                <w:snapToGrid w:val="0"/>
                <w:color w:val="000000"/>
                <w:sz w:val="18"/>
                <w:szCs w:val="18"/>
              </w:rPr>
            </w:pPr>
            <w:r w:rsidRPr="00FB02F9">
              <w:rPr>
                <w:rFonts w:cs="Arial"/>
                <w:snapToGrid w:val="0"/>
                <w:color w:val="000000"/>
                <w:sz w:val="18"/>
                <w:szCs w:val="18"/>
              </w:rPr>
              <w:t>10,728</w:t>
            </w:r>
          </w:p>
        </w:tc>
      </w:tr>
      <w:tr w:rsidR="008134A5" w:rsidRPr="00FB02F9" w:rsidTr="008134A5">
        <w:trPr>
          <w:cantSplit/>
        </w:trPr>
        <w:tc>
          <w:tcPr>
            <w:tcW w:w="1218" w:type="dxa"/>
          </w:tcPr>
          <w:p w:rsidR="008134A5" w:rsidRPr="00FB02F9" w:rsidRDefault="008134A5" w:rsidP="008134A5">
            <w:pPr>
              <w:ind w:right="170"/>
              <w:jc w:val="right"/>
              <w:rPr>
                <w:rFonts w:cs="Arial"/>
                <w:snapToGrid w:val="0"/>
                <w:color w:val="000000"/>
                <w:sz w:val="18"/>
                <w:szCs w:val="18"/>
              </w:rPr>
            </w:pPr>
            <w:r w:rsidRPr="00FB02F9">
              <w:rPr>
                <w:rFonts w:cs="Arial"/>
                <w:snapToGrid w:val="0"/>
                <w:color w:val="000000"/>
                <w:sz w:val="18"/>
                <w:szCs w:val="18"/>
              </w:rPr>
              <w:t>10,728</w:t>
            </w:r>
          </w:p>
        </w:tc>
        <w:tc>
          <w:tcPr>
            <w:tcW w:w="1275" w:type="dxa"/>
          </w:tcPr>
          <w:p w:rsidR="008134A5" w:rsidRPr="00FB02F9" w:rsidRDefault="008134A5" w:rsidP="008134A5">
            <w:pPr>
              <w:ind w:right="170"/>
              <w:jc w:val="right"/>
              <w:rPr>
                <w:rFonts w:cs="Arial"/>
                <w:snapToGrid w:val="0"/>
                <w:color w:val="000000"/>
                <w:sz w:val="18"/>
                <w:szCs w:val="18"/>
              </w:rPr>
            </w:pPr>
            <w:r w:rsidRPr="00FB02F9">
              <w:rPr>
                <w:rFonts w:cs="Arial"/>
                <w:snapToGrid w:val="0"/>
                <w:color w:val="000000"/>
                <w:sz w:val="18"/>
                <w:szCs w:val="18"/>
              </w:rPr>
              <w:t>10,728</w:t>
            </w:r>
          </w:p>
        </w:tc>
        <w:tc>
          <w:tcPr>
            <w:tcW w:w="3036" w:type="dxa"/>
          </w:tcPr>
          <w:p w:rsidR="008134A5" w:rsidRPr="00FB02F9" w:rsidRDefault="008134A5" w:rsidP="008134A5">
            <w:pPr>
              <w:jc w:val="left"/>
              <w:rPr>
                <w:rFonts w:cs="Arial"/>
                <w:snapToGrid w:val="0"/>
                <w:color w:val="000000"/>
                <w:sz w:val="18"/>
                <w:szCs w:val="18"/>
              </w:rPr>
            </w:pPr>
            <w:r w:rsidRPr="00FB02F9">
              <w:rPr>
                <w:rFonts w:cs="Arial"/>
                <w:snapToGrid w:val="0"/>
                <w:color w:val="000000"/>
                <w:sz w:val="18"/>
                <w:szCs w:val="22"/>
              </w:rPr>
              <w:t>Kirgistan</w:t>
            </w:r>
          </w:p>
        </w:tc>
        <w:tc>
          <w:tcPr>
            <w:tcW w:w="1032" w:type="dxa"/>
          </w:tcPr>
          <w:p w:rsidR="008134A5" w:rsidRPr="00FB02F9" w:rsidRDefault="008134A5" w:rsidP="002A18A8">
            <w:pPr>
              <w:ind w:right="284"/>
              <w:jc w:val="right"/>
              <w:rPr>
                <w:rFonts w:cs="Arial"/>
                <w:sz w:val="18"/>
                <w:szCs w:val="18"/>
              </w:rPr>
            </w:pPr>
            <w:r w:rsidRPr="00FB02F9">
              <w:rPr>
                <w:rFonts w:cs="Arial"/>
                <w:sz w:val="18"/>
                <w:szCs w:val="18"/>
              </w:rPr>
              <w:t>0.20</w:t>
            </w:r>
          </w:p>
        </w:tc>
        <w:tc>
          <w:tcPr>
            <w:tcW w:w="1560" w:type="dxa"/>
          </w:tcPr>
          <w:p w:rsidR="008134A5" w:rsidRPr="00FB02F9" w:rsidRDefault="008134A5" w:rsidP="008134A5">
            <w:pPr>
              <w:ind w:right="284"/>
              <w:jc w:val="right"/>
              <w:rPr>
                <w:rFonts w:cs="Arial"/>
                <w:snapToGrid w:val="0"/>
                <w:color w:val="000000"/>
                <w:sz w:val="18"/>
                <w:szCs w:val="18"/>
              </w:rPr>
            </w:pPr>
            <w:r w:rsidRPr="00FB02F9">
              <w:rPr>
                <w:rFonts w:cs="Arial"/>
                <w:snapToGrid w:val="0"/>
                <w:color w:val="000000"/>
                <w:sz w:val="18"/>
                <w:szCs w:val="18"/>
              </w:rPr>
              <w:t>10,728</w:t>
            </w:r>
          </w:p>
        </w:tc>
        <w:tc>
          <w:tcPr>
            <w:tcW w:w="1559" w:type="dxa"/>
          </w:tcPr>
          <w:p w:rsidR="008134A5" w:rsidRPr="00FB02F9" w:rsidRDefault="008134A5" w:rsidP="008134A5">
            <w:pPr>
              <w:ind w:right="284"/>
              <w:jc w:val="right"/>
              <w:rPr>
                <w:rFonts w:cs="Arial"/>
                <w:snapToGrid w:val="0"/>
                <w:color w:val="000000"/>
                <w:sz w:val="18"/>
                <w:szCs w:val="18"/>
              </w:rPr>
            </w:pPr>
            <w:r w:rsidRPr="00FB02F9">
              <w:rPr>
                <w:rFonts w:cs="Arial"/>
                <w:snapToGrid w:val="0"/>
                <w:color w:val="000000"/>
                <w:sz w:val="18"/>
                <w:szCs w:val="18"/>
              </w:rPr>
              <w:t>10,728</w:t>
            </w:r>
          </w:p>
        </w:tc>
      </w:tr>
      <w:tr w:rsidR="008134A5" w:rsidRPr="00FB02F9" w:rsidTr="008134A5">
        <w:trPr>
          <w:cantSplit/>
        </w:trPr>
        <w:tc>
          <w:tcPr>
            <w:tcW w:w="1218" w:type="dxa"/>
          </w:tcPr>
          <w:p w:rsidR="008134A5" w:rsidRPr="00FB02F9" w:rsidRDefault="008134A5" w:rsidP="008134A5">
            <w:pPr>
              <w:ind w:right="170"/>
              <w:jc w:val="right"/>
              <w:rPr>
                <w:rFonts w:cs="Arial"/>
                <w:snapToGrid w:val="0"/>
                <w:color w:val="000000"/>
                <w:sz w:val="18"/>
                <w:szCs w:val="18"/>
              </w:rPr>
            </w:pPr>
            <w:r w:rsidRPr="00FB02F9">
              <w:rPr>
                <w:rFonts w:cs="Arial"/>
                <w:snapToGrid w:val="0"/>
                <w:color w:val="000000"/>
                <w:sz w:val="18"/>
                <w:szCs w:val="18"/>
              </w:rPr>
              <w:t>10,728</w:t>
            </w:r>
          </w:p>
        </w:tc>
        <w:tc>
          <w:tcPr>
            <w:tcW w:w="1275" w:type="dxa"/>
          </w:tcPr>
          <w:p w:rsidR="008134A5" w:rsidRPr="00FB02F9" w:rsidRDefault="008134A5" w:rsidP="008134A5">
            <w:pPr>
              <w:ind w:right="170"/>
              <w:jc w:val="right"/>
              <w:rPr>
                <w:rFonts w:cs="Arial"/>
                <w:snapToGrid w:val="0"/>
                <w:color w:val="000000"/>
                <w:sz w:val="18"/>
                <w:szCs w:val="18"/>
              </w:rPr>
            </w:pPr>
            <w:r w:rsidRPr="00FB02F9">
              <w:rPr>
                <w:rFonts w:cs="Arial"/>
                <w:snapToGrid w:val="0"/>
                <w:color w:val="000000"/>
                <w:sz w:val="18"/>
                <w:szCs w:val="18"/>
              </w:rPr>
              <w:t>10,728</w:t>
            </w:r>
          </w:p>
        </w:tc>
        <w:tc>
          <w:tcPr>
            <w:tcW w:w="3036" w:type="dxa"/>
          </w:tcPr>
          <w:p w:rsidR="008134A5" w:rsidRPr="00FB02F9" w:rsidRDefault="008134A5" w:rsidP="008134A5">
            <w:pPr>
              <w:jc w:val="left"/>
              <w:rPr>
                <w:rFonts w:cs="Arial"/>
                <w:snapToGrid w:val="0"/>
                <w:color w:val="000000"/>
                <w:sz w:val="18"/>
                <w:szCs w:val="18"/>
              </w:rPr>
            </w:pPr>
            <w:r w:rsidRPr="00FB02F9">
              <w:rPr>
                <w:rFonts w:cs="Arial"/>
                <w:snapToGrid w:val="0"/>
                <w:color w:val="000000"/>
                <w:sz w:val="18"/>
                <w:szCs w:val="18"/>
              </w:rPr>
              <w:t>Kolumbien</w:t>
            </w:r>
          </w:p>
        </w:tc>
        <w:tc>
          <w:tcPr>
            <w:tcW w:w="1032" w:type="dxa"/>
          </w:tcPr>
          <w:p w:rsidR="008134A5" w:rsidRPr="00FB02F9" w:rsidRDefault="008134A5" w:rsidP="002A18A8">
            <w:pPr>
              <w:ind w:right="284"/>
              <w:jc w:val="right"/>
              <w:rPr>
                <w:rFonts w:cs="Arial"/>
                <w:snapToGrid w:val="0"/>
                <w:color w:val="000000"/>
                <w:sz w:val="18"/>
                <w:szCs w:val="18"/>
              </w:rPr>
            </w:pPr>
            <w:r w:rsidRPr="00FB02F9">
              <w:rPr>
                <w:rFonts w:cs="Arial"/>
                <w:snapToGrid w:val="0"/>
                <w:color w:val="000000"/>
                <w:sz w:val="18"/>
                <w:szCs w:val="18"/>
              </w:rPr>
              <w:t>0.20</w:t>
            </w:r>
          </w:p>
        </w:tc>
        <w:tc>
          <w:tcPr>
            <w:tcW w:w="1560" w:type="dxa"/>
          </w:tcPr>
          <w:p w:rsidR="008134A5" w:rsidRPr="00FB02F9" w:rsidRDefault="008134A5" w:rsidP="008134A5">
            <w:pPr>
              <w:ind w:right="284"/>
              <w:jc w:val="right"/>
              <w:rPr>
                <w:rFonts w:cs="Arial"/>
                <w:snapToGrid w:val="0"/>
                <w:color w:val="000000"/>
                <w:sz w:val="18"/>
                <w:szCs w:val="18"/>
              </w:rPr>
            </w:pPr>
            <w:r w:rsidRPr="00FB02F9">
              <w:rPr>
                <w:rFonts w:cs="Arial"/>
                <w:snapToGrid w:val="0"/>
                <w:color w:val="000000"/>
                <w:sz w:val="18"/>
                <w:szCs w:val="18"/>
              </w:rPr>
              <w:t>10,728</w:t>
            </w:r>
          </w:p>
        </w:tc>
        <w:tc>
          <w:tcPr>
            <w:tcW w:w="1559" w:type="dxa"/>
          </w:tcPr>
          <w:p w:rsidR="008134A5" w:rsidRPr="00FB02F9" w:rsidRDefault="008134A5" w:rsidP="008134A5">
            <w:pPr>
              <w:ind w:right="284"/>
              <w:jc w:val="right"/>
              <w:rPr>
                <w:rFonts w:cs="Arial"/>
                <w:snapToGrid w:val="0"/>
                <w:color w:val="000000"/>
                <w:sz w:val="18"/>
                <w:szCs w:val="18"/>
              </w:rPr>
            </w:pPr>
            <w:r w:rsidRPr="00FB02F9">
              <w:rPr>
                <w:rFonts w:cs="Arial"/>
                <w:snapToGrid w:val="0"/>
                <w:color w:val="000000"/>
                <w:sz w:val="18"/>
                <w:szCs w:val="18"/>
              </w:rPr>
              <w:t>10,728</w:t>
            </w:r>
          </w:p>
        </w:tc>
      </w:tr>
      <w:tr w:rsidR="008134A5" w:rsidRPr="00FB02F9" w:rsidTr="008134A5">
        <w:trPr>
          <w:cantSplit/>
        </w:trPr>
        <w:tc>
          <w:tcPr>
            <w:tcW w:w="1218" w:type="dxa"/>
          </w:tcPr>
          <w:p w:rsidR="008134A5" w:rsidRPr="00FB02F9" w:rsidRDefault="008134A5" w:rsidP="008134A5">
            <w:pPr>
              <w:ind w:right="170"/>
              <w:jc w:val="right"/>
              <w:rPr>
                <w:rFonts w:cs="Arial"/>
                <w:snapToGrid w:val="0"/>
                <w:color w:val="000000"/>
                <w:sz w:val="18"/>
                <w:szCs w:val="18"/>
              </w:rPr>
            </w:pPr>
            <w:r w:rsidRPr="00FB02F9">
              <w:rPr>
                <w:rFonts w:cs="Arial"/>
                <w:snapToGrid w:val="0"/>
                <w:color w:val="000000"/>
                <w:sz w:val="18"/>
                <w:szCs w:val="18"/>
              </w:rPr>
              <w:t>10,728</w:t>
            </w:r>
          </w:p>
        </w:tc>
        <w:tc>
          <w:tcPr>
            <w:tcW w:w="1275" w:type="dxa"/>
          </w:tcPr>
          <w:p w:rsidR="008134A5" w:rsidRPr="00FB02F9" w:rsidRDefault="008134A5" w:rsidP="008134A5">
            <w:pPr>
              <w:ind w:right="170"/>
              <w:jc w:val="right"/>
              <w:rPr>
                <w:rFonts w:cs="Arial"/>
                <w:snapToGrid w:val="0"/>
                <w:color w:val="000000"/>
                <w:sz w:val="18"/>
                <w:szCs w:val="18"/>
              </w:rPr>
            </w:pPr>
            <w:r w:rsidRPr="00FB02F9">
              <w:rPr>
                <w:rFonts w:cs="Arial"/>
                <w:snapToGrid w:val="0"/>
                <w:color w:val="000000"/>
                <w:sz w:val="18"/>
                <w:szCs w:val="18"/>
              </w:rPr>
              <w:t>10,728</w:t>
            </w:r>
          </w:p>
        </w:tc>
        <w:tc>
          <w:tcPr>
            <w:tcW w:w="3036" w:type="dxa"/>
          </w:tcPr>
          <w:p w:rsidR="008134A5" w:rsidRPr="00FB02F9" w:rsidRDefault="008134A5" w:rsidP="008134A5">
            <w:pPr>
              <w:jc w:val="left"/>
              <w:rPr>
                <w:rFonts w:cs="Arial"/>
                <w:snapToGrid w:val="0"/>
                <w:color w:val="000000"/>
                <w:sz w:val="18"/>
                <w:szCs w:val="18"/>
              </w:rPr>
            </w:pPr>
            <w:r w:rsidRPr="00FB02F9">
              <w:rPr>
                <w:rFonts w:cs="Arial"/>
                <w:snapToGrid w:val="0"/>
                <w:color w:val="000000"/>
                <w:sz w:val="18"/>
                <w:szCs w:val="18"/>
              </w:rPr>
              <w:t>Kroatien</w:t>
            </w:r>
          </w:p>
        </w:tc>
        <w:tc>
          <w:tcPr>
            <w:tcW w:w="1032" w:type="dxa"/>
          </w:tcPr>
          <w:p w:rsidR="008134A5" w:rsidRPr="00FB02F9" w:rsidRDefault="008134A5" w:rsidP="002A18A8">
            <w:pPr>
              <w:ind w:right="284"/>
              <w:jc w:val="right"/>
              <w:rPr>
                <w:rFonts w:cs="Arial"/>
                <w:snapToGrid w:val="0"/>
                <w:color w:val="000000"/>
                <w:sz w:val="18"/>
                <w:szCs w:val="18"/>
              </w:rPr>
            </w:pPr>
            <w:r w:rsidRPr="00FB02F9">
              <w:rPr>
                <w:rFonts w:cs="Arial"/>
                <w:snapToGrid w:val="0"/>
                <w:color w:val="000000"/>
                <w:sz w:val="18"/>
                <w:szCs w:val="18"/>
              </w:rPr>
              <w:t>0.20</w:t>
            </w:r>
          </w:p>
        </w:tc>
        <w:tc>
          <w:tcPr>
            <w:tcW w:w="1560" w:type="dxa"/>
          </w:tcPr>
          <w:p w:rsidR="008134A5" w:rsidRPr="00FB02F9" w:rsidRDefault="008134A5" w:rsidP="008134A5">
            <w:pPr>
              <w:ind w:right="284"/>
              <w:jc w:val="right"/>
              <w:rPr>
                <w:rFonts w:cs="Arial"/>
                <w:snapToGrid w:val="0"/>
                <w:color w:val="000000"/>
                <w:sz w:val="18"/>
                <w:szCs w:val="18"/>
              </w:rPr>
            </w:pPr>
            <w:r w:rsidRPr="00FB02F9">
              <w:rPr>
                <w:rFonts w:cs="Arial"/>
                <w:snapToGrid w:val="0"/>
                <w:color w:val="000000"/>
                <w:sz w:val="18"/>
                <w:szCs w:val="18"/>
              </w:rPr>
              <w:t>10,728</w:t>
            </w:r>
          </w:p>
        </w:tc>
        <w:tc>
          <w:tcPr>
            <w:tcW w:w="1559" w:type="dxa"/>
          </w:tcPr>
          <w:p w:rsidR="008134A5" w:rsidRPr="00FB02F9" w:rsidRDefault="008134A5" w:rsidP="008134A5">
            <w:pPr>
              <w:ind w:right="284"/>
              <w:jc w:val="right"/>
              <w:rPr>
                <w:rFonts w:cs="Arial"/>
                <w:snapToGrid w:val="0"/>
                <w:color w:val="000000"/>
                <w:sz w:val="18"/>
                <w:szCs w:val="18"/>
              </w:rPr>
            </w:pPr>
            <w:r w:rsidRPr="00FB02F9">
              <w:rPr>
                <w:rFonts w:cs="Arial"/>
                <w:snapToGrid w:val="0"/>
                <w:color w:val="000000"/>
                <w:sz w:val="18"/>
                <w:szCs w:val="18"/>
              </w:rPr>
              <w:t>10,728</w:t>
            </w:r>
          </w:p>
        </w:tc>
      </w:tr>
      <w:tr w:rsidR="008134A5" w:rsidRPr="00FB02F9" w:rsidTr="008134A5">
        <w:trPr>
          <w:cantSplit/>
        </w:trPr>
        <w:tc>
          <w:tcPr>
            <w:tcW w:w="1218" w:type="dxa"/>
          </w:tcPr>
          <w:p w:rsidR="008134A5" w:rsidRPr="00FB02F9" w:rsidRDefault="008134A5" w:rsidP="008134A5">
            <w:pPr>
              <w:ind w:right="170"/>
              <w:jc w:val="right"/>
              <w:rPr>
                <w:rFonts w:cs="Arial"/>
                <w:snapToGrid w:val="0"/>
                <w:color w:val="000000"/>
                <w:sz w:val="18"/>
                <w:szCs w:val="18"/>
              </w:rPr>
            </w:pPr>
            <w:r w:rsidRPr="00FB02F9">
              <w:rPr>
                <w:rFonts w:cs="Arial"/>
                <w:snapToGrid w:val="0"/>
                <w:color w:val="000000"/>
                <w:sz w:val="18"/>
                <w:szCs w:val="18"/>
              </w:rPr>
              <w:t>10,728</w:t>
            </w:r>
          </w:p>
        </w:tc>
        <w:tc>
          <w:tcPr>
            <w:tcW w:w="1275" w:type="dxa"/>
          </w:tcPr>
          <w:p w:rsidR="008134A5" w:rsidRPr="00FB02F9" w:rsidRDefault="008134A5" w:rsidP="008134A5">
            <w:pPr>
              <w:ind w:right="170"/>
              <w:jc w:val="right"/>
              <w:rPr>
                <w:rFonts w:cs="Arial"/>
                <w:snapToGrid w:val="0"/>
                <w:color w:val="000000"/>
                <w:sz w:val="18"/>
                <w:szCs w:val="18"/>
              </w:rPr>
            </w:pPr>
            <w:r w:rsidRPr="00FB02F9">
              <w:rPr>
                <w:rFonts w:cs="Arial"/>
                <w:snapToGrid w:val="0"/>
                <w:color w:val="000000"/>
                <w:sz w:val="18"/>
                <w:szCs w:val="18"/>
              </w:rPr>
              <w:t>10,728</w:t>
            </w:r>
          </w:p>
        </w:tc>
        <w:tc>
          <w:tcPr>
            <w:tcW w:w="3036" w:type="dxa"/>
          </w:tcPr>
          <w:p w:rsidR="008134A5" w:rsidRPr="00FB02F9" w:rsidRDefault="008134A5" w:rsidP="008134A5">
            <w:pPr>
              <w:jc w:val="left"/>
              <w:rPr>
                <w:rFonts w:cs="Arial"/>
                <w:snapToGrid w:val="0"/>
                <w:color w:val="000000"/>
                <w:sz w:val="18"/>
                <w:szCs w:val="18"/>
              </w:rPr>
            </w:pPr>
            <w:r w:rsidRPr="00FB02F9">
              <w:rPr>
                <w:rFonts w:cs="Arial"/>
                <w:snapToGrid w:val="0"/>
                <w:color w:val="000000"/>
                <w:sz w:val="18"/>
                <w:szCs w:val="18"/>
              </w:rPr>
              <w:t>Lettland</w:t>
            </w:r>
          </w:p>
        </w:tc>
        <w:tc>
          <w:tcPr>
            <w:tcW w:w="1032" w:type="dxa"/>
          </w:tcPr>
          <w:p w:rsidR="008134A5" w:rsidRPr="00FB02F9" w:rsidRDefault="008134A5" w:rsidP="002A18A8">
            <w:pPr>
              <w:ind w:right="284"/>
              <w:jc w:val="right"/>
              <w:rPr>
                <w:rFonts w:cs="Arial"/>
                <w:sz w:val="18"/>
                <w:szCs w:val="18"/>
              </w:rPr>
            </w:pPr>
            <w:r w:rsidRPr="00FB02F9">
              <w:rPr>
                <w:rFonts w:cs="Arial"/>
                <w:sz w:val="18"/>
                <w:szCs w:val="18"/>
              </w:rPr>
              <w:t>0.20</w:t>
            </w:r>
          </w:p>
        </w:tc>
        <w:tc>
          <w:tcPr>
            <w:tcW w:w="1560" w:type="dxa"/>
          </w:tcPr>
          <w:p w:rsidR="008134A5" w:rsidRPr="00FB02F9" w:rsidRDefault="008134A5" w:rsidP="008134A5">
            <w:pPr>
              <w:ind w:right="284"/>
              <w:jc w:val="right"/>
              <w:rPr>
                <w:rFonts w:cs="Arial"/>
                <w:snapToGrid w:val="0"/>
                <w:color w:val="000000"/>
                <w:sz w:val="18"/>
                <w:szCs w:val="18"/>
              </w:rPr>
            </w:pPr>
            <w:r w:rsidRPr="00FB02F9">
              <w:rPr>
                <w:rFonts w:cs="Arial"/>
                <w:snapToGrid w:val="0"/>
                <w:color w:val="000000"/>
                <w:sz w:val="18"/>
                <w:szCs w:val="18"/>
              </w:rPr>
              <w:t>10,728</w:t>
            </w:r>
          </w:p>
        </w:tc>
        <w:tc>
          <w:tcPr>
            <w:tcW w:w="1559" w:type="dxa"/>
          </w:tcPr>
          <w:p w:rsidR="008134A5" w:rsidRPr="00FB02F9" w:rsidRDefault="008134A5" w:rsidP="008134A5">
            <w:pPr>
              <w:ind w:right="284"/>
              <w:jc w:val="right"/>
              <w:rPr>
                <w:rFonts w:cs="Arial"/>
                <w:snapToGrid w:val="0"/>
                <w:color w:val="000000"/>
                <w:sz w:val="18"/>
                <w:szCs w:val="18"/>
              </w:rPr>
            </w:pPr>
            <w:r w:rsidRPr="00FB02F9">
              <w:rPr>
                <w:rFonts w:cs="Arial"/>
                <w:snapToGrid w:val="0"/>
                <w:color w:val="000000"/>
                <w:sz w:val="18"/>
                <w:szCs w:val="18"/>
              </w:rPr>
              <w:t>10,728</w:t>
            </w:r>
          </w:p>
        </w:tc>
      </w:tr>
      <w:tr w:rsidR="008134A5" w:rsidRPr="00FB02F9" w:rsidTr="008134A5">
        <w:trPr>
          <w:cantSplit/>
        </w:trPr>
        <w:tc>
          <w:tcPr>
            <w:tcW w:w="1218" w:type="dxa"/>
          </w:tcPr>
          <w:p w:rsidR="008134A5" w:rsidRPr="00FB02F9" w:rsidRDefault="008134A5" w:rsidP="008134A5">
            <w:pPr>
              <w:ind w:right="170"/>
              <w:jc w:val="right"/>
              <w:rPr>
                <w:rFonts w:cs="Arial"/>
                <w:snapToGrid w:val="0"/>
                <w:color w:val="000000"/>
                <w:sz w:val="18"/>
                <w:szCs w:val="18"/>
              </w:rPr>
            </w:pPr>
            <w:r w:rsidRPr="00FB02F9">
              <w:rPr>
                <w:rFonts w:cs="Arial"/>
                <w:snapToGrid w:val="0"/>
                <w:color w:val="000000"/>
                <w:sz w:val="18"/>
                <w:szCs w:val="18"/>
              </w:rPr>
              <w:t>10,728</w:t>
            </w:r>
          </w:p>
        </w:tc>
        <w:tc>
          <w:tcPr>
            <w:tcW w:w="1275" w:type="dxa"/>
          </w:tcPr>
          <w:p w:rsidR="008134A5" w:rsidRPr="00FB02F9" w:rsidRDefault="008134A5" w:rsidP="008134A5">
            <w:pPr>
              <w:ind w:right="170"/>
              <w:jc w:val="right"/>
              <w:rPr>
                <w:rFonts w:cs="Arial"/>
                <w:snapToGrid w:val="0"/>
                <w:color w:val="000000"/>
                <w:sz w:val="18"/>
                <w:szCs w:val="18"/>
              </w:rPr>
            </w:pPr>
            <w:r w:rsidRPr="00FB02F9">
              <w:rPr>
                <w:rFonts w:cs="Arial"/>
                <w:snapToGrid w:val="0"/>
                <w:color w:val="000000"/>
                <w:sz w:val="18"/>
                <w:szCs w:val="18"/>
              </w:rPr>
              <w:t>10,728</w:t>
            </w:r>
          </w:p>
        </w:tc>
        <w:tc>
          <w:tcPr>
            <w:tcW w:w="3036" w:type="dxa"/>
          </w:tcPr>
          <w:p w:rsidR="008134A5" w:rsidRPr="00FB02F9" w:rsidRDefault="008134A5" w:rsidP="008134A5">
            <w:pPr>
              <w:jc w:val="left"/>
              <w:rPr>
                <w:rFonts w:cs="Arial"/>
                <w:snapToGrid w:val="0"/>
                <w:color w:val="000000"/>
                <w:sz w:val="18"/>
                <w:szCs w:val="18"/>
              </w:rPr>
            </w:pPr>
            <w:r w:rsidRPr="00FB02F9">
              <w:rPr>
                <w:rFonts w:cs="Arial"/>
                <w:snapToGrid w:val="0"/>
                <w:color w:val="000000"/>
                <w:sz w:val="18"/>
                <w:szCs w:val="18"/>
              </w:rPr>
              <w:t>Litauen</w:t>
            </w:r>
          </w:p>
        </w:tc>
        <w:tc>
          <w:tcPr>
            <w:tcW w:w="1032" w:type="dxa"/>
          </w:tcPr>
          <w:p w:rsidR="008134A5" w:rsidRPr="00FB02F9" w:rsidRDefault="008134A5" w:rsidP="002A18A8">
            <w:pPr>
              <w:ind w:right="284"/>
              <w:jc w:val="right"/>
              <w:rPr>
                <w:rFonts w:cs="Arial"/>
                <w:sz w:val="18"/>
                <w:szCs w:val="18"/>
              </w:rPr>
            </w:pPr>
            <w:r w:rsidRPr="00FB02F9">
              <w:rPr>
                <w:rFonts w:cs="Arial"/>
                <w:sz w:val="18"/>
                <w:szCs w:val="18"/>
              </w:rPr>
              <w:t>0.20</w:t>
            </w:r>
          </w:p>
        </w:tc>
        <w:tc>
          <w:tcPr>
            <w:tcW w:w="1560" w:type="dxa"/>
          </w:tcPr>
          <w:p w:rsidR="008134A5" w:rsidRPr="00FB02F9" w:rsidRDefault="008134A5" w:rsidP="008134A5">
            <w:pPr>
              <w:ind w:right="284"/>
              <w:jc w:val="right"/>
              <w:rPr>
                <w:rFonts w:cs="Arial"/>
                <w:snapToGrid w:val="0"/>
                <w:color w:val="000000"/>
                <w:sz w:val="18"/>
                <w:szCs w:val="18"/>
              </w:rPr>
            </w:pPr>
            <w:r w:rsidRPr="00FB02F9">
              <w:rPr>
                <w:rFonts w:cs="Arial"/>
                <w:snapToGrid w:val="0"/>
                <w:color w:val="000000"/>
                <w:sz w:val="18"/>
                <w:szCs w:val="18"/>
              </w:rPr>
              <w:t>10,728</w:t>
            </w:r>
          </w:p>
        </w:tc>
        <w:tc>
          <w:tcPr>
            <w:tcW w:w="1559" w:type="dxa"/>
          </w:tcPr>
          <w:p w:rsidR="008134A5" w:rsidRPr="00FB02F9" w:rsidRDefault="008134A5" w:rsidP="008134A5">
            <w:pPr>
              <w:ind w:right="284"/>
              <w:jc w:val="right"/>
              <w:rPr>
                <w:rFonts w:cs="Arial"/>
                <w:snapToGrid w:val="0"/>
                <w:color w:val="000000"/>
                <w:sz w:val="18"/>
                <w:szCs w:val="18"/>
              </w:rPr>
            </w:pPr>
            <w:r w:rsidRPr="00FB02F9">
              <w:rPr>
                <w:rFonts w:cs="Arial"/>
                <w:snapToGrid w:val="0"/>
                <w:color w:val="000000"/>
                <w:sz w:val="18"/>
                <w:szCs w:val="18"/>
              </w:rPr>
              <w:t>10,728</w:t>
            </w:r>
          </w:p>
        </w:tc>
      </w:tr>
      <w:tr w:rsidR="008134A5" w:rsidRPr="00FB02F9" w:rsidTr="008134A5">
        <w:trPr>
          <w:cantSplit/>
        </w:trPr>
        <w:tc>
          <w:tcPr>
            <w:tcW w:w="1218" w:type="dxa"/>
          </w:tcPr>
          <w:p w:rsidR="008134A5" w:rsidRPr="00FB02F9" w:rsidRDefault="008134A5" w:rsidP="008134A5">
            <w:pPr>
              <w:ind w:right="170"/>
              <w:jc w:val="right"/>
              <w:rPr>
                <w:rFonts w:cs="Arial"/>
                <w:snapToGrid w:val="0"/>
                <w:color w:val="000000"/>
                <w:sz w:val="18"/>
                <w:szCs w:val="18"/>
              </w:rPr>
            </w:pPr>
            <w:r w:rsidRPr="00FB02F9">
              <w:rPr>
                <w:rFonts w:cs="Arial"/>
                <w:snapToGrid w:val="0"/>
                <w:color w:val="000000"/>
                <w:sz w:val="18"/>
                <w:szCs w:val="18"/>
              </w:rPr>
              <w:t>10,728</w:t>
            </w:r>
          </w:p>
        </w:tc>
        <w:tc>
          <w:tcPr>
            <w:tcW w:w="1275" w:type="dxa"/>
          </w:tcPr>
          <w:p w:rsidR="008134A5" w:rsidRPr="00FB02F9" w:rsidRDefault="008134A5" w:rsidP="008134A5">
            <w:pPr>
              <w:ind w:right="170"/>
              <w:jc w:val="right"/>
              <w:rPr>
                <w:rFonts w:cs="Arial"/>
                <w:snapToGrid w:val="0"/>
                <w:color w:val="000000"/>
                <w:sz w:val="18"/>
                <w:szCs w:val="18"/>
              </w:rPr>
            </w:pPr>
            <w:r w:rsidRPr="00FB02F9">
              <w:rPr>
                <w:rFonts w:cs="Arial"/>
                <w:snapToGrid w:val="0"/>
                <w:color w:val="000000"/>
                <w:sz w:val="18"/>
                <w:szCs w:val="18"/>
              </w:rPr>
              <w:t>10,728</w:t>
            </w:r>
          </w:p>
        </w:tc>
        <w:tc>
          <w:tcPr>
            <w:tcW w:w="3036" w:type="dxa"/>
          </w:tcPr>
          <w:p w:rsidR="008134A5" w:rsidRPr="00FB02F9" w:rsidRDefault="008134A5" w:rsidP="008134A5">
            <w:pPr>
              <w:jc w:val="left"/>
              <w:rPr>
                <w:rFonts w:cs="Arial"/>
                <w:snapToGrid w:val="0"/>
                <w:color w:val="000000"/>
                <w:sz w:val="18"/>
                <w:szCs w:val="18"/>
              </w:rPr>
            </w:pPr>
            <w:r w:rsidRPr="00FB02F9">
              <w:rPr>
                <w:rFonts w:cs="Arial"/>
                <w:snapToGrid w:val="0"/>
                <w:color w:val="000000"/>
                <w:sz w:val="18"/>
                <w:szCs w:val="18"/>
              </w:rPr>
              <w:t>Marokko</w:t>
            </w:r>
          </w:p>
        </w:tc>
        <w:tc>
          <w:tcPr>
            <w:tcW w:w="1032" w:type="dxa"/>
          </w:tcPr>
          <w:p w:rsidR="008134A5" w:rsidRPr="00FB02F9" w:rsidRDefault="008134A5" w:rsidP="002A18A8">
            <w:pPr>
              <w:ind w:right="284"/>
              <w:jc w:val="right"/>
              <w:rPr>
                <w:rFonts w:cs="Arial"/>
                <w:sz w:val="18"/>
                <w:szCs w:val="18"/>
              </w:rPr>
            </w:pPr>
            <w:r w:rsidRPr="00FB02F9">
              <w:rPr>
                <w:rFonts w:cs="Arial"/>
                <w:sz w:val="18"/>
                <w:szCs w:val="18"/>
              </w:rPr>
              <w:t>0.20</w:t>
            </w:r>
          </w:p>
        </w:tc>
        <w:tc>
          <w:tcPr>
            <w:tcW w:w="1560" w:type="dxa"/>
          </w:tcPr>
          <w:p w:rsidR="008134A5" w:rsidRPr="00FB02F9" w:rsidRDefault="008134A5" w:rsidP="008134A5">
            <w:pPr>
              <w:ind w:right="284"/>
              <w:jc w:val="right"/>
              <w:rPr>
                <w:rFonts w:cs="Arial"/>
                <w:snapToGrid w:val="0"/>
                <w:color w:val="000000"/>
                <w:sz w:val="18"/>
                <w:szCs w:val="18"/>
              </w:rPr>
            </w:pPr>
            <w:r w:rsidRPr="00FB02F9">
              <w:rPr>
                <w:rFonts w:cs="Arial"/>
                <w:snapToGrid w:val="0"/>
                <w:color w:val="000000"/>
                <w:sz w:val="18"/>
                <w:szCs w:val="18"/>
              </w:rPr>
              <w:t>10,728</w:t>
            </w:r>
          </w:p>
        </w:tc>
        <w:tc>
          <w:tcPr>
            <w:tcW w:w="1559" w:type="dxa"/>
          </w:tcPr>
          <w:p w:rsidR="008134A5" w:rsidRPr="00FB02F9" w:rsidRDefault="008134A5" w:rsidP="008134A5">
            <w:pPr>
              <w:ind w:right="284"/>
              <w:jc w:val="right"/>
              <w:rPr>
                <w:rFonts w:cs="Arial"/>
                <w:snapToGrid w:val="0"/>
                <w:color w:val="000000"/>
                <w:sz w:val="18"/>
                <w:szCs w:val="18"/>
              </w:rPr>
            </w:pPr>
            <w:r w:rsidRPr="00FB02F9">
              <w:rPr>
                <w:rFonts w:cs="Arial"/>
                <w:snapToGrid w:val="0"/>
                <w:color w:val="000000"/>
                <w:sz w:val="18"/>
                <w:szCs w:val="18"/>
              </w:rPr>
              <w:t>10,728</w:t>
            </w:r>
          </w:p>
        </w:tc>
      </w:tr>
      <w:tr w:rsidR="008134A5" w:rsidRPr="00FB02F9" w:rsidTr="008134A5">
        <w:trPr>
          <w:cantSplit/>
        </w:trPr>
        <w:tc>
          <w:tcPr>
            <w:tcW w:w="1218" w:type="dxa"/>
          </w:tcPr>
          <w:p w:rsidR="008134A5" w:rsidRPr="00FB02F9" w:rsidRDefault="008134A5" w:rsidP="008134A5">
            <w:pPr>
              <w:ind w:right="170"/>
              <w:jc w:val="right"/>
              <w:rPr>
                <w:rFonts w:cs="Arial"/>
                <w:snapToGrid w:val="0"/>
                <w:color w:val="000000"/>
                <w:sz w:val="18"/>
                <w:szCs w:val="18"/>
              </w:rPr>
            </w:pPr>
            <w:r w:rsidRPr="00FB02F9">
              <w:rPr>
                <w:rFonts w:cs="Arial"/>
                <w:snapToGrid w:val="0"/>
                <w:color w:val="000000"/>
                <w:sz w:val="18"/>
                <w:szCs w:val="18"/>
              </w:rPr>
              <w:t>40,231</w:t>
            </w:r>
          </w:p>
        </w:tc>
        <w:tc>
          <w:tcPr>
            <w:tcW w:w="1275" w:type="dxa"/>
          </w:tcPr>
          <w:p w:rsidR="008134A5" w:rsidRPr="00FB02F9" w:rsidRDefault="008134A5" w:rsidP="008134A5">
            <w:pPr>
              <w:ind w:right="170"/>
              <w:jc w:val="right"/>
              <w:rPr>
                <w:rFonts w:cs="Arial"/>
                <w:snapToGrid w:val="0"/>
                <w:color w:val="000000"/>
                <w:sz w:val="18"/>
                <w:szCs w:val="18"/>
              </w:rPr>
            </w:pPr>
            <w:r w:rsidRPr="00FB02F9">
              <w:rPr>
                <w:rFonts w:cs="Arial"/>
                <w:snapToGrid w:val="0"/>
                <w:color w:val="000000"/>
                <w:sz w:val="18"/>
                <w:szCs w:val="18"/>
              </w:rPr>
              <w:t>40,231</w:t>
            </w:r>
          </w:p>
        </w:tc>
        <w:tc>
          <w:tcPr>
            <w:tcW w:w="3036" w:type="dxa"/>
          </w:tcPr>
          <w:p w:rsidR="008134A5" w:rsidRPr="00FB02F9" w:rsidRDefault="008134A5" w:rsidP="008134A5">
            <w:pPr>
              <w:jc w:val="left"/>
              <w:rPr>
                <w:rFonts w:cs="Arial"/>
                <w:snapToGrid w:val="0"/>
                <w:color w:val="000000"/>
                <w:sz w:val="18"/>
                <w:szCs w:val="18"/>
              </w:rPr>
            </w:pPr>
            <w:r w:rsidRPr="00FB02F9">
              <w:rPr>
                <w:rFonts w:cs="Arial"/>
                <w:snapToGrid w:val="0"/>
                <w:color w:val="000000"/>
                <w:sz w:val="18"/>
                <w:szCs w:val="18"/>
              </w:rPr>
              <w:t>Mexico</w:t>
            </w:r>
          </w:p>
        </w:tc>
        <w:tc>
          <w:tcPr>
            <w:tcW w:w="1032" w:type="dxa"/>
          </w:tcPr>
          <w:p w:rsidR="008134A5" w:rsidRPr="00FB02F9" w:rsidRDefault="008134A5" w:rsidP="002A18A8">
            <w:pPr>
              <w:ind w:right="284"/>
              <w:jc w:val="right"/>
              <w:rPr>
                <w:rFonts w:cs="Arial"/>
                <w:snapToGrid w:val="0"/>
                <w:color w:val="000000"/>
                <w:sz w:val="18"/>
                <w:szCs w:val="18"/>
              </w:rPr>
            </w:pPr>
            <w:r w:rsidRPr="00FB02F9">
              <w:rPr>
                <w:rFonts w:cs="Arial"/>
                <w:snapToGrid w:val="0"/>
                <w:color w:val="000000"/>
                <w:sz w:val="18"/>
                <w:szCs w:val="18"/>
              </w:rPr>
              <w:t>0.75</w:t>
            </w:r>
          </w:p>
        </w:tc>
        <w:tc>
          <w:tcPr>
            <w:tcW w:w="1560" w:type="dxa"/>
          </w:tcPr>
          <w:p w:rsidR="008134A5" w:rsidRPr="00FB02F9" w:rsidRDefault="008134A5" w:rsidP="008134A5">
            <w:pPr>
              <w:ind w:right="284"/>
              <w:jc w:val="right"/>
              <w:rPr>
                <w:rFonts w:cs="Arial"/>
                <w:snapToGrid w:val="0"/>
                <w:color w:val="000000"/>
                <w:sz w:val="18"/>
                <w:szCs w:val="18"/>
              </w:rPr>
            </w:pPr>
            <w:r w:rsidRPr="00FB02F9">
              <w:rPr>
                <w:rFonts w:cs="Arial"/>
                <w:snapToGrid w:val="0"/>
                <w:color w:val="000000"/>
                <w:sz w:val="18"/>
                <w:szCs w:val="18"/>
              </w:rPr>
              <w:t>40,231</w:t>
            </w:r>
          </w:p>
        </w:tc>
        <w:tc>
          <w:tcPr>
            <w:tcW w:w="1559" w:type="dxa"/>
          </w:tcPr>
          <w:p w:rsidR="008134A5" w:rsidRPr="00FB02F9" w:rsidRDefault="008134A5" w:rsidP="008134A5">
            <w:pPr>
              <w:ind w:right="284"/>
              <w:jc w:val="right"/>
              <w:rPr>
                <w:rFonts w:cs="Arial"/>
                <w:snapToGrid w:val="0"/>
                <w:color w:val="000000"/>
                <w:sz w:val="18"/>
                <w:szCs w:val="18"/>
              </w:rPr>
            </w:pPr>
            <w:r w:rsidRPr="00FB02F9">
              <w:rPr>
                <w:rFonts w:cs="Arial"/>
                <w:snapToGrid w:val="0"/>
                <w:color w:val="000000"/>
                <w:sz w:val="18"/>
                <w:szCs w:val="18"/>
              </w:rPr>
              <w:t>40,231</w:t>
            </w:r>
          </w:p>
        </w:tc>
      </w:tr>
      <w:tr w:rsidR="006D332A" w:rsidRPr="00FB02F9" w:rsidTr="008134A5">
        <w:trPr>
          <w:cantSplit/>
        </w:trPr>
        <w:tc>
          <w:tcPr>
            <w:tcW w:w="1218" w:type="dxa"/>
          </w:tcPr>
          <w:p w:rsidR="006D332A" w:rsidRDefault="006D332A" w:rsidP="00521042">
            <w:pPr>
              <w:ind w:right="170"/>
              <w:jc w:val="right"/>
              <w:rPr>
                <w:rFonts w:eastAsia="Arial" w:cs="Arial"/>
                <w:sz w:val="18"/>
                <w:szCs w:val="18"/>
              </w:rPr>
            </w:pPr>
            <w:r w:rsidRPr="00521042">
              <w:rPr>
                <w:rFonts w:cs="Arial"/>
                <w:snapToGrid w:val="0"/>
                <w:color w:val="000000"/>
                <w:sz w:val="18"/>
                <w:szCs w:val="18"/>
              </w:rPr>
              <w:t>10</w:t>
            </w:r>
            <w:r>
              <w:rPr>
                <w:rFonts w:eastAsia="Arial" w:cs="Arial"/>
                <w:sz w:val="18"/>
                <w:szCs w:val="18"/>
              </w:rPr>
              <w:t>,</w:t>
            </w:r>
            <w:r>
              <w:rPr>
                <w:rFonts w:eastAsia="Arial" w:cs="Arial"/>
                <w:spacing w:val="1"/>
                <w:sz w:val="18"/>
                <w:szCs w:val="18"/>
              </w:rPr>
              <w:t>7</w:t>
            </w:r>
            <w:r>
              <w:rPr>
                <w:rFonts w:eastAsia="Arial" w:cs="Arial"/>
                <w:spacing w:val="-2"/>
                <w:sz w:val="18"/>
                <w:szCs w:val="18"/>
              </w:rPr>
              <w:t>2</w:t>
            </w:r>
            <w:r>
              <w:rPr>
                <w:rFonts w:eastAsia="Arial" w:cs="Arial"/>
                <w:sz w:val="18"/>
                <w:szCs w:val="18"/>
              </w:rPr>
              <w:t>8</w:t>
            </w:r>
          </w:p>
        </w:tc>
        <w:tc>
          <w:tcPr>
            <w:tcW w:w="1275" w:type="dxa"/>
          </w:tcPr>
          <w:p w:rsidR="006D332A" w:rsidRDefault="006D332A" w:rsidP="00521042">
            <w:pPr>
              <w:ind w:right="170"/>
              <w:jc w:val="right"/>
              <w:rPr>
                <w:rFonts w:eastAsia="Arial" w:cs="Arial"/>
                <w:sz w:val="18"/>
                <w:szCs w:val="18"/>
              </w:rPr>
            </w:pPr>
            <w:r>
              <w:rPr>
                <w:rFonts w:eastAsia="Arial" w:cs="Arial"/>
                <w:spacing w:val="1"/>
                <w:sz w:val="18"/>
                <w:szCs w:val="18"/>
              </w:rPr>
              <w:t>10</w:t>
            </w:r>
            <w:r>
              <w:rPr>
                <w:rFonts w:eastAsia="Arial" w:cs="Arial"/>
                <w:sz w:val="18"/>
                <w:szCs w:val="18"/>
              </w:rPr>
              <w:t>,</w:t>
            </w:r>
            <w:r>
              <w:rPr>
                <w:rFonts w:eastAsia="Arial" w:cs="Arial"/>
                <w:spacing w:val="1"/>
                <w:sz w:val="18"/>
                <w:szCs w:val="18"/>
              </w:rPr>
              <w:t>7</w:t>
            </w:r>
            <w:r>
              <w:rPr>
                <w:rFonts w:eastAsia="Arial" w:cs="Arial"/>
                <w:spacing w:val="-2"/>
                <w:sz w:val="18"/>
                <w:szCs w:val="18"/>
              </w:rPr>
              <w:t>2</w:t>
            </w:r>
            <w:r>
              <w:rPr>
                <w:rFonts w:eastAsia="Arial" w:cs="Arial"/>
                <w:sz w:val="18"/>
                <w:szCs w:val="18"/>
              </w:rPr>
              <w:t>8</w:t>
            </w:r>
          </w:p>
        </w:tc>
        <w:tc>
          <w:tcPr>
            <w:tcW w:w="3036" w:type="dxa"/>
          </w:tcPr>
          <w:p w:rsidR="006D332A" w:rsidRDefault="006D332A" w:rsidP="00521042">
            <w:pPr>
              <w:jc w:val="left"/>
              <w:rPr>
                <w:rFonts w:eastAsia="Arial" w:cs="Arial"/>
                <w:sz w:val="18"/>
                <w:szCs w:val="18"/>
              </w:rPr>
            </w:pPr>
            <w:r>
              <w:rPr>
                <w:rFonts w:eastAsia="Arial" w:cs="Arial"/>
                <w:spacing w:val="-4"/>
                <w:sz w:val="18"/>
                <w:szCs w:val="18"/>
              </w:rPr>
              <w:t>M</w:t>
            </w:r>
            <w:r>
              <w:rPr>
                <w:rFonts w:eastAsia="Arial" w:cs="Arial"/>
                <w:spacing w:val="1"/>
                <w:sz w:val="18"/>
                <w:szCs w:val="18"/>
              </w:rPr>
              <w:t>on</w:t>
            </w:r>
            <w:r>
              <w:rPr>
                <w:rFonts w:eastAsia="Arial" w:cs="Arial"/>
                <w:sz w:val="18"/>
                <w:szCs w:val="18"/>
              </w:rPr>
              <w:t>t</w:t>
            </w:r>
            <w:r>
              <w:rPr>
                <w:rFonts w:eastAsia="Arial" w:cs="Arial"/>
                <w:spacing w:val="1"/>
                <w:sz w:val="18"/>
                <w:szCs w:val="18"/>
              </w:rPr>
              <w:t>eneg</w:t>
            </w:r>
            <w:r>
              <w:rPr>
                <w:rFonts w:eastAsia="Arial" w:cs="Arial"/>
                <w:sz w:val="18"/>
                <w:szCs w:val="18"/>
              </w:rPr>
              <w:t>ro</w:t>
            </w:r>
          </w:p>
        </w:tc>
        <w:tc>
          <w:tcPr>
            <w:tcW w:w="1032" w:type="dxa"/>
          </w:tcPr>
          <w:p w:rsidR="006D332A" w:rsidRDefault="006D332A" w:rsidP="002A18A8">
            <w:pPr>
              <w:ind w:right="284"/>
              <w:jc w:val="right"/>
              <w:rPr>
                <w:rFonts w:eastAsia="Arial" w:cs="Arial"/>
                <w:sz w:val="18"/>
                <w:szCs w:val="18"/>
              </w:rPr>
            </w:pPr>
            <w:r>
              <w:rPr>
                <w:rFonts w:eastAsia="Arial" w:cs="Arial"/>
                <w:spacing w:val="1"/>
                <w:sz w:val="18"/>
                <w:szCs w:val="18"/>
              </w:rPr>
              <w:t>0</w:t>
            </w:r>
            <w:r>
              <w:rPr>
                <w:rFonts w:eastAsia="Arial" w:cs="Arial"/>
                <w:sz w:val="18"/>
                <w:szCs w:val="18"/>
              </w:rPr>
              <w:t>.</w:t>
            </w:r>
            <w:r>
              <w:rPr>
                <w:rFonts w:eastAsia="Arial" w:cs="Arial"/>
                <w:spacing w:val="1"/>
                <w:sz w:val="18"/>
                <w:szCs w:val="18"/>
              </w:rPr>
              <w:t>20</w:t>
            </w:r>
          </w:p>
        </w:tc>
        <w:tc>
          <w:tcPr>
            <w:tcW w:w="1560" w:type="dxa"/>
          </w:tcPr>
          <w:p w:rsidR="006D332A" w:rsidRDefault="006D332A" w:rsidP="00521042">
            <w:pPr>
              <w:ind w:right="284"/>
              <w:jc w:val="right"/>
              <w:rPr>
                <w:rFonts w:eastAsia="Arial" w:cs="Arial"/>
                <w:sz w:val="18"/>
                <w:szCs w:val="18"/>
              </w:rPr>
            </w:pPr>
            <w:r>
              <w:rPr>
                <w:rFonts w:eastAsia="Arial" w:cs="Arial"/>
                <w:spacing w:val="1"/>
                <w:sz w:val="18"/>
                <w:szCs w:val="18"/>
              </w:rPr>
              <w:t>10</w:t>
            </w:r>
            <w:r>
              <w:rPr>
                <w:rFonts w:eastAsia="Arial" w:cs="Arial"/>
                <w:sz w:val="18"/>
                <w:szCs w:val="18"/>
              </w:rPr>
              <w:t>,</w:t>
            </w:r>
            <w:r>
              <w:rPr>
                <w:rFonts w:eastAsia="Arial" w:cs="Arial"/>
                <w:spacing w:val="1"/>
                <w:sz w:val="18"/>
                <w:szCs w:val="18"/>
              </w:rPr>
              <w:t>7</w:t>
            </w:r>
            <w:r>
              <w:rPr>
                <w:rFonts w:eastAsia="Arial" w:cs="Arial"/>
                <w:spacing w:val="-2"/>
                <w:sz w:val="18"/>
                <w:szCs w:val="18"/>
              </w:rPr>
              <w:t>2</w:t>
            </w:r>
            <w:r>
              <w:rPr>
                <w:rFonts w:eastAsia="Arial" w:cs="Arial"/>
                <w:sz w:val="18"/>
                <w:szCs w:val="18"/>
              </w:rPr>
              <w:t>8</w:t>
            </w:r>
          </w:p>
        </w:tc>
        <w:tc>
          <w:tcPr>
            <w:tcW w:w="1559" w:type="dxa"/>
          </w:tcPr>
          <w:p w:rsidR="006D332A" w:rsidRDefault="006D332A" w:rsidP="00521042">
            <w:pPr>
              <w:ind w:right="284"/>
              <w:jc w:val="right"/>
              <w:rPr>
                <w:rFonts w:eastAsia="Arial" w:cs="Arial"/>
                <w:sz w:val="18"/>
                <w:szCs w:val="18"/>
              </w:rPr>
            </w:pPr>
            <w:r>
              <w:rPr>
                <w:rFonts w:eastAsia="Arial" w:cs="Arial"/>
                <w:spacing w:val="1"/>
                <w:sz w:val="18"/>
                <w:szCs w:val="18"/>
              </w:rPr>
              <w:t>10</w:t>
            </w:r>
            <w:r>
              <w:rPr>
                <w:rFonts w:eastAsia="Arial" w:cs="Arial"/>
                <w:sz w:val="18"/>
                <w:szCs w:val="18"/>
              </w:rPr>
              <w:t>,</w:t>
            </w:r>
            <w:r>
              <w:rPr>
                <w:rFonts w:eastAsia="Arial" w:cs="Arial"/>
                <w:spacing w:val="1"/>
                <w:sz w:val="18"/>
                <w:szCs w:val="18"/>
              </w:rPr>
              <w:t>7</w:t>
            </w:r>
            <w:r>
              <w:rPr>
                <w:rFonts w:eastAsia="Arial" w:cs="Arial"/>
                <w:spacing w:val="-2"/>
                <w:sz w:val="18"/>
                <w:szCs w:val="18"/>
              </w:rPr>
              <w:t>2</w:t>
            </w:r>
            <w:r>
              <w:rPr>
                <w:rFonts w:eastAsia="Arial" w:cs="Arial"/>
                <w:sz w:val="18"/>
                <w:szCs w:val="18"/>
              </w:rPr>
              <w:t>8</w:t>
            </w:r>
          </w:p>
        </w:tc>
      </w:tr>
      <w:tr w:rsidR="008134A5" w:rsidRPr="00FB02F9" w:rsidTr="008134A5">
        <w:trPr>
          <w:cantSplit/>
        </w:trPr>
        <w:tc>
          <w:tcPr>
            <w:tcW w:w="1218" w:type="dxa"/>
          </w:tcPr>
          <w:p w:rsidR="008134A5" w:rsidRPr="00FB02F9" w:rsidRDefault="008134A5" w:rsidP="008134A5">
            <w:pPr>
              <w:ind w:right="170"/>
              <w:jc w:val="right"/>
              <w:rPr>
                <w:rFonts w:cs="Arial"/>
                <w:snapToGrid w:val="0"/>
                <w:color w:val="000000"/>
                <w:sz w:val="18"/>
                <w:szCs w:val="18"/>
              </w:rPr>
            </w:pPr>
            <w:r w:rsidRPr="00FB02F9">
              <w:rPr>
                <w:rFonts w:cs="Arial"/>
                <w:snapToGrid w:val="0"/>
                <w:color w:val="000000"/>
                <w:sz w:val="18"/>
                <w:szCs w:val="18"/>
              </w:rPr>
              <w:t>53,641</w:t>
            </w:r>
          </w:p>
        </w:tc>
        <w:tc>
          <w:tcPr>
            <w:tcW w:w="1275" w:type="dxa"/>
          </w:tcPr>
          <w:p w:rsidR="008134A5" w:rsidRPr="00FB02F9" w:rsidRDefault="008134A5" w:rsidP="008134A5">
            <w:pPr>
              <w:ind w:right="170"/>
              <w:jc w:val="right"/>
              <w:rPr>
                <w:rFonts w:cs="Arial"/>
                <w:snapToGrid w:val="0"/>
                <w:color w:val="000000"/>
                <w:sz w:val="18"/>
                <w:szCs w:val="18"/>
              </w:rPr>
            </w:pPr>
            <w:r w:rsidRPr="00FB02F9">
              <w:rPr>
                <w:rFonts w:cs="Arial"/>
                <w:snapToGrid w:val="0"/>
                <w:color w:val="000000"/>
                <w:sz w:val="18"/>
                <w:szCs w:val="18"/>
              </w:rPr>
              <w:t>53,641</w:t>
            </w:r>
          </w:p>
        </w:tc>
        <w:tc>
          <w:tcPr>
            <w:tcW w:w="3036" w:type="dxa"/>
          </w:tcPr>
          <w:p w:rsidR="008134A5" w:rsidRPr="00FB02F9" w:rsidRDefault="008134A5" w:rsidP="008134A5">
            <w:pPr>
              <w:jc w:val="left"/>
              <w:rPr>
                <w:rFonts w:cs="Arial"/>
                <w:snapToGrid w:val="0"/>
                <w:color w:val="000000"/>
                <w:sz w:val="18"/>
                <w:szCs w:val="18"/>
              </w:rPr>
            </w:pPr>
            <w:r w:rsidRPr="00FB02F9">
              <w:rPr>
                <w:rFonts w:cs="Arial"/>
                <w:snapToGrid w:val="0"/>
                <w:color w:val="000000"/>
                <w:sz w:val="18"/>
                <w:szCs w:val="18"/>
              </w:rPr>
              <w:t>Neuseeland</w:t>
            </w:r>
          </w:p>
        </w:tc>
        <w:tc>
          <w:tcPr>
            <w:tcW w:w="1032" w:type="dxa"/>
          </w:tcPr>
          <w:p w:rsidR="008134A5" w:rsidRPr="00FB02F9" w:rsidRDefault="008134A5" w:rsidP="002A18A8">
            <w:pPr>
              <w:ind w:right="284"/>
              <w:jc w:val="right"/>
              <w:rPr>
                <w:rFonts w:cs="Arial"/>
                <w:sz w:val="18"/>
                <w:szCs w:val="18"/>
              </w:rPr>
            </w:pPr>
            <w:r w:rsidRPr="00FB02F9">
              <w:rPr>
                <w:rFonts w:cs="Arial"/>
                <w:sz w:val="18"/>
                <w:szCs w:val="18"/>
              </w:rPr>
              <w:t>1.00</w:t>
            </w:r>
          </w:p>
        </w:tc>
        <w:tc>
          <w:tcPr>
            <w:tcW w:w="1560" w:type="dxa"/>
          </w:tcPr>
          <w:p w:rsidR="008134A5" w:rsidRPr="00FB02F9" w:rsidRDefault="008134A5" w:rsidP="008134A5">
            <w:pPr>
              <w:ind w:right="284"/>
              <w:jc w:val="right"/>
              <w:rPr>
                <w:rFonts w:cs="Arial"/>
                <w:snapToGrid w:val="0"/>
                <w:color w:val="000000"/>
                <w:sz w:val="18"/>
                <w:szCs w:val="18"/>
              </w:rPr>
            </w:pPr>
            <w:r w:rsidRPr="00FB02F9">
              <w:rPr>
                <w:rFonts w:cs="Arial"/>
                <w:snapToGrid w:val="0"/>
                <w:color w:val="000000"/>
                <w:sz w:val="18"/>
                <w:szCs w:val="18"/>
              </w:rPr>
              <w:t>53,641</w:t>
            </w:r>
          </w:p>
        </w:tc>
        <w:tc>
          <w:tcPr>
            <w:tcW w:w="1559" w:type="dxa"/>
          </w:tcPr>
          <w:p w:rsidR="008134A5" w:rsidRPr="00FB02F9" w:rsidRDefault="008134A5" w:rsidP="008134A5">
            <w:pPr>
              <w:ind w:right="284"/>
              <w:jc w:val="right"/>
              <w:rPr>
                <w:rFonts w:cs="Arial"/>
                <w:snapToGrid w:val="0"/>
                <w:color w:val="000000"/>
                <w:sz w:val="18"/>
                <w:szCs w:val="18"/>
              </w:rPr>
            </w:pPr>
            <w:r w:rsidRPr="00FB02F9">
              <w:rPr>
                <w:rFonts w:cs="Arial"/>
                <w:snapToGrid w:val="0"/>
                <w:color w:val="000000"/>
                <w:sz w:val="18"/>
                <w:szCs w:val="18"/>
              </w:rPr>
              <w:t>53,641</w:t>
            </w:r>
          </w:p>
        </w:tc>
      </w:tr>
      <w:tr w:rsidR="008134A5" w:rsidRPr="00FB02F9" w:rsidTr="008134A5">
        <w:trPr>
          <w:cantSplit/>
        </w:trPr>
        <w:tc>
          <w:tcPr>
            <w:tcW w:w="1218" w:type="dxa"/>
          </w:tcPr>
          <w:p w:rsidR="008134A5" w:rsidRPr="00FB02F9" w:rsidRDefault="008134A5" w:rsidP="008134A5">
            <w:pPr>
              <w:keepNext/>
              <w:ind w:right="170"/>
              <w:jc w:val="right"/>
              <w:rPr>
                <w:rFonts w:cs="Arial"/>
                <w:snapToGrid w:val="0"/>
                <w:color w:val="000000"/>
                <w:sz w:val="18"/>
                <w:szCs w:val="18"/>
              </w:rPr>
            </w:pPr>
            <w:r w:rsidRPr="00FB02F9">
              <w:rPr>
                <w:rFonts w:cs="Arial"/>
                <w:snapToGrid w:val="0"/>
                <w:color w:val="000000"/>
                <w:sz w:val="18"/>
                <w:szCs w:val="18"/>
              </w:rPr>
              <w:t>10,728</w:t>
            </w:r>
          </w:p>
        </w:tc>
        <w:tc>
          <w:tcPr>
            <w:tcW w:w="1275" w:type="dxa"/>
          </w:tcPr>
          <w:p w:rsidR="008134A5" w:rsidRPr="00FB02F9" w:rsidRDefault="008134A5" w:rsidP="008134A5">
            <w:pPr>
              <w:keepNext/>
              <w:ind w:right="170"/>
              <w:jc w:val="right"/>
              <w:rPr>
                <w:rFonts w:cs="Arial"/>
                <w:snapToGrid w:val="0"/>
                <w:color w:val="000000"/>
                <w:sz w:val="18"/>
                <w:szCs w:val="18"/>
              </w:rPr>
            </w:pPr>
            <w:r w:rsidRPr="00FB02F9">
              <w:rPr>
                <w:rFonts w:cs="Arial"/>
                <w:snapToGrid w:val="0"/>
                <w:color w:val="000000"/>
                <w:sz w:val="18"/>
                <w:szCs w:val="18"/>
              </w:rPr>
              <w:t>10,728</w:t>
            </w:r>
          </w:p>
        </w:tc>
        <w:tc>
          <w:tcPr>
            <w:tcW w:w="3036" w:type="dxa"/>
          </w:tcPr>
          <w:p w:rsidR="008134A5" w:rsidRPr="00FB02F9" w:rsidRDefault="008134A5" w:rsidP="008134A5">
            <w:pPr>
              <w:keepNext/>
              <w:jc w:val="left"/>
              <w:rPr>
                <w:rFonts w:cs="Arial"/>
                <w:snapToGrid w:val="0"/>
                <w:color w:val="000000"/>
                <w:sz w:val="18"/>
                <w:szCs w:val="18"/>
              </w:rPr>
            </w:pPr>
            <w:r w:rsidRPr="00FB02F9">
              <w:rPr>
                <w:rFonts w:cs="Arial"/>
                <w:snapToGrid w:val="0"/>
                <w:color w:val="000000"/>
                <w:sz w:val="18"/>
                <w:szCs w:val="18"/>
              </w:rPr>
              <w:t>Nicaragua</w:t>
            </w:r>
          </w:p>
        </w:tc>
        <w:tc>
          <w:tcPr>
            <w:tcW w:w="1032" w:type="dxa"/>
          </w:tcPr>
          <w:p w:rsidR="008134A5" w:rsidRPr="00FB02F9" w:rsidRDefault="008134A5" w:rsidP="002A18A8">
            <w:pPr>
              <w:keepNext/>
              <w:ind w:right="284"/>
              <w:jc w:val="right"/>
              <w:rPr>
                <w:rFonts w:cs="Arial"/>
                <w:sz w:val="18"/>
                <w:szCs w:val="18"/>
              </w:rPr>
            </w:pPr>
            <w:r w:rsidRPr="00FB02F9">
              <w:rPr>
                <w:rFonts w:cs="Arial"/>
                <w:sz w:val="18"/>
                <w:szCs w:val="18"/>
              </w:rPr>
              <w:t>0.20</w:t>
            </w:r>
          </w:p>
        </w:tc>
        <w:tc>
          <w:tcPr>
            <w:tcW w:w="1560" w:type="dxa"/>
          </w:tcPr>
          <w:p w:rsidR="008134A5" w:rsidRPr="00FB02F9" w:rsidRDefault="008134A5" w:rsidP="008134A5">
            <w:pPr>
              <w:keepNext/>
              <w:ind w:right="284"/>
              <w:jc w:val="right"/>
              <w:rPr>
                <w:rFonts w:cs="Arial"/>
                <w:snapToGrid w:val="0"/>
                <w:color w:val="000000"/>
                <w:sz w:val="18"/>
                <w:szCs w:val="18"/>
              </w:rPr>
            </w:pPr>
            <w:r w:rsidRPr="00FB02F9">
              <w:rPr>
                <w:rFonts w:cs="Arial"/>
                <w:snapToGrid w:val="0"/>
                <w:color w:val="000000"/>
                <w:sz w:val="18"/>
                <w:szCs w:val="18"/>
              </w:rPr>
              <w:t>10,728</w:t>
            </w:r>
          </w:p>
        </w:tc>
        <w:tc>
          <w:tcPr>
            <w:tcW w:w="1559" w:type="dxa"/>
          </w:tcPr>
          <w:p w:rsidR="008134A5" w:rsidRPr="00FB02F9" w:rsidRDefault="008134A5" w:rsidP="008134A5">
            <w:pPr>
              <w:keepNext/>
              <w:ind w:right="284"/>
              <w:jc w:val="right"/>
              <w:rPr>
                <w:rFonts w:cs="Arial"/>
                <w:snapToGrid w:val="0"/>
                <w:color w:val="000000"/>
                <w:sz w:val="18"/>
                <w:szCs w:val="18"/>
              </w:rPr>
            </w:pPr>
            <w:r w:rsidRPr="00FB02F9">
              <w:rPr>
                <w:rFonts w:cs="Arial"/>
                <w:snapToGrid w:val="0"/>
                <w:color w:val="000000"/>
                <w:sz w:val="18"/>
                <w:szCs w:val="18"/>
              </w:rPr>
              <w:t>10,728</w:t>
            </w:r>
          </w:p>
        </w:tc>
      </w:tr>
      <w:tr w:rsidR="008134A5" w:rsidRPr="00FB02F9" w:rsidTr="008134A5">
        <w:trPr>
          <w:cantSplit/>
        </w:trPr>
        <w:tc>
          <w:tcPr>
            <w:tcW w:w="1218" w:type="dxa"/>
          </w:tcPr>
          <w:p w:rsidR="008134A5" w:rsidRPr="00FB02F9" w:rsidRDefault="008134A5" w:rsidP="008134A5">
            <w:pPr>
              <w:ind w:right="170"/>
              <w:jc w:val="right"/>
              <w:rPr>
                <w:rFonts w:cs="Arial"/>
                <w:snapToGrid w:val="0"/>
                <w:color w:val="000000"/>
                <w:sz w:val="18"/>
                <w:szCs w:val="18"/>
              </w:rPr>
            </w:pPr>
            <w:r w:rsidRPr="00FB02F9">
              <w:rPr>
                <w:rFonts w:cs="Arial"/>
                <w:snapToGrid w:val="0"/>
                <w:color w:val="000000"/>
                <w:sz w:val="18"/>
                <w:szCs w:val="18"/>
              </w:rPr>
              <w:t>160,923</w:t>
            </w:r>
          </w:p>
        </w:tc>
        <w:tc>
          <w:tcPr>
            <w:tcW w:w="1275" w:type="dxa"/>
          </w:tcPr>
          <w:p w:rsidR="008134A5" w:rsidRPr="00FB02F9" w:rsidRDefault="008134A5" w:rsidP="008134A5">
            <w:pPr>
              <w:ind w:right="170"/>
              <w:jc w:val="right"/>
              <w:rPr>
                <w:rFonts w:cs="Arial"/>
                <w:snapToGrid w:val="0"/>
                <w:color w:val="000000"/>
                <w:sz w:val="18"/>
                <w:szCs w:val="18"/>
              </w:rPr>
            </w:pPr>
            <w:r w:rsidRPr="00FB02F9">
              <w:rPr>
                <w:rFonts w:cs="Arial"/>
                <w:snapToGrid w:val="0"/>
                <w:color w:val="000000"/>
                <w:sz w:val="18"/>
                <w:szCs w:val="18"/>
              </w:rPr>
              <w:t>160,923</w:t>
            </w:r>
          </w:p>
        </w:tc>
        <w:tc>
          <w:tcPr>
            <w:tcW w:w="3036" w:type="dxa"/>
          </w:tcPr>
          <w:p w:rsidR="008134A5" w:rsidRPr="00FB02F9" w:rsidRDefault="008134A5" w:rsidP="008134A5">
            <w:pPr>
              <w:jc w:val="left"/>
              <w:rPr>
                <w:rFonts w:cs="Arial"/>
                <w:snapToGrid w:val="0"/>
                <w:color w:val="000000"/>
                <w:sz w:val="18"/>
                <w:szCs w:val="18"/>
              </w:rPr>
            </w:pPr>
            <w:r w:rsidRPr="00FB02F9">
              <w:rPr>
                <w:rFonts w:cs="Arial"/>
                <w:snapToGrid w:val="0"/>
                <w:color w:val="000000"/>
                <w:sz w:val="18"/>
                <w:szCs w:val="18"/>
              </w:rPr>
              <w:t>Niederlande</w:t>
            </w:r>
          </w:p>
        </w:tc>
        <w:tc>
          <w:tcPr>
            <w:tcW w:w="1032" w:type="dxa"/>
          </w:tcPr>
          <w:p w:rsidR="008134A5" w:rsidRPr="00FB02F9" w:rsidRDefault="008134A5" w:rsidP="002A18A8">
            <w:pPr>
              <w:ind w:right="284"/>
              <w:jc w:val="right"/>
              <w:rPr>
                <w:rFonts w:cs="Arial"/>
                <w:sz w:val="18"/>
                <w:szCs w:val="18"/>
              </w:rPr>
            </w:pPr>
            <w:r w:rsidRPr="00FB02F9">
              <w:rPr>
                <w:rFonts w:cs="Arial"/>
                <w:sz w:val="18"/>
                <w:szCs w:val="18"/>
              </w:rPr>
              <w:t>3.00</w:t>
            </w:r>
          </w:p>
        </w:tc>
        <w:tc>
          <w:tcPr>
            <w:tcW w:w="1560" w:type="dxa"/>
          </w:tcPr>
          <w:p w:rsidR="008134A5" w:rsidRPr="00FB02F9" w:rsidRDefault="008134A5" w:rsidP="008134A5">
            <w:pPr>
              <w:ind w:right="284"/>
              <w:jc w:val="right"/>
              <w:rPr>
                <w:rFonts w:cs="Arial"/>
                <w:snapToGrid w:val="0"/>
                <w:color w:val="000000"/>
                <w:sz w:val="18"/>
                <w:szCs w:val="18"/>
              </w:rPr>
            </w:pPr>
            <w:r w:rsidRPr="00FB02F9">
              <w:rPr>
                <w:rFonts w:cs="Arial"/>
                <w:snapToGrid w:val="0"/>
                <w:color w:val="000000"/>
                <w:sz w:val="18"/>
                <w:szCs w:val="18"/>
              </w:rPr>
              <w:t>160,923</w:t>
            </w:r>
          </w:p>
        </w:tc>
        <w:tc>
          <w:tcPr>
            <w:tcW w:w="1559" w:type="dxa"/>
          </w:tcPr>
          <w:p w:rsidR="008134A5" w:rsidRPr="00FB02F9" w:rsidRDefault="008134A5" w:rsidP="008134A5">
            <w:pPr>
              <w:ind w:right="284"/>
              <w:jc w:val="right"/>
              <w:rPr>
                <w:rFonts w:cs="Arial"/>
                <w:snapToGrid w:val="0"/>
                <w:color w:val="000000"/>
                <w:sz w:val="18"/>
                <w:szCs w:val="18"/>
              </w:rPr>
            </w:pPr>
            <w:r w:rsidRPr="00FB02F9">
              <w:rPr>
                <w:rFonts w:cs="Arial"/>
                <w:snapToGrid w:val="0"/>
                <w:color w:val="000000"/>
                <w:sz w:val="18"/>
                <w:szCs w:val="18"/>
              </w:rPr>
              <w:t>160,923</w:t>
            </w:r>
          </w:p>
        </w:tc>
      </w:tr>
      <w:tr w:rsidR="008134A5" w:rsidRPr="00FB02F9" w:rsidTr="008134A5">
        <w:trPr>
          <w:cantSplit/>
        </w:trPr>
        <w:tc>
          <w:tcPr>
            <w:tcW w:w="1218" w:type="dxa"/>
          </w:tcPr>
          <w:p w:rsidR="008134A5" w:rsidRPr="00FB02F9" w:rsidRDefault="008134A5" w:rsidP="008134A5">
            <w:pPr>
              <w:ind w:right="170"/>
              <w:jc w:val="right"/>
              <w:rPr>
                <w:rFonts w:cs="Arial"/>
                <w:snapToGrid w:val="0"/>
                <w:color w:val="000000"/>
                <w:sz w:val="18"/>
                <w:szCs w:val="18"/>
              </w:rPr>
            </w:pPr>
            <w:r w:rsidRPr="00FB02F9">
              <w:rPr>
                <w:rFonts w:cs="Arial"/>
                <w:snapToGrid w:val="0"/>
                <w:color w:val="000000"/>
                <w:sz w:val="18"/>
                <w:szCs w:val="18"/>
              </w:rPr>
              <w:t>53,641</w:t>
            </w:r>
          </w:p>
        </w:tc>
        <w:tc>
          <w:tcPr>
            <w:tcW w:w="1275" w:type="dxa"/>
          </w:tcPr>
          <w:p w:rsidR="008134A5" w:rsidRPr="00FB02F9" w:rsidRDefault="008134A5" w:rsidP="008134A5">
            <w:pPr>
              <w:ind w:right="170"/>
              <w:jc w:val="right"/>
              <w:rPr>
                <w:rFonts w:cs="Arial"/>
                <w:snapToGrid w:val="0"/>
                <w:color w:val="000000"/>
                <w:sz w:val="18"/>
                <w:szCs w:val="18"/>
              </w:rPr>
            </w:pPr>
            <w:r w:rsidRPr="00FB02F9">
              <w:rPr>
                <w:rFonts w:cs="Arial"/>
                <w:snapToGrid w:val="0"/>
                <w:color w:val="000000"/>
                <w:sz w:val="18"/>
                <w:szCs w:val="18"/>
              </w:rPr>
              <w:t>53,641</w:t>
            </w:r>
          </w:p>
        </w:tc>
        <w:tc>
          <w:tcPr>
            <w:tcW w:w="3036" w:type="dxa"/>
          </w:tcPr>
          <w:p w:rsidR="008134A5" w:rsidRPr="00FB02F9" w:rsidRDefault="008134A5" w:rsidP="008134A5">
            <w:pPr>
              <w:jc w:val="left"/>
              <w:rPr>
                <w:rFonts w:cs="Arial"/>
                <w:snapToGrid w:val="0"/>
                <w:color w:val="000000"/>
                <w:sz w:val="18"/>
                <w:szCs w:val="18"/>
              </w:rPr>
            </w:pPr>
            <w:r w:rsidRPr="00FB02F9">
              <w:rPr>
                <w:rFonts w:cs="Arial"/>
                <w:snapToGrid w:val="0"/>
                <w:color w:val="000000"/>
                <w:sz w:val="18"/>
                <w:szCs w:val="18"/>
              </w:rPr>
              <w:t>Norwegen</w:t>
            </w:r>
          </w:p>
        </w:tc>
        <w:tc>
          <w:tcPr>
            <w:tcW w:w="1032" w:type="dxa"/>
          </w:tcPr>
          <w:p w:rsidR="008134A5" w:rsidRPr="00FB02F9" w:rsidRDefault="008134A5" w:rsidP="002A18A8">
            <w:pPr>
              <w:ind w:right="284"/>
              <w:jc w:val="right"/>
              <w:rPr>
                <w:rFonts w:cs="Arial"/>
                <w:sz w:val="18"/>
                <w:szCs w:val="18"/>
              </w:rPr>
            </w:pPr>
            <w:r w:rsidRPr="00FB02F9">
              <w:rPr>
                <w:rFonts w:cs="Arial"/>
                <w:sz w:val="18"/>
                <w:szCs w:val="18"/>
              </w:rPr>
              <w:t>1.00</w:t>
            </w:r>
          </w:p>
        </w:tc>
        <w:tc>
          <w:tcPr>
            <w:tcW w:w="1560" w:type="dxa"/>
          </w:tcPr>
          <w:p w:rsidR="008134A5" w:rsidRPr="00FB02F9" w:rsidRDefault="008134A5" w:rsidP="008134A5">
            <w:pPr>
              <w:ind w:right="284"/>
              <w:jc w:val="right"/>
              <w:rPr>
                <w:rFonts w:cs="Arial"/>
                <w:snapToGrid w:val="0"/>
                <w:color w:val="000000"/>
                <w:sz w:val="18"/>
                <w:szCs w:val="18"/>
              </w:rPr>
            </w:pPr>
            <w:r w:rsidRPr="00FB02F9">
              <w:rPr>
                <w:rFonts w:cs="Arial"/>
                <w:snapToGrid w:val="0"/>
                <w:color w:val="000000"/>
                <w:sz w:val="18"/>
                <w:szCs w:val="18"/>
              </w:rPr>
              <w:t>53,641</w:t>
            </w:r>
          </w:p>
        </w:tc>
        <w:tc>
          <w:tcPr>
            <w:tcW w:w="1559" w:type="dxa"/>
          </w:tcPr>
          <w:p w:rsidR="008134A5" w:rsidRPr="00FB02F9" w:rsidRDefault="008134A5" w:rsidP="008134A5">
            <w:pPr>
              <w:ind w:right="284"/>
              <w:jc w:val="right"/>
              <w:rPr>
                <w:rFonts w:cs="Arial"/>
                <w:snapToGrid w:val="0"/>
                <w:color w:val="000000"/>
                <w:sz w:val="18"/>
                <w:szCs w:val="18"/>
              </w:rPr>
            </w:pPr>
            <w:r w:rsidRPr="00FB02F9">
              <w:rPr>
                <w:rFonts w:cs="Arial"/>
                <w:snapToGrid w:val="0"/>
                <w:color w:val="000000"/>
                <w:sz w:val="18"/>
                <w:szCs w:val="18"/>
              </w:rPr>
              <w:t>53,641</w:t>
            </w:r>
          </w:p>
        </w:tc>
      </w:tr>
      <w:tr w:rsidR="008134A5" w:rsidRPr="00FB02F9" w:rsidTr="008134A5">
        <w:trPr>
          <w:cantSplit/>
        </w:trPr>
        <w:tc>
          <w:tcPr>
            <w:tcW w:w="1218" w:type="dxa"/>
          </w:tcPr>
          <w:p w:rsidR="008134A5" w:rsidRPr="00FB02F9" w:rsidRDefault="008134A5" w:rsidP="008134A5">
            <w:pPr>
              <w:ind w:right="170"/>
              <w:jc w:val="right"/>
              <w:rPr>
                <w:rFonts w:cs="Arial"/>
                <w:snapToGrid w:val="0"/>
                <w:color w:val="000000"/>
                <w:sz w:val="18"/>
                <w:szCs w:val="18"/>
              </w:rPr>
            </w:pPr>
            <w:r w:rsidRPr="00FB02F9">
              <w:rPr>
                <w:rFonts w:cs="Arial"/>
                <w:snapToGrid w:val="0"/>
                <w:color w:val="000000"/>
                <w:sz w:val="18"/>
                <w:szCs w:val="18"/>
              </w:rPr>
              <w:t>53,641</w:t>
            </w:r>
          </w:p>
        </w:tc>
        <w:tc>
          <w:tcPr>
            <w:tcW w:w="1275" w:type="dxa"/>
          </w:tcPr>
          <w:p w:rsidR="008134A5" w:rsidRPr="00FB02F9" w:rsidRDefault="008134A5" w:rsidP="002939A5">
            <w:pPr>
              <w:ind w:right="170"/>
              <w:jc w:val="right"/>
              <w:rPr>
                <w:rFonts w:cs="Arial"/>
                <w:snapToGrid w:val="0"/>
                <w:color w:val="000000"/>
                <w:sz w:val="18"/>
                <w:szCs w:val="18"/>
              </w:rPr>
            </w:pPr>
            <w:r w:rsidRPr="00FB02F9">
              <w:rPr>
                <w:rFonts w:cs="Arial"/>
                <w:snapToGrid w:val="0"/>
                <w:color w:val="000000"/>
                <w:sz w:val="18"/>
                <w:szCs w:val="18"/>
              </w:rPr>
              <w:t>53,</w:t>
            </w:r>
            <w:r w:rsidR="002939A5">
              <w:rPr>
                <w:rFonts w:cs="Arial"/>
                <w:snapToGrid w:val="0"/>
                <w:color w:val="000000"/>
                <w:sz w:val="18"/>
                <w:szCs w:val="18"/>
              </w:rPr>
              <w:t>4</w:t>
            </w:r>
            <w:r w:rsidRPr="00FB02F9">
              <w:rPr>
                <w:rFonts w:cs="Arial"/>
                <w:snapToGrid w:val="0"/>
                <w:color w:val="000000"/>
                <w:sz w:val="18"/>
                <w:szCs w:val="18"/>
              </w:rPr>
              <w:t>61</w:t>
            </w:r>
          </w:p>
        </w:tc>
        <w:tc>
          <w:tcPr>
            <w:tcW w:w="3036" w:type="dxa"/>
          </w:tcPr>
          <w:p w:rsidR="008134A5" w:rsidRPr="00FB02F9" w:rsidRDefault="008134A5" w:rsidP="008134A5">
            <w:pPr>
              <w:jc w:val="left"/>
              <w:rPr>
                <w:rFonts w:cs="Arial"/>
                <w:snapToGrid w:val="0"/>
                <w:color w:val="000000"/>
                <w:sz w:val="18"/>
                <w:szCs w:val="18"/>
              </w:rPr>
            </w:pPr>
            <w:r w:rsidRPr="00FB02F9">
              <w:rPr>
                <w:rFonts w:cs="Arial"/>
                <w:snapToGrid w:val="0"/>
                <w:color w:val="000000"/>
                <w:sz w:val="18"/>
                <w:szCs w:val="18"/>
              </w:rPr>
              <w:t>Oman</w:t>
            </w:r>
          </w:p>
        </w:tc>
        <w:tc>
          <w:tcPr>
            <w:tcW w:w="1032" w:type="dxa"/>
          </w:tcPr>
          <w:p w:rsidR="008134A5" w:rsidRPr="00FB02F9" w:rsidRDefault="008134A5" w:rsidP="002A18A8">
            <w:pPr>
              <w:ind w:right="284"/>
              <w:jc w:val="right"/>
              <w:rPr>
                <w:rFonts w:cs="Arial"/>
                <w:sz w:val="18"/>
                <w:szCs w:val="18"/>
              </w:rPr>
            </w:pPr>
            <w:r w:rsidRPr="00FB02F9">
              <w:rPr>
                <w:rFonts w:cs="Arial"/>
                <w:sz w:val="18"/>
                <w:szCs w:val="18"/>
              </w:rPr>
              <w:t>1.00</w:t>
            </w:r>
          </w:p>
        </w:tc>
        <w:tc>
          <w:tcPr>
            <w:tcW w:w="1560" w:type="dxa"/>
          </w:tcPr>
          <w:p w:rsidR="008134A5" w:rsidRPr="00FB02F9" w:rsidRDefault="008134A5" w:rsidP="008134A5">
            <w:pPr>
              <w:ind w:right="284"/>
              <w:jc w:val="right"/>
              <w:rPr>
                <w:rFonts w:cs="Arial"/>
                <w:snapToGrid w:val="0"/>
                <w:color w:val="000000"/>
                <w:sz w:val="18"/>
                <w:szCs w:val="18"/>
              </w:rPr>
            </w:pPr>
            <w:r w:rsidRPr="00FB02F9">
              <w:rPr>
                <w:rFonts w:cs="Arial"/>
                <w:snapToGrid w:val="0"/>
                <w:color w:val="000000"/>
                <w:sz w:val="18"/>
                <w:szCs w:val="18"/>
              </w:rPr>
              <w:t>53,641</w:t>
            </w:r>
          </w:p>
        </w:tc>
        <w:tc>
          <w:tcPr>
            <w:tcW w:w="1559" w:type="dxa"/>
          </w:tcPr>
          <w:p w:rsidR="008134A5" w:rsidRPr="00FB02F9" w:rsidRDefault="008134A5" w:rsidP="008134A5">
            <w:pPr>
              <w:ind w:right="284"/>
              <w:jc w:val="right"/>
              <w:rPr>
                <w:rFonts w:cs="Arial"/>
                <w:snapToGrid w:val="0"/>
                <w:color w:val="000000"/>
                <w:sz w:val="18"/>
                <w:szCs w:val="18"/>
              </w:rPr>
            </w:pPr>
            <w:r w:rsidRPr="00FB02F9">
              <w:rPr>
                <w:rFonts w:cs="Arial"/>
                <w:snapToGrid w:val="0"/>
                <w:color w:val="000000"/>
                <w:sz w:val="18"/>
                <w:szCs w:val="18"/>
              </w:rPr>
              <w:t>53,641</w:t>
            </w:r>
          </w:p>
        </w:tc>
      </w:tr>
      <w:tr w:rsidR="008134A5" w:rsidRPr="00FB02F9" w:rsidTr="008134A5">
        <w:trPr>
          <w:cantSplit/>
        </w:trPr>
        <w:tc>
          <w:tcPr>
            <w:tcW w:w="1218" w:type="dxa"/>
          </w:tcPr>
          <w:p w:rsidR="008134A5" w:rsidRPr="00FB02F9" w:rsidRDefault="008134A5" w:rsidP="008134A5">
            <w:pPr>
              <w:ind w:right="170"/>
              <w:jc w:val="right"/>
              <w:rPr>
                <w:rFonts w:cs="Arial"/>
                <w:snapToGrid w:val="0"/>
                <w:color w:val="000000"/>
                <w:sz w:val="18"/>
                <w:szCs w:val="18"/>
              </w:rPr>
            </w:pPr>
            <w:r w:rsidRPr="00FB02F9">
              <w:rPr>
                <w:rFonts w:cs="Arial"/>
                <w:snapToGrid w:val="0"/>
                <w:color w:val="000000"/>
                <w:sz w:val="18"/>
                <w:szCs w:val="18"/>
              </w:rPr>
              <w:t>40,231</w:t>
            </w:r>
          </w:p>
        </w:tc>
        <w:tc>
          <w:tcPr>
            <w:tcW w:w="1275" w:type="dxa"/>
          </w:tcPr>
          <w:p w:rsidR="008134A5" w:rsidRPr="00FB02F9" w:rsidRDefault="008134A5" w:rsidP="008134A5">
            <w:pPr>
              <w:ind w:right="170"/>
              <w:jc w:val="right"/>
              <w:rPr>
                <w:rFonts w:cs="Arial"/>
                <w:snapToGrid w:val="0"/>
                <w:color w:val="000000"/>
                <w:sz w:val="18"/>
                <w:szCs w:val="18"/>
              </w:rPr>
            </w:pPr>
            <w:r w:rsidRPr="00FB02F9">
              <w:rPr>
                <w:rFonts w:cs="Arial"/>
                <w:snapToGrid w:val="0"/>
                <w:color w:val="000000"/>
                <w:sz w:val="18"/>
                <w:szCs w:val="18"/>
              </w:rPr>
              <w:t>40,231</w:t>
            </w:r>
          </w:p>
        </w:tc>
        <w:tc>
          <w:tcPr>
            <w:tcW w:w="3036" w:type="dxa"/>
          </w:tcPr>
          <w:p w:rsidR="008134A5" w:rsidRPr="00FB02F9" w:rsidRDefault="008134A5" w:rsidP="008134A5">
            <w:pPr>
              <w:jc w:val="left"/>
              <w:rPr>
                <w:rFonts w:cs="Arial"/>
                <w:snapToGrid w:val="0"/>
                <w:color w:val="000000"/>
                <w:sz w:val="18"/>
                <w:szCs w:val="18"/>
                <w:vertAlign w:val="superscript"/>
              </w:rPr>
            </w:pPr>
            <w:r w:rsidRPr="00FB02F9">
              <w:rPr>
                <w:rFonts w:cs="Arial"/>
                <w:snapToGrid w:val="0"/>
                <w:color w:val="000000"/>
                <w:sz w:val="18"/>
                <w:szCs w:val="18"/>
              </w:rPr>
              <w:t>Österreich</w:t>
            </w:r>
          </w:p>
        </w:tc>
        <w:tc>
          <w:tcPr>
            <w:tcW w:w="1032" w:type="dxa"/>
          </w:tcPr>
          <w:p w:rsidR="008134A5" w:rsidRPr="00FB02F9" w:rsidRDefault="008134A5" w:rsidP="002A18A8">
            <w:pPr>
              <w:ind w:right="284"/>
              <w:jc w:val="right"/>
              <w:rPr>
                <w:rFonts w:cs="Arial"/>
                <w:snapToGrid w:val="0"/>
                <w:color w:val="000000"/>
                <w:sz w:val="18"/>
                <w:szCs w:val="18"/>
              </w:rPr>
            </w:pPr>
            <w:r w:rsidRPr="00FB02F9">
              <w:rPr>
                <w:rFonts w:cs="Arial"/>
                <w:snapToGrid w:val="0"/>
                <w:color w:val="000000"/>
                <w:sz w:val="18"/>
                <w:szCs w:val="18"/>
              </w:rPr>
              <w:t>0.75</w:t>
            </w:r>
          </w:p>
        </w:tc>
        <w:tc>
          <w:tcPr>
            <w:tcW w:w="1560" w:type="dxa"/>
          </w:tcPr>
          <w:p w:rsidR="008134A5" w:rsidRPr="00FB02F9" w:rsidRDefault="008134A5" w:rsidP="008134A5">
            <w:pPr>
              <w:ind w:right="284"/>
              <w:jc w:val="right"/>
              <w:rPr>
                <w:rFonts w:cs="Arial"/>
                <w:snapToGrid w:val="0"/>
                <w:color w:val="000000"/>
                <w:sz w:val="18"/>
                <w:szCs w:val="18"/>
              </w:rPr>
            </w:pPr>
            <w:r w:rsidRPr="00FB02F9">
              <w:rPr>
                <w:rFonts w:cs="Arial"/>
                <w:snapToGrid w:val="0"/>
                <w:color w:val="000000"/>
                <w:sz w:val="18"/>
                <w:szCs w:val="18"/>
              </w:rPr>
              <w:t>40,231</w:t>
            </w:r>
          </w:p>
        </w:tc>
        <w:tc>
          <w:tcPr>
            <w:tcW w:w="1559" w:type="dxa"/>
          </w:tcPr>
          <w:p w:rsidR="008134A5" w:rsidRPr="00FB02F9" w:rsidRDefault="008134A5" w:rsidP="008134A5">
            <w:pPr>
              <w:ind w:right="284"/>
              <w:jc w:val="right"/>
              <w:rPr>
                <w:rFonts w:cs="Arial"/>
                <w:snapToGrid w:val="0"/>
                <w:color w:val="000000"/>
                <w:sz w:val="18"/>
                <w:szCs w:val="18"/>
              </w:rPr>
            </w:pPr>
            <w:r w:rsidRPr="00FB02F9">
              <w:rPr>
                <w:rFonts w:cs="Arial"/>
                <w:snapToGrid w:val="0"/>
                <w:color w:val="000000"/>
                <w:sz w:val="18"/>
                <w:szCs w:val="18"/>
              </w:rPr>
              <w:t>40,231</w:t>
            </w:r>
          </w:p>
        </w:tc>
      </w:tr>
      <w:tr w:rsidR="008134A5" w:rsidRPr="00FB02F9" w:rsidTr="008134A5">
        <w:trPr>
          <w:cantSplit/>
        </w:trPr>
        <w:tc>
          <w:tcPr>
            <w:tcW w:w="1218" w:type="dxa"/>
          </w:tcPr>
          <w:p w:rsidR="008134A5" w:rsidRPr="00FB02F9" w:rsidRDefault="008134A5" w:rsidP="008134A5">
            <w:pPr>
              <w:ind w:right="170"/>
              <w:jc w:val="right"/>
              <w:rPr>
                <w:rFonts w:cs="Arial"/>
                <w:snapToGrid w:val="0"/>
                <w:color w:val="000000"/>
                <w:sz w:val="18"/>
                <w:szCs w:val="18"/>
              </w:rPr>
            </w:pPr>
            <w:r w:rsidRPr="00FB02F9">
              <w:rPr>
                <w:rFonts w:cs="Arial"/>
                <w:snapToGrid w:val="0"/>
                <w:color w:val="000000"/>
                <w:sz w:val="18"/>
                <w:szCs w:val="18"/>
              </w:rPr>
              <w:t>10,728</w:t>
            </w:r>
          </w:p>
        </w:tc>
        <w:tc>
          <w:tcPr>
            <w:tcW w:w="1275" w:type="dxa"/>
          </w:tcPr>
          <w:p w:rsidR="008134A5" w:rsidRPr="00FB02F9" w:rsidRDefault="001B61D8" w:rsidP="001B61D8">
            <w:pPr>
              <w:ind w:right="170"/>
              <w:jc w:val="right"/>
              <w:rPr>
                <w:rFonts w:cs="Arial"/>
                <w:snapToGrid w:val="0"/>
                <w:color w:val="000000"/>
                <w:sz w:val="18"/>
                <w:szCs w:val="18"/>
              </w:rPr>
            </w:pPr>
            <w:r>
              <w:rPr>
                <w:rFonts w:cs="Arial"/>
                <w:snapToGrid w:val="0"/>
                <w:color w:val="000000"/>
                <w:sz w:val="18"/>
                <w:szCs w:val="18"/>
              </w:rPr>
              <w:t>9</w:t>
            </w:r>
            <w:r w:rsidR="008134A5" w:rsidRPr="00FB02F9">
              <w:rPr>
                <w:rFonts w:cs="Arial"/>
                <w:snapToGrid w:val="0"/>
                <w:color w:val="000000"/>
                <w:sz w:val="18"/>
                <w:szCs w:val="18"/>
              </w:rPr>
              <w:t>,2</w:t>
            </w:r>
            <w:r>
              <w:rPr>
                <w:rFonts w:cs="Arial"/>
                <w:snapToGrid w:val="0"/>
                <w:color w:val="000000"/>
                <w:sz w:val="18"/>
                <w:szCs w:val="18"/>
              </w:rPr>
              <w:t>77</w:t>
            </w:r>
          </w:p>
        </w:tc>
        <w:tc>
          <w:tcPr>
            <w:tcW w:w="3036" w:type="dxa"/>
          </w:tcPr>
          <w:p w:rsidR="008134A5" w:rsidRPr="00FB02F9" w:rsidRDefault="008134A5" w:rsidP="008134A5">
            <w:pPr>
              <w:jc w:val="left"/>
              <w:rPr>
                <w:rFonts w:cs="Arial"/>
                <w:snapToGrid w:val="0"/>
                <w:color w:val="000000"/>
                <w:sz w:val="18"/>
                <w:szCs w:val="18"/>
              </w:rPr>
            </w:pPr>
            <w:r w:rsidRPr="00FB02F9">
              <w:rPr>
                <w:rFonts w:cs="Arial"/>
                <w:snapToGrid w:val="0"/>
                <w:color w:val="000000"/>
                <w:sz w:val="18"/>
                <w:szCs w:val="18"/>
              </w:rPr>
              <w:t>Panama</w:t>
            </w:r>
          </w:p>
        </w:tc>
        <w:tc>
          <w:tcPr>
            <w:tcW w:w="1032" w:type="dxa"/>
          </w:tcPr>
          <w:p w:rsidR="008134A5" w:rsidRPr="00FB02F9" w:rsidRDefault="008134A5" w:rsidP="002A18A8">
            <w:pPr>
              <w:ind w:right="284"/>
              <w:jc w:val="right"/>
              <w:rPr>
                <w:rFonts w:cs="Arial"/>
                <w:sz w:val="18"/>
                <w:szCs w:val="18"/>
              </w:rPr>
            </w:pPr>
            <w:r w:rsidRPr="00FB02F9">
              <w:rPr>
                <w:rFonts w:cs="Arial"/>
                <w:sz w:val="18"/>
                <w:szCs w:val="18"/>
              </w:rPr>
              <w:t>0.20</w:t>
            </w:r>
          </w:p>
        </w:tc>
        <w:tc>
          <w:tcPr>
            <w:tcW w:w="1560" w:type="dxa"/>
          </w:tcPr>
          <w:p w:rsidR="008134A5" w:rsidRPr="00FB02F9" w:rsidRDefault="008134A5" w:rsidP="008134A5">
            <w:pPr>
              <w:ind w:right="284"/>
              <w:jc w:val="right"/>
              <w:rPr>
                <w:rFonts w:cs="Arial"/>
                <w:snapToGrid w:val="0"/>
                <w:color w:val="000000"/>
                <w:sz w:val="18"/>
                <w:szCs w:val="18"/>
              </w:rPr>
            </w:pPr>
            <w:r w:rsidRPr="00FB02F9">
              <w:rPr>
                <w:rFonts w:cs="Arial"/>
                <w:snapToGrid w:val="0"/>
                <w:color w:val="000000"/>
                <w:sz w:val="18"/>
                <w:szCs w:val="18"/>
              </w:rPr>
              <w:t>10,728</w:t>
            </w:r>
          </w:p>
        </w:tc>
        <w:tc>
          <w:tcPr>
            <w:tcW w:w="1559" w:type="dxa"/>
          </w:tcPr>
          <w:p w:rsidR="008134A5" w:rsidRPr="00FB02F9" w:rsidRDefault="008134A5" w:rsidP="008134A5">
            <w:pPr>
              <w:ind w:right="284"/>
              <w:jc w:val="right"/>
              <w:rPr>
                <w:rFonts w:cs="Arial"/>
                <w:snapToGrid w:val="0"/>
                <w:color w:val="000000"/>
                <w:sz w:val="18"/>
                <w:szCs w:val="18"/>
              </w:rPr>
            </w:pPr>
            <w:r w:rsidRPr="00FB02F9">
              <w:rPr>
                <w:rFonts w:cs="Arial"/>
                <w:snapToGrid w:val="0"/>
                <w:color w:val="000000"/>
                <w:sz w:val="18"/>
                <w:szCs w:val="18"/>
              </w:rPr>
              <w:t>10,728</w:t>
            </w:r>
          </w:p>
        </w:tc>
      </w:tr>
      <w:tr w:rsidR="008134A5" w:rsidRPr="00FB02F9" w:rsidTr="008134A5">
        <w:trPr>
          <w:cantSplit/>
        </w:trPr>
        <w:tc>
          <w:tcPr>
            <w:tcW w:w="1218" w:type="dxa"/>
          </w:tcPr>
          <w:p w:rsidR="008134A5" w:rsidRPr="00FB02F9" w:rsidRDefault="008134A5" w:rsidP="008134A5">
            <w:pPr>
              <w:ind w:right="170"/>
              <w:jc w:val="right"/>
              <w:rPr>
                <w:rFonts w:cs="Arial"/>
                <w:snapToGrid w:val="0"/>
                <w:color w:val="000000"/>
                <w:sz w:val="18"/>
                <w:szCs w:val="18"/>
              </w:rPr>
            </w:pPr>
            <w:r w:rsidRPr="00FB02F9">
              <w:rPr>
                <w:rFonts w:cs="Arial"/>
                <w:snapToGrid w:val="0"/>
                <w:color w:val="000000"/>
                <w:sz w:val="18"/>
                <w:szCs w:val="18"/>
              </w:rPr>
              <w:t>10,728</w:t>
            </w:r>
          </w:p>
        </w:tc>
        <w:tc>
          <w:tcPr>
            <w:tcW w:w="1275" w:type="dxa"/>
          </w:tcPr>
          <w:p w:rsidR="008134A5" w:rsidRPr="00FB02F9" w:rsidRDefault="008134A5" w:rsidP="008134A5">
            <w:pPr>
              <w:ind w:right="170"/>
              <w:jc w:val="right"/>
              <w:rPr>
                <w:rFonts w:cs="Arial"/>
                <w:snapToGrid w:val="0"/>
                <w:color w:val="000000"/>
                <w:sz w:val="18"/>
                <w:szCs w:val="18"/>
              </w:rPr>
            </w:pPr>
            <w:r w:rsidRPr="00FB02F9">
              <w:rPr>
                <w:rFonts w:cs="Arial"/>
                <w:snapToGrid w:val="0"/>
                <w:color w:val="000000"/>
                <w:sz w:val="18"/>
                <w:szCs w:val="18"/>
              </w:rPr>
              <w:t>10,728</w:t>
            </w:r>
          </w:p>
        </w:tc>
        <w:tc>
          <w:tcPr>
            <w:tcW w:w="3036" w:type="dxa"/>
          </w:tcPr>
          <w:p w:rsidR="008134A5" w:rsidRPr="00FB02F9" w:rsidRDefault="008134A5" w:rsidP="008134A5">
            <w:pPr>
              <w:jc w:val="left"/>
              <w:rPr>
                <w:rFonts w:cs="Arial"/>
                <w:snapToGrid w:val="0"/>
                <w:color w:val="000000"/>
                <w:sz w:val="18"/>
                <w:szCs w:val="18"/>
              </w:rPr>
            </w:pPr>
            <w:r w:rsidRPr="00FB02F9">
              <w:rPr>
                <w:rFonts w:cs="Arial"/>
                <w:snapToGrid w:val="0"/>
                <w:color w:val="000000"/>
                <w:sz w:val="18"/>
                <w:szCs w:val="18"/>
              </w:rPr>
              <w:t>Paraguay</w:t>
            </w:r>
          </w:p>
        </w:tc>
        <w:tc>
          <w:tcPr>
            <w:tcW w:w="1032" w:type="dxa"/>
          </w:tcPr>
          <w:p w:rsidR="008134A5" w:rsidRPr="00FB02F9" w:rsidRDefault="008134A5" w:rsidP="002A18A8">
            <w:pPr>
              <w:ind w:right="284"/>
              <w:jc w:val="right"/>
              <w:rPr>
                <w:rFonts w:cs="Arial"/>
                <w:sz w:val="18"/>
                <w:szCs w:val="18"/>
              </w:rPr>
            </w:pPr>
            <w:r w:rsidRPr="00FB02F9">
              <w:rPr>
                <w:rFonts w:cs="Arial"/>
                <w:sz w:val="18"/>
                <w:szCs w:val="18"/>
              </w:rPr>
              <w:t>0.20</w:t>
            </w:r>
          </w:p>
        </w:tc>
        <w:tc>
          <w:tcPr>
            <w:tcW w:w="1560" w:type="dxa"/>
          </w:tcPr>
          <w:p w:rsidR="008134A5" w:rsidRPr="00FB02F9" w:rsidRDefault="008134A5" w:rsidP="008134A5">
            <w:pPr>
              <w:ind w:right="284"/>
              <w:jc w:val="right"/>
              <w:rPr>
                <w:rFonts w:cs="Arial"/>
                <w:snapToGrid w:val="0"/>
                <w:color w:val="000000"/>
                <w:sz w:val="18"/>
                <w:szCs w:val="18"/>
              </w:rPr>
            </w:pPr>
            <w:r w:rsidRPr="00FB02F9">
              <w:rPr>
                <w:rFonts w:cs="Arial"/>
                <w:snapToGrid w:val="0"/>
                <w:color w:val="000000"/>
                <w:sz w:val="18"/>
                <w:szCs w:val="18"/>
              </w:rPr>
              <w:t>10,728</w:t>
            </w:r>
          </w:p>
        </w:tc>
        <w:tc>
          <w:tcPr>
            <w:tcW w:w="1559" w:type="dxa"/>
          </w:tcPr>
          <w:p w:rsidR="008134A5" w:rsidRPr="00FB02F9" w:rsidRDefault="008134A5" w:rsidP="008134A5">
            <w:pPr>
              <w:ind w:right="284"/>
              <w:jc w:val="right"/>
              <w:rPr>
                <w:rFonts w:cs="Arial"/>
                <w:snapToGrid w:val="0"/>
                <w:color w:val="000000"/>
                <w:sz w:val="18"/>
                <w:szCs w:val="18"/>
              </w:rPr>
            </w:pPr>
            <w:r w:rsidRPr="00FB02F9">
              <w:rPr>
                <w:rFonts w:cs="Arial"/>
                <w:snapToGrid w:val="0"/>
                <w:color w:val="000000"/>
                <w:sz w:val="18"/>
                <w:szCs w:val="18"/>
              </w:rPr>
              <w:t>10,728</w:t>
            </w:r>
          </w:p>
        </w:tc>
      </w:tr>
      <w:tr w:rsidR="008134A5" w:rsidRPr="00FB02F9" w:rsidTr="008134A5">
        <w:trPr>
          <w:cantSplit/>
        </w:trPr>
        <w:tc>
          <w:tcPr>
            <w:tcW w:w="1218" w:type="dxa"/>
          </w:tcPr>
          <w:p w:rsidR="008134A5" w:rsidRPr="00FB02F9" w:rsidRDefault="008134A5" w:rsidP="008134A5">
            <w:pPr>
              <w:ind w:right="170"/>
              <w:jc w:val="right"/>
              <w:rPr>
                <w:rFonts w:cs="Arial"/>
                <w:snapToGrid w:val="0"/>
                <w:color w:val="000000"/>
                <w:sz w:val="18"/>
                <w:szCs w:val="18"/>
              </w:rPr>
            </w:pPr>
            <w:r w:rsidRPr="00FB02F9">
              <w:rPr>
                <w:rFonts w:cs="Arial"/>
                <w:snapToGrid w:val="0"/>
                <w:color w:val="000000"/>
                <w:sz w:val="18"/>
                <w:szCs w:val="18"/>
              </w:rPr>
              <w:t>10,728</w:t>
            </w:r>
          </w:p>
        </w:tc>
        <w:tc>
          <w:tcPr>
            <w:tcW w:w="1275" w:type="dxa"/>
          </w:tcPr>
          <w:p w:rsidR="008134A5" w:rsidRPr="00FB02F9" w:rsidRDefault="008134A5" w:rsidP="008134A5">
            <w:pPr>
              <w:ind w:right="170"/>
              <w:jc w:val="right"/>
              <w:rPr>
                <w:rFonts w:cs="Arial"/>
                <w:snapToGrid w:val="0"/>
                <w:color w:val="000000"/>
                <w:sz w:val="18"/>
                <w:szCs w:val="18"/>
              </w:rPr>
            </w:pPr>
            <w:r w:rsidRPr="00FB02F9">
              <w:rPr>
                <w:rFonts w:cs="Arial"/>
                <w:snapToGrid w:val="0"/>
                <w:color w:val="000000"/>
                <w:sz w:val="18"/>
                <w:szCs w:val="18"/>
              </w:rPr>
              <w:t>10,728</w:t>
            </w:r>
          </w:p>
        </w:tc>
        <w:tc>
          <w:tcPr>
            <w:tcW w:w="3036" w:type="dxa"/>
          </w:tcPr>
          <w:p w:rsidR="008134A5" w:rsidRPr="00FB02F9" w:rsidRDefault="008134A5" w:rsidP="008134A5">
            <w:pPr>
              <w:jc w:val="left"/>
              <w:rPr>
                <w:rFonts w:cs="Arial"/>
                <w:snapToGrid w:val="0"/>
                <w:color w:val="000000"/>
                <w:sz w:val="18"/>
                <w:szCs w:val="18"/>
              </w:rPr>
            </w:pPr>
            <w:r w:rsidRPr="00FB02F9">
              <w:rPr>
                <w:rFonts w:cs="Arial"/>
                <w:snapToGrid w:val="0"/>
                <w:color w:val="000000"/>
                <w:sz w:val="18"/>
                <w:szCs w:val="18"/>
              </w:rPr>
              <w:t>Peru</w:t>
            </w:r>
          </w:p>
        </w:tc>
        <w:tc>
          <w:tcPr>
            <w:tcW w:w="1032" w:type="dxa"/>
          </w:tcPr>
          <w:p w:rsidR="008134A5" w:rsidRPr="00FB02F9" w:rsidRDefault="008134A5" w:rsidP="002A18A8">
            <w:pPr>
              <w:ind w:right="284"/>
              <w:jc w:val="right"/>
              <w:rPr>
                <w:rFonts w:cs="Arial"/>
                <w:sz w:val="18"/>
                <w:szCs w:val="18"/>
              </w:rPr>
            </w:pPr>
            <w:r w:rsidRPr="00FB02F9">
              <w:rPr>
                <w:rFonts w:cs="Arial"/>
                <w:sz w:val="18"/>
                <w:szCs w:val="18"/>
              </w:rPr>
              <w:t>0.20</w:t>
            </w:r>
          </w:p>
        </w:tc>
        <w:tc>
          <w:tcPr>
            <w:tcW w:w="1560" w:type="dxa"/>
          </w:tcPr>
          <w:p w:rsidR="008134A5" w:rsidRPr="00FB02F9" w:rsidRDefault="008134A5" w:rsidP="008134A5">
            <w:pPr>
              <w:ind w:right="284"/>
              <w:jc w:val="right"/>
              <w:rPr>
                <w:rFonts w:cs="Arial"/>
                <w:snapToGrid w:val="0"/>
                <w:color w:val="000000"/>
                <w:sz w:val="18"/>
                <w:szCs w:val="18"/>
              </w:rPr>
            </w:pPr>
            <w:r w:rsidRPr="00FB02F9">
              <w:rPr>
                <w:rFonts w:cs="Arial"/>
                <w:snapToGrid w:val="0"/>
                <w:color w:val="000000"/>
                <w:sz w:val="18"/>
                <w:szCs w:val="18"/>
              </w:rPr>
              <w:t>10,728</w:t>
            </w:r>
          </w:p>
        </w:tc>
        <w:tc>
          <w:tcPr>
            <w:tcW w:w="1559" w:type="dxa"/>
          </w:tcPr>
          <w:p w:rsidR="008134A5" w:rsidRPr="00FB02F9" w:rsidRDefault="008134A5" w:rsidP="008134A5">
            <w:pPr>
              <w:ind w:right="284"/>
              <w:jc w:val="right"/>
              <w:rPr>
                <w:rFonts w:cs="Arial"/>
                <w:snapToGrid w:val="0"/>
                <w:color w:val="000000"/>
                <w:sz w:val="18"/>
                <w:szCs w:val="18"/>
              </w:rPr>
            </w:pPr>
            <w:r w:rsidRPr="00FB02F9">
              <w:rPr>
                <w:rFonts w:cs="Arial"/>
                <w:snapToGrid w:val="0"/>
                <w:color w:val="000000"/>
                <w:sz w:val="18"/>
                <w:szCs w:val="18"/>
              </w:rPr>
              <w:t>10,728</w:t>
            </w:r>
          </w:p>
        </w:tc>
      </w:tr>
      <w:tr w:rsidR="008134A5" w:rsidRPr="00FB02F9" w:rsidTr="008134A5">
        <w:trPr>
          <w:cantSplit/>
        </w:trPr>
        <w:tc>
          <w:tcPr>
            <w:tcW w:w="1218" w:type="dxa"/>
          </w:tcPr>
          <w:p w:rsidR="008134A5" w:rsidRPr="00FB02F9" w:rsidRDefault="008134A5" w:rsidP="008134A5">
            <w:pPr>
              <w:ind w:right="170"/>
              <w:jc w:val="right"/>
              <w:rPr>
                <w:rFonts w:cs="Arial"/>
                <w:snapToGrid w:val="0"/>
                <w:color w:val="000000"/>
                <w:sz w:val="18"/>
                <w:szCs w:val="18"/>
              </w:rPr>
            </w:pPr>
            <w:r w:rsidRPr="00FB02F9">
              <w:rPr>
                <w:rFonts w:cs="Arial"/>
                <w:snapToGrid w:val="0"/>
                <w:color w:val="000000"/>
                <w:sz w:val="18"/>
                <w:szCs w:val="18"/>
              </w:rPr>
              <w:t>26,820</w:t>
            </w:r>
          </w:p>
        </w:tc>
        <w:tc>
          <w:tcPr>
            <w:tcW w:w="1275" w:type="dxa"/>
          </w:tcPr>
          <w:p w:rsidR="008134A5" w:rsidRPr="00FB02F9" w:rsidRDefault="008134A5" w:rsidP="008134A5">
            <w:pPr>
              <w:ind w:right="170"/>
              <w:jc w:val="right"/>
              <w:rPr>
                <w:rFonts w:cs="Arial"/>
                <w:snapToGrid w:val="0"/>
                <w:color w:val="000000"/>
                <w:sz w:val="18"/>
                <w:szCs w:val="18"/>
              </w:rPr>
            </w:pPr>
            <w:r w:rsidRPr="00FB02F9">
              <w:rPr>
                <w:rFonts w:cs="Arial"/>
                <w:snapToGrid w:val="0"/>
                <w:color w:val="000000"/>
                <w:sz w:val="18"/>
                <w:szCs w:val="18"/>
              </w:rPr>
              <w:t>26,820</w:t>
            </w:r>
          </w:p>
        </w:tc>
        <w:tc>
          <w:tcPr>
            <w:tcW w:w="3036" w:type="dxa"/>
          </w:tcPr>
          <w:p w:rsidR="008134A5" w:rsidRPr="00FB02F9" w:rsidRDefault="008134A5" w:rsidP="008134A5">
            <w:pPr>
              <w:jc w:val="left"/>
              <w:rPr>
                <w:rFonts w:cs="Arial"/>
                <w:snapToGrid w:val="0"/>
                <w:color w:val="000000"/>
                <w:sz w:val="18"/>
                <w:szCs w:val="18"/>
              </w:rPr>
            </w:pPr>
            <w:r w:rsidRPr="00FB02F9">
              <w:rPr>
                <w:rFonts w:cs="Arial"/>
                <w:snapToGrid w:val="0"/>
                <w:color w:val="000000"/>
                <w:sz w:val="18"/>
                <w:szCs w:val="18"/>
              </w:rPr>
              <w:t>Polen</w:t>
            </w:r>
          </w:p>
        </w:tc>
        <w:tc>
          <w:tcPr>
            <w:tcW w:w="1032" w:type="dxa"/>
          </w:tcPr>
          <w:p w:rsidR="008134A5" w:rsidRPr="00FB02F9" w:rsidRDefault="008134A5" w:rsidP="002A18A8">
            <w:pPr>
              <w:ind w:right="284"/>
              <w:jc w:val="right"/>
              <w:rPr>
                <w:rFonts w:cs="Arial"/>
                <w:sz w:val="18"/>
                <w:szCs w:val="18"/>
              </w:rPr>
            </w:pPr>
            <w:r w:rsidRPr="00FB02F9">
              <w:rPr>
                <w:rFonts w:cs="Arial"/>
                <w:sz w:val="18"/>
                <w:szCs w:val="18"/>
              </w:rPr>
              <w:t>0.50</w:t>
            </w:r>
          </w:p>
        </w:tc>
        <w:tc>
          <w:tcPr>
            <w:tcW w:w="1560" w:type="dxa"/>
          </w:tcPr>
          <w:p w:rsidR="008134A5" w:rsidRPr="00FB02F9" w:rsidRDefault="008134A5" w:rsidP="008134A5">
            <w:pPr>
              <w:ind w:right="284"/>
              <w:jc w:val="right"/>
              <w:rPr>
                <w:rFonts w:cs="Arial"/>
                <w:snapToGrid w:val="0"/>
                <w:color w:val="000000"/>
                <w:sz w:val="18"/>
                <w:szCs w:val="18"/>
              </w:rPr>
            </w:pPr>
            <w:r w:rsidRPr="00FB02F9">
              <w:rPr>
                <w:rFonts w:cs="Arial"/>
                <w:snapToGrid w:val="0"/>
                <w:color w:val="000000"/>
                <w:sz w:val="18"/>
                <w:szCs w:val="18"/>
              </w:rPr>
              <w:t>26,820</w:t>
            </w:r>
          </w:p>
        </w:tc>
        <w:tc>
          <w:tcPr>
            <w:tcW w:w="1559" w:type="dxa"/>
          </w:tcPr>
          <w:p w:rsidR="008134A5" w:rsidRPr="00FB02F9" w:rsidRDefault="008134A5" w:rsidP="008134A5">
            <w:pPr>
              <w:ind w:right="284"/>
              <w:jc w:val="right"/>
              <w:rPr>
                <w:rFonts w:cs="Arial"/>
                <w:snapToGrid w:val="0"/>
                <w:color w:val="000000"/>
                <w:sz w:val="18"/>
                <w:szCs w:val="18"/>
              </w:rPr>
            </w:pPr>
            <w:r w:rsidRPr="00FB02F9">
              <w:rPr>
                <w:rFonts w:cs="Arial"/>
                <w:snapToGrid w:val="0"/>
                <w:color w:val="000000"/>
                <w:sz w:val="18"/>
                <w:szCs w:val="18"/>
              </w:rPr>
              <w:t>26,820</w:t>
            </w:r>
          </w:p>
        </w:tc>
      </w:tr>
      <w:tr w:rsidR="008134A5" w:rsidRPr="00FB02F9" w:rsidTr="008134A5">
        <w:trPr>
          <w:cantSplit/>
        </w:trPr>
        <w:tc>
          <w:tcPr>
            <w:tcW w:w="1218" w:type="dxa"/>
          </w:tcPr>
          <w:p w:rsidR="008134A5" w:rsidRPr="00FB02F9" w:rsidRDefault="008134A5" w:rsidP="008134A5">
            <w:pPr>
              <w:ind w:right="170"/>
              <w:jc w:val="right"/>
              <w:rPr>
                <w:rFonts w:cs="Arial"/>
                <w:snapToGrid w:val="0"/>
                <w:color w:val="000000"/>
                <w:sz w:val="18"/>
                <w:szCs w:val="18"/>
              </w:rPr>
            </w:pPr>
            <w:r w:rsidRPr="00FB02F9">
              <w:rPr>
                <w:rFonts w:cs="Arial"/>
                <w:snapToGrid w:val="0"/>
                <w:color w:val="000000"/>
                <w:sz w:val="18"/>
                <w:szCs w:val="18"/>
              </w:rPr>
              <w:t>10,728</w:t>
            </w:r>
          </w:p>
        </w:tc>
        <w:tc>
          <w:tcPr>
            <w:tcW w:w="1275" w:type="dxa"/>
          </w:tcPr>
          <w:p w:rsidR="008134A5" w:rsidRPr="00FB02F9" w:rsidRDefault="001B61D8" w:rsidP="008134A5">
            <w:pPr>
              <w:ind w:right="170"/>
              <w:jc w:val="right"/>
              <w:rPr>
                <w:rFonts w:cs="Arial"/>
                <w:snapToGrid w:val="0"/>
                <w:color w:val="000000"/>
                <w:sz w:val="18"/>
                <w:szCs w:val="18"/>
              </w:rPr>
            </w:pPr>
            <w:r>
              <w:rPr>
                <w:rFonts w:cs="Arial"/>
                <w:snapToGrid w:val="0"/>
                <w:color w:val="000000"/>
                <w:sz w:val="18"/>
                <w:szCs w:val="18"/>
              </w:rPr>
              <w:t>0</w:t>
            </w:r>
          </w:p>
        </w:tc>
        <w:tc>
          <w:tcPr>
            <w:tcW w:w="3036" w:type="dxa"/>
          </w:tcPr>
          <w:p w:rsidR="008134A5" w:rsidRPr="00FB02F9" w:rsidRDefault="008134A5" w:rsidP="008134A5">
            <w:pPr>
              <w:jc w:val="left"/>
              <w:rPr>
                <w:rFonts w:cs="Arial"/>
                <w:snapToGrid w:val="0"/>
                <w:color w:val="000000"/>
                <w:sz w:val="18"/>
                <w:szCs w:val="18"/>
              </w:rPr>
            </w:pPr>
            <w:r w:rsidRPr="00FB02F9">
              <w:rPr>
                <w:rFonts w:cs="Arial"/>
                <w:snapToGrid w:val="0"/>
                <w:color w:val="000000"/>
                <w:sz w:val="18"/>
                <w:szCs w:val="18"/>
              </w:rPr>
              <w:t>Portugal</w:t>
            </w:r>
          </w:p>
        </w:tc>
        <w:tc>
          <w:tcPr>
            <w:tcW w:w="1032" w:type="dxa"/>
          </w:tcPr>
          <w:p w:rsidR="008134A5" w:rsidRPr="00FB02F9" w:rsidRDefault="008134A5" w:rsidP="002A18A8">
            <w:pPr>
              <w:ind w:right="284"/>
              <w:jc w:val="right"/>
              <w:rPr>
                <w:rFonts w:cs="Arial"/>
                <w:sz w:val="18"/>
                <w:szCs w:val="18"/>
              </w:rPr>
            </w:pPr>
            <w:r w:rsidRPr="00FB02F9">
              <w:rPr>
                <w:rFonts w:cs="Arial"/>
                <w:sz w:val="18"/>
                <w:szCs w:val="18"/>
              </w:rPr>
              <w:t>0.20</w:t>
            </w:r>
          </w:p>
        </w:tc>
        <w:tc>
          <w:tcPr>
            <w:tcW w:w="1560" w:type="dxa"/>
          </w:tcPr>
          <w:p w:rsidR="008134A5" w:rsidRPr="00FB02F9" w:rsidRDefault="008134A5" w:rsidP="008134A5">
            <w:pPr>
              <w:ind w:right="284"/>
              <w:jc w:val="right"/>
              <w:rPr>
                <w:rFonts w:cs="Arial"/>
                <w:snapToGrid w:val="0"/>
                <w:color w:val="000000"/>
                <w:sz w:val="18"/>
                <w:szCs w:val="18"/>
              </w:rPr>
            </w:pPr>
            <w:r w:rsidRPr="00FB02F9">
              <w:rPr>
                <w:rFonts w:cs="Arial"/>
                <w:snapToGrid w:val="0"/>
                <w:color w:val="000000"/>
                <w:sz w:val="18"/>
                <w:szCs w:val="18"/>
              </w:rPr>
              <w:t>10,728</w:t>
            </w:r>
          </w:p>
        </w:tc>
        <w:tc>
          <w:tcPr>
            <w:tcW w:w="1559" w:type="dxa"/>
          </w:tcPr>
          <w:p w:rsidR="008134A5" w:rsidRPr="00FB02F9" w:rsidRDefault="008134A5" w:rsidP="008134A5">
            <w:pPr>
              <w:ind w:right="284"/>
              <w:jc w:val="right"/>
              <w:rPr>
                <w:rFonts w:cs="Arial"/>
                <w:snapToGrid w:val="0"/>
                <w:color w:val="000000"/>
                <w:sz w:val="18"/>
                <w:szCs w:val="18"/>
              </w:rPr>
            </w:pPr>
            <w:r w:rsidRPr="00FB02F9">
              <w:rPr>
                <w:rFonts w:cs="Arial"/>
                <w:snapToGrid w:val="0"/>
                <w:color w:val="000000"/>
                <w:sz w:val="18"/>
                <w:szCs w:val="18"/>
              </w:rPr>
              <w:t>10,728</w:t>
            </w:r>
          </w:p>
        </w:tc>
      </w:tr>
      <w:tr w:rsidR="008134A5" w:rsidRPr="00FB02F9" w:rsidTr="008134A5">
        <w:trPr>
          <w:cantSplit/>
        </w:trPr>
        <w:tc>
          <w:tcPr>
            <w:tcW w:w="1218" w:type="dxa"/>
          </w:tcPr>
          <w:p w:rsidR="008134A5" w:rsidRPr="00FB02F9" w:rsidRDefault="008134A5" w:rsidP="008134A5">
            <w:pPr>
              <w:ind w:right="170"/>
              <w:jc w:val="right"/>
              <w:rPr>
                <w:rFonts w:cs="Arial"/>
                <w:snapToGrid w:val="0"/>
                <w:color w:val="000000"/>
                <w:sz w:val="18"/>
                <w:szCs w:val="18"/>
              </w:rPr>
            </w:pPr>
            <w:r w:rsidRPr="00FB02F9">
              <w:rPr>
                <w:rFonts w:cs="Arial"/>
                <w:snapToGrid w:val="0"/>
                <w:color w:val="000000"/>
                <w:sz w:val="18"/>
                <w:szCs w:val="18"/>
              </w:rPr>
              <w:t>80,462</w:t>
            </w:r>
          </w:p>
        </w:tc>
        <w:tc>
          <w:tcPr>
            <w:tcW w:w="1275" w:type="dxa"/>
          </w:tcPr>
          <w:p w:rsidR="008134A5" w:rsidRPr="00FB02F9" w:rsidRDefault="008134A5" w:rsidP="008134A5">
            <w:pPr>
              <w:ind w:right="170"/>
              <w:jc w:val="right"/>
              <w:rPr>
                <w:rFonts w:cs="Arial"/>
                <w:snapToGrid w:val="0"/>
                <w:color w:val="000000"/>
                <w:sz w:val="18"/>
                <w:szCs w:val="18"/>
              </w:rPr>
            </w:pPr>
            <w:r w:rsidRPr="00FB02F9">
              <w:rPr>
                <w:rFonts w:cs="Arial"/>
                <w:snapToGrid w:val="0"/>
                <w:color w:val="000000"/>
                <w:sz w:val="18"/>
                <w:szCs w:val="18"/>
              </w:rPr>
              <w:t>80,462</w:t>
            </w:r>
          </w:p>
        </w:tc>
        <w:tc>
          <w:tcPr>
            <w:tcW w:w="3036" w:type="dxa"/>
          </w:tcPr>
          <w:p w:rsidR="008134A5" w:rsidRPr="00FB02F9" w:rsidRDefault="008134A5" w:rsidP="008134A5">
            <w:pPr>
              <w:jc w:val="left"/>
              <w:rPr>
                <w:rFonts w:cs="Arial"/>
                <w:snapToGrid w:val="0"/>
                <w:color w:val="000000"/>
                <w:sz w:val="18"/>
                <w:szCs w:val="18"/>
              </w:rPr>
            </w:pPr>
            <w:r w:rsidRPr="00FB02F9">
              <w:rPr>
                <w:rFonts w:cs="Arial"/>
                <w:snapToGrid w:val="0"/>
                <w:color w:val="000000"/>
                <w:sz w:val="18"/>
                <w:szCs w:val="18"/>
              </w:rPr>
              <w:t>Republik Korea</w:t>
            </w:r>
          </w:p>
        </w:tc>
        <w:tc>
          <w:tcPr>
            <w:tcW w:w="1032" w:type="dxa"/>
          </w:tcPr>
          <w:p w:rsidR="008134A5" w:rsidRPr="00FB02F9" w:rsidRDefault="008134A5" w:rsidP="002A18A8">
            <w:pPr>
              <w:ind w:right="284"/>
              <w:jc w:val="right"/>
              <w:rPr>
                <w:rFonts w:cs="Arial"/>
                <w:snapToGrid w:val="0"/>
                <w:color w:val="000000"/>
                <w:sz w:val="18"/>
                <w:szCs w:val="18"/>
              </w:rPr>
            </w:pPr>
            <w:r w:rsidRPr="00FB02F9">
              <w:rPr>
                <w:rFonts w:cs="Arial"/>
                <w:snapToGrid w:val="0"/>
                <w:color w:val="000000"/>
                <w:sz w:val="18"/>
                <w:szCs w:val="18"/>
              </w:rPr>
              <w:t>1.50</w:t>
            </w:r>
          </w:p>
        </w:tc>
        <w:tc>
          <w:tcPr>
            <w:tcW w:w="1560" w:type="dxa"/>
          </w:tcPr>
          <w:p w:rsidR="008134A5" w:rsidRPr="00FB02F9" w:rsidRDefault="008134A5" w:rsidP="008134A5">
            <w:pPr>
              <w:ind w:right="284"/>
              <w:jc w:val="right"/>
              <w:rPr>
                <w:rFonts w:cs="Arial"/>
                <w:snapToGrid w:val="0"/>
                <w:color w:val="000000"/>
                <w:sz w:val="18"/>
                <w:szCs w:val="18"/>
              </w:rPr>
            </w:pPr>
            <w:r w:rsidRPr="00FB02F9">
              <w:rPr>
                <w:rFonts w:cs="Arial"/>
                <w:snapToGrid w:val="0"/>
                <w:color w:val="000000"/>
                <w:sz w:val="18"/>
                <w:szCs w:val="18"/>
              </w:rPr>
              <w:t>80,462</w:t>
            </w:r>
          </w:p>
        </w:tc>
        <w:tc>
          <w:tcPr>
            <w:tcW w:w="1559" w:type="dxa"/>
          </w:tcPr>
          <w:p w:rsidR="008134A5" w:rsidRPr="00FB02F9" w:rsidRDefault="008134A5" w:rsidP="008134A5">
            <w:pPr>
              <w:ind w:right="284"/>
              <w:jc w:val="right"/>
              <w:rPr>
                <w:rFonts w:cs="Arial"/>
                <w:snapToGrid w:val="0"/>
                <w:color w:val="000000"/>
                <w:sz w:val="18"/>
                <w:szCs w:val="18"/>
              </w:rPr>
            </w:pPr>
            <w:r w:rsidRPr="00FB02F9">
              <w:rPr>
                <w:rFonts w:cs="Arial"/>
                <w:snapToGrid w:val="0"/>
                <w:color w:val="000000"/>
                <w:sz w:val="18"/>
                <w:szCs w:val="18"/>
              </w:rPr>
              <w:t>80,462</w:t>
            </w:r>
          </w:p>
        </w:tc>
      </w:tr>
      <w:tr w:rsidR="008134A5" w:rsidRPr="00FB02F9" w:rsidTr="008134A5">
        <w:trPr>
          <w:cantSplit/>
        </w:trPr>
        <w:tc>
          <w:tcPr>
            <w:tcW w:w="1218" w:type="dxa"/>
          </w:tcPr>
          <w:p w:rsidR="008134A5" w:rsidRPr="00FB02F9" w:rsidRDefault="008134A5" w:rsidP="008134A5">
            <w:pPr>
              <w:ind w:right="170"/>
              <w:jc w:val="right"/>
              <w:rPr>
                <w:rFonts w:cs="Arial"/>
                <w:snapToGrid w:val="0"/>
                <w:color w:val="000000"/>
                <w:sz w:val="18"/>
                <w:szCs w:val="18"/>
              </w:rPr>
            </w:pPr>
            <w:r w:rsidRPr="00FB02F9">
              <w:rPr>
                <w:rFonts w:cs="Arial"/>
                <w:snapToGrid w:val="0"/>
                <w:color w:val="000000"/>
                <w:sz w:val="18"/>
                <w:szCs w:val="18"/>
              </w:rPr>
              <w:t>10,728</w:t>
            </w:r>
          </w:p>
        </w:tc>
        <w:tc>
          <w:tcPr>
            <w:tcW w:w="1275" w:type="dxa"/>
          </w:tcPr>
          <w:p w:rsidR="008134A5" w:rsidRPr="00FB02F9" w:rsidRDefault="008134A5" w:rsidP="008134A5">
            <w:pPr>
              <w:ind w:right="170"/>
              <w:jc w:val="right"/>
              <w:rPr>
                <w:rFonts w:cs="Arial"/>
                <w:snapToGrid w:val="0"/>
                <w:color w:val="000000"/>
                <w:sz w:val="18"/>
                <w:szCs w:val="18"/>
              </w:rPr>
            </w:pPr>
            <w:r w:rsidRPr="00FB02F9">
              <w:rPr>
                <w:rFonts w:cs="Arial"/>
                <w:snapToGrid w:val="0"/>
                <w:color w:val="000000"/>
                <w:sz w:val="18"/>
                <w:szCs w:val="18"/>
              </w:rPr>
              <w:t>10,728</w:t>
            </w:r>
          </w:p>
        </w:tc>
        <w:tc>
          <w:tcPr>
            <w:tcW w:w="3036" w:type="dxa"/>
          </w:tcPr>
          <w:p w:rsidR="008134A5" w:rsidRPr="00FB02F9" w:rsidRDefault="008134A5" w:rsidP="008134A5">
            <w:pPr>
              <w:jc w:val="left"/>
              <w:rPr>
                <w:rFonts w:cs="Arial"/>
                <w:snapToGrid w:val="0"/>
                <w:color w:val="000000"/>
                <w:sz w:val="18"/>
                <w:szCs w:val="18"/>
              </w:rPr>
            </w:pPr>
            <w:r w:rsidRPr="00FB02F9">
              <w:rPr>
                <w:rFonts w:cs="Arial"/>
                <w:snapToGrid w:val="0"/>
                <w:color w:val="000000"/>
                <w:sz w:val="18"/>
                <w:szCs w:val="18"/>
              </w:rPr>
              <w:t>Republik Moldau</w:t>
            </w:r>
          </w:p>
        </w:tc>
        <w:tc>
          <w:tcPr>
            <w:tcW w:w="1032" w:type="dxa"/>
          </w:tcPr>
          <w:p w:rsidR="008134A5" w:rsidRPr="00FB02F9" w:rsidRDefault="008134A5" w:rsidP="002A18A8">
            <w:pPr>
              <w:ind w:right="284"/>
              <w:jc w:val="right"/>
              <w:rPr>
                <w:rFonts w:cs="Arial"/>
                <w:sz w:val="18"/>
                <w:szCs w:val="18"/>
              </w:rPr>
            </w:pPr>
            <w:r w:rsidRPr="00FB02F9">
              <w:rPr>
                <w:rFonts w:cs="Arial"/>
                <w:sz w:val="18"/>
                <w:szCs w:val="18"/>
              </w:rPr>
              <w:t>0.20</w:t>
            </w:r>
          </w:p>
        </w:tc>
        <w:tc>
          <w:tcPr>
            <w:tcW w:w="1560" w:type="dxa"/>
          </w:tcPr>
          <w:p w:rsidR="008134A5" w:rsidRPr="00FB02F9" w:rsidRDefault="008134A5" w:rsidP="008134A5">
            <w:pPr>
              <w:ind w:right="284"/>
              <w:jc w:val="right"/>
              <w:rPr>
                <w:rFonts w:cs="Arial"/>
                <w:snapToGrid w:val="0"/>
                <w:color w:val="000000"/>
                <w:sz w:val="18"/>
                <w:szCs w:val="18"/>
              </w:rPr>
            </w:pPr>
            <w:r w:rsidRPr="00FB02F9">
              <w:rPr>
                <w:rFonts w:cs="Arial"/>
                <w:snapToGrid w:val="0"/>
                <w:color w:val="000000"/>
                <w:sz w:val="18"/>
                <w:szCs w:val="18"/>
              </w:rPr>
              <w:t>10,728</w:t>
            </w:r>
          </w:p>
        </w:tc>
        <w:tc>
          <w:tcPr>
            <w:tcW w:w="1559" w:type="dxa"/>
          </w:tcPr>
          <w:p w:rsidR="008134A5" w:rsidRPr="00FB02F9" w:rsidRDefault="008134A5" w:rsidP="008134A5">
            <w:pPr>
              <w:ind w:right="284"/>
              <w:jc w:val="right"/>
              <w:rPr>
                <w:rFonts w:cs="Arial"/>
                <w:snapToGrid w:val="0"/>
                <w:color w:val="000000"/>
                <w:sz w:val="18"/>
                <w:szCs w:val="18"/>
              </w:rPr>
            </w:pPr>
            <w:r w:rsidRPr="00FB02F9">
              <w:rPr>
                <w:rFonts w:cs="Arial"/>
                <w:snapToGrid w:val="0"/>
                <w:color w:val="000000"/>
                <w:sz w:val="18"/>
                <w:szCs w:val="18"/>
              </w:rPr>
              <w:t>10,728</w:t>
            </w:r>
          </w:p>
        </w:tc>
      </w:tr>
      <w:tr w:rsidR="008134A5" w:rsidRPr="00FB02F9" w:rsidTr="008134A5">
        <w:trPr>
          <w:cantSplit/>
        </w:trPr>
        <w:tc>
          <w:tcPr>
            <w:tcW w:w="1218" w:type="dxa"/>
          </w:tcPr>
          <w:p w:rsidR="008134A5" w:rsidRPr="00FB02F9" w:rsidRDefault="008134A5" w:rsidP="008134A5">
            <w:pPr>
              <w:ind w:right="170"/>
              <w:jc w:val="right"/>
              <w:rPr>
                <w:rFonts w:cs="Arial"/>
                <w:snapToGrid w:val="0"/>
                <w:color w:val="000000"/>
                <w:sz w:val="18"/>
                <w:szCs w:val="18"/>
              </w:rPr>
            </w:pPr>
            <w:r w:rsidRPr="00FB02F9">
              <w:rPr>
                <w:rFonts w:cs="Arial"/>
                <w:snapToGrid w:val="0"/>
                <w:color w:val="000000"/>
                <w:sz w:val="18"/>
                <w:szCs w:val="18"/>
              </w:rPr>
              <w:t>10,728</w:t>
            </w:r>
          </w:p>
        </w:tc>
        <w:tc>
          <w:tcPr>
            <w:tcW w:w="1275" w:type="dxa"/>
          </w:tcPr>
          <w:p w:rsidR="008134A5" w:rsidRPr="00FB02F9" w:rsidRDefault="008134A5" w:rsidP="008134A5">
            <w:pPr>
              <w:ind w:right="170"/>
              <w:jc w:val="right"/>
              <w:rPr>
                <w:rFonts w:cs="Arial"/>
                <w:snapToGrid w:val="0"/>
                <w:color w:val="000000"/>
                <w:sz w:val="18"/>
                <w:szCs w:val="18"/>
              </w:rPr>
            </w:pPr>
            <w:r w:rsidRPr="00FB02F9">
              <w:rPr>
                <w:rFonts w:cs="Arial"/>
                <w:snapToGrid w:val="0"/>
                <w:color w:val="000000"/>
                <w:sz w:val="18"/>
                <w:szCs w:val="18"/>
              </w:rPr>
              <w:t>10,728</w:t>
            </w:r>
          </w:p>
        </w:tc>
        <w:tc>
          <w:tcPr>
            <w:tcW w:w="3036" w:type="dxa"/>
          </w:tcPr>
          <w:p w:rsidR="008134A5" w:rsidRPr="00FB02F9" w:rsidRDefault="008134A5" w:rsidP="008134A5">
            <w:pPr>
              <w:jc w:val="left"/>
              <w:rPr>
                <w:rFonts w:cs="Arial"/>
                <w:snapToGrid w:val="0"/>
                <w:color w:val="000000"/>
                <w:sz w:val="18"/>
                <w:szCs w:val="18"/>
              </w:rPr>
            </w:pPr>
            <w:r w:rsidRPr="00FB02F9">
              <w:rPr>
                <w:rFonts w:cs="Arial"/>
                <w:snapToGrid w:val="0"/>
                <w:color w:val="000000"/>
                <w:sz w:val="18"/>
                <w:szCs w:val="18"/>
              </w:rPr>
              <w:t>Rumänien</w:t>
            </w:r>
          </w:p>
        </w:tc>
        <w:tc>
          <w:tcPr>
            <w:tcW w:w="1032" w:type="dxa"/>
          </w:tcPr>
          <w:p w:rsidR="008134A5" w:rsidRPr="00FB02F9" w:rsidRDefault="008134A5" w:rsidP="002A18A8">
            <w:pPr>
              <w:ind w:right="284"/>
              <w:jc w:val="right"/>
              <w:rPr>
                <w:rFonts w:cs="Arial"/>
                <w:sz w:val="18"/>
                <w:szCs w:val="18"/>
              </w:rPr>
            </w:pPr>
            <w:r w:rsidRPr="00FB02F9">
              <w:rPr>
                <w:rFonts w:cs="Arial"/>
                <w:sz w:val="18"/>
                <w:szCs w:val="18"/>
              </w:rPr>
              <w:t>0.20</w:t>
            </w:r>
          </w:p>
        </w:tc>
        <w:tc>
          <w:tcPr>
            <w:tcW w:w="1560" w:type="dxa"/>
          </w:tcPr>
          <w:p w:rsidR="008134A5" w:rsidRPr="00FB02F9" w:rsidRDefault="008134A5" w:rsidP="008134A5">
            <w:pPr>
              <w:ind w:right="284"/>
              <w:jc w:val="right"/>
              <w:rPr>
                <w:rFonts w:cs="Arial"/>
                <w:snapToGrid w:val="0"/>
                <w:color w:val="000000"/>
                <w:sz w:val="18"/>
                <w:szCs w:val="18"/>
              </w:rPr>
            </w:pPr>
            <w:r w:rsidRPr="00FB02F9">
              <w:rPr>
                <w:rFonts w:cs="Arial"/>
                <w:snapToGrid w:val="0"/>
                <w:color w:val="000000"/>
                <w:sz w:val="18"/>
                <w:szCs w:val="18"/>
              </w:rPr>
              <w:t>10,728</w:t>
            </w:r>
          </w:p>
        </w:tc>
        <w:tc>
          <w:tcPr>
            <w:tcW w:w="1559" w:type="dxa"/>
          </w:tcPr>
          <w:p w:rsidR="008134A5" w:rsidRPr="00FB02F9" w:rsidRDefault="008134A5" w:rsidP="008134A5">
            <w:pPr>
              <w:ind w:right="284"/>
              <w:jc w:val="right"/>
              <w:rPr>
                <w:rFonts w:cs="Arial"/>
                <w:snapToGrid w:val="0"/>
                <w:color w:val="000000"/>
                <w:sz w:val="18"/>
                <w:szCs w:val="18"/>
              </w:rPr>
            </w:pPr>
            <w:r w:rsidRPr="00FB02F9">
              <w:rPr>
                <w:rFonts w:cs="Arial"/>
                <w:snapToGrid w:val="0"/>
                <w:color w:val="000000"/>
                <w:sz w:val="18"/>
                <w:szCs w:val="18"/>
              </w:rPr>
              <w:t>10,728</w:t>
            </w:r>
          </w:p>
        </w:tc>
      </w:tr>
      <w:tr w:rsidR="008134A5" w:rsidRPr="00FB02F9" w:rsidTr="008134A5">
        <w:trPr>
          <w:cantSplit/>
        </w:trPr>
        <w:tc>
          <w:tcPr>
            <w:tcW w:w="1218" w:type="dxa"/>
          </w:tcPr>
          <w:p w:rsidR="008134A5" w:rsidRPr="00FB02F9" w:rsidRDefault="008134A5" w:rsidP="008134A5">
            <w:pPr>
              <w:ind w:right="170"/>
              <w:jc w:val="right"/>
              <w:rPr>
                <w:rFonts w:cs="Arial"/>
                <w:snapToGrid w:val="0"/>
                <w:color w:val="000000"/>
                <w:sz w:val="18"/>
                <w:szCs w:val="18"/>
              </w:rPr>
            </w:pPr>
            <w:r w:rsidRPr="00FB02F9">
              <w:rPr>
                <w:rFonts w:cs="Arial"/>
                <w:snapToGrid w:val="0"/>
                <w:color w:val="000000"/>
                <w:sz w:val="18"/>
                <w:szCs w:val="18"/>
              </w:rPr>
              <w:t>26,820</w:t>
            </w:r>
          </w:p>
        </w:tc>
        <w:tc>
          <w:tcPr>
            <w:tcW w:w="1275" w:type="dxa"/>
          </w:tcPr>
          <w:p w:rsidR="008134A5" w:rsidRPr="00FB02F9" w:rsidRDefault="008134A5" w:rsidP="008134A5">
            <w:pPr>
              <w:ind w:right="170"/>
              <w:jc w:val="right"/>
              <w:rPr>
                <w:rFonts w:cs="Arial"/>
                <w:snapToGrid w:val="0"/>
                <w:color w:val="000000"/>
                <w:sz w:val="18"/>
                <w:szCs w:val="18"/>
              </w:rPr>
            </w:pPr>
            <w:r w:rsidRPr="00FB02F9">
              <w:rPr>
                <w:rFonts w:cs="Arial"/>
                <w:snapToGrid w:val="0"/>
                <w:color w:val="000000"/>
                <w:sz w:val="18"/>
                <w:szCs w:val="18"/>
              </w:rPr>
              <w:t>26,820</w:t>
            </w:r>
          </w:p>
        </w:tc>
        <w:tc>
          <w:tcPr>
            <w:tcW w:w="3036" w:type="dxa"/>
          </w:tcPr>
          <w:p w:rsidR="008134A5" w:rsidRPr="00FB02F9" w:rsidRDefault="008134A5" w:rsidP="008134A5">
            <w:pPr>
              <w:jc w:val="left"/>
              <w:rPr>
                <w:rFonts w:cs="Arial"/>
                <w:snapToGrid w:val="0"/>
                <w:color w:val="000000"/>
                <w:sz w:val="18"/>
                <w:szCs w:val="18"/>
              </w:rPr>
            </w:pPr>
            <w:r w:rsidRPr="00FB02F9">
              <w:rPr>
                <w:rFonts w:cs="Arial"/>
                <w:snapToGrid w:val="0"/>
                <w:color w:val="000000"/>
                <w:sz w:val="18"/>
                <w:szCs w:val="18"/>
              </w:rPr>
              <w:t>Russische Föderation</w:t>
            </w:r>
          </w:p>
        </w:tc>
        <w:tc>
          <w:tcPr>
            <w:tcW w:w="1032" w:type="dxa"/>
          </w:tcPr>
          <w:p w:rsidR="008134A5" w:rsidRPr="00FB02F9" w:rsidRDefault="008134A5" w:rsidP="002A18A8">
            <w:pPr>
              <w:ind w:right="284"/>
              <w:jc w:val="right"/>
              <w:rPr>
                <w:rFonts w:cs="Arial"/>
                <w:sz w:val="18"/>
                <w:szCs w:val="18"/>
              </w:rPr>
            </w:pPr>
            <w:r w:rsidRPr="00FB02F9">
              <w:rPr>
                <w:rFonts w:cs="Arial"/>
                <w:sz w:val="18"/>
                <w:szCs w:val="18"/>
              </w:rPr>
              <w:t>0.50</w:t>
            </w:r>
          </w:p>
        </w:tc>
        <w:tc>
          <w:tcPr>
            <w:tcW w:w="1560" w:type="dxa"/>
          </w:tcPr>
          <w:p w:rsidR="008134A5" w:rsidRPr="00FB02F9" w:rsidRDefault="008134A5" w:rsidP="008134A5">
            <w:pPr>
              <w:ind w:right="284"/>
              <w:jc w:val="right"/>
              <w:rPr>
                <w:rFonts w:cs="Arial"/>
                <w:snapToGrid w:val="0"/>
                <w:color w:val="000000"/>
                <w:sz w:val="18"/>
                <w:szCs w:val="18"/>
              </w:rPr>
            </w:pPr>
            <w:r w:rsidRPr="00FB02F9">
              <w:rPr>
                <w:rFonts w:cs="Arial"/>
                <w:snapToGrid w:val="0"/>
                <w:color w:val="000000"/>
                <w:sz w:val="18"/>
                <w:szCs w:val="18"/>
              </w:rPr>
              <w:t>26,820</w:t>
            </w:r>
          </w:p>
        </w:tc>
        <w:tc>
          <w:tcPr>
            <w:tcW w:w="1559" w:type="dxa"/>
          </w:tcPr>
          <w:p w:rsidR="008134A5" w:rsidRPr="00FB02F9" w:rsidRDefault="008134A5" w:rsidP="008134A5">
            <w:pPr>
              <w:ind w:right="284"/>
              <w:jc w:val="right"/>
              <w:rPr>
                <w:rFonts w:cs="Arial"/>
                <w:snapToGrid w:val="0"/>
                <w:color w:val="000000"/>
                <w:sz w:val="18"/>
                <w:szCs w:val="18"/>
              </w:rPr>
            </w:pPr>
            <w:r w:rsidRPr="00FB02F9">
              <w:rPr>
                <w:rFonts w:cs="Arial"/>
                <w:snapToGrid w:val="0"/>
                <w:color w:val="000000"/>
                <w:sz w:val="18"/>
                <w:szCs w:val="18"/>
              </w:rPr>
              <w:t>26,820</w:t>
            </w:r>
          </w:p>
        </w:tc>
      </w:tr>
      <w:tr w:rsidR="008134A5" w:rsidRPr="00FB02F9" w:rsidTr="008134A5">
        <w:trPr>
          <w:cantSplit/>
        </w:trPr>
        <w:tc>
          <w:tcPr>
            <w:tcW w:w="1218" w:type="dxa"/>
          </w:tcPr>
          <w:p w:rsidR="008134A5" w:rsidRPr="00FB02F9" w:rsidRDefault="008134A5" w:rsidP="008134A5">
            <w:pPr>
              <w:ind w:right="170"/>
              <w:jc w:val="right"/>
              <w:rPr>
                <w:rFonts w:cs="Arial"/>
                <w:snapToGrid w:val="0"/>
                <w:color w:val="000000"/>
                <w:sz w:val="18"/>
                <w:szCs w:val="18"/>
              </w:rPr>
            </w:pPr>
            <w:r w:rsidRPr="00FB02F9">
              <w:rPr>
                <w:rFonts w:cs="Arial"/>
                <w:snapToGrid w:val="0"/>
                <w:color w:val="000000"/>
                <w:sz w:val="18"/>
                <w:szCs w:val="18"/>
              </w:rPr>
              <w:t>80,462</w:t>
            </w:r>
          </w:p>
        </w:tc>
        <w:tc>
          <w:tcPr>
            <w:tcW w:w="1275" w:type="dxa"/>
          </w:tcPr>
          <w:p w:rsidR="008134A5" w:rsidRPr="00FB02F9" w:rsidRDefault="008134A5" w:rsidP="008134A5">
            <w:pPr>
              <w:ind w:right="170"/>
              <w:jc w:val="right"/>
              <w:rPr>
                <w:rFonts w:cs="Arial"/>
                <w:snapToGrid w:val="0"/>
                <w:color w:val="000000"/>
                <w:sz w:val="18"/>
                <w:szCs w:val="18"/>
              </w:rPr>
            </w:pPr>
            <w:r w:rsidRPr="00FB02F9">
              <w:rPr>
                <w:rFonts w:cs="Arial"/>
                <w:snapToGrid w:val="0"/>
                <w:color w:val="000000"/>
                <w:sz w:val="18"/>
                <w:szCs w:val="18"/>
              </w:rPr>
              <w:t>80,462</w:t>
            </w:r>
          </w:p>
        </w:tc>
        <w:tc>
          <w:tcPr>
            <w:tcW w:w="3036" w:type="dxa"/>
          </w:tcPr>
          <w:p w:rsidR="008134A5" w:rsidRPr="00FB02F9" w:rsidRDefault="008134A5" w:rsidP="008134A5">
            <w:pPr>
              <w:jc w:val="left"/>
              <w:rPr>
                <w:rFonts w:cs="Arial"/>
                <w:snapToGrid w:val="0"/>
                <w:color w:val="000000"/>
                <w:sz w:val="18"/>
                <w:szCs w:val="18"/>
              </w:rPr>
            </w:pPr>
            <w:r w:rsidRPr="00FB02F9">
              <w:rPr>
                <w:rFonts w:cs="Arial"/>
                <w:snapToGrid w:val="0"/>
                <w:color w:val="000000"/>
                <w:sz w:val="18"/>
                <w:szCs w:val="18"/>
              </w:rPr>
              <w:t>Schweden</w:t>
            </w:r>
          </w:p>
        </w:tc>
        <w:tc>
          <w:tcPr>
            <w:tcW w:w="1032" w:type="dxa"/>
          </w:tcPr>
          <w:p w:rsidR="008134A5" w:rsidRPr="00FB02F9" w:rsidRDefault="008134A5" w:rsidP="002A18A8">
            <w:pPr>
              <w:ind w:right="284"/>
              <w:jc w:val="right"/>
              <w:rPr>
                <w:rFonts w:cs="Arial"/>
                <w:sz w:val="18"/>
                <w:szCs w:val="18"/>
              </w:rPr>
            </w:pPr>
            <w:r w:rsidRPr="00FB02F9">
              <w:rPr>
                <w:rFonts w:cs="Arial"/>
                <w:sz w:val="18"/>
                <w:szCs w:val="18"/>
              </w:rPr>
              <w:t>1.50</w:t>
            </w:r>
          </w:p>
        </w:tc>
        <w:tc>
          <w:tcPr>
            <w:tcW w:w="1560" w:type="dxa"/>
          </w:tcPr>
          <w:p w:rsidR="008134A5" w:rsidRPr="00FB02F9" w:rsidRDefault="008134A5" w:rsidP="008134A5">
            <w:pPr>
              <w:ind w:right="284"/>
              <w:jc w:val="right"/>
              <w:rPr>
                <w:rFonts w:cs="Arial"/>
                <w:snapToGrid w:val="0"/>
                <w:color w:val="000000"/>
                <w:sz w:val="18"/>
                <w:szCs w:val="18"/>
              </w:rPr>
            </w:pPr>
            <w:r w:rsidRPr="00FB02F9">
              <w:rPr>
                <w:rFonts w:cs="Arial"/>
                <w:snapToGrid w:val="0"/>
                <w:color w:val="000000"/>
                <w:sz w:val="18"/>
                <w:szCs w:val="18"/>
              </w:rPr>
              <w:t>80,462</w:t>
            </w:r>
          </w:p>
        </w:tc>
        <w:tc>
          <w:tcPr>
            <w:tcW w:w="1559" w:type="dxa"/>
          </w:tcPr>
          <w:p w:rsidR="008134A5" w:rsidRPr="00FB02F9" w:rsidRDefault="008134A5" w:rsidP="008134A5">
            <w:pPr>
              <w:ind w:right="284"/>
              <w:jc w:val="right"/>
              <w:rPr>
                <w:rFonts w:cs="Arial"/>
                <w:snapToGrid w:val="0"/>
                <w:color w:val="000000"/>
                <w:sz w:val="18"/>
                <w:szCs w:val="18"/>
              </w:rPr>
            </w:pPr>
            <w:r w:rsidRPr="00FB02F9">
              <w:rPr>
                <w:rFonts w:cs="Arial"/>
                <w:snapToGrid w:val="0"/>
                <w:color w:val="000000"/>
                <w:sz w:val="18"/>
                <w:szCs w:val="18"/>
              </w:rPr>
              <w:t>80,462</w:t>
            </w:r>
          </w:p>
        </w:tc>
      </w:tr>
      <w:tr w:rsidR="008134A5" w:rsidRPr="00FB02F9" w:rsidTr="008134A5">
        <w:trPr>
          <w:cantSplit/>
        </w:trPr>
        <w:tc>
          <w:tcPr>
            <w:tcW w:w="1218" w:type="dxa"/>
          </w:tcPr>
          <w:p w:rsidR="008134A5" w:rsidRPr="00FB02F9" w:rsidRDefault="008134A5" w:rsidP="008134A5">
            <w:pPr>
              <w:ind w:right="170"/>
              <w:jc w:val="right"/>
              <w:rPr>
                <w:rFonts w:cs="Arial"/>
                <w:snapToGrid w:val="0"/>
                <w:color w:val="000000"/>
                <w:sz w:val="18"/>
                <w:szCs w:val="18"/>
              </w:rPr>
            </w:pPr>
            <w:r w:rsidRPr="00FB02F9">
              <w:rPr>
                <w:rFonts w:cs="Arial"/>
                <w:snapToGrid w:val="0"/>
                <w:color w:val="000000"/>
                <w:sz w:val="18"/>
                <w:szCs w:val="18"/>
              </w:rPr>
              <w:t>80,462</w:t>
            </w:r>
          </w:p>
        </w:tc>
        <w:tc>
          <w:tcPr>
            <w:tcW w:w="1275" w:type="dxa"/>
          </w:tcPr>
          <w:p w:rsidR="008134A5" w:rsidRPr="00FB02F9" w:rsidRDefault="008134A5" w:rsidP="008134A5">
            <w:pPr>
              <w:ind w:right="170"/>
              <w:jc w:val="right"/>
              <w:rPr>
                <w:rFonts w:cs="Arial"/>
                <w:snapToGrid w:val="0"/>
                <w:color w:val="000000"/>
                <w:sz w:val="18"/>
                <w:szCs w:val="18"/>
              </w:rPr>
            </w:pPr>
            <w:r w:rsidRPr="00FB02F9">
              <w:rPr>
                <w:rFonts w:cs="Arial"/>
                <w:snapToGrid w:val="0"/>
                <w:color w:val="000000"/>
                <w:sz w:val="18"/>
                <w:szCs w:val="18"/>
              </w:rPr>
              <w:t>80,462</w:t>
            </w:r>
          </w:p>
        </w:tc>
        <w:tc>
          <w:tcPr>
            <w:tcW w:w="3036" w:type="dxa"/>
          </w:tcPr>
          <w:p w:rsidR="008134A5" w:rsidRPr="00FB02F9" w:rsidRDefault="008134A5" w:rsidP="008134A5">
            <w:pPr>
              <w:jc w:val="left"/>
              <w:rPr>
                <w:rFonts w:cs="Arial"/>
                <w:snapToGrid w:val="0"/>
                <w:color w:val="000000"/>
                <w:sz w:val="18"/>
                <w:szCs w:val="18"/>
              </w:rPr>
            </w:pPr>
            <w:r w:rsidRPr="00FB02F9">
              <w:rPr>
                <w:rFonts w:cs="Arial"/>
                <w:snapToGrid w:val="0"/>
                <w:color w:val="000000"/>
                <w:sz w:val="18"/>
                <w:szCs w:val="18"/>
              </w:rPr>
              <w:t>Schweiz</w:t>
            </w:r>
          </w:p>
        </w:tc>
        <w:tc>
          <w:tcPr>
            <w:tcW w:w="1032" w:type="dxa"/>
          </w:tcPr>
          <w:p w:rsidR="008134A5" w:rsidRPr="00FB02F9" w:rsidRDefault="008134A5" w:rsidP="002A18A8">
            <w:pPr>
              <w:ind w:right="284"/>
              <w:jc w:val="right"/>
              <w:rPr>
                <w:rFonts w:cs="Arial"/>
                <w:sz w:val="18"/>
                <w:szCs w:val="18"/>
              </w:rPr>
            </w:pPr>
            <w:r w:rsidRPr="00FB02F9">
              <w:rPr>
                <w:rFonts w:cs="Arial"/>
                <w:sz w:val="18"/>
                <w:szCs w:val="18"/>
              </w:rPr>
              <w:t>1.50</w:t>
            </w:r>
          </w:p>
        </w:tc>
        <w:tc>
          <w:tcPr>
            <w:tcW w:w="1560" w:type="dxa"/>
          </w:tcPr>
          <w:p w:rsidR="008134A5" w:rsidRPr="00FB02F9" w:rsidRDefault="008134A5" w:rsidP="008134A5">
            <w:pPr>
              <w:ind w:right="284"/>
              <w:jc w:val="right"/>
              <w:rPr>
                <w:rFonts w:cs="Arial"/>
                <w:snapToGrid w:val="0"/>
                <w:color w:val="000000"/>
                <w:sz w:val="18"/>
                <w:szCs w:val="18"/>
              </w:rPr>
            </w:pPr>
            <w:r w:rsidRPr="00FB02F9">
              <w:rPr>
                <w:rFonts w:cs="Arial"/>
                <w:snapToGrid w:val="0"/>
                <w:color w:val="000000"/>
                <w:sz w:val="18"/>
                <w:szCs w:val="18"/>
              </w:rPr>
              <w:t>80,462</w:t>
            </w:r>
          </w:p>
        </w:tc>
        <w:tc>
          <w:tcPr>
            <w:tcW w:w="1559" w:type="dxa"/>
          </w:tcPr>
          <w:p w:rsidR="008134A5" w:rsidRPr="00FB02F9" w:rsidRDefault="008134A5" w:rsidP="008134A5">
            <w:pPr>
              <w:ind w:right="284"/>
              <w:jc w:val="right"/>
              <w:rPr>
                <w:rFonts w:cs="Arial"/>
                <w:snapToGrid w:val="0"/>
                <w:color w:val="000000"/>
                <w:sz w:val="18"/>
                <w:szCs w:val="18"/>
              </w:rPr>
            </w:pPr>
            <w:r w:rsidRPr="00FB02F9">
              <w:rPr>
                <w:rFonts w:cs="Arial"/>
                <w:snapToGrid w:val="0"/>
                <w:color w:val="000000"/>
                <w:sz w:val="18"/>
                <w:szCs w:val="18"/>
              </w:rPr>
              <w:t>80,462</w:t>
            </w:r>
          </w:p>
        </w:tc>
      </w:tr>
      <w:tr w:rsidR="008134A5" w:rsidRPr="00FB02F9" w:rsidTr="008134A5">
        <w:trPr>
          <w:cantSplit/>
        </w:trPr>
        <w:tc>
          <w:tcPr>
            <w:tcW w:w="1218" w:type="dxa"/>
          </w:tcPr>
          <w:p w:rsidR="008134A5" w:rsidRPr="00FB02F9" w:rsidRDefault="008134A5" w:rsidP="008134A5">
            <w:pPr>
              <w:ind w:right="170"/>
              <w:jc w:val="right"/>
              <w:rPr>
                <w:rFonts w:cs="Arial"/>
                <w:snapToGrid w:val="0"/>
                <w:color w:val="000000"/>
                <w:sz w:val="18"/>
                <w:szCs w:val="18"/>
              </w:rPr>
            </w:pPr>
            <w:r w:rsidRPr="00FB02F9">
              <w:rPr>
                <w:rFonts w:cs="Arial"/>
                <w:snapToGrid w:val="0"/>
                <w:color w:val="000000"/>
                <w:sz w:val="18"/>
                <w:szCs w:val="18"/>
              </w:rPr>
              <w:t>0</w:t>
            </w:r>
          </w:p>
        </w:tc>
        <w:tc>
          <w:tcPr>
            <w:tcW w:w="1275" w:type="dxa"/>
          </w:tcPr>
          <w:p w:rsidR="008134A5" w:rsidRPr="00FB02F9" w:rsidRDefault="008134A5" w:rsidP="008134A5">
            <w:pPr>
              <w:ind w:right="170"/>
              <w:jc w:val="right"/>
              <w:rPr>
                <w:rFonts w:cs="Arial"/>
                <w:snapToGrid w:val="0"/>
                <w:color w:val="000000"/>
                <w:sz w:val="18"/>
                <w:szCs w:val="18"/>
              </w:rPr>
            </w:pPr>
            <w:r w:rsidRPr="00FB02F9">
              <w:rPr>
                <w:rFonts w:cs="Arial"/>
                <w:snapToGrid w:val="0"/>
                <w:color w:val="000000"/>
                <w:sz w:val="18"/>
                <w:szCs w:val="18"/>
              </w:rPr>
              <w:t>0</w:t>
            </w:r>
          </w:p>
        </w:tc>
        <w:tc>
          <w:tcPr>
            <w:tcW w:w="3036" w:type="dxa"/>
          </w:tcPr>
          <w:p w:rsidR="008134A5" w:rsidRPr="00FB02F9" w:rsidRDefault="008134A5" w:rsidP="008134A5">
            <w:pPr>
              <w:jc w:val="left"/>
              <w:rPr>
                <w:rFonts w:cs="Arial"/>
                <w:snapToGrid w:val="0"/>
                <w:color w:val="000000"/>
                <w:sz w:val="18"/>
                <w:szCs w:val="18"/>
              </w:rPr>
            </w:pPr>
            <w:r w:rsidRPr="00FB02F9">
              <w:rPr>
                <w:rFonts w:cs="Arial"/>
                <w:snapToGrid w:val="0"/>
                <w:color w:val="000000"/>
                <w:sz w:val="18"/>
                <w:szCs w:val="18"/>
              </w:rPr>
              <w:t>Serbien</w:t>
            </w:r>
          </w:p>
        </w:tc>
        <w:tc>
          <w:tcPr>
            <w:tcW w:w="1032" w:type="dxa"/>
          </w:tcPr>
          <w:p w:rsidR="008134A5" w:rsidRPr="00FB02F9" w:rsidRDefault="008134A5" w:rsidP="002A18A8">
            <w:pPr>
              <w:ind w:right="284"/>
              <w:jc w:val="right"/>
              <w:rPr>
                <w:rFonts w:cs="Arial"/>
                <w:sz w:val="18"/>
                <w:szCs w:val="18"/>
              </w:rPr>
            </w:pPr>
            <w:r w:rsidRPr="00FB02F9">
              <w:rPr>
                <w:rFonts w:cs="Arial"/>
                <w:sz w:val="18"/>
                <w:szCs w:val="18"/>
              </w:rPr>
              <w:t>0.20</w:t>
            </w:r>
          </w:p>
        </w:tc>
        <w:tc>
          <w:tcPr>
            <w:tcW w:w="1560" w:type="dxa"/>
          </w:tcPr>
          <w:p w:rsidR="008134A5" w:rsidRPr="00FB02F9" w:rsidRDefault="008134A5" w:rsidP="008134A5">
            <w:pPr>
              <w:ind w:right="284"/>
              <w:jc w:val="right"/>
              <w:rPr>
                <w:rFonts w:cs="Arial"/>
                <w:snapToGrid w:val="0"/>
                <w:color w:val="000000"/>
                <w:sz w:val="18"/>
                <w:szCs w:val="18"/>
              </w:rPr>
            </w:pPr>
            <w:r w:rsidRPr="00FB02F9">
              <w:rPr>
                <w:rFonts w:cs="Arial"/>
                <w:snapToGrid w:val="0"/>
                <w:color w:val="000000"/>
                <w:sz w:val="18"/>
                <w:szCs w:val="18"/>
              </w:rPr>
              <w:t>10,728</w:t>
            </w:r>
          </w:p>
        </w:tc>
        <w:tc>
          <w:tcPr>
            <w:tcW w:w="1559" w:type="dxa"/>
          </w:tcPr>
          <w:p w:rsidR="008134A5" w:rsidRPr="00FB02F9" w:rsidRDefault="008134A5" w:rsidP="008134A5">
            <w:pPr>
              <w:ind w:right="284"/>
              <w:jc w:val="right"/>
              <w:rPr>
                <w:rFonts w:cs="Arial"/>
                <w:snapToGrid w:val="0"/>
                <w:color w:val="000000"/>
                <w:sz w:val="18"/>
                <w:szCs w:val="18"/>
              </w:rPr>
            </w:pPr>
            <w:r w:rsidRPr="00FB02F9">
              <w:rPr>
                <w:rFonts w:cs="Arial"/>
                <w:snapToGrid w:val="0"/>
                <w:color w:val="000000"/>
                <w:sz w:val="18"/>
                <w:szCs w:val="18"/>
              </w:rPr>
              <w:t>10,728</w:t>
            </w:r>
          </w:p>
        </w:tc>
      </w:tr>
      <w:tr w:rsidR="008134A5" w:rsidRPr="00FB02F9" w:rsidTr="008134A5">
        <w:trPr>
          <w:cantSplit/>
        </w:trPr>
        <w:tc>
          <w:tcPr>
            <w:tcW w:w="1218" w:type="dxa"/>
          </w:tcPr>
          <w:p w:rsidR="008134A5" w:rsidRPr="00FB02F9" w:rsidRDefault="008134A5" w:rsidP="008134A5">
            <w:pPr>
              <w:ind w:right="170"/>
              <w:jc w:val="right"/>
              <w:rPr>
                <w:rFonts w:cs="Arial"/>
                <w:snapToGrid w:val="0"/>
                <w:color w:val="000000"/>
                <w:sz w:val="18"/>
                <w:szCs w:val="18"/>
              </w:rPr>
            </w:pPr>
            <w:r w:rsidRPr="00FB02F9">
              <w:rPr>
                <w:rFonts w:cs="Arial"/>
                <w:snapToGrid w:val="0"/>
                <w:color w:val="000000"/>
                <w:sz w:val="18"/>
                <w:szCs w:val="18"/>
              </w:rPr>
              <w:t>10,728</w:t>
            </w:r>
          </w:p>
        </w:tc>
        <w:tc>
          <w:tcPr>
            <w:tcW w:w="1275" w:type="dxa"/>
          </w:tcPr>
          <w:p w:rsidR="008134A5" w:rsidRPr="00FB02F9" w:rsidRDefault="008134A5" w:rsidP="008134A5">
            <w:pPr>
              <w:ind w:right="170"/>
              <w:jc w:val="right"/>
              <w:rPr>
                <w:rFonts w:cs="Arial"/>
                <w:snapToGrid w:val="0"/>
                <w:color w:val="000000"/>
                <w:sz w:val="18"/>
                <w:szCs w:val="18"/>
              </w:rPr>
            </w:pPr>
            <w:r w:rsidRPr="00FB02F9">
              <w:rPr>
                <w:rFonts w:cs="Arial"/>
                <w:snapToGrid w:val="0"/>
                <w:color w:val="000000"/>
                <w:sz w:val="18"/>
                <w:szCs w:val="18"/>
              </w:rPr>
              <w:t>10,728</w:t>
            </w:r>
          </w:p>
        </w:tc>
        <w:tc>
          <w:tcPr>
            <w:tcW w:w="3036" w:type="dxa"/>
          </w:tcPr>
          <w:p w:rsidR="008134A5" w:rsidRPr="00FB02F9" w:rsidRDefault="008134A5" w:rsidP="008134A5">
            <w:pPr>
              <w:jc w:val="left"/>
              <w:rPr>
                <w:rFonts w:cs="Arial"/>
                <w:snapToGrid w:val="0"/>
                <w:color w:val="000000"/>
                <w:sz w:val="18"/>
                <w:szCs w:val="18"/>
              </w:rPr>
            </w:pPr>
            <w:r w:rsidRPr="00FB02F9">
              <w:rPr>
                <w:rFonts w:cs="Arial"/>
                <w:snapToGrid w:val="0"/>
                <w:color w:val="000000"/>
                <w:sz w:val="18"/>
                <w:szCs w:val="18"/>
              </w:rPr>
              <w:t>Singapur</w:t>
            </w:r>
          </w:p>
        </w:tc>
        <w:tc>
          <w:tcPr>
            <w:tcW w:w="1032" w:type="dxa"/>
          </w:tcPr>
          <w:p w:rsidR="008134A5" w:rsidRPr="00FB02F9" w:rsidRDefault="008134A5" w:rsidP="002A18A8">
            <w:pPr>
              <w:ind w:right="284"/>
              <w:jc w:val="right"/>
              <w:rPr>
                <w:rFonts w:cs="Arial"/>
                <w:sz w:val="18"/>
                <w:szCs w:val="18"/>
              </w:rPr>
            </w:pPr>
            <w:r w:rsidRPr="00FB02F9">
              <w:rPr>
                <w:rFonts w:cs="Arial"/>
                <w:sz w:val="18"/>
                <w:szCs w:val="18"/>
              </w:rPr>
              <w:t>0.20</w:t>
            </w:r>
          </w:p>
        </w:tc>
        <w:tc>
          <w:tcPr>
            <w:tcW w:w="1560" w:type="dxa"/>
          </w:tcPr>
          <w:p w:rsidR="008134A5" w:rsidRPr="00FB02F9" w:rsidRDefault="008134A5" w:rsidP="008134A5">
            <w:pPr>
              <w:ind w:right="284"/>
              <w:jc w:val="right"/>
              <w:rPr>
                <w:rFonts w:cs="Arial"/>
                <w:snapToGrid w:val="0"/>
                <w:color w:val="000000"/>
                <w:sz w:val="18"/>
                <w:szCs w:val="18"/>
              </w:rPr>
            </w:pPr>
            <w:r w:rsidRPr="00FB02F9">
              <w:rPr>
                <w:rFonts w:cs="Arial"/>
                <w:snapToGrid w:val="0"/>
                <w:color w:val="000000"/>
                <w:sz w:val="18"/>
                <w:szCs w:val="18"/>
              </w:rPr>
              <w:t>10,728</w:t>
            </w:r>
          </w:p>
        </w:tc>
        <w:tc>
          <w:tcPr>
            <w:tcW w:w="1559" w:type="dxa"/>
          </w:tcPr>
          <w:p w:rsidR="008134A5" w:rsidRPr="00FB02F9" w:rsidRDefault="008134A5" w:rsidP="008134A5">
            <w:pPr>
              <w:ind w:right="284"/>
              <w:jc w:val="right"/>
              <w:rPr>
                <w:rFonts w:cs="Arial"/>
                <w:snapToGrid w:val="0"/>
                <w:color w:val="000000"/>
                <w:sz w:val="18"/>
                <w:szCs w:val="18"/>
              </w:rPr>
            </w:pPr>
            <w:r w:rsidRPr="00FB02F9">
              <w:rPr>
                <w:rFonts w:cs="Arial"/>
                <w:snapToGrid w:val="0"/>
                <w:color w:val="000000"/>
                <w:sz w:val="18"/>
                <w:szCs w:val="18"/>
              </w:rPr>
              <w:t>10,728</w:t>
            </w:r>
          </w:p>
        </w:tc>
      </w:tr>
      <w:tr w:rsidR="008134A5" w:rsidRPr="00FB02F9" w:rsidTr="008134A5">
        <w:trPr>
          <w:cantSplit/>
        </w:trPr>
        <w:tc>
          <w:tcPr>
            <w:tcW w:w="1218" w:type="dxa"/>
          </w:tcPr>
          <w:p w:rsidR="008134A5" w:rsidRPr="00FB02F9" w:rsidRDefault="008134A5" w:rsidP="008134A5">
            <w:pPr>
              <w:ind w:right="170"/>
              <w:jc w:val="right"/>
              <w:rPr>
                <w:rFonts w:cs="Arial"/>
                <w:snapToGrid w:val="0"/>
                <w:color w:val="000000"/>
                <w:sz w:val="18"/>
                <w:szCs w:val="18"/>
              </w:rPr>
            </w:pPr>
            <w:r w:rsidRPr="00FB02F9">
              <w:rPr>
                <w:rFonts w:cs="Arial"/>
                <w:snapToGrid w:val="0"/>
                <w:color w:val="000000"/>
                <w:sz w:val="18"/>
                <w:szCs w:val="18"/>
              </w:rPr>
              <w:t>26,820</w:t>
            </w:r>
          </w:p>
        </w:tc>
        <w:tc>
          <w:tcPr>
            <w:tcW w:w="1275" w:type="dxa"/>
          </w:tcPr>
          <w:p w:rsidR="008134A5" w:rsidRPr="00FB02F9" w:rsidRDefault="008134A5" w:rsidP="008134A5">
            <w:pPr>
              <w:ind w:right="170"/>
              <w:jc w:val="right"/>
              <w:rPr>
                <w:rFonts w:cs="Arial"/>
                <w:snapToGrid w:val="0"/>
                <w:color w:val="000000"/>
                <w:sz w:val="18"/>
                <w:szCs w:val="18"/>
              </w:rPr>
            </w:pPr>
            <w:r w:rsidRPr="00FB02F9">
              <w:rPr>
                <w:rFonts w:cs="Arial"/>
                <w:snapToGrid w:val="0"/>
                <w:color w:val="000000"/>
                <w:sz w:val="18"/>
                <w:szCs w:val="18"/>
              </w:rPr>
              <w:t>26,820</w:t>
            </w:r>
          </w:p>
        </w:tc>
        <w:tc>
          <w:tcPr>
            <w:tcW w:w="3036" w:type="dxa"/>
          </w:tcPr>
          <w:p w:rsidR="008134A5" w:rsidRPr="00FB02F9" w:rsidRDefault="008134A5" w:rsidP="008134A5">
            <w:pPr>
              <w:jc w:val="left"/>
              <w:rPr>
                <w:rFonts w:cs="Arial"/>
                <w:snapToGrid w:val="0"/>
                <w:color w:val="000000"/>
                <w:sz w:val="18"/>
                <w:szCs w:val="18"/>
              </w:rPr>
            </w:pPr>
            <w:r w:rsidRPr="00FB02F9">
              <w:rPr>
                <w:rFonts w:cs="Arial"/>
                <w:snapToGrid w:val="0"/>
                <w:color w:val="000000"/>
                <w:sz w:val="18"/>
                <w:szCs w:val="18"/>
              </w:rPr>
              <w:t>Slowakei</w:t>
            </w:r>
          </w:p>
        </w:tc>
        <w:tc>
          <w:tcPr>
            <w:tcW w:w="1032" w:type="dxa"/>
          </w:tcPr>
          <w:p w:rsidR="008134A5" w:rsidRPr="00FB02F9" w:rsidRDefault="008134A5" w:rsidP="002A18A8">
            <w:pPr>
              <w:ind w:right="284"/>
              <w:jc w:val="right"/>
              <w:rPr>
                <w:rFonts w:cs="Arial"/>
                <w:sz w:val="18"/>
                <w:szCs w:val="18"/>
              </w:rPr>
            </w:pPr>
            <w:r w:rsidRPr="00FB02F9">
              <w:rPr>
                <w:rFonts w:cs="Arial"/>
                <w:sz w:val="18"/>
                <w:szCs w:val="18"/>
              </w:rPr>
              <w:t>0.50</w:t>
            </w:r>
          </w:p>
        </w:tc>
        <w:tc>
          <w:tcPr>
            <w:tcW w:w="1560" w:type="dxa"/>
          </w:tcPr>
          <w:p w:rsidR="008134A5" w:rsidRPr="00FB02F9" w:rsidRDefault="008134A5" w:rsidP="008134A5">
            <w:pPr>
              <w:ind w:right="284"/>
              <w:jc w:val="right"/>
              <w:rPr>
                <w:rFonts w:cs="Arial"/>
                <w:snapToGrid w:val="0"/>
                <w:color w:val="000000"/>
                <w:sz w:val="18"/>
                <w:szCs w:val="18"/>
              </w:rPr>
            </w:pPr>
            <w:r w:rsidRPr="00FB02F9">
              <w:rPr>
                <w:rFonts w:cs="Arial"/>
                <w:snapToGrid w:val="0"/>
                <w:color w:val="000000"/>
                <w:sz w:val="18"/>
                <w:szCs w:val="18"/>
              </w:rPr>
              <w:t>26,820</w:t>
            </w:r>
          </w:p>
        </w:tc>
        <w:tc>
          <w:tcPr>
            <w:tcW w:w="1559" w:type="dxa"/>
          </w:tcPr>
          <w:p w:rsidR="008134A5" w:rsidRPr="00FB02F9" w:rsidRDefault="008134A5" w:rsidP="008134A5">
            <w:pPr>
              <w:ind w:right="284"/>
              <w:jc w:val="right"/>
              <w:rPr>
                <w:rFonts w:cs="Arial"/>
                <w:snapToGrid w:val="0"/>
                <w:color w:val="000000"/>
                <w:sz w:val="18"/>
                <w:szCs w:val="18"/>
              </w:rPr>
            </w:pPr>
            <w:r w:rsidRPr="00FB02F9">
              <w:rPr>
                <w:rFonts w:cs="Arial"/>
                <w:snapToGrid w:val="0"/>
                <w:color w:val="000000"/>
                <w:sz w:val="18"/>
                <w:szCs w:val="18"/>
              </w:rPr>
              <w:t>26,820</w:t>
            </w:r>
          </w:p>
        </w:tc>
      </w:tr>
      <w:tr w:rsidR="008134A5" w:rsidRPr="00FB02F9" w:rsidTr="008134A5">
        <w:trPr>
          <w:cantSplit/>
        </w:trPr>
        <w:tc>
          <w:tcPr>
            <w:tcW w:w="1218" w:type="dxa"/>
          </w:tcPr>
          <w:p w:rsidR="008134A5" w:rsidRPr="00FB02F9" w:rsidRDefault="008134A5" w:rsidP="008134A5">
            <w:pPr>
              <w:ind w:right="170"/>
              <w:jc w:val="right"/>
              <w:rPr>
                <w:rFonts w:cs="Arial"/>
                <w:snapToGrid w:val="0"/>
                <w:color w:val="000000"/>
                <w:sz w:val="18"/>
                <w:szCs w:val="18"/>
              </w:rPr>
            </w:pPr>
            <w:r w:rsidRPr="00FB02F9">
              <w:rPr>
                <w:rFonts w:cs="Arial"/>
                <w:snapToGrid w:val="0"/>
                <w:color w:val="000000"/>
                <w:sz w:val="18"/>
                <w:szCs w:val="18"/>
              </w:rPr>
              <w:t>10,728</w:t>
            </w:r>
          </w:p>
        </w:tc>
        <w:tc>
          <w:tcPr>
            <w:tcW w:w="1275" w:type="dxa"/>
          </w:tcPr>
          <w:p w:rsidR="008134A5" w:rsidRPr="00FB02F9" w:rsidRDefault="008134A5" w:rsidP="008134A5">
            <w:pPr>
              <w:ind w:right="170"/>
              <w:jc w:val="right"/>
              <w:rPr>
                <w:rFonts w:cs="Arial"/>
                <w:snapToGrid w:val="0"/>
                <w:color w:val="000000"/>
                <w:sz w:val="18"/>
                <w:szCs w:val="18"/>
              </w:rPr>
            </w:pPr>
            <w:r w:rsidRPr="00FB02F9">
              <w:rPr>
                <w:rFonts w:cs="Arial"/>
                <w:snapToGrid w:val="0"/>
                <w:color w:val="000000"/>
                <w:sz w:val="18"/>
                <w:szCs w:val="18"/>
              </w:rPr>
              <w:t>10,728</w:t>
            </w:r>
          </w:p>
        </w:tc>
        <w:tc>
          <w:tcPr>
            <w:tcW w:w="3036" w:type="dxa"/>
          </w:tcPr>
          <w:p w:rsidR="008134A5" w:rsidRPr="00FB02F9" w:rsidRDefault="008134A5" w:rsidP="008134A5">
            <w:pPr>
              <w:jc w:val="left"/>
              <w:rPr>
                <w:rFonts w:cs="Arial"/>
                <w:snapToGrid w:val="0"/>
                <w:color w:val="000000"/>
                <w:sz w:val="18"/>
                <w:szCs w:val="18"/>
              </w:rPr>
            </w:pPr>
            <w:r w:rsidRPr="00FB02F9">
              <w:rPr>
                <w:rFonts w:cs="Arial"/>
                <w:snapToGrid w:val="0"/>
                <w:color w:val="000000"/>
                <w:sz w:val="18"/>
                <w:szCs w:val="18"/>
              </w:rPr>
              <w:t>Slowenien</w:t>
            </w:r>
          </w:p>
        </w:tc>
        <w:tc>
          <w:tcPr>
            <w:tcW w:w="1032" w:type="dxa"/>
          </w:tcPr>
          <w:p w:rsidR="008134A5" w:rsidRPr="00FB02F9" w:rsidRDefault="008134A5" w:rsidP="002A18A8">
            <w:pPr>
              <w:ind w:right="284"/>
              <w:jc w:val="right"/>
              <w:rPr>
                <w:rFonts w:cs="Arial"/>
                <w:sz w:val="18"/>
                <w:szCs w:val="18"/>
              </w:rPr>
            </w:pPr>
            <w:r w:rsidRPr="00FB02F9">
              <w:rPr>
                <w:rFonts w:cs="Arial"/>
                <w:sz w:val="18"/>
                <w:szCs w:val="18"/>
              </w:rPr>
              <w:t>0.20</w:t>
            </w:r>
          </w:p>
        </w:tc>
        <w:tc>
          <w:tcPr>
            <w:tcW w:w="1560" w:type="dxa"/>
          </w:tcPr>
          <w:p w:rsidR="008134A5" w:rsidRPr="00FB02F9" w:rsidRDefault="008134A5" w:rsidP="008134A5">
            <w:pPr>
              <w:ind w:right="284"/>
              <w:jc w:val="right"/>
              <w:rPr>
                <w:rFonts w:cs="Arial"/>
                <w:snapToGrid w:val="0"/>
                <w:color w:val="000000"/>
                <w:sz w:val="18"/>
                <w:szCs w:val="18"/>
              </w:rPr>
            </w:pPr>
            <w:r w:rsidRPr="00FB02F9">
              <w:rPr>
                <w:rFonts w:cs="Arial"/>
                <w:snapToGrid w:val="0"/>
                <w:color w:val="000000"/>
                <w:sz w:val="18"/>
                <w:szCs w:val="18"/>
              </w:rPr>
              <w:t>10,728</w:t>
            </w:r>
          </w:p>
        </w:tc>
        <w:tc>
          <w:tcPr>
            <w:tcW w:w="1559" w:type="dxa"/>
          </w:tcPr>
          <w:p w:rsidR="008134A5" w:rsidRPr="00FB02F9" w:rsidRDefault="008134A5" w:rsidP="008134A5">
            <w:pPr>
              <w:ind w:right="284"/>
              <w:jc w:val="right"/>
              <w:rPr>
                <w:rFonts w:cs="Arial"/>
                <w:snapToGrid w:val="0"/>
                <w:color w:val="000000"/>
                <w:sz w:val="18"/>
                <w:szCs w:val="18"/>
              </w:rPr>
            </w:pPr>
            <w:r w:rsidRPr="00FB02F9">
              <w:rPr>
                <w:rFonts w:cs="Arial"/>
                <w:snapToGrid w:val="0"/>
                <w:color w:val="000000"/>
                <w:sz w:val="18"/>
                <w:szCs w:val="18"/>
              </w:rPr>
              <w:t>10,728</w:t>
            </w:r>
          </w:p>
        </w:tc>
      </w:tr>
      <w:tr w:rsidR="008134A5" w:rsidRPr="00FB02F9" w:rsidTr="008134A5">
        <w:trPr>
          <w:cantSplit/>
        </w:trPr>
        <w:tc>
          <w:tcPr>
            <w:tcW w:w="1218" w:type="dxa"/>
          </w:tcPr>
          <w:p w:rsidR="008134A5" w:rsidRPr="00FB02F9" w:rsidRDefault="008134A5" w:rsidP="008134A5">
            <w:pPr>
              <w:ind w:right="170"/>
              <w:jc w:val="right"/>
              <w:rPr>
                <w:rFonts w:cs="Arial"/>
                <w:snapToGrid w:val="0"/>
                <w:color w:val="000000"/>
                <w:sz w:val="18"/>
                <w:szCs w:val="18"/>
              </w:rPr>
            </w:pPr>
            <w:r w:rsidRPr="00FB02F9">
              <w:rPr>
                <w:rFonts w:cs="Arial"/>
                <w:snapToGrid w:val="0"/>
                <w:color w:val="000000"/>
                <w:sz w:val="18"/>
                <w:szCs w:val="18"/>
              </w:rPr>
              <w:t>107,282</w:t>
            </w:r>
          </w:p>
        </w:tc>
        <w:tc>
          <w:tcPr>
            <w:tcW w:w="1275" w:type="dxa"/>
          </w:tcPr>
          <w:p w:rsidR="008134A5" w:rsidRPr="00FB02F9" w:rsidRDefault="008134A5" w:rsidP="008134A5">
            <w:pPr>
              <w:ind w:right="170"/>
              <w:jc w:val="right"/>
              <w:rPr>
                <w:rFonts w:cs="Arial"/>
                <w:snapToGrid w:val="0"/>
                <w:color w:val="000000"/>
                <w:sz w:val="18"/>
                <w:szCs w:val="18"/>
              </w:rPr>
            </w:pPr>
            <w:r w:rsidRPr="00FB02F9">
              <w:rPr>
                <w:rFonts w:cs="Arial"/>
                <w:snapToGrid w:val="0"/>
                <w:color w:val="000000"/>
                <w:sz w:val="18"/>
                <w:szCs w:val="18"/>
              </w:rPr>
              <w:t>107,282</w:t>
            </w:r>
          </w:p>
        </w:tc>
        <w:tc>
          <w:tcPr>
            <w:tcW w:w="3036" w:type="dxa"/>
          </w:tcPr>
          <w:p w:rsidR="008134A5" w:rsidRPr="00FB02F9" w:rsidRDefault="008134A5" w:rsidP="008134A5">
            <w:pPr>
              <w:jc w:val="left"/>
              <w:rPr>
                <w:rFonts w:cs="Arial"/>
                <w:snapToGrid w:val="0"/>
                <w:color w:val="000000"/>
                <w:sz w:val="18"/>
                <w:szCs w:val="18"/>
              </w:rPr>
            </w:pPr>
            <w:r w:rsidRPr="00FB02F9">
              <w:rPr>
                <w:rFonts w:cs="Arial"/>
                <w:snapToGrid w:val="0"/>
                <w:color w:val="000000"/>
                <w:sz w:val="18"/>
                <w:szCs w:val="18"/>
              </w:rPr>
              <w:t>Spanien</w:t>
            </w:r>
          </w:p>
        </w:tc>
        <w:tc>
          <w:tcPr>
            <w:tcW w:w="1032" w:type="dxa"/>
          </w:tcPr>
          <w:p w:rsidR="008134A5" w:rsidRPr="00FB02F9" w:rsidRDefault="008134A5" w:rsidP="002A18A8">
            <w:pPr>
              <w:ind w:right="284"/>
              <w:jc w:val="right"/>
              <w:rPr>
                <w:rFonts w:cs="Arial"/>
                <w:sz w:val="18"/>
                <w:szCs w:val="18"/>
              </w:rPr>
            </w:pPr>
            <w:r w:rsidRPr="00FB02F9">
              <w:rPr>
                <w:rFonts w:cs="Arial"/>
                <w:sz w:val="18"/>
                <w:szCs w:val="18"/>
              </w:rPr>
              <w:t>2.00</w:t>
            </w:r>
          </w:p>
        </w:tc>
        <w:tc>
          <w:tcPr>
            <w:tcW w:w="1560" w:type="dxa"/>
          </w:tcPr>
          <w:p w:rsidR="008134A5" w:rsidRPr="00FB02F9" w:rsidRDefault="008134A5" w:rsidP="008134A5">
            <w:pPr>
              <w:ind w:right="284"/>
              <w:jc w:val="right"/>
              <w:rPr>
                <w:rFonts w:cs="Arial"/>
                <w:snapToGrid w:val="0"/>
                <w:color w:val="000000"/>
                <w:sz w:val="18"/>
                <w:szCs w:val="18"/>
              </w:rPr>
            </w:pPr>
            <w:r w:rsidRPr="00FB02F9">
              <w:rPr>
                <w:rFonts w:cs="Arial"/>
                <w:snapToGrid w:val="0"/>
                <w:color w:val="000000"/>
                <w:sz w:val="18"/>
                <w:szCs w:val="18"/>
              </w:rPr>
              <w:t>107,282</w:t>
            </w:r>
          </w:p>
        </w:tc>
        <w:tc>
          <w:tcPr>
            <w:tcW w:w="1559" w:type="dxa"/>
          </w:tcPr>
          <w:p w:rsidR="008134A5" w:rsidRPr="00FB02F9" w:rsidRDefault="008134A5" w:rsidP="008134A5">
            <w:pPr>
              <w:ind w:right="284"/>
              <w:jc w:val="right"/>
              <w:rPr>
                <w:rFonts w:cs="Arial"/>
                <w:snapToGrid w:val="0"/>
                <w:color w:val="000000"/>
                <w:sz w:val="18"/>
                <w:szCs w:val="18"/>
              </w:rPr>
            </w:pPr>
            <w:r w:rsidRPr="00FB02F9">
              <w:rPr>
                <w:rFonts w:cs="Arial"/>
                <w:snapToGrid w:val="0"/>
                <w:color w:val="000000"/>
                <w:sz w:val="18"/>
                <w:szCs w:val="18"/>
              </w:rPr>
              <w:t>107,282</w:t>
            </w:r>
          </w:p>
        </w:tc>
      </w:tr>
      <w:tr w:rsidR="008134A5" w:rsidRPr="00FB02F9" w:rsidTr="008134A5">
        <w:trPr>
          <w:cantSplit/>
        </w:trPr>
        <w:tc>
          <w:tcPr>
            <w:tcW w:w="1218" w:type="dxa"/>
          </w:tcPr>
          <w:p w:rsidR="008134A5" w:rsidRPr="00FB02F9" w:rsidRDefault="008134A5" w:rsidP="008134A5">
            <w:pPr>
              <w:ind w:right="170"/>
              <w:jc w:val="right"/>
              <w:rPr>
                <w:rFonts w:cs="Arial"/>
                <w:snapToGrid w:val="0"/>
                <w:color w:val="000000"/>
                <w:sz w:val="18"/>
                <w:szCs w:val="18"/>
              </w:rPr>
            </w:pPr>
            <w:r w:rsidRPr="00FB02F9">
              <w:rPr>
                <w:rFonts w:cs="Arial"/>
                <w:snapToGrid w:val="0"/>
                <w:color w:val="000000"/>
                <w:sz w:val="18"/>
                <w:szCs w:val="18"/>
              </w:rPr>
              <w:t>53,641</w:t>
            </w:r>
          </w:p>
        </w:tc>
        <w:tc>
          <w:tcPr>
            <w:tcW w:w="1275" w:type="dxa"/>
          </w:tcPr>
          <w:p w:rsidR="008134A5" w:rsidRPr="00FB02F9" w:rsidRDefault="008134A5" w:rsidP="008134A5">
            <w:pPr>
              <w:ind w:right="170"/>
              <w:jc w:val="right"/>
              <w:rPr>
                <w:rFonts w:cs="Arial"/>
                <w:snapToGrid w:val="0"/>
                <w:color w:val="000000"/>
                <w:sz w:val="18"/>
                <w:szCs w:val="18"/>
              </w:rPr>
            </w:pPr>
            <w:r w:rsidRPr="00FB02F9">
              <w:rPr>
                <w:rFonts w:cs="Arial"/>
                <w:snapToGrid w:val="0"/>
                <w:color w:val="000000"/>
                <w:sz w:val="18"/>
                <w:szCs w:val="18"/>
              </w:rPr>
              <w:t>53,641</w:t>
            </w:r>
          </w:p>
        </w:tc>
        <w:tc>
          <w:tcPr>
            <w:tcW w:w="3036" w:type="dxa"/>
          </w:tcPr>
          <w:p w:rsidR="008134A5" w:rsidRPr="00FB02F9" w:rsidRDefault="008134A5" w:rsidP="008134A5">
            <w:pPr>
              <w:tabs>
                <w:tab w:val="left" w:pos="212"/>
              </w:tabs>
              <w:jc w:val="left"/>
              <w:rPr>
                <w:rFonts w:cs="Arial"/>
                <w:snapToGrid w:val="0"/>
                <w:color w:val="000000"/>
                <w:sz w:val="18"/>
                <w:szCs w:val="18"/>
              </w:rPr>
            </w:pPr>
            <w:r w:rsidRPr="00FB02F9">
              <w:rPr>
                <w:rFonts w:cs="Arial"/>
                <w:snapToGrid w:val="0"/>
                <w:color w:val="000000"/>
                <w:sz w:val="18"/>
                <w:szCs w:val="18"/>
              </w:rPr>
              <w:t>Südafrika</w:t>
            </w:r>
          </w:p>
        </w:tc>
        <w:tc>
          <w:tcPr>
            <w:tcW w:w="1032" w:type="dxa"/>
          </w:tcPr>
          <w:p w:rsidR="008134A5" w:rsidRPr="00FB02F9" w:rsidRDefault="008134A5" w:rsidP="002A18A8">
            <w:pPr>
              <w:ind w:right="284"/>
              <w:jc w:val="right"/>
              <w:rPr>
                <w:rFonts w:cs="Arial"/>
                <w:sz w:val="18"/>
                <w:szCs w:val="18"/>
              </w:rPr>
            </w:pPr>
            <w:r w:rsidRPr="00FB02F9">
              <w:rPr>
                <w:rFonts w:cs="Arial"/>
                <w:sz w:val="18"/>
                <w:szCs w:val="18"/>
              </w:rPr>
              <w:t>1.00</w:t>
            </w:r>
          </w:p>
        </w:tc>
        <w:tc>
          <w:tcPr>
            <w:tcW w:w="1560" w:type="dxa"/>
          </w:tcPr>
          <w:p w:rsidR="008134A5" w:rsidRPr="00FB02F9" w:rsidRDefault="008134A5" w:rsidP="008134A5">
            <w:pPr>
              <w:ind w:right="284"/>
              <w:jc w:val="right"/>
              <w:rPr>
                <w:rFonts w:cs="Arial"/>
                <w:snapToGrid w:val="0"/>
                <w:color w:val="000000"/>
                <w:sz w:val="18"/>
                <w:szCs w:val="18"/>
              </w:rPr>
            </w:pPr>
            <w:r w:rsidRPr="00FB02F9">
              <w:rPr>
                <w:rFonts w:cs="Arial"/>
                <w:snapToGrid w:val="0"/>
                <w:color w:val="000000"/>
                <w:sz w:val="18"/>
                <w:szCs w:val="18"/>
              </w:rPr>
              <w:t>53,641</w:t>
            </w:r>
          </w:p>
        </w:tc>
        <w:tc>
          <w:tcPr>
            <w:tcW w:w="1559" w:type="dxa"/>
          </w:tcPr>
          <w:p w:rsidR="008134A5" w:rsidRPr="00FB02F9" w:rsidRDefault="008134A5" w:rsidP="008134A5">
            <w:pPr>
              <w:ind w:right="284"/>
              <w:jc w:val="right"/>
              <w:rPr>
                <w:rFonts w:cs="Arial"/>
                <w:snapToGrid w:val="0"/>
                <w:color w:val="000000"/>
                <w:sz w:val="18"/>
                <w:szCs w:val="18"/>
              </w:rPr>
            </w:pPr>
            <w:r w:rsidRPr="00FB02F9">
              <w:rPr>
                <w:rFonts w:cs="Arial"/>
                <w:snapToGrid w:val="0"/>
                <w:color w:val="000000"/>
                <w:sz w:val="18"/>
                <w:szCs w:val="18"/>
              </w:rPr>
              <w:t>53,641</w:t>
            </w:r>
          </w:p>
        </w:tc>
      </w:tr>
      <w:tr w:rsidR="008134A5" w:rsidRPr="00FB02F9" w:rsidTr="008134A5">
        <w:trPr>
          <w:cantSplit/>
        </w:trPr>
        <w:tc>
          <w:tcPr>
            <w:tcW w:w="1218" w:type="dxa"/>
          </w:tcPr>
          <w:p w:rsidR="008134A5" w:rsidRPr="00FB02F9" w:rsidRDefault="008134A5" w:rsidP="008134A5">
            <w:pPr>
              <w:ind w:right="170"/>
              <w:jc w:val="right"/>
              <w:rPr>
                <w:rFonts w:cs="Arial"/>
                <w:snapToGrid w:val="0"/>
                <w:color w:val="000000"/>
                <w:sz w:val="18"/>
                <w:szCs w:val="18"/>
              </w:rPr>
            </w:pPr>
            <w:r w:rsidRPr="00FB02F9">
              <w:rPr>
                <w:rFonts w:cs="Arial"/>
                <w:snapToGrid w:val="0"/>
                <w:color w:val="000000"/>
                <w:sz w:val="18"/>
                <w:szCs w:val="18"/>
              </w:rPr>
              <w:t>10,728</w:t>
            </w:r>
          </w:p>
        </w:tc>
        <w:tc>
          <w:tcPr>
            <w:tcW w:w="1275" w:type="dxa"/>
          </w:tcPr>
          <w:p w:rsidR="008134A5" w:rsidRPr="00FB02F9" w:rsidRDefault="001B61D8" w:rsidP="008134A5">
            <w:pPr>
              <w:ind w:right="170"/>
              <w:jc w:val="right"/>
              <w:rPr>
                <w:rFonts w:cs="Arial"/>
                <w:snapToGrid w:val="0"/>
                <w:color w:val="000000"/>
                <w:sz w:val="18"/>
                <w:szCs w:val="18"/>
              </w:rPr>
            </w:pPr>
            <w:r>
              <w:rPr>
                <w:rFonts w:cs="Arial"/>
                <w:snapToGrid w:val="0"/>
                <w:color w:val="000000"/>
                <w:sz w:val="18"/>
                <w:szCs w:val="18"/>
              </w:rPr>
              <w:t>0</w:t>
            </w:r>
          </w:p>
        </w:tc>
        <w:tc>
          <w:tcPr>
            <w:tcW w:w="3036" w:type="dxa"/>
          </w:tcPr>
          <w:p w:rsidR="008134A5" w:rsidRPr="00FB02F9" w:rsidRDefault="008134A5" w:rsidP="008134A5">
            <w:pPr>
              <w:jc w:val="left"/>
              <w:rPr>
                <w:rFonts w:cs="Arial"/>
                <w:snapToGrid w:val="0"/>
                <w:color w:val="000000"/>
                <w:sz w:val="18"/>
                <w:szCs w:val="18"/>
              </w:rPr>
            </w:pPr>
            <w:r w:rsidRPr="00FB02F9">
              <w:rPr>
                <w:rFonts w:cs="Arial"/>
                <w:snapToGrid w:val="0"/>
                <w:color w:val="000000"/>
                <w:sz w:val="18"/>
                <w:szCs w:val="18"/>
              </w:rPr>
              <w:t>Trinidad und Tobago</w:t>
            </w:r>
          </w:p>
        </w:tc>
        <w:tc>
          <w:tcPr>
            <w:tcW w:w="1032" w:type="dxa"/>
          </w:tcPr>
          <w:p w:rsidR="008134A5" w:rsidRPr="00FB02F9" w:rsidRDefault="008134A5" w:rsidP="002A18A8">
            <w:pPr>
              <w:ind w:right="284"/>
              <w:jc w:val="right"/>
              <w:rPr>
                <w:rFonts w:cs="Arial"/>
                <w:sz w:val="18"/>
                <w:szCs w:val="18"/>
              </w:rPr>
            </w:pPr>
            <w:r w:rsidRPr="00FB02F9">
              <w:rPr>
                <w:rFonts w:cs="Arial"/>
                <w:sz w:val="18"/>
                <w:szCs w:val="18"/>
              </w:rPr>
              <w:t>0.20</w:t>
            </w:r>
          </w:p>
        </w:tc>
        <w:tc>
          <w:tcPr>
            <w:tcW w:w="1560" w:type="dxa"/>
          </w:tcPr>
          <w:p w:rsidR="008134A5" w:rsidRPr="00FB02F9" w:rsidRDefault="008134A5" w:rsidP="008134A5">
            <w:pPr>
              <w:ind w:right="284"/>
              <w:jc w:val="right"/>
              <w:rPr>
                <w:rFonts w:cs="Arial"/>
                <w:snapToGrid w:val="0"/>
                <w:color w:val="000000"/>
                <w:sz w:val="18"/>
                <w:szCs w:val="18"/>
              </w:rPr>
            </w:pPr>
            <w:r w:rsidRPr="00FB02F9">
              <w:rPr>
                <w:rFonts w:cs="Arial"/>
                <w:snapToGrid w:val="0"/>
                <w:color w:val="000000"/>
                <w:sz w:val="18"/>
                <w:szCs w:val="18"/>
              </w:rPr>
              <w:t>10,728</w:t>
            </w:r>
          </w:p>
        </w:tc>
        <w:tc>
          <w:tcPr>
            <w:tcW w:w="1559" w:type="dxa"/>
          </w:tcPr>
          <w:p w:rsidR="008134A5" w:rsidRPr="00FB02F9" w:rsidRDefault="008134A5" w:rsidP="008134A5">
            <w:pPr>
              <w:ind w:right="284"/>
              <w:jc w:val="right"/>
              <w:rPr>
                <w:rFonts w:cs="Arial"/>
                <w:snapToGrid w:val="0"/>
                <w:color w:val="000000"/>
                <w:sz w:val="18"/>
                <w:szCs w:val="18"/>
              </w:rPr>
            </w:pPr>
            <w:r w:rsidRPr="00FB02F9">
              <w:rPr>
                <w:rFonts w:cs="Arial"/>
                <w:snapToGrid w:val="0"/>
                <w:color w:val="000000"/>
                <w:sz w:val="18"/>
                <w:szCs w:val="18"/>
              </w:rPr>
              <w:t>10,728</w:t>
            </w:r>
          </w:p>
        </w:tc>
      </w:tr>
      <w:tr w:rsidR="008134A5" w:rsidRPr="00FB02F9" w:rsidTr="008134A5">
        <w:trPr>
          <w:cantSplit/>
        </w:trPr>
        <w:tc>
          <w:tcPr>
            <w:tcW w:w="1218" w:type="dxa"/>
          </w:tcPr>
          <w:p w:rsidR="008134A5" w:rsidRPr="00FB02F9" w:rsidRDefault="008134A5" w:rsidP="008134A5">
            <w:pPr>
              <w:ind w:right="170"/>
              <w:jc w:val="right"/>
              <w:rPr>
                <w:rFonts w:cs="Arial"/>
                <w:snapToGrid w:val="0"/>
                <w:color w:val="000000"/>
                <w:sz w:val="18"/>
                <w:szCs w:val="18"/>
              </w:rPr>
            </w:pPr>
            <w:r w:rsidRPr="00FB02F9">
              <w:rPr>
                <w:rFonts w:cs="Arial"/>
                <w:snapToGrid w:val="0"/>
                <w:color w:val="000000"/>
                <w:sz w:val="18"/>
                <w:szCs w:val="18"/>
              </w:rPr>
              <w:t>26,820</w:t>
            </w:r>
          </w:p>
        </w:tc>
        <w:tc>
          <w:tcPr>
            <w:tcW w:w="1275" w:type="dxa"/>
          </w:tcPr>
          <w:p w:rsidR="008134A5" w:rsidRPr="00FB02F9" w:rsidRDefault="008134A5" w:rsidP="008134A5">
            <w:pPr>
              <w:ind w:right="170"/>
              <w:jc w:val="right"/>
              <w:rPr>
                <w:rFonts w:cs="Arial"/>
                <w:snapToGrid w:val="0"/>
                <w:color w:val="000000"/>
                <w:sz w:val="18"/>
                <w:szCs w:val="18"/>
              </w:rPr>
            </w:pPr>
            <w:r w:rsidRPr="00FB02F9">
              <w:rPr>
                <w:rFonts w:cs="Arial"/>
                <w:snapToGrid w:val="0"/>
                <w:color w:val="000000"/>
                <w:sz w:val="18"/>
                <w:szCs w:val="18"/>
              </w:rPr>
              <w:t>26,820</w:t>
            </w:r>
          </w:p>
        </w:tc>
        <w:tc>
          <w:tcPr>
            <w:tcW w:w="3036" w:type="dxa"/>
          </w:tcPr>
          <w:p w:rsidR="008134A5" w:rsidRPr="00FB02F9" w:rsidRDefault="008134A5" w:rsidP="008134A5">
            <w:pPr>
              <w:jc w:val="left"/>
              <w:rPr>
                <w:rFonts w:cs="Arial"/>
                <w:snapToGrid w:val="0"/>
                <w:color w:val="000000"/>
                <w:sz w:val="18"/>
                <w:szCs w:val="18"/>
              </w:rPr>
            </w:pPr>
            <w:r w:rsidRPr="00FB02F9">
              <w:rPr>
                <w:rFonts w:cs="Arial"/>
                <w:snapToGrid w:val="0"/>
                <w:color w:val="000000"/>
                <w:sz w:val="18"/>
                <w:szCs w:val="18"/>
              </w:rPr>
              <w:t>Tschechische Republik</w:t>
            </w:r>
          </w:p>
        </w:tc>
        <w:tc>
          <w:tcPr>
            <w:tcW w:w="1032" w:type="dxa"/>
          </w:tcPr>
          <w:p w:rsidR="008134A5" w:rsidRPr="00FB02F9" w:rsidRDefault="008134A5" w:rsidP="002A18A8">
            <w:pPr>
              <w:ind w:right="284"/>
              <w:jc w:val="right"/>
              <w:rPr>
                <w:rFonts w:cs="Arial"/>
                <w:snapToGrid w:val="0"/>
                <w:color w:val="000000"/>
                <w:sz w:val="18"/>
                <w:szCs w:val="18"/>
              </w:rPr>
            </w:pPr>
            <w:r w:rsidRPr="00FB02F9">
              <w:rPr>
                <w:rFonts w:cs="Arial"/>
                <w:snapToGrid w:val="0"/>
                <w:color w:val="000000"/>
                <w:sz w:val="18"/>
                <w:szCs w:val="18"/>
              </w:rPr>
              <w:t>0.50</w:t>
            </w:r>
          </w:p>
        </w:tc>
        <w:tc>
          <w:tcPr>
            <w:tcW w:w="1560" w:type="dxa"/>
          </w:tcPr>
          <w:p w:rsidR="008134A5" w:rsidRPr="00FB02F9" w:rsidRDefault="008134A5" w:rsidP="008134A5">
            <w:pPr>
              <w:ind w:right="284"/>
              <w:jc w:val="right"/>
              <w:rPr>
                <w:rFonts w:cs="Arial"/>
                <w:snapToGrid w:val="0"/>
                <w:color w:val="000000"/>
                <w:sz w:val="18"/>
                <w:szCs w:val="18"/>
              </w:rPr>
            </w:pPr>
            <w:r w:rsidRPr="00FB02F9">
              <w:rPr>
                <w:rFonts w:cs="Arial"/>
                <w:snapToGrid w:val="0"/>
                <w:color w:val="000000"/>
                <w:sz w:val="18"/>
                <w:szCs w:val="18"/>
              </w:rPr>
              <w:t>26,820</w:t>
            </w:r>
          </w:p>
        </w:tc>
        <w:tc>
          <w:tcPr>
            <w:tcW w:w="1559" w:type="dxa"/>
          </w:tcPr>
          <w:p w:rsidR="008134A5" w:rsidRPr="00FB02F9" w:rsidRDefault="008134A5" w:rsidP="008134A5">
            <w:pPr>
              <w:ind w:right="284"/>
              <w:jc w:val="right"/>
              <w:rPr>
                <w:rFonts w:cs="Arial"/>
                <w:snapToGrid w:val="0"/>
                <w:color w:val="000000"/>
                <w:sz w:val="18"/>
                <w:szCs w:val="18"/>
              </w:rPr>
            </w:pPr>
            <w:r w:rsidRPr="00FB02F9">
              <w:rPr>
                <w:rFonts w:cs="Arial"/>
                <w:snapToGrid w:val="0"/>
                <w:color w:val="000000"/>
                <w:sz w:val="18"/>
                <w:szCs w:val="18"/>
              </w:rPr>
              <w:t>26,820</w:t>
            </w:r>
          </w:p>
        </w:tc>
      </w:tr>
      <w:tr w:rsidR="008134A5" w:rsidRPr="00FB02F9" w:rsidTr="008134A5">
        <w:trPr>
          <w:cantSplit/>
        </w:trPr>
        <w:tc>
          <w:tcPr>
            <w:tcW w:w="1218" w:type="dxa"/>
          </w:tcPr>
          <w:p w:rsidR="008134A5" w:rsidRPr="00FB02F9" w:rsidRDefault="008134A5" w:rsidP="008134A5">
            <w:pPr>
              <w:ind w:right="170"/>
              <w:jc w:val="right"/>
              <w:rPr>
                <w:rFonts w:cs="Arial"/>
                <w:snapToGrid w:val="0"/>
                <w:color w:val="000000"/>
                <w:sz w:val="18"/>
                <w:szCs w:val="18"/>
              </w:rPr>
            </w:pPr>
            <w:r w:rsidRPr="00FB02F9">
              <w:rPr>
                <w:rFonts w:cs="Arial"/>
                <w:snapToGrid w:val="0"/>
                <w:color w:val="000000"/>
                <w:sz w:val="18"/>
                <w:szCs w:val="18"/>
              </w:rPr>
              <w:t>10,728</w:t>
            </w:r>
          </w:p>
        </w:tc>
        <w:tc>
          <w:tcPr>
            <w:tcW w:w="1275" w:type="dxa"/>
          </w:tcPr>
          <w:p w:rsidR="008134A5" w:rsidRPr="00FB02F9" w:rsidRDefault="008134A5" w:rsidP="008134A5">
            <w:pPr>
              <w:ind w:right="170"/>
              <w:jc w:val="right"/>
              <w:rPr>
                <w:rFonts w:cs="Arial"/>
                <w:snapToGrid w:val="0"/>
                <w:color w:val="000000"/>
                <w:sz w:val="18"/>
                <w:szCs w:val="18"/>
              </w:rPr>
            </w:pPr>
            <w:r w:rsidRPr="00FB02F9">
              <w:rPr>
                <w:rFonts w:cs="Arial"/>
                <w:snapToGrid w:val="0"/>
                <w:color w:val="000000"/>
                <w:sz w:val="18"/>
                <w:szCs w:val="18"/>
              </w:rPr>
              <w:t>10,728</w:t>
            </w:r>
          </w:p>
        </w:tc>
        <w:tc>
          <w:tcPr>
            <w:tcW w:w="3036" w:type="dxa"/>
          </w:tcPr>
          <w:p w:rsidR="008134A5" w:rsidRPr="00FB02F9" w:rsidRDefault="008134A5" w:rsidP="008134A5">
            <w:pPr>
              <w:jc w:val="left"/>
              <w:rPr>
                <w:rFonts w:cs="Arial"/>
                <w:snapToGrid w:val="0"/>
                <w:color w:val="000000"/>
                <w:sz w:val="18"/>
                <w:szCs w:val="18"/>
              </w:rPr>
            </w:pPr>
            <w:r w:rsidRPr="00FB02F9">
              <w:rPr>
                <w:rFonts w:cs="Arial"/>
                <w:snapToGrid w:val="0"/>
                <w:color w:val="000000"/>
                <w:sz w:val="18"/>
                <w:szCs w:val="18"/>
              </w:rPr>
              <w:t>Tunesien</w:t>
            </w:r>
          </w:p>
        </w:tc>
        <w:tc>
          <w:tcPr>
            <w:tcW w:w="1032" w:type="dxa"/>
          </w:tcPr>
          <w:p w:rsidR="008134A5" w:rsidRPr="00FB02F9" w:rsidRDefault="008134A5" w:rsidP="002A18A8">
            <w:pPr>
              <w:ind w:right="284"/>
              <w:jc w:val="right"/>
              <w:rPr>
                <w:rFonts w:cs="Arial"/>
                <w:sz w:val="18"/>
                <w:szCs w:val="18"/>
              </w:rPr>
            </w:pPr>
            <w:r w:rsidRPr="00FB02F9">
              <w:rPr>
                <w:rFonts w:cs="Arial"/>
                <w:sz w:val="18"/>
                <w:szCs w:val="18"/>
              </w:rPr>
              <w:t>0.20</w:t>
            </w:r>
          </w:p>
        </w:tc>
        <w:tc>
          <w:tcPr>
            <w:tcW w:w="1560" w:type="dxa"/>
          </w:tcPr>
          <w:p w:rsidR="008134A5" w:rsidRPr="00FB02F9" w:rsidRDefault="008134A5" w:rsidP="008134A5">
            <w:pPr>
              <w:ind w:right="284"/>
              <w:jc w:val="right"/>
              <w:rPr>
                <w:rFonts w:cs="Arial"/>
                <w:snapToGrid w:val="0"/>
                <w:color w:val="000000"/>
                <w:sz w:val="18"/>
                <w:szCs w:val="18"/>
              </w:rPr>
            </w:pPr>
            <w:r w:rsidRPr="00FB02F9">
              <w:rPr>
                <w:rFonts w:cs="Arial"/>
                <w:snapToGrid w:val="0"/>
                <w:color w:val="000000"/>
                <w:sz w:val="18"/>
                <w:szCs w:val="18"/>
              </w:rPr>
              <w:t>10,728</w:t>
            </w:r>
          </w:p>
        </w:tc>
        <w:tc>
          <w:tcPr>
            <w:tcW w:w="1559" w:type="dxa"/>
          </w:tcPr>
          <w:p w:rsidR="008134A5" w:rsidRPr="00FB02F9" w:rsidRDefault="008134A5" w:rsidP="008134A5">
            <w:pPr>
              <w:ind w:right="284"/>
              <w:jc w:val="right"/>
              <w:rPr>
                <w:rFonts w:cs="Arial"/>
                <w:snapToGrid w:val="0"/>
                <w:color w:val="000000"/>
                <w:sz w:val="18"/>
                <w:szCs w:val="18"/>
              </w:rPr>
            </w:pPr>
            <w:r w:rsidRPr="00FB02F9">
              <w:rPr>
                <w:rFonts w:cs="Arial"/>
                <w:snapToGrid w:val="0"/>
                <w:color w:val="000000"/>
                <w:sz w:val="18"/>
                <w:szCs w:val="18"/>
              </w:rPr>
              <w:t>10,728</w:t>
            </w:r>
          </w:p>
        </w:tc>
      </w:tr>
      <w:tr w:rsidR="008134A5" w:rsidRPr="00FB02F9" w:rsidTr="008134A5">
        <w:trPr>
          <w:cantSplit/>
        </w:trPr>
        <w:tc>
          <w:tcPr>
            <w:tcW w:w="1218" w:type="dxa"/>
          </w:tcPr>
          <w:p w:rsidR="008134A5" w:rsidRPr="00FB02F9" w:rsidRDefault="008134A5" w:rsidP="008134A5">
            <w:pPr>
              <w:ind w:right="170"/>
              <w:jc w:val="right"/>
              <w:rPr>
                <w:rFonts w:cs="Arial"/>
                <w:snapToGrid w:val="0"/>
                <w:color w:val="000000"/>
                <w:sz w:val="18"/>
                <w:szCs w:val="18"/>
              </w:rPr>
            </w:pPr>
            <w:r w:rsidRPr="00FB02F9">
              <w:rPr>
                <w:rFonts w:cs="Arial"/>
                <w:snapToGrid w:val="0"/>
                <w:color w:val="000000"/>
                <w:sz w:val="18"/>
                <w:szCs w:val="18"/>
              </w:rPr>
              <w:t>26,820</w:t>
            </w:r>
          </w:p>
        </w:tc>
        <w:tc>
          <w:tcPr>
            <w:tcW w:w="1275" w:type="dxa"/>
          </w:tcPr>
          <w:p w:rsidR="008134A5" w:rsidRPr="00FB02F9" w:rsidRDefault="008134A5" w:rsidP="008134A5">
            <w:pPr>
              <w:ind w:right="170"/>
              <w:jc w:val="right"/>
              <w:rPr>
                <w:rFonts w:cs="Arial"/>
                <w:snapToGrid w:val="0"/>
                <w:color w:val="000000"/>
                <w:sz w:val="18"/>
                <w:szCs w:val="18"/>
              </w:rPr>
            </w:pPr>
            <w:r w:rsidRPr="00FB02F9">
              <w:rPr>
                <w:rFonts w:cs="Arial"/>
                <w:snapToGrid w:val="0"/>
                <w:color w:val="000000"/>
                <w:sz w:val="18"/>
                <w:szCs w:val="18"/>
              </w:rPr>
              <w:t>26,820</w:t>
            </w:r>
          </w:p>
        </w:tc>
        <w:tc>
          <w:tcPr>
            <w:tcW w:w="3036" w:type="dxa"/>
          </w:tcPr>
          <w:p w:rsidR="008134A5" w:rsidRPr="00FB02F9" w:rsidRDefault="008134A5" w:rsidP="008134A5">
            <w:pPr>
              <w:jc w:val="left"/>
              <w:rPr>
                <w:rFonts w:cs="Arial"/>
                <w:snapToGrid w:val="0"/>
                <w:color w:val="000000"/>
                <w:sz w:val="18"/>
                <w:szCs w:val="18"/>
              </w:rPr>
            </w:pPr>
            <w:r w:rsidRPr="00FB02F9">
              <w:rPr>
                <w:rFonts w:cs="Arial"/>
                <w:snapToGrid w:val="0"/>
                <w:color w:val="000000"/>
                <w:sz w:val="18"/>
                <w:szCs w:val="18"/>
              </w:rPr>
              <w:t>Türkei</w:t>
            </w:r>
          </w:p>
        </w:tc>
        <w:tc>
          <w:tcPr>
            <w:tcW w:w="1032" w:type="dxa"/>
          </w:tcPr>
          <w:p w:rsidR="008134A5" w:rsidRPr="00FB02F9" w:rsidRDefault="008134A5" w:rsidP="002A18A8">
            <w:pPr>
              <w:ind w:right="284"/>
              <w:jc w:val="right"/>
              <w:rPr>
                <w:rFonts w:cs="Arial"/>
                <w:sz w:val="18"/>
                <w:szCs w:val="18"/>
              </w:rPr>
            </w:pPr>
            <w:r w:rsidRPr="00FB02F9">
              <w:rPr>
                <w:rFonts w:cs="Arial"/>
                <w:sz w:val="18"/>
                <w:szCs w:val="18"/>
              </w:rPr>
              <w:t>0.50</w:t>
            </w:r>
          </w:p>
        </w:tc>
        <w:tc>
          <w:tcPr>
            <w:tcW w:w="1560" w:type="dxa"/>
          </w:tcPr>
          <w:p w:rsidR="008134A5" w:rsidRPr="00FB02F9" w:rsidRDefault="008134A5" w:rsidP="008134A5">
            <w:pPr>
              <w:ind w:right="284"/>
              <w:jc w:val="right"/>
              <w:rPr>
                <w:rFonts w:cs="Arial"/>
                <w:snapToGrid w:val="0"/>
                <w:color w:val="000000"/>
                <w:sz w:val="18"/>
                <w:szCs w:val="18"/>
              </w:rPr>
            </w:pPr>
            <w:r w:rsidRPr="00FB02F9">
              <w:rPr>
                <w:rFonts w:cs="Arial"/>
                <w:snapToGrid w:val="0"/>
                <w:color w:val="000000"/>
                <w:sz w:val="18"/>
                <w:szCs w:val="18"/>
              </w:rPr>
              <w:t>26,820</w:t>
            </w:r>
          </w:p>
        </w:tc>
        <w:tc>
          <w:tcPr>
            <w:tcW w:w="1559" w:type="dxa"/>
          </w:tcPr>
          <w:p w:rsidR="008134A5" w:rsidRPr="00FB02F9" w:rsidRDefault="008134A5" w:rsidP="008134A5">
            <w:pPr>
              <w:ind w:right="284"/>
              <w:jc w:val="right"/>
              <w:rPr>
                <w:rFonts w:cs="Arial"/>
                <w:snapToGrid w:val="0"/>
                <w:color w:val="000000"/>
                <w:sz w:val="18"/>
                <w:szCs w:val="18"/>
              </w:rPr>
            </w:pPr>
            <w:r w:rsidRPr="00FB02F9">
              <w:rPr>
                <w:rFonts w:cs="Arial"/>
                <w:snapToGrid w:val="0"/>
                <w:color w:val="000000"/>
                <w:sz w:val="18"/>
                <w:szCs w:val="18"/>
              </w:rPr>
              <w:t>26,820</w:t>
            </w:r>
          </w:p>
        </w:tc>
      </w:tr>
      <w:tr w:rsidR="008134A5" w:rsidRPr="00FB02F9" w:rsidTr="008134A5">
        <w:trPr>
          <w:cantSplit/>
        </w:trPr>
        <w:tc>
          <w:tcPr>
            <w:tcW w:w="1218" w:type="dxa"/>
          </w:tcPr>
          <w:p w:rsidR="008134A5" w:rsidRPr="00FB02F9" w:rsidRDefault="001B61D8" w:rsidP="008134A5">
            <w:pPr>
              <w:ind w:right="170"/>
              <w:jc w:val="right"/>
              <w:rPr>
                <w:rFonts w:cs="Arial"/>
                <w:snapToGrid w:val="0"/>
                <w:color w:val="000000"/>
                <w:sz w:val="18"/>
                <w:szCs w:val="18"/>
              </w:rPr>
            </w:pPr>
            <w:r>
              <w:rPr>
                <w:rFonts w:cs="Arial"/>
                <w:snapToGrid w:val="0"/>
                <w:color w:val="000000"/>
                <w:sz w:val="18"/>
                <w:szCs w:val="18"/>
              </w:rPr>
              <w:t>0</w:t>
            </w:r>
          </w:p>
        </w:tc>
        <w:tc>
          <w:tcPr>
            <w:tcW w:w="1275" w:type="dxa"/>
          </w:tcPr>
          <w:p w:rsidR="008134A5" w:rsidRPr="00FB02F9" w:rsidRDefault="001B61D8" w:rsidP="008134A5">
            <w:pPr>
              <w:ind w:right="170"/>
              <w:jc w:val="right"/>
              <w:rPr>
                <w:rFonts w:cs="Arial"/>
                <w:snapToGrid w:val="0"/>
                <w:color w:val="000000"/>
                <w:sz w:val="18"/>
                <w:szCs w:val="18"/>
              </w:rPr>
            </w:pPr>
            <w:r>
              <w:rPr>
                <w:rFonts w:cs="Arial"/>
                <w:snapToGrid w:val="0"/>
                <w:color w:val="000000"/>
                <w:sz w:val="18"/>
                <w:szCs w:val="18"/>
              </w:rPr>
              <w:t>0</w:t>
            </w:r>
          </w:p>
        </w:tc>
        <w:tc>
          <w:tcPr>
            <w:tcW w:w="3036" w:type="dxa"/>
          </w:tcPr>
          <w:p w:rsidR="008134A5" w:rsidRPr="00FB02F9" w:rsidRDefault="008134A5" w:rsidP="008134A5">
            <w:pPr>
              <w:jc w:val="left"/>
              <w:rPr>
                <w:rFonts w:cs="Arial"/>
                <w:snapToGrid w:val="0"/>
                <w:color w:val="000000"/>
                <w:sz w:val="18"/>
                <w:szCs w:val="18"/>
              </w:rPr>
            </w:pPr>
            <w:r w:rsidRPr="00FB02F9">
              <w:rPr>
                <w:rFonts w:cs="Arial"/>
                <w:snapToGrid w:val="0"/>
                <w:color w:val="000000"/>
                <w:sz w:val="18"/>
                <w:szCs w:val="18"/>
              </w:rPr>
              <w:t>Ukraine</w:t>
            </w:r>
          </w:p>
        </w:tc>
        <w:tc>
          <w:tcPr>
            <w:tcW w:w="1032" w:type="dxa"/>
          </w:tcPr>
          <w:p w:rsidR="008134A5" w:rsidRPr="00FB02F9" w:rsidRDefault="008134A5" w:rsidP="002A18A8">
            <w:pPr>
              <w:ind w:right="284"/>
              <w:jc w:val="right"/>
              <w:rPr>
                <w:rFonts w:cs="Arial"/>
                <w:sz w:val="18"/>
                <w:szCs w:val="18"/>
              </w:rPr>
            </w:pPr>
            <w:r w:rsidRPr="00FB02F9">
              <w:rPr>
                <w:rFonts w:cs="Arial"/>
                <w:sz w:val="18"/>
                <w:szCs w:val="18"/>
              </w:rPr>
              <w:t>0.20</w:t>
            </w:r>
          </w:p>
        </w:tc>
        <w:tc>
          <w:tcPr>
            <w:tcW w:w="1560" w:type="dxa"/>
          </w:tcPr>
          <w:p w:rsidR="008134A5" w:rsidRPr="00FB02F9" w:rsidRDefault="008134A5" w:rsidP="008134A5">
            <w:pPr>
              <w:ind w:right="284"/>
              <w:jc w:val="right"/>
              <w:rPr>
                <w:rFonts w:cs="Arial"/>
                <w:snapToGrid w:val="0"/>
                <w:color w:val="000000"/>
                <w:sz w:val="18"/>
                <w:szCs w:val="18"/>
              </w:rPr>
            </w:pPr>
            <w:r w:rsidRPr="00FB02F9">
              <w:rPr>
                <w:rFonts w:cs="Arial"/>
                <w:snapToGrid w:val="0"/>
                <w:color w:val="000000"/>
                <w:sz w:val="18"/>
                <w:szCs w:val="18"/>
              </w:rPr>
              <w:t>10,728</w:t>
            </w:r>
          </w:p>
        </w:tc>
        <w:tc>
          <w:tcPr>
            <w:tcW w:w="1559" w:type="dxa"/>
          </w:tcPr>
          <w:p w:rsidR="008134A5" w:rsidRPr="00FB02F9" w:rsidRDefault="008134A5" w:rsidP="008134A5">
            <w:pPr>
              <w:ind w:right="284"/>
              <w:jc w:val="right"/>
              <w:rPr>
                <w:rFonts w:cs="Arial"/>
                <w:snapToGrid w:val="0"/>
                <w:color w:val="000000"/>
                <w:sz w:val="18"/>
                <w:szCs w:val="18"/>
              </w:rPr>
            </w:pPr>
            <w:r w:rsidRPr="00FB02F9">
              <w:rPr>
                <w:rFonts w:cs="Arial"/>
                <w:snapToGrid w:val="0"/>
                <w:color w:val="000000"/>
                <w:sz w:val="18"/>
                <w:szCs w:val="18"/>
              </w:rPr>
              <w:t>10,728</w:t>
            </w:r>
          </w:p>
        </w:tc>
      </w:tr>
      <w:tr w:rsidR="008134A5" w:rsidRPr="00FB02F9" w:rsidTr="008134A5">
        <w:trPr>
          <w:cantSplit/>
        </w:trPr>
        <w:tc>
          <w:tcPr>
            <w:tcW w:w="1218" w:type="dxa"/>
          </w:tcPr>
          <w:p w:rsidR="008134A5" w:rsidRPr="00FB02F9" w:rsidRDefault="008134A5" w:rsidP="008134A5">
            <w:pPr>
              <w:ind w:right="170"/>
              <w:jc w:val="right"/>
              <w:rPr>
                <w:rFonts w:cs="Arial"/>
                <w:snapToGrid w:val="0"/>
                <w:color w:val="000000"/>
                <w:sz w:val="18"/>
                <w:szCs w:val="18"/>
              </w:rPr>
            </w:pPr>
            <w:r w:rsidRPr="00FB02F9">
              <w:rPr>
                <w:rFonts w:cs="Arial"/>
                <w:snapToGrid w:val="0"/>
                <w:color w:val="000000"/>
                <w:sz w:val="18"/>
                <w:szCs w:val="18"/>
              </w:rPr>
              <w:t>26,820</w:t>
            </w:r>
          </w:p>
        </w:tc>
        <w:tc>
          <w:tcPr>
            <w:tcW w:w="1275" w:type="dxa"/>
          </w:tcPr>
          <w:p w:rsidR="008134A5" w:rsidRPr="00FB02F9" w:rsidRDefault="008134A5" w:rsidP="008134A5">
            <w:pPr>
              <w:ind w:right="170"/>
              <w:jc w:val="right"/>
              <w:rPr>
                <w:rFonts w:cs="Arial"/>
                <w:snapToGrid w:val="0"/>
                <w:color w:val="000000"/>
                <w:sz w:val="18"/>
                <w:szCs w:val="18"/>
              </w:rPr>
            </w:pPr>
            <w:r w:rsidRPr="00FB02F9">
              <w:rPr>
                <w:rFonts w:cs="Arial"/>
                <w:snapToGrid w:val="0"/>
                <w:color w:val="000000"/>
                <w:sz w:val="18"/>
                <w:szCs w:val="18"/>
              </w:rPr>
              <w:t>26,820</w:t>
            </w:r>
          </w:p>
        </w:tc>
        <w:tc>
          <w:tcPr>
            <w:tcW w:w="3036" w:type="dxa"/>
          </w:tcPr>
          <w:p w:rsidR="008134A5" w:rsidRPr="00FB02F9" w:rsidRDefault="008134A5" w:rsidP="008134A5">
            <w:pPr>
              <w:jc w:val="left"/>
              <w:rPr>
                <w:rFonts w:cs="Arial"/>
                <w:snapToGrid w:val="0"/>
                <w:color w:val="000000"/>
                <w:sz w:val="18"/>
                <w:szCs w:val="18"/>
              </w:rPr>
            </w:pPr>
            <w:r w:rsidRPr="00FB02F9">
              <w:rPr>
                <w:rFonts w:cs="Arial"/>
                <w:snapToGrid w:val="0"/>
                <w:color w:val="000000"/>
                <w:sz w:val="18"/>
                <w:szCs w:val="18"/>
              </w:rPr>
              <w:t>Ungarn</w:t>
            </w:r>
          </w:p>
        </w:tc>
        <w:tc>
          <w:tcPr>
            <w:tcW w:w="1032" w:type="dxa"/>
          </w:tcPr>
          <w:p w:rsidR="008134A5" w:rsidRPr="00FB02F9" w:rsidRDefault="008134A5" w:rsidP="002A18A8">
            <w:pPr>
              <w:ind w:right="284"/>
              <w:jc w:val="right"/>
              <w:rPr>
                <w:rFonts w:cs="Arial"/>
                <w:snapToGrid w:val="0"/>
                <w:color w:val="000000"/>
                <w:sz w:val="18"/>
                <w:szCs w:val="18"/>
              </w:rPr>
            </w:pPr>
            <w:r w:rsidRPr="00FB02F9">
              <w:rPr>
                <w:rFonts w:cs="Arial"/>
                <w:snapToGrid w:val="0"/>
                <w:color w:val="000000"/>
                <w:sz w:val="18"/>
                <w:szCs w:val="18"/>
              </w:rPr>
              <w:t>0.50</w:t>
            </w:r>
          </w:p>
        </w:tc>
        <w:tc>
          <w:tcPr>
            <w:tcW w:w="1560" w:type="dxa"/>
          </w:tcPr>
          <w:p w:rsidR="008134A5" w:rsidRPr="00FB02F9" w:rsidRDefault="008134A5" w:rsidP="008134A5">
            <w:pPr>
              <w:ind w:right="284"/>
              <w:jc w:val="right"/>
              <w:rPr>
                <w:rFonts w:cs="Arial"/>
                <w:snapToGrid w:val="0"/>
                <w:color w:val="000000"/>
                <w:sz w:val="18"/>
                <w:szCs w:val="18"/>
              </w:rPr>
            </w:pPr>
            <w:r w:rsidRPr="00FB02F9">
              <w:rPr>
                <w:rFonts w:cs="Arial"/>
                <w:snapToGrid w:val="0"/>
                <w:color w:val="000000"/>
                <w:sz w:val="18"/>
                <w:szCs w:val="18"/>
              </w:rPr>
              <w:t>26,820</w:t>
            </w:r>
          </w:p>
        </w:tc>
        <w:tc>
          <w:tcPr>
            <w:tcW w:w="1559" w:type="dxa"/>
          </w:tcPr>
          <w:p w:rsidR="008134A5" w:rsidRPr="00FB02F9" w:rsidRDefault="008134A5" w:rsidP="008134A5">
            <w:pPr>
              <w:ind w:right="284"/>
              <w:jc w:val="right"/>
              <w:rPr>
                <w:rFonts w:cs="Arial"/>
                <w:snapToGrid w:val="0"/>
                <w:color w:val="000000"/>
                <w:sz w:val="18"/>
                <w:szCs w:val="18"/>
              </w:rPr>
            </w:pPr>
            <w:r w:rsidRPr="00FB02F9">
              <w:rPr>
                <w:rFonts w:cs="Arial"/>
                <w:snapToGrid w:val="0"/>
                <w:color w:val="000000"/>
                <w:sz w:val="18"/>
                <w:szCs w:val="18"/>
              </w:rPr>
              <w:t>26,820</w:t>
            </w:r>
          </w:p>
        </w:tc>
      </w:tr>
      <w:tr w:rsidR="008134A5" w:rsidRPr="00FB02F9" w:rsidTr="008134A5">
        <w:trPr>
          <w:cantSplit/>
        </w:trPr>
        <w:tc>
          <w:tcPr>
            <w:tcW w:w="1218" w:type="dxa"/>
          </w:tcPr>
          <w:p w:rsidR="008134A5" w:rsidRPr="00FB02F9" w:rsidRDefault="008134A5" w:rsidP="008134A5">
            <w:pPr>
              <w:ind w:right="170"/>
              <w:jc w:val="right"/>
              <w:rPr>
                <w:rFonts w:cs="Arial"/>
                <w:snapToGrid w:val="0"/>
                <w:color w:val="000000"/>
                <w:sz w:val="18"/>
                <w:szCs w:val="18"/>
              </w:rPr>
            </w:pPr>
            <w:r w:rsidRPr="00FB02F9">
              <w:rPr>
                <w:rFonts w:cs="Arial"/>
                <w:snapToGrid w:val="0"/>
                <w:color w:val="000000"/>
                <w:sz w:val="18"/>
                <w:szCs w:val="18"/>
              </w:rPr>
              <w:t>10,728</w:t>
            </w:r>
          </w:p>
        </w:tc>
        <w:tc>
          <w:tcPr>
            <w:tcW w:w="1275" w:type="dxa"/>
          </w:tcPr>
          <w:p w:rsidR="008134A5" w:rsidRPr="00FB02F9" w:rsidRDefault="008134A5" w:rsidP="008134A5">
            <w:pPr>
              <w:ind w:right="170"/>
              <w:jc w:val="right"/>
              <w:rPr>
                <w:rFonts w:cs="Arial"/>
                <w:snapToGrid w:val="0"/>
                <w:color w:val="000000"/>
                <w:sz w:val="18"/>
                <w:szCs w:val="18"/>
              </w:rPr>
            </w:pPr>
            <w:r w:rsidRPr="00FB02F9">
              <w:rPr>
                <w:rFonts w:cs="Arial"/>
                <w:snapToGrid w:val="0"/>
                <w:color w:val="000000"/>
                <w:sz w:val="18"/>
                <w:szCs w:val="18"/>
              </w:rPr>
              <w:t>10,728</w:t>
            </w:r>
          </w:p>
        </w:tc>
        <w:tc>
          <w:tcPr>
            <w:tcW w:w="3036" w:type="dxa"/>
          </w:tcPr>
          <w:p w:rsidR="008134A5" w:rsidRPr="00FB02F9" w:rsidRDefault="008134A5" w:rsidP="008134A5">
            <w:pPr>
              <w:jc w:val="left"/>
              <w:rPr>
                <w:rFonts w:cs="Arial"/>
                <w:snapToGrid w:val="0"/>
                <w:color w:val="000000"/>
                <w:sz w:val="18"/>
                <w:szCs w:val="18"/>
              </w:rPr>
            </w:pPr>
            <w:r w:rsidRPr="00FB02F9">
              <w:rPr>
                <w:rFonts w:cs="Arial"/>
                <w:snapToGrid w:val="0"/>
                <w:color w:val="000000"/>
                <w:sz w:val="18"/>
                <w:szCs w:val="18"/>
              </w:rPr>
              <w:t>Uruguay</w:t>
            </w:r>
          </w:p>
        </w:tc>
        <w:tc>
          <w:tcPr>
            <w:tcW w:w="1032" w:type="dxa"/>
          </w:tcPr>
          <w:p w:rsidR="008134A5" w:rsidRPr="00FB02F9" w:rsidRDefault="008134A5" w:rsidP="002A18A8">
            <w:pPr>
              <w:ind w:right="284"/>
              <w:jc w:val="right"/>
              <w:rPr>
                <w:rFonts w:cs="Arial"/>
                <w:sz w:val="18"/>
                <w:szCs w:val="18"/>
              </w:rPr>
            </w:pPr>
            <w:r w:rsidRPr="00FB02F9">
              <w:rPr>
                <w:rFonts w:cs="Arial"/>
                <w:sz w:val="18"/>
                <w:szCs w:val="18"/>
              </w:rPr>
              <w:t>0.20</w:t>
            </w:r>
          </w:p>
        </w:tc>
        <w:tc>
          <w:tcPr>
            <w:tcW w:w="1560" w:type="dxa"/>
          </w:tcPr>
          <w:p w:rsidR="008134A5" w:rsidRPr="00FB02F9" w:rsidRDefault="008134A5" w:rsidP="008134A5">
            <w:pPr>
              <w:ind w:right="284"/>
              <w:jc w:val="right"/>
              <w:rPr>
                <w:rFonts w:cs="Arial"/>
                <w:snapToGrid w:val="0"/>
                <w:color w:val="000000"/>
                <w:sz w:val="18"/>
                <w:szCs w:val="18"/>
              </w:rPr>
            </w:pPr>
            <w:r w:rsidRPr="00FB02F9">
              <w:rPr>
                <w:rFonts w:cs="Arial"/>
                <w:snapToGrid w:val="0"/>
                <w:color w:val="000000"/>
                <w:sz w:val="18"/>
                <w:szCs w:val="18"/>
              </w:rPr>
              <w:t>10,728</w:t>
            </w:r>
          </w:p>
        </w:tc>
        <w:tc>
          <w:tcPr>
            <w:tcW w:w="1559" w:type="dxa"/>
          </w:tcPr>
          <w:p w:rsidR="008134A5" w:rsidRPr="00FB02F9" w:rsidRDefault="008134A5" w:rsidP="008134A5">
            <w:pPr>
              <w:ind w:right="284"/>
              <w:jc w:val="right"/>
              <w:rPr>
                <w:rFonts w:cs="Arial"/>
                <w:snapToGrid w:val="0"/>
                <w:color w:val="000000"/>
                <w:sz w:val="18"/>
                <w:szCs w:val="18"/>
              </w:rPr>
            </w:pPr>
            <w:r w:rsidRPr="00FB02F9">
              <w:rPr>
                <w:rFonts w:cs="Arial"/>
                <w:snapToGrid w:val="0"/>
                <w:color w:val="000000"/>
                <w:sz w:val="18"/>
                <w:szCs w:val="18"/>
              </w:rPr>
              <w:t>10,728</w:t>
            </w:r>
          </w:p>
        </w:tc>
      </w:tr>
      <w:tr w:rsidR="008134A5" w:rsidRPr="00FB02F9" w:rsidTr="008134A5">
        <w:trPr>
          <w:cantSplit/>
        </w:trPr>
        <w:tc>
          <w:tcPr>
            <w:tcW w:w="1218" w:type="dxa"/>
          </w:tcPr>
          <w:p w:rsidR="008134A5" w:rsidRPr="00FB02F9" w:rsidRDefault="008134A5" w:rsidP="008134A5">
            <w:pPr>
              <w:ind w:right="170"/>
              <w:jc w:val="right"/>
              <w:rPr>
                <w:rFonts w:cs="Arial"/>
                <w:snapToGrid w:val="0"/>
                <w:color w:val="000000"/>
                <w:sz w:val="18"/>
                <w:szCs w:val="18"/>
              </w:rPr>
            </w:pPr>
            <w:r w:rsidRPr="00FB02F9">
              <w:rPr>
                <w:rFonts w:cs="Arial"/>
                <w:snapToGrid w:val="0"/>
                <w:color w:val="000000"/>
                <w:sz w:val="18"/>
                <w:szCs w:val="18"/>
              </w:rPr>
              <w:t>10,728</w:t>
            </w:r>
          </w:p>
        </w:tc>
        <w:tc>
          <w:tcPr>
            <w:tcW w:w="1275" w:type="dxa"/>
          </w:tcPr>
          <w:p w:rsidR="008134A5" w:rsidRPr="00FB02F9" w:rsidRDefault="008134A5" w:rsidP="008134A5">
            <w:pPr>
              <w:ind w:right="170"/>
              <w:jc w:val="right"/>
              <w:rPr>
                <w:rFonts w:cs="Arial"/>
                <w:snapToGrid w:val="0"/>
                <w:color w:val="000000"/>
                <w:sz w:val="18"/>
                <w:szCs w:val="18"/>
              </w:rPr>
            </w:pPr>
            <w:r w:rsidRPr="00FB02F9">
              <w:rPr>
                <w:rFonts w:cs="Arial"/>
                <w:snapToGrid w:val="0"/>
                <w:color w:val="000000"/>
                <w:sz w:val="18"/>
                <w:szCs w:val="18"/>
              </w:rPr>
              <w:t>10,728</w:t>
            </w:r>
          </w:p>
        </w:tc>
        <w:tc>
          <w:tcPr>
            <w:tcW w:w="3036" w:type="dxa"/>
          </w:tcPr>
          <w:p w:rsidR="008134A5" w:rsidRPr="00FB02F9" w:rsidRDefault="008134A5" w:rsidP="008134A5">
            <w:pPr>
              <w:jc w:val="left"/>
              <w:rPr>
                <w:rFonts w:cs="Arial"/>
                <w:snapToGrid w:val="0"/>
                <w:color w:val="000000"/>
                <w:sz w:val="18"/>
                <w:szCs w:val="18"/>
              </w:rPr>
            </w:pPr>
            <w:r w:rsidRPr="00FB02F9">
              <w:rPr>
                <w:rFonts w:cs="Arial"/>
                <w:snapToGrid w:val="0"/>
                <w:color w:val="000000"/>
                <w:sz w:val="18"/>
                <w:szCs w:val="18"/>
              </w:rPr>
              <w:t>Usbekistan</w:t>
            </w:r>
          </w:p>
        </w:tc>
        <w:tc>
          <w:tcPr>
            <w:tcW w:w="1032" w:type="dxa"/>
          </w:tcPr>
          <w:p w:rsidR="008134A5" w:rsidRPr="00FB02F9" w:rsidRDefault="008134A5" w:rsidP="002A18A8">
            <w:pPr>
              <w:ind w:right="284"/>
              <w:jc w:val="right"/>
              <w:rPr>
                <w:rFonts w:cs="Arial"/>
                <w:sz w:val="18"/>
                <w:szCs w:val="18"/>
              </w:rPr>
            </w:pPr>
            <w:r w:rsidRPr="00FB02F9">
              <w:rPr>
                <w:rFonts w:cs="Arial"/>
                <w:sz w:val="18"/>
                <w:szCs w:val="18"/>
              </w:rPr>
              <w:t>0.20</w:t>
            </w:r>
          </w:p>
        </w:tc>
        <w:tc>
          <w:tcPr>
            <w:tcW w:w="1560" w:type="dxa"/>
          </w:tcPr>
          <w:p w:rsidR="008134A5" w:rsidRPr="00FB02F9" w:rsidRDefault="008134A5" w:rsidP="008134A5">
            <w:pPr>
              <w:ind w:right="284"/>
              <w:jc w:val="right"/>
              <w:rPr>
                <w:rFonts w:cs="Arial"/>
                <w:snapToGrid w:val="0"/>
                <w:color w:val="000000"/>
                <w:sz w:val="18"/>
                <w:szCs w:val="18"/>
              </w:rPr>
            </w:pPr>
            <w:r w:rsidRPr="00FB02F9">
              <w:rPr>
                <w:rFonts w:cs="Arial"/>
                <w:snapToGrid w:val="0"/>
                <w:color w:val="000000"/>
                <w:sz w:val="18"/>
                <w:szCs w:val="18"/>
              </w:rPr>
              <w:t>10,728</w:t>
            </w:r>
          </w:p>
        </w:tc>
        <w:tc>
          <w:tcPr>
            <w:tcW w:w="1559" w:type="dxa"/>
          </w:tcPr>
          <w:p w:rsidR="008134A5" w:rsidRPr="00FB02F9" w:rsidRDefault="008134A5" w:rsidP="008134A5">
            <w:pPr>
              <w:ind w:right="284"/>
              <w:jc w:val="right"/>
              <w:rPr>
                <w:rFonts w:cs="Arial"/>
                <w:snapToGrid w:val="0"/>
                <w:color w:val="000000"/>
                <w:sz w:val="18"/>
                <w:szCs w:val="18"/>
              </w:rPr>
            </w:pPr>
            <w:r w:rsidRPr="00FB02F9">
              <w:rPr>
                <w:rFonts w:cs="Arial"/>
                <w:snapToGrid w:val="0"/>
                <w:color w:val="000000"/>
                <w:sz w:val="18"/>
                <w:szCs w:val="18"/>
              </w:rPr>
              <w:t>10,728</w:t>
            </w:r>
          </w:p>
        </w:tc>
      </w:tr>
      <w:tr w:rsidR="00EC2B3F" w:rsidRPr="00FB02F9" w:rsidTr="008134A5">
        <w:trPr>
          <w:cantSplit/>
        </w:trPr>
        <w:tc>
          <w:tcPr>
            <w:tcW w:w="1218" w:type="dxa"/>
          </w:tcPr>
          <w:p w:rsidR="00EC2B3F" w:rsidRDefault="001B61D8" w:rsidP="00521042">
            <w:pPr>
              <w:ind w:right="170"/>
              <w:jc w:val="right"/>
              <w:rPr>
                <w:rFonts w:eastAsia="Arial" w:cs="Arial"/>
                <w:sz w:val="18"/>
                <w:szCs w:val="18"/>
              </w:rPr>
            </w:pPr>
            <w:r>
              <w:rPr>
                <w:rFonts w:eastAsia="Arial" w:cs="Arial"/>
                <w:spacing w:val="1"/>
                <w:sz w:val="18"/>
                <w:szCs w:val="18"/>
              </w:rPr>
              <w:t>0</w:t>
            </w:r>
          </w:p>
        </w:tc>
        <w:tc>
          <w:tcPr>
            <w:tcW w:w="1275" w:type="dxa"/>
          </w:tcPr>
          <w:p w:rsidR="00EC2B3F" w:rsidRDefault="001B61D8" w:rsidP="00521042">
            <w:pPr>
              <w:ind w:right="170"/>
              <w:jc w:val="right"/>
              <w:rPr>
                <w:rFonts w:eastAsia="Arial" w:cs="Arial"/>
                <w:sz w:val="18"/>
                <w:szCs w:val="18"/>
              </w:rPr>
            </w:pPr>
            <w:r>
              <w:rPr>
                <w:rFonts w:eastAsia="Arial" w:cs="Arial"/>
                <w:spacing w:val="1"/>
                <w:sz w:val="18"/>
                <w:szCs w:val="18"/>
              </w:rPr>
              <w:t>0</w:t>
            </w:r>
          </w:p>
        </w:tc>
        <w:tc>
          <w:tcPr>
            <w:tcW w:w="3036" w:type="dxa"/>
          </w:tcPr>
          <w:p w:rsidR="00EC2B3F" w:rsidRDefault="00EC2B3F" w:rsidP="00521042">
            <w:pPr>
              <w:jc w:val="left"/>
              <w:rPr>
                <w:rFonts w:eastAsia="Arial" w:cs="Arial"/>
                <w:sz w:val="18"/>
                <w:szCs w:val="18"/>
              </w:rPr>
            </w:pPr>
            <w:r>
              <w:rPr>
                <w:rFonts w:eastAsia="Arial" w:cs="Arial"/>
                <w:sz w:val="18"/>
                <w:szCs w:val="18"/>
              </w:rPr>
              <w:t>Vereinigte</w:t>
            </w:r>
            <w:r w:rsidRPr="007E48D1">
              <w:rPr>
                <w:rFonts w:eastAsia="Arial" w:cs="Arial"/>
                <w:sz w:val="18"/>
                <w:szCs w:val="18"/>
              </w:rPr>
              <w:t xml:space="preserve"> </w:t>
            </w:r>
            <w:r w:rsidRPr="00521042">
              <w:rPr>
                <w:rFonts w:cs="Arial"/>
                <w:snapToGrid w:val="0"/>
                <w:color w:val="000000"/>
                <w:sz w:val="18"/>
                <w:szCs w:val="18"/>
              </w:rPr>
              <w:t>Republik</w:t>
            </w:r>
            <w:r w:rsidRPr="007E48D1">
              <w:rPr>
                <w:rFonts w:eastAsia="Arial" w:cs="Arial"/>
                <w:sz w:val="18"/>
                <w:szCs w:val="18"/>
              </w:rPr>
              <w:t xml:space="preserve"> Tansania</w:t>
            </w:r>
          </w:p>
        </w:tc>
        <w:tc>
          <w:tcPr>
            <w:tcW w:w="1032" w:type="dxa"/>
          </w:tcPr>
          <w:p w:rsidR="00EC2B3F" w:rsidRDefault="00EC2B3F" w:rsidP="002A18A8">
            <w:pPr>
              <w:ind w:right="284"/>
              <w:jc w:val="right"/>
              <w:rPr>
                <w:rFonts w:eastAsia="Arial" w:cs="Arial"/>
                <w:sz w:val="18"/>
                <w:szCs w:val="18"/>
              </w:rPr>
            </w:pPr>
            <w:r>
              <w:rPr>
                <w:rFonts w:eastAsia="Arial" w:cs="Arial"/>
                <w:spacing w:val="1"/>
                <w:sz w:val="18"/>
                <w:szCs w:val="18"/>
              </w:rPr>
              <w:t>0</w:t>
            </w:r>
            <w:r>
              <w:rPr>
                <w:rFonts w:eastAsia="Arial" w:cs="Arial"/>
                <w:sz w:val="18"/>
                <w:szCs w:val="18"/>
              </w:rPr>
              <w:t>.</w:t>
            </w:r>
            <w:r>
              <w:rPr>
                <w:rFonts w:eastAsia="Arial" w:cs="Arial"/>
                <w:spacing w:val="1"/>
                <w:sz w:val="18"/>
                <w:szCs w:val="18"/>
              </w:rPr>
              <w:t>20</w:t>
            </w:r>
          </w:p>
        </w:tc>
        <w:tc>
          <w:tcPr>
            <w:tcW w:w="1560" w:type="dxa"/>
          </w:tcPr>
          <w:p w:rsidR="00EC2B3F" w:rsidRDefault="00EC2B3F" w:rsidP="00521042">
            <w:pPr>
              <w:ind w:right="284"/>
              <w:jc w:val="right"/>
              <w:rPr>
                <w:rFonts w:eastAsia="Arial" w:cs="Arial"/>
                <w:sz w:val="18"/>
                <w:szCs w:val="18"/>
              </w:rPr>
            </w:pPr>
            <w:r>
              <w:rPr>
                <w:rFonts w:eastAsia="Arial" w:cs="Arial"/>
                <w:spacing w:val="1"/>
                <w:sz w:val="18"/>
                <w:szCs w:val="18"/>
              </w:rPr>
              <w:t>10</w:t>
            </w:r>
            <w:r>
              <w:rPr>
                <w:rFonts w:eastAsia="Arial" w:cs="Arial"/>
                <w:sz w:val="18"/>
                <w:szCs w:val="18"/>
              </w:rPr>
              <w:t>,</w:t>
            </w:r>
            <w:r>
              <w:rPr>
                <w:rFonts w:eastAsia="Arial" w:cs="Arial"/>
                <w:spacing w:val="1"/>
                <w:sz w:val="18"/>
                <w:szCs w:val="18"/>
              </w:rPr>
              <w:t>7</w:t>
            </w:r>
            <w:r>
              <w:rPr>
                <w:rFonts w:eastAsia="Arial" w:cs="Arial"/>
                <w:spacing w:val="-2"/>
                <w:sz w:val="18"/>
                <w:szCs w:val="18"/>
              </w:rPr>
              <w:t>2</w:t>
            </w:r>
            <w:r>
              <w:rPr>
                <w:rFonts w:eastAsia="Arial" w:cs="Arial"/>
                <w:sz w:val="18"/>
                <w:szCs w:val="18"/>
              </w:rPr>
              <w:t>8</w:t>
            </w:r>
          </w:p>
        </w:tc>
        <w:tc>
          <w:tcPr>
            <w:tcW w:w="1559" w:type="dxa"/>
          </w:tcPr>
          <w:p w:rsidR="00EC2B3F" w:rsidRDefault="00EC2B3F" w:rsidP="00521042">
            <w:pPr>
              <w:ind w:right="284"/>
              <w:jc w:val="right"/>
              <w:rPr>
                <w:rFonts w:eastAsia="Arial" w:cs="Arial"/>
                <w:sz w:val="18"/>
                <w:szCs w:val="18"/>
              </w:rPr>
            </w:pPr>
            <w:r>
              <w:rPr>
                <w:rFonts w:eastAsia="Arial" w:cs="Arial"/>
                <w:spacing w:val="1"/>
                <w:sz w:val="18"/>
                <w:szCs w:val="18"/>
              </w:rPr>
              <w:t>10</w:t>
            </w:r>
            <w:r>
              <w:rPr>
                <w:rFonts w:eastAsia="Arial" w:cs="Arial"/>
                <w:sz w:val="18"/>
                <w:szCs w:val="18"/>
              </w:rPr>
              <w:t>,</w:t>
            </w:r>
            <w:r>
              <w:rPr>
                <w:rFonts w:eastAsia="Arial" w:cs="Arial"/>
                <w:spacing w:val="1"/>
                <w:sz w:val="18"/>
                <w:szCs w:val="18"/>
              </w:rPr>
              <w:t>7</w:t>
            </w:r>
            <w:r>
              <w:rPr>
                <w:rFonts w:eastAsia="Arial" w:cs="Arial"/>
                <w:spacing w:val="-2"/>
                <w:sz w:val="18"/>
                <w:szCs w:val="18"/>
              </w:rPr>
              <w:t>2</w:t>
            </w:r>
            <w:r>
              <w:rPr>
                <w:rFonts w:eastAsia="Arial" w:cs="Arial"/>
                <w:sz w:val="18"/>
                <w:szCs w:val="18"/>
              </w:rPr>
              <w:t>8</w:t>
            </w:r>
          </w:p>
        </w:tc>
      </w:tr>
      <w:tr w:rsidR="008134A5" w:rsidRPr="00FB02F9" w:rsidTr="008134A5">
        <w:trPr>
          <w:cantSplit/>
        </w:trPr>
        <w:tc>
          <w:tcPr>
            <w:tcW w:w="1218" w:type="dxa"/>
          </w:tcPr>
          <w:p w:rsidR="008134A5" w:rsidRPr="00FB02F9" w:rsidRDefault="008134A5" w:rsidP="008134A5">
            <w:pPr>
              <w:ind w:right="170"/>
              <w:jc w:val="right"/>
              <w:rPr>
                <w:rFonts w:cs="Arial"/>
                <w:snapToGrid w:val="0"/>
                <w:color w:val="000000"/>
                <w:sz w:val="18"/>
                <w:szCs w:val="18"/>
              </w:rPr>
            </w:pPr>
            <w:r w:rsidRPr="00FB02F9">
              <w:rPr>
                <w:rFonts w:cs="Arial"/>
                <w:snapToGrid w:val="0"/>
                <w:color w:val="000000"/>
                <w:sz w:val="18"/>
                <w:szCs w:val="18"/>
              </w:rPr>
              <w:t>268,205</w:t>
            </w:r>
          </w:p>
        </w:tc>
        <w:tc>
          <w:tcPr>
            <w:tcW w:w="1275" w:type="dxa"/>
          </w:tcPr>
          <w:p w:rsidR="008134A5" w:rsidRPr="00FB02F9" w:rsidRDefault="001B61D8" w:rsidP="008134A5">
            <w:pPr>
              <w:ind w:right="170"/>
              <w:jc w:val="right"/>
              <w:rPr>
                <w:rFonts w:cs="Arial"/>
                <w:snapToGrid w:val="0"/>
                <w:color w:val="000000"/>
                <w:sz w:val="18"/>
                <w:szCs w:val="18"/>
              </w:rPr>
            </w:pPr>
            <w:r>
              <w:rPr>
                <w:rFonts w:cs="Arial"/>
                <w:snapToGrid w:val="0"/>
                <w:color w:val="000000"/>
                <w:sz w:val="18"/>
                <w:szCs w:val="18"/>
              </w:rPr>
              <w:t>0</w:t>
            </w:r>
          </w:p>
        </w:tc>
        <w:tc>
          <w:tcPr>
            <w:tcW w:w="3036" w:type="dxa"/>
          </w:tcPr>
          <w:p w:rsidR="008134A5" w:rsidRPr="00FB02F9" w:rsidRDefault="008134A5" w:rsidP="008134A5">
            <w:pPr>
              <w:jc w:val="left"/>
              <w:rPr>
                <w:rFonts w:cs="Arial"/>
                <w:snapToGrid w:val="0"/>
                <w:color w:val="000000"/>
                <w:sz w:val="18"/>
                <w:szCs w:val="18"/>
              </w:rPr>
            </w:pPr>
            <w:r w:rsidRPr="00FB02F9">
              <w:rPr>
                <w:rFonts w:cs="Arial"/>
                <w:snapToGrid w:val="0"/>
                <w:color w:val="000000"/>
                <w:sz w:val="18"/>
                <w:szCs w:val="18"/>
              </w:rPr>
              <w:t>Vereinigte Staaten von Amerika</w:t>
            </w:r>
          </w:p>
        </w:tc>
        <w:tc>
          <w:tcPr>
            <w:tcW w:w="1032" w:type="dxa"/>
          </w:tcPr>
          <w:p w:rsidR="008134A5" w:rsidRPr="00FB02F9" w:rsidRDefault="008134A5" w:rsidP="002A18A8">
            <w:pPr>
              <w:ind w:right="284"/>
              <w:jc w:val="right"/>
              <w:rPr>
                <w:rFonts w:cs="Arial"/>
                <w:sz w:val="18"/>
                <w:szCs w:val="18"/>
              </w:rPr>
            </w:pPr>
            <w:r w:rsidRPr="00FB02F9">
              <w:rPr>
                <w:rFonts w:cs="Arial"/>
                <w:sz w:val="18"/>
                <w:szCs w:val="18"/>
              </w:rPr>
              <w:t>5.00</w:t>
            </w:r>
          </w:p>
        </w:tc>
        <w:tc>
          <w:tcPr>
            <w:tcW w:w="1560" w:type="dxa"/>
          </w:tcPr>
          <w:p w:rsidR="008134A5" w:rsidRPr="00FB02F9" w:rsidRDefault="008134A5" w:rsidP="008134A5">
            <w:pPr>
              <w:ind w:right="284"/>
              <w:jc w:val="right"/>
              <w:rPr>
                <w:rFonts w:cs="Arial"/>
                <w:snapToGrid w:val="0"/>
                <w:color w:val="000000"/>
                <w:sz w:val="18"/>
                <w:szCs w:val="18"/>
              </w:rPr>
            </w:pPr>
            <w:r w:rsidRPr="00FB02F9">
              <w:rPr>
                <w:rFonts w:cs="Arial"/>
                <w:snapToGrid w:val="0"/>
                <w:color w:val="000000"/>
                <w:sz w:val="18"/>
                <w:szCs w:val="18"/>
              </w:rPr>
              <w:t>268,205</w:t>
            </w:r>
          </w:p>
        </w:tc>
        <w:tc>
          <w:tcPr>
            <w:tcW w:w="1559" w:type="dxa"/>
          </w:tcPr>
          <w:p w:rsidR="008134A5" w:rsidRPr="00FB02F9" w:rsidRDefault="008134A5" w:rsidP="008134A5">
            <w:pPr>
              <w:ind w:right="284"/>
              <w:jc w:val="right"/>
              <w:rPr>
                <w:rFonts w:cs="Arial"/>
                <w:snapToGrid w:val="0"/>
                <w:color w:val="000000"/>
                <w:sz w:val="18"/>
                <w:szCs w:val="18"/>
              </w:rPr>
            </w:pPr>
            <w:r w:rsidRPr="00FB02F9">
              <w:rPr>
                <w:rFonts w:cs="Arial"/>
                <w:snapToGrid w:val="0"/>
                <w:color w:val="000000"/>
                <w:sz w:val="18"/>
                <w:szCs w:val="18"/>
              </w:rPr>
              <w:t>268,205</w:t>
            </w:r>
          </w:p>
        </w:tc>
      </w:tr>
      <w:tr w:rsidR="008134A5" w:rsidRPr="00FB02F9" w:rsidTr="008134A5">
        <w:trPr>
          <w:cantSplit/>
        </w:trPr>
        <w:tc>
          <w:tcPr>
            <w:tcW w:w="1218" w:type="dxa"/>
          </w:tcPr>
          <w:p w:rsidR="008134A5" w:rsidRPr="00FB02F9" w:rsidRDefault="008134A5" w:rsidP="008134A5">
            <w:pPr>
              <w:ind w:right="170"/>
              <w:jc w:val="right"/>
              <w:rPr>
                <w:rFonts w:cs="Arial"/>
                <w:snapToGrid w:val="0"/>
                <w:color w:val="000000"/>
                <w:sz w:val="18"/>
                <w:szCs w:val="18"/>
              </w:rPr>
            </w:pPr>
            <w:r w:rsidRPr="00FB02F9">
              <w:rPr>
                <w:rFonts w:cs="Arial"/>
                <w:snapToGrid w:val="0"/>
                <w:color w:val="000000"/>
                <w:sz w:val="18"/>
                <w:szCs w:val="18"/>
              </w:rPr>
              <w:t>107,282</w:t>
            </w:r>
          </w:p>
        </w:tc>
        <w:tc>
          <w:tcPr>
            <w:tcW w:w="1275" w:type="dxa"/>
          </w:tcPr>
          <w:p w:rsidR="008134A5" w:rsidRPr="00FB02F9" w:rsidRDefault="008134A5" w:rsidP="008134A5">
            <w:pPr>
              <w:ind w:right="170"/>
              <w:jc w:val="right"/>
              <w:rPr>
                <w:rFonts w:cs="Arial"/>
                <w:snapToGrid w:val="0"/>
                <w:color w:val="000000"/>
                <w:sz w:val="18"/>
                <w:szCs w:val="18"/>
              </w:rPr>
            </w:pPr>
            <w:r w:rsidRPr="00FB02F9">
              <w:rPr>
                <w:rFonts w:cs="Arial"/>
                <w:snapToGrid w:val="0"/>
                <w:color w:val="000000"/>
                <w:sz w:val="18"/>
                <w:szCs w:val="18"/>
              </w:rPr>
              <w:t>107,282</w:t>
            </w:r>
          </w:p>
        </w:tc>
        <w:tc>
          <w:tcPr>
            <w:tcW w:w="3036" w:type="dxa"/>
          </w:tcPr>
          <w:p w:rsidR="008134A5" w:rsidRPr="00FB02F9" w:rsidRDefault="008134A5" w:rsidP="008134A5">
            <w:pPr>
              <w:jc w:val="left"/>
              <w:rPr>
                <w:rFonts w:cs="Arial"/>
                <w:snapToGrid w:val="0"/>
                <w:color w:val="000000"/>
                <w:sz w:val="18"/>
                <w:szCs w:val="18"/>
              </w:rPr>
            </w:pPr>
            <w:r w:rsidRPr="00FB02F9">
              <w:rPr>
                <w:rFonts w:cs="Arial"/>
                <w:snapToGrid w:val="0"/>
                <w:color w:val="000000"/>
                <w:sz w:val="18"/>
                <w:szCs w:val="18"/>
              </w:rPr>
              <w:t>Vereinigtes Königreich</w:t>
            </w:r>
          </w:p>
        </w:tc>
        <w:tc>
          <w:tcPr>
            <w:tcW w:w="1032" w:type="dxa"/>
          </w:tcPr>
          <w:p w:rsidR="008134A5" w:rsidRPr="00FB02F9" w:rsidRDefault="008134A5" w:rsidP="002A18A8">
            <w:pPr>
              <w:ind w:right="284"/>
              <w:jc w:val="right"/>
              <w:rPr>
                <w:rFonts w:cs="Arial"/>
                <w:sz w:val="18"/>
                <w:szCs w:val="18"/>
              </w:rPr>
            </w:pPr>
            <w:r w:rsidRPr="00FB02F9">
              <w:rPr>
                <w:rFonts w:cs="Arial"/>
                <w:sz w:val="18"/>
                <w:szCs w:val="18"/>
              </w:rPr>
              <w:t>2.00</w:t>
            </w:r>
          </w:p>
        </w:tc>
        <w:tc>
          <w:tcPr>
            <w:tcW w:w="1560" w:type="dxa"/>
          </w:tcPr>
          <w:p w:rsidR="008134A5" w:rsidRPr="00FB02F9" w:rsidRDefault="008134A5" w:rsidP="008134A5">
            <w:pPr>
              <w:ind w:right="284"/>
              <w:jc w:val="right"/>
              <w:rPr>
                <w:rFonts w:cs="Arial"/>
                <w:snapToGrid w:val="0"/>
                <w:color w:val="000000"/>
                <w:sz w:val="18"/>
                <w:szCs w:val="18"/>
              </w:rPr>
            </w:pPr>
            <w:r w:rsidRPr="00FB02F9">
              <w:rPr>
                <w:rFonts w:cs="Arial"/>
                <w:snapToGrid w:val="0"/>
                <w:color w:val="000000"/>
                <w:sz w:val="18"/>
                <w:szCs w:val="18"/>
              </w:rPr>
              <w:t>107,282</w:t>
            </w:r>
          </w:p>
        </w:tc>
        <w:tc>
          <w:tcPr>
            <w:tcW w:w="1559" w:type="dxa"/>
          </w:tcPr>
          <w:p w:rsidR="008134A5" w:rsidRPr="00FB02F9" w:rsidRDefault="008134A5" w:rsidP="008134A5">
            <w:pPr>
              <w:ind w:right="284"/>
              <w:jc w:val="right"/>
              <w:rPr>
                <w:rFonts w:cs="Arial"/>
                <w:snapToGrid w:val="0"/>
                <w:color w:val="000000"/>
                <w:sz w:val="18"/>
                <w:szCs w:val="18"/>
              </w:rPr>
            </w:pPr>
            <w:r w:rsidRPr="00FB02F9">
              <w:rPr>
                <w:rFonts w:cs="Arial"/>
                <w:snapToGrid w:val="0"/>
                <w:color w:val="000000"/>
                <w:sz w:val="18"/>
                <w:szCs w:val="18"/>
              </w:rPr>
              <w:t>107,282</w:t>
            </w:r>
          </w:p>
        </w:tc>
      </w:tr>
      <w:tr w:rsidR="008134A5" w:rsidRPr="00FB02F9" w:rsidTr="008134A5">
        <w:trPr>
          <w:cantSplit/>
          <w:tblHeader/>
        </w:trPr>
        <w:tc>
          <w:tcPr>
            <w:tcW w:w="1218" w:type="dxa"/>
          </w:tcPr>
          <w:p w:rsidR="008134A5" w:rsidRPr="00FB02F9" w:rsidRDefault="008134A5" w:rsidP="008134A5">
            <w:pPr>
              <w:ind w:right="170"/>
              <w:jc w:val="right"/>
              <w:rPr>
                <w:rFonts w:cs="Arial"/>
                <w:snapToGrid w:val="0"/>
                <w:color w:val="000000"/>
                <w:sz w:val="18"/>
                <w:szCs w:val="18"/>
              </w:rPr>
            </w:pPr>
            <w:r w:rsidRPr="00FB02F9">
              <w:rPr>
                <w:rFonts w:cs="Arial"/>
                <w:snapToGrid w:val="0"/>
                <w:color w:val="000000"/>
                <w:sz w:val="18"/>
                <w:szCs w:val="18"/>
              </w:rPr>
              <w:t>10,728</w:t>
            </w:r>
          </w:p>
        </w:tc>
        <w:tc>
          <w:tcPr>
            <w:tcW w:w="1275" w:type="dxa"/>
          </w:tcPr>
          <w:p w:rsidR="008134A5" w:rsidRPr="00FB02F9" w:rsidRDefault="001B61D8" w:rsidP="008134A5">
            <w:pPr>
              <w:ind w:right="170"/>
              <w:jc w:val="right"/>
              <w:rPr>
                <w:rFonts w:cs="Arial"/>
                <w:snapToGrid w:val="0"/>
                <w:color w:val="000000"/>
                <w:sz w:val="18"/>
                <w:szCs w:val="18"/>
              </w:rPr>
            </w:pPr>
            <w:r>
              <w:rPr>
                <w:rFonts w:cs="Arial"/>
                <w:snapToGrid w:val="0"/>
                <w:color w:val="000000"/>
                <w:sz w:val="18"/>
                <w:szCs w:val="18"/>
              </w:rPr>
              <w:t>0</w:t>
            </w:r>
          </w:p>
        </w:tc>
        <w:tc>
          <w:tcPr>
            <w:tcW w:w="3036" w:type="dxa"/>
          </w:tcPr>
          <w:p w:rsidR="008134A5" w:rsidRPr="00FB02F9" w:rsidRDefault="008134A5" w:rsidP="008134A5">
            <w:pPr>
              <w:jc w:val="left"/>
              <w:rPr>
                <w:rFonts w:cs="Arial"/>
                <w:snapToGrid w:val="0"/>
                <w:color w:val="000000"/>
                <w:sz w:val="18"/>
                <w:szCs w:val="18"/>
              </w:rPr>
            </w:pPr>
            <w:r w:rsidRPr="00FB02F9">
              <w:rPr>
                <w:rFonts w:cs="Arial"/>
                <w:snapToGrid w:val="0"/>
                <w:color w:val="000000"/>
                <w:sz w:val="18"/>
                <w:szCs w:val="18"/>
              </w:rPr>
              <w:t>Vietnam</w:t>
            </w:r>
          </w:p>
        </w:tc>
        <w:tc>
          <w:tcPr>
            <w:tcW w:w="1032" w:type="dxa"/>
          </w:tcPr>
          <w:p w:rsidR="008134A5" w:rsidRPr="00FB02F9" w:rsidRDefault="008134A5" w:rsidP="002A18A8">
            <w:pPr>
              <w:ind w:right="284"/>
              <w:jc w:val="right"/>
              <w:rPr>
                <w:rFonts w:cs="Arial"/>
                <w:sz w:val="18"/>
                <w:szCs w:val="18"/>
              </w:rPr>
            </w:pPr>
            <w:r w:rsidRPr="00FB02F9">
              <w:rPr>
                <w:rFonts w:cs="Arial"/>
                <w:sz w:val="18"/>
                <w:szCs w:val="18"/>
              </w:rPr>
              <w:t>0.20</w:t>
            </w:r>
          </w:p>
        </w:tc>
        <w:tc>
          <w:tcPr>
            <w:tcW w:w="1560" w:type="dxa"/>
          </w:tcPr>
          <w:p w:rsidR="008134A5" w:rsidRPr="00FB02F9" w:rsidRDefault="008134A5" w:rsidP="008134A5">
            <w:pPr>
              <w:ind w:right="284"/>
              <w:jc w:val="right"/>
              <w:rPr>
                <w:rFonts w:cs="Arial"/>
                <w:snapToGrid w:val="0"/>
                <w:color w:val="000000"/>
                <w:sz w:val="18"/>
                <w:szCs w:val="18"/>
              </w:rPr>
            </w:pPr>
            <w:r w:rsidRPr="00FB02F9">
              <w:rPr>
                <w:rFonts w:cs="Arial"/>
                <w:snapToGrid w:val="0"/>
                <w:color w:val="000000"/>
                <w:sz w:val="18"/>
                <w:szCs w:val="18"/>
              </w:rPr>
              <w:t>10,728</w:t>
            </w:r>
          </w:p>
        </w:tc>
        <w:tc>
          <w:tcPr>
            <w:tcW w:w="1559" w:type="dxa"/>
          </w:tcPr>
          <w:p w:rsidR="008134A5" w:rsidRPr="00FB02F9" w:rsidRDefault="008134A5" w:rsidP="008134A5">
            <w:pPr>
              <w:ind w:right="284"/>
              <w:jc w:val="right"/>
              <w:rPr>
                <w:rFonts w:cs="Arial"/>
                <w:snapToGrid w:val="0"/>
                <w:color w:val="000000"/>
                <w:sz w:val="18"/>
                <w:szCs w:val="18"/>
              </w:rPr>
            </w:pPr>
            <w:r w:rsidRPr="00FB02F9">
              <w:rPr>
                <w:rFonts w:cs="Arial"/>
                <w:snapToGrid w:val="0"/>
                <w:color w:val="000000"/>
                <w:sz w:val="18"/>
                <w:szCs w:val="18"/>
              </w:rPr>
              <w:t>10,728</w:t>
            </w:r>
          </w:p>
        </w:tc>
      </w:tr>
      <w:tr w:rsidR="008134A5" w:rsidRPr="00FB02F9" w:rsidTr="008134A5">
        <w:trPr>
          <w:cantSplit/>
          <w:tblHeader/>
        </w:trPr>
        <w:tc>
          <w:tcPr>
            <w:tcW w:w="1218" w:type="dxa"/>
            <w:tcBorders>
              <w:bottom w:val="single" w:sz="4" w:space="0" w:color="auto"/>
            </w:tcBorders>
          </w:tcPr>
          <w:p w:rsidR="008134A5" w:rsidRPr="00FB02F9" w:rsidRDefault="008134A5" w:rsidP="008134A5">
            <w:pPr>
              <w:ind w:right="170"/>
              <w:jc w:val="right"/>
              <w:rPr>
                <w:rFonts w:cs="Arial"/>
                <w:snapToGrid w:val="0"/>
                <w:color w:val="000000"/>
                <w:sz w:val="12"/>
                <w:szCs w:val="18"/>
              </w:rPr>
            </w:pPr>
          </w:p>
        </w:tc>
        <w:tc>
          <w:tcPr>
            <w:tcW w:w="1275" w:type="dxa"/>
            <w:tcBorders>
              <w:bottom w:val="single" w:sz="4" w:space="0" w:color="auto"/>
            </w:tcBorders>
          </w:tcPr>
          <w:p w:rsidR="008134A5" w:rsidRPr="00FB02F9" w:rsidRDefault="008134A5" w:rsidP="008134A5">
            <w:pPr>
              <w:ind w:right="170"/>
              <w:jc w:val="right"/>
              <w:rPr>
                <w:rFonts w:cs="Arial"/>
                <w:snapToGrid w:val="0"/>
                <w:color w:val="000000"/>
                <w:sz w:val="12"/>
                <w:szCs w:val="18"/>
              </w:rPr>
            </w:pPr>
          </w:p>
        </w:tc>
        <w:tc>
          <w:tcPr>
            <w:tcW w:w="3036" w:type="dxa"/>
            <w:tcBorders>
              <w:bottom w:val="single" w:sz="4" w:space="0" w:color="auto"/>
            </w:tcBorders>
          </w:tcPr>
          <w:p w:rsidR="008134A5" w:rsidRPr="00FB02F9" w:rsidRDefault="008134A5" w:rsidP="008134A5">
            <w:pPr>
              <w:jc w:val="left"/>
              <w:rPr>
                <w:rFonts w:cs="Arial"/>
                <w:snapToGrid w:val="0"/>
                <w:color w:val="000000"/>
                <w:sz w:val="12"/>
                <w:szCs w:val="18"/>
              </w:rPr>
            </w:pPr>
          </w:p>
        </w:tc>
        <w:tc>
          <w:tcPr>
            <w:tcW w:w="1032" w:type="dxa"/>
            <w:tcBorders>
              <w:bottom w:val="single" w:sz="4" w:space="0" w:color="auto"/>
            </w:tcBorders>
          </w:tcPr>
          <w:p w:rsidR="008134A5" w:rsidRPr="00FB02F9" w:rsidRDefault="008134A5" w:rsidP="002A18A8">
            <w:pPr>
              <w:ind w:right="284"/>
              <w:jc w:val="right"/>
              <w:rPr>
                <w:rFonts w:cs="Arial"/>
                <w:sz w:val="12"/>
                <w:szCs w:val="18"/>
              </w:rPr>
            </w:pPr>
          </w:p>
        </w:tc>
        <w:tc>
          <w:tcPr>
            <w:tcW w:w="1560" w:type="dxa"/>
            <w:tcBorders>
              <w:bottom w:val="single" w:sz="4" w:space="0" w:color="auto"/>
            </w:tcBorders>
          </w:tcPr>
          <w:p w:rsidR="008134A5" w:rsidRPr="00FB02F9" w:rsidRDefault="008134A5" w:rsidP="008134A5">
            <w:pPr>
              <w:ind w:right="284"/>
              <w:jc w:val="right"/>
              <w:rPr>
                <w:rFonts w:cs="Arial"/>
                <w:snapToGrid w:val="0"/>
                <w:color w:val="000000"/>
                <w:sz w:val="12"/>
                <w:szCs w:val="18"/>
              </w:rPr>
            </w:pPr>
          </w:p>
        </w:tc>
        <w:tc>
          <w:tcPr>
            <w:tcW w:w="1559" w:type="dxa"/>
            <w:tcBorders>
              <w:bottom w:val="single" w:sz="4" w:space="0" w:color="auto"/>
            </w:tcBorders>
          </w:tcPr>
          <w:p w:rsidR="008134A5" w:rsidRPr="00FB02F9" w:rsidRDefault="008134A5" w:rsidP="008134A5">
            <w:pPr>
              <w:ind w:right="284"/>
              <w:jc w:val="right"/>
              <w:rPr>
                <w:rFonts w:cs="Arial"/>
                <w:snapToGrid w:val="0"/>
                <w:color w:val="000000"/>
                <w:sz w:val="12"/>
                <w:szCs w:val="18"/>
              </w:rPr>
            </w:pPr>
          </w:p>
        </w:tc>
      </w:tr>
      <w:tr w:rsidR="00EC2B3F" w:rsidRPr="00FB02F9" w:rsidTr="008134A5">
        <w:trPr>
          <w:cantSplit/>
          <w:tblHeader/>
        </w:trPr>
        <w:tc>
          <w:tcPr>
            <w:tcW w:w="1218" w:type="dxa"/>
            <w:tcBorders>
              <w:top w:val="single" w:sz="4" w:space="0" w:color="auto"/>
              <w:bottom w:val="single" w:sz="8" w:space="0" w:color="auto"/>
            </w:tcBorders>
          </w:tcPr>
          <w:p w:rsidR="00EC2B3F" w:rsidRDefault="00EC2B3F" w:rsidP="002D7206">
            <w:pPr>
              <w:spacing w:before="51"/>
              <w:ind w:right="170"/>
              <w:jc w:val="right"/>
              <w:rPr>
                <w:rFonts w:eastAsia="Arial" w:cs="Arial"/>
                <w:sz w:val="18"/>
                <w:szCs w:val="18"/>
              </w:rPr>
            </w:pPr>
            <w:r>
              <w:rPr>
                <w:rFonts w:eastAsia="Arial" w:cs="Arial"/>
                <w:b/>
                <w:bCs/>
                <w:spacing w:val="1"/>
                <w:sz w:val="18"/>
                <w:szCs w:val="18"/>
              </w:rPr>
              <w:t>3</w:t>
            </w:r>
            <w:r>
              <w:rPr>
                <w:rFonts w:eastAsia="Arial" w:cs="Arial"/>
                <w:b/>
                <w:bCs/>
                <w:sz w:val="18"/>
                <w:szCs w:val="18"/>
              </w:rPr>
              <w:t>,</w:t>
            </w:r>
            <w:r w:rsidR="001B61D8">
              <w:rPr>
                <w:rFonts w:eastAsia="Arial" w:cs="Arial"/>
                <w:b/>
                <w:bCs/>
                <w:spacing w:val="1"/>
                <w:sz w:val="18"/>
                <w:szCs w:val="18"/>
              </w:rPr>
              <w:t>333</w:t>
            </w:r>
            <w:r>
              <w:rPr>
                <w:rFonts w:eastAsia="Arial" w:cs="Arial"/>
                <w:b/>
                <w:bCs/>
                <w:spacing w:val="-2"/>
                <w:sz w:val="18"/>
                <w:szCs w:val="18"/>
              </w:rPr>
              <w:t>,</w:t>
            </w:r>
            <w:r w:rsidR="001B61D8">
              <w:rPr>
                <w:rFonts w:eastAsia="Arial" w:cs="Arial"/>
                <w:b/>
                <w:bCs/>
                <w:spacing w:val="-2"/>
                <w:sz w:val="18"/>
                <w:szCs w:val="18"/>
              </w:rPr>
              <w:t>778</w:t>
            </w:r>
          </w:p>
        </w:tc>
        <w:tc>
          <w:tcPr>
            <w:tcW w:w="1275" w:type="dxa"/>
            <w:tcBorders>
              <w:top w:val="single" w:sz="4" w:space="0" w:color="auto"/>
              <w:bottom w:val="single" w:sz="8" w:space="0" w:color="auto"/>
            </w:tcBorders>
          </w:tcPr>
          <w:p w:rsidR="00EC2B3F" w:rsidRDefault="001B61D8" w:rsidP="002D7206">
            <w:pPr>
              <w:spacing w:before="51"/>
              <w:ind w:right="170"/>
              <w:jc w:val="right"/>
              <w:rPr>
                <w:rFonts w:eastAsia="Arial" w:cs="Arial"/>
                <w:sz w:val="18"/>
                <w:szCs w:val="18"/>
              </w:rPr>
            </w:pPr>
            <w:r>
              <w:rPr>
                <w:rFonts w:eastAsia="Arial" w:cs="Arial"/>
                <w:b/>
                <w:bCs/>
                <w:sz w:val="18"/>
                <w:szCs w:val="18"/>
              </w:rPr>
              <w:t>2</w:t>
            </w:r>
            <w:r w:rsidR="00EC2B3F">
              <w:rPr>
                <w:rFonts w:eastAsia="Arial" w:cs="Arial"/>
                <w:b/>
                <w:bCs/>
                <w:sz w:val="18"/>
                <w:szCs w:val="18"/>
              </w:rPr>
              <w:t>,</w:t>
            </w:r>
            <w:r>
              <w:rPr>
                <w:rFonts w:eastAsia="Arial" w:cs="Arial"/>
                <w:b/>
                <w:bCs/>
                <w:sz w:val="18"/>
                <w:szCs w:val="18"/>
              </w:rPr>
              <w:t>942</w:t>
            </w:r>
            <w:r w:rsidR="00EC2B3F">
              <w:rPr>
                <w:rFonts w:eastAsia="Arial" w:cs="Arial"/>
                <w:b/>
                <w:bCs/>
                <w:spacing w:val="-2"/>
                <w:sz w:val="18"/>
                <w:szCs w:val="18"/>
              </w:rPr>
              <w:t>,</w:t>
            </w:r>
            <w:r w:rsidR="00EC2B3F">
              <w:rPr>
                <w:rFonts w:eastAsia="Arial" w:cs="Arial"/>
                <w:b/>
                <w:bCs/>
                <w:spacing w:val="1"/>
                <w:sz w:val="18"/>
                <w:szCs w:val="18"/>
              </w:rPr>
              <w:t>9</w:t>
            </w:r>
            <w:r>
              <w:rPr>
                <w:rFonts w:eastAsia="Arial" w:cs="Arial"/>
                <w:b/>
                <w:bCs/>
                <w:spacing w:val="1"/>
                <w:sz w:val="18"/>
                <w:szCs w:val="18"/>
              </w:rPr>
              <w:t>05</w:t>
            </w:r>
          </w:p>
        </w:tc>
        <w:tc>
          <w:tcPr>
            <w:tcW w:w="3036" w:type="dxa"/>
            <w:tcBorders>
              <w:top w:val="single" w:sz="4" w:space="0" w:color="auto"/>
              <w:bottom w:val="single" w:sz="8" w:space="0" w:color="auto"/>
            </w:tcBorders>
          </w:tcPr>
          <w:p w:rsidR="00EC2B3F" w:rsidRDefault="00EC2B3F" w:rsidP="00EC2B3F">
            <w:pPr>
              <w:spacing w:before="51"/>
              <w:ind w:right="302"/>
              <w:jc w:val="right"/>
              <w:rPr>
                <w:rFonts w:eastAsia="Arial" w:cs="Arial"/>
                <w:sz w:val="18"/>
                <w:szCs w:val="18"/>
              </w:rPr>
            </w:pPr>
          </w:p>
        </w:tc>
        <w:tc>
          <w:tcPr>
            <w:tcW w:w="1032" w:type="dxa"/>
            <w:tcBorders>
              <w:top w:val="single" w:sz="4" w:space="0" w:color="auto"/>
              <w:bottom w:val="single" w:sz="8" w:space="0" w:color="auto"/>
            </w:tcBorders>
          </w:tcPr>
          <w:p w:rsidR="00EC2B3F" w:rsidRDefault="00EC2B3F" w:rsidP="002A18A8">
            <w:pPr>
              <w:spacing w:before="51"/>
              <w:ind w:right="284"/>
              <w:jc w:val="right"/>
              <w:rPr>
                <w:rFonts w:eastAsia="Arial" w:cs="Arial"/>
                <w:sz w:val="18"/>
                <w:szCs w:val="18"/>
              </w:rPr>
            </w:pPr>
            <w:r>
              <w:rPr>
                <w:rFonts w:eastAsia="Arial" w:cs="Arial"/>
                <w:b/>
                <w:bCs/>
                <w:spacing w:val="1"/>
                <w:sz w:val="18"/>
                <w:szCs w:val="18"/>
              </w:rPr>
              <w:t>62</w:t>
            </w:r>
            <w:r>
              <w:rPr>
                <w:rFonts w:eastAsia="Arial" w:cs="Arial"/>
                <w:b/>
                <w:bCs/>
                <w:sz w:val="18"/>
                <w:szCs w:val="18"/>
              </w:rPr>
              <w:t>.</w:t>
            </w:r>
            <w:r>
              <w:rPr>
                <w:rFonts w:eastAsia="Arial" w:cs="Arial"/>
                <w:b/>
                <w:bCs/>
                <w:spacing w:val="1"/>
                <w:sz w:val="18"/>
                <w:szCs w:val="18"/>
              </w:rPr>
              <w:t>80</w:t>
            </w:r>
          </w:p>
        </w:tc>
        <w:tc>
          <w:tcPr>
            <w:tcW w:w="1560" w:type="dxa"/>
            <w:tcBorders>
              <w:top w:val="single" w:sz="4" w:space="0" w:color="auto"/>
              <w:bottom w:val="single" w:sz="8" w:space="0" w:color="auto"/>
            </w:tcBorders>
          </w:tcPr>
          <w:p w:rsidR="00EC2B3F" w:rsidRDefault="00EC2B3F" w:rsidP="004A7A27">
            <w:pPr>
              <w:spacing w:before="51"/>
              <w:ind w:right="284"/>
              <w:jc w:val="right"/>
              <w:rPr>
                <w:rFonts w:eastAsia="Arial" w:cs="Arial"/>
                <w:sz w:val="18"/>
                <w:szCs w:val="18"/>
              </w:rPr>
            </w:pPr>
            <w:r>
              <w:rPr>
                <w:rFonts w:eastAsia="Arial" w:cs="Arial"/>
                <w:b/>
                <w:bCs/>
                <w:spacing w:val="1"/>
                <w:sz w:val="18"/>
                <w:szCs w:val="18"/>
              </w:rPr>
              <w:t>3</w:t>
            </w:r>
            <w:r>
              <w:rPr>
                <w:rFonts w:eastAsia="Arial" w:cs="Arial"/>
                <w:b/>
                <w:bCs/>
                <w:sz w:val="18"/>
                <w:szCs w:val="18"/>
              </w:rPr>
              <w:t>,</w:t>
            </w:r>
            <w:r>
              <w:rPr>
                <w:rFonts w:eastAsia="Arial" w:cs="Arial"/>
                <w:b/>
                <w:bCs/>
                <w:spacing w:val="1"/>
                <w:sz w:val="18"/>
                <w:szCs w:val="18"/>
              </w:rPr>
              <w:t>365</w:t>
            </w:r>
            <w:r>
              <w:rPr>
                <w:rFonts w:eastAsia="Arial" w:cs="Arial"/>
                <w:b/>
                <w:bCs/>
                <w:spacing w:val="-2"/>
                <w:sz w:val="18"/>
                <w:szCs w:val="18"/>
              </w:rPr>
              <w:t>,</w:t>
            </w:r>
            <w:r>
              <w:rPr>
                <w:rFonts w:eastAsia="Arial" w:cs="Arial"/>
                <w:b/>
                <w:bCs/>
                <w:spacing w:val="1"/>
                <w:sz w:val="18"/>
                <w:szCs w:val="18"/>
              </w:rPr>
              <w:t>962</w:t>
            </w:r>
          </w:p>
        </w:tc>
        <w:tc>
          <w:tcPr>
            <w:tcW w:w="1559" w:type="dxa"/>
            <w:tcBorders>
              <w:top w:val="single" w:sz="4" w:space="0" w:color="auto"/>
              <w:bottom w:val="single" w:sz="8" w:space="0" w:color="auto"/>
            </w:tcBorders>
          </w:tcPr>
          <w:p w:rsidR="00EC2B3F" w:rsidRDefault="00EC2B3F" w:rsidP="004A7A27">
            <w:pPr>
              <w:spacing w:before="51"/>
              <w:ind w:right="284"/>
              <w:jc w:val="right"/>
              <w:rPr>
                <w:rFonts w:eastAsia="Arial" w:cs="Arial"/>
                <w:sz w:val="18"/>
                <w:szCs w:val="18"/>
              </w:rPr>
            </w:pPr>
            <w:r>
              <w:rPr>
                <w:rFonts w:eastAsia="Arial" w:cs="Arial"/>
                <w:b/>
                <w:bCs/>
                <w:spacing w:val="1"/>
                <w:sz w:val="18"/>
                <w:szCs w:val="18"/>
              </w:rPr>
              <w:t>3</w:t>
            </w:r>
            <w:r>
              <w:rPr>
                <w:rFonts w:eastAsia="Arial" w:cs="Arial"/>
                <w:b/>
                <w:bCs/>
                <w:sz w:val="18"/>
                <w:szCs w:val="18"/>
              </w:rPr>
              <w:t>,</w:t>
            </w:r>
            <w:r>
              <w:rPr>
                <w:rFonts w:eastAsia="Arial" w:cs="Arial"/>
                <w:b/>
                <w:bCs/>
                <w:spacing w:val="1"/>
                <w:sz w:val="18"/>
                <w:szCs w:val="18"/>
              </w:rPr>
              <w:t>365</w:t>
            </w:r>
            <w:r>
              <w:rPr>
                <w:rFonts w:eastAsia="Arial" w:cs="Arial"/>
                <w:b/>
                <w:bCs/>
                <w:spacing w:val="-2"/>
                <w:sz w:val="18"/>
                <w:szCs w:val="18"/>
              </w:rPr>
              <w:t>,</w:t>
            </w:r>
            <w:r>
              <w:rPr>
                <w:rFonts w:eastAsia="Arial" w:cs="Arial"/>
                <w:b/>
                <w:bCs/>
                <w:spacing w:val="1"/>
                <w:sz w:val="18"/>
                <w:szCs w:val="18"/>
              </w:rPr>
              <w:t>962</w:t>
            </w:r>
          </w:p>
        </w:tc>
      </w:tr>
      <w:bookmarkEnd w:id="6"/>
    </w:tbl>
    <w:p w:rsidR="008134A5" w:rsidRPr="003F486D" w:rsidRDefault="008134A5" w:rsidP="008134A5"/>
    <w:p w:rsidR="008134A5" w:rsidRDefault="008134A5" w:rsidP="008134A5"/>
    <w:p w:rsidR="002A18A8" w:rsidRPr="003F486D" w:rsidRDefault="002A18A8" w:rsidP="008134A5"/>
    <w:p w:rsidR="008134A5" w:rsidRPr="002A18A8" w:rsidRDefault="008134A5" w:rsidP="008134A5">
      <w:pPr>
        <w:pStyle w:val="Endofdocument"/>
        <w:tabs>
          <w:tab w:val="decimal" w:pos="9071"/>
        </w:tabs>
        <w:ind w:right="-1"/>
        <w:jc w:val="right"/>
        <w:rPr>
          <w:rFonts w:ascii="Arial" w:hAnsi="Arial" w:cs="Arial"/>
          <w:sz w:val="20"/>
          <w:lang w:val="de-DE"/>
        </w:rPr>
      </w:pPr>
      <w:r w:rsidRPr="002A18A8">
        <w:rPr>
          <w:rFonts w:ascii="Arial" w:hAnsi="Arial"/>
          <w:snapToGrid w:val="0"/>
          <w:sz w:val="20"/>
          <w:lang w:val="de-DE"/>
        </w:rPr>
        <w:t>[Anhang IV folgt]</w:t>
      </w:r>
    </w:p>
    <w:p w:rsidR="008134A5" w:rsidRPr="003F486D" w:rsidRDefault="008134A5" w:rsidP="008134A5">
      <w:pPr>
        <w:rPr>
          <w:highlight w:val="cyan"/>
        </w:rPr>
      </w:pPr>
    </w:p>
    <w:p w:rsidR="008134A5" w:rsidRPr="003F486D" w:rsidRDefault="008134A5" w:rsidP="008134A5">
      <w:pPr>
        <w:rPr>
          <w:rFonts w:cs="Arial"/>
          <w:b/>
          <w:color w:val="0000FF"/>
          <w:highlight w:val="cyan"/>
        </w:rPr>
        <w:sectPr w:rsidR="008134A5" w:rsidRPr="003F486D" w:rsidSect="008134A5">
          <w:headerReference w:type="default" r:id="rId34"/>
          <w:headerReference w:type="first" r:id="rId35"/>
          <w:footerReference w:type="first" r:id="rId36"/>
          <w:pgSz w:w="11907" w:h="16840" w:code="9"/>
          <w:pgMar w:top="510" w:right="1134" w:bottom="1134" w:left="1134" w:header="510" w:footer="624" w:gutter="0"/>
          <w:pgNumType w:start="1"/>
          <w:cols w:space="720"/>
          <w:titlePg/>
        </w:sectPr>
      </w:pPr>
    </w:p>
    <w:p w:rsidR="008134A5" w:rsidRPr="003F486D" w:rsidRDefault="008134A5" w:rsidP="008134A5">
      <w:pPr>
        <w:jc w:val="center"/>
      </w:pPr>
      <w:r>
        <w:t>ANLAGE - ANHANG IV</w:t>
      </w:r>
    </w:p>
    <w:p w:rsidR="008134A5" w:rsidRPr="003F486D" w:rsidRDefault="008134A5" w:rsidP="008134A5">
      <w:pPr>
        <w:jc w:val="center"/>
      </w:pPr>
    </w:p>
    <w:p w:rsidR="008134A5" w:rsidRPr="003F486D" w:rsidRDefault="008134A5" w:rsidP="008134A5">
      <w:pPr>
        <w:jc w:val="center"/>
      </w:pPr>
    </w:p>
    <w:p w:rsidR="008134A5" w:rsidRPr="003F486D" w:rsidRDefault="008134A5" w:rsidP="008134A5">
      <w:pPr>
        <w:jc w:val="center"/>
      </w:pPr>
      <w:r w:rsidRPr="003F486D">
        <w:t>ERLÄUTERUNG DER HAUSHALTSTITEL</w:t>
      </w:r>
    </w:p>
    <w:p w:rsidR="008134A5" w:rsidRPr="003F486D" w:rsidRDefault="008134A5" w:rsidP="008134A5"/>
    <w:p w:rsidR="008134A5" w:rsidRPr="003F486D" w:rsidRDefault="008134A5" w:rsidP="008134A5"/>
    <w:p w:rsidR="008134A5" w:rsidRPr="0085092D" w:rsidRDefault="008134A5" w:rsidP="008134A5">
      <w:pPr>
        <w:jc w:val="center"/>
        <w:rPr>
          <w:b/>
          <w:szCs w:val="24"/>
        </w:rPr>
      </w:pPr>
      <w:r w:rsidRPr="0085092D">
        <w:rPr>
          <w:rStyle w:val="underline"/>
          <w:b/>
        </w:rPr>
        <w:t>Einnahmequellen</w:t>
      </w:r>
    </w:p>
    <w:p w:rsidR="008134A5" w:rsidRPr="003F486D" w:rsidRDefault="008134A5" w:rsidP="008134A5"/>
    <w:p w:rsidR="008134A5" w:rsidRPr="003F486D" w:rsidRDefault="008134A5" w:rsidP="008134A5">
      <w:pPr>
        <w:rPr>
          <w:rStyle w:val="underline"/>
          <w:b/>
          <w:i/>
        </w:rPr>
      </w:pPr>
      <w:r w:rsidRPr="003F486D">
        <w:rPr>
          <w:b/>
          <w:u w:val="single"/>
        </w:rPr>
        <w:t>Beiträge</w:t>
      </w:r>
    </w:p>
    <w:p w:rsidR="008134A5" w:rsidRPr="003F486D" w:rsidRDefault="008134A5" w:rsidP="008134A5"/>
    <w:p w:rsidR="008134A5" w:rsidRPr="003F486D" w:rsidRDefault="008134A5" w:rsidP="008134A5">
      <w:r w:rsidRPr="003F486D">
        <w:t>Beiträge der Verbandsmitglieder nach dem UPOV-Übereinkommen (Artikel 2</w:t>
      </w:r>
      <w:r>
        <w:t>9 der Akte von 1991 und Artikel </w:t>
      </w:r>
      <w:r w:rsidRPr="003F486D">
        <w:t>26 der Akte von 1978).</w:t>
      </w:r>
    </w:p>
    <w:p w:rsidR="008134A5" w:rsidRPr="003F486D" w:rsidRDefault="008134A5" w:rsidP="008134A5"/>
    <w:p w:rsidR="008134A5" w:rsidRPr="003F486D" w:rsidRDefault="008134A5" w:rsidP="008134A5">
      <w:pPr>
        <w:keepNext/>
        <w:spacing w:after="40"/>
        <w:rPr>
          <w:b/>
        </w:rPr>
      </w:pPr>
      <w:r w:rsidRPr="003F486D">
        <w:rPr>
          <w:b/>
        </w:rPr>
        <w:t>Einnahmen aus Veröffentlichungen</w:t>
      </w:r>
    </w:p>
    <w:p w:rsidR="008134A5" w:rsidRPr="003F486D" w:rsidRDefault="008134A5" w:rsidP="008134A5">
      <w:r w:rsidRPr="003F486D">
        <w:t>Einnahmen aus dem Verkauf von Veröffentlichungen und Produkten des Verbandsbüros.</w:t>
      </w:r>
    </w:p>
    <w:p w:rsidR="008134A5" w:rsidRPr="003F486D" w:rsidRDefault="008134A5" w:rsidP="008134A5"/>
    <w:p w:rsidR="008134A5" w:rsidRPr="003F486D" w:rsidRDefault="008134A5" w:rsidP="008134A5">
      <w:pPr>
        <w:keepNext/>
        <w:spacing w:after="40"/>
        <w:rPr>
          <w:b/>
        </w:rPr>
      </w:pPr>
      <w:r w:rsidRPr="003F486D">
        <w:rPr>
          <w:b/>
        </w:rPr>
        <w:t>Zinsertrag</w:t>
      </w:r>
    </w:p>
    <w:p w:rsidR="008134A5" w:rsidRPr="003F486D" w:rsidRDefault="008134A5" w:rsidP="008134A5">
      <w:r w:rsidRPr="003F486D">
        <w:t>Einnahmen aus der Verzinsung von Geldeinlagen.</w:t>
      </w:r>
    </w:p>
    <w:p w:rsidR="008134A5" w:rsidRPr="003F486D" w:rsidRDefault="008134A5" w:rsidP="008134A5"/>
    <w:p w:rsidR="008134A5" w:rsidRPr="003F486D" w:rsidRDefault="008134A5" w:rsidP="008134A5">
      <w:pPr>
        <w:keepNext/>
        <w:spacing w:after="40"/>
        <w:rPr>
          <w:b/>
        </w:rPr>
      </w:pPr>
      <w:r w:rsidRPr="003F486D">
        <w:rPr>
          <w:b/>
        </w:rPr>
        <w:t>Sonstige Einnahmen</w:t>
      </w:r>
    </w:p>
    <w:p w:rsidR="008134A5" w:rsidRPr="003F486D" w:rsidRDefault="008134A5" w:rsidP="008134A5">
      <w:r w:rsidRPr="003F486D">
        <w:t>Alle sonstigen, oben nicht beschriebenen Einnahmen, einschließlich Buchhaltungsberichtigungen (Gutschriften) aus früheren Jahren, Währungsanpassungen (Gutschriften) und Einnahmen zur Deckung von „Unterstützungskosten“ bezüglich außeretatmäßiger Tätigkeiten, die von der UPOV durchgeführt und aus Treuhandgeldern finanziert werden, Anteil der UPOV am gemeinsamen Einkommen der WIPO;</w:t>
      </w:r>
      <w:r w:rsidRPr="003F486D">
        <w:rPr>
          <w:snapToGrid w:val="0"/>
          <w:color w:val="000000"/>
        </w:rPr>
        <w:t xml:space="preserve"> nominale Einnahmen aus dem elektronischen System für die Einreichung von Anträgen (EAF).</w:t>
      </w:r>
    </w:p>
    <w:p w:rsidR="008134A5" w:rsidRPr="003F486D" w:rsidRDefault="008134A5" w:rsidP="008134A5"/>
    <w:p w:rsidR="008134A5" w:rsidRPr="003F486D" w:rsidRDefault="008134A5" w:rsidP="008134A5"/>
    <w:p w:rsidR="008134A5" w:rsidRPr="0085092D" w:rsidRDefault="008134A5" w:rsidP="008134A5">
      <w:pPr>
        <w:jc w:val="center"/>
        <w:rPr>
          <w:rStyle w:val="underline"/>
          <w:b/>
          <w:szCs w:val="24"/>
        </w:rPr>
      </w:pPr>
      <w:r w:rsidRPr="0085092D">
        <w:rPr>
          <w:rStyle w:val="underline"/>
          <w:b/>
        </w:rPr>
        <w:t>Ausgabenposten</w:t>
      </w:r>
    </w:p>
    <w:p w:rsidR="008134A5" w:rsidRPr="003F486D" w:rsidRDefault="008134A5" w:rsidP="008134A5">
      <w:pPr>
        <w:jc w:val="center"/>
      </w:pPr>
    </w:p>
    <w:p w:rsidR="008134A5" w:rsidRPr="003F486D" w:rsidRDefault="008134A5" w:rsidP="008134A5">
      <w:pPr>
        <w:rPr>
          <w:b/>
          <w:u w:val="single"/>
        </w:rPr>
      </w:pPr>
      <w:r w:rsidRPr="003F486D">
        <w:rPr>
          <w:b/>
          <w:u w:val="single"/>
        </w:rPr>
        <w:t>Personalkosten</w:t>
      </w:r>
    </w:p>
    <w:p w:rsidR="008134A5" w:rsidRPr="003F486D" w:rsidRDefault="008134A5" w:rsidP="008134A5"/>
    <w:p w:rsidR="008134A5" w:rsidRPr="003F486D" w:rsidRDefault="008134A5" w:rsidP="008134A5">
      <w:pPr>
        <w:keepNext/>
        <w:spacing w:after="40"/>
        <w:rPr>
          <w:b/>
        </w:rPr>
      </w:pPr>
      <w:r w:rsidRPr="003F486D">
        <w:rPr>
          <w:b/>
        </w:rPr>
        <w:t>Posten</w:t>
      </w:r>
    </w:p>
    <w:p w:rsidR="008134A5" w:rsidRPr="003F486D" w:rsidRDefault="008134A5" w:rsidP="008134A5">
      <w:r w:rsidRPr="003F486D">
        <w:t>Bezüge des Personals, insbesondere Gehälter, Ortszuschläge, Kinderbeihilfen, Sprachenzulagen und Überstunden, Nichtansässigkeitszuschläge, Postenzuschläge und Repräsentationszuschläge, sowie alle von den Mitarbeitern bezogenen Zulagen, die nicht in den Gehältern enthalten sind,</w:t>
      </w:r>
      <w:r>
        <w:t xml:space="preserve"> </w:t>
      </w:r>
      <w:r w:rsidRPr="003F486D">
        <w:t>insbesondere die Arbeitgeberbeiträge zur Pensionskasse, Beteiligung im Rahmen des Krankenversicherungssystems, Beitrag an die Entlassungsabfindung für die Deckung der Zahlungen im Falle des Ausscheidens aus dem Dienst, Studienbeihilfen, Umzugskosten, Reisekosten für unterhaltsberechtigte, in der Ausbildung befindliche Kinder, Heimaturlaub, Einrichtungsbeihilfen am Dienstort, Berufsunfallversicherungsprämien, Rückerstattung nationaler Einkommensteuern auf die vom Verbandsbüro gezahlten Gehälter, Zuschläge, Entschädigungen oder Beihilfen.</w:t>
      </w:r>
    </w:p>
    <w:p w:rsidR="008134A5" w:rsidRPr="003F486D" w:rsidRDefault="008134A5" w:rsidP="008134A5"/>
    <w:p w:rsidR="008134A5" w:rsidRDefault="008134A5" w:rsidP="008134A5">
      <w:pPr>
        <w:rPr>
          <w:b/>
        </w:rPr>
      </w:pPr>
      <w:r w:rsidRPr="000D2B81">
        <w:rPr>
          <w:b/>
        </w:rPr>
        <w:t>Bedienstete auf Zeit</w:t>
      </w:r>
    </w:p>
    <w:p w:rsidR="008134A5" w:rsidRPr="003F486D" w:rsidRDefault="008134A5" w:rsidP="008134A5">
      <w:r w:rsidRPr="003F486D">
        <w:t>Bezüge und Zulagen für Mitarbeiter in befristeter Anstellung.</w:t>
      </w:r>
    </w:p>
    <w:p w:rsidR="008134A5" w:rsidRPr="003F486D" w:rsidRDefault="008134A5" w:rsidP="008134A5"/>
    <w:p w:rsidR="008134A5" w:rsidRPr="003F486D" w:rsidRDefault="008134A5" w:rsidP="008134A5"/>
    <w:p w:rsidR="008134A5" w:rsidRPr="003F486D" w:rsidRDefault="008134A5" w:rsidP="008134A5">
      <w:pPr>
        <w:rPr>
          <w:b/>
          <w:u w:val="single"/>
        </w:rPr>
      </w:pPr>
      <w:r w:rsidRPr="003F486D">
        <w:rPr>
          <w:b/>
          <w:u w:val="single"/>
        </w:rPr>
        <w:t>Nichtpersonalkosten</w:t>
      </w:r>
    </w:p>
    <w:p w:rsidR="008134A5" w:rsidRPr="003F486D" w:rsidRDefault="008134A5" w:rsidP="008134A5">
      <w:pPr>
        <w:rPr>
          <w:b/>
          <w:u w:val="single"/>
        </w:rPr>
      </w:pPr>
    </w:p>
    <w:p w:rsidR="008134A5" w:rsidRPr="003F486D" w:rsidRDefault="008134A5" w:rsidP="008134A5">
      <w:pPr>
        <w:rPr>
          <w:rFonts w:cs="Arial"/>
          <w:b/>
          <w:bCs/>
        </w:rPr>
      </w:pPr>
      <w:r>
        <w:rPr>
          <w:rFonts w:cs="Arial"/>
          <w:b/>
          <w:bCs/>
        </w:rPr>
        <w:t>Praktika</w:t>
      </w:r>
      <w:r w:rsidRPr="003F486D">
        <w:rPr>
          <w:rFonts w:cs="Arial"/>
          <w:b/>
          <w:bCs/>
        </w:rPr>
        <w:t xml:space="preserve"> </w:t>
      </w:r>
      <w:r w:rsidRPr="003F486D">
        <w:rPr>
          <w:b/>
        </w:rPr>
        <w:t>und Stipendien</w:t>
      </w:r>
    </w:p>
    <w:p w:rsidR="008134A5" w:rsidRPr="003F486D" w:rsidRDefault="008134A5" w:rsidP="008134A5">
      <w:pPr>
        <w:rPr>
          <w:rFonts w:cs="Arial"/>
        </w:rPr>
      </w:pPr>
    </w:p>
    <w:p w:rsidR="008134A5" w:rsidRPr="003F486D" w:rsidRDefault="008134A5" w:rsidP="008134A5">
      <w:pPr>
        <w:rPr>
          <w:rFonts w:cs="Arial"/>
        </w:rPr>
      </w:pPr>
      <w:r>
        <w:rPr>
          <w:rFonts w:cs="Arial"/>
          <w:b/>
          <w:bCs/>
          <w:i/>
          <w:iCs/>
          <w:color w:val="000000"/>
        </w:rPr>
        <w:t>Praktika</w:t>
      </w:r>
      <w:r w:rsidRPr="003F486D">
        <w:rPr>
          <w:rFonts w:cs="Arial"/>
        </w:rPr>
        <w:t xml:space="preserve">: </w:t>
      </w:r>
      <w:r w:rsidRPr="00395187">
        <w:rPr>
          <w:rFonts w:cs="Arial"/>
        </w:rPr>
        <w:t>Bezüge und Zulagen für Praktikanten.</w:t>
      </w:r>
    </w:p>
    <w:p w:rsidR="008134A5" w:rsidRPr="003F486D" w:rsidRDefault="008134A5" w:rsidP="008134A5"/>
    <w:p w:rsidR="008134A5" w:rsidRPr="003F486D" w:rsidRDefault="008134A5" w:rsidP="008134A5">
      <w:pPr>
        <w:rPr>
          <w:rFonts w:cs="Arial"/>
        </w:rPr>
      </w:pPr>
      <w:r>
        <w:rPr>
          <w:rFonts w:cs="Arial"/>
          <w:b/>
          <w:bCs/>
          <w:i/>
          <w:iCs/>
          <w:color w:val="000000"/>
        </w:rPr>
        <w:t>Stipendien</w:t>
      </w:r>
      <w:r w:rsidRPr="003F486D">
        <w:rPr>
          <w:rFonts w:cs="Arial"/>
          <w:b/>
          <w:bCs/>
          <w:i/>
          <w:iCs/>
          <w:color w:val="000000"/>
        </w:rPr>
        <w:t>:</w:t>
      </w:r>
      <w:r w:rsidRPr="003F486D">
        <w:rPr>
          <w:rFonts w:cs="Arial"/>
          <w:b/>
          <w:bCs/>
          <w:i/>
          <w:iCs/>
        </w:rPr>
        <w:t xml:space="preserve"> </w:t>
      </w:r>
      <w:r w:rsidRPr="00395187">
        <w:rPr>
          <w:rFonts w:cs="Arial"/>
          <w:bCs/>
          <w:iCs/>
        </w:rPr>
        <w:t xml:space="preserve">Ausgaben in Verbindung mit einer Schulungsveranstaltung, die qualifizierten Personen einen geldlichen </w:t>
      </w:r>
      <w:proofErr w:type="spellStart"/>
      <w:r w:rsidRPr="00395187">
        <w:rPr>
          <w:rFonts w:cs="Arial"/>
          <w:bCs/>
          <w:iCs/>
        </w:rPr>
        <w:t>Zuschuß</w:t>
      </w:r>
      <w:proofErr w:type="spellEnd"/>
      <w:r w:rsidRPr="00395187">
        <w:rPr>
          <w:rFonts w:cs="Arial"/>
          <w:bCs/>
          <w:iCs/>
        </w:rPr>
        <w:t xml:space="preserve"> zum Erreichen spezieller</w:t>
      </w:r>
      <w:r>
        <w:rPr>
          <w:rFonts w:cs="Arial"/>
          <w:bCs/>
          <w:iCs/>
        </w:rPr>
        <w:t xml:space="preserve"> Lernziele zur Verfügung stellt.</w:t>
      </w:r>
    </w:p>
    <w:p w:rsidR="008134A5" w:rsidRDefault="008134A5" w:rsidP="008134A5">
      <w:pPr>
        <w:rPr>
          <w:b/>
          <w:u w:val="single"/>
        </w:rPr>
      </w:pPr>
    </w:p>
    <w:p w:rsidR="008134A5" w:rsidRPr="00CC1108" w:rsidRDefault="008134A5" w:rsidP="008134A5">
      <w:pPr>
        <w:rPr>
          <w:b/>
          <w:i/>
        </w:rPr>
      </w:pPr>
      <w:r w:rsidRPr="00CC1108">
        <w:rPr>
          <w:b/>
          <w:i/>
        </w:rPr>
        <w:t>Reisen, Ausbildung und Zuschüsse</w:t>
      </w:r>
    </w:p>
    <w:p w:rsidR="008134A5" w:rsidRPr="003F486D" w:rsidRDefault="008134A5" w:rsidP="008134A5">
      <w:pPr>
        <w:rPr>
          <w:b/>
          <w:u w:val="single"/>
        </w:rPr>
      </w:pPr>
    </w:p>
    <w:p w:rsidR="008134A5" w:rsidRPr="003F486D" w:rsidRDefault="008134A5" w:rsidP="008134A5">
      <w:pPr>
        <w:jc w:val="left"/>
        <w:rPr>
          <w:rFonts w:cs="Arial"/>
          <w:color w:val="000000"/>
        </w:rPr>
      </w:pPr>
      <w:r w:rsidRPr="003F486D">
        <w:rPr>
          <w:b/>
          <w:i/>
        </w:rPr>
        <w:t>Dienstreisen:</w:t>
      </w:r>
      <w:r>
        <w:rPr>
          <w:color w:val="000000"/>
        </w:rPr>
        <w:t xml:space="preserve"> </w:t>
      </w:r>
      <w:r w:rsidRPr="003F486D">
        <w:rPr>
          <w:color w:val="000000"/>
        </w:rPr>
        <w:t>Reisekosten und Tagegelder für alle Mitarbeiter auf Dienstreisen.</w:t>
      </w:r>
    </w:p>
    <w:p w:rsidR="008134A5" w:rsidRPr="003F486D" w:rsidRDefault="008134A5" w:rsidP="008134A5"/>
    <w:p w:rsidR="008134A5" w:rsidRPr="003F486D" w:rsidRDefault="008134A5" w:rsidP="008134A5">
      <w:pPr>
        <w:jc w:val="left"/>
        <w:rPr>
          <w:rFonts w:cs="Arial"/>
          <w:color w:val="000000"/>
        </w:rPr>
      </w:pPr>
      <w:r w:rsidRPr="003F486D">
        <w:rPr>
          <w:b/>
          <w:i/>
        </w:rPr>
        <w:t>Reisen Dritter:</w:t>
      </w:r>
      <w:r>
        <w:rPr>
          <w:color w:val="000000"/>
        </w:rPr>
        <w:t xml:space="preserve"> </w:t>
      </w:r>
      <w:r w:rsidRPr="003F486D">
        <w:rPr>
          <w:color w:val="000000"/>
        </w:rPr>
        <w:t xml:space="preserve">Reisekosten und Tagegelder für alle Dritten - z. B. nicht bei der UPOV beschäftigte Mitarbeiter. Dies </w:t>
      </w:r>
      <w:proofErr w:type="spellStart"/>
      <w:r w:rsidRPr="003F486D">
        <w:rPr>
          <w:color w:val="000000"/>
        </w:rPr>
        <w:t>umfaßt</w:t>
      </w:r>
      <w:proofErr w:type="spellEnd"/>
      <w:r w:rsidRPr="003F486D">
        <w:rPr>
          <w:color w:val="000000"/>
        </w:rPr>
        <w:t xml:space="preserve"> die Reisekosten von Regierungsbeamten, Teilnehmern und Referenten, die an von der UPOV finanzierten Tagungen teilnehmen.</w:t>
      </w:r>
    </w:p>
    <w:p w:rsidR="008134A5" w:rsidRPr="003F486D" w:rsidRDefault="008134A5" w:rsidP="008134A5">
      <w:pPr>
        <w:jc w:val="left"/>
        <w:rPr>
          <w:rFonts w:cs="Arial"/>
          <w:b/>
          <w:bCs/>
          <w:i/>
          <w:iCs/>
          <w:color w:val="000000"/>
        </w:rPr>
      </w:pPr>
    </w:p>
    <w:p w:rsidR="008134A5" w:rsidRPr="00790EEF" w:rsidRDefault="008134A5" w:rsidP="008134A5">
      <w:pPr>
        <w:jc w:val="left"/>
        <w:rPr>
          <w:rFonts w:cs="Arial"/>
          <w:b/>
          <w:bCs/>
          <w:i/>
          <w:iCs/>
          <w:color w:val="000000"/>
        </w:rPr>
      </w:pPr>
    </w:p>
    <w:p w:rsidR="008134A5" w:rsidRPr="003F486D" w:rsidRDefault="008134A5" w:rsidP="008134A5">
      <w:pPr>
        <w:jc w:val="left"/>
        <w:rPr>
          <w:rFonts w:cs="Arial"/>
        </w:rPr>
      </w:pPr>
      <w:r w:rsidRPr="00790EEF">
        <w:rPr>
          <w:rFonts w:cs="Arial"/>
          <w:b/>
          <w:bCs/>
          <w:i/>
          <w:iCs/>
          <w:color w:val="000000"/>
        </w:rPr>
        <w:t>Ausbildung und damit verbundene Reisezuschüsse</w:t>
      </w:r>
      <w:r w:rsidRPr="003F486D">
        <w:rPr>
          <w:rFonts w:cs="Arial"/>
          <w:color w:val="000000"/>
        </w:rPr>
        <w:t xml:space="preserve">: </w:t>
      </w:r>
      <w:r w:rsidRPr="003F486D">
        <w:rPr>
          <w:color w:val="000000"/>
        </w:rPr>
        <w:t>Reisekosten, Tagegelder sowie Ausbildungs- und sonstige Gebühren im Zusammenhang mit der Teilnahme von Auszubildenden an Lehrgängen und Seminaren, langfristige Stipendien</w:t>
      </w:r>
      <w:r w:rsidRPr="003F486D">
        <w:rPr>
          <w:rFonts w:cs="Arial"/>
          <w:color w:val="000000"/>
        </w:rPr>
        <w:t>.</w:t>
      </w:r>
      <w:r>
        <w:rPr>
          <w:rFonts w:cs="Arial"/>
          <w:color w:val="000000"/>
        </w:rPr>
        <w:t xml:space="preserve"> </w:t>
      </w:r>
    </w:p>
    <w:p w:rsidR="008134A5" w:rsidRPr="003F486D" w:rsidRDefault="008134A5" w:rsidP="008134A5"/>
    <w:p w:rsidR="008134A5" w:rsidRPr="003F486D" w:rsidRDefault="008134A5" w:rsidP="008134A5">
      <w:pPr>
        <w:keepNext/>
        <w:rPr>
          <w:b/>
        </w:rPr>
      </w:pPr>
      <w:r w:rsidRPr="003F486D">
        <w:rPr>
          <w:b/>
        </w:rPr>
        <w:t>Vertraglich vereinbarte Dienstleistungen</w:t>
      </w:r>
    </w:p>
    <w:p w:rsidR="008134A5" w:rsidRPr="003F486D" w:rsidRDefault="008134A5" w:rsidP="008134A5">
      <w:pPr>
        <w:keepNext/>
        <w:rPr>
          <w:b/>
          <w:u w:val="single"/>
        </w:rPr>
      </w:pPr>
    </w:p>
    <w:p w:rsidR="008134A5" w:rsidRPr="003F486D" w:rsidRDefault="008134A5" w:rsidP="008134A5">
      <w:pPr>
        <w:keepNext/>
        <w:keepLines/>
        <w:jc w:val="left"/>
        <w:rPr>
          <w:color w:val="000000"/>
          <w:szCs w:val="22"/>
        </w:rPr>
      </w:pPr>
      <w:r w:rsidRPr="003F486D">
        <w:rPr>
          <w:b/>
          <w:i/>
        </w:rPr>
        <w:t>Konferenzen</w:t>
      </w:r>
      <w:r w:rsidRPr="003F486D">
        <w:t>: Honorare, Reisekosten und Tagegelder für Dolmetscher, Anmietung von Konferenz</w:t>
      </w:r>
      <w:r>
        <w:t xml:space="preserve"> </w:t>
      </w:r>
      <w:r w:rsidRPr="003F486D">
        <w:t>und Simultanübersetzungsanlagen, Erfrischungen und Empfänge sowie die Kosten für alle sonstigen unmittelbar mit der Veranstaltung einer Konferenz verbundenen Dienste.</w:t>
      </w:r>
      <w:r w:rsidRPr="003F486D">
        <w:rPr>
          <w:color w:val="000000"/>
        </w:rPr>
        <w:t xml:space="preserve"> </w:t>
      </w:r>
    </w:p>
    <w:p w:rsidR="008134A5" w:rsidRPr="003F486D" w:rsidRDefault="008134A5" w:rsidP="008134A5"/>
    <w:p w:rsidR="008134A5" w:rsidRPr="003F486D" w:rsidRDefault="008134A5" w:rsidP="008134A5">
      <w:pPr>
        <w:rPr>
          <w:color w:val="000000"/>
          <w:szCs w:val="22"/>
        </w:rPr>
      </w:pPr>
      <w:r w:rsidRPr="003F486D">
        <w:rPr>
          <w:b/>
          <w:i/>
        </w:rPr>
        <w:t>Veröffentlichungen</w:t>
      </w:r>
      <w:r w:rsidRPr="003F486D">
        <w:t>: Druck und Binden extern: Fachzeitschriften: Papier und Druck, sonstige Druckarbeiten:</w:t>
      </w:r>
      <w:r>
        <w:rPr>
          <w:color w:val="000000"/>
        </w:rPr>
        <w:t xml:space="preserve"> </w:t>
      </w:r>
      <w:r w:rsidRPr="003F486D">
        <w:rPr>
          <w:color w:val="000000"/>
        </w:rPr>
        <w:t>Abdruck von in den Fachzeitschriften erschienenen Artikeln, Broschüren, Verträge, Sammlungen von Gesetzestexten, Handbücher, Arbeitsformulare und sonstiges gedrucktes Material, Herstellung von CD-ROM, Videofilmen, Tonbändern und sonstigen Formen der elektronischen Veröffentlichung.</w:t>
      </w:r>
    </w:p>
    <w:p w:rsidR="008134A5" w:rsidRPr="003F486D" w:rsidRDefault="008134A5" w:rsidP="008134A5"/>
    <w:p w:rsidR="008134A5" w:rsidRPr="003F486D" w:rsidRDefault="008134A5" w:rsidP="008134A5">
      <w:pPr>
        <w:rPr>
          <w:color w:val="000000"/>
          <w:szCs w:val="22"/>
        </w:rPr>
      </w:pPr>
      <w:r w:rsidRPr="003F486D">
        <w:rPr>
          <w:b/>
          <w:i/>
        </w:rPr>
        <w:t>Einzeln vertraglich vereinbarte Dienstleistungen:</w:t>
      </w:r>
      <w:r w:rsidRPr="003F486D">
        <w:t xml:space="preserve"> </w:t>
      </w:r>
      <w:r w:rsidRPr="003F486D">
        <w:rPr>
          <w:color w:val="000000"/>
        </w:rPr>
        <w:t>Honorare gemäß den einzeln vertraglich vereinbarten Dienstleistungen. Diese Kategorie wird auch den Etat für die Honorare von Sachverständigen beinhalten.</w:t>
      </w:r>
    </w:p>
    <w:p w:rsidR="008134A5" w:rsidRPr="003F486D" w:rsidRDefault="008134A5" w:rsidP="008134A5"/>
    <w:p w:rsidR="008134A5" w:rsidRPr="003F486D" w:rsidRDefault="008134A5" w:rsidP="008134A5">
      <w:pPr>
        <w:rPr>
          <w:color w:val="000000"/>
          <w:szCs w:val="22"/>
        </w:rPr>
      </w:pPr>
      <w:r w:rsidRPr="003F486D">
        <w:rPr>
          <w:b/>
          <w:i/>
          <w:color w:val="000000"/>
        </w:rPr>
        <w:t xml:space="preserve">Andere vertraglich vereinbarte Dienstleistungen: </w:t>
      </w:r>
      <w:r w:rsidRPr="003F486D">
        <w:rPr>
          <w:color w:val="000000"/>
        </w:rPr>
        <w:t>umfa</w:t>
      </w:r>
      <w:r>
        <w:rPr>
          <w:color w:val="000000"/>
        </w:rPr>
        <w:t>ss</w:t>
      </w:r>
      <w:r w:rsidRPr="003F486D">
        <w:rPr>
          <w:color w:val="000000"/>
        </w:rPr>
        <w:t>en alle anderen vertraglich vereinbarten Dienstleistungen sowohl mit kommerziellen als auch mit nicht kommerziellen Anbietern.</w:t>
      </w:r>
    </w:p>
    <w:p w:rsidR="008134A5" w:rsidRPr="003F486D" w:rsidRDefault="008134A5" w:rsidP="008134A5"/>
    <w:p w:rsidR="008134A5" w:rsidRPr="003F486D" w:rsidRDefault="008134A5" w:rsidP="008134A5">
      <w:pPr>
        <w:keepNext/>
        <w:rPr>
          <w:b/>
        </w:rPr>
      </w:pPr>
      <w:r w:rsidRPr="003F486D">
        <w:rPr>
          <w:b/>
        </w:rPr>
        <w:t>Betriebsaufwand</w:t>
      </w:r>
    </w:p>
    <w:p w:rsidR="008134A5" w:rsidRPr="003F486D" w:rsidRDefault="008134A5" w:rsidP="008134A5">
      <w:pPr>
        <w:keepNext/>
        <w:rPr>
          <w:b/>
          <w:u w:val="single"/>
        </w:rPr>
      </w:pPr>
    </w:p>
    <w:p w:rsidR="008134A5" w:rsidRPr="003F486D" w:rsidRDefault="008134A5" w:rsidP="008134A5">
      <w:pPr>
        <w:rPr>
          <w:color w:val="000000"/>
        </w:rPr>
      </w:pPr>
      <w:r w:rsidRPr="003F486D">
        <w:t xml:space="preserve">Alle Ausgaben aus dem Erwerb, der Anmietung, Verbesserung und Instandhaltung von Büroräumen und der Anmietung oder Wartung von Ausrüstungen und Mobiliar. </w:t>
      </w:r>
      <w:r w:rsidRPr="003F486D">
        <w:rPr>
          <w:color w:val="000000"/>
        </w:rPr>
        <w:t>Kosten für Nachrichtenverbindungen wie Fernsprechdienst, Telegramme, Fernschreiber, Faksimile und Postgebühren, Aufgabe und Beförderung von Dokumenten, sonstige Kosten wie medizinische Versorgung, Unterbringungsdienst, Verwaltungsgericht, Personalverband, Bewirtung, Bankgebühren, Zinsen für Bank- und andere Kredite (mit Ausnahme von Baukrediten), Währungsangleichungen (Lastschriften), Buchprüfungsgebühren, unvorhergesehene Ausgaben und Buchhaltungsberichtigungen (Lastschriften) für frühere Jahre, Beiträge an gemeinsame administrative Tätigkeiten im System der Vereinten Nationen sowie alle gemeinsamen Ausgaben, die entweder mit den gemeinsamen Tätigkeiten mit der WIPO oder den von der WIPO tatsächlich erbrachten Dienstleistungen verbunden sind.</w:t>
      </w:r>
    </w:p>
    <w:p w:rsidR="008134A5" w:rsidRPr="003F486D" w:rsidRDefault="008134A5" w:rsidP="008134A5">
      <w:pPr>
        <w:rPr>
          <w:rStyle w:val="underline"/>
          <w:b/>
        </w:rPr>
      </w:pPr>
    </w:p>
    <w:p w:rsidR="008134A5" w:rsidRPr="003F486D" w:rsidRDefault="008134A5" w:rsidP="008134A5">
      <w:pPr>
        <w:jc w:val="left"/>
        <w:rPr>
          <w:rFonts w:cs="Arial"/>
          <w:b/>
          <w:bCs/>
          <w:sz w:val="22"/>
          <w:szCs w:val="22"/>
        </w:rPr>
      </w:pPr>
      <w:r w:rsidRPr="003F486D">
        <w:rPr>
          <w:b/>
          <w:sz w:val="22"/>
        </w:rPr>
        <w:t>Betriebsausstattung und Bürobedarf</w:t>
      </w:r>
    </w:p>
    <w:p w:rsidR="008134A5" w:rsidRPr="003F486D" w:rsidRDefault="008134A5" w:rsidP="008134A5">
      <w:pPr>
        <w:rPr>
          <w:rFonts w:cs="Arial"/>
          <w:sz w:val="22"/>
          <w:szCs w:val="22"/>
        </w:rPr>
      </w:pPr>
    </w:p>
    <w:p w:rsidR="008134A5" w:rsidRPr="003F486D" w:rsidRDefault="008134A5" w:rsidP="008134A5">
      <w:pPr>
        <w:rPr>
          <w:rFonts w:cs="Arial"/>
          <w:color w:val="000000"/>
          <w:sz w:val="22"/>
          <w:szCs w:val="22"/>
        </w:rPr>
      </w:pPr>
      <w:r w:rsidRPr="003F486D">
        <w:rPr>
          <w:b/>
          <w:i/>
        </w:rPr>
        <w:t>Mobiliar und Gerät:</w:t>
      </w:r>
      <w:r w:rsidRPr="003F486D">
        <w:t xml:space="preserve"> Ankauf von Büromöbeln und Bürogeräten, Computerausstattung (Desktop Computer, Laptops, Drucker, Server usw.), Konferenzanlagen, Vervielfältigungsgeräte, Transportmittel.</w:t>
      </w:r>
    </w:p>
    <w:p w:rsidR="008134A5" w:rsidRPr="003F486D" w:rsidRDefault="008134A5" w:rsidP="008134A5"/>
    <w:p w:rsidR="008134A5" w:rsidRPr="003F486D" w:rsidRDefault="008134A5" w:rsidP="008134A5">
      <w:pPr>
        <w:rPr>
          <w:rFonts w:cs="Arial"/>
          <w:color w:val="000000"/>
          <w:sz w:val="22"/>
          <w:szCs w:val="22"/>
        </w:rPr>
      </w:pPr>
      <w:r w:rsidRPr="003F486D">
        <w:rPr>
          <w:b/>
          <w:i/>
        </w:rPr>
        <w:t>Bürobedarf und Material:</w:t>
      </w:r>
      <w:r w:rsidRPr="003F486D">
        <w:t xml:space="preserve"> Schreibpapier und Büromaterial, Material für die Vervielfältigung im Hause (Offset, Mikrofilme usw.), Bücher für die Bücherei und Bezug von Fachzeitschriften und regelmäßig erscheinenden Veröffentlichungen, Uniformen, Material für die Datenverarbeitung, Computersoftware und Lizenzen.</w:t>
      </w:r>
    </w:p>
    <w:p w:rsidR="008134A5" w:rsidRPr="003F486D" w:rsidRDefault="008134A5" w:rsidP="008134A5"/>
    <w:p w:rsidR="008134A5" w:rsidRPr="003F486D" w:rsidRDefault="008134A5" w:rsidP="008134A5"/>
    <w:p w:rsidR="008134A5" w:rsidRPr="0085092D" w:rsidRDefault="008134A5" w:rsidP="008134A5">
      <w:pPr>
        <w:jc w:val="center"/>
        <w:rPr>
          <w:rStyle w:val="underline"/>
          <w:b/>
          <w:szCs w:val="24"/>
        </w:rPr>
      </w:pPr>
      <w:r w:rsidRPr="0085092D">
        <w:rPr>
          <w:rStyle w:val="underline"/>
          <w:b/>
        </w:rPr>
        <w:t>Programm</w:t>
      </w:r>
    </w:p>
    <w:p w:rsidR="008134A5" w:rsidRPr="003F486D" w:rsidRDefault="008134A5" w:rsidP="008134A5">
      <w:pPr>
        <w:jc w:val="center"/>
      </w:pPr>
    </w:p>
    <w:p w:rsidR="008134A5" w:rsidRPr="003F486D" w:rsidRDefault="008134A5" w:rsidP="008134A5">
      <w:r w:rsidRPr="003F486D">
        <w:rPr>
          <w:b/>
        </w:rPr>
        <w:t>Hauptprogramm:</w:t>
      </w:r>
      <w:r>
        <w:t xml:space="preserve"> </w:t>
      </w:r>
      <w:r w:rsidRPr="003F486D">
        <w:t>Die UPOV besteht aus einem Hauptprogramm, das aufgestellt wurde, um die von ihrer Mitgliedschaft festgelegten Prioritäten zu verwirklichen. Seine übergreifenden Ziele sind nach Kategorien auf Ebene der Unterprogramme gegliedert.</w:t>
      </w:r>
    </w:p>
    <w:p w:rsidR="008134A5" w:rsidRPr="003F486D" w:rsidRDefault="008134A5" w:rsidP="008134A5"/>
    <w:p w:rsidR="008134A5" w:rsidRPr="003F486D" w:rsidRDefault="008134A5" w:rsidP="008134A5">
      <w:r w:rsidRPr="003F486D">
        <w:rPr>
          <w:b/>
        </w:rPr>
        <w:t>Unterprogramme:</w:t>
      </w:r>
      <w:r w:rsidRPr="003F486D">
        <w:t xml:space="preserve"> Das UPOV-Hauptprogramm ist in vier Unterprogramme (UV.1</w:t>
      </w:r>
      <w:r>
        <w:t>-</w:t>
      </w:r>
      <w:r w:rsidRPr="003F486D">
        <w:t>UV.4) gegliedert.</w:t>
      </w:r>
      <w:r>
        <w:t xml:space="preserve"> </w:t>
      </w:r>
      <w:r w:rsidRPr="003F486D">
        <w:t>Die Fortschritte in jedem Unterprogramm werden anhand zuvor festgelegter Ziele gemessen.</w:t>
      </w:r>
      <w:r>
        <w:t xml:space="preserve"> </w:t>
      </w:r>
      <w:r w:rsidRPr="003F486D">
        <w:t>Dieses Verfahren unterstützt die effiziente und kostenwirksame Verwendung der Mittel und die Aufrechterhaltung eines</w:t>
      </w:r>
      <w:r>
        <w:t xml:space="preserve"> Systems</w:t>
      </w:r>
      <w:r w:rsidRPr="003F486D">
        <w:t xml:space="preserve"> der Rechenschaftspflicht für die Umsetzung der Programme.</w:t>
      </w:r>
    </w:p>
    <w:p w:rsidR="008134A5" w:rsidRPr="003F486D" w:rsidRDefault="008134A5" w:rsidP="008134A5">
      <w:pPr>
        <w:pStyle w:val="endofdoc"/>
        <w:rPr>
          <w:snapToGrid w:val="0"/>
          <w:lang w:val="de-DE"/>
        </w:rPr>
      </w:pPr>
      <w:r w:rsidRPr="003F486D">
        <w:rPr>
          <w:lang w:val="de-DE"/>
        </w:rPr>
        <w:t>[Ende der Anlage und des Dokuments]</w:t>
      </w:r>
      <w:r w:rsidRPr="003F486D">
        <w:rPr>
          <w:snapToGrid w:val="0"/>
          <w:lang w:val="de-DE"/>
        </w:rPr>
        <w:t xml:space="preserve"> </w:t>
      </w:r>
    </w:p>
    <w:p w:rsidR="008134A5" w:rsidRPr="003F486D" w:rsidRDefault="008134A5" w:rsidP="008134A5">
      <w:pPr>
        <w:jc w:val="left"/>
        <w:rPr>
          <w:snapToGrid w:val="0"/>
        </w:rPr>
      </w:pPr>
    </w:p>
    <w:p w:rsidR="008134A5" w:rsidRPr="003F486D" w:rsidRDefault="008134A5" w:rsidP="008134A5">
      <w:pPr>
        <w:jc w:val="left"/>
      </w:pPr>
    </w:p>
    <w:p w:rsidR="00050E16" w:rsidRPr="00C5280D" w:rsidRDefault="00050E16" w:rsidP="008134A5">
      <w:pPr>
        <w:jc w:val="center"/>
      </w:pPr>
    </w:p>
    <w:sectPr w:rsidR="00050E16" w:rsidRPr="00C5280D" w:rsidSect="008134A5">
      <w:headerReference w:type="default" r:id="rId37"/>
      <w:pgSz w:w="11907" w:h="16840" w:code="9"/>
      <w:pgMar w:top="510" w:right="1134" w:bottom="1134" w:left="1134" w:header="510" w:footer="62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1FF" w:rsidRDefault="008061FF" w:rsidP="006655D3">
      <w:r>
        <w:separator/>
      </w:r>
    </w:p>
    <w:p w:rsidR="008061FF" w:rsidRDefault="008061FF" w:rsidP="006655D3"/>
    <w:p w:rsidR="008061FF" w:rsidRDefault="008061FF" w:rsidP="006655D3"/>
  </w:endnote>
  <w:endnote w:type="continuationSeparator" w:id="0">
    <w:p w:rsidR="008061FF" w:rsidRDefault="008061FF" w:rsidP="006655D3">
      <w:r>
        <w:separator/>
      </w:r>
    </w:p>
    <w:p w:rsidR="008061FF" w:rsidRPr="00294751" w:rsidRDefault="008061FF">
      <w:pPr>
        <w:pStyle w:val="Footer"/>
        <w:spacing w:after="60"/>
        <w:rPr>
          <w:sz w:val="18"/>
          <w:lang w:val="fr-FR"/>
        </w:rPr>
      </w:pPr>
      <w:r w:rsidRPr="00294751">
        <w:rPr>
          <w:sz w:val="18"/>
          <w:lang w:val="fr-FR"/>
        </w:rPr>
        <w:t>[Suite de la note de la page précédente]</w:t>
      </w:r>
    </w:p>
    <w:p w:rsidR="008061FF" w:rsidRPr="00294751" w:rsidRDefault="008061FF" w:rsidP="006655D3">
      <w:pPr>
        <w:rPr>
          <w:lang w:val="fr-FR"/>
        </w:rPr>
      </w:pPr>
    </w:p>
    <w:p w:rsidR="008061FF" w:rsidRPr="00294751" w:rsidRDefault="008061FF" w:rsidP="006655D3">
      <w:pPr>
        <w:rPr>
          <w:lang w:val="fr-FR"/>
        </w:rPr>
      </w:pPr>
    </w:p>
  </w:endnote>
  <w:endnote w:type="continuationNotice" w:id="1">
    <w:p w:rsidR="008061FF" w:rsidRPr="00294751" w:rsidRDefault="008061FF" w:rsidP="006655D3">
      <w:pPr>
        <w:rPr>
          <w:lang w:val="fr-FR"/>
        </w:rPr>
      </w:pPr>
      <w:r w:rsidRPr="00294751">
        <w:rPr>
          <w:lang w:val="fr-FR"/>
        </w:rPr>
        <w:t>[Suite de la note page suivante]</w:t>
      </w:r>
    </w:p>
    <w:p w:rsidR="008061FF" w:rsidRPr="00294751" w:rsidRDefault="008061FF" w:rsidP="006655D3">
      <w:pPr>
        <w:rPr>
          <w:lang w:val="fr-FR"/>
        </w:rPr>
      </w:pPr>
    </w:p>
    <w:p w:rsidR="008061FF" w:rsidRPr="00294751" w:rsidRDefault="008061FF"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1FF" w:rsidRDefault="008061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1FF" w:rsidRDefault="008061FF" w:rsidP="006655D3">
      <w:r>
        <w:separator/>
      </w:r>
    </w:p>
  </w:footnote>
  <w:footnote w:type="continuationSeparator" w:id="0">
    <w:p w:rsidR="008061FF" w:rsidRDefault="008061FF" w:rsidP="006655D3">
      <w:r>
        <w:separator/>
      </w:r>
    </w:p>
  </w:footnote>
  <w:footnote w:type="continuationNotice" w:id="1">
    <w:p w:rsidR="008061FF" w:rsidRPr="00AB530F" w:rsidRDefault="008061FF" w:rsidP="00AB530F">
      <w:pPr>
        <w:pStyle w:val="Footer"/>
      </w:pPr>
    </w:p>
  </w:footnote>
  <w:footnote w:id="2">
    <w:p w:rsidR="008061FF" w:rsidRDefault="008061FF" w:rsidP="008061FF">
      <w:pPr>
        <w:pStyle w:val="FootnoteText"/>
      </w:pPr>
      <w:r>
        <w:rPr>
          <w:rStyle w:val="FootnoteReference"/>
        </w:rPr>
        <w:footnoteRef/>
      </w:r>
      <w:r>
        <w:t xml:space="preserve"> </w:t>
      </w:r>
      <w:hyperlink r:id="rId1" w:history="1">
        <w:r w:rsidRPr="00802950">
          <w:rPr>
            <w:rStyle w:val="Hyperlink"/>
          </w:rPr>
          <w:t>http://www.upov.int/edocs/pubdocs/de/upov_pub_353.pdf</w:t>
        </w:r>
      </w:hyperlink>
      <w:r>
        <w:t xml:space="preserve"> </w:t>
      </w:r>
    </w:p>
  </w:footnote>
  <w:footnote w:id="3">
    <w:p w:rsidR="008061FF" w:rsidRPr="00CB1685" w:rsidRDefault="008061FF" w:rsidP="008061FF">
      <w:pPr>
        <w:pStyle w:val="FootnoteText"/>
      </w:pPr>
      <w:r>
        <w:rPr>
          <w:rStyle w:val="FootnoteReference"/>
        </w:rPr>
        <w:footnoteRef/>
      </w:r>
      <w:r>
        <w:t xml:space="preserve"> </w:t>
      </w:r>
      <w:r>
        <w:tab/>
        <w:t>(d.h. in</w:t>
      </w:r>
      <w:r w:rsidRPr="00CB1685">
        <w:t xml:space="preserve"> den Hoheitsgebieten der relevanten Staaten (die ehemalige jugoslawische Republik von Mazedonien, Peru, Serbien, Montenegro und die Vereinigte Republik Tansania) und </w:t>
      </w:r>
      <w:r>
        <w:t>das Gebiet, in dem</w:t>
      </w:r>
      <w:r w:rsidRPr="00CB1685">
        <w:t xml:space="preserve"> </w:t>
      </w:r>
      <w:r>
        <w:t xml:space="preserve">der </w:t>
      </w:r>
      <w:r w:rsidRPr="00417518">
        <w:t>Gründungsvertrag der OAPI gilt)</w:t>
      </w:r>
    </w:p>
  </w:footnote>
  <w:footnote w:id="4">
    <w:p w:rsidR="008061FF" w:rsidRPr="007B51EB" w:rsidRDefault="008061FF" w:rsidP="008061FF">
      <w:pPr>
        <w:pStyle w:val="FootnoteText"/>
      </w:pPr>
      <w:r w:rsidRPr="007B51EB">
        <w:rPr>
          <w:rStyle w:val="FootnoteReference"/>
        </w:rPr>
        <w:footnoteRef/>
      </w:r>
      <w:r w:rsidRPr="007B51EB">
        <w:t xml:space="preserve"> </w:t>
      </w:r>
      <w:r w:rsidRPr="007B51EB">
        <w:tab/>
        <w:t xml:space="preserve">Vergleiche Dokument C/50/17 </w:t>
      </w:r>
      <w:r>
        <w:t xml:space="preserve">„Report </w:t>
      </w:r>
      <w:proofErr w:type="spellStart"/>
      <w:r>
        <w:t>by</w:t>
      </w:r>
      <w:proofErr w:type="spellEnd"/>
      <w:r>
        <w:t xml:space="preserve"> </w:t>
      </w:r>
      <w:proofErr w:type="spellStart"/>
      <w:r>
        <w:t>the</w:t>
      </w:r>
      <w:proofErr w:type="spellEnd"/>
      <w:r>
        <w:t xml:space="preserve"> </w:t>
      </w:r>
      <w:proofErr w:type="spellStart"/>
      <w:r>
        <w:t>Vice-President</w:t>
      </w:r>
      <w:proofErr w:type="spellEnd"/>
      <w:r>
        <w:t xml:space="preserve"> on </w:t>
      </w:r>
      <w:proofErr w:type="spellStart"/>
      <w:r>
        <w:t>the</w:t>
      </w:r>
      <w:proofErr w:type="spellEnd"/>
      <w:r>
        <w:t xml:space="preserve"> </w:t>
      </w:r>
      <w:proofErr w:type="spellStart"/>
      <w:r>
        <w:t>work</w:t>
      </w:r>
      <w:proofErr w:type="spellEnd"/>
      <w:r>
        <w:t xml:space="preserve"> </w:t>
      </w:r>
      <w:proofErr w:type="spellStart"/>
      <w:r>
        <w:t>of</w:t>
      </w:r>
      <w:proofErr w:type="spellEnd"/>
      <w:r>
        <w:t xml:space="preserve"> </w:t>
      </w:r>
      <w:proofErr w:type="spellStart"/>
      <w:r>
        <w:t>the</w:t>
      </w:r>
      <w:proofErr w:type="spellEnd"/>
      <w:r>
        <w:t xml:space="preserve"> </w:t>
      </w:r>
      <w:proofErr w:type="spellStart"/>
      <w:r>
        <w:t>ninety-second</w:t>
      </w:r>
      <w:proofErr w:type="spellEnd"/>
      <w:r>
        <w:t xml:space="preserve"> </w:t>
      </w:r>
      <w:proofErr w:type="spellStart"/>
      <w:r>
        <w:t>session</w:t>
      </w:r>
      <w:proofErr w:type="spellEnd"/>
      <w:r>
        <w:t xml:space="preserve"> </w:t>
      </w:r>
      <w:proofErr w:type="spellStart"/>
      <w:r>
        <w:t>of</w:t>
      </w:r>
      <w:proofErr w:type="spellEnd"/>
      <w:r>
        <w:t xml:space="preserve"> </w:t>
      </w:r>
      <w:proofErr w:type="spellStart"/>
      <w:r>
        <w:t>the</w:t>
      </w:r>
      <w:proofErr w:type="spellEnd"/>
      <w:r>
        <w:t xml:space="preserve"> </w:t>
      </w:r>
      <w:proofErr w:type="spellStart"/>
      <w:r>
        <w:t>Consultative</w:t>
      </w:r>
      <w:proofErr w:type="spellEnd"/>
      <w:r>
        <w:t xml:space="preserve"> </w:t>
      </w:r>
      <w:proofErr w:type="spellStart"/>
      <w:r>
        <w:t>Committee</w:t>
      </w:r>
      <w:proofErr w:type="spellEnd"/>
      <w:r>
        <w:t xml:space="preserve">; </w:t>
      </w:r>
      <w:proofErr w:type="spellStart"/>
      <w:r>
        <w:t>adoption</w:t>
      </w:r>
      <w:proofErr w:type="spellEnd"/>
      <w:r>
        <w:t xml:space="preserve"> </w:t>
      </w:r>
      <w:proofErr w:type="spellStart"/>
      <w:r>
        <w:t>of</w:t>
      </w:r>
      <w:proofErr w:type="spellEnd"/>
      <w:r>
        <w:t xml:space="preserve"> </w:t>
      </w:r>
      <w:proofErr w:type="spellStart"/>
      <w:r>
        <w:t>recommendations</w:t>
      </w:r>
      <w:proofErr w:type="spellEnd"/>
      <w:r>
        <w:t xml:space="preserve">, </w:t>
      </w:r>
      <w:proofErr w:type="spellStart"/>
      <w:r>
        <w:t>if</w:t>
      </w:r>
      <w:proofErr w:type="spellEnd"/>
      <w:r>
        <w:t xml:space="preserve"> </w:t>
      </w:r>
      <w:proofErr w:type="spellStart"/>
      <w:r>
        <w:t>any</w:t>
      </w:r>
      <w:proofErr w:type="spellEnd"/>
      <w:r>
        <w:t xml:space="preserve">, </w:t>
      </w:r>
      <w:proofErr w:type="spellStart"/>
      <w:r>
        <w:t>prepared</w:t>
      </w:r>
      <w:proofErr w:type="spellEnd"/>
      <w:r>
        <w:t xml:space="preserve"> </w:t>
      </w:r>
      <w:proofErr w:type="spellStart"/>
      <w:r>
        <w:t>by</w:t>
      </w:r>
      <w:proofErr w:type="spellEnd"/>
      <w:r>
        <w:t xml:space="preserve"> </w:t>
      </w:r>
      <w:proofErr w:type="spellStart"/>
      <w:r>
        <w:t>that</w:t>
      </w:r>
      <w:proofErr w:type="spellEnd"/>
      <w:r>
        <w:t xml:space="preserve"> </w:t>
      </w:r>
      <w:proofErr w:type="spellStart"/>
      <w:r>
        <w:t>committee</w:t>
      </w:r>
      <w:proofErr w:type="spellEnd"/>
      <w:r>
        <w:t>“ (</w:t>
      </w:r>
      <w:r w:rsidRPr="007B51EB">
        <w:t xml:space="preserve">Bericht des Vizepräsidenten über die Arbeiten der zweiundneunzigsten Tagung des Beratenden Ausschusses; gegebenenfalls Annahme von Empfehlungen, die dieser </w:t>
      </w:r>
      <w:proofErr w:type="spellStart"/>
      <w:r w:rsidRPr="007B51EB">
        <w:t>Ausschuß</w:t>
      </w:r>
      <w:proofErr w:type="spellEnd"/>
      <w:r w:rsidRPr="007B51EB">
        <w:t xml:space="preserve"> ausgearbeitet hat</w:t>
      </w:r>
      <w:r>
        <w:t>)</w:t>
      </w:r>
      <w:r w:rsidRPr="007B51EB">
        <w:t>, Absatz 48.</w:t>
      </w:r>
    </w:p>
  </w:footnote>
  <w:footnote w:id="5">
    <w:p w:rsidR="008061FF" w:rsidRPr="00AD78B1" w:rsidRDefault="008061FF" w:rsidP="008061FF">
      <w:pPr>
        <w:pStyle w:val="FootnoteText"/>
      </w:pPr>
      <w:r>
        <w:rPr>
          <w:rStyle w:val="FootnoteReference"/>
        </w:rPr>
        <w:footnoteRef/>
      </w:r>
      <w:r w:rsidRPr="00AD78B1">
        <w:tab/>
        <w:t xml:space="preserve">Diese Beispiele für die </w:t>
      </w:r>
      <w:r>
        <w:t>Lage im Jahr 2016</w:t>
      </w:r>
      <w:r w:rsidRPr="00AD78B1">
        <w:t xml:space="preserve"> sollten nicht als spezifisches finanzielles Engagement oder eine Billigung</w:t>
      </w:r>
      <w:r>
        <w:t xml:space="preserve"> der Finanzen über das Jahr 2016</w:t>
      </w:r>
      <w:r w:rsidRPr="00AD78B1">
        <w:t xml:space="preserve"> hinaus ausgelegt werden.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1FF" w:rsidRPr="00C5280D" w:rsidRDefault="008061FF" w:rsidP="00EB048E">
    <w:pPr>
      <w:pStyle w:val="Header"/>
      <w:rPr>
        <w:rStyle w:val="PageNumber"/>
        <w:lang w:val="en-US"/>
      </w:rPr>
    </w:pPr>
    <w:r>
      <w:rPr>
        <w:rStyle w:val="PageNumber"/>
        <w:lang w:val="en-US"/>
      </w:rPr>
      <w:t>C/49/4</w:t>
    </w:r>
  </w:p>
  <w:p w:rsidR="008061FF" w:rsidRPr="00C5280D" w:rsidRDefault="008061FF" w:rsidP="00EB048E">
    <w:pPr>
      <w:pStyle w:val="Header"/>
      <w:rPr>
        <w:lang w:val="en-US"/>
      </w:rPr>
    </w:pPr>
    <w:proofErr w:type="spellStart"/>
    <w:r>
      <w:rPr>
        <w:lang w:val="en-US"/>
      </w:rPr>
      <w:t>Seite</w:t>
    </w:r>
    <w:proofErr w:type="spell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72905">
      <w:rPr>
        <w:rStyle w:val="PageNumber"/>
        <w:noProof/>
        <w:lang w:val="en-US"/>
      </w:rPr>
      <w:t>1</w:t>
    </w:r>
    <w:r w:rsidRPr="00C5280D">
      <w:rPr>
        <w:rStyle w:val="PageNumber"/>
        <w:lang w:val="en-US"/>
      </w:rPr>
      <w:fldChar w:fldCharType="end"/>
    </w:r>
  </w:p>
  <w:p w:rsidR="008061FF" w:rsidRPr="00C5280D" w:rsidRDefault="008061FF"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1FF" w:rsidRPr="00FE0119" w:rsidRDefault="00BB3D0F">
    <w:pPr>
      <w:pStyle w:val="Header"/>
      <w:rPr>
        <w:lang w:val="en-US"/>
      </w:rPr>
    </w:pPr>
    <w:r>
      <w:t xml:space="preserve">C/51/4 </w:t>
    </w:r>
    <w:proofErr w:type="spellStart"/>
    <w:r>
      <w:t>Rev</w:t>
    </w:r>
    <w:proofErr w:type="spellEnd"/>
    <w:r>
      <w:t>.</w:t>
    </w:r>
  </w:p>
  <w:p w:rsidR="008061FF" w:rsidRPr="00FE0119" w:rsidRDefault="008061FF">
    <w:pPr>
      <w:pStyle w:val="Header"/>
      <w:rPr>
        <w:lang w:val="en-US"/>
      </w:rPr>
    </w:pPr>
    <w:r>
      <w:rPr>
        <w:lang w:val="en-US"/>
      </w:rPr>
      <w:t>Anlage</w:t>
    </w:r>
    <w:r w:rsidRPr="00FE0119">
      <w:rPr>
        <w:lang w:val="en-US"/>
      </w:rPr>
      <w:t xml:space="preserve">, </w:t>
    </w:r>
    <w:proofErr w:type="spellStart"/>
    <w:r>
      <w:rPr>
        <w:lang w:val="en-US"/>
      </w:rPr>
      <w:t>Seite</w:t>
    </w:r>
    <w:proofErr w:type="spellEnd"/>
    <w:r w:rsidRPr="00FE0119">
      <w:rPr>
        <w:lang w:val="en-US"/>
      </w:rPr>
      <w:t xml:space="preserve"> </w:t>
    </w:r>
    <w:sdt>
      <w:sdtPr>
        <w:rPr>
          <w:lang w:val="en-US"/>
        </w:rPr>
        <w:id w:val="-1445834246"/>
        <w:docPartObj>
          <w:docPartGallery w:val="Page Numbers (Top of Page)"/>
          <w:docPartUnique/>
        </w:docPartObj>
      </w:sdtPr>
      <w:sdtEndPr>
        <w:rPr>
          <w:noProof/>
        </w:rPr>
      </w:sdtEndPr>
      <w:sdtContent>
        <w:r w:rsidRPr="00FE0119">
          <w:rPr>
            <w:lang w:val="en-US"/>
          </w:rPr>
          <w:fldChar w:fldCharType="begin"/>
        </w:r>
        <w:r w:rsidRPr="00FE0119">
          <w:rPr>
            <w:lang w:val="en-US"/>
          </w:rPr>
          <w:instrText xml:space="preserve"> PAGE   \* MERGEFORMAT </w:instrText>
        </w:r>
        <w:r w:rsidRPr="00FE0119">
          <w:rPr>
            <w:lang w:val="en-US"/>
          </w:rPr>
          <w:fldChar w:fldCharType="separate"/>
        </w:r>
        <w:r w:rsidR="00BB3D0F">
          <w:rPr>
            <w:noProof/>
            <w:lang w:val="en-US"/>
          </w:rPr>
          <w:t>31</w:t>
        </w:r>
        <w:r w:rsidRPr="00FE0119">
          <w:rPr>
            <w:noProof/>
            <w:lang w:val="en-US"/>
          </w:rPr>
          <w:fldChar w:fldCharType="end"/>
        </w:r>
      </w:sdtContent>
    </w:sdt>
  </w:p>
  <w:p w:rsidR="008061FF" w:rsidRPr="00FE0119" w:rsidRDefault="008061FF" w:rsidP="008134A5">
    <w:pPr>
      <w:pStyle w:val="Heade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1FF" w:rsidRDefault="00BB3D0F" w:rsidP="008134A5">
    <w:pPr>
      <w:jc w:val="center"/>
    </w:pPr>
    <w:r>
      <w:t xml:space="preserve">C/51/4 </w:t>
    </w:r>
    <w:proofErr w:type="spellStart"/>
    <w:r>
      <w:t>Rev</w:t>
    </w:r>
    <w:proofErr w:type="spellEnd"/>
    <w:r>
      <w:t>.</w:t>
    </w:r>
  </w:p>
  <w:p w:rsidR="008061FF" w:rsidRDefault="008061FF" w:rsidP="008134A5">
    <w:pP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1FF" w:rsidRPr="00C25CD4" w:rsidRDefault="00BB3D0F" w:rsidP="008134A5">
    <w:pPr>
      <w:jc w:val="center"/>
      <w:rPr>
        <w:lang w:val="fr-FR"/>
      </w:rPr>
    </w:pPr>
    <w:r>
      <w:rPr>
        <w:lang w:val="fr-FR"/>
      </w:rPr>
      <w:t xml:space="preserve">C/51/4 </w:t>
    </w:r>
    <w:proofErr w:type="spellStart"/>
    <w:r>
      <w:rPr>
        <w:lang w:val="fr-FR"/>
      </w:rPr>
      <w:t>Rev</w:t>
    </w:r>
    <w:proofErr w:type="spellEnd"/>
    <w:r>
      <w:rPr>
        <w:lang w:val="fr-FR"/>
      </w:rPr>
      <w:t>.</w:t>
    </w:r>
  </w:p>
  <w:p w:rsidR="008061FF" w:rsidRPr="00C25CD4" w:rsidRDefault="008061FF" w:rsidP="008134A5">
    <w:pPr>
      <w:jc w:val="center"/>
      <w:rPr>
        <w:lang w:val="fr-F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1FF" w:rsidRPr="000D2E14" w:rsidRDefault="00BB3D0F" w:rsidP="008134A5">
    <w:pPr>
      <w:jc w:val="center"/>
      <w:rPr>
        <w:lang w:val="fr-FR"/>
      </w:rPr>
    </w:pPr>
    <w:r>
      <w:rPr>
        <w:lang w:val="fr-FR"/>
      </w:rPr>
      <w:t xml:space="preserve">C/51/4 </w:t>
    </w:r>
    <w:proofErr w:type="spellStart"/>
    <w:r>
      <w:rPr>
        <w:lang w:val="fr-FR"/>
      </w:rPr>
      <w:t>Rev</w:t>
    </w:r>
    <w:proofErr w:type="spellEnd"/>
    <w:r>
      <w:rPr>
        <w:lang w:val="fr-FR"/>
      </w:rPr>
      <w:t>.</w:t>
    </w:r>
  </w:p>
  <w:p w:rsidR="008061FF" w:rsidRPr="000D2E14" w:rsidRDefault="008061FF" w:rsidP="008134A5">
    <w:pPr>
      <w:jc w:val="center"/>
      <w:rPr>
        <w:lang w:val="fr-FR"/>
      </w:rPr>
    </w:pPr>
  </w:p>
  <w:p w:rsidR="008061FF" w:rsidRPr="000D2E14" w:rsidRDefault="008061FF" w:rsidP="008134A5">
    <w:pPr>
      <w:jc w:val="center"/>
      <w:rPr>
        <w:lang w:val="fr-FR"/>
      </w:rPr>
    </w:pPr>
    <w:proofErr w:type="spellStart"/>
    <w:r>
      <w:rPr>
        <w:lang w:val="fr-FR"/>
      </w:rPr>
      <w:t>Anlage</w:t>
    </w:r>
    <w:proofErr w:type="spellEnd"/>
    <w:r w:rsidRPr="000D2E14">
      <w:rPr>
        <w:lang w:val="fr-FR"/>
      </w:rPr>
      <w:t xml:space="preserve"> – </w:t>
    </w:r>
    <w:proofErr w:type="spellStart"/>
    <w:r w:rsidRPr="000D2E14">
      <w:rPr>
        <w:lang w:val="fr-FR"/>
      </w:rPr>
      <w:t>A</w:t>
    </w:r>
    <w:r>
      <w:rPr>
        <w:lang w:val="fr-FR"/>
      </w:rPr>
      <w:t>nhang</w:t>
    </w:r>
    <w:proofErr w:type="spellEnd"/>
    <w:r w:rsidRPr="000D2E14">
      <w:rPr>
        <w:lang w:val="fr-FR"/>
      </w:rPr>
      <w:t xml:space="preserve"> III – </w:t>
    </w:r>
    <w:proofErr w:type="spellStart"/>
    <w:r>
      <w:rPr>
        <w:lang w:val="fr-FR"/>
      </w:rPr>
      <w:t>Seite</w:t>
    </w:r>
    <w:proofErr w:type="spellEnd"/>
    <w:r w:rsidRPr="000D2E14">
      <w:rPr>
        <w:lang w:val="fr-FR"/>
      </w:rPr>
      <w:t xml:space="preserve"> </w:t>
    </w:r>
    <w:r w:rsidRPr="000D2E14">
      <w:rPr>
        <w:lang w:val="fr-FR"/>
      </w:rPr>
      <w:fldChar w:fldCharType="begin"/>
    </w:r>
    <w:r w:rsidRPr="000D2E14">
      <w:rPr>
        <w:lang w:val="fr-FR"/>
      </w:rPr>
      <w:instrText xml:space="preserve"> PAGE   \* MERGEFORMAT </w:instrText>
    </w:r>
    <w:r w:rsidRPr="000D2E14">
      <w:rPr>
        <w:lang w:val="fr-FR"/>
      </w:rPr>
      <w:fldChar w:fldCharType="separate"/>
    </w:r>
    <w:r w:rsidR="00BB3D0F">
      <w:rPr>
        <w:noProof/>
        <w:lang w:val="fr-FR"/>
      </w:rPr>
      <w:t>2</w:t>
    </w:r>
    <w:r w:rsidRPr="000D2E14">
      <w:rPr>
        <w:noProof/>
        <w:lang w:val="fr-FR"/>
      </w:rPr>
      <w:fldChar w:fldCharType="end"/>
    </w:r>
  </w:p>
  <w:p w:rsidR="008061FF" w:rsidRPr="000D2E14" w:rsidRDefault="008061FF" w:rsidP="006655D3">
    <w:pPr>
      <w:rPr>
        <w:lang w:val="fr-F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1FF" w:rsidRPr="006E6F82" w:rsidRDefault="00BB3D0F" w:rsidP="008134A5">
    <w:pPr>
      <w:jc w:val="center"/>
      <w:rPr>
        <w:lang w:val="fr-FR"/>
      </w:rPr>
    </w:pPr>
    <w:r>
      <w:rPr>
        <w:lang w:val="fr-FR"/>
      </w:rPr>
      <w:t xml:space="preserve">C/51/4 </w:t>
    </w:r>
    <w:proofErr w:type="spellStart"/>
    <w:r>
      <w:rPr>
        <w:lang w:val="fr-FR"/>
      </w:rPr>
      <w:t>Rev</w:t>
    </w:r>
    <w:proofErr w:type="spellEnd"/>
    <w:r>
      <w:rPr>
        <w:lang w:val="fr-FR"/>
      </w:rPr>
      <w:t>.</w:t>
    </w:r>
  </w:p>
  <w:p w:rsidR="008061FF" w:rsidRPr="006E6F82" w:rsidRDefault="008061FF" w:rsidP="008134A5">
    <w:pPr>
      <w:jc w:val="center"/>
      <w:rPr>
        <w:lang w:val="fr-F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1FF" w:rsidRPr="00202E38" w:rsidRDefault="00BB3D0F" w:rsidP="00EB048E">
    <w:pPr>
      <w:pStyle w:val="Header"/>
      <w:rPr>
        <w:rStyle w:val="PageNumber"/>
      </w:rPr>
    </w:pPr>
    <w:r>
      <w:rPr>
        <w:rStyle w:val="PageNumber"/>
      </w:rPr>
      <w:t xml:space="preserve">C/51/4 </w:t>
    </w:r>
    <w:proofErr w:type="spellStart"/>
    <w:r>
      <w:rPr>
        <w:rStyle w:val="PageNumber"/>
      </w:rPr>
      <w:t>Rev</w:t>
    </w:r>
    <w:proofErr w:type="spellEnd"/>
    <w:r>
      <w:rPr>
        <w:rStyle w:val="PageNumber"/>
      </w:rPr>
      <w:t>.</w:t>
    </w:r>
  </w:p>
  <w:p w:rsidR="008061FF" w:rsidRPr="00202E38" w:rsidRDefault="008061FF" w:rsidP="00EB048E">
    <w:pPr>
      <w:pStyle w:val="Header"/>
    </w:pPr>
    <w:r>
      <w:t xml:space="preserve">Anlage – Anhang IV – </w:t>
    </w:r>
    <w:r w:rsidRPr="00202E38">
      <w:t xml:space="preserve">Seite </w:t>
    </w:r>
    <w:r w:rsidRPr="00202E38">
      <w:rPr>
        <w:rStyle w:val="PageNumber"/>
      </w:rPr>
      <w:fldChar w:fldCharType="begin"/>
    </w:r>
    <w:r w:rsidRPr="00202E38">
      <w:rPr>
        <w:rStyle w:val="PageNumber"/>
      </w:rPr>
      <w:instrText xml:space="preserve"> PAGE </w:instrText>
    </w:r>
    <w:r w:rsidRPr="00202E38">
      <w:rPr>
        <w:rStyle w:val="PageNumber"/>
      </w:rPr>
      <w:fldChar w:fldCharType="separate"/>
    </w:r>
    <w:r w:rsidR="00BB3D0F">
      <w:rPr>
        <w:rStyle w:val="PageNumber"/>
        <w:noProof/>
      </w:rPr>
      <w:t>2</w:t>
    </w:r>
    <w:r w:rsidRPr="00202E38">
      <w:rPr>
        <w:rStyle w:val="PageNumber"/>
      </w:rPr>
      <w:fldChar w:fldCharType="end"/>
    </w:r>
  </w:p>
  <w:p w:rsidR="008061FF" w:rsidRPr="00202E38" w:rsidRDefault="008061FF"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63F15"/>
    <w:multiLevelType w:val="hybridMultilevel"/>
    <w:tmpl w:val="7C4A9F90"/>
    <w:lvl w:ilvl="0" w:tplc="B8E6DD9E">
      <w:start w:val="1"/>
      <w:numFmt w:val="lowerRoman"/>
      <w:lvlText w:val="%1)"/>
      <w:lvlJc w:val="left"/>
      <w:pPr>
        <w:ind w:left="1287" w:hanging="360"/>
      </w:pPr>
      <w:rPr>
        <w:rFonts w:hint="default"/>
      </w:r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1">
    <w:nsid w:val="13A83AC8"/>
    <w:multiLevelType w:val="hybridMultilevel"/>
    <w:tmpl w:val="2AD0CA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92D170B"/>
    <w:multiLevelType w:val="hybridMultilevel"/>
    <w:tmpl w:val="0E02AB04"/>
    <w:lvl w:ilvl="0" w:tplc="1A20C26A">
      <w:start w:val="1"/>
      <w:numFmt w:val="lowerRoman"/>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FFB0B05"/>
    <w:multiLevelType w:val="hybridMultilevel"/>
    <w:tmpl w:val="952667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21A7FFC"/>
    <w:multiLevelType w:val="hybridMultilevel"/>
    <w:tmpl w:val="11A65C02"/>
    <w:lvl w:ilvl="0" w:tplc="1890D324">
      <w:start w:val="1"/>
      <w:numFmt w:val="lowerRoma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2E1587A"/>
    <w:multiLevelType w:val="hybridMultilevel"/>
    <w:tmpl w:val="53A08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2F12331"/>
    <w:multiLevelType w:val="hybridMultilevel"/>
    <w:tmpl w:val="1F686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9108DB"/>
    <w:multiLevelType w:val="hybridMultilevel"/>
    <w:tmpl w:val="EFDEB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DB7DD2"/>
    <w:multiLevelType w:val="hybridMultilevel"/>
    <w:tmpl w:val="8CF8AF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D043D6C"/>
    <w:multiLevelType w:val="hybridMultilevel"/>
    <w:tmpl w:val="3A0A1A4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nsid w:val="319B534E"/>
    <w:multiLevelType w:val="hybridMultilevel"/>
    <w:tmpl w:val="FD5C801E"/>
    <w:lvl w:ilvl="0" w:tplc="04090001">
      <w:start w:val="1"/>
      <w:numFmt w:val="bullet"/>
      <w:lvlText w:val=""/>
      <w:lvlJc w:val="left"/>
      <w:pPr>
        <w:tabs>
          <w:tab w:val="num" w:pos="1287"/>
        </w:tabs>
        <w:ind w:left="1287" w:hanging="360"/>
      </w:pPr>
      <w:rPr>
        <w:rFonts w:ascii="Symbol" w:hAnsi="Symbol" w:hint="default"/>
      </w:rPr>
    </w:lvl>
    <w:lvl w:ilvl="1" w:tplc="04090003">
      <w:start w:val="1"/>
      <w:numFmt w:val="bullet"/>
      <w:lvlText w:val="o"/>
      <w:lvlJc w:val="left"/>
      <w:pPr>
        <w:tabs>
          <w:tab w:val="num" w:pos="1583"/>
        </w:tabs>
        <w:ind w:left="1583" w:hanging="360"/>
      </w:pPr>
      <w:rPr>
        <w:rFonts w:ascii="Courier New" w:hAnsi="Courier New" w:cs="Courier New" w:hint="default"/>
      </w:rPr>
    </w:lvl>
    <w:lvl w:ilvl="2" w:tplc="04090005">
      <w:start w:val="1"/>
      <w:numFmt w:val="bullet"/>
      <w:lvlText w:val=""/>
      <w:lvlJc w:val="left"/>
      <w:pPr>
        <w:tabs>
          <w:tab w:val="num" w:pos="2303"/>
        </w:tabs>
        <w:ind w:left="2303" w:hanging="360"/>
      </w:pPr>
      <w:rPr>
        <w:rFonts w:ascii="Wingdings" w:hAnsi="Wingdings" w:hint="default"/>
      </w:rPr>
    </w:lvl>
    <w:lvl w:ilvl="3" w:tplc="04090001" w:tentative="1">
      <w:start w:val="1"/>
      <w:numFmt w:val="bullet"/>
      <w:lvlText w:val=""/>
      <w:lvlJc w:val="left"/>
      <w:pPr>
        <w:tabs>
          <w:tab w:val="num" w:pos="3023"/>
        </w:tabs>
        <w:ind w:left="3023" w:hanging="360"/>
      </w:pPr>
      <w:rPr>
        <w:rFonts w:ascii="Symbol" w:hAnsi="Symbol" w:hint="default"/>
      </w:rPr>
    </w:lvl>
    <w:lvl w:ilvl="4" w:tplc="04090003" w:tentative="1">
      <w:start w:val="1"/>
      <w:numFmt w:val="bullet"/>
      <w:lvlText w:val="o"/>
      <w:lvlJc w:val="left"/>
      <w:pPr>
        <w:tabs>
          <w:tab w:val="num" w:pos="3743"/>
        </w:tabs>
        <w:ind w:left="3743" w:hanging="360"/>
      </w:pPr>
      <w:rPr>
        <w:rFonts w:ascii="Courier New" w:hAnsi="Courier New" w:cs="Courier New" w:hint="default"/>
      </w:rPr>
    </w:lvl>
    <w:lvl w:ilvl="5" w:tplc="04090005" w:tentative="1">
      <w:start w:val="1"/>
      <w:numFmt w:val="bullet"/>
      <w:lvlText w:val=""/>
      <w:lvlJc w:val="left"/>
      <w:pPr>
        <w:tabs>
          <w:tab w:val="num" w:pos="4463"/>
        </w:tabs>
        <w:ind w:left="4463" w:hanging="360"/>
      </w:pPr>
      <w:rPr>
        <w:rFonts w:ascii="Wingdings" w:hAnsi="Wingdings" w:hint="default"/>
      </w:rPr>
    </w:lvl>
    <w:lvl w:ilvl="6" w:tplc="04090001" w:tentative="1">
      <w:start w:val="1"/>
      <w:numFmt w:val="bullet"/>
      <w:lvlText w:val=""/>
      <w:lvlJc w:val="left"/>
      <w:pPr>
        <w:tabs>
          <w:tab w:val="num" w:pos="5183"/>
        </w:tabs>
        <w:ind w:left="5183" w:hanging="360"/>
      </w:pPr>
      <w:rPr>
        <w:rFonts w:ascii="Symbol" w:hAnsi="Symbol" w:hint="default"/>
      </w:rPr>
    </w:lvl>
    <w:lvl w:ilvl="7" w:tplc="04090003" w:tentative="1">
      <w:start w:val="1"/>
      <w:numFmt w:val="bullet"/>
      <w:lvlText w:val="o"/>
      <w:lvlJc w:val="left"/>
      <w:pPr>
        <w:tabs>
          <w:tab w:val="num" w:pos="5903"/>
        </w:tabs>
        <w:ind w:left="5903" w:hanging="360"/>
      </w:pPr>
      <w:rPr>
        <w:rFonts w:ascii="Courier New" w:hAnsi="Courier New" w:cs="Courier New" w:hint="default"/>
      </w:rPr>
    </w:lvl>
    <w:lvl w:ilvl="8" w:tplc="04090005" w:tentative="1">
      <w:start w:val="1"/>
      <w:numFmt w:val="bullet"/>
      <w:lvlText w:val=""/>
      <w:lvlJc w:val="left"/>
      <w:pPr>
        <w:tabs>
          <w:tab w:val="num" w:pos="6623"/>
        </w:tabs>
        <w:ind w:left="6623" w:hanging="360"/>
      </w:pPr>
      <w:rPr>
        <w:rFonts w:ascii="Wingdings" w:hAnsi="Wingdings" w:hint="default"/>
      </w:rPr>
    </w:lvl>
  </w:abstractNum>
  <w:abstractNum w:abstractNumId="11">
    <w:nsid w:val="351B1D8A"/>
    <w:multiLevelType w:val="hybridMultilevel"/>
    <w:tmpl w:val="B548FD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F67A6F"/>
    <w:multiLevelType w:val="hybridMultilevel"/>
    <w:tmpl w:val="78C46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9386AE8"/>
    <w:multiLevelType w:val="hybridMultilevel"/>
    <w:tmpl w:val="57E20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DA110A6"/>
    <w:multiLevelType w:val="hybridMultilevel"/>
    <w:tmpl w:val="B12C5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781009"/>
    <w:multiLevelType w:val="hybridMultilevel"/>
    <w:tmpl w:val="B20861C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nsid w:val="49313078"/>
    <w:multiLevelType w:val="hybridMultilevel"/>
    <w:tmpl w:val="D0DC2ED4"/>
    <w:lvl w:ilvl="0" w:tplc="C9520966">
      <w:start w:val="1"/>
      <w:numFmt w:val="lowerRoma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D463A90"/>
    <w:multiLevelType w:val="hybridMultilevel"/>
    <w:tmpl w:val="F208B7FA"/>
    <w:lvl w:ilvl="0" w:tplc="84D68948">
      <w:start w:val="1"/>
      <w:numFmt w:val="bullet"/>
      <w:lvlText w:val="•"/>
      <w:lvlJc w:val="left"/>
      <w:pPr>
        <w:tabs>
          <w:tab w:val="num" w:pos="720"/>
        </w:tabs>
        <w:ind w:left="720" w:hanging="360"/>
      </w:pPr>
      <w:rPr>
        <w:rFonts w:ascii="Arial" w:hAnsi="Arial" w:hint="default"/>
      </w:rPr>
    </w:lvl>
    <w:lvl w:ilvl="1" w:tplc="2D7A03C0">
      <w:start w:val="1831"/>
      <w:numFmt w:val="bullet"/>
      <w:lvlText w:val="•"/>
      <w:lvlJc w:val="left"/>
      <w:pPr>
        <w:tabs>
          <w:tab w:val="num" w:pos="1440"/>
        </w:tabs>
        <w:ind w:left="1440" w:hanging="360"/>
      </w:pPr>
      <w:rPr>
        <w:rFonts w:ascii="Arial" w:hAnsi="Arial" w:hint="default"/>
      </w:rPr>
    </w:lvl>
    <w:lvl w:ilvl="2" w:tplc="2CCAB938" w:tentative="1">
      <w:start w:val="1"/>
      <w:numFmt w:val="bullet"/>
      <w:lvlText w:val="•"/>
      <w:lvlJc w:val="left"/>
      <w:pPr>
        <w:tabs>
          <w:tab w:val="num" w:pos="2160"/>
        </w:tabs>
        <w:ind w:left="2160" w:hanging="360"/>
      </w:pPr>
      <w:rPr>
        <w:rFonts w:ascii="Arial" w:hAnsi="Arial" w:hint="default"/>
      </w:rPr>
    </w:lvl>
    <w:lvl w:ilvl="3" w:tplc="22461C18" w:tentative="1">
      <w:start w:val="1"/>
      <w:numFmt w:val="bullet"/>
      <w:lvlText w:val="•"/>
      <w:lvlJc w:val="left"/>
      <w:pPr>
        <w:tabs>
          <w:tab w:val="num" w:pos="2880"/>
        </w:tabs>
        <w:ind w:left="2880" w:hanging="360"/>
      </w:pPr>
      <w:rPr>
        <w:rFonts w:ascii="Arial" w:hAnsi="Arial" w:hint="default"/>
      </w:rPr>
    </w:lvl>
    <w:lvl w:ilvl="4" w:tplc="40789B2E" w:tentative="1">
      <w:start w:val="1"/>
      <w:numFmt w:val="bullet"/>
      <w:lvlText w:val="•"/>
      <w:lvlJc w:val="left"/>
      <w:pPr>
        <w:tabs>
          <w:tab w:val="num" w:pos="3600"/>
        </w:tabs>
        <w:ind w:left="3600" w:hanging="360"/>
      </w:pPr>
      <w:rPr>
        <w:rFonts w:ascii="Arial" w:hAnsi="Arial" w:hint="default"/>
      </w:rPr>
    </w:lvl>
    <w:lvl w:ilvl="5" w:tplc="A7ACDC38" w:tentative="1">
      <w:start w:val="1"/>
      <w:numFmt w:val="bullet"/>
      <w:lvlText w:val="•"/>
      <w:lvlJc w:val="left"/>
      <w:pPr>
        <w:tabs>
          <w:tab w:val="num" w:pos="4320"/>
        </w:tabs>
        <w:ind w:left="4320" w:hanging="360"/>
      </w:pPr>
      <w:rPr>
        <w:rFonts w:ascii="Arial" w:hAnsi="Arial" w:hint="default"/>
      </w:rPr>
    </w:lvl>
    <w:lvl w:ilvl="6" w:tplc="DC96E138" w:tentative="1">
      <w:start w:val="1"/>
      <w:numFmt w:val="bullet"/>
      <w:lvlText w:val="•"/>
      <w:lvlJc w:val="left"/>
      <w:pPr>
        <w:tabs>
          <w:tab w:val="num" w:pos="5040"/>
        </w:tabs>
        <w:ind w:left="5040" w:hanging="360"/>
      </w:pPr>
      <w:rPr>
        <w:rFonts w:ascii="Arial" w:hAnsi="Arial" w:hint="default"/>
      </w:rPr>
    </w:lvl>
    <w:lvl w:ilvl="7" w:tplc="AD566856" w:tentative="1">
      <w:start w:val="1"/>
      <w:numFmt w:val="bullet"/>
      <w:lvlText w:val="•"/>
      <w:lvlJc w:val="left"/>
      <w:pPr>
        <w:tabs>
          <w:tab w:val="num" w:pos="5760"/>
        </w:tabs>
        <w:ind w:left="5760" w:hanging="360"/>
      </w:pPr>
      <w:rPr>
        <w:rFonts w:ascii="Arial" w:hAnsi="Arial" w:hint="default"/>
      </w:rPr>
    </w:lvl>
    <w:lvl w:ilvl="8" w:tplc="23CEEB6C" w:tentative="1">
      <w:start w:val="1"/>
      <w:numFmt w:val="bullet"/>
      <w:lvlText w:val="•"/>
      <w:lvlJc w:val="left"/>
      <w:pPr>
        <w:tabs>
          <w:tab w:val="num" w:pos="6480"/>
        </w:tabs>
        <w:ind w:left="6480" w:hanging="360"/>
      </w:pPr>
      <w:rPr>
        <w:rFonts w:ascii="Arial" w:hAnsi="Arial" w:hint="default"/>
      </w:rPr>
    </w:lvl>
  </w:abstractNum>
  <w:abstractNum w:abstractNumId="18">
    <w:nsid w:val="59530B29"/>
    <w:multiLevelType w:val="hybridMultilevel"/>
    <w:tmpl w:val="E36060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6D11C2F"/>
    <w:multiLevelType w:val="hybridMultilevel"/>
    <w:tmpl w:val="8508FE3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nsid w:val="6FC06FFE"/>
    <w:multiLevelType w:val="multilevel"/>
    <w:tmpl w:val="52DAF328"/>
    <w:lvl w:ilvl="0">
      <w:start w:val="2"/>
      <w:numFmt w:val="decimal"/>
      <w:lvlText w:val="%1"/>
      <w:lvlJc w:val="left"/>
      <w:pPr>
        <w:ind w:left="444" w:hanging="444"/>
      </w:pPr>
      <w:rPr>
        <w:rFonts w:hint="default"/>
      </w:rPr>
    </w:lvl>
    <w:lvl w:ilvl="1">
      <w:start w:val="3"/>
      <w:numFmt w:val="decimal"/>
      <w:lvlText w:val="%1.%2"/>
      <w:lvlJc w:val="left"/>
      <w:pPr>
        <w:ind w:left="444" w:hanging="444"/>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B507067"/>
    <w:multiLevelType w:val="hybridMultilevel"/>
    <w:tmpl w:val="EB581F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E9330FA"/>
    <w:multiLevelType w:val="hybridMultilevel"/>
    <w:tmpl w:val="48B49E1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1"/>
  </w:num>
  <w:num w:numId="2">
    <w:abstractNumId w:val="12"/>
  </w:num>
  <w:num w:numId="3">
    <w:abstractNumId w:val="3"/>
  </w:num>
  <w:num w:numId="4">
    <w:abstractNumId w:val="1"/>
  </w:num>
  <w:num w:numId="5">
    <w:abstractNumId w:val="5"/>
  </w:num>
  <w:num w:numId="6">
    <w:abstractNumId w:val="13"/>
  </w:num>
  <w:num w:numId="7">
    <w:abstractNumId w:val="8"/>
  </w:num>
  <w:num w:numId="8">
    <w:abstractNumId w:val="18"/>
  </w:num>
  <w:num w:numId="9">
    <w:abstractNumId w:val="21"/>
  </w:num>
  <w:num w:numId="10">
    <w:abstractNumId w:val="4"/>
  </w:num>
  <w:num w:numId="11">
    <w:abstractNumId w:val="2"/>
  </w:num>
  <w:num w:numId="12">
    <w:abstractNumId w:val="16"/>
  </w:num>
  <w:num w:numId="13">
    <w:abstractNumId w:val="15"/>
  </w:num>
  <w:num w:numId="14">
    <w:abstractNumId w:val="7"/>
  </w:num>
  <w:num w:numId="15">
    <w:abstractNumId w:val="19"/>
  </w:num>
  <w:num w:numId="16">
    <w:abstractNumId w:val="10"/>
  </w:num>
  <w:num w:numId="17">
    <w:abstractNumId w:val="17"/>
  </w:num>
  <w:num w:numId="18">
    <w:abstractNumId w:val="9"/>
  </w:num>
  <w:num w:numId="19">
    <w:abstractNumId w:val="6"/>
  </w:num>
  <w:num w:numId="20">
    <w:abstractNumId w:val="22"/>
  </w:num>
  <w:num w:numId="21">
    <w:abstractNumId w:val="14"/>
  </w:num>
  <w:num w:numId="22">
    <w:abstractNumId w:val="2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188"/>
    <w:rsid w:val="00010CF3"/>
    <w:rsid w:val="00011E27"/>
    <w:rsid w:val="000148BC"/>
    <w:rsid w:val="00024AB8"/>
    <w:rsid w:val="00030854"/>
    <w:rsid w:val="00036028"/>
    <w:rsid w:val="00044642"/>
    <w:rsid w:val="000446B9"/>
    <w:rsid w:val="00047E21"/>
    <w:rsid w:val="00050E16"/>
    <w:rsid w:val="00083093"/>
    <w:rsid w:val="00085505"/>
    <w:rsid w:val="000949EE"/>
    <w:rsid w:val="000B77A1"/>
    <w:rsid w:val="000C4E25"/>
    <w:rsid w:val="000C7021"/>
    <w:rsid w:val="000D6BBC"/>
    <w:rsid w:val="000D7780"/>
    <w:rsid w:val="000E636A"/>
    <w:rsid w:val="000F2F11"/>
    <w:rsid w:val="00105929"/>
    <w:rsid w:val="00110C36"/>
    <w:rsid w:val="001131D5"/>
    <w:rsid w:val="00141DB8"/>
    <w:rsid w:val="00172084"/>
    <w:rsid w:val="0017474A"/>
    <w:rsid w:val="001758C6"/>
    <w:rsid w:val="001777EA"/>
    <w:rsid w:val="00182B99"/>
    <w:rsid w:val="001A738B"/>
    <w:rsid w:val="001B61D8"/>
    <w:rsid w:val="00202E38"/>
    <w:rsid w:val="00205BB8"/>
    <w:rsid w:val="0021332C"/>
    <w:rsid w:val="00213982"/>
    <w:rsid w:val="0024416D"/>
    <w:rsid w:val="002464A3"/>
    <w:rsid w:val="00262AA4"/>
    <w:rsid w:val="00271911"/>
    <w:rsid w:val="002800A0"/>
    <w:rsid w:val="002801B3"/>
    <w:rsid w:val="00281060"/>
    <w:rsid w:val="002939A5"/>
    <w:rsid w:val="002940E8"/>
    <w:rsid w:val="00294751"/>
    <w:rsid w:val="002A18A8"/>
    <w:rsid w:val="002A6E50"/>
    <w:rsid w:val="002B4298"/>
    <w:rsid w:val="002C256A"/>
    <w:rsid w:val="002C579F"/>
    <w:rsid w:val="002D7206"/>
    <w:rsid w:val="00305A7F"/>
    <w:rsid w:val="003152FE"/>
    <w:rsid w:val="00327436"/>
    <w:rsid w:val="00344BD6"/>
    <w:rsid w:val="0035528D"/>
    <w:rsid w:val="00361821"/>
    <w:rsid w:val="00361E9E"/>
    <w:rsid w:val="00376C5F"/>
    <w:rsid w:val="003B031A"/>
    <w:rsid w:val="003B35DE"/>
    <w:rsid w:val="003B442C"/>
    <w:rsid w:val="003C7FBE"/>
    <w:rsid w:val="003D227C"/>
    <w:rsid w:val="003D2B4D"/>
    <w:rsid w:val="003E7E04"/>
    <w:rsid w:val="0040557F"/>
    <w:rsid w:val="00434B39"/>
    <w:rsid w:val="004403A1"/>
    <w:rsid w:val="00444A88"/>
    <w:rsid w:val="00474DA4"/>
    <w:rsid w:val="00476B4D"/>
    <w:rsid w:val="004805FA"/>
    <w:rsid w:val="004927A3"/>
    <w:rsid w:val="004935D2"/>
    <w:rsid w:val="004A1190"/>
    <w:rsid w:val="004A7A27"/>
    <w:rsid w:val="004B1215"/>
    <w:rsid w:val="004D047D"/>
    <w:rsid w:val="004F1E9E"/>
    <w:rsid w:val="004F305A"/>
    <w:rsid w:val="00500899"/>
    <w:rsid w:val="00512164"/>
    <w:rsid w:val="00520297"/>
    <w:rsid w:val="00521042"/>
    <w:rsid w:val="005338F9"/>
    <w:rsid w:val="005370F3"/>
    <w:rsid w:val="0054281C"/>
    <w:rsid w:val="00544581"/>
    <w:rsid w:val="00545E42"/>
    <w:rsid w:val="0055268D"/>
    <w:rsid w:val="00576BE4"/>
    <w:rsid w:val="005A400A"/>
    <w:rsid w:val="005F7B92"/>
    <w:rsid w:val="00601779"/>
    <w:rsid w:val="00612379"/>
    <w:rsid w:val="006153B6"/>
    <w:rsid w:val="0061555F"/>
    <w:rsid w:val="00636CA6"/>
    <w:rsid w:val="00641200"/>
    <w:rsid w:val="00645CA8"/>
    <w:rsid w:val="0065787F"/>
    <w:rsid w:val="006655D3"/>
    <w:rsid w:val="00667404"/>
    <w:rsid w:val="00672905"/>
    <w:rsid w:val="00682437"/>
    <w:rsid w:val="00687EB4"/>
    <w:rsid w:val="00695C56"/>
    <w:rsid w:val="006A5CDE"/>
    <w:rsid w:val="006A644A"/>
    <w:rsid w:val="006B17D2"/>
    <w:rsid w:val="006C224E"/>
    <w:rsid w:val="006D332A"/>
    <w:rsid w:val="006D780A"/>
    <w:rsid w:val="006F058B"/>
    <w:rsid w:val="006F2B50"/>
    <w:rsid w:val="0071271E"/>
    <w:rsid w:val="00732DEC"/>
    <w:rsid w:val="00735BD5"/>
    <w:rsid w:val="00751613"/>
    <w:rsid w:val="007556F6"/>
    <w:rsid w:val="00760EEF"/>
    <w:rsid w:val="00777EE5"/>
    <w:rsid w:val="00784836"/>
    <w:rsid w:val="0079023E"/>
    <w:rsid w:val="007A2854"/>
    <w:rsid w:val="007B43E6"/>
    <w:rsid w:val="007C1D92"/>
    <w:rsid w:val="007C4CB9"/>
    <w:rsid w:val="007C595A"/>
    <w:rsid w:val="007D0B9D"/>
    <w:rsid w:val="007D11E5"/>
    <w:rsid w:val="007D1211"/>
    <w:rsid w:val="007D19B0"/>
    <w:rsid w:val="007F498F"/>
    <w:rsid w:val="008061FF"/>
    <w:rsid w:val="0080679D"/>
    <w:rsid w:val="008108B0"/>
    <w:rsid w:val="00811B20"/>
    <w:rsid w:val="008134A5"/>
    <w:rsid w:val="008211B5"/>
    <w:rsid w:val="0082296E"/>
    <w:rsid w:val="00824099"/>
    <w:rsid w:val="00825BFE"/>
    <w:rsid w:val="00833054"/>
    <w:rsid w:val="00846D7C"/>
    <w:rsid w:val="0085092D"/>
    <w:rsid w:val="00860C04"/>
    <w:rsid w:val="00864C55"/>
    <w:rsid w:val="00867AC1"/>
    <w:rsid w:val="00871270"/>
    <w:rsid w:val="00872188"/>
    <w:rsid w:val="00890DF8"/>
    <w:rsid w:val="008A743F"/>
    <w:rsid w:val="008C0970"/>
    <w:rsid w:val="008D0BC5"/>
    <w:rsid w:val="008D2CF7"/>
    <w:rsid w:val="008E11E7"/>
    <w:rsid w:val="00900C26"/>
    <w:rsid w:val="0090197F"/>
    <w:rsid w:val="00906DDC"/>
    <w:rsid w:val="00907043"/>
    <w:rsid w:val="00926645"/>
    <w:rsid w:val="00934E09"/>
    <w:rsid w:val="00936253"/>
    <w:rsid w:val="00940D46"/>
    <w:rsid w:val="00952DD4"/>
    <w:rsid w:val="0096246F"/>
    <w:rsid w:val="00965AE7"/>
    <w:rsid w:val="00970FED"/>
    <w:rsid w:val="00983BBD"/>
    <w:rsid w:val="00992D82"/>
    <w:rsid w:val="00997029"/>
    <w:rsid w:val="009A7339"/>
    <w:rsid w:val="009B440E"/>
    <w:rsid w:val="009D0D5E"/>
    <w:rsid w:val="009D690D"/>
    <w:rsid w:val="009E0E16"/>
    <w:rsid w:val="009E65B6"/>
    <w:rsid w:val="00A136B3"/>
    <w:rsid w:val="00A24C10"/>
    <w:rsid w:val="00A42AC3"/>
    <w:rsid w:val="00A430CF"/>
    <w:rsid w:val="00A54309"/>
    <w:rsid w:val="00A706D3"/>
    <w:rsid w:val="00A7227F"/>
    <w:rsid w:val="00A83444"/>
    <w:rsid w:val="00A94B10"/>
    <w:rsid w:val="00A95F63"/>
    <w:rsid w:val="00A97A56"/>
    <w:rsid w:val="00AB2B93"/>
    <w:rsid w:val="00AB530F"/>
    <w:rsid w:val="00AB7E5B"/>
    <w:rsid w:val="00AB7F4F"/>
    <w:rsid w:val="00AC2883"/>
    <w:rsid w:val="00AE0EF1"/>
    <w:rsid w:val="00AE2937"/>
    <w:rsid w:val="00B07301"/>
    <w:rsid w:val="00B11F3E"/>
    <w:rsid w:val="00B224DE"/>
    <w:rsid w:val="00B324D4"/>
    <w:rsid w:val="00B46575"/>
    <w:rsid w:val="00B61777"/>
    <w:rsid w:val="00B84BBD"/>
    <w:rsid w:val="00BA43FB"/>
    <w:rsid w:val="00BA6E5D"/>
    <w:rsid w:val="00BB3D0F"/>
    <w:rsid w:val="00BC0BD4"/>
    <w:rsid w:val="00BC127D"/>
    <w:rsid w:val="00BC1FE6"/>
    <w:rsid w:val="00C061B6"/>
    <w:rsid w:val="00C2446C"/>
    <w:rsid w:val="00C36AE5"/>
    <w:rsid w:val="00C41F17"/>
    <w:rsid w:val="00C527FA"/>
    <w:rsid w:val="00C5280D"/>
    <w:rsid w:val="00C53EB3"/>
    <w:rsid w:val="00C5515E"/>
    <w:rsid w:val="00C5791C"/>
    <w:rsid w:val="00C66290"/>
    <w:rsid w:val="00C72B7A"/>
    <w:rsid w:val="00C973F2"/>
    <w:rsid w:val="00CA304C"/>
    <w:rsid w:val="00CA774A"/>
    <w:rsid w:val="00CC11B0"/>
    <w:rsid w:val="00CC2841"/>
    <w:rsid w:val="00CF1330"/>
    <w:rsid w:val="00CF7E36"/>
    <w:rsid w:val="00D236C8"/>
    <w:rsid w:val="00D3708D"/>
    <w:rsid w:val="00D40426"/>
    <w:rsid w:val="00D57C96"/>
    <w:rsid w:val="00D57D18"/>
    <w:rsid w:val="00D91203"/>
    <w:rsid w:val="00D95174"/>
    <w:rsid w:val="00DA4973"/>
    <w:rsid w:val="00DA6F36"/>
    <w:rsid w:val="00DB596E"/>
    <w:rsid w:val="00DB7773"/>
    <w:rsid w:val="00DC00EA"/>
    <w:rsid w:val="00DC3802"/>
    <w:rsid w:val="00DE5973"/>
    <w:rsid w:val="00E0018C"/>
    <w:rsid w:val="00E07D87"/>
    <w:rsid w:val="00E222A6"/>
    <w:rsid w:val="00E32F7E"/>
    <w:rsid w:val="00E50FB5"/>
    <w:rsid w:val="00E5267B"/>
    <w:rsid w:val="00E63C0E"/>
    <w:rsid w:val="00E72D49"/>
    <w:rsid w:val="00E7593C"/>
    <w:rsid w:val="00E7678A"/>
    <w:rsid w:val="00E935F1"/>
    <w:rsid w:val="00E94A81"/>
    <w:rsid w:val="00EA1FFB"/>
    <w:rsid w:val="00EA72FF"/>
    <w:rsid w:val="00EB048E"/>
    <w:rsid w:val="00EB4E9C"/>
    <w:rsid w:val="00EB6733"/>
    <w:rsid w:val="00EB68A6"/>
    <w:rsid w:val="00EC2B3F"/>
    <w:rsid w:val="00EE34DF"/>
    <w:rsid w:val="00EF2467"/>
    <w:rsid w:val="00EF2F89"/>
    <w:rsid w:val="00F03E98"/>
    <w:rsid w:val="00F1237A"/>
    <w:rsid w:val="00F22CBD"/>
    <w:rsid w:val="00F272F1"/>
    <w:rsid w:val="00F45372"/>
    <w:rsid w:val="00F560F7"/>
    <w:rsid w:val="00F6334D"/>
    <w:rsid w:val="00FA49AB"/>
    <w:rsid w:val="00FB02F9"/>
    <w:rsid w:val="00FD32F9"/>
    <w:rsid w:val="00FD3F8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BD4"/>
    <w:pPr>
      <w:jc w:val="both"/>
    </w:pPr>
    <w:rPr>
      <w:rFonts w:ascii="Arial" w:hAnsi="Arial"/>
      <w:lang w:val="de-DE"/>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6733"/>
    <w:rPr>
      <w:rFonts w:ascii="Arial" w:hAnsi="Arial"/>
      <w:caps/>
    </w:rPr>
  </w:style>
  <w:style w:type="character" w:customStyle="1" w:styleId="Heading2Char">
    <w:name w:val="Heading 2 Char"/>
    <w:basedOn w:val="DefaultParagraphFont"/>
    <w:link w:val="Heading2"/>
    <w:rsid w:val="00EB6733"/>
    <w:rPr>
      <w:rFonts w:ascii="Arial" w:hAnsi="Arial"/>
      <w:u w:val="single"/>
    </w:rPr>
  </w:style>
  <w:style w:type="character" w:customStyle="1" w:styleId="Heading3Char">
    <w:name w:val="Heading 3 Char"/>
    <w:basedOn w:val="DefaultParagraphFont"/>
    <w:link w:val="Heading3"/>
    <w:rsid w:val="00EB6733"/>
    <w:rPr>
      <w:rFonts w:ascii="Arial" w:hAnsi="Arial"/>
      <w:i/>
    </w:rPr>
  </w:style>
  <w:style w:type="character" w:customStyle="1" w:styleId="Heading4Char">
    <w:name w:val="Heading 4 Char"/>
    <w:basedOn w:val="DefaultParagraphFont"/>
    <w:link w:val="Heading4"/>
    <w:rsid w:val="00EB6733"/>
    <w:rPr>
      <w:rFonts w:ascii="Arial" w:hAnsi="Arial"/>
      <w:u w:val="single"/>
      <w:lang w:val="fr-FR"/>
    </w:rPr>
  </w:style>
  <w:style w:type="character" w:customStyle="1" w:styleId="Heading5Char">
    <w:name w:val="Heading 5 Char"/>
    <w:basedOn w:val="DefaultParagraphFont"/>
    <w:link w:val="Heading5"/>
    <w:rsid w:val="00EB6733"/>
    <w:rPr>
      <w:rFonts w:ascii="Arial" w:hAnsi="Arial"/>
      <w:i/>
    </w:rPr>
  </w:style>
  <w:style w:type="character" w:customStyle="1" w:styleId="Heading9Char">
    <w:name w:val="Heading 9 Char"/>
    <w:basedOn w:val="DefaultParagraphFont"/>
    <w:link w:val="Heading9"/>
    <w:rsid w:val="00EB6733"/>
    <w:rPr>
      <w:rFonts w:ascii="Arial" w:hAnsi="Arial"/>
      <w:i/>
      <w:sz w:val="18"/>
      <w:lang w:val="de-DE"/>
    </w:rPr>
  </w:style>
  <w:style w:type="paragraph" w:styleId="Header">
    <w:name w:val="header"/>
    <w:link w:val="HeaderChar"/>
    <w:rsid w:val="00202E38"/>
    <w:pPr>
      <w:jc w:val="center"/>
    </w:pPr>
    <w:rPr>
      <w:rFonts w:ascii="Arial" w:hAnsi="Arial"/>
      <w:lang w:val="de-DE"/>
    </w:rPr>
  </w:style>
  <w:style w:type="character" w:customStyle="1" w:styleId="HeaderChar">
    <w:name w:val="Header Char"/>
    <w:basedOn w:val="DefaultParagraphFont"/>
    <w:link w:val="Header"/>
    <w:rsid w:val="00EB6733"/>
    <w:rPr>
      <w:rFonts w:ascii="Arial" w:hAnsi="Arial"/>
      <w:lang w:val="de-DE"/>
    </w:rPr>
  </w:style>
  <w:style w:type="paragraph" w:styleId="Footer">
    <w:name w:val="footer"/>
    <w:aliases w:val="doc_path_name"/>
    <w:link w:val="FooterChar"/>
    <w:autoRedefine/>
    <w:rsid w:val="009D690D"/>
    <w:pPr>
      <w:jc w:val="both"/>
    </w:pPr>
    <w:rPr>
      <w:rFonts w:ascii="Arial" w:hAnsi="Arial"/>
      <w:sz w:val="14"/>
    </w:rPr>
  </w:style>
  <w:style w:type="character" w:customStyle="1" w:styleId="FooterChar">
    <w:name w:val="Footer Char"/>
    <w:aliases w:val="doc_path_name Char"/>
    <w:basedOn w:val="DefaultParagraphFont"/>
    <w:link w:val="Footer"/>
    <w:rsid w:val="00EB6733"/>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character" w:customStyle="1" w:styleId="TitleChar">
    <w:name w:val="Title Char"/>
    <w:basedOn w:val="DefaultParagraphFont"/>
    <w:link w:val="Title"/>
    <w:rsid w:val="00EB6733"/>
    <w:rPr>
      <w:rFonts w:ascii="Arial" w:hAnsi="Arial"/>
      <w:b/>
      <w:caps/>
      <w:kern w:val="28"/>
      <w:sz w:val="30"/>
      <w:lang w:val="de-DE"/>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fr-FR" w:eastAsia="en-US" w:bidi="ar-SA"/>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customStyle="1" w:styleId="DecisionParagraphs">
    <w:name w:val="DecisionParagraphs"/>
    <w:basedOn w:val="Normal"/>
    <w:rsid w:val="00A136B3"/>
    <w:pPr>
      <w:tabs>
        <w:tab w:val="left" w:pos="5387"/>
        <w:tab w:val="left" w:pos="5954"/>
      </w:tabs>
      <w:ind w:left="4820"/>
    </w:pPr>
    <w:rPr>
      <w:i/>
    </w:rPr>
  </w:style>
  <w:style w:type="paragraph" w:styleId="FootnoteText">
    <w:name w:val="footnote text"/>
    <w:link w:val="FootnoteTextChar"/>
    <w:autoRedefine/>
    <w:rsid w:val="008061FF"/>
    <w:pPr>
      <w:tabs>
        <w:tab w:val="left" w:pos="284"/>
      </w:tabs>
      <w:spacing w:before="60"/>
      <w:ind w:left="284" w:hanging="284"/>
      <w:jc w:val="both"/>
    </w:pPr>
    <w:rPr>
      <w:rFonts w:ascii="Arial" w:hAnsi="Arial"/>
      <w:sz w:val="16"/>
      <w:lang w:val="de-DE"/>
    </w:rPr>
  </w:style>
  <w:style w:type="character" w:customStyle="1" w:styleId="FootnoteTextChar">
    <w:name w:val="Footnote Text Char"/>
    <w:basedOn w:val="DefaultParagraphFont"/>
    <w:link w:val="FootnoteText"/>
    <w:rsid w:val="008061FF"/>
    <w:rPr>
      <w:rFonts w:ascii="Arial" w:hAnsi="Arial"/>
      <w:sz w:val="16"/>
      <w:lang w:val="de-DE"/>
    </w:rPr>
  </w:style>
  <w:style w:type="character" w:styleId="FootnoteReference">
    <w:name w:val="footnote reference"/>
    <w:basedOn w:val="DefaultParagraphFont"/>
    <w:rsid w:val="00D3708D"/>
    <w:rPr>
      <w:vertAlign w:val="superscript"/>
    </w:rPr>
  </w:style>
  <w:style w:type="paragraph" w:styleId="Closing">
    <w:name w:val="Closing"/>
    <w:basedOn w:val="Normal"/>
    <w:link w:val="ClosingChar"/>
    <w:rsid w:val="00D3708D"/>
    <w:pPr>
      <w:ind w:left="4536"/>
      <w:jc w:val="center"/>
    </w:pPr>
  </w:style>
  <w:style w:type="character" w:customStyle="1" w:styleId="ClosingChar">
    <w:name w:val="Closing Char"/>
    <w:basedOn w:val="DefaultParagraphFont"/>
    <w:link w:val="Closing"/>
    <w:rsid w:val="00EB6733"/>
    <w:rPr>
      <w:rFonts w:ascii="Arial" w:hAnsi="Arial"/>
      <w:lang w:val="de-DE"/>
    </w:r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semiHidden/>
    <w:rsid w:val="00EB6733"/>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SignatureChar">
    <w:name w:val="Signature Char"/>
    <w:basedOn w:val="DefaultParagraphFont"/>
    <w:link w:val="Signature"/>
    <w:rsid w:val="00EB6733"/>
    <w:rPr>
      <w:rFonts w:ascii="Arial" w:hAnsi="Arial"/>
      <w:lang w:val="de-DE"/>
    </w:r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character" w:customStyle="1" w:styleId="BodyTextChar">
    <w:name w:val="Body Text Char"/>
    <w:basedOn w:val="DefaultParagraphFont"/>
    <w:link w:val="BodyText"/>
    <w:rsid w:val="00EB6733"/>
    <w:rPr>
      <w:rFonts w:ascii="Arial" w:hAnsi="Arial"/>
      <w:lang w:val="de-DE"/>
    </w:rPr>
  </w:style>
  <w:style w:type="paragraph" w:customStyle="1" w:styleId="Disclaimer">
    <w:name w:val="Disclaimer"/>
    <w:next w:val="Normal"/>
    <w:qFormat/>
    <w:rsid w:val="00825BFE"/>
    <w:pPr>
      <w:spacing w:after="600"/>
    </w:pPr>
    <w:rPr>
      <w:rFonts w:ascii="Arial" w:hAnsi="Arial"/>
      <w:i/>
      <w:iCs/>
      <w:color w:val="A6A6A6" w:themeColor="background1" w:themeShade="A6"/>
      <w:lang w:val="de-DE"/>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customStyle="1" w:styleId="EndnoteTextChar">
    <w:name w:val="Endnote Text Char"/>
    <w:basedOn w:val="DefaultParagraphFont"/>
    <w:link w:val="EndnoteText"/>
    <w:semiHidden/>
    <w:rsid w:val="00EB6733"/>
    <w:rPr>
      <w:rFonts w:ascii="Arial" w:hAnsi="Arial"/>
      <w:lang w:val="de-DE"/>
    </w:rPr>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character" w:customStyle="1" w:styleId="DateChar">
    <w:name w:val="Date Char"/>
    <w:basedOn w:val="DefaultParagraphFont"/>
    <w:link w:val="Date"/>
    <w:semiHidden/>
    <w:rsid w:val="00EB6733"/>
    <w:rPr>
      <w:rFonts w:ascii="Arial" w:hAnsi="Arial"/>
      <w:b/>
      <w:sz w:val="22"/>
      <w:lang w:val="de-DE"/>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TitreUpov">
    <w:name w:val="TitreUpov"/>
    <w:basedOn w:val="Normal"/>
    <w:semiHidden/>
    <w:rsid w:val="00D3708D"/>
    <w:pPr>
      <w:spacing w:before="60"/>
      <w:jc w:val="center"/>
    </w:pPr>
    <w:rPr>
      <w:b/>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825BFE"/>
    <w:pPr>
      <w:spacing w:before="600" w:after="240"/>
      <w:jc w:val="left"/>
    </w:pPr>
    <w:rPr>
      <w:b/>
    </w:rPr>
  </w:style>
  <w:style w:type="paragraph" w:customStyle="1" w:styleId="preparedby1">
    <w:name w:val="prepared_by"/>
    <w:basedOn w:val="preparedby0"/>
    <w:rsid w:val="00A706D3"/>
    <w:pPr>
      <w:spacing w:before="0" w:after="240"/>
    </w:pPr>
    <w:rPr>
      <w:iCs/>
    </w:rPr>
  </w:style>
  <w:style w:type="paragraph" w:customStyle="1" w:styleId="endofdoc">
    <w:name w:val="end_of_doc"/>
    <w:next w:val="Header"/>
    <w:autoRedefine/>
    <w:rsid w:val="00E32F7E"/>
    <w:pPr>
      <w:spacing w:before="480"/>
      <w:ind w:left="567" w:hanging="567"/>
      <w:jc w:val="right"/>
    </w:pPr>
    <w:rPr>
      <w:rFonts w:ascii="Arial" w:hAnsi="Arial"/>
    </w:rPr>
  </w:style>
  <w:style w:type="paragraph" w:styleId="TOC2">
    <w:name w:val="toc 2"/>
    <w:next w:val="Normal"/>
    <w:autoRedefine/>
    <w:rsid w:val="00907043"/>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907043"/>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907043"/>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907043"/>
    <w:pPr>
      <w:tabs>
        <w:tab w:val="right" w:leader="dot" w:pos="9639"/>
      </w:tabs>
      <w:spacing w:after="120"/>
      <w:jc w:val="center"/>
    </w:pPr>
    <w:rPr>
      <w:rFonts w:ascii="Arial" w:hAnsi="Arial"/>
      <w:caps/>
    </w:rPr>
  </w:style>
  <w:style w:type="paragraph" w:styleId="TOC5">
    <w:name w:val="toc 5"/>
    <w:next w:val="Normal"/>
    <w:autoRedefine/>
    <w:rsid w:val="00907043"/>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customStyle="1" w:styleId="StyleDocoriginalNotBold">
    <w:name w:val="Style Doc_original + Not Bold"/>
    <w:basedOn w:val="Docoriginal"/>
    <w:link w:val="StyleDocoriginalNotBoldChar"/>
    <w:autoRedefine/>
    <w:rsid w:val="00EB6733"/>
    <w:pPr>
      <w:spacing w:before="0" w:line="280" w:lineRule="exact"/>
      <w:ind w:left="1589"/>
      <w:contextualSpacing w:val="0"/>
    </w:pPr>
    <w:rPr>
      <w:lang w:val="fr-FR"/>
    </w:rPr>
  </w:style>
  <w:style w:type="character" w:customStyle="1" w:styleId="StyleDocoriginalNotBoldChar">
    <w:name w:val="Style Doc_original + Not Bold Char"/>
    <w:basedOn w:val="DocoriginalChar"/>
    <w:link w:val="StyleDocoriginalNotBold"/>
    <w:rsid w:val="00EB6733"/>
    <w:rPr>
      <w:rFonts w:ascii="Arial" w:hAnsi="Arial"/>
      <w:b/>
      <w:bCs/>
      <w:spacing w:val="10"/>
      <w:sz w:val="18"/>
      <w:lang w:val="fr-FR" w:eastAsia="en-US" w:bidi="ar-SA"/>
    </w:rPr>
  </w:style>
  <w:style w:type="paragraph" w:customStyle="1" w:styleId="StyleDocnumber">
    <w:name w:val="Style Doc_number"/>
    <w:basedOn w:val="Docoriginal"/>
    <w:rsid w:val="00EB6733"/>
    <w:pPr>
      <w:spacing w:before="0" w:line="280" w:lineRule="exact"/>
      <w:ind w:left="1589"/>
      <w:contextualSpacing w:val="0"/>
      <w:jc w:val="both"/>
    </w:pPr>
    <w:rPr>
      <w:sz w:val="20"/>
      <w:lang w:val="en-US"/>
    </w:rPr>
  </w:style>
  <w:style w:type="paragraph" w:customStyle="1" w:styleId="StyleDocoriginal">
    <w:name w:val="Style Doc_original"/>
    <w:basedOn w:val="Docoriginal"/>
    <w:link w:val="StyleDocoriginalChar"/>
    <w:rsid w:val="00EB6733"/>
    <w:pPr>
      <w:spacing w:before="0" w:line="280" w:lineRule="exact"/>
      <w:ind w:left="1361"/>
      <w:contextualSpacing w:val="0"/>
      <w:jc w:val="both"/>
    </w:pPr>
    <w:rPr>
      <w:lang w:val="fr-FR"/>
    </w:rPr>
  </w:style>
  <w:style w:type="character" w:customStyle="1" w:styleId="StyleDocoriginalChar">
    <w:name w:val="Style Doc_original Char"/>
    <w:basedOn w:val="DocoriginalChar"/>
    <w:link w:val="StyleDocoriginal"/>
    <w:rsid w:val="00EB6733"/>
    <w:rPr>
      <w:rFonts w:ascii="Arial"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EB6733"/>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EB6733"/>
    <w:rPr>
      <w:rFonts w:ascii="Arial" w:hAnsi="Arial"/>
      <w:b w:val="0"/>
      <w:bCs w:val="0"/>
      <w:spacing w:val="10"/>
      <w:sz w:val="18"/>
      <w:lang w:val="fr-FR" w:eastAsia="en-US" w:bidi="ar-SA"/>
    </w:rPr>
  </w:style>
  <w:style w:type="character" w:customStyle="1" w:styleId="StyleDocoriginalNotBold1">
    <w:name w:val="Style Doc_original + Not Bold1"/>
    <w:basedOn w:val="DefaultParagraphFont"/>
    <w:rsid w:val="00EB6733"/>
    <w:rPr>
      <w:rFonts w:ascii="Arial" w:hAnsi="Arial"/>
      <w:b/>
      <w:bCs/>
      <w:spacing w:val="10"/>
      <w:lang w:val="en-US" w:eastAsia="en-US" w:bidi="ar-SA"/>
    </w:rPr>
  </w:style>
  <w:style w:type="character" w:customStyle="1" w:styleId="StyleDoclangBold">
    <w:name w:val="Style Doc_lang + Bold"/>
    <w:basedOn w:val="Doclang"/>
    <w:rsid w:val="00EB6733"/>
    <w:rPr>
      <w:rFonts w:ascii="Arial" w:hAnsi="Arial"/>
      <w:b/>
      <w:bCs/>
      <w:sz w:val="20"/>
      <w:lang w:val="en-US"/>
    </w:rPr>
  </w:style>
  <w:style w:type="paragraph" w:styleId="ListParagraph">
    <w:name w:val="List Paragraph"/>
    <w:basedOn w:val="Normal"/>
    <w:uiPriority w:val="34"/>
    <w:qFormat/>
    <w:rsid w:val="00EB6733"/>
    <w:pPr>
      <w:ind w:left="720"/>
      <w:contextualSpacing/>
    </w:pPr>
    <w:rPr>
      <w:lang w:val="en-US"/>
    </w:rPr>
  </w:style>
  <w:style w:type="table" w:styleId="TableGrid">
    <w:name w:val="Table Grid"/>
    <w:basedOn w:val="TableNormal"/>
    <w:rsid w:val="00EB673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4Normal">
    <w:name w:val="Inf_4_Normal"/>
    <w:basedOn w:val="Normal"/>
    <w:rsid w:val="00EB6733"/>
    <w:pPr>
      <w:spacing w:before="108"/>
    </w:pPr>
    <w:rPr>
      <w:rFonts w:ascii="Times New Roman" w:hAnsi="Times New Roman"/>
      <w:sz w:val="24"/>
      <w:lang w:val="en-US"/>
    </w:rPr>
  </w:style>
  <w:style w:type="paragraph" w:customStyle="1" w:styleId="Inf4Heading4">
    <w:name w:val="Inf_4_Heading_4"/>
    <w:basedOn w:val="Heading4"/>
    <w:next w:val="Normal"/>
    <w:rsid w:val="00EB6733"/>
    <w:pPr>
      <w:spacing w:before="120"/>
      <w:ind w:left="0"/>
    </w:pPr>
    <w:rPr>
      <w:rFonts w:ascii="Times New Roman" w:hAnsi="Times New Roman"/>
      <w:b/>
      <w:bCs/>
      <w:sz w:val="22"/>
      <w:u w:val="none"/>
      <w:lang w:val="en-US"/>
    </w:rPr>
  </w:style>
  <w:style w:type="paragraph" w:customStyle="1" w:styleId="Inf4Heading6">
    <w:name w:val="Inf_4_Heading_6"/>
    <w:basedOn w:val="Normal"/>
    <w:rsid w:val="00EB6733"/>
    <w:pPr>
      <w:keepNext/>
      <w:spacing w:before="108"/>
      <w:ind w:left="567"/>
      <w:outlineLvl w:val="5"/>
    </w:pPr>
    <w:rPr>
      <w:rFonts w:ascii="Times New Roman Bold" w:hAnsi="Times New Roman Bold"/>
      <w:b/>
      <w:bCs/>
      <w:sz w:val="22"/>
      <w:szCs w:val="24"/>
      <w:lang w:val="en-US"/>
    </w:rPr>
  </w:style>
  <w:style w:type="paragraph" w:customStyle="1" w:styleId="Inf4Heading3">
    <w:name w:val="Inf_4_Heading_3"/>
    <w:basedOn w:val="Heading3"/>
    <w:rsid w:val="00EB6733"/>
    <w:pPr>
      <w:spacing w:before="240"/>
      <w:jc w:val="center"/>
    </w:pPr>
    <w:rPr>
      <w:rFonts w:cs="Arial"/>
      <w:bCs/>
    </w:rPr>
  </w:style>
  <w:style w:type="paragraph" w:customStyle="1" w:styleId="ZchnZchn1">
    <w:name w:val="Zchn Zchn1"/>
    <w:basedOn w:val="Normal"/>
    <w:rsid w:val="00EB6733"/>
    <w:pPr>
      <w:spacing w:after="160" w:line="240" w:lineRule="exact"/>
      <w:jc w:val="left"/>
    </w:pPr>
    <w:rPr>
      <w:rFonts w:ascii="Verdana" w:eastAsia="PMingLiU" w:hAnsi="Verdana"/>
      <w:lang w:val="en-US"/>
    </w:rPr>
  </w:style>
  <w:style w:type="paragraph" w:styleId="Subtitle">
    <w:name w:val="Subtitle"/>
    <w:basedOn w:val="Normal"/>
    <w:link w:val="SubtitleChar"/>
    <w:qFormat/>
    <w:rsid w:val="00EB6733"/>
    <w:pPr>
      <w:jc w:val="center"/>
    </w:pPr>
    <w:rPr>
      <w:rFonts w:ascii="Times New Roman" w:hAnsi="Times New Roman"/>
      <w:b/>
      <w:caps/>
      <w:color w:val="0000FF"/>
      <w:sz w:val="28"/>
      <w:lang w:val="en-US"/>
    </w:rPr>
  </w:style>
  <w:style w:type="character" w:customStyle="1" w:styleId="SubtitleChar">
    <w:name w:val="Subtitle Char"/>
    <w:basedOn w:val="DefaultParagraphFont"/>
    <w:link w:val="Subtitle"/>
    <w:rsid w:val="00EB6733"/>
    <w:rPr>
      <w:b/>
      <w:caps/>
      <w:color w:val="0000FF"/>
      <w:sz w:val="28"/>
    </w:rPr>
  </w:style>
  <w:style w:type="paragraph" w:customStyle="1" w:styleId="Endofdocument">
    <w:name w:val="End of document"/>
    <w:basedOn w:val="Normal"/>
    <w:rsid w:val="00EB6733"/>
    <w:pPr>
      <w:ind w:left="4536"/>
      <w:jc w:val="center"/>
    </w:pPr>
    <w:rPr>
      <w:rFonts w:ascii="Times New Roman" w:hAnsi="Times New Roman"/>
      <w:sz w:val="24"/>
      <w:lang w:val="en-US"/>
    </w:rPr>
  </w:style>
  <w:style w:type="character" w:customStyle="1" w:styleId="underline">
    <w:name w:val="underline"/>
    <w:basedOn w:val="DefaultParagraphFont"/>
    <w:rsid w:val="00EB6733"/>
    <w:rPr>
      <w:u w:val="single"/>
    </w:rPr>
  </w:style>
  <w:style w:type="paragraph" w:customStyle="1" w:styleId="BodyTextKeep">
    <w:name w:val="Body Text Keep"/>
    <w:basedOn w:val="BodyText"/>
    <w:rsid w:val="00EB6733"/>
    <w:pPr>
      <w:keepNext/>
      <w:spacing w:after="160"/>
      <w:jc w:val="left"/>
    </w:pPr>
    <w:rPr>
      <w:rFonts w:ascii="Times New Roman" w:hAnsi="Times New Roman"/>
      <w:lang w:val="en-US"/>
    </w:rPr>
  </w:style>
  <w:style w:type="character" w:styleId="Emphasis">
    <w:name w:val="Emphasis"/>
    <w:basedOn w:val="DefaultParagraphFont"/>
    <w:qFormat/>
    <w:rsid w:val="00EB6733"/>
    <w:rPr>
      <w:i/>
      <w:iCs/>
    </w:rPr>
  </w:style>
  <w:style w:type="character" w:styleId="CommentReference">
    <w:name w:val="annotation reference"/>
    <w:basedOn w:val="DefaultParagraphFont"/>
    <w:rsid w:val="00EB6733"/>
    <w:rPr>
      <w:sz w:val="16"/>
      <w:szCs w:val="16"/>
    </w:rPr>
  </w:style>
  <w:style w:type="paragraph" w:styleId="CommentText">
    <w:name w:val="annotation text"/>
    <w:basedOn w:val="Normal"/>
    <w:link w:val="CommentTextChar"/>
    <w:rsid w:val="00EB6733"/>
    <w:rPr>
      <w:lang w:val="en-US"/>
    </w:rPr>
  </w:style>
  <w:style w:type="character" w:customStyle="1" w:styleId="CommentTextChar">
    <w:name w:val="Comment Text Char"/>
    <w:basedOn w:val="DefaultParagraphFont"/>
    <w:link w:val="CommentText"/>
    <w:rsid w:val="00EB6733"/>
    <w:rPr>
      <w:rFonts w:ascii="Arial" w:hAnsi="Arial"/>
    </w:rPr>
  </w:style>
  <w:style w:type="paragraph" w:styleId="CommentSubject">
    <w:name w:val="annotation subject"/>
    <w:basedOn w:val="CommentText"/>
    <w:next w:val="CommentText"/>
    <w:link w:val="CommentSubjectChar"/>
    <w:rsid w:val="00EB6733"/>
    <w:rPr>
      <w:b/>
      <w:bCs/>
    </w:rPr>
  </w:style>
  <w:style w:type="character" w:customStyle="1" w:styleId="CommentSubjectChar">
    <w:name w:val="Comment Subject Char"/>
    <w:basedOn w:val="CommentTextChar"/>
    <w:link w:val="CommentSubject"/>
    <w:rsid w:val="00EB6733"/>
    <w:rPr>
      <w:rFonts w:ascii="Arial" w:hAnsi="Arial"/>
      <w:b/>
      <w:bCs/>
    </w:rPr>
  </w:style>
  <w:style w:type="paragraph" w:styleId="NormalWeb">
    <w:name w:val="Normal (Web)"/>
    <w:basedOn w:val="Normal"/>
    <w:uiPriority w:val="99"/>
    <w:unhideWhenUsed/>
    <w:rsid w:val="008134A5"/>
    <w:pPr>
      <w:spacing w:before="100" w:beforeAutospacing="1" w:after="100" w:afterAutospacing="1"/>
      <w:jc w:val="left"/>
    </w:pPr>
    <w:rPr>
      <w:rFonts w:ascii="Times New Roman" w:eastAsiaTheme="minorEastAsia" w:hAnsi="Times New Roman"/>
      <w:sz w:val="24"/>
      <w:szCs w:val="24"/>
    </w:rPr>
  </w:style>
  <w:style w:type="paragraph" w:customStyle="1" w:styleId="figures">
    <w:name w:val="figures"/>
    <w:basedOn w:val="Normal"/>
    <w:next w:val="Normal"/>
    <w:qFormat/>
    <w:rsid w:val="008134A5"/>
    <w:pPr>
      <w:keepNext/>
      <w:spacing w:after="60"/>
      <w:jc w:val="center"/>
    </w:pPr>
    <w:rPr>
      <w:rFonts w:eastAsia="MS Mincho"/>
      <w:i/>
      <w:sz w:val="1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BD4"/>
    <w:pPr>
      <w:jc w:val="both"/>
    </w:pPr>
    <w:rPr>
      <w:rFonts w:ascii="Arial" w:hAnsi="Arial"/>
      <w:lang w:val="de-DE"/>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6733"/>
    <w:rPr>
      <w:rFonts w:ascii="Arial" w:hAnsi="Arial"/>
      <w:caps/>
    </w:rPr>
  </w:style>
  <w:style w:type="character" w:customStyle="1" w:styleId="Heading2Char">
    <w:name w:val="Heading 2 Char"/>
    <w:basedOn w:val="DefaultParagraphFont"/>
    <w:link w:val="Heading2"/>
    <w:rsid w:val="00EB6733"/>
    <w:rPr>
      <w:rFonts w:ascii="Arial" w:hAnsi="Arial"/>
      <w:u w:val="single"/>
    </w:rPr>
  </w:style>
  <w:style w:type="character" w:customStyle="1" w:styleId="Heading3Char">
    <w:name w:val="Heading 3 Char"/>
    <w:basedOn w:val="DefaultParagraphFont"/>
    <w:link w:val="Heading3"/>
    <w:rsid w:val="00EB6733"/>
    <w:rPr>
      <w:rFonts w:ascii="Arial" w:hAnsi="Arial"/>
      <w:i/>
    </w:rPr>
  </w:style>
  <w:style w:type="character" w:customStyle="1" w:styleId="Heading4Char">
    <w:name w:val="Heading 4 Char"/>
    <w:basedOn w:val="DefaultParagraphFont"/>
    <w:link w:val="Heading4"/>
    <w:rsid w:val="00EB6733"/>
    <w:rPr>
      <w:rFonts w:ascii="Arial" w:hAnsi="Arial"/>
      <w:u w:val="single"/>
      <w:lang w:val="fr-FR"/>
    </w:rPr>
  </w:style>
  <w:style w:type="character" w:customStyle="1" w:styleId="Heading5Char">
    <w:name w:val="Heading 5 Char"/>
    <w:basedOn w:val="DefaultParagraphFont"/>
    <w:link w:val="Heading5"/>
    <w:rsid w:val="00EB6733"/>
    <w:rPr>
      <w:rFonts w:ascii="Arial" w:hAnsi="Arial"/>
      <w:i/>
    </w:rPr>
  </w:style>
  <w:style w:type="character" w:customStyle="1" w:styleId="Heading9Char">
    <w:name w:val="Heading 9 Char"/>
    <w:basedOn w:val="DefaultParagraphFont"/>
    <w:link w:val="Heading9"/>
    <w:rsid w:val="00EB6733"/>
    <w:rPr>
      <w:rFonts w:ascii="Arial" w:hAnsi="Arial"/>
      <w:i/>
      <w:sz w:val="18"/>
      <w:lang w:val="de-DE"/>
    </w:rPr>
  </w:style>
  <w:style w:type="paragraph" w:styleId="Header">
    <w:name w:val="header"/>
    <w:link w:val="HeaderChar"/>
    <w:rsid w:val="00202E38"/>
    <w:pPr>
      <w:jc w:val="center"/>
    </w:pPr>
    <w:rPr>
      <w:rFonts w:ascii="Arial" w:hAnsi="Arial"/>
      <w:lang w:val="de-DE"/>
    </w:rPr>
  </w:style>
  <w:style w:type="character" w:customStyle="1" w:styleId="HeaderChar">
    <w:name w:val="Header Char"/>
    <w:basedOn w:val="DefaultParagraphFont"/>
    <w:link w:val="Header"/>
    <w:rsid w:val="00EB6733"/>
    <w:rPr>
      <w:rFonts w:ascii="Arial" w:hAnsi="Arial"/>
      <w:lang w:val="de-DE"/>
    </w:rPr>
  </w:style>
  <w:style w:type="paragraph" w:styleId="Footer">
    <w:name w:val="footer"/>
    <w:aliases w:val="doc_path_name"/>
    <w:link w:val="FooterChar"/>
    <w:autoRedefine/>
    <w:rsid w:val="009D690D"/>
    <w:pPr>
      <w:jc w:val="both"/>
    </w:pPr>
    <w:rPr>
      <w:rFonts w:ascii="Arial" w:hAnsi="Arial"/>
      <w:sz w:val="14"/>
    </w:rPr>
  </w:style>
  <w:style w:type="character" w:customStyle="1" w:styleId="FooterChar">
    <w:name w:val="Footer Char"/>
    <w:aliases w:val="doc_path_name Char"/>
    <w:basedOn w:val="DefaultParagraphFont"/>
    <w:link w:val="Footer"/>
    <w:rsid w:val="00EB6733"/>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character" w:customStyle="1" w:styleId="TitleChar">
    <w:name w:val="Title Char"/>
    <w:basedOn w:val="DefaultParagraphFont"/>
    <w:link w:val="Title"/>
    <w:rsid w:val="00EB6733"/>
    <w:rPr>
      <w:rFonts w:ascii="Arial" w:hAnsi="Arial"/>
      <w:b/>
      <w:caps/>
      <w:kern w:val="28"/>
      <w:sz w:val="30"/>
      <w:lang w:val="de-DE"/>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fr-FR" w:eastAsia="en-US" w:bidi="ar-SA"/>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customStyle="1" w:styleId="DecisionParagraphs">
    <w:name w:val="DecisionParagraphs"/>
    <w:basedOn w:val="Normal"/>
    <w:rsid w:val="00A136B3"/>
    <w:pPr>
      <w:tabs>
        <w:tab w:val="left" w:pos="5387"/>
        <w:tab w:val="left" w:pos="5954"/>
      </w:tabs>
      <w:ind w:left="4820"/>
    </w:pPr>
    <w:rPr>
      <w:i/>
    </w:rPr>
  </w:style>
  <w:style w:type="paragraph" w:styleId="FootnoteText">
    <w:name w:val="footnote text"/>
    <w:link w:val="FootnoteTextChar"/>
    <w:autoRedefine/>
    <w:rsid w:val="008061FF"/>
    <w:pPr>
      <w:tabs>
        <w:tab w:val="left" w:pos="284"/>
      </w:tabs>
      <w:spacing w:before="60"/>
      <w:ind w:left="284" w:hanging="284"/>
      <w:jc w:val="both"/>
    </w:pPr>
    <w:rPr>
      <w:rFonts w:ascii="Arial" w:hAnsi="Arial"/>
      <w:sz w:val="16"/>
      <w:lang w:val="de-DE"/>
    </w:rPr>
  </w:style>
  <w:style w:type="character" w:customStyle="1" w:styleId="FootnoteTextChar">
    <w:name w:val="Footnote Text Char"/>
    <w:basedOn w:val="DefaultParagraphFont"/>
    <w:link w:val="FootnoteText"/>
    <w:rsid w:val="008061FF"/>
    <w:rPr>
      <w:rFonts w:ascii="Arial" w:hAnsi="Arial"/>
      <w:sz w:val="16"/>
      <w:lang w:val="de-DE"/>
    </w:rPr>
  </w:style>
  <w:style w:type="character" w:styleId="FootnoteReference">
    <w:name w:val="footnote reference"/>
    <w:basedOn w:val="DefaultParagraphFont"/>
    <w:rsid w:val="00D3708D"/>
    <w:rPr>
      <w:vertAlign w:val="superscript"/>
    </w:rPr>
  </w:style>
  <w:style w:type="paragraph" w:styleId="Closing">
    <w:name w:val="Closing"/>
    <w:basedOn w:val="Normal"/>
    <w:link w:val="ClosingChar"/>
    <w:rsid w:val="00D3708D"/>
    <w:pPr>
      <w:ind w:left="4536"/>
      <w:jc w:val="center"/>
    </w:pPr>
  </w:style>
  <w:style w:type="character" w:customStyle="1" w:styleId="ClosingChar">
    <w:name w:val="Closing Char"/>
    <w:basedOn w:val="DefaultParagraphFont"/>
    <w:link w:val="Closing"/>
    <w:rsid w:val="00EB6733"/>
    <w:rPr>
      <w:rFonts w:ascii="Arial" w:hAnsi="Arial"/>
      <w:lang w:val="de-DE"/>
    </w:r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semiHidden/>
    <w:rsid w:val="00EB6733"/>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SignatureChar">
    <w:name w:val="Signature Char"/>
    <w:basedOn w:val="DefaultParagraphFont"/>
    <w:link w:val="Signature"/>
    <w:rsid w:val="00EB6733"/>
    <w:rPr>
      <w:rFonts w:ascii="Arial" w:hAnsi="Arial"/>
      <w:lang w:val="de-DE"/>
    </w:r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character" w:customStyle="1" w:styleId="BodyTextChar">
    <w:name w:val="Body Text Char"/>
    <w:basedOn w:val="DefaultParagraphFont"/>
    <w:link w:val="BodyText"/>
    <w:rsid w:val="00EB6733"/>
    <w:rPr>
      <w:rFonts w:ascii="Arial" w:hAnsi="Arial"/>
      <w:lang w:val="de-DE"/>
    </w:rPr>
  </w:style>
  <w:style w:type="paragraph" w:customStyle="1" w:styleId="Disclaimer">
    <w:name w:val="Disclaimer"/>
    <w:next w:val="Normal"/>
    <w:qFormat/>
    <w:rsid w:val="00825BFE"/>
    <w:pPr>
      <w:spacing w:after="600"/>
    </w:pPr>
    <w:rPr>
      <w:rFonts w:ascii="Arial" w:hAnsi="Arial"/>
      <w:i/>
      <w:iCs/>
      <w:color w:val="A6A6A6" w:themeColor="background1" w:themeShade="A6"/>
      <w:lang w:val="de-DE"/>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customStyle="1" w:styleId="EndnoteTextChar">
    <w:name w:val="Endnote Text Char"/>
    <w:basedOn w:val="DefaultParagraphFont"/>
    <w:link w:val="EndnoteText"/>
    <w:semiHidden/>
    <w:rsid w:val="00EB6733"/>
    <w:rPr>
      <w:rFonts w:ascii="Arial" w:hAnsi="Arial"/>
      <w:lang w:val="de-DE"/>
    </w:rPr>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character" w:customStyle="1" w:styleId="DateChar">
    <w:name w:val="Date Char"/>
    <w:basedOn w:val="DefaultParagraphFont"/>
    <w:link w:val="Date"/>
    <w:semiHidden/>
    <w:rsid w:val="00EB6733"/>
    <w:rPr>
      <w:rFonts w:ascii="Arial" w:hAnsi="Arial"/>
      <w:b/>
      <w:sz w:val="22"/>
      <w:lang w:val="de-DE"/>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TitreUpov">
    <w:name w:val="TitreUpov"/>
    <w:basedOn w:val="Normal"/>
    <w:semiHidden/>
    <w:rsid w:val="00D3708D"/>
    <w:pPr>
      <w:spacing w:before="60"/>
      <w:jc w:val="center"/>
    </w:pPr>
    <w:rPr>
      <w:b/>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825BFE"/>
    <w:pPr>
      <w:spacing w:before="600" w:after="240"/>
      <w:jc w:val="left"/>
    </w:pPr>
    <w:rPr>
      <w:b/>
    </w:rPr>
  </w:style>
  <w:style w:type="paragraph" w:customStyle="1" w:styleId="preparedby1">
    <w:name w:val="prepared_by"/>
    <w:basedOn w:val="preparedby0"/>
    <w:rsid w:val="00A706D3"/>
    <w:pPr>
      <w:spacing w:before="0" w:after="240"/>
    </w:pPr>
    <w:rPr>
      <w:iCs/>
    </w:rPr>
  </w:style>
  <w:style w:type="paragraph" w:customStyle="1" w:styleId="endofdoc">
    <w:name w:val="end_of_doc"/>
    <w:next w:val="Header"/>
    <w:autoRedefine/>
    <w:rsid w:val="00E32F7E"/>
    <w:pPr>
      <w:spacing w:before="480"/>
      <w:ind w:left="567" w:hanging="567"/>
      <w:jc w:val="right"/>
    </w:pPr>
    <w:rPr>
      <w:rFonts w:ascii="Arial" w:hAnsi="Arial"/>
    </w:rPr>
  </w:style>
  <w:style w:type="paragraph" w:styleId="TOC2">
    <w:name w:val="toc 2"/>
    <w:next w:val="Normal"/>
    <w:autoRedefine/>
    <w:rsid w:val="00907043"/>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907043"/>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907043"/>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907043"/>
    <w:pPr>
      <w:tabs>
        <w:tab w:val="right" w:leader="dot" w:pos="9639"/>
      </w:tabs>
      <w:spacing w:after="120"/>
      <w:jc w:val="center"/>
    </w:pPr>
    <w:rPr>
      <w:rFonts w:ascii="Arial" w:hAnsi="Arial"/>
      <w:caps/>
    </w:rPr>
  </w:style>
  <w:style w:type="paragraph" w:styleId="TOC5">
    <w:name w:val="toc 5"/>
    <w:next w:val="Normal"/>
    <w:autoRedefine/>
    <w:rsid w:val="00907043"/>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customStyle="1" w:styleId="StyleDocoriginalNotBold">
    <w:name w:val="Style Doc_original + Not Bold"/>
    <w:basedOn w:val="Docoriginal"/>
    <w:link w:val="StyleDocoriginalNotBoldChar"/>
    <w:autoRedefine/>
    <w:rsid w:val="00EB6733"/>
    <w:pPr>
      <w:spacing w:before="0" w:line="280" w:lineRule="exact"/>
      <w:ind w:left="1589"/>
      <w:contextualSpacing w:val="0"/>
    </w:pPr>
    <w:rPr>
      <w:lang w:val="fr-FR"/>
    </w:rPr>
  </w:style>
  <w:style w:type="character" w:customStyle="1" w:styleId="StyleDocoriginalNotBoldChar">
    <w:name w:val="Style Doc_original + Not Bold Char"/>
    <w:basedOn w:val="DocoriginalChar"/>
    <w:link w:val="StyleDocoriginalNotBold"/>
    <w:rsid w:val="00EB6733"/>
    <w:rPr>
      <w:rFonts w:ascii="Arial" w:hAnsi="Arial"/>
      <w:b/>
      <w:bCs/>
      <w:spacing w:val="10"/>
      <w:sz w:val="18"/>
      <w:lang w:val="fr-FR" w:eastAsia="en-US" w:bidi="ar-SA"/>
    </w:rPr>
  </w:style>
  <w:style w:type="paragraph" w:customStyle="1" w:styleId="StyleDocnumber">
    <w:name w:val="Style Doc_number"/>
    <w:basedOn w:val="Docoriginal"/>
    <w:rsid w:val="00EB6733"/>
    <w:pPr>
      <w:spacing w:before="0" w:line="280" w:lineRule="exact"/>
      <w:ind w:left="1589"/>
      <w:contextualSpacing w:val="0"/>
      <w:jc w:val="both"/>
    </w:pPr>
    <w:rPr>
      <w:sz w:val="20"/>
      <w:lang w:val="en-US"/>
    </w:rPr>
  </w:style>
  <w:style w:type="paragraph" w:customStyle="1" w:styleId="StyleDocoriginal">
    <w:name w:val="Style Doc_original"/>
    <w:basedOn w:val="Docoriginal"/>
    <w:link w:val="StyleDocoriginalChar"/>
    <w:rsid w:val="00EB6733"/>
    <w:pPr>
      <w:spacing w:before="0" w:line="280" w:lineRule="exact"/>
      <w:ind w:left="1361"/>
      <w:contextualSpacing w:val="0"/>
      <w:jc w:val="both"/>
    </w:pPr>
    <w:rPr>
      <w:lang w:val="fr-FR"/>
    </w:rPr>
  </w:style>
  <w:style w:type="character" w:customStyle="1" w:styleId="StyleDocoriginalChar">
    <w:name w:val="Style Doc_original Char"/>
    <w:basedOn w:val="DocoriginalChar"/>
    <w:link w:val="StyleDocoriginal"/>
    <w:rsid w:val="00EB6733"/>
    <w:rPr>
      <w:rFonts w:ascii="Arial"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EB6733"/>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EB6733"/>
    <w:rPr>
      <w:rFonts w:ascii="Arial" w:hAnsi="Arial"/>
      <w:b w:val="0"/>
      <w:bCs w:val="0"/>
      <w:spacing w:val="10"/>
      <w:sz w:val="18"/>
      <w:lang w:val="fr-FR" w:eastAsia="en-US" w:bidi="ar-SA"/>
    </w:rPr>
  </w:style>
  <w:style w:type="character" w:customStyle="1" w:styleId="StyleDocoriginalNotBold1">
    <w:name w:val="Style Doc_original + Not Bold1"/>
    <w:basedOn w:val="DefaultParagraphFont"/>
    <w:rsid w:val="00EB6733"/>
    <w:rPr>
      <w:rFonts w:ascii="Arial" w:hAnsi="Arial"/>
      <w:b/>
      <w:bCs/>
      <w:spacing w:val="10"/>
      <w:lang w:val="en-US" w:eastAsia="en-US" w:bidi="ar-SA"/>
    </w:rPr>
  </w:style>
  <w:style w:type="character" w:customStyle="1" w:styleId="StyleDoclangBold">
    <w:name w:val="Style Doc_lang + Bold"/>
    <w:basedOn w:val="Doclang"/>
    <w:rsid w:val="00EB6733"/>
    <w:rPr>
      <w:rFonts w:ascii="Arial" w:hAnsi="Arial"/>
      <w:b/>
      <w:bCs/>
      <w:sz w:val="20"/>
      <w:lang w:val="en-US"/>
    </w:rPr>
  </w:style>
  <w:style w:type="paragraph" w:styleId="ListParagraph">
    <w:name w:val="List Paragraph"/>
    <w:basedOn w:val="Normal"/>
    <w:uiPriority w:val="34"/>
    <w:qFormat/>
    <w:rsid w:val="00EB6733"/>
    <w:pPr>
      <w:ind w:left="720"/>
      <w:contextualSpacing/>
    </w:pPr>
    <w:rPr>
      <w:lang w:val="en-US"/>
    </w:rPr>
  </w:style>
  <w:style w:type="table" w:styleId="TableGrid">
    <w:name w:val="Table Grid"/>
    <w:basedOn w:val="TableNormal"/>
    <w:rsid w:val="00EB673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4Normal">
    <w:name w:val="Inf_4_Normal"/>
    <w:basedOn w:val="Normal"/>
    <w:rsid w:val="00EB6733"/>
    <w:pPr>
      <w:spacing w:before="108"/>
    </w:pPr>
    <w:rPr>
      <w:rFonts w:ascii="Times New Roman" w:hAnsi="Times New Roman"/>
      <w:sz w:val="24"/>
      <w:lang w:val="en-US"/>
    </w:rPr>
  </w:style>
  <w:style w:type="paragraph" w:customStyle="1" w:styleId="Inf4Heading4">
    <w:name w:val="Inf_4_Heading_4"/>
    <w:basedOn w:val="Heading4"/>
    <w:next w:val="Normal"/>
    <w:rsid w:val="00EB6733"/>
    <w:pPr>
      <w:spacing w:before="120"/>
      <w:ind w:left="0"/>
    </w:pPr>
    <w:rPr>
      <w:rFonts w:ascii="Times New Roman" w:hAnsi="Times New Roman"/>
      <w:b/>
      <w:bCs/>
      <w:sz w:val="22"/>
      <w:u w:val="none"/>
      <w:lang w:val="en-US"/>
    </w:rPr>
  </w:style>
  <w:style w:type="paragraph" w:customStyle="1" w:styleId="Inf4Heading6">
    <w:name w:val="Inf_4_Heading_6"/>
    <w:basedOn w:val="Normal"/>
    <w:rsid w:val="00EB6733"/>
    <w:pPr>
      <w:keepNext/>
      <w:spacing w:before="108"/>
      <w:ind w:left="567"/>
      <w:outlineLvl w:val="5"/>
    </w:pPr>
    <w:rPr>
      <w:rFonts w:ascii="Times New Roman Bold" w:hAnsi="Times New Roman Bold"/>
      <w:b/>
      <w:bCs/>
      <w:sz w:val="22"/>
      <w:szCs w:val="24"/>
      <w:lang w:val="en-US"/>
    </w:rPr>
  </w:style>
  <w:style w:type="paragraph" w:customStyle="1" w:styleId="Inf4Heading3">
    <w:name w:val="Inf_4_Heading_3"/>
    <w:basedOn w:val="Heading3"/>
    <w:rsid w:val="00EB6733"/>
    <w:pPr>
      <w:spacing w:before="240"/>
      <w:jc w:val="center"/>
    </w:pPr>
    <w:rPr>
      <w:rFonts w:cs="Arial"/>
      <w:bCs/>
    </w:rPr>
  </w:style>
  <w:style w:type="paragraph" w:customStyle="1" w:styleId="ZchnZchn1">
    <w:name w:val="Zchn Zchn1"/>
    <w:basedOn w:val="Normal"/>
    <w:rsid w:val="00EB6733"/>
    <w:pPr>
      <w:spacing w:after="160" w:line="240" w:lineRule="exact"/>
      <w:jc w:val="left"/>
    </w:pPr>
    <w:rPr>
      <w:rFonts w:ascii="Verdana" w:eastAsia="PMingLiU" w:hAnsi="Verdana"/>
      <w:lang w:val="en-US"/>
    </w:rPr>
  </w:style>
  <w:style w:type="paragraph" w:styleId="Subtitle">
    <w:name w:val="Subtitle"/>
    <w:basedOn w:val="Normal"/>
    <w:link w:val="SubtitleChar"/>
    <w:qFormat/>
    <w:rsid w:val="00EB6733"/>
    <w:pPr>
      <w:jc w:val="center"/>
    </w:pPr>
    <w:rPr>
      <w:rFonts w:ascii="Times New Roman" w:hAnsi="Times New Roman"/>
      <w:b/>
      <w:caps/>
      <w:color w:val="0000FF"/>
      <w:sz w:val="28"/>
      <w:lang w:val="en-US"/>
    </w:rPr>
  </w:style>
  <w:style w:type="character" w:customStyle="1" w:styleId="SubtitleChar">
    <w:name w:val="Subtitle Char"/>
    <w:basedOn w:val="DefaultParagraphFont"/>
    <w:link w:val="Subtitle"/>
    <w:rsid w:val="00EB6733"/>
    <w:rPr>
      <w:b/>
      <w:caps/>
      <w:color w:val="0000FF"/>
      <w:sz w:val="28"/>
    </w:rPr>
  </w:style>
  <w:style w:type="paragraph" w:customStyle="1" w:styleId="Endofdocument">
    <w:name w:val="End of document"/>
    <w:basedOn w:val="Normal"/>
    <w:rsid w:val="00EB6733"/>
    <w:pPr>
      <w:ind w:left="4536"/>
      <w:jc w:val="center"/>
    </w:pPr>
    <w:rPr>
      <w:rFonts w:ascii="Times New Roman" w:hAnsi="Times New Roman"/>
      <w:sz w:val="24"/>
      <w:lang w:val="en-US"/>
    </w:rPr>
  </w:style>
  <w:style w:type="character" w:customStyle="1" w:styleId="underline">
    <w:name w:val="underline"/>
    <w:basedOn w:val="DefaultParagraphFont"/>
    <w:rsid w:val="00EB6733"/>
    <w:rPr>
      <w:u w:val="single"/>
    </w:rPr>
  </w:style>
  <w:style w:type="paragraph" w:customStyle="1" w:styleId="BodyTextKeep">
    <w:name w:val="Body Text Keep"/>
    <w:basedOn w:val="BodyText"/>
    <w:rsid w:val="00EB6733"/>
    <w:pPr>
      <w:keepNext/>
      <w:spacing w:after="160"/>
      <w:jc w:val="left"/>
    </w:pPr>
    <w:rPr>
      <w:rFonts w:ascii="Times New Roman" w:hAnsi="Times New Roman"/>
      <w:lang w:val="en-US"/>
    </w:rPr>
  </w:style>
  <w:style w:type="character" w:styleId="Emphasis">
    <w:name w:val="Emphasis"/>
    <w:basedOn w:val="DefaultParagraphFont"/>
    <w:qFormat/>
    <w:rsid w:val="00EB6733"/>
    <w:rPr>
      <w:i/>
      <w:iCs/>
    </w:rPr>
  </w:style>
  <w:style w:type="character" w:styleId="CommentReference">
    <w:name w:val="annotation reference"/>
    <w:basedOn w:val="DefaultParagraphFont"/>
    <w:rsid w:val="00EB6733"/>
    <w:rPr>
      <w:sz w:val="16"/>
      <w:szCs w:val="16"/>
    </w:rPr>
  </w:style>
  <w:style w:type="paragraph" w:styleId="CommentText">
    <w:name w:val="annotation text"/>
    <w:basedOn w:val="Normal"/>
    <w:link w:val="CommentTextChar"/>
    <w:rsid w:val="00EB6733"/>
    <w:rPr>
      <w:lang w:val="en-US"/>
    </w:rPr>
  </w:style>
  <w:style w:type="character" w:customStyle="1" w:styleId="CommentTextChar">
    <w:name w:val="Comment Text Char"/>
    <w:basedOn w:val="DefaultParagraphFont"/>
    <w:link w:val="CommentText"/>
    <w:rsid w:val="00EB6733"/>
    <w:rPr>
      <w:rFonts w:ascii="Arial" w:hAnsi="Arial"/>
    </w:rPr>
  </w:style>
  <w:style w:type="paragraph" w:styleId="CommentSubject">
    <w:name w:val="annotation subject"/>
    <w:basedOn w:val="CommentText"/>
    <w:next w:val="CommentText"/>
    <w:link w:val="CommentSubjectChar"/>
    <w:rsid w:val="00EB6733"/>
    <w:rPr>
      <w:b/>
      <w:bCs/>
    </w:rPr>
  </w:style>
  <w:style w:type="character" w:customStyle="1" w:styleId="CommentSubjectChar">
    <w:name w:val="Comment Subject Char"/>
    <w:basedOn w:val="CommentTextChar"/>
    <w:link w:val="CommentSubject"/>
    <w:rsid w:val="00EB6733"/>
    <w:rPr>
      <w:rFonts w:ascii="Arial" w:hAnsi="Arial"/>
      <w:b/>
      <w:bCs/>
    </w:rPr>
  </w:style>
  <w:style w:type="paragraph" w:styleId="NormalWeb">
    <w:name w:val="Normal (Web)"/>
    <w:basedOn w:val="Normal"/>
    <w:uiPriority w:val="99"/>
    <w:unhideWhenUsed/>
    <w:rsid w:val="008134A5"/>
    <w:pPr>
      <w:spacing w:before="100" w:beforeAutospacing="1" w:after="100" w:afterAutospacing="1"/>
      <w:jc w:val="left"/>
    </w:pPr>
    <w:rPr>
      <w:rFonts w:ascii="Times New Roman" w:eastAsiaTheme="minorEastAsia" w:hAnsi="Times New Roman"/>
      <w:sz w:val="24"/>
      <w:szCs w:val="24"/>
    </w:rPr>
  </w:style>
  <w:style w:type="paragraph" w:customStyle="1" w:styleId="figures">
    <w:name w:val="figures"/>
    <w:basedOn w:val="Normal"/>
    <w:next w:val="Normal"/>
    <w:qFormat/>
    <w:rsid w:val="008134A5"/>
    <w:pPr>
      <w:keepNext/>
      <w:spacing w:after="60"/>
      <w:jc w:val="center"/>
    </w:pPr>
    <w:rPr>
      <w:rFonts w:eastAsia="MS Mincho"/>
      <w:i/>
      <w:sz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7.emf"/><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2.emf"/><Relationship Id="rId34"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6.emf"/><Relationship Id="rId33" Type="http://schemas.openxmlformats.org/officeDocument/2006/relationships/header" Target="header4.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hyperlink" Target="http://www.worldseedpartnership.org/" TargetMode="External"/><Relationship Id="rId29" Type="http://schemas.openxmlformats.org/officeDocument/2006/relationships/image" Target="media/image20.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5.emf"/><Relationship Id="rId32" Type="http://schemas.openxmlformats.org/officeDocument/2006/relationships/header" Target="header3.xml"/><Relationship Id="rId37"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4.emf"/><Relationship Id="rId28" Type="http://schemas.openxmlformats.org/officeDocument/2006/relationships/image" Target="media/image19.emf"/><Relationship Id="rId36"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emf"/><Relationship Id="rId22" Type="http://schemas.openxmlformats.org/officeDocument/2006/relationships/image" Target="media/image13.emf"/><Relationship Id="rId27" Type="http://schemas.openxmlformats.org/officeDocument/2006/relationships/image" Target="media/image18.emf"/><Relationship Id="rId30" Type="http://schemas.openxmlformats.org/officeDocument/2006/relationships/image" Target="media/image21.emf"/><Relationship Id="rId35" Type="http://schemas.openxmlformats.org/officeDocument/2006/relationships/header" Target="header6.xml"/></Relationships>
</file>

<file path=word/_rels/footnotes.xml.rels><?xml version="1.0" encoding="UTF-8" standalone="yes"?>
<Relationships xmlns="http://schemas.openxmlformats.org/package/2006/relationships"><Relationship Id="rId1" Type="http://schemas.openxmlformats.org/officeDocument/2006/relationships/hyperlink" Target="http://www.upov.int/edocs/pubdocs/de/upov_pub_353.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ja\AppData\Local\Temp\c_51_DE-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c_51_DE-1.dotx</Template>
  <TotalTime>2</TotalTime>
  <Pages>38</Pages>
  <Words>10487</Words>
  <Characters>75093</Characters>
  <Application>Microsoft Office Word</Application>
  <DocSecurity>0</DocSecurity>
  <Lines>625</Lines>
  <Paragraphs>170</Paragraphs>
  <ScaleCrop>false</ScaleCrop>
  <HeadingPairs>
    <vt:vector size="6" baseType="variant">
      <vt:variant>
        <vt:lpstr>Title</vt:lpstr>
      </vt:variant>
      <vt:variant>
        <vt:i4>1</vt:i4>
      </vt:variant>
      <vt:variant>
        <vt:lpstr>Titel</vt:lpstr>
      </vt:variant>
      <vt:variant>
        <vt:i4>1</vt:i4>
      </vt:variant>
      <vt:variant>
        <vt:lpstr>Überschriften</vt:lpstr>
      </vt:variant>
      <vt:variant>
        <vt:i4>9</vt:i4>
      </vt:variant>
    </vt:vector>
  </HeadingPairs>
  <TitlesOfParts>
    <vt:vector size="11" baseType="lpstr">
      <vt:lpstr>CC/93</vt:lpstr>
      <vt:lpstr>CC/93</vt:lpstr>
      <vt:lpstr>    Hintergrund</vt:lpstr>
      <vt:lpstr>    Entwicklungen in der UPOV</vt:lpstr>
      <vt:lpstr>    Externe Entwicklungen</vt:lpstr>
      <vt:lpstr>    Überlegungen zu den Mitteln</vt:lpstr>
      <vt:lpstr>    Sortenbezeichnungen</vt:lpstr>
      <vt:lpstr>        </vt:lpstr>
      <vt:lpstr>    Einleitung</vt:lpstr>
      <vt:lpstr>    Kommunikation mit Interessenvertretern</vt:lpstr>
      <vt:lpstr>    Kommunikation mit anderen Organisationen</vt:lpstr>
    </vt:vector>
  </TitlesOfParts>
  <Company>UPOV</Company>
  <LinksUpToDate>false</LinksUpToDate>
  <CharactersWithSpaces>85410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C/51/4 Rev.</dc:title>
  <cp:lastModifiedBy>SANCHEZ-VIZCAINO GOMEZ Rosa Maria</cp:lastModifiedBy>
  <cp:revision>3</cp:revision>
  <cp:lastPrinted>2017-08-21T12:22:00Z</cp:lastPrinted>
  <dcterms:created xsi:type="dcterms:W3CDTF">2017-10-31T08:43:00Z</dcterms:created>
  <dcterms:modified xsi:type="dcterms:W3CDTF">2017-10-31T08:44:00Z</dcterms:modified>
</cp:coreProperties>
</file>