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2D2BD9" w14:paraId="1E184EFC" w14:textId="77777777" w:rsidTr="00404247">
        <w:trPr>
          <w:trHeight w:val="1760"/>
        </w:trPr>
        <w:tc>
          <w:tcPr>
            <w:tcW w:w="3993" w:type="dxa"/>
          </w:tcPr>
          <w:p w14:paraId="6C3D6D34" w14:textId="77777777" w:rsidR="0067078A" w:rsidRPr="002D2BD9" w:rsidRDefault="0067078A" w:rsidP="00404247">
            <w:pPr>
              <w:rPr>
                <w:lang w:val="de-DE"/>
              </w:rPr>
            </w:pPr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14:paraId="0B934740" w14:textId="77777777" w:rsidR="0067078A" w:rsidRPr="00835E76" w:rsidRDefault="0067078A" w:rsidP="00404247">
            <w:pPr>
              <w:pStyle w:val="LogoUPOV"/>
              <w:rPr>
                <w:lang w:val="de-DE"/>
              </w:rPr>
            </w:pPr>
            <w:r w:rsidRPr="00835E76">
              <w:rPr>
                <w:noProof/>
              </w:rPr>
              <w:drawing>
                <wp:inline distT="0" distB="0" distL="0" distR="0" wp14:anchorId="3F7A4759" wp14:editId="5110066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14:paraId="2C211055" w14:textId="77777777" w:rsidR="0067078A" w:rsidRPr="00835E76" w:rsidRDefault="00404247" w:rsidP="00404247">
            <w:pPr>
              <w:pStyle w:val="Lettrine"/>
              <w:rPr>
                <w:lang w:val="de-DE"/>
              </w:rPr>
            </w:pPr>
            <w:r w:rsidRPr="00835E76">
              <w:rPr>
                <w:lang w:val="de-DE"/>
              </w:rPr>
              <w:t>G</w:t>
            </w:r>
          </w:p>
          <w:p w14:paraId="0B7C5B8F" w14:textId="77777777" w:rsidR="0067078A" w:rsidRPr="00835E76" w:rsidRDefault="00D311C6" w:rsidP="00404247">
            <w:pPr>
              <w:pStyle w:val="Docoriginal"/>
              <w:rPr>
                <w:lang w:val="de-DE"/>
              </w:rPr>
            </w:pPr>
            <w:r w:rsidRPr="00835E76">
              <w:rPr>
                <w:lang w:val="de-DE"/>
              </w:rPr>
              <w:t>C/50/</w:t>
            </w:r>
            <w:bookmarkStart w:id="1" w:name="Code"/>
            <w:bookmarkEnd w:id="1"/>
            <w:r w:rsidR="00FA6B40" w:rsidRPr="00835E76">
              <w:rPr>
                <w:lang w:val="de-DE"/>
              </w:rPr>
              <w:t>9</w:t>
            </w:r>
          </w:p>
          <w:p w14:paraId="3CD125C9" w14:textId="59BDA55E" w:rsidR="0067078A" w:rsidRPr="00835E76" w:rsidRDefault="0067078A" w:rsidP="00404247">
            <w:pPr>
              <w:pStyle w:val="Docoriginal"/>
              <w:rPr>
                <w:b w:val="0"/>
                <w:spacing w:val="0"/>
                <w:lang w:val="de-DE"/>
              </w:rPr>
            </w:pPr>
            <w:r w:rsidRPr="00835E76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835E76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Original"/>
            <w:bookmarkEnd w:id="2"/>
            <w:r w:rsidR="001B250D" w:rsidRPr="00835E76">
              <w:rPr>
                <w:b w:val="0"/>
                <w:spacing w:val="0"/>
                <w:lang w:val="de-DE"/>
              </w:rPr>
              <w:t>englisch</w:t>
            </w:r>
          </w:p>
          <w:p w14:paraId="3EA369A2" w14:textId="5B7DED59" w:rsidR="0067078A" w:rsidRPr="002D2BD9" w:rsidRDefault="0067078A" w:rsidP="00835E76">
            <w:pPr>
              <w:pStyle w:val="Docoriginal"/>
              <w:rPr>
                <w:lang w:val="de-DE"/>
              </w:rPr>
            </w:pPr>
            <w:r w:rsidRPr="00835E76">
              <w:rPr>
                <w:lang w:val="de-DE"/>
              </w:rPr>
              <w:t>DAT</w:t>
            </w:r>
            <w:r w:rsidR="00404247" w:rsidRPr="00835E76">
              <w:rPr>
                <w:lang w:val="de-DE"/>
              </w:rPr>
              <w:t>UM</w:t>
            </w:r>
            <w:r w:rsidRPr="00835E76">
              <w:rPr>
                <w:lang w:val="de-DE"/>
              </w:rPr>
              <w:t>:</w:t>
            </w:r>
            <w:r w:rsidRPr="00835E76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404247" w:rsidRPr="00835E76">
              <w:rPr>
                <w:rStyle w:val="StyleDocoriginalNotBold1"/>
                <w:spacing w:val="0"/>
                <w:lang w:val="de-DE"/>
              </w:rPr>
              <w:t>2</w:t>
            </w:r>
            <w:r w:rsidR="00835E76" w:rsidRPr="00835E76">
              <w:rPr>
                <w:rStyle w:val="StyleDocoriginalNotBold1"/>
                <w:spacing w:val="0"/>
                <w:lang w:val="de-DE"/>
              </w:rPr>
              <w:t>1</w:t>
            </w:r>
            <w:r w:rsidR="00404247" w:rsidRPr="00835E76">
              <w:rPr>
                <w:rStyle w:val="StyleDocoriginalNotBold1"/>
                <w:spacing w:val="0"/>
                <w:lang w:val="de-DE"/>
              </w:rPr>
              <w:t xml:space="preserve">. </w:t>
            </w:r>
            <w:r w:rsidR="001F7EC7" w:rsidRPr="00835E76">
              <w:rPr>
                <w:b w:val="0"/>
                <w:spacing w:val="0"/>
                <w:lang w:val="de-DE"/>
              </w:rPr>
              <w:t>O</w:t>
            </w:r>
            <w:r w:rsidR="00404247" w:rsidRPr="00835E76">
              <w:rPr>
                <w:b w:val="0"/>
                <w:spacing w:val="0"/>
                <w:lang w:val="de-DE"/>
              </w:rPr>
              <w:t>k</w:t>
            </w:r>
            <w:r w:rsidR="001F7EC7" w:rsidRPr="00835E76">
              <w:rPr>
                <w:b w:val="0"/>
                <w:spacing w:val="0"/>
                <w:lang w:val="de-DE"/>
              </w:rPr>
              <w:t>tober</w:t>
            </w:r>
            <w:r w:rsidRPr="00835E76">
              <w:rPr>
                <w:b w:val="0"/>
                <w:spacing w:val="0"/>
                <w:lang w:val="de-DE"/>
              </w:rPr>
              <w:t xml:space="preserve"> 201</w:t>
            </w:r>
            <w:r w:rsidR="00D311C6" w:rsidRPr="00835E76">
              <w:rPr>
                <w:b w:val="0"/>
                <w:spacing w:val="0"/>
                <w:lang w:val="de-DE"/>
              </w:rPr>
              <w:t>6</w:t>
            </w:r>
          </w:p>
        </w:tc>
      </w:tr>
      <w:tr w:rsidR="0067078A" w:rsidRPr="002D2BD9" w14:paraId="40813C4A" w14:textId="77777777" w:rsidTr="00404247">
        <w:tc>
          <w:tcPr>
            <w:tcW w:w="9534" w:type="dxa"/>
            <w:gridSpan w:val="3"/>
          </w:tcPr>
          <w:p w14:paraId="259AD8F0" w14:textId="77777777" w:rsidR="0067078A" w:rsidRPr="002D2BD9" w:rsidRDefault="0067078A" w:rsidP="00404247">
            <w:pPr>
              <w:pStyle w:val="upove"/>
              <w:rPr>
                <w:sz w:val="28"/>
                <w:lang w:val="de-DE"/>
              </w:rPr>
            </w:pPr>
            <w:r w:rsidRPr="002D2BD9">
              <w:rPr>
                <w:snapToGrid w:val="0"/>
                <w:lang w:val="de-DE"/>
              </w:rPr>
              <w:t>INTERNATIONAL</w:t>
            </w:r>
            <w:r w:rsidR="00404247" w:rsidRPr="002D2BD9">
              <w:rPr>
                <w:snapToGrid w:val="0"/>
                <w:lang w:val="de-DE"/>
              </w:rPr>
              <w:t>ER VERBAND ZUM SCHUTZ VON PFLANZENZÜCHTUNGEN</w:t>
            </w:r>
          </w:p>
        </w:tc>
      </w:tr>
      <w:tr w:rsidR="0067078A" w:rsidRPr="002D2BD9" w14:paraId="52B7BCF5" w14:textId="77777777" w:rsidTr="00404247">
        <w:tc>
          <w:tcPr>
            <w:tcW w:w="9534" w:type="dxa"/>
            <w:gridSpan w:val="3"/>
          </w:tcPr>
          <w:p w14:paraId="38F2B933" w14:textId="77777777" w:rsidR="0067078A" w:rsidRPr="002D2BD9" w:rsidRDefault="0067078A" w:rsidP="00404247">
            <w:pPr>
              <w:pStyle w:val="Country"/>
              <w:rPr>
                <w:lang w:val="de-DE"/>
              </w:rPr>
            </w:pPr>
            <w:r w:rsidRPr="002D2BD9">
              <w:rPr>
                <w:lang w:val="de-DE"/>
              </w:rPr>
              <w:t>Gen</w:t>
            </w:r>
            <w:r w:rsidR="00404247" w:rsidRPr="002D2BD9">
              <w:rPr>
                <w:lang w:val="de-DE"/>
              </w:rPr>
              <w:t>f</w:t>
            </w:r>
          </w:p>
        </w:tc>
      </w:tr>
    </w:tbl>
    <w:p w14:paraId="6DD8DE44" w14:textId="77777777" w:rsidR="0067078A" w:rsidRPr="002D2BD9" w:rsidRDefault="00404247" w:rsidP="0067078A">
      <w:pPr>
        <w:pStyle w:val="Sessiontc"/>
        <w:rPr>
          <w:lang w:val="de-DE"/>
        </w:rPr>
      </w:pPr>
      <w:r w:rsidRPr="002D2BD9">
        <w:rPr>
          <w:lang w:val="de-DE"/>
        </w:rPr>
        <w:t>RAT</w:t>
      </w:r>
    </w:p>
    <w:p w14:paraId="33D3B9AF" w14:textId="79665AEE" w:rsidR="0067078A" w:rsidRPr="002D2BD9" w:rsidRDefault="00D311C6" w:rsidP="0067078A">
      <w:pPr>
        <w:pStyle w:val="Sessiontcplacedate"/>
        <w:rPr>
          <w:lang w:val="de-DE"/>
        </w:rPr>
      </w:pPr>
      <w:r w:rsidRPr="002D2BD9">
        <w:rPr>
          <w:lang w:val="de-DE"/>
        </w:rPr>
        <w:t>F</w:t>
      </w:r>
      <w:r w:rsidR="00404247" w:rsidRPr="002D2BD9">
        <w:rPr>
          <w:lang w:val="de-DE"/>
        </w:rPr>
        <w:t>ünf</w:t>
      </w:r>
      <w:r w:rsidR="00577B1E">
        <w:rPr>
          <w:lang w:val="de-DE"/>
        </w:rPr>
        <w:t>zigs</w:t>
      </w:r>
      <w:r w:rsidR="00404247" w:rsidRPr="002D2BD9">
        <w:rPr>
          <w:lang w:val="de-DE"/>
        </w:rPr>
        <w:t>te ordentliche Tagung</w:t>
      </w:r>
      <w:r w:rsidR="0067078A" w:rsidRPr="002D2BD9">
        <w:rPr>
          <w:lang w:val="de-DE"/>
        </w:rPr>
        <w:br/>
        <w:t>Gen</w:t>
      </w:r>
      <w:r w:rsidR="00404247" w:rsidRPr="002D2BD9">
        <w:rPr>
          <w:lang w:val="de-DE"/>
        </w:rPr>
        <w:t>f</w:t>
      </w:r>
      <w:r w:rsidR="0067078A" w:rsidRPr="002D2BD9">
        <w:rPr>
          <w:lang w:val="de-DE"/>
        </w:rPr>
        <w:t xml:space="preserve">, </w:t>
      </w:r>
      <w:r w:rsidR="00404247" w:rsidRPr="002D2BD9">
        <w:rPr>
          <w:lang w:val="de-DE"/>
        </w:rPr>
        <w:t>28. </w:t>
      </w:r>
      <w:r w:rsidR="0067078A" w:rsidRPr="002D2BD9">
        <w:rPr>
          <w:lang w:val="de-DE"/>
        </w:rPr>
        <w:t>O</w:t>
      </w:r>
      <w:r w:rsidR="00404247" w:rsidRPr="002D2BD9">
        <w:rPr>
          <w:lang w:val="de-DE"/>
        </w:rPr>
        <w:t>k</w:t>
      </w:r>
      <w:r w:rsidR="0067078A" w:rsidRPr="002D2BD9">
        <w:rPr>
          <w:lang w:val="de-DE"/>
        </w:rPr>
        <w:t>tober 201</w:t>
      </w:r>
      <w:r w:rsidRPr="002D2BD9">
        <w:rPr>
          <w:lang w:val="de-DE"/>
        </w:rPr>
        <w:t>6</w:t>
      </w:r>
    </w:p>
    <w:p w14:paraId="5C874677" w14:textId="77777777" w:rsidR="000D7780" w:rsidRPr="002D2BD9" w:rsidRDefault="00404247" w:rsidP="006655D3">
      <w:pPr>
        <w:pStyle w:val="Titleofdoc0"/>
        <w:rPr>
          <w:lang w:val="de-DE"/>
        </w:rPr>
      </w:pPr>
      <w:r w:rsidRPr="002D2BD9">
        <w:rPr>
          <w:lang w:val="de-DE"/>
        </w:rPr>
        <w:t xml:space="preserve">Bericht über den Fortschritt der Arbeiten </w:t>
      </w:r>
      <w:r w:rsidRPr="002D2BD9">
        <w:rPr>
          <w:lang w:val="de-DE"/>
        </w:rPr>
        <w:br/>
        <w:t>des Verwaltungs- und Rechtsausschusses</w:t>
      </w:r>
    </w:p>
    <w:p w14:paraId="4CA71F8B" w14:textId="3C99BA9C" w:rsidR="000D7780" w:rsidRPr="002D2BD9" w:rsidRDefault="00404247" w:rsidP="006655D3">
      <w:pPr>
        <w:pStyle w:val="preparedby1"/>
        <w:rPr>
          <w:lang w:val="de-DE"/>
        </w:rPr>
      </w:pPr>
      <w:bookmarkStart w:id="4" w:name="Prepared"/>
      <w:bookmarkEnd w:id="4"/>
      <w:r w:rsidRPr="002D2BD9">
        <w:rPr>
          <w:lang w:val="de-DE"/>
        </w:rPr>
        <w:t>vom Verbandsbüro erstellt</w:t>
      </w:r>
      <w:r w:rsidR="00560A6D" w:rsidRPr="002D2BD9">
        <w:rPr>
          <w:lang w:val="de-DE"/>
        </w:rPr>
        <w:br/>
      </w:r>
      <w:r w:rsidR="00560A6D" w:rsidRPr="002D2BD9">
        <w:rPr>
          <w:lang w:val="de-DE"/>
        </w:rPr>
        <w:br/>
      </w:r>
      <w:proofErr w:type="spellStart"/>
      <w:r w:rsidRPr="002D2BD9">
        <w:rPr>
          <w:color w:val="A6A6A6" w:themeColor="background1" w:themeShade="A6"/>
          <w:lang w:val="de-DE"/>
        </w:rPr>
        <w:t>Haftungsausschluß</w:t>
      </w:r>
      <w:proofErr w:type="spellEnd"/>
      <w:r w:rsidRPr="002D2BD9">
        <w:rPr>
          <w:color w:val="A6A6A6" w:themeColor="background1" w:themeShade="A6"/>
          <w:lang w:val="de-DE"/>
        </w:rPr>
        <w:t xml:space="preserve">: </w:t>
      </w:r>
      <w:r w:rsidR="00577B1E" w:rsidRPr="002D2BD9">
        <w:rPr>
          <w:color w:val="A6A6A6" w:themeColor="background1" w:themeShade="A6"/>
          <w:lang w:val="de-DE"/>
        </w:rPr>
        <w:t xml:space="preserve">Dieses </w:t>
      </w:r>
      <w:r w:rsidRPr="002D2BD9">
        <w:rPr>
          <w:color w:val="A6A6A6" w:themeColor="background1" w:themeShade="A6"/>
          <w:lang w:val="de-DE"/>
        </w:rPr>
        <w:t>Dokument gibt nicht die Grundsätze oder eine Anleitung der UPOV wieder</w:t>
      </w:r>
    </w:p>
    <w:p w14:paraId="27025066" w14:textId="1617A531" w:rsidR="001F7EC7" w:rsidRPr="002D2BD9" w:rsidRDefault="001F7EC7" w:rsidP="00404247">
      <w:pPr>
        <w:rPr>
          <w:lang w:val="de-DE"/>
        </w:rPr>
      </w:pPr>
      <w:r w:rsidRPr="002D2BD9">
        <w:rPr>
          <w:lang w:val="de-DE"/>
        </w:rPr>
        <w:fldChar w:fldCharType="begin"/>
      </w:r>
      <w:r w:rsidRPr="002D2BD9">
        <w:rPr>
          <w:lang w:val="de-DE"/>
        </w:rPr>
        <w:instrText xml:space="preserve"> AUTONUM  </w:instrText>
      </w:r>
      <w:r w:rsidRPr="002D2BD9">
        <w:rPr>
          <w:lang w:val="de-DE"/>
        </w:rPr>
        <w:fldChar w:fldCharType="end"/>
      </w:r>
      <w:r w:rsidRPr="002D2BD9">
        <w:rPr>
          <w:lang w:val="de-DE"/>
        </w:rPr>
        <w:tab/>
      </w:r>
      <w:r w:rsidR="00404247" w:rsidRPr="002D2BD9">
        <w:rPr>
          <w:lang w:val="de-DE"/>
        </w:rPr>
        <w:t>Auf seiner zweiundsiebzigsten Tagung vom 26.</w:t>
      </w:r>
      <w:r w:rsidR="00835E76">
        <w:rPr>
          <w:lang w:val="de-DE"/>
        </w:rPr>
        <w:t xml:space="preserve"> </w:t>
      </w:r>
      <w:r w:rsidR="00840F97" w:rsidRPr="002D2BD9">
        <w:rPr>
          <w:lang w:val="de-DE"/>
        </w:rPr>
        <w:t xml:space="preserve">und 27. Oktober </w:t>
      </w:r>
      <w:r w:rsidR="00404247" w:rsidRPr="002D2BD9">
        <w:rPr>
          <w:lang w:val="de-DE"/>
        </w:rPr>
        <w:t>2</w:t>
      </w:r>
      <w:r w:rsidR="00835E76">
        <w:rPr>
          <w:lang w:val="de-DE"/>
        </w:rPr>
        <w:t>015 unter dem Vorsitz von Herrn </w:t>
      </w:r>
      <w:r w:rsidR="00404247" w:rsidRPr="002D2BD9">
        <w:rPr>
          <w:lang w:val="de-DE"/>
        </w:rPr>
        <w:t xml:space="preserve">Martin Ekvad (Europäische Union) in Genf </w:t>
      </w:r>
      <w:r w:rsidR="00B22832" w:rsidRPr="002D2BD9">
        <w:rPr>
          <w:lang w:val="de-DE"/>
        </w:rPr>
        <w:t xml:space="preserve">prüfte der Verwaltungs- und </w:t>
      </w:r>
      <w:proofErr w:type="spellStart"/>
      <w:r w:rsidR="00B22832" w:rsidRPr="002D2BD9">
        <w:rPr>
          <w:lang w:val="de-DE"/>
        </w:rPr>
        <w:t>Rechtsausschuß</w:t>
      </w:r>
      <w:proofErr w:type="spellEnd"/>
      <w:r w:rsidR="00D65FF9" w:rsidRPr="002D2BD9">
        <w:rPr>
          <w:lang w:val="de-DE"/>
        </w:rPr>
        <w:t xml:space="preserve"> (CAJ) </w:t>
      </w:r>
      <w:r w:rsidR="00835E76">
        <w:rPr>
          <w:lang w:val="de-DE"/>
        </w:rPr>
        <w:t>das </w:t>
      </w:r>
      <w:r w:rsidR="00B22832" w:rsidRPr="002D2BD9">
        <w:rPr>
          <w:lang w:val="de-DE"/>
        </w:rPr>
        <w:t>Arbeitsprogramm für die dreiundsiebzigste Tagung des CAJ und sch</w:t>
      </w:r>
      <w:r w:rsidR="00835E76">
        <w:rPr>
          <w:lang w:val="de-DE"/>
        </w:rPr>
        <w:t>lug vor, im März 2016 keine CAJ</w:t>
      </w:r>
      <w:r w:rsidR="00835E76">
        <w:rPr>
          <w:lang w:val="de-DE"/>
        </w:rPr>
        <w:noBreakHyphen/>
      </w:r>
      <w:r w:rsidR="00B22832" w:rsidRPr="002D2BD9">
        <w:rPr>
          <w:lang w:val="de-DE"/>
        </w:rPr>
        <w:t>Tagung abzuhalten und im Oktober 2016 eine zweitägige CAJ-Tagung abzuhalten</w:t>
      </w:r>
      <w:r w:rsidR="00D65FF9" w:rsidRPr="002D2BD9">
        <w:rPr>
          <w:lang w:val="de-DE"/>
        </w:rPr>
        <w:t>.</w:t>
      </w:r>
    </w:p>
    <w:p w14:paraId="1ED333A5" w14:textId="77777777" w:rsidR="001F7EC7" w:rsidRPr="002D2BD9" w:rsidRDefault="001F7EC7" w:rsidP="001F7EC7">
      <w:pPr>
        <w:rPr>
          <w:lang w:val="de-DE"/>
        </w:rPr>
      </w:pPr>
    </w:p>
    <w:p w14:paraId="27710B92" w14:textId="5DDBEADE" w:rsidR="00D35691" w:rsidRPr="002D2BD9" w:rsidRDefault="001F7EC7" w:rsidP="00D35691">
      <w:pPr>
        <w:keepNext/>
        <w:spacing w:after="120"/>
        <w:rPr>
          <w:lang w:val="de-DE"/>
        </w:rPr>
      </w:pPr>
      <w:r w:rsidRPr="002D2BD9">
        <w:rPr>
          <w:lang w:val="de-DE"/>
        </w:rPr>
        <w:fldChar w:fldCharType="begin"/>
      </w:r>
      <w:r w:rsidRPr="002D2BD9">
        <w:rPr>
          <w:lang w:val="de-DE"/>
        </w:rPr>
        <w:instrText xml:space="preserve"> AUTONUM  </w:instrText>
      </w:r>
      <w:r w:rsidRPr="002D2BD9">
        <w:rPr>
          <w:lang w:val="de-DE"/>
        </w:rPr>
        <w:fldChar w:fldCharType="end"/>
      </w:r>
      <w:r w:rsidRPr="002D2BD9">
        <w:rPr>
          <w:lang w:val="de-DE"/>
        </w:rPr>
        <w:tab/>
      </w:r>
      <w:r w:rsidR="00B22832" w:rsidRPr="002D2BD9">
        <w:rPr>
          <w:lang w:val="de-DE"/>
        </w:rPr>
        <w:t xml:space="preserve">Das folgende Programm wurde für die dreiundsiebzigste Tagung des CAJ am 25. Oktober 2016 </w:t>
      </w:r>
      <w:r w:rsidR="00577B1E">
        <w:rPr>
          <w:lang w:val="de-DE"/>
        </w:rPr>
        <w:t xml:space="preserve">in Genf </w:t>
      </w:r>
      <w:r w:rsidR="00B22832" w:rsidRPr="002D2BD9">
        <w:rPr>
          <w:lang w:val="de-DE"/>
        </w:rPr>
        <w:t>vereinbart</w:t>
      </w:r>
      <w:r w:rsidRPr="002D2BD9">
        <w:rPr>
          <w:lang w:val="de-DE"/>
        </w:rPr>
        <w:t>:</w:t>
      </w:r>
    </w:p>
    <w:p w14:paraId="36D5B695" w14:textId="45D1C66C" w:rsidR="00D35691" w:rsidRPr="002D2BD9" w:rsidRDefault="001502B4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>Eröffnung der Tagung</w:t>
      </w:r>
    </w:p>
    <w:p w14:paraId="3FCA441A" w14:textId="645C7E8B" w:rsidR="00D35691" w:rsidRPr="002D2BD9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>A</w:t>
      </w:r>
      <w:r w:rsidR="001502B4" w:rsidRPr="002D2BD9">
        <w:rPr>
          <w:lang w:val="de-DE"/>
        </w:rPr>
        <w:t>nnahme der Tagesordnung</w:t>
      </w:r>
    </w:p>
    <w:p w14:paraId="4DA36858" w14:textId="733C04C5" w:rsidR="00D35691" w:rsidRPr="002D2BD9" w:rsidRDefault="001502B4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 xml:space="preserve">Bericht über </w:t>
      </w:r>
      <w:r w:rsidR="008C418B" w:rsidRPr="002D2BD9">
        <w:rPr>
          <w:lang w:val="de-DE"/>
        </w:rPr>
        <w:t xml:space="preserve">die </w:t>
      </w:r>
      <w:r w:rsidRPr="002D2BD9">
        <w:rPr>
          <w:lang w:val="de-DE"/>
        </w:rPr>
        <w:t xml:space="preserve">Entwicklungen im Technischen </w:t>
      </w:r>
      <w:proofErr w:type="spellStart"/>
      <w:r w:rsidR="008C418B" w:rsidRPr="002D2BD9">
        <w:rPr>
          <w:lang w:val="de-DE"/>
        </w:rPr>
        <w:t>Ausschuß</w:t>
      </w:r>
      <w:proofErr w:type="spellEnd"/>
    </w:p>
    <w:p w14:paraId="10E6DC13" w14:textId="29A19C50" w:rsidR="00D35691" w:rsidRPr="002D2BD9" w:rsidRDefault="008C418B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kern w:val="28"/>
          <w:lang w:val="de-DE"/>
        </w:rPr>
        <w:t>Ausarbeitung von Informationsmaterial zum UPOV-Übereinkommen</w:t>
      </w:r>
    </w:p>
    <w:p w14:paraId="03959228" w14:textId="25053752" w:rsidR="00D35691" w:rsidRPr="002D2BD9" w:rsidRDefault="00DC775E" w:rsidP="00DC775E">
      <w:pPr>
        <w:pStyle w:val="ListParagraph"/>
        <w:numPr>
          <w:ilvl w:val="0"/>
          <w:numId w:val="3"/>
        </w:numPr>
        <w:spacing w:after="60"/>
        <w:rPr>
          <w:lang w:val="de-DE"/>
        </w:rPr>
      </w:pPr>
      <w:r w:rsidRPr="002D2BD9">
        <w:rPr>
          <w:lang w:val="de-DE"/>
        </w:rPr>
        <w:t>Erläuterungen zu den im wesentlichen abgeleiteten Sorten nach der Akte von 1991 des UPOV</w:t>
      </w:r>
      <w:r w:rsidR="002A6218">
        <w:rPr>
          <w:lang w:val="de-DE"/>
        </w:rPr>
        <w:t>-</w:t>
      </w:r>
      <w:r w:rsidRPr="002D2BD9">
        <w:rPr>
          <w:lang w:val="de-DE"/>
        </w:rPr>
        <w:t xml:space="preserve">Übereinkommens (Überarbeitung) und Referat der </w:t>
      </w:r>
      <w:r w:rsidRPr="002D2BD9">
        <w:rPr>
          <w:i/>
          <w:lang w:val="de-DE"/>
        </w:rPr>
        <w:t xml:space="preserve">European </w:t>
      </w:r>
      <w:proofErr w:type="spellStart"/>
      <w:r w:rsidRPr="002D2BD9">
        <w:rPr>
          <w:i/>
          <w:lang w:val="de-DE"/>
        </w:rPr>
        <w:t>Seed</w:t>
      </w:r>
      <w:proofErr w:type="spellEnd"/>
      <w:r w:rsidRPr="002D2BD9">
        <w:rPr>
          <w:i/>
          <w:lang w:val="de-DE"/>
        </w:rPr>
        <w:t xml:space="preserve"> </w:t>
      </w:r>
      <w:proofErr w:type="spellStart"/>
      <w:r w:rsidRPr="002D2BD9">
        <w:rPr>
          <w:i/>
          <w:lang w:val="de-DE"/>
        </w:rPr>
        <w:t>Association</w:t>
      </w:r>
      <w:proofErr w:type="spellEnd"/>
      <w:r w:rsidRPr="002D2BD9">
        <w:rPr>
          <w:lang w:val="de-DE"/>
        </w:rPr>
        <w:t xml:space="preserve"> (ESA) und de</w:t>
      </w:r>
      <w:r w:rsidR="00577B1E">
        <w:rPr>
          <w:lang w:val="de-DE"/>
        </w:rPr>
        <w:t>r</w:t>
      </w:r>
      <w:r w:rsidRPr="002D2BD9">
        <w:rPr>
          <w:lang w:val="de-DE"/>
        </w:rPr>
        <w:t xml:space="preserve"> </w:t>
      </w:r>
      <w:r w:rsidRPr="002D2BD9">
        <w:rPr>
          <w:i/>
          <w:lang w:val="de-DE"/>
        </w:rPr>
        <w:t xml:space="preserve">International </w:t>
      </w:r>
      <w:proofErr w:type="spellStart"/>
      <w:r w:rsidRPr="002D2BD9">
        <w:rPr>
          <w:i/>
          <w:lang w:val="de-DE"/>
        </w:rPr>
        <w:t>Seed</w:t>
      </w:r>
      <w:proofErr w:type="spellEnd"/>
      <w:r w:rsidRPr="002D2BD9">
        <w:rPr>
          <w:i/>
          <w:lang w:val="de-DE"/>
        </w:rPr>
        <w:t xml:space="preserve"> </w:t>
      </w:r>
      <w:proofErr w:type="spellStart"/>
      <w:r w:rsidRPr="002D2BD9">
        <w:rPr>
          <w:i/>
          <w:lang w:val="de-DE"/>
        </w:rPr>
        <w:t>Federation</w:t>
      </w:r>
      <w:proofErr w:type="spellEnd"/>
      <w:r w:rsidRPr="002D2BD9">
        <w:rPr>
          <w:lang w:val="de-DE"/>
        </w:rPr>
        <w:t xml:space="preserve"> (ISF)</w:t>
      </w:r>
    </w:p>
    <w:p w14:paraId="408ADDCE" w14:textId="542806F3" w:rsidR="00DC775E" w:rsidRPr="002D2BD9" w:rsidRDefault="00DC775E" w:rsidP="00DC775E">
      <w:pPr>
        <w:pStyle w:val="ListParagraph"/>
        <w:numPr>
          <w:ilvl w:val="0"/>
          <w:numId w:val="3"/>
        </w:numPr>
        <w:spacing w:after="60"/>
        <w:rPr>
          <w:lang w:val="de-DE"/>
        </w:rPr>
      </w:pPr>
      <w:r w:rsidRPr="002D2BD9">
        <w:rPr>
          <w:lang w:val="de-DE"/>
        </w:rPr>
        <w:t>Erläuterungen zu Vermehrungsmaterial nach dem UPOV-Übereinkommen</w:t>
      </w:r>
    </w:p>
    <w:p w14:paraId="561A8C51" w14:textId="3FA30AF6" w:rsidR="00DC775E" w:rsidRPr="002D2BD9" w:rsidRDefault="00DC775E" w:rsidP="00DC775E">
      <w:pPr>
        <w:pStyle w:val="ListParagraph"/>
        <w:numPr>
          <w:ilvl w:val="0"/>
          <w:numId w:val="3"/>
        </w:numPr>
        <w:spacing w:after="60"/>
        <w:rPr>
          <w:lang w:val="de-DE"/>
        </w:rPr>
      </w:pPr>
      <w:r w:rsidRPr="002D2BD9">
        <w:rPr>
          <w:lang w:val="de-DE"/>
        </w:rPr>
        <w:t xml:space="preserve">Etwaige Überarbeitung von Dokument UPOV/EXN/CAL/1 „Erläuterungen zu den Bedingungen und Einschränkungen im Zusammenhang mit der Zustimmung des Züchters in </w:t>
      </w:r>
      <w:proofErr w:type="spellStart"/>
      <w:r w:rsidRPr="002D2BD9">
        <w:rPr>
          <w:lang w:val="de-DE"/>
        </w:rPr>
        <w:t>bezug</w:t>
      </w:r>
      <w:proofErr w:type="spellEnd"/>
      <w:r w:rsidRPr="002D2BD9">
        <w:rPr>
          <w:lang w:val="de-DE"/>
        </w:rPr>
        <w:t xml:space="preserve"> auf Vermehrungsmaterial nach dem UPOV-Übereinkommen“</w:t>
      </w:r>
    </w:p>
    <w:p w14:paraId="393A5536" w14:textId="0DE3CF9D" w:rsidR="00DC775E" w:rsidRPr="002D2BD9" w:rsidRDefault="00DC775E" w:rsidP="00DC775E">
      <w:pPr>
        <w:pStyle w:val="ListParagraph"/>
        <w:numPr>
          <w:ilvl w:val="0"/>
          <w:numId w:val="3"/>
        </w:numPr>
        <w:spacing w:after="60"/>
        <w:rPr>
          <w:lang w:val="de-DE"/>
        </w:rPr>
      </w:pPr>
      <w:r w:rsidRPr="002D2BD9">
        <w:rPr>
          <w:lang w:val="de-DE"/>
        </w:rPr>
        <w:t>Etwaige Überarbeitung von Dokument UPOV/EXN/PRP/2 „Erläuterungen zum vorläufigen Schutz nach dem UPOV-Übereinkommen“</w:t>
      </w:r>
    </w:p>
    <w:p w14:paraId="26431B11" w14:textId="777232C4" w:rsidR="00DC775E" w:rsidRDefault="00DC775E" w:rsidP="00577B1E">
      <w:pPr>
        <w:pStyle w:val="ListParagraph"/>
        <w:numPr>
          <w:ilvl w:val="0"/>
          <w:numId w:val="3"/>
        </w:numPr>
        <w:spacing w:after="60" w:line="360" w:lineRule="auto"/>
        <w:rPr>
          <w:lang w:val="de-DE"/>
        </w:rPr>
      </w:pPr>
      <w:r w:rsidRPr="002D2BD9">
        <w:rPr>
          <w:lang w:val="de-DE"/>
        </w:rPr>
        <w:t>UPOV-Musteramtsblatt für Sortenschutz (Überarbeitung)</w:t>
      </w:r>
    </w:p>
    <w:p w14:paraId="2F7B8A9F" w14:textId="36D22541" w:rsidR="00D35691" w:rsidRPr="002D2BD9" w:rsidRDefault="008C418B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kern w:val="28"/>
          <w:lang w:val="de-DE"/>
        </w:rPr>
        <w:t>Sortenbezeichnungen</w:t>
      </w:r>
      <w:r w:rsidRPr="002D2BD9">
        <w:rPr>
          <w:lang w:val="de-DE"/>
        </w:rPr>
        <w:t xml:space="preserve"> </w:t>
      </w:r>
    </w:p>
    <w:p w14:paraId="3181CF01" w14:textId="0C1346B3" w:rsidR="00D35691" w:rsidRPr="002D2BD9" w:rsidRDefault="008C418B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kern w:val="28"/>
          <w:lang w:val="de-DE"/>
        </w:rPr>
        <w:t>Information und Datenbanken</w:t>
      </w:r>
      <w:r w:rsidRPr="002D2BD9">
        <w:rPr>
          <w:lang w:val="de-DE"/>
        </w:rPr>
        <w:t xml:space="preserve"> </w:t>
      </w:r>
    </w:p>
    <w:p w14:paraId="5BEF19A6" w14:textId="513D7587" w:rsidR="00D35691" w:rsidRPr="002D2BD9" w:rsidRDefault="008C418B" w:rsidP="008C418B">
      <w:pPr>
        <w:pStyle w:val="ListParagraph"/>
        <w:numPr>
          <w:ilvl w:val="0"/>
          <w:numId w:val="2"/>
        </w:numPr>
        <w:spacing w:after="60"/>
        <w:rPr>
          <w:szCs w:val="24"/>
          <w:lang w:val="de-DE"/>
        </w:rPr>
      </w:pPr>
      <w:r w:rsidRPr="002D2BD9">
        <w:rPr>
          <w:lang w:val="de-DE"/>
        </w:rPr>
        <w:t>E</w:t>
      </w:r>
      <w:r w:rsidRPr="002D2BD9">
        <w:rPr>
          <w:szCs w:val="24"/>
          <w:lang w:val="de-DE"/>
        </w:rPr>
        <w:t>lektronisches Formblatt für die Einreichung von Anträgen</w:t>
      </w:r>
    </w:p>
    <w:p w14:paraId="24A10B5B" w14:textId="0B8782A9" w:rsidR="008C418B" w:rsidRPr="002D2BD9" w:rsidRDefault="008C418B" w:rsidP="008C418B">
      <w:pPr>
        <w:pStyle w:val="ListParagraph"/>
        <w:numPr>
          <w:ilvl w:val="0"/>
          <w:numId w:val="2"/>
        </w:numPr>
        <w:spacing w:after="60"/>
        <w:rPr>
          <w:lang w:val="de-DE"/>
        </w:rPr>
      </w:pPr>
      <w:r w:rsidRPr="002D2BD9">
        <w:rPr>
          <w:kern w:val="28"/>
          <w:lang w:val="de-DE"/>
        </w:rPr>
        <w:t>UPOV-Informationsdatenbanken</w:t>
      </w:r>
    </w:p>
    <w:p w14:paraId="717217FC" w14:textId="4C892FC3" w:rsidR="00D35691" w:rsidRPr="002D2BD9" w:rsidRDefault="008C418B" w:rsidP="00D35691">
      <w:pPr>
        <w:spacing w:after="60"/>
        <w:ind w:left="1276" w:hanging="425"/>
        <w:rPr>
          <w:lang w:val="de-DE"/>
        </w:rPr>
      </w:pPr>
      <w:r w:rsidRPr="002D2BD9">
        <w:rPr>
          <w:kern w:val="28"/>
          <w:lang w:val="de-DE"/>
        </w:rPr>
        <w:t>c)</w:t>
      </w:r>
      <w:r w:rsidRPr="002D2BD9">
        <w:rPr>
          <w:kern w:val="28"/>
          <w:lang w:val="de-DE"/>
        </w:rPr>
        <w:tab/>
        <w:t>Austausch und Verwendung von So</w:t>
      </w:r>
      <w:r w:rsidRPr="002D2BD9">
        <w:rPr>
          <w:lang w:val="de-DE"/>
        </w:rPr>
        <w:t>ftware und Ausrüstung</w:t>
      </w:r>
    </w:p>
    <w:p w14:paraId="410F0679" w14:textId="31CDE49A" w:rsidR="00D35691" w:rsidRPr="002D2BD9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>TGP</w:t>
      </w:r>
      <w:r w:rsidR="008C418B" w:rsidRPr="002D2BD9">
        <w:rPr>
          <w:lang w:val="de-DE"/>
        </w:rPr>
        <w:t>-D</w:t>
      </w:r>
      <w:r w:rsidRPr="002D2BD9">
        <w:rPr>
          <w:lang w:val="de-DE"/>
        </w:rPr>
        <w:t>o</w:t>
      </w:r>
      <w:r w:rsidR="008C418B" w:rsidRPr="002D2BD9">
        <w:rPr>
          <w:lang w:val="de-DE"/>
        </w:rPr>
        <w:t>k</w:t>
      </w:r>
      <w:r w:rsidRPr="002D2BD9">
        <w:rPr>
          <w:lang w:val="de-DE"/>
        </w:rPr>
        <w:t>ument</w:t>
      </w:r>
      <w:r w:rsidR="008C418B" w:rsidRPr="002D2BD9">
        <w:rPr>
          <w:lang w:val="de-DE"/>
        </w:rPr>
        <w:t>e</w:t>
      </w:r>
    </w:p>
    <w:p w14:paraId="78782765" w14:textId="329E7417" w:rsidR="00D35691" w:rsidRPr="002D2BD9" w:rsidRDefault="00CA747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>Mole</w:t>
      </w:r>
      <w:r w:rsidR="008C418B" w:rsidRPr="002D2BD9">
        <w:rPr>
          <w:lang w:val="de-DE"/>
        </w:rPr>
        <w:t>kulare Verfahren</w:t>
      </w:r>
    </w:p>
    <w:p w14:paraId="348C4CEC" w14:textId="14BCE2EA" w:rsidR="00D35691" w:rsidRPr="002D2BD9" w:rsidRDefault="001F7EC7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lang w:val="de-DE"/>
        </w:rPr>
        <w:t>Program</w:t>
      </w:r>
      <w:r w:rsidR="008C418B" w:rsidRPr="002D2BD9">
        <w:rPr>
          <w:lang w:val="de-DE"/>
        </w:rPr>
        <w:t>m der vierundsiebzigsten Tagung</w:t>
      </w:r>
    </w:p>
    <w:p w14:paraId="056FBDB3" w14:textId="68BB1C5F" w:rsidR="00D35691" w:rsidRPr="002D2BD9" w:rsidRDefault="00DC775E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kern w:val="28"/>
          <w:lang w:val="de-DE"/>
        </w:rPr>
        <w:t>Annahme des Berichts über die Entschließungen (wenn zeitlich möglich)</w:t>
      </w:r>
    </w:p>
    <w:p w14:paraId="2ACD25D7" w14:textId="2A3D8127" w:rsidR="00D35691" w:rsidRPr="002D2BD9" w:rsidRDefault="00DC775E" w:rsidP="00D35691">
      <w:pPr>
        <w:pStyle w:val="ListParagraph"/>
        <w:numPr>
          <w:ilvl w:val="0"/>
          <w:numId w:val="1"/>
        </w:numPr>
        <w:spacing w:after="60"/>
        <w:ind w:left="851" w:hanging="284"/>
        <w:contextualSpacing w:val="0"/>
        <w:rPr>
          <w:lang w:val="de-DE"/>
        </w:rPr>
      </w:pPr>
      <w:r w:rsidRPr="002D2BD9">
        <w:rPr>
          <w:kern w:val="28"/>
          <w:lang w:val="de-DE"/>
        </w:rPr>
        <w:t>Schließung der Tagung</w:t>
      </w:r>
      <w:r w:rsidRPr="002D2BD9">
        <w:rPr>
          <w:lang w:val="de-DE"/>
        </w:rPr>
        <w:t xml:space="preserve"> </w:t>
      </w:r>
    </w:p>
    <w:p w14:paraId="1B316A39" w14:textId="363892AE" w:rsidR="001F7EC7" w:rsidRPr="002D2BD9" w:rsidRDefault="001F7EC7" w:rsidP="00D35691">
      <w:pPr>
        <w:ind w:left="567"/>
        <w:rPr>
          <w:lang w:val="de-DE"/>
        </w:rPr>
      </w:pPr>
      <w:r w:rsidRPr="002D2BD9">
        <w:rPr>
          <w:lang w:val="de-DE"/>
        </w:rPr>
        <w:t>(</w:t>
      </w:r>
      <w:r w:rsidR="00DC775E" w:rsidRPr="002D2BD9">
        <w:rPr>
          <w:lang w:val="de-DE"/>
        </w:rPr>
        <w:t xml:space="preserve">vergleiche </w:t>
      </w:r>
      <w:r w:rsidR="00F0073E" w:rsidRPr="002D2BD9">
        <w:rPr>
          <w:lang w:val="de-DE"/>
        </w:rPr>
        <w:t xml:space="preserve">die </w:t>
      </w:r>
      <w:r w:rsidR="00DC775E" w:rsidRPr="002D2BD9">
        <w:rPr>
          <w:lang w:val="de-DE"/>
        </w:rPr>
        <w:t>Dokumente</w:t>
      </w:r>
      <w:r w:rsidRPr="002D2BD9">
        <w:rPr>
          <w:lang w:val="de-DE"/>
        </w:rPr>
        <w:t xml:space="preserve"> CAJ/7</w:t>
      </w:r>
      <w:r w:rsidR="00CA7477" w:rsidRPr="002D2BD9">
        <w:rPr>
          <w:lang w:val="de-DE"/>
        </w:rPr>
        <w:t>2</w:t>
      </w:r>
      <w:r w:rsidRPr="002D2BD9">
        <w:rPr>
          <w:lang w:val="de-DE"/>
        </w:rPr>
        <w:t>/</w:t>
      </w:r>
      <w:r w:rsidR="00CA7477" w:rsidRPr="002D2BD9">
        <w:rPr>
          <w:lang w:val="de-DE"/>
        </w:rPr>
        <w:t>9</w:t>
      </w:r>
      <w:r w:rsidRPr="002D2BD9">
        <w:rPr>
          <w:lang w:val="de-DE"/>
        </w:rPr>
        <w:t xml:space="preserve"> </w:t>
      </w:r>
      <w:r w:rsidR="00F0073E" w:rsidRPr="002D2BD9">
        <w:rPr>
          <w:lang w:val="de-DE"/>
        </w:rPr>
        <w:t>„</w:t>
      </w:r>
      <w:r w:rsidR="00DC775E" w:rsidRPr="002D2BD9">
        <w:rPr>
          <w:lang w:val="de-DE"/>
        </w:rPr>
        <w:t>Bericht über die Entschließungen</w:t>
      </w:r>
      <w:r w:rsidR="00F0073E" w:rsidRPr="002D2BD9">
        <w:rPr>
          <w:lang w:val="de-DE"/>
        </w:rPr>
        <w:t>“</w:t>
      </w:r>
      <w:r w:rsidRPr="002D2BD9">
        <w:rPr>
          <w:lang w:val="de-DE"/>
        </w:rPr>
        <w:t xml:space="preserve">, </w:t>
      </w:r>
      <w:r w:rsidR="00DC775E" w:rsidRPr="002D2BD9">
        <w:rPr>
          <w:lang w:val="de-DE"/>
        </w:rPr>
        <w:t>Absatz </w:t>
      </w:r>
      <w:r w:rsidR="00CA7477" w:rsidRPr="002D2BD9">
        <w:rPr>
          <w:lang w:val="de-DE"/>
        </w:rPr>
        <w:t>47</w:t>
      </w:r>
      <w:r w:rsidR="00DC775E" w:rsidRPr="002D2BD9">
        <w:rPr>
          <w:lang w:val="de-DE"/>
        </w:rPr>
        <w:t>,</w:t>
      </w:r>
      <w:r w:rsidR="002514F1" w:rsidRPr="002D2BD9">
        <w:rPr>
          <w:lang w:val="de-DE"/>
        </w:rPr>
        <w:t xml:space="preserve"> </w:t>
      </w:r>
      <w:r w:rsidR="00DC775E" w:rsidRPr="002D2BD9">
        <w:rPr>
          <w:lang w:val="de-DE"/>
        </w:rPr>
        <w:t>u</w:t>
      </w:r>
      <w:r w:rsidR="002514F1" w:rsidRPr="002D2BD9">
        <w:rPr>
          <w:lang w:val="de-DE"/>
        </w:rPr>
        <w:t>nd CAJ/73/1</w:t>
      </w:r>
      <w:r w:rsidR="00577B1E">
        <w:rPr>
          <w:lang w:val="de-DE"/>
        </w:rPr>
        <w:t> </w:t>
      </w:r>
      <w:proofErr w:type="spellStart"/>
      <w:r w:rsidR="002514F1" w:rsidRPr="002D2BD9">
        <w:rPr>
          <w:lang w:val="de-DE"/>
        </w:rPr>
        <w:t>Rev</w:t>
      </w:r>
      <w:proofErr w:type="spellEnd"/>
      <w:r w:rsidR="002514F1" w:rsidRPr="002D2BD9">
        <w:rPr>
          <w:lang w:val="de-DE"/>
        </w:rPr>
        <w:t>.</w:t>
      </w:r>
      <w:r w:rsidR="00D35691" w:rsidRPr="002D2BD9">
        <w:rPr>
          <w:lang w:val="de-DE"/>
        </w:rPr>
        <w:t xml:space="preserve"> </w:t>
      </w:r>
      <w:r w:rsidR="00F0073E" w:rsidRPr="002D2BD9">
        <w:rPr>
          <w:lang w:val="de-DE"/>
        </w:rPr>
        <w:t>„</w:t>
      </w:r>
      <w:r w:rsidR="00D35691" w:rsidRPr="002D2BD9">
        <w:rPr>
          <w:lang w:val="de-DE"/>
        </w:rPr>
        <w:t>Revi</w:t>
      </w:r>
      <w:r w:rsidR="00F0073E" w:rsidRPr="002D2BD9">
        <w:rPr>
          <w:lang w:val="de-DE"/>
        </w:rPr>
        <w:t>dierter Entwurf einer Tagesordnung“</w:t>
      </w:r>
      <w:r w:rsidR="00D35691" w:rsidRPr="002D2BD9">
        <w:rPr>
          <w:lang w:val="de-DE"/>
        </w:rPr>
        <w:t>).</w:t>
      </w:r>
    </w:p>
    <w:p w14:paraId="51C4BA43" w14:textId="7703FDC3" w:rsidR="00CA7477" w:rsidRPr="002D2BD9" w:rsidRDefault="00CA7477" w:rsidP="001F7EC7">
      <w:pPr>
        <w:keepNext/>
        <w:rPr>
          <w:lang w:val="de-DE"/>
        </w:rPr>
      </w:pPr>
      <w:r w:rsidRPr="002D2BD9">
        <w:rPr>
          <w:lang w:val="de-DE"/>
        </w:rPr>
        <w:lastRenderedPageBreak/>
        <w:fldChar w:fldCharType="begin"/>
      </w:r>
      <w:r w:rsidRPr="002D2BD9">
        <w:rPr>
          <w:lang w:val="de-DE"/>
        </w:rPr>
        <w:instrText xml:space="preserve"> AUTONUM  </w:instrText>
      </w:r>
      <w:r w:rsidRPr="002D2BD9">
        <w:rPr>
          <w:lang w:val="de-DE"/>
        </w:rPr>
        <w:fldChar w:fldCharType="end"/>
      </w:r>
      <w:r w:rsidRPr="002D2BD9">
        <w:rPr>
          <w:lang w:val="de-DE"/>
        </w:rPr>
        <w:tab/>
      </w:r>
      <w:r w:rsidR="00F0073E" w:rsidRPr="002D2BD9">
        <w:rPr>
          <w:lang w:val="de-DE"/>
        </w:rPr>
        <w:t>Der Vorsitzende des</w:t>
      </w:r>
      <w:r w:rsidR="00D65FF9" w:rsidRPr="002D2BD9">
        <w:rPr>
          <w:lang w:val="de-DE"/>
        </w:rPr>
        <w:t xml:space="preserve"> CAJ wi</w:t>
      </w:r>
      <w:r w:rsidR="00F0073E" w:rsidRPr="002D2BD9">
        <w:rPr>
          <w:lang w:val="de-DE"/>
        </w:rPr>
        <w:t>rd auf der fünfzigsten ordentlichen Tagung des Rat</w:t>
      </w:r>
      <w:r w:rsidR="005F0FB3">
        <w:rPr>
          <w:lang w:val="de-DE"/>
        </w:rPr>
        <w:t>e</w:t>
      </w:r>
      <w:r w:rsidR="00F0073E" w:rsidRPr="002D2BD9">
        <w:rPr>
          <w:lang w:val="de-DE"/>
        </w:rPr>
        <w:t>s mündlich über die dreiundsiebzigste Tagung des CAJ und das Programm für seine vierundsiebzigste Tagung berichten</w:t>
      </w:r>
      <w:r w:rsidR="00C97182" w:rsidRPr="002D2BD9">
        <w:rPr>
          <w:lang w:val="de-DE"/>
        </w:rPr>
        <w:t xml:space="preserve">. Der Bericht über die Entschließungen der dreiundsiebzigsten Tagung des CAJ (Dokument CAJ/73/10) wird am 25. Oktober 2016 auf der Website der UPOV </w:t>
      </w:r>
      <w:r w:rsidR="00577B1E">
        <w:rPr>
          <w:lang w:val="de-DE"/>
        </w:rPr>
        <w:t xml:space="preserve">zur Verfügung </w:t>
      </w:r>
      <w:r w:rsidR="00C97182" w:rsidRPr="002D2BD9">
        <w:rPr>
          <w:lang w:val="de-DE"/>
        </w:rPr>
        <w:t>gestellt</w:t>
      </w:r>
      <w:r w:rsidR="00D65FF9" w:rsidRPr="002D2BD9">
        <w:rPr>
          <w:lang w:val="de-DE"/>
        </w:rPr>
        <w:t>.</w:t>
      </w:r>
    </w:p>
    <w:p w14:paraId="032A86F8" w14:textId="77777777" w:rsidR="001F7EC7" w:rsidRPr="002D2BD9" w:rsidRDefault="001F7EC7" w:rsidP="001F7EC7">
      <w:pPr>
        <w:rPr>
          <w:lang w:val="de-DE"/>
        </w:rPr>
      </w:pPr>
    </w:p>
    <w:p w14:paraId="1188776B" w14:textId="039BF891" w:rsidR="00D65FF9" w:rsidRPr="002D2BD9" w:rsidRDefault="001F7EC7" w:rsidP="001F7EC7">
      <w:pPr>
        <w:pStyle w:val="DecisionParagraphs"/>
        <w:tabs>
          <w:tab w:val="left" w:pos="5954"/>
        </w:tabs>
        <w:rPr>
          <w:lang w:val="de-DE"/>
        </w:rPr>
      </w:pPr>
      <w:r w:rsidRPr="002D2BD9">
        <w:rPr>
          <w:lang w:val="de-DE"/>
        </w:rPr>
        <w:fldChar w:fldCharType="begin"/>
      </w:r>
      <w:r w:rsidRPr="002D2BD9">
        <w:rPr>
          <w:lang w:val="de-DE"/>
        </w:rPr>
        <w:instrText xml:space="preserve"> AUTONUM  </w:instrText>
      </w:r>
      <w:r w:rsidRPr="002D2BD9">
        <w:rPr>
          <w:lang w:val="de-DE"/>
        </w:rPr>
        <w:fldChar w:fldCharType="end"/>
      </w:r>
      <w:r w:rsidRPr="002D2BD9">
        <w:rPr>
          <w:lang w:val="de-DE"/>
        </w:rPr>
        <w:tab/>
      </w:r>
      <w:r w:rsidR="00FD4E92" w:rsidRPr="002D2BD9">
        <w:rPr>
          <w:lang w:val="de-DE"/>
        </w:rPr>
        <w:t>Der Rat wird ersucht</w:t>
      </w:r>
      <w:r w:rsidR="00D65FF9" w:rsidRPr="002D2BD9">
        <w:rPr>
          <w:lang w:val="de-DE"/>
        </w:rPr>
        <w:t>:</w:t>
      </w:r>
    </w:p>
    <w:p w14:paraId="3B59F481" w14:textId="77777777" w:rsidR="00D65FF9" w:rsidRPr="002D2BD9" w:rsidRDefault="00D65FF9" w:rsidP="001F7EC7">
      <w:pPr>
        <w:pStyle w:val="DecisionParagraphs"/>
        <w:tabs>
          <w:tab w:val="left" w:pos="5954"/>
        </w:tabs>
        <w:rPr>
          <w:lang w:val="de-DE"/>
        </w:rPr>
      </w:pPr>
    </w:p>
    <w:p w14:paraId="0505BEED" w14:textId="35A4DE40" w:rsidR="002514F1" w:rsidRPr="002D2BD9" w:rsidRDefault="00D65FF9" w:rsidP="001F7EC7">
      <w:pPr>
        <w:pStyle w:val="DecisionParagraphs"/>
        <w:tabs>
          <w:tab w:val="left" w:pos="5954"/>
        </w:tabs>
        <w:rPr>
          <w:lang w:val="de-DE"/>
        </w:rPr>
      </w:pPr>
      <w:r w:rsidRPr="002D2BD9">
        <w:rPr>
          <w:lang w:val="de-DE"/>
        </w:rPr>
        <w:tab/>
        <w:t>a</w:t>
      </w:r>
      <w:r w:rsidR="009C725B">
        <w:rPr>
          <w:lang w:val="de-DE"/>
        </w:rPr>
        <w:t>)</w:t>
      </w:r>
      <w:r w:rsidRPr="002D2BD9">
        <w:rPr>
          <w:lang w:val="de-DE"/>
        </w:rPr>
        <w:tab/>
      </w:r>
      <w:r w:rsidR="004F6385" w:rsidRPr="002D2BD9">
        <w:rPr>
          <w:lang w:val="de-DE"/>
        </w:rPr>
        <w:t xml:space="preserve">zur Kenntnis zu nehmen, </w:t>
      </w:r>
      <w:proofErr w:type="spellStart"/>
      <w:r w:rsidR="004F6385" w:rsidRPr="002D2BD9">
        <w:rPr>
          <w:lang w:val="de-DE"/>
        </w:rPr>
        <w:t>daß</w:t>
      </w:r>
      <w:proofErr w:type="spellEnd"/>
      <w:r w:rsidR="004F6385" w:rsidRPr="002D2BD9">
        <w:rPr>
          <w:lang w:val="de-DE"/>
        </w:rPr>
        <w:t xml:space="preserve"> der Vorsitzende des</w:t>
      </w:r>
      <w:r w:rsidRPr="002D2BD9">
        <w:rPr>
          <w:lang w:val="de-DE"/>
        </w:rPr>
        <w:t xml:space="preserve"> CAJ </w:t>
      </w:r>
      <w:r w:rsidR="004F6385" w:rsidRPr="002D2BD9">
        <w:rPr>
          <w:lang w:val="de-DE"/>
        </w:rPr>
        <w:t>auf der fünfzigsten ordentlichen Tagung des Rates mündlich über die</w:t>
      </w:r>
      <w:r w:rsidR="002D2BD9" w:rsidRPr="002D2BD9">
        <w:rPr>
          <w:lang w:val="de-DE"/>
        </w:rPr>
        <w:t xml:space="preserve"> dreiundsiebzigste Tagung des CAJ und über das Programm für seine vierundsiebzigste Tagung berichten wird</w:t>
      </w:r>
      <w:r w:rsidR="002514F1" w:rsidRPr="002D2BD9">
        <w:rPr>
          <w:lang w:val="de-DE"/>
        </w:rPr>
        <w:t>;</w:t>
      </w:r>
    </w:p>
    <w:p w14:paraId="487A3734" w14:textId="77777777" w:rsidR="002514F1" w:rsidRPr="002D2BD9" w:rsidRDefault="002514F1" w:rsidP="001F7EC7">
      <w:pPr>
        <w:pStyle w:val="DecisionParagraphs"/>
        <w:tabs>
          <w:tab w:val="left" w:pos="5954"/>
        </w:tabs>
        <w:rPr>
          <w:lang w:val="de-DE"/>
        </w:rPr>
      </w:pPr>
    </w:p>
    <w:p w14:paraId="13A4AD12" w14:textId="25C3E2DE" w:rsidR="00D65FF9" w:rsidRPr="002D2BD9" w:rsidRDefault="002514F1" w:rsidP="001F7EC7">
      <w:pPr>
        <w:pStyle w:val="DecisionParagraphs"/>
        <w:tabs>
          <w:tab w:val="left" w:pos="5954"/>
        </w:tabs>
        <w:rPr>
          <w:lang w:val="de-DE"/>
        </w:rPr>
      </w:pPr>
      <w:r w:rsidRPr="002D2BD9">
        <w:rPr>
          <w:lang w:val="de-DE"/>
        </w:rPr>
        <w:tab/>
        <w:t>b</w:t>
      </w:r>
      <w:r w:rsidR="009C725B">
        <w:rPr>
          <w:lang w:val="de-DE"/>
        </w:rPr>
        <w:t>)</w:t>
      </w:r>
      <w:r w:rsidRPr="002D2BD9">
        <w:rPr>
          <w:lang w:val="de-DE"/>
        </w:rPr>
        <w:tab/>
      </w:r>
      <w:r w:rsidR="002D2BD9" w:rsidRPr="002D2BD9">
        <w:rPr>
          <w:lang w:val="de-DE"/>
        </w:rPr>
        <w:t xml:space="preserve">zur Kenntnis zu nehmen, </w:t>
      </w:r>
      <w:proofErr w:type="spellStart"/>
      <w:r w:rsidR="00835E76" w:rsidRPr="002D2BD9">
        <w:rPr>
          <w:lang w:val="de-DE"/>
        </w:rPr>
        <w:t>daß</w:t>
      </w:r>
      <w:proofErr w:type="spellEnd"/>
      <w:r w:rsidR="002D2BD9" w:rsidRPr="002D2BD9">
        <w:rPr>
          <w:lang w:val="de-DE"/>
        </w:rPr>
        <w:t xml:space="preserve"> der Bericht über die Entschließungen der dreiundsiebzigsten Tagung des CAJ</w:t>
      </w:r>
      <w:r w:rsidR="00D65FF9" w:rsidRPr="002D2BD9">
        <w:rPr>
          <w:lang w:val="de-DE"/>
        </w:rPr>
        <w:t xml:space="preserve"> </w:t>
      </w:r>
      <w:r w:rsidRPr="002D2BD9">
        <w:rPr>
          <w:lang w:val="de-DE"/>
        </w:rPr>
        <w:t>(</w:t>
      </w:r>
      <w:r w:rsidR="002D2BD9" w:rsidRPr="002D2BD9">
        <w:rPr>
          <w:lang w:val="de-DE"/>
        </w:rPr>
        <w:t>D</w:t>
      </w:r>
      <w:r w:rsidRPr="002D2BD9">
        <w:rPr>
          <w:lang w:val="de-DE"/>
        </w:rPr>
        <w:t>o</w:t>
      </w:r>
      <w:r w:rsidR="002D2BD9" w:rsidRPr="002D2BD9">
        <w:rPr>
          <w:lang w:val="de-DE"/>
        </w:rPr>
        <w:t>k</w:t>
      </w:r>
      <w:r w:rsidRPr="002D2BD9">
        <w:rPr>
          <w:lang w:val="de-DE"/>
        </w:rPr>
        <w:t xml:space="preserve">ument CAJ/73/10) </w:t>
      </w:r>
      <w:r w:rsidR="002D2BD9" w:rsidRPr="002D2BD9">
        <w:rPr>
          <w:lang w:val="de-DE"/>
        </w:rPr>
        <w:t xml:space="preserve">am 25. Oktober 2016 auf der Website der UPOV </w:t>
      </w:r>
      <w:r w:rsidR="00577B1E">
        <w:rPr>
          <w:lang w:val="de-DE"/>
        </w:rPr>
        <w:t xml:space="preserve">zur Verfügung </w:t>
      </w:r>
      <w:r w:rsidR="002D2BD9" w:rsidRPr="002D2BD9">
        <w:rPr>
          <w:lang w:val="de-DE"/>
        </w:rPr>
        <w:t>gestellt wird</w:t>
      </w:r>
      <w:r w:rsidR="00230D54" w:rsidRPr="002D2BD9">
        <w:rPr>
          <w:lang w:val="de-DE"/>
        </w:rPr>
        <w:t xml:space="preserve">; </w:t>
      </w:r>
      <w:r w:rsidR="002D2BD9" w:rsidRPr="002D2BD9">
        <w:rPr>
          <w:lang w:val="de-DE"/>
        </w:rPr>
        <w:t>und</w:t>
      </w:r>
    </w:p>
    <w:p w14:paraId="2F904396" w14:textId="77777777" w:rsidR="00D65FF9" w:rsidRPr="002D2BD9" w:rsidRDefault="00D65FF9" w:rsidP="001F7EC7">
      <w:pPr>
        <w:pStyle w:val="DecisionParagraphs"/>
        <w:tabs>
          <w:tab w:val="left" w:pos="5954"/>
        </w:tabs>
        <w:rPr>
          <w:lang w:val="de-DE"/>
        </w:rPr>
      </w:pPr>
    </w:p>
    <w:p w14:paraId="4C7DA63C" w14:textId="44DFB7DA" w:rsidR="001F7EC7" w:rsidRPr="002D2BD9" w:rsidRDefault="00D65FF9" w:rsidP="001F7EC7">
      <w:pPr>
        <w:pStyle w:val="DecisionParagraphs"/>
        <w:tabs>
          <w:tab w:val="left" w:pos="5954"/>
        </w:tabs>
        <w:rPr>
          <w:lang w:val="de-DE"/>
        </w:rPr>
      </w:pPr>
      <w:r w:rsidRPr="002D2BD9">
        <w:rPr>
          <w:lang w:val="de-DE"/>
        </w:rPr>
        <w:tab/>
      </w:r>
      <w:r w:rsidR="002514F1" w:rsidRPr="002D2BD9">
        <w:rPr>
          <w:lang w:val="de-DE"/>
        </w:rPr>
        <w:t>c</w:t>
      </w:r>
      <w:r w:rsidR="009C725B">
        <w:rPr>
          <w:lang w:val="de-DE"/>
        </w:rPr>
        <w:t>)</w:t>
      </w:r>
      <w:r w:rsidRPr="002D2BD9">
        <w:rPr>
          <w:lang w:val="de-DE"/>
        </w:rPr>
        <w:tab/>
      </w:r>
      <w:r w:rsidR="002D2BD9" w:rsidRPr="002D2BD9">
        <w:rPr>
          <w:lang w:val="de-DE"/>
        </w:rPr>
        <w:t>das Arbeitsprogramm für die vierundsiebzigste Tagung des CAJ, wie im mündlichen Bericht des Vorsitzenden des CAJ auf der fünf</w:t>
      </w:r>
      <w:r w:rsidR="00577B1E">
        <w:rPr>
          <w:lang w:val="de-DE"/>
        </w:rPr>
        <w:t>zigs</w:t>
      </w:r>
      <w:r w:rsidR="002D2BD9" w:rsidRPr="002D2BD9">
        <w:rPr>
          <w:lang w:val="de-DE"/>
        </w:rPr>
        <w:t xml:space="preserve">ten ordentlichen Tagung des Rates und in Dokument CAJ/73/10 </w:t>
      </w:r>
      <w:r w:rsidR="002D2BD9">
        <w:rPr>
          <w:lang w:val="de-DE"/>
        </w:rPr>
        <w:t>„</w:t>
      </w:r>
      <w:r w:rsidR="002D2BD9" w:rsidRPr="002D2BD9">
        <w:rPr>
          <w:lang w:val="de-DE"/>
        </w:rPr>
        <w:t>Bericht über die Entschließungen</w:t>
      </w:r>
      <w:r w:rsidR="002D2BD9">
        <w:rPr>
          <w:lang w:val="de-DE"/>
        </w:rPr>
        <w:t>“</w:t>
      </w:r>
      <w:r w:rsidR="002D2BD9" w:rsidRPr="002D2BD9">
        <w:rPr>
          <w:lang w:val="de-DE"/>
        </w:rPr>
        <w:t xml:space="preserve"> dargelegt, anzunehmen</w:t>
      </w:r>
      <w:r w:rsidR="00230D54" w:rsidRPr="002D2BD9">
        <w:rPr>
          <w:lang w:val="de-DE"/>
        </w:rPr>
        <w:t>.</w:t>
      </w:r>
    </w:p>
    <w:p w14:paraId="0B5F3659" w14:textId="77777777" w:rsidR="001F7EC7" w:rsidRPr="002D2BD9" w:rsidRDefault="001F7EC7" w:rsidP="001F7EC7">
      <w:pPr>
        <w:rPr>
          <w:lang w:val="de-DE"/>
        </w:rPr>
      </w:pPr>
    </w:p>
    <w:p w14:paraId="5EB4B30C" w14:textId="77777777" w:rsidR="00C651CE" w:rsidRPr="002D2BD9" w:rsidRDefault="00C651CE" w:rsidP="00C651CE">
      <w:pPr>
        <w:rPr>
          <w:lang w:val="de-DE"/>
        </w:rPr>
      </w:pPr>
    </w:p>
    <w:p w14:paraId="5545AE79" w14:textId="77777777" w:rsidR="000A68B4" w:rsidRPr="002D2BD9" w:rsidRDefault="000A68B4" w:rsidP="000A68B4">
      <w:pPr>
        <w:rPr>
          <w:lang w:val="de-DE"/>
        </w:rPr>
      </w:pPr>
      <w:bookmarkStart w:id="5" w:name="_GoBack"/>
      <w:bookmarkEnd w:id="5"/>
    </w:p>
    <w:p w14:paraId="6D432D00" w14:textId="3C942B67" w:rsidR="0067078A" w:rsidRPr="002D2BD9" w:rsidRDefault="0061555F" w:rsidP="005F05B6">
      <w:pPr>
        <w:jc w:val="right"/>
        <w:rPr>
          <w:lang w:val="de-DE"/>
        </w:rPr>
      </w:pPr>
      <w:r w:rsidRPr="002D2BD9">
        <w:rPr>
          <w:lang w:val="de-DE"/>
        </w:rPr>
        <w:t>[End</w:t>
      </w:r>
      <w:r w:rsidR="0062482D" w:rsidRPr="002D2BD9">
        <w:rPr>
          <w:lang w:val="de-DE"/>
        </w:rPr>
        <w:t>e des</w:t>
      </w:r>
      <w:r w:rsidRPr="002D2BD9">
        <w:rPr>
          <w:lang w:val="de-DE"/>
        </w:rPr>
        <w:t xml:space="preserve"> </w:t>
      </w:r>
      <w:r w:rsidR="0062482D" w:rsidRPr="002D2BD9">
        <w:rPr>
          <w:lang w:val="de-DE"/>
        </w:rPr>
        <w:t>Dokuments</w:t>
      </w:r>
      <w:r w:rsidRPr="002D2BD9">
        <w:rPr>
          <w:lang w:val="de-DE"/>
        </w:rPr>
        <w:t>]</w:t>
      </w:r>
    </w:p>
    <w:p w14:paraId="4522390F" w14:textId="77777777" w:rsidR="00000BF6" w:rsidRPr="002D2BD9" w:rsidRDefault="00000BF6">
      <w:pPr>
        <w:jc w:val="left"/>
        <w:rPr>
          <w:lang w:val="de-DE"/>
        </w:rPr>
      </w:pPr>
    </w:p>
    <w:p w14:paraId="4CF3C931" w14:textId="77777777" w:rsidR="006B17D2" w:rsidRPr="002D2BD9" w:rsidRDefault="006B17D2" w:rsidP="0067078A">
      <w:pPr>
        <w:jc w:val="left"/>
        <w:rPr>
          <w:lang w:val="de-DE"/>
        </w:rPr>
      </w:pPr>
    </w:p>
    <w:sectPr w:rsidR="006B17D2" w:rsidRPr="002D2BD9" w:rsidSect="00D35691">
      <w:headerReference w:type="default" r:id="rId9"/>
      <w:pgSz w:w="11907" w:h="16840" w:code="9"/>
      <w:pgMar w:top="510" w:right="1134" w:bottom="56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F59A1" w14:textId="77777777" w:rsidR="005F0FB3" w:rsidRDefault="005F0FB3" w:rsidP="006655D3">
      <w:r>
        <w:separator/>
      </w:r>
    </w:p>
    <w:p w14:paraId="20BE6416" w14:textId="77777777" w:rsidR="005F0FB3" w:rsidRDefault="005F0FB3" w:rsidP="006655D3"/>
    <w:p w14:paraId="4312575D" w14:textId="77777777" w:rsidR="005F0FB3" w:rsidRDefault="005F0FB3" w:rsidP="006655D3"/>
  </w:endnote>
  <w:endnote w:type="continuationSeparator" w:id="0">
    <w:p w14:paraId="0BAD3069" w14:textId="77777777" w:rsidR="005F0FB3" w:rsidRDefault="005F0FB3" w:rsidP="006655D3">
      <w:r>
        <w:separator/>
      </w:r>
    </w:p>
    <w:p w14:paraId="0E26E77E" w14:textId="77777777" w:rsidR="005F0FB3" w:rsidRPr="00560A6D" w:rsidRDefault="005F0FB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14:paraId="058B7ADC" w14:textId="77777777" w:rsidR="005F0FB3" w:rsidRPr="00560A6D" w:rsidRDefault="005F0FB3" w:rsidP="006655D3">
      <w:pPr>
        <w:rPr>
          <w:lang w:val="fr-FR"/>
        </w:rPr>
      </w:pPr>
    </w:p>
    <w:p w14:paraId="52F4F23C" w14:textId="77777777" w:rsidR="005F0FB3" w:rsidRPr="00560A6D" w:rsidRDefault="005F0FB3" w:rsidP="006655D3">
      <w:pPr>
        <w:rPr>
          <w:lang w:val="fr-FR"/>
        </w:rPr>
      </w:pPr>
    </w:p>
  </w:endnote>
  <w:endnote w:type="continuationNotice" w:id="1">
    <w:p w14:paraId="35622E40" w14:textId="77777777" w:rsidR="005F0FB3" w:rsidRPr="00560A6D" w:rsidRDefault="005F0FB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14:paraId="12953062" w14:textId="77777777" w:rsidR="005F0FB3" w:rsidRPr="00560A6D" w:rsidRDefault="005F0FB3" w:rsidP="006655D3">
      <w:pPr>
        <w:rPr>
          <w:lang w:val="fr-FR"/>
        </w:rPr>
      </w:pPr>
    </w:p>
    <w:p w14:paraId="006DDEFF" w14:textId="77777777" w:rsidR="005F0FB3" w:rsidRPr="00560A6D" w:rsidRDefault="005F0FB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2C541" w14:textId="77777777" w:rsidR="005F0FB3" w:rsidRDefault="005F0FB3" w:rsidP="00C95616">
      <w:pPr>
        <w:spacing w:before="120"/>
      </w:pPr>
      <w:r>
        <w:separator/>
      </w:r>
    </w:p>
  </w:footnote>
  <w:footnote w:type="continuationSeparator" w:id="0">
    <w:p w14:paraId="6BB281F2" w14:textId="77777777" w:rsidR="005F0FB3" w:rsidRDefault="005F0FB3" w:rsidP="006655D3">
      <w:r>
        <w:separator/>
      </w:r>
    </w:p>
  </w:footnote>
  <w:footnote w:type="continuationNotice" w:id="1">
    <w:p w14:paraId="63B56ABE" w14:textId="77777777" w:rsidR="005F0FB3" w:rsidRPr="00A56FAA" w:rsidRDefault="005F0FB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D032" w14:textId="77777777" w:rsidR="005F0FB3" w:rsidRPr="00C5280D" w:rsidRDefault="005F0F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C/50/9</w:t>
    </w:r>
  </w:p>
  <w:p w14:paraId="1B1BD6BC" w14:textId="207C44FE" w:rsidR="005F0FB3" w:rsidRPr="00C5280D" w:rsidRDefault="005F0FB3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53A2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609ADD9" w14:textId="77777777" w:rsidR="005F0FB3" w:rsidRPr="00C5280D" w:rsidRDefault="005F0FB3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EC8"/>
    <w:multiLevelType w:val="hybridMultilevel"/>
    <w:tmpl w:val="CBBEC114"/>
    <w:lvl w:ilvl="0" w:tplc="75AE35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D254CB"/>
    <w:multiLevelType w:val="hybridMultilevel"/>
    <w:tmpl w:val="B40A5546"/>
    <w:lvl w:ilvl="0" w:tplc="9946B030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3A2D"/>
    <w:rsid w:val="00085505"/>
    <w:rsid w:val="000A68B4"/>
    <w:rsid w:val="000C7021"/>
    <w:rsid w:val="000D6BBC"/>
    <w:rsid w:val="000D7780"/>
    <w:rsid w:val="000E0B70"/>
    <w:rsid w:val="00105929"/>
    <w:rsid w:val="001131D5"/>
    <w:rsid w:val="00141DB8"/>
    <w:rsid w:val="001502B4"/>
    <w:rsid w:val="0017474A"/>
    <w:rsid w:val="001758C6"/>
    <w:rsid w:val="00182B99"/>
    <w:rsid w:val="001A0080"/>
    <w:rsid w:val="001B250D"/>
    <w:rsid w:val="001E0CF9"/>
    <w:rsid w:val="001F7EC7"/>
    <w:rsid w:val="0021332C"/>
    <w:rsid w:val="00213982"/>
    <w:rsid w:val="00230D54"/>
    <w:rsid w:val="0024416D"/>
    <w:rsid w:val="002514F1"/>
    <w:rsid w:val="002521B6"/>
    <w:rsid w:val="002800A0"/>
    <w:rsid w:val="002801B3"/>
    <w:rsid w:val="0028098F"/>
    <w:rsid w:val="00281060"/>
    <w:rsid w:val="002940E8"/>
    <w:rsid w:val="002A6218"/>
    <w:rsid w:val="002A6E50"/>
    <w:rsid w:val="002C256A"/>
    <w:rsid w:val="002D2BD9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04247"/>
    <w:rsid w:val="00444A88"/>
    <w:rsid w:val="00447442"/>
    <w:rsid w:val="00453CE7"/>
    <w:rsid w:val="0046538E"/>
    <w:rsid w:val="00474DA4"/>
    <w:rsid w:val="00476B4D"/>
    <w:rsid w:val="004805FA"/>
    <w:rsid w:val="004D047D"/>
    <w:rsid w:val="004F305A"/>
    <w:rsid w:val="004F6385"/>
    <w:rsid w:val="00512164"/>
    <w:rsid w:val="00520297"/>
    <w:rsid w:val="005338F9"/>
    <w:rsid w:val="0054281C"/>
    <w:rsid w:val="0055268D"/>
    <w:rsid w:val="00560A6D"/>
    <w:rsid w:val="00576BE4"/>
    <w:rsid w:val="00577B1E"/>
    <w:rsid w:val="005A400A"/>
    <w:rsid w:val="005F05B6"/>
    <w:rsid w:val="005F0FB3"/>
    <w:rsid w:val="00612379"/>
    <w:rsid w:val="00613CB1"/>
    <w:rsid w:val="0061555F"/>
    <w:rsid w:val="006235BC"/>
    <w:rsid w:val="0062482D"/>
    <w:rsid w:val="00641200"/>
    <w:rsid w:val="00663239"/>
    <w:rsid w:val="006655D3"/>
    <w:rsid w:val="0067078A"/>
    <w:rsid w:val="00681E6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129A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5E76"/>
    <w:rsid w:val="008371DF"/>
    <w:rsid w:val="00840F97"/>
    <w:rsid w:val="00867AC1"/>
    <w:rsid w:val="008A3C6D"/>
    <w:rsid w:val="008A743F"/>
    <w:rsid w:val="008C0970"/>
    <w:rsid w:val="008C418B"/>
    <w:rsid w:val="008D2CF7"/>
    <w:rsid w:val="008F2BA1"/>
    <w:rsid w:val="00900C26"/>
    <w:rsid w:val="0090197F"/>
    <w:rsid w:val="00901A3F"/>
    <w:rsid w:val="00906DDC"/>
    <w:rsid w:val="009318FE"/>
    <w:rsid w:val="00934E09"/>
    <w:rsid w:val="00936253"/>
    <w:rsid w:val="00947760"/>
    <w:rsid w:val="00952DD4"/>
    <w:rsid w:val="00970FED"/>
    <w:rsid w:val="0097119A"/>
    <w:rsid w:val="00997029"/>
    <w:rsid w:val="009C725B"/>
    <w:rsid w:val="009D690D"/>
    <w:rsid w:val="009E65B6"/>
    <w:rsid w:val="009F1C49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22832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4D7F"/>
    <w:rsid w:val="00C95616"/>
    <w:rsid w:val="00C97182"/>
    <w:rsid w:val="00C973F2"/>
    <w:rsid w:val="00CA304C"/>
    <w:rsid w:val="00CA7477"/>
    <w:rsid w:val="00CA774A"/>
    <w:rsid w:val="00CC11B0"/>
    <w:rsid w:val="00CF7E36"/>
    <w:rsid w:val="00D311C6"/>
    <w:rsid w:val="00D35691"/>
    <w:rsid w:val="00D3708D"/>
    <w:rsid w:val="00D40426"/>
    <w:rsid w:val="00D57C96"/>
    <w:rsid w:val="00D65FF9"/>
    <w:rsid w:val="00D91203"/>
    <w:rsid w:val="00D95174"/>
    <w:rsid w:val="00DA6F36"/>
    <w:rsid w:val="00DB596E"/>
    <w:rsid w:val="00DC00EA"/>
    <w:rsid w:val="00DC775E"/>
    <w:rsid w:val="00E32F7E"/>
    <w:rsid w:val="00E40BB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073E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D4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2D3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1F7EC7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D3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3</TotalTime>
  <Pages>2</Pages>
  <Words>448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C/50/9</vt:lpstr>
    </vt:vector>
  </TitlesOfParts>
  <Company>UPOV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C/50/9</dc:title>
  <dc:creator>SANCHEZ-VIZCAINO GOMEZ Rosa Maria</dc:creator>
  <cp:lastModifiedBy>SANCHEZ-VIZCAINO GOMEZ Rosa Maria</cp:lastModifiedBy>
  <cp:revision>4</cp:revision>
  <cp:lastPrinted>2016-10-24T17:04:00Z</cp:lastPrinted>
  <dcterms:created xsi:type="dcterms:W3CDTF">2016-10-22T15:35:00Z</dcterms:created>
  <dcterms:modified xsi:type="dcterms:W3CDTF">2016-10-24T17:04:00Z</dcterms:modified>
</cp:coreProperties>
</file>