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455AEA" w:rsidTr="00532F43">
        <w:trPr>
          <w:trHeight w:val="1760"/>
        </w:trPr>
        <w:tc>
          <w:tcPr>
            <w:tcW w:w="3993" w:type="dxa"/>
          </w:tcPr>
          <w:p w:rsidR="0067078A" w:rsidRPr="00455AEA" w:rsidRDefault="0067078A" w:rsidP="00532F43">
            <w:pPr>
              <w:rPr>
                <w:rFonts w:cs="Arial"/>
              </w:rPr>
            </w:pPr>
            <w:bookmarkStart w:id="0" w:name="TitleOfDoc"/>
            <w:bookmarkStart w:id="1" w:name="_GoBack"/>
            <w:bookmarkEnd w:id="0"/>
            <w:bookmarkEnd w:id="1"/>
          </w:p>
        </w:tc>
        <w:tc>
          <w:tcPr>
            <w:tcW w:w="1549" w:type="dxa"/>
            <w:vAlign w:val="center"/>
          </w:tcPr>
          <w:p w:rsidR="0067078A" w:rsidRPr="00455AEA" w:rsidRDefault="0067078A" w:rsidP="00532F43">
            <w:pPr>
              <w:pStyle w:val="LogoUPOV"/>
              <w:rPr>
                <w:rFonts w:cs="Arial"/>
              </w:rPr>
            </w:pPr>
            <w:r w:rsidRPr="00455AEA">
              <w:rPr>
                <w:rFonts w:cs="Arial"/>
                <w:noProof/>
                <w:lang w:val="en-US" w:eastAsia="en-US" w:bidi="ar-SA"/>
              </w:rPr>
              <w:drawing>
                <wp:inline distT="0" distB="0" distL="0" distR="0" wp14:anchorId="32C4139E" wp14:editId="27315BB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455AEA" w:rsidRDefault="0067078A" w:rsidP="00532F43">
            <w:pPr>
              <w:pStyle w:val="Lettrine"/>
              <w:rPr>
                <w:rFonts w:cs="Arial"/>
              </w:rPr>
            </w:pPr>
            <w:r w:rsidRPr="00455AEA">
              <w:rPr>
                <w:rFonts w:cs="Arial"/>
              </w:rPr>
              <w:t>G</w:t>
            </w:r>
          </w:p>
          <w:p w:rsidR="0067078A" w:rsidRPr="00455AEA" w:rsidRDefault="004C25C1" w:rsidP="00532F43">
            <w:pPr>
              <w:pStyle w:val="Docoriginal"/>
              <w:rPr>
                <w:rFonts w:cs="Arial"/>
              </w:rPr>
            </w:pPr>
            <w:r w:rsidRPr="00455AEA">
              <w:rPr>
                <w:rFonts w:cs="Arial"/>
              </w:rPr>
              <w:t>C/50/</w:t>
            </w:r>
            <w:bookmarkStart w:id="2" w:name="Code"/>
            <w:bookmarkEnd w:id="2"/>
            <w:r w:rsidRPr="00455AEA">
              <w:rPr>
                <w:rFonts w:cs="Arial"/>
              </w:rPr>
              <w:t>4</w:t>
            </w:r>
          </w:p>
          <w:p w:rsidR="0067078A" w:rsidRPr="00455AEA" w:rsidRDefault="0067078A" w:rsidP="00532F43">
            <w:pPr>
              <w:pStyle w:val="Docoriginal"/>
              <w:rPr>
                <w:rFonts w:cs="Arial"/>
                <w:b w:val="0"/>
                <w:spacing w:val="0"/>
              </w:rPr>
            </w:pPr>
            <w:r w:rsidRPr="00455AEA">
              <w:rPr>
                <w:rStyle w:val="StyleDoclangBold"/>
                <w:rFonts w:cs="Arial"/>
                <w:b/>
                <w:spacing w:val="0"/>
              </w:rPr>
              <w:t>ORIGINAL:</w:t>
            </w:r>
            <w:r w:rsidRPr="00455AEA">
              <w:rPr>
                <w:rStyle w:val="StyleDocoriginalNotBold1"/>
                <w:rFonts w:cs="Arial"/>
                <w:spacing w:val="0"/>
              </w:rPr>
              <w:t xml:space="preserve"> </w:t>
            </w:r>
            <w:r w:rsidRPr="00455AEA">
              <w:rPr>
                <w:rFonts w:cs="Arial"/>
              </w:rPr>
              <w:t xml:space="preserve"> </w:t>
            </w:r>
            <w:bookmarkStart w:id="3" w:name="Original"/>
            <w:bookmarkEnd w:id="3"/>
            <w:r w:rsidRPr="00455AEA">
              <w:rPr>
                <w:rFonts w:cs="Arial"/>
                <w:b w:val="0"/>
                <w:spacing w:val="0"/>
              </w:rPr>
              <w:t>englisch</w:t>
            </w:r>
          </w:p>
          <w:p w:rsidR="0067078A" w:rsidRPr="00455AEA" w:rsidRDefault="0067078A" w:rsidP="00040F79">
            <w:pPr>
              <w:pStyle w:val="Docoriginal"/>
              <w:rPr>
                <w:rFonts w:cs="Arial"/>
              </w:rPr>
            </w:pPr>
            <w:r w:rsidRPr="00455AEA">
              <w:rPr>
                <w:rFonts w:cs="Arial"/>
              </w:rPr>
              <w:t xml:space="preserve">DATUM: </w:t>
            </w:r>
            <w:r w:rsidRPr="00455AEA">
              <w:rPr>
                <w:rStyle w:val="StyleDocoriginalNotBold1"/>
                <w:rFonts w:cs="Arial"/>
                <w:spacing w:val="0"/>
              </w:rPr>
              <w:t xml:space="preserve"> </w:t>
            </w:r>
            <w:bookmarkStart w:id="4" w:name="Date"/>
            <w:bookmarkEnd w:id="4"/>
            <w:r w:rsidRPr="00455AEA">
              <w:rPr>
                <w:rFonts w:cs="Arial"/>
                <w:b w:val="0"/>
                <w:spacing w:val="0"/>
              </w:rPr>
              <w:t>10. August 2016</w:t>
            </w:r>
          </w:p>
        </w:tc>
      </w:tr>
      <w:tr w:rsidR="0067078A" w:rsidRPr="00455AEA" w:rsidTr="00532F43">
        <w:tc>
          <w:tcPr>
            <w:tcW w:w="9534" w:type="dxa"/>
            <w:gridSpan w:val="3"/>
          </w:tcPr>
          <w:p w:rsidR="0067078A" w:rsidRPr="00455AEA" w:rsidRDefault="0067078A" w:rsidP="00532F43">
            <w:pPr>
              <w:pStyle w:val="upove"/>
              <w:rPr>
                <w:rFonts w:cs="Arial"/>
                <w:sz w:val="28"/>
              </w:rPr>
            </w:pPr>
            <w:r w:rsidRPr="00455AEA">
              <w:rPr>
                <w:rFonts w:cs="Arial"/>
              </w:rPr>
              <w:t xml:space="preserve">INTERNATIONALER VERBAND ZUM SCHUTZ VON PFLANZENZÜCHTUNGEN </w:t>
            </w:r>
          </w:p>
        </w:tc>
      </w:tr>
      <w:tr w:rsidR="0067078A" w:rsidRPr="00455AEA" w:rsidTr="00532F43">
        <w:tc>
          <w:tcPr>
            <w:tcW w:w="9534" w:type="dxa"/>
            <w:gridSpan w:val="3"/>
          </w:tcPr>
          <w:p w:rsidR="0067078A" w:rsidRPr="00455AEA" w:rsidRDefault="0067078A" w:rsidP="00532F43">
            <w:pPr>
              <w:pStyle w:val="Country"/>
              <w:rPr>
                <w:rFonts w:cs="Arial"/>
              </w:rPr>
            </w:pPr>
            <w:r w:rsidRPr="00455AEA">
              <w:rPr>
                <w:rFonts w:cs="Arial"/>
              </w:rPr>
              <w:t>Genf</w:t>
            </w:r>
          </w:p>
        </w:tc>
      </w:tr>
    </w:tbl>
    <w:p w:rsidR="0067078A" w:rsidRPr="00455AEA" w:rsidRDefault="0067078A" w:rsidP="0067078A">
      <w:pPr>
        <w:pStyle w:val="Sessiontc"/>
        <w:rPr>
          <w:rFonts w:cs="Arial"/>
        </w:rPr>
      </w:pPr>
      <w:r w:rsidRPr="00455AEA">
        <w:rPr>
          <w:rFonts w:cs="Arial"/>
        </w:rPr>
        <w:t>DER RAT</w:t>
      </w:r>
    </w:p>
    <w:p w:rsidR="0067078A" w:rsidRPr="00455AEA" w:rsidRDefault="004C25C1" w:rsidP="0067078A">
      <w:pPr>
        <w:pStyle w:val="Sessiontcplacedate"/>
        <w:rPr>
          <w:rFonts w:cs="Arial"/>
        </w:rPr>
      </w:pPr>
      <w:r w:rsidRPr="00455AEA">
        <w:rPr>
          <w:rFonts w:cs="Arial"/>
        </w:rPr>
        <w:t>Fünfzigste ordentliche Tagung</w:t>
      </w:r>
      <w:r w:rsidRPr="00455AEA">
        <w:rPr>
          <w:rFonts w:cs="Arial"/>
        </w:rPr>
        <w:br/>
        <w:t>Genf, 28. Oktober 2016</w:t>
      </w:r>
    </w:p>
    <w:p w:rsidR="000D7780" w:rsidRPr="00455AEA" w:rsidRDefault="003E322A" w:rsidP="006655D3">
      <w:pPr>
        <w:pStyle w:val="Titleofdoc0"/>
        <w:rPr>
          <w:rFonts w:cs="Arial"/>
        </w:rPr>
      </w:pPr>
      <w:r w:rsidRPr="00455AEA">
        <w:rPr>
          <w:rFonts w:cs="Arial"/>
        </w:rPr>
        <w:t>Finanzverwaltungsbericht für die Rechnungsperiode 2014-2015</w:t>
      </w:r>
    </w:p>
    <w:p w:rsidR="000D7780" w:rsidRPr="00455AEA" w:rsidRDefault="00AE0EF1" w:rsidP="006655D3">
      <w:pPr>
        <w:pStyle w:val="preparedby1"/>
        <w:rPr>
          <w:rFonts w:cs="Arial"/>
        </w:rPr>
      </w:pPr>
      <w:bookmarkStart w:id="5" w:name="Prepared"/>
      <w:bookmarkEnd w:id="5"/>
      <w:r w:rsidRPr="00455AEA">
        <w:rPr>
          <w:rFonts w:cs="Arial"/>
        </w:rPr>
        <w:t>vom Verbandsbüro erstelltes Dokument</w:t>
      </w:r>
      <w:r w:rsidRPr="00455AEA">
        <w:rPr>
          <w:rFonts w:cs="Arial"/>
        </w:rPr>
        <w:br/>
      </w:r>
      <w:r w:rsidRPr="00455AEA">
        <w:rPr>
          <w:rFonts w:cs="Arial"/>
        </w:rPr>
        <w:br/>
      </w:r>
      <w:r w:rsidRPr="00455AEA">
        <w:rPr>
          <w:rFonts w:cs="Arial"/>
          <w:color w:val="A6A6A6" w:themeColor="background1" w:themeShade="A6"/>
        </w:rPr>
        <w:t>Haftungsausschluß:  dieses Dokument gibt nicht die Grundsätze oder eine Anleitung der UPOV wieder</w:t>
      </w:r>
    </w:p>
    <w:p w:rsidR="00532F43" w:rsidRPr="00455AEA" w:rsidRDefault="00BD5E7F" w:rsidP="00FF4A15">
      <w:pPr>
        <w:rPr>
          <w:rFonts w:cs="Arial"/>
          <w:snapToGrid w:val="0"/>
          <w:spacing w:val="-2"/>
        </w:rPr>
      </w:pPr>
      <w:r w:rsidRPr="00455AEA">
        <w:rPr>
          <w:rFonts w:cs="Arial"/>
          <w:caps/>
          <w:snapToGrid w:val="0"/>
        </w:rPr>
        <w:fldChar w:fldCharType="begin"/>
      </w:r>
      <w:r w:rsidRPr="00455AEA">
        <w:rPr>
          <w:rFonts w:cs="Arial"/>
          <w:caps/>
          <w:snapToGrid w:val="0"/>
        </w:rPr>
        <w:instrText xml:space="preserve"> AUTONUM  </w:instrText>
      </w:r>
      <w:r w:rsidRPr="00455AEA">
        <w:rPr>
          <w:rFonts w:cs="Arial"/>
          <w:caps/>
          <w:snapToGrid w:val="0"/>
        </w:rPr>
        <w:fldChar w:fldCharType="end"/>
      </w:r>
      <w:r w:rsidRPr="00455AEA">
        <w:rPr>
          <w:rFonts w:cs="Arial"/>
        </w:rPr>
        <w:tab/>
        <w:t xml:space="preserve">Die Anlage dieses Dokuments enthält den Finanzverwaltungsbericht des Internationalen Verbandes zum Schutz von Pflanzenzüchtungen (UPOV) für die Rechnungsperiode 2014-2015 gemäß den Regeln 6.6 und 6.7 der Finanzordnung und ihrer Durchführungsbestimmungen der UPOV (vergleiche Dokument </w:t>
      </w:r>
      <w:r w:rsidRPr="00455AEA">
        <w:rPr>
          <w:rFonts w:cs="Arial"/>
          <w:spacing w:val="-2"/>
        </w:rPr>
        <w:t>UPOV/INF/4/4 „Finanzordnung und ihre Durchführungsbestimmungen der UPOV”) zur Billigung durch den Rat</w:t>
      </w:r>
      <w:r w:rsidR="00782A9D" w:rsidRPr="00455AEA">
        <w:rPr>
          <w:rFonts w:cs="Arial"/>
          <w:spacing w:val="-2"/>
        </w:rPr>
        <w:t xml:space="preserve">. </w:t>
      </w:r>
    </w:p>
    <w:p w:rsidR="00532F43" w:rsidRPr="00455AEA" w:rsidRDefault="00532F43" w:rsidP="00BD5E7F">
      <w:pPr>
        <w:rPr>
          <w:rFonts w:cs="Arial"/>
          <w:snapToGrid w:val="0"/>
        </w:rPr>
      </w:pPr>
    </w:p>
    <w:p w:rsidR="00532F43" w:rsidRPr="00455AEA" w:rsidRDefault="00532F43" w:rsidP="00532F43">
      <w:pPr>
        <w:rPr>
          <w:rFonts w:cs="Arial"/>
          <w:snapToGrid w:val="0"/>
        </w:rPr>
      </w:pPr>
      <w:r w:rsidRPr="00455AEA">
        <w:rPr>
          <w:rFonts w:cs="Arial"/>
          <w:snapToGrid w:val="0"/>
        </w:rPr>
        <w:fldChar w:fldCharType="begin"/>
      </w:r>
      <w:r w:rsidRPr="00455AEA">
        <w:rPr>
          <w:rFonts w:cs="Arial"/>
          <w:snapToGrid w:val="0"/>
        </w:rPr>
        <w:instrText xml:space="preserve"> AUTONUM  </w:instrText>
      </w:r>
      <w:r w:rsidRPr="00455AEA">
        <w:rPr>
          <w:rFonts w:cs="Arial"/>
          <w:snapToGrid w:val="0"/>
        </w:rPr>
        <w:fldChar w:fldCharType="end"/>
      </w:r>
      <w:r w:rsidRPr="00455AEA">
        <w:rPr>
          <w:rFonts w:cs="Arial"/>
        </w:rPr>
        <w:tab/>
        <w:t xml:space="preserve">Der Finanzverwaltungsbericht ist nicht Gegenstand einer externen Buchprüfung. </w:t>
      </w:r>
    </w:p>
    <w:p w:rsidR="00532F43" w:rsidRPr="00455AEA" w:rsidRDefault="00532F43" w:rsidP="00BD5E7F">
      <w:pPr>
        <w:rPr>
          <w:rFonts w:cs="Arial"/>
          <w:snapToGrid w:val="0"/>
        </w:rPr>
      </w:pPr>
    </w:p>
    <w:p w:rsidR="00532F43" w:rsidRPr="00455AEA" w:rsidRDefault="00532F43" w:rsidP="00BD5E7F">
      <w:pPr>
        <w:rPr>
          <w:rFonts w:cs="Arial"/>
          <w:snapToGrid w:val="0"/>
        </w:rPr>
      </w:pPr>
      <w:r w:rsidRPr="00455AEA">
        <w:rPr>
          <w:rFonts w:cs="Arial"/>
          <w:snapToGrid w:val="0"/>
        </w:rPr>
        <w:fldChar w:fldCharType="begin"/>
      </w:r>
      <w:r w:rsidRPr="00455AEA">
        <w:rPr>
          <w:rFonts w:cs="Arial"/>
          <w:snapToGrid w:val="0"/>
        </w:rPr>
        <w:instrText xml:space="preserve"> AUTONUM  </w:instrText>
      </w:r>
      <w:r w:rsidRPr="00455AEA">
        <w:rPr>
          <w:rFonts w:cs="Arial"/>
          <w:snapToGrid w:val="0"/>
        </w:rPr>
        <w:fldChar w:fldCharType="end"/>
      </w:r>
      <w:r w:rsidRPr="00455AEA">
        <w:rPr>
          <w:rFonts w:cs="Arial"/>
        </w:rPr>
        <w:tab/>
        <w:t xml:space="preserve">In den Regeln 6.6 und 6.7 der Finanzordnung heißt es wie folgt: </w:t>
      </w:r>
    </w:p>
    <w:p w:rsidR="00D81BFB" w:rsidRPr="00455AEA" w:rsidRDefault="00D81BFB" w:rsidP="00BD5E7F">
      <w:pPr>
        <w:rPr>
          <w:rFonts w:cs="Arial"/>
          <w:snapToGrid w:val="0"/>
        </w:rPr>
      </w:pPr>
    </w:p>
    <w:p w:rsidR="00D81BFB" w:rsidRPr="00455AEA" w:rsidRDefault="00D81BFB" w:rsidP="00D81BFB">
      <w:pPr>
        <w:ind w:left="567"/>
        <w:rPr>
          <w:rFonts w:cs="Arial"/>
          <w:b/>
          <w:sz w:val="18"/>
        </w:rPr>
      </w:pPr>
      <w:r w:rsidRPr="00455AEA">
        <w:rPr>
          <w:rFonts w:cs="Arial"/>
          <w:sz w:val="18"/>
        </w:rPr>
        <w:t>„</w:t>
      </w:r>
      <w:r w:rsidRPr="00455AEA">
        <w:rPr>
          <w:rFonts w:cs="Arial"/>
          <w:b/>
          <w:sz w:val="18"/>
        </w:rPr>
        <w:t>Regel 6.6</w:t>
      </w:r>
    </w:p>
    <w:p w:rsidR="00D81BFB" w:rsidRPr="00455AEA" w:rsidRDefault="00D81BFB" w:rsidP="00D81BFB">
      <w:pPr>
        <w:ind w:left="567"/>
        <w:rPr>
          <w:rFonts w:cs="Arial"/>
          <w:snapToGrid w:val="0"/>
          <w:sz w:val="18"/>
        </w:rPr>
      </w:pPr>
    </w:p>
    <w:p w:rsidR="00D81BFB" w:rsidRPr="00455AEA" w:rsidRDefault="00D81BFB" w:rsidP="00D81BFB">
      <w:pPr>
        <w:ind w:left="567"/>
        <w:rPr>
          <w:rFonts w:cs="Arial"/>
          <w:snapToGrid w:val="0"/>
        </w:rPr>
      </w:pPr>
      <w:r w:rsidRPr="00455AEA">
        <w:rPr>
          <w:rFonts w:cs="Arial"/>
        </w:rPr>
        <w:t>[…]</w:t>
      </w:r>
      <w:r w:rsidR="00343928" w:rsidRPr="00455AEA">
        <w:rPr>
          <w:rFonts w:cs="Arial"/>
        </w:rPr>
        <w:t>“</w:t>
      </w:r>
    </w:p>
    <w:p w:rsidR="00D81BFB" w:rsidRPr="00455AEA" w:rsidRDefault="00D81BFB" w:rsidP="002D03C4">
      <w:pPr>
        <w:pStyle w:val="Inf4Heading6"/>
        <w:ind w:left="1134" w:right="567"/>
        <w:outlineLvl w:val="9"/>
        <w:rPr>
          <w:rFonts w:cs="Arial"/>
          <w:sz w:val="18"/>
          <w:szCs w:val="18"/>
        </w:rPr>
      </w:pPr>
      <w:r w:rsidRPr="00455AEA">
        <w:rPr>
          <w:rFonts w:cs="Arial"/>
          <w:sz w:val="18"/>
          <w:szCs w:val="18"/>
        </w:rPr>
        <w:t>„Regel 106.12</w:t>
      </w:r>
    </w:p>
    <w:p w:rsidR="00D81BFB" w:rsidRPr="00455AEA" w:rsidRDefault="00D81BFB" w:rsidP="00D81BFB">
      <w:pPr>
        <w:pStyle w:val="Inf4Normal"/>
        <w:ind w:left="1134" w:right="567"/>
        <w:rPr>
          <w:rFonts w:cs="Arial"/>
          <w:sz w:val="18"/>
          <w:szCs w:val="18"/>
        </w:rPr>
      </w:pPr>
      <w:r w:rsidRPr="00455AEA">
        <w:rPr>
          <w:rFonts w:cs="Arial"/>
          <w:sz w:val="18"/>
          <w:szCs w:val="18"/>
        </w:rPr>
        <w:t>[…]</w:t>
      </w:r>
    </w:p>
    <w:p w:rsidR="00D81BFB" w:rsidRPr="00455AEA" w:rsidRDefault="00D81BFB" w:rsidP="00FF4A15">
      <w:pPr>
        <w:pStyle w:val="Inf4Normal"/>
        <w:ind w:left="1134" w:right="567"/>
        <w:rPr>
          <w:rFonts w:cs="Arial"/>
          <w:sz w:val="18"/>
          <w:szCs w:val="18"/>
        </w:rPr>
      </w:pPr>
      <w:r w:rsidRPr="00455AEA">
        <w:rPr>
          <w:rFonts w:cs="Arial"/>
          <w:sz w:val="18"/>
          <w:szCs w:val="18"/>
        </w:rPr>
        <w:t>b)</w:t>
      </w:r>
      <w:r w:rsidRPr="00455AEA">
        <w:rPr>
          <w:rFonts w:cs="Arial"/>
          <w:sz w:val="18"/>
          <w:szCs w:val="18"/>
        </w:rPr>
        <w:tab/>
        <w:t>Innerhalb von acht Monaten nach Ende jeder Rechnungsperiode überreicht der Generalsekretär dem Rat den Finanzver</w:t>
      </w:r>
      <w:r w:rsidR="00742815" w:rsidRPr="00455AEA">
        <w:rPr>
          <w:rFonts w:cs="Arial"/>
          <w:sz w:val="18"/>
          <w:szCs w:val="18"/>
        </w:rPr>
        <w:t>waltungsbericht gemäß Regel 6.6</w:t>
      </w:r>
      <w:r w:rsidRPr="00455AEA">
        <w:rPr>
          <w:rFonts w:cs="Arial"/>
          <w:sz w:val="18"/>
          <w:szCs w:val="18"/>
        </w:rPr>
        <w:t>.</w:t>
      </w:r>
      <w:r w:rsidR="00742815" w:rsidRPr="00455AEA">
        <w:rPr>
          <w:rFonts w:cs="Arial"/>
          <w:sz w:val="18"/>
          <w:szCs w:val="18"/>
        </w:rPr>
        <w:t>“</w:t>
      </w:r>
    </w:p>
    <w:p w:rsidR="00D81BFB" w:rsidRPr="00455AEA" w:rsidRDefault="00D81BFB" w:rsidP="00BD5E7F">
      <w:pPr>
        <w:rPr>
          <w:rFonts w:cs="Arial"/>
          <w:snapToGrid w:val="0"/>
        </w:rPr>
      </w:pPr>
    </w:p>
    <w:p w:rsidR="00BD5E7F" w:rsidRPr="00455AEA" w:rsidRDefault="00D81BFB" w:rsidP="00D81BFB">
      <w:pPr>
        <w:ind w:left="567"/>
        <w:rPr>
          <w:rFonts w:cs="Arial"/>
          <w:sz w:val="16"/>
        </w:rPr>
      </w:pPr>
      <w:bookmarkStart w:id="6" w:name="_Toc173661770"/>
      <w:bookmarkStart w:id="7" w:name="_Toc173748751"/>
      <w:bookmarkStart w:id="8" w:name="_Toc355190048"/>
      <w:r w:rsidRPr="00455AEA">
        <w:rPr>
          <w:rFonts w:cs="Arial"/>
          <w:sz w:val="18"/>
        </w:rPr>
        <w:t>„</w:t>
      </w:r>
      <w:r w:rsidRPr="00455AEA">
        <w:rPr>
          <w:rFonts w:cs="Arial"/>
          <w:b/>
          <w:sz w:val="18"/>
        </w:rPr>
        <w:t>Regel 6</w:t>
      </w:r>
      <w:bookmarkEnd w:id="6"/>
      <w:bookmarkEnd w:id="7"/>
      <w:bookmarkEnd w:id="8"/>
      <w:r w:rsidRPr="00455AEA">
        <w:rPr>
          <w:rFonts w:cs="Arial"/>
          <w:b/>
          <w:sz w:val="18"/>
        </w:rPr>
        <w:t>.7</w:t>
      </w:r>
    </w:p>
    <w:p w:rsidR="00E93B7E" w:rsidRPr="00455AEA" w:rsidRDefault="00D81BFB" w:rsidP="00FF4A15">
      <w:pPr>
        <w:pStyle w:val="Inf4Normal"/>
        <w:ind w:left="567" w:right="567"/>
        <w:rPr>
          <w:rFonts w:cs="Arial"/>
          <w:sz w:val="18"/>
          <w:szCs w:val="18"/>
        </w:rPr>
      </w:pPr>
      <w:r w:rsidRPr="00455AEA">
        <w:rPr>
          <w:rFonts w:cs="Arial"/>
          <w:sz w:val="18"/>
        </w:rPr>
        <w:t>Nach der jährlichen Rechnungsprüfung und Überprüfung durch den Rat werden die Jahresabschlüsse und der Bericht des Externen Revisors allen interessierte</w:t>
      </w:r>
      <w:r w:rsidR="00742815" w:rsidRPr="00455AEA">
        <w:rPr>
          <w:rFonts w:cs="Arial"/>
          <w:sz w:val="18"/>
        </w:rPr>
        <w:t>n UPOV-Mitgliedern übermittelt.</w:t>
      </w:r>
      <w:r w:rsidRPr="00455AEA">
        <w:rPr>
          <w:rFonts w:cs="Arial"/>
          <w:sz w:val="18"/>
        </w:rPr>
        <w:t xml:space="preserve"> Alle zwei Jahre wird der Finanzverwaltungsbericht nach Ende der zweijährigen Rechnungsperiode auch an alle interessierten UPOV-Mitglieder übermittelt.“</w:t>
      </w:r>
    </w:p>
    <w:p w:rsidR="00E93B7E" w:rsidRPr="00455AEA" w:rsidRDefault="00E93B7E" w:rsidP="00E93B7E">
      <w:pPr>
        <w:pStyle w:val="Inf4Normal"/>
        <w:ind w:left="1418" w:right="1179"/>
        <w:rPr>
          <w:rFonts w:cs="Arial"/>
          <w:sz w:val="18"/>
          <w:szCs w:val="18"/>
        </w:rPr>
      </w:pPr>
    </w:p>
    <w:p w:rsidR="000F305E" w:rsidRPr="00455AEA" w:rsidRDefault="00E93B7E" w:rsidP="00FF4A15">
      <w:pPr>
        <w:tabs>
          <w:tab w:val="left" w:pos="5387"/>
          <w:tab w:val="left" w:pos="5954"/>
        </w:tabs>
        <w:ind w:left="4820"/>
        <w:rPr>
          <w:rFonts w:cs="Arial"/>
          <w:i/>
        </w:rPr>
      </w:pPr>
      <w:r w:rsidRPr="00455AEA">
        <w:rPr>
          <w:rFonts w:cs="Arial"/>
          <w:i/>
        </w:rPr>
        <w:fldChar w:fldCharType="begin"/>
      </w:r>
      <w:r w:rsidRPr="00455AEA">
        <w:rPr>
          <w:rFonts w:cs="Arial"/>
          <w:i/>
        </w:rPr>
        <w:instrText xml:space="preserve"> AUTONUM  </w:instrText>
      </w:r>
      <w:r w:rsidRPr="00455AEA">
        <w:rPr>
          <w:rFonts w:cs="Arial"/>
          <w:i/>
        </w:rPr>
        <w:fldChar w:fldCharType="end"/>
      </w:r>
      <w:r w:rsidRPr="00455AEA">
        <w:rPr>
          <w:rFonts w:cs="Arial"/>
        </w:rPr>
        <w:tab/>
      </w:r>
      <w:r w:rsidRPr="00455AEA">
        <w:rPr>
          <w:rFonts w:cs="Arial"/>
          <w:i/>
        </w:rPr>
        <w:t>Der Rat wird ersucht, den Finanzverwaltungsbericht für die Rechnungsperiode 2014-2015 zu billigen.</w:t>
      </w:r>
    </w:p>
    <w:p w:rsidR="006C4E45" w:rsidRPr="00455AEA" w:rsidRDefault="006C4E45" w:rsidP="00D81BFB">
      <w:pPr>
        <w:tabs>
          <w:tab w:val="left" w:pos="5387"/>
          <w:tab w:val="left" w:pos="5954"/>
        </w:tabs>
        <w:ind w:left="4820" w:hanging="4820"/>
        <w:rPr>
          <w:rFonts w:cs="Arial"/>
          <w:i/>
        </w:rPr>
      </w:pPr>
    </w:p>
    <w:p w:rsidR="00C651CE" w:rsidRPr="00455AEA" w:rsidRDefault="00C651CE" w:rsidP="00C651CE">
      <w:pPr>
        <w:rPr>
          <w:rFonts w:cs="Arial"/>
        </w:rPr>
      </w:pPr>
    </w:p>
    <w:p w:rsidR="000A68B4" w:rsidRPr="00455AEA" w:rsidRDefault="000A68B4" w:rsidP="000A68B4">
      <w:pPr>
        <w:rPr>
          <w:rFonts w:cs="Arial"/>
        </w:rPr>
      </w:pPr>
    </w:p>
    <w:p w:rsidR="000F209C" w:rsidRPr="00455AEA" w:rsidRDefault="0061555F" w:rsidP="005F05B6">
      <w:pPr>
        <w:jc w:val="right"/>
        <w:rPr>
          <w:rFonts w:cs="Arial"/>
        </w:rPr>
      </w:pPr>
      <w:r w:rsidRPr="00455AEA">
        <w:rPr>
          <w:rFonts w:cs="Arial"/>
        </w:rPr>
        <w:t>[Anlage folgt]</w:t>
      </w:r>
    </w:p>
    <w:p w:rsidR="005C7018" w:rsidRPr="00455AEA" w:rsidRDefault="005C7018" w:rsidP="005C7018">
      <w:pPr>
        <w:jc w:val="center"/>
        <w:rPr>
          <w:rFonts w:cs="Arial"/>
        </w:rPr>
      </w:pPr>
    </w:p>
    <w:p w:rsidR="00A4653A" w:rsidRPr="00455AEA" w:rsidRDefault="00A4653A" w:rsidP="005F05B6">
      <w:pPr>
        <w:jc w:val="right"/>
        <w:rPr>
          <w:rFonts w:cs="Arial"/>
        </w:rPr>
        <w:sectPr w:rsidR="00A4653A" w:rsidRPr="00455AEA" w:rsidSect="00141316">
          <w:headerReference w:type="default" r:id="rId10"/>
          <w:footerReference w:type="first" r:id="rId11"/>
          <w:pgSz w:w="11907" w:h="16840" w:code="9"/>
          <w:pgMar w:top="510" w:right="1134" w:bottom="1134" w:left="1134" w:header="510" w:footer="680" w:gutter="0"/>
          <w:cols w:space="720"/>
          <w:titlePg/>
        </w:sectPr>
      </w:pPr>
    </w:p>
    <w:p w:rsidR="000F209C" w:rsidRPr="00455AEA" w:rsidRDefault="000F209C" w:rsidP="00D81BFB">
      <w:pPr>
        <w:rPr>
          <w:rFonts w:cs="Arial"/>
        </w:rPr>
      </w:pPr>
    </w:p>
    <w:p w:rsidR="00A4653A" w:rsidRPr="00455AEA" w:rsidRDefault="00A4653A" w:rsidP="00D81BFB">
      <w:pPr>
        <w:rPr>
          <w:rFonts w:cs="Arial"/>
        </w:rPr>
      </w:pPr>
    </w:p>
    <w:p w:rsidR="00A4653A" w:rsidRPr="00455AEA" w:rsidRDefault="00A4653A" w:rsidP="00A4653A">
      <w:pPr>
        <w:jc w:val="center"/>
        <w:rPr>
          <w:rFonts w:cs="Arial"/>
          <w:b/>
        </w:rPr>
      </w:pPr>
      <w:r w:rsidRPr="00455AEA">
        <w:rPr>
          <w:rFonts w:cs="Arial"/>
          <w:b/>
          <w:snapToGrid w:val="0"/>
        </w:rPr>
        <w:t>INTERNATIONALER VERBAND ZUM SCHUTZ VON PFLANZENZÜCHTUNGEN</w:t>
      </w:r>
    </w:p>
    <w:p w:rsidR="00A4653A" w:rsidRPr="00455AEA" w:rsidRDefault="00A4653A" w:rsidP="00A4653A">
      <w:pPr>
        <w:jc w:val="center"/>
        <w:rPr>
          <w:rFonts w:cs="Arial"/>
        </w:rPr>
      </w:pPr>
    </w:p>
    <w:p w:rsidR="00A4653A" w:rsidRPr="00455AEA" w:rsidRDefault="00A4653A" w:rsidP="00A4653A">
      <w:pPr>
        <w:jc w:val="center"/>
        <w:rPr>
          <w:rFonts w:cs="Arial"/>
        </w:rPr>
      </w:pPr>
      <w:r w:rsidRPr="00455AEA">
        <w:rPr>
          <w:rFonts w:cs="Arial"/>
        </w:rPr>
        <w:t>Finanzverwaltungsbericht für die Rechnungsperiode 2014-15</w:t>
      </w:r>
    </w:p>
    <w:p w:rsidR="00A4653A" w:rsidRPr="00455AEA" w:rsidRDefault="00A4653A" w:rsidP="00A4653A">
      <w:pPr>
        <w:jc w:val="center"/>
        <w:rPr>
          <w:rFonts w:cs="Arial"/>
        </w:rPr>
      </w:pPr>
    </w:p>
    <w:p w:rsidR="00A4653A" w:rsidRPr="00455AEA" w:rsidRDefault="00A4653A" w:rsidP="00A4653A">
      <w:pPr>
        <w:jc w:val="center"/>
        <w:rPr>
          <w:rFonts w:cs="Arial"/>
        </w:rPr>
      </w:pPr>
    </w:p>
    <w:p w:rsidR="006603C1" w:rsidRPr="00455AEA" w:rsidRDefault="006603C1" w:rsidP="002F4B84">
      <w:pPr>
        <w:tabs>
          <w:tab w:val="right" w:pos="9639"/>
        </w:tabs>
        <w:rPr>
          <w:rFonts w:cs="Arial"/>
          <w:b/>
        </w:rPr>
      </w:pPr>
    </w:p>
    <w:p w:rsidR="006603C1" w:rsidRPr="00455AEA" w:rsidRDefault="006603C1" w:rsidP="002F4B84">
      <w:pPr>
        <w:tabs>
          <w:tab w:val="right" w:pos="9639"/>
        </w:tabs>
        <w:rPr>
          <w:rFonts w:cs="Arial"/>
          <w:b/>
        </w:rPr>
      </w:pPr>
    </w:p>
    <w:p w:rsidR="00140793" w:rsidRPr="00455AEA" w:rsidRDefault="00140793" w:rsidP="00F11E52">
      <w:pPr>
        <w:tabs>
          <w:tab w:val="right" w:pos="9639"/>
        </w:tabs>
        <w:rPr>
          <w:rFonts w:cs="Arial"/>
          <w:b/>
          <w:caps/>
        </w:rPr>
      </w:pPr>
      <w:r w:rsidRPr="00455AEA">
        <w:rPr>
          <w:rFonts w:cs="Arial"/>
          <w:b/>
        </w:rPr>
        <w:t>INHALT</w:t>
      </w:r>
      <w:r w:rsidRPr="00455AEA">
        <w:rPr>
          <w:rFonts w:cs="Arial"/>
        </w:rPr>
        <w:tab/>
      </w:r>
      <w:r w:rsidRPr="00455AEA">
        <w:rPr>
          <w:rFonts w:cs="Arial"/>
          <w:b/>
          <w:caps/>
        </w:rPr>
        <w:t>Seite</w:t>
      </w:r>
    </w:p>
    <w:p w:rsidR="00F11E52" w:rsidRPr="00455AEA" w:rsidRDefault="00F11E52" w:rsidP="00F11E52">
      <w:pPr>
        <w:tabs>
          <w:tab w:val="right" w:pos="9639"/>
        </w:tabs>
        <w:rPr>
          <w:rFonts w:cs="Arial"/>
        </w:rPr>
      </w:pPr>
    </w:p>
    <w:p w:rsidR="003958BC" w:rsidRPr="00455AEA" w:rsidRDefault="00F11E52">
      <w:pPr>
        <w:pStyle w:val="TOC1"/>
        <w:rPr>
          <w:rFonts w:eastAsiaTheme="minorEastAsia" w:cs="Arial"/>
          <w:b w:val="0"/>
          <w:caps w:val="0"/>
          <w:sz w:val="22"/>
          <w:szCs w:val="22"/>
        </w:rPr>
      </w:pPr>
      <w:r w:rsidRPr="00455AEA">
        <w:rPr>
          <w:rFonts w:eastAsiaTheme="minorEastAsia" w:cs="Arial"/>
        </w:rPr>
        <w:fldChar w:fldCharType="begin"/>
      </w:r>
      <w:r w:rsidRPr="00455AEA">
        <w:rPr>
          <w:rFonts w:eastAsiaTheme="minorEastAsia" w:cs="Arial"/>
        </w:rPr>
        <w:instrText xml:space="preserve"> TOC \o "1-3" \u </w:instrText>
      </w:r>
      <w:r w:rsidRPr="00455AEA">
        <w:rPr>
          <w:rFonts w:eastAsiaTheme="minorEastAsia" w:cs="Arial"/>
        </w:rPr>
        <w:fldChar w:fldCharType="separate"/>
      </w:r>
      <w:r w:rsidR="003958BC" w:rsidRPr="00455AEA">
        <w:rPr>
          <w:rFonts w:cs="Arial"/>
        </w:rPr>
        <w:t>ZUSAMMENFASSUNG UND AUSWERTUNG DER ERGEBNISSE</w:t>
      </w:r>
      <w:r w:rsidR="003958BC" w:rsidRPr="00455AEA">
        <w:rPr>
          <w:rFonts w:cs="Arial"/>
        </w:rPr>
        <w:tab/>
      </w:r>
      <w:r w:rsidR="003958BC" w:rsidRPr="00455AEA">
        <w:rPr>
          <w:rFonts w:cs="Arial"/>
        </w:rPr>
        <w:fldChar w:fldCharType="begin"/>
      </w:r>
      <w:r w:rsidR="003958BC" w:rsidRPr="00455AEA">
        <w:rPr>
          <w:rFonts w:cs="Arial"/>
        </w:rPr>
        <w:instrText xml:space="preserve"> PAGEREF _Toc460246267 \h </w:instrText>
      </w:r>
      <w:r w:rsidR="003958BC" w:rsidRPr="00455AEA">
        <w:rPr>
          <w:rFonts w:cs="Arial"/>
        </w:rPr>
      </w:r>
      <w:r w:rsidR="003958BC" w:rsidRPr="00455AEA">
        <w:rPr>
          <w:rFonts w:cs="Arial"/>
        </w:rPr>
        <w:fldChar w:fldCharType="separate"/>
      </w:r>
      <w:r w:rsidR="002D1607">
        <w:rPr>
          <w:rFonts w:cs="Arial"/>
        </w:rPr>
        <w:t>2</w:t>
      </w:r>
      <w:r w:rsidR="003958BC"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1. Einnahmen, Ausgaben und Reserve- und Betriebsmittelfonds für 2014-2015</w:t>
      </w:r>
      <w:r w:rsidRPr="00455AEA">
        <w:rPr>
          <w:rFonts w:cs="Arial"/>
        </w:rPr>
        <w:tab/>
      </w:r>
      <w:r w:rsidRPr="00455AEA">
        <w:rPr>
          <w:rFonts w:cs="Arial"/>
        </w:rPr>
        <w:fldChar w:fldCharType="begin"/>
      </w:r>
      <w:r w:rsidRPr="00455AEA">
        <w:rPr>
          <w:rFonts w:cs="Arial"/>
        </w:rPr>
        <w:instrText xml:space="preserve"> PAGEREF _Toc460246268 \h </w:instrText>
      </w:r>
      <w:r w:rsidRPr="00455AEA">
        <w:rPr>
          <w:rFonts w:cs="Arial"/>
        </w:rPr>
      </w:r>
      <w:r w:rsidRPr="00455AEA">
        <w:rPr>
          <w:rFonts w:cs="Arial"/>
        </w:rPr>
        <w:fldChar w:fldCharType="separate"/>
      </w:r>
      <w:r w:rsidR="002D1607">
        <w:rPr>
          <w:rFonts w:cs="Arial"/>
        </w:rPr>
        <w:t>2</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2. 2014-2015 veranschlagte und tatsächliche Einnahmen nach Quellen</w:t>
      </w:r>
      <w:r w:rsidRPr="00455AEA">
        <w:rPr>
          <w:rFonts w:cs="Arial"/>
        </w:rPr>
        <w:tab/>
      </w:r>
      <w:r w:rsidRPr="00455AEA">
        <w:rPr>
          <w:rFonts w:cs="Arial"/>
        </w:rPr>
        <w:fldChar w:fldCharType="begin"/>
      </w:r>
      <w:r w:rsidRPr="00455AEA">
        <w:rPr>
          <w:rFonts w:cs="Arial"/>
        </w:rPr>
        <w:instrText xml:space="preserve"> PAGEREF _Toc460246269 \h </w:instrText>
      </w:r>
      <w:r w:rsidRPr="00455AEA">
        <w:rPr>
          <w:rFonts w:cs="Arial"/>
        </w:rPr>
      </w:r>
      <w:r w:rsidRPr="00455AEA">
        <w:rPr>
          <w:rFonts w:cs="Arial"/>
        </w:rPr>
        <w:fldChar w:fldCharType="separate"/>
      </w:r>
      <w:r w:rsidR="002D1607">
        <w:rPr>
          <w:rFonts w:cs="Arial"/>
        </w:rPr>
        <w:t>3</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3. Für 2014-2015 angenommener Haushaltsplan und Ausgaben nach Ausgabeposten</w:t>
      </w:r>
      <w:r w:rsidRPr="00455AEA">
        <w:rPr>
          <w:rFonts w:cs="Arial"/>
        </w:rPr>
        <w:tab/>
      </w:r>
      <w:r w:rsidRPr="00455AEA">
        <w:rPr>
          <w:rFonts w:cs="Arial"/>
        </w:rPr>
        <w:fldChar w:fldCharType="begin"/>
      </w:r>
      <w:r w:rsidRPr="00455AEA">
        <w:rPr>
          <w:rFonts w:cs="Arial"/>
        </w:rPr>
        <w:instrText xml:space="preserve"> PAGEREF _Toc460246270 \h </w:instrText>
      </w:r>
      <w:r w:rsidRPr="00455AEA">
        <w:rPr>
          <w:rFonts w:cs="Arial"/>
        </w:rPr>
      </w:r>
      <w:r w:rsidRPr="00455AEA">
        <w:rPr>
          <w:rFonts w:cs="Arial"/>
        </w:rPr>
        <w:fldChar w:fldCharType="separate"/>
      </w:r>
      <w:r w:rsidR="002D1607">
        <w:rPr>
          <w:rFonts w:cs="Arial"/>
        </w:rPr>
        <w:t>4</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4. Für 2014-2015 angenommener Haushaltsplan und Ausgaben nach Unterprogrammen</w:t>
      </w:r>
      <w:r w:rsidRPr="00455AEA">
        <w:rPr>
          <w:rFonts w:cs="Arial"/>
        </w:rPr>
        <w:tab/>
      </w:r>
      <w:r w:rsidRPr="00455AEA">
        <w:rPr>
          <w:rFonts w:cs="Arial"/>
        </w:rPr>
        <w:fldChar w:fldCharType="begin"/>
      </w:r>
      <w:r w:rsidRPr="00455AEA">
        <w:rPr>
          <w:rFonts w:cs="Arial"/>
        </w:rPr>
        <w:instrText xml:space="preserve"> PAGEREF _Toc460246271 \h </w:instrText>
      </w:r>
      <w:r w:rsidRPr="00455AEA">
        <w:rPr>
          <w:rFonts w:cs="Arial"/>
        </w:rPr>
      </w:r>
      <w:r w:rsidRPr="00455AEA">
        <w:rPr>
          <w:rFonts w:cs="Arial"/>
        </w:rPr>
        <w:fldChar w:fldCharType="separate"/>
      </w:r>
      <w:r w:rsidR="002D1607">
        <w:rPr>
          <w:rFonts w:cs="Arial"/>
        </w:rPr>
        <w:t>5</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5. Einzelheiten der Ausgaben 2014-2015 nach Unterprogrammen</w:t>
      </w:r>
      <w:r w:rsidRPr="00455AEA">
        <w:rPr>
          <w:rFonts w:cs="Arial"/>
        </w:rPr>
        <w:tab/>
      </w:r>
      <w:r w:rsidRPr="00455AEA">
        <w:rPr>
          <w:rFonts w:cs="Arial"/>
        </w:rPr>
        <w:fldChar w:fldCharType="begin"/>
      </w:r>
      <w:r w:rsidRPr="00455AEA">
        <w:rPr>
          <w:rFonts w:cs="Arial"/>
        </w:rPr>
        <w:instrText xml:space="preserve"> PAGEREF _Toc460246272 \h </w:instrText>
      </w:r>
      <w:r w:rsidRPr="00455AEA">
        <w:rPr>
          <w:rFonts w:cs="Arial"/>
        </w:rPr>
      </w:r>
      <w:r w:rsidRPr="00455AEA">
        <w:rPr>
          <w:rFonts w:cs="Arial"/>
        </w:rPr>
        <w:fldChar w:fldCharType="separate"/>
      </w:r>
      <w:r w:rsidR="002D1607">
        <w:rPr>
          <w:rFonts w:cs="Arial"/>
        </w:rPr>
        <w:t>6</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6. 2014-2015 veranschlagte und tatsächliche Posten</w:t>
      </w:r>
      <w:r w:rsidRPr="00455AEA">
        <w:rPr>
          <w:rFonts w:cs="Arial"/>
        </w:rPr>
        <w:tab/>
      </w:r>
      <w:r w:rsidRPr="00455AEA">
        <w:rPr>
          <w:rFonts w:cs="Arial"/>
        </w:rPr>
        <w:fldChar w:fldCharType="begin"/>
      </w:r>
      <w:r w:rsidRPr="00455AEA">
        <w:rPr>
          <w:rFonts w:cs="Arial"/>
        </w:rPr>
        <w:instrText xml:space="preserve"> PAGEREF _Toc460246273 \h </w:instrText>
      </w:r>
      <w:r w:rsidRPr="00455AEA">
        <w:rPr>
          <w:rFonts w:cs="Arial"/>
        </w:rPr>
      </w:r>
      <w:r w:rsidRPr="00455AEA">
        <w:rPr>
          <w:rFonts w:cs="Arial"/>
        </w:rPr>
        <w:fldChar w:fldCharType="separate"/>
      </w:r>
      <w:r w:rsidR="002D1607">
        <w:rPr>
          <w:rFonts w:cs="Arial"/>
        </w:rPr>
        <w:t>7</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Tabelle 7. Entwicklung der tatsächlichen Einnahmen und Ausgaben im Zeitraum 2008-2015</w:t>
      </w:r>
      <w:r w:rsidRPr="00455AEA">
        <w:rPr>
          <w:rFonts w:cs="Arial"/>
        </w:rPr>
        <w:tab/>
      </w:r>
      <w:r w:rsidRPr="00455AEA">
        <w:rPr>
          <w:rFonts w:cs="Arial"/>
        </w:rPr>
        <w:fldChar w:fldCharType="begin"/>
      </w:r>
      <w:r w:rsidRPr="00455AEA">
        <w:rPr>
          <w:rFonts w:cs="Arial"/>
        </w:rPr>
        <w:instrText xml:space="preserve"> PAGEREF _Toc460246274 \h </w:instrText>
      </w:r>
      <w:r w:rsidRPr="00455AEA">
        <w:rPr>
          <w:rFonts w:cs="Arial"/>
        </w:rPr>
      </w:r>
      <w:r w:rsidRPr="00455AEA">
        <w:rPr>
          <w:rFonts w:cs="Arial"/>
        </w:rPr>
        <w:fldChar w:fldCharType="separate"/>
      </w:r>
      <w:r w:rsidR="002D1607">
        <w:rPr>
          <w:rFonts w:cs="Arial"/>
        </w:rPr>
        <w:t>7</w:t>
      </w:r>
      <w:r w:rsidRPr="00455AEA">
        <w:rPr>
          <w:rFonts w:cs="Arial"/>
        </w:rPr>
        <w:fldChar w:fldCharType="end"/>
      </w:r>
    </w:p>
    <w:p w:rsidR="003958BC" w:rsidRPr="00455AEA" w:rsidRDefault="003958BC">
      <w:pPr>
        <w:pStyle w:val="TOC1"/>
        <w:rPr>
          <w:rFonts w:eastAsiaTheme="minorEastAsia" w:cs="Arial"/>
          <w:b w:val="0"/>
          <w:caps w:val="0"/>
          <w:sz w:val="22"/>
          <w:szCs w:val="22"/>
        </w:rPr>
      </w:pPr>
      <w:r w:rsidRPr="00455AEA">
        <w:rPr>
          <w:rFonts w:cs="Arial"/>
        </w:rPr>
        <w:t>ANLAGEN</w:t>
      </w:r>
      <w:r w:rsidRPr="00455AEA">
        <w:rPr>
          <w:rFonts w:cs="Arial"/>
        </w:rPr>
        <w:tab/>
      </w:r>
      <w:r w:rsidRPr="00455AEA">
        <w:rPr>
          <w:rFonts w:cs="Arial"/>
        </w:rPr>
        <w:fldChar w:fldCharType="begin"/>
      </w:r>
      <w:r w:rsidRPr="00455AEA">
        <w:rPr>
          <w:rFonts w:cs="Arial"/>
        </w:rPr>
        <w:instrText xml:space="preserve"> PAGEREF _Toc460246275 \h </w:instrText>
      </w:r>
      <w:r w:rsidRPr="00455AEA">
        <w:rPr>
          <w:rFonts w:cs="Arial"/>
        </w:rPr>
      </w:r>
      <w:r w:rsidRPr="00455AEA">
        <w:rPr>
          <w:rFonts w:cs="Arial"/>
        </w:rPr>
        <w:fldChar w:fldCharType="separate"/>
      </w:r>
      <w:r w:rsidR="002D1607">
        <w:rPr>
          <w:rFonts w:cs="Arial"/>
        </w:rPr>
        <w:t>8</w:t>
      </w:r>
      <w:r w:rsidRPr="00455AEA">
        <w:rPr>
          <w:rFonts w:cs="Arial"/>
        </w:rPr>
        <w:fldChar w:fldCharType="end"/>
      </w:r>
    </w:p>
    <w:p w:rsidR="003958BC" w:rsidRPr="00455AEA" w:rsidRDefault="003958BC">
      <w:pPr>
        <w:pStyle w:val="TOC1"/>
        <w:rPr>
          <w:rFonts w:eastAsiaTheme="minorEastAsia" w:cs="Arial"/>
          <w:b w:val="0"/>
          <w:caps w:val="0"/>
          <w:sz w:val="22"/>
          <w:szCs w:val="22"/>
        </w:rPr>
      </w:pPr>
      <w:r w:rsidRPr="00455AEA">
        <w:rPr>
          <w:rFonts w:cs="Arial"/>
        </w:rPr>
        <w:t>JAHRESABSCHLUSS</w:t>
      </w:r>
      <w:r w:rsidRPr="00455AEA">
        <w:rPr>
          <w:rFonts w:cs="Arial"/>
        </w:rPr>
        <w:tab/>
      </w:r>
      <w:r w:rsidRPr="00455AEA">
        <w:rPr>
          <w:rFonts w:cs="Arial"/>
        </w:rPr>
        <w:fldChar w:fldCharType="begin"/>
      </w:r>
      <w:r w:rsidRPr="00455AEA">
        <w:rPr>
          <w:rFonts w:cs="Arial"/>
        </w:rPr>
        <w:instrText xml:space="preserve"> PAGEREF _Toc460246276 \h </w:instrText>
      </w:r>
      <w:r w:rsidRPr="00455AEA">
        <w:rPr>
          <w:rFonts w:cs="Arial"/>
        </w:rPr>
      </w:r>
      <w:r w:rsidRPr="00455AEA">
        <w:rPr>
          <w:rFonts w:cs="Arial"/>
        </w:rPr>
        <w:fldChar w:fldCharType="separate"/>
      </w:r>
      <w:r w:rsidR="002D1607">
        <w:rPr>
          <w:rFonts w:cs="Arial"/>
        </w:rPr>
        <w:t>9</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Darstellung I  Darstellung der Finanzlage</w:t>
      </w:r>
      <w:r w:rsidRPr="00455AEA">
        <w:rPr>
          <w:rFonts w:cs="Arial"/>
        </w:rPr>
        <w:tab/>
      </w:r>
      <w:r w:rsidRPr="00455AEA">
        <w:rPr>
          <w:rFonts w:cs="Arial"/>
        </w:rPr>
        <w:fldChar w:fldCharType="begin"/>
      </w:r>
      <w:r w:rsidRPr="00455AEA">
        <w:rPr>
          <w:rFonts w:cs="Arial"/>
        </w:rPr>
        <w:instrText xml:space="preserve"> PAGEREF _Toc460246277 \h </w:instrText>
      </w:r>
      <w:r w:rsidRPr="00455AEA">
        <w:rPr>
          <w:rFonts w:cs="Arial"/>
        </w:rPr>
      </w:r>
      <w:r w:rsidRPr="00455AEA">
        <w:rPr>
          <w:rFonts w:cs="Arial"/>
        </w:rPr>
        <w:fldChar w:fldCharType="separate"/>
      </w:r>
      <w:r w:rsidR="002D1607">
        <w:rPr>
          <w:rFonts w:cs="Arial"/>
        </w:rPr>
        <w:t>10</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Darstellung II  Darstellung der Erfolgsrechnung</w:t>
      </w:r>
      <w:r w:rsidRPr="00455AEA">
        <w:rPr>
          <w:rFonts w:cs="Arial"/>
        </w:rPr>
        <w:tab/>
      </w:r>
      <w:r w:rsidRPr="00455AEA">
        <w:rPr>
          <w:rFonts w:cs="Arial"/>
        </w:rPr>
        <w:fldChar w:fldCharType="begin"/>
      </w:r>
      <w:r w:rsidRPr="00455AEA">
        <w:rPr>
          <w:rFonts w:cs="Arial"/>
        </w:rPr>
        <w:instrText xml:space="preserve"> PAGEREF _Toc460246278 \h </w:instrText>
      </w:r>
      <w:r w:rsidRPr="00455AEA">
        <w:rPr>
          <w:rFonts w:cs="Arial"/>
        </w:rPr>
      </w:r>
      <w:r w:rsidRPr="00455AEA">
        <w:rPr>
          <w:rFonts w:cs="Arial"/>
        </w:rPr>
        <w:fldChar w:fldCharType="separate"/>
      </w:r>
      <w:r w:rsidR="002D1607">
        <w:rPr>
          <w:rFonts w:cs="Arial"/>
        </w:rPr>
        <w:t>11</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Darstellung III  Darstellung der Entwicklungen des Nettovermögens</w:t>
      </w:r>
      <w:r w:rsidRPr="00455AEA">
        <w:rPr>
          <w:rFonts w:cs="Arial"/>
        </w:rPr>
        <w:tab/>
      </w:r>
      <w:r w:rsidRPr="00455AEA">
        <w:rPr>
          <w:rFonts w:cs="Arial"/>
        </w:rPr>
        <w:fldChar w:fldCharType="begin"/>
      </w:r>
      <w:r w:rsidRPr="00455AEA">
        <w:rPr>
          <w:rFonts w:cs="Arial"/>
        </w:rPr>
        <w:instrText xml:space="preserve"> PAGEREF _Toc460246279 \h </w:instrText>
      </w:r>
      <w:r w:rsidRPr="00455AEA">
        <w:rPr>
          <w:rFonts w:cs="Arial"/>
        </w:rPr>
      </w:r>
      <w:r w:rsidRPr="00455AEA">
        <w:rPr>
          <w:rFonts w:cs="Arial"/>
        </w:rPr>
        <w:fldChar w:fldCharType="separate"/>
      </w:r>
      <w:r w:rsidR="002D1607">
        <w:rPr>
          <w:rFonts w:cs="Arial"/>
        </w:rPr>
        <w:t>12</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Darstellung IV  Kapitalflussrechnung</w:t>
      </w:r>
      <w:r w:rsidRPr="00455AEA">
        <w:rPr>
          <w:rFonts w:cs="Arial"/>
        </w:rPr>
        <w:tab/>
      </w:r>
      <w:r w:rsidRPr="00455AEA">
        <w:rPr>
          <w:rFonts w:cs="Arial"/>
        </w:rPr>
        <w:fldChar w:fldCharType="begin"/>
      </w:r>
      <w:r w:rsidRPr="00455AEA">
        <w:rPr>
          <w:rFonts w:cs="Arial"/>
        </w:rPr>
        <w:instrText xml:space="preserve"> PAGEREF _Toc460246280 \h </w:instrText>
      </w:r>
      <w:r w:rsidRPr="00455AEA">
        <w:rPr>
          <w:rFonts w:cs="Arial"/>
        </w:rPr>
      </w:r>
      <w:r w:rsidRPr="00455AEA">
        <w:rPr>
          <w:rFonts w:cs="Arial"/>
        </w:rPr>
        <w:fldChar w:fldCharType="separate"/>
      </w:r>
      <w:r w:rsidR="002D1607">
        <w:rPr>
          <w:rFonts w:cs="Arial"/>
        </w:rPr>
        <w:t>13</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Darstellung V  Darstellung der Gegenüberstellung von budgetierten und tatsächlichen Beträgen</w:t>
      </w:r>
      <w:r w:rsidRPr="00455AEA">
        <w:rPr>
          <w:rFonts w:cs="Arial"/>
        </w:rPr>
        <w:tab/>
      </w:r>
      <w:r w:rsidRPr="00455AEA">
        <w:rPr>
          <w:rFonts w:cs="Arial"/>
        </w:rPr>
        <w:fldChar w:fldCharType="begin"/>
      </w:r>
      <w:r w:rsidRPr="00455AEA">
        <w:rPr>
          <w:rFonts w:cs="Arial"/>
        </w:rPr>
        <w:instrText xml:space="preserve"> PAGEREF _Toc460246281 \h </w:instrText>
      </w:r>
      <w:r w:rsidRPr="00455AEA">
        <w:rPr>
          <w:rFonts w:cs="Arial"/>
        </w:rPr>
      </w:r>
      <w:r w:rsidRPr="00455AEA">
        <w:rPr>
          <w:rFonts w:cs="Arial"/>
        </w:rPr>
        <w:fldChar w:fldCharType="separate"/>
      </w:r>
      <w:r w:rsidR="002D1607">
        <w:rPr>
          <w:rFonts w:cs="Arial"/>
        </w:rPr>
        <w:t>14</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Analyse der Finanz- und Vermögenslage</w:t>
      </w:r>
      <w:r w:rsidRPr="00455AEA">
        <w:rPr>
          <w:rFonts w:cs="Arial"/>
        </w:rPr>
        <w:tab/>
      </w:r>
      <w:r w:rsidRPr="00455AEA">
        <w:rPr>
          <w:rFonts w:cs="Arial"/>
        </w:rPr>
        <w:fldChar w:fldCharType="begin"/>
      </w:r>
      <w:r w:rsidRPr="00455AEA">
        <w:rPr>
          <w:rFonts w:cs="Arial"/>
        </w:rPr>
        <w:instrText xml:space="preserve"> PAGEREF _Toc460246282 \h </w:instrText>
      </w:r>
      <w:r w:rsidRPr="00455AEA">
        <w:rPr>
          <w:rFonts w:cs="Arial"/>
        </w:rPr>
      </w:r>
      <w:r w:rsidRPr="00455AEA">
        <w:rPr>
          <w:rFonts w:cs="Arial"/>
        </w:rPr>
        <w:fldChar w:fldCharType="separate"/>
      </w:r>
      <w:r w:rsidR="002D1607">
        <w:rPr>
          <w:rFonts w:cs="Arial"/>
        </w:rPr>
        <w:t>15</w:t>
      </w:r>
      <w:r w:rsidRPr="00455AEA">
        <w:rPr>
          <w:rFonts w:cs="Arial"/>
        </w:rPr>
        <w:fldChar w:fldCharType="end"/>
      </w:r>
    </w:p>
    <w:p w:rsidR="003958BC" w:rsidRPr="00455AEA" w:rsidRDefault="003958BC">
      <w:pPr>
        <w:pStyle w:val="TOC3"/>
        <w:rPr>
          <w:rFonts w:eastAsiaTheme="minorEastAsia" w:cs="Arial"/>
          <w:sz w:val="22"/>
          <w:szCs w:val="22"/>
          <w:lang w:val="en-US"/>
        </w:rPr>
      </w:pPr>
      <w:r w:rsidRPr="00455AEA">
        <w:rPr>
          <w:rFonts w:cs="Arial"/>
        </w:rPr>
        <w:t>Analyse der Erfolgsrechnung</w:t>
      </w:r>
      <w:r w:rsidRPr="00455AEA">
        <w:rPr>
          <w:rFonts w:cs="Arial"/>
        </w:rPr>
        <w:tab/>
      </w:r>
      <w:r w:rsidRPr="00455AEA">
        <w:rPr>
          <w:rFonts w:cs="Arial"/>
        </w:rPr>
        <w:fldChar w:fldCharType="begin"/>
      </w:r>
      <w:r w:rsidRPr="00455AEA">
        <w:rPr>
          <w:rFonts w:cs="Arial"/>
        </w:rPr>
        <w:instrText xml:space="preserve"> PAGEREF _Toc460246283 \h </w:instrText>
      </w:r>
      <w:r w:rsidRPr="00455AEA">
        <w:rPr>
          <w:rFonts w:cs="Arial"/>
        </w:rPr>
      </w:r>
      <w:r w:rsidRPr="00455AEA">
        <w:rPr>
          <w:rFonts w:cs="Arial"/>
        </w:rPr>
        <w:fldChar w:fldCharType="separate"/>
      </w:r>
      <w:r w:rsidR="002D1607">
        <w:rPr>
          <w:rFonts w:cs="Arial"/>
        </w:rPr>
        <w:t>19</w:t>
      </w:r>
      <w:r w:rsidRPr="00455AEA">
        <w:rPr>
          <w:rFonts w:cs="Arial"/>
        </w:rPr>
        <w:fldChar w:fldCharType="end"/>
      </w:r>
    </w:p>
    <w:p w:rsidR="003958BC" w:rsidRPr="00455AEA" w:rsidRDefault="003958BC">
      <w:pPr>
        <w:pStyle w:val="TOC1"/>
        <w:rPr>
          <w:rFonts w:eastAsiaTheme="minorEastAsia" w:cs="Arial"/>
          <w:b w:val="0"/>
          <w:caps w:val="0"/>
          <w:sz w:val="22"/>
          <w:szCs w:val="22"/>
        </w:rPr>
      </w:pPr>
      <w:r w:rsidRPr="00455AEA">
        <w:rPr>
          <w:rFonts w:cs="Arial"/>
        </w:rPr>
        <w:t>BETRIEBSMITTELFONDS UND BEITRÄGE</w:t>
      </w:r>
      <w:r w:rsidRPr="00455AEA">
        <w:rPr>
          <w:rFonts w:cs="Arial"/>
        </w:rPr>
        <w:tab/>
      </w:r>
      <w:r w:rsidRPr="00455AEA">
        <w:rPr>
          <w:rFonts w:cs="Arial"/>
        </w:rPr>
        <w:fldChar w:fldCharType="begin"/>
      </w:r>
      <w:r w:rsidRPr="00455AEA">
        <w:rPr>
          <w:rFonts w:cs="Arial"/>
        </w:rPr>
        <w:instrText xml:space="preserve"> PAGEREF _Toc460246284 \h </w:instrText>
      </w:r>
      <w:r w:rsidRPr="00455AEA">
        <w:rPr>
          <w:rFonts w:cs="Arial"/>
        </w:rPr>
      </w:r>
      <w:r w:rsidRPr="00455AEA">
        <w:rPr>
          <w:rFonts w:cs="Arial"/>
        </w:rPr>
        <w:fldChar w:fldCharType="separate"/>
      </w:r>
      <w:r w:rsidR="002D1607">
        <w:rPr>
          <w:rFonts w:cs="Arial"/>
        </w:rPr>
        <w:t>20</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Betriebsmittelfonds zum 31. Dezember 2015</w:t>
      </w:r>
      <w:r w:rsidRPr="00455AEA">
        <w:rPr>
          <w:rFonts w:cs="Arial"/>
        </w:rPr>
        <w:tab/>
      </w:r>
      <w:r w:rsidRPr="00455AEA">
        <w:rPr>
          <w:rFonts w:cs="Arial"/>
        </w:rPr>
        <w:fldChar w:fldCharType="begin"/>
      </w:r>
      <w:r w:rsidRPr="00455AEA">
        <w:rPr>
          <w:rFonts w:cs="Arial"/>
        </w:rPr>
        <w:instrText xml:space="preserve"> PAGEREF _Toc460246285 \h </w:instrText>
      </w:r>
      <w:r w:rsidRPr="00455AEA">
        <w:rPr>
          <w:rFonts w:cs="Arial"/>
        </w:rPr>
      </w:r>
      <w:r w:rsidRPr="00455AEA">
        <w:rPr>
          <w:rFonts w:cs="Arial"/>
        </w:rPr>
        <w:fldChar w:fldCharType="separate"/>
      </w:r>
      <w:r w:rsidR="002D1607">
        <w:rPr>
          <w:rFonts w:cs="Arial"/>
        </w:rPr>
        <w:t>20</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Beiträge von Verbandsmitgliedern</w:t>
      </w:r>
      <w:r w:rsidRPr="00455AEA">
        <w:rPr>
          <w:rFonts w:cs="Arial"/>
        </w:rPr>
        <w:tab/>
      </w:r>
      <w:r w:rsidRPr="00455AEA">
        <w:rPr>
          <w:rFonts w:cs="Arial"/>
        </w:rPr>
        <w:fldChar w:fldCharType="begin"/>
      </w:r>
      <w:r w:rsidRPr="00455AEA">
        <w:rPr>
          <w:rFonts w:cs="Arial"/>
        </w:rPr>
        <w:instrText xml:space="preserve"> PAGEREF _Toc460246286 \h </w:instrText>
      </w:r>
      <w:r w:rsidRPr="00455AEA">
        <w:rPr>
          <w:rFonts w:cs="Arial"/>
        </w:rPr>
      </w:r>
      <w:r w:rsidRPr="00455AEA">
        <w:rPr>
          <w:rFonts w:cs="Arial"/>
        </w:rPr>
        <w:fldChar w:fldCharType="separate"/>
      </w:r>
      <w:r w:rsidR="002D1607">
        <w:rPr>
          <w:rFonts w:cs="Arial"/>
        </w:rPr>
        <w:t>21</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Im Voraus entrichtete Beiträge</w:t>
      </w:r>
      <w:r w:rsidRPr="00455AEA">
        <w:rPr>
          <w:rFonts w:cs="Arial"/>
        </w:rPr>
        <w:tab/>
      </w:r>
      <w:r w:rsidRPr="00455AEA">
        <w:rPr>
          <w:rFonts w:cs="Arial"/>
        </w:rPr>
        <w:fldChar w:fldCharType="begin"/>
      </w:r>
      <w:r w:rsidRPr="00455AEA">
        <w:rPr>
          <w:rFonts w:cs="Arial"/>
        </w:rPr>
        <w:instrText xml:space="preserve"> PAGEREF _Toc460246287 \h </w:instrText>
      </w:r>
      <w:r w:rsidRPr="00455AEA">
        <w:rPr>
          <w:rFonts w:cs="Arial"/>
        </w:rPr>
      </w:r>
      <w:r w:rsidRPr="00455AEA">
        <w:rPr>
          <w:rFonts w:cs="Arial"/>
        </w:rPr>
        <w:fldChar w:fldCharType="separate"/>
      </w:r>
      <w:r w:rsidR="002D1607">
        <w:rPr>
          <w:rFonts w:cs="Arial"/>
        </w:rPr>
        <w:t>23</w:t>
      </w:r>
      <w:r w:rsidRPr="00455AEA">
        <w:rPr>
          <w:rFonts w:cs="Arial"/>
        </w:rPr>
        <w:fldChar w:fldCharType="end"/>
      </w:r>
    </w:p>
    <w:p w:rsidR="003958BC" w:rsidRPr="00455AEA" w:rsidRDefault="003958BC">
      <w:pPr>
        <w:pStyle w:val="TOC2"/>
        <w:rPr>
          <w:rFonts w:eastAsiaTheme="minorEastAsia" w:cs="Arial"/>
          <w:sz w:val="22"/>
          <w:szCs w:val="22"/>
        </w:rPr>
      </w:pPr>
      <w:r w:rsidRPr="00455AEA">
        <w:rPr>
          <w:rFonts w:cs="Arial"/>
        </w:rPr>
        <w:t>Höhe der fälligen Beiträge und Betriebsmittel zum 31. Dezember 2015</w:t>
      </w:r>
      <w:r w:rsidRPr="00455AEA">
        <w:rPr>
          <w:rFonts w:cs="Arial"/>
        </w:rPr>
        <w:tab/>
      </w:r>
      <w:r w:rsidRPr="00455AEA">
        <w:rPr>
          <w:rFonts w:cs="Arial"/>
        </w:rPr>
        <w:fldChar w:fldCharType="begin"/>
      </w:r>
      <w:r w:rsidRPr="00455AEA">
        <w:rPr>
          <w:rFonts w:cs="Arial"/>
        </w:rPr>
        <w:instrText xml:space="preserve"> PAGEREF _Toc460246288 \h </w:instrText>
      </w:r>
      <w:r w:rsidRPr="00455AEA">
        <w:rPr>
          <w:rFonts w:cs="Arial"/>
        </w:rPr>
      </w:r>
      <w:r w:rsidRPr="00455AEA">
        <w:rPr>
          <w:rFonts w:cs="Arial"/>
        </w:rPr>
        <w:fldChar w:fldCharType="separate"/>
      </w:r>
      <w:r w:rsidR="002D1607">
        <w:rPr>
          <w:rFonts w:cs="Arial"/>
        </w:rPr>
        <w:t>24</w:t>
      </w:r>
      <w:r w:rsidRPr="00455AEA">
        <w:rPr>
          <w:rFonts w:cs="Arial"/>
        </w:rPr>
        <w:fldChar w:fldCharType="end"/>
      </w:r>
    </w:p>
    <w:p w:rsidR="003958BC" w:rsidRPr="00455AEA" w:rsidRDefault="003958BC">
      <w:pPr>
        <w:pStyle w:val="TOC1"/>
        <w:rPr>
          <w:rFonts w:eastAsiaTheme="minorEastAsia" w:cs="Arial"/>
          <w:b w:val="0"/>
          <w:caps w:val="0"/>
          <w:sz w:val="22"/>
          <w:szCs w:val="22"/>
        </w:rPr>
      </w:pPr>
      <w:r w:rsidRPr="00455AEA">
        <w:rPr>
          <w:rFonts w:cs="Arial"/>
        </w:rPr>
        <w:t>AuSSeretatmäSSige Mittel (Treuhandgelder)</w:t>
      </w:r>
      <w:r w:rsidRPr="00455AEA">
        <w:rPr>
          <w:rFonts w:cs="Arial"/>
        </w:rPr>
        <w:tab/>
      </w:r>
      <w:r w:rsidRPr="00455AEA">
        <w:rPr>
          <w:rFonts w:cs="Arial"/>
        </w:rPr>
        <w:fldChar w:fldCharType="begin"/>
      </w:r>
      <w:r w:rsidRPr="00455AEA">
        <w:rPr>
          <w:rFonts w:cs="Arial"/>
        </w:rPr>
        <w:instrText xml:space="preserve"> PAGEREF _Toc460246289 \h </w:instrText>
      </w:r>
      <w:r w:rsidRPr="00455AEA">
        <w:rPr>
          <w:rFonts w:cs="Arial"/>
        </w:rPr>
      </w:r>
      <w:r w:rsidRPr="00455AEA">
        <w:rPr>
          <w:rFonts w:cs="Arial"/>
        </w:rPr>
        <w:fldChar w:fldCharType="separate"/>
      </w:r>
      <w:r w:rsidR="002D1607">
        <w:rPr>
          <w:rFonts w:cs="Arial"/>
        </w:rPr>
        <w:t>26</w:t>
      </w:r>
      <w:r w:rsidRPr="00455AEA">
        <w:rPr>
          <w:rFonts w:cs="Arial"/>
        </w:rPr>
        <w:fldChar w:fldCharType="end"/>
      </w:r>
    </w:p>
    <w:p w:rsidR="00D32DEA" w:rsidRPr="00455AEA" w:rsidRDefault="00F11E52" w:rsidP="00F11E52">
      <w:pPr>
        <w:rPr>
          <w:rFonts w:eastAsiaTheme="minorEastAsia" w:cs="Arial"/>
        </w:rPr>
      </w:pPr>
      <w:r w:rsidRPr="00455AEA">
        <w:rPr>
          <w:rFonts w:eastAsiaTheme="minorEastAsia" w:cs="Arial"/>
        </w:rPr>
        <w:fldChar w:fldCharType="end"/>
      </w:r>
    </w:p>
    <w:p w:rsidR="0018246F" w:rsidRPr="00455AEA" w:rsidRDefault="0018246F" w:rsidP="002F09F3">
      <w:pPr>
        <w:jc w:val="center"/>
        <w:rPr>
          <w:rFonts w:cs="Arial"/>
        </w:rPr>
      </w:pPr>
    </w:p>
    <w:p w:rsidR="0018246F" w:rsidRPr="00455AEA" w:rsidRDefault="0018246F" w:rsidP="005C7018">
      <w:pPr>
        <w:rPr>
          <w:rFonts w:cs="Arial"/>
        </w:rPr>
      </w:pPr>
    </w:p>
    <w:p w:rsidR="007A5B7C" w:rsidRPr="00455AEA" w:rsidRDefault="007A5B7C" w:rsidP="005C7018">
      <w:pPr>
        <w:rPr>
          <w:rFonts w:cs="Arial"/>
        </w:rPr>
        <w:sectPr w:rsidR="007A5B7C" w:rsidRPr="00455AEA" w:rsidSect="00141316">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917841" w:rsidRPr="00455AEA" w:rsidRDefault="003D5268" w:rsidP="00D81BFB">
      <w:pPr>
        <w:pStyle w:val="Heading1"/>
        <w:jc w:val="both"/>
        <w:rPr>
          <w:rFonts w:cs="Arial"/>
        </w:rPr>
      </w:pPr>
      <w:bookmarkStart w:id="9" w:name="_Toc457911022"/>
      <w:bookmarkStart w:id="10" w:name="_Toc460245165"/>
      <w:bookmarkStart w:id="11" w:name="_Toc460245215"/>
      <w:bookmarkStart w:id="12" w:name="_Toc460245289"/>
      <w:bookmarkStart w:id="13" w:name="_Toc460246267"/>
      <w:r w:rsidRPr="00455AEA">
        <w:rPr>
          <w:rFonts w:cs="Arial"/>
        </w:rPr>
        <w:lastRenderedPageBreak/>
        <w:t>ZUSAMMENFASSUNG UND AUSWERTUNG DER ERGEBNISSE</w:t>
      </w:r>
      <w:bookmarkEnd w:id="9"/>
      <w:bookmarkEnd w:id="10"/>
      <w:bookmarkEnd w:id="11"/>
      <w:bookmarkEnd w:id="12"/>
      <w:bookmarkEnd w:id="13"/>
    </w:p>
    <w:p w:rsidR="003D5268" w:rsidRPr="00455AEA" w:rsidRDefault="003D5268" w:rsidP="006360C1">
      <w:pPr>
        <w:rPr>
          <w:rFonts w:cs="Arial"/>
        </w:rPr>
      </w:pPr>
    </w:p>
    <w:p w:rsidR="006A090C" w:rsidRPr="00455AEA" w:rsidRDefault="00917841" w:rsidP="003958BC">
      <w:pPr>
        <w:rPr>
          <w:rFonts w:eastAsiaTheme="minorHAnsi" w:cs="Arial"/>
        </w:rPr>
      </w:pPr>
      <w:r w:rsidRPr="00455AEA">
        <w:rPr>
          <w:rFonts w:cs="Arial"/>
        </w:rPr>
        <w:t>Tabelle 1</w:t>
      </w:r>
      <w:r w:rsidRPr="00455AEA">
        <w:rPr>
          <w:rFonts w:eastAsiaTheme="minorHAnsi" w:cs="Arial"/>
        </w:rPr>
        <w:t xml:space="preserve"> unten zeigt das Gesamthaushaltsergebnis für die UPOV in der Rechnungsperiode </w:t>
      </w:r>
      <w:r w:rsidRPr="00455AEA">
        <w:rPr>
          <w:rFonts w:cs="Arial"/>
        </w:rPr>
        <w:t>2014-2015 sowie auch den Reserve- und den Bet</w:t>
      </w:r>
      <w:r w:rsidR="00742815" w:rsidRPr="00455AEA">
        <w:rPr>
          <w:rFonts w:cs="Arial"/>
        </w:rPr>
        <w:t>riebsmittelfonds zum Ende 2015.</w:t>
      </w:r>
      <w:r w:rsidRPr="00455AEA">
        <w:rPr>
          <w:rFonts w:cs="Arial"/>
        </w:rPr>
        <w:t xml:space="preserve"> Die Haushaltseinnahmen (vor IPSAS-Anpassungen) beliefen sich insgesamt auf 6,8 Millionen Schweizer Franken und die Gesamthaushaltsausgaben betrugen 6,8 Millionen Schweizer Franken, woraus sich ein Haushaltsergebnis von 562 Schweizer Franken für die Rec</w:t>
      </w:r>
      <w:r w:rsidR="00742815" w:rsidRPr="00455AEA">
        <w:rPr>
          <w:rFonts w:cs="Arial"/>
        </w:rPr>
        <w:t>hnungsperiode 2014-2015 ergibt.</w:t>
      </w:r>
      <w:r w:rsidRPr="00455AEA">
        <w:rPr>
          <w:rFonts w:cs="Arial"/>
        </w:rPr>
        <w:t xml:space="preserve"> Dies steht dem im angenommenen Programm und Haushaltsplan 2014-2015 veranschlagten Nullergebnis gegenüber (Dokument C/47/4 Rev.).</w:t>
      </w:r>
    </w:p>
    <w:p w:rsidR="00917841" w:rsidRPr="00455AEA" w:rsidRDefault="004D202D" w:rsidP="008402C8">
      <w:pPr>
        <w:spacing w:after="200" w:line="276" w:lineRule="auto"/>
        <w:rPr>
          <w:rFonts w:eastAsiaTheme="minorHAnsi" w:cs="Arial"/>
        </w:rPr>
      </w:pPr>
      <w:r w:rsidRPr="00455AEA">
        <w:rPr>
          <w:rFonts w:cs="Arial"/>
        </w:rPr>
        <w:t>Ende 2015 beliefen sich der Reserve- und Betriebmittelfonds auf 1,7 Milli</w:t>
      </w:r>
      <w:r w:rsidR="003958BC" w:rsidRPr="00455AEA">
        <w:rPr>
          <w:rFonts w:cs="Arial"/>
        </w:rPr>
        <w:t>onen Schweizer Franken, was 1,1 </w:t>
      </w:r>
      <w:r w:rsidRPr="00455AEA">
        <w:rPr>
          <w:rFonts w:cs="Arial"/>
        </w:rPr>
        <w:t xml:space="preserve">Millionen Schweizer Franken im Reservefonds, 70 Tausend Schweizer Franken im Sonderprojektfonds und 0,5 Millionen Schweizer Franken im Betriebsmittelfonds umfaßt. </w:t>
      </w:r>
    </w:p>
    <w:p w:rsidR="00917841" w:rsidRPr="00455AEA" w:rsidRDefault="00ED20BB" w:rsidP="00F11E52">
      <w:pPr>
        <w:pStyle w:val="Heading2"/>
      </w:pPr>
      <w:bookmarkStart w:id="14" w:name="_Toc457911023"/>
      <w:bookmarkStart w:id="15" w:name="_Toc460245166"/>
      <w:bookmarkStart w:id="16" w:name="_Toc460245216"/>
      <w:bookmarkStart w:id="17" w:name="_Toc460245290"/>
      <w:bookmarkStart w:id="18" w:name="_Toc460246268"/>
      <w:r w:rsidRPr="00455AEA">
        <w:t>Tabelle 1. Einnahmen, Ausgaben und Reserve- und Betriebsmittelfonds für 2014-2015</w:t>
      </w:r>
      <w:bookmarkEnd w:id="14"/>
      <w:bookmarkEnd w:id="15"/>
      <w:bookmarkEnd w:id="16"/>
      <w:bookmarkEnd w:id="17"/>
      <w:bookmarkEnd w:id="18"/>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4A4D0E" w:rsidRPr="00455AEA" w:rsidRDefault="00B37B40" w:rsidP="006A090C">
      <w:pPr>
        <w:spacing w:line="276" w:lineRule="auto"/>
        <w:jc w:val="center"/>
        <w:rPr>
          <w:rFonts w:eastAsiaTheme="minorHAnsi" w:cs="Arial"/>
          <w:i/>
          <w:sz w:val="22"/>
          <w:szCs w:val="22"/>
        </w:rPr>
      </w:pPr>
      <w:r w:rsidRPr="00455AEA">
        <w:rPr>
          <w:rFonts w:eastAsiaTheme="minorHAnsi" w:cs="Arial"/>
        </w:rPr>
        <w:drawing>
          <wp:inline distT="0" distB="0" distL="0" distR="0" wp14:anchorId="2B98EBC7" wp14:editId="2499F8C7">
            <wp:extent cx="5486400" cy="25050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505075"/>
                    </a:xfrm>
                    <a:prstGeom prst="rect">
                      <a:avLst/>
                    </a:prstGeom>
                    <a:noFill/>
                    <a:ln>
                      <a:noFill/>
                    </a:ln>
                  </pic:spPr>
                </pic:pic>
              </a:graphicData>
            </a:graphic>
          </wp:inline>
        </w:drawing>
      </w:r>
    </w:p>
    <w:p w:rsidR="006A090C" w:rsidRPr="00455AEA" w:rsidRDefault="006A090C" w:rsidP="00B37B40">
      <w:pPr>
        <w:tabs>
          <w:tab w:val="left" w:pos="851"/>
        </w:tabs>
        <w:ind w:left="567" w:right="567"/>
        <w:rPr>
          <w:rFonts w:cs="Arial"/>
          <w:i/>
          <w:sz w:val="18"/>
          <w:szCs w:val="18"/>
        </w:rPr>
      </w:pPr>
      <w:r w:rsidRPr="00455AEA">
        <w:rPr>
          <w:rFonts w:cs="Arial"/>
          <w:i/>
          <w:sz w:val="18"/>
        </w:rPr>
        <w:t>*</w:t>
      </w:r>
      <w:r w:rsidR="00B37B40" w:rsidRPr="00455AEA">
        <w:rPr>
          <w:rFonts w:cs="Arial"/>
          <w:i/>
          <w:sz w:val="18"/>
        </w:rPr>
        <w:tab/>
      </w:r>
      <w:r w:rsidRPr="00455AEA">
        <w:rPr>
          <w:rFonts w:cs="Arial"/>
          <w:i/>
          <w:sz w:val="18"/>
        </w:rPr>
        <w:t xml:space="preserve">Im Jahr 2015 wurden 183.824 Schweizer Franken, die dem Betrag des Reservefonds, der 15 Prozent der Gesamteinnahmen für die Rechnungsperiode 2012-2013 überstieg, entsprechen, an einen </w:t>
      </w:r>
      <w:r w:rsidR="00734AB7" w:rsidRPr="00455AEA">
        <w:rPr>
          <w:rFonts w:cs="Arial"/>
          <w:i/>
          <w:sz w:val="18"/>
        </w:rPr>
        <w:t>Fonds für Sonderprojekte</w:t>
      </w:r>
      <w:r w:rsidRPr="00455AEA">
        <w:rPr>
          <w:rFonts w:cs="Arial"/>
          <w:i/>
          <w:sz w:val="18"/>
        </w:rPr>
        <w:t xml:space="preserve"> überwiesen. Von diesem Betrag wurden 114.151 Schweizer Franken im Jahr 2015 ausgegeben, womit zum 31. Dezember 2015 ein Saldo von 69.673 Schweizer Franken verblieb</w:t>
      </w:r>
      <w:r w:rsidR="00782A9D" w:rsidRPr="00455AEA">
        <w:rPr>
          <w:rFonts w:cs="Arial"/>
          <w:i/>
          <w:sz w:val="18"/>
        </w:rPr>
        <w:t xml:space="preserve">. </w:t>
      </w:r>
    </w:p>
    <w:p w:rsidR="0097434A" w:rsidRPr="00455AEA" w:rsidRDefault="0097434A" w:rsidP="00B37B40">
      <w:pPr>
        <w:rPr>
          <w:rFonts w:eastAsiaTheme="minorHAnsi" w:cs="Arial"/>
        </w:rPr>
      </w:pPr>
    </w:p>
    <w:p w:rsidR="0097434A" w:rsidRPr="00455AEA" w:rsidRDefault="0097434A" w:rsidP="008402C8">
      <w:pPr>
        <w:spacing w:line="276" w:lineRule="auto"/>
        <w:rPr>
          <w:rFonts w:cs="Arial"/>
        </w:rPr>
      </w:pPr>
    </w:p>
    <w:p w:rsidR="008402C8" w:rsidRPr="00455AEA" w:rsidRDefault="008402C8" w:rsidP="00455AEA">
      <w:r w:rsidRPr="00455AEA">
        <w:t>Das tatsächliche Haushaltseinkommen belief sich in der Rechnungsperiode 2014-2015 auf 6,8 Millionen Schweizer Franken und lag damit um 957 Schweizer Franken unter dem veranschlagten Ziel (Tabelle 2 unten)</w:t>
      </w:r>
      <w:r w:rsidR="00782A9D" w:rsidRPr="00455AEA">
        <w:t xml:space="preserve">. </w:t>
      </w:r>
      <w:r w:rsidRPr="00455AEA">
        <w:t>Die Einnahmen aus Beiträgen sind auch weiterhin die größte Einzeleinnahmequelle und entsprechen in Einklang mit dem angenommenen Programm und Haushaltsplan 2014-2015 98</w:t>
      </w:r>
      <w:r w:rsidR="00ED7D52" w:rsidRPr="00455AEA">
        <w:t xml:space="preserve"> </w:t>
      </w:r>
      <w:r w:rsidRPr="00455AEA">
        <w:t>% der Gesamteinnahmen</w:t>
      </w:r>
      <w:r w:rsidR="00782A9D" w:rsidRPr="00455AEA">
        <w:t xml:space="preserve">. Beim Programm und Haushaltsplan 2014-2015 wurden aufgrund der Annahme eines neuen Verbandsmitgliedes pro Jahr, das jeweils 0,2 Beitragseinheiten zum Haushalt beiträgt, Einnahmen veranschlagt. </w:t>
      </w:r>
      <w:r w:rsidRPr="00455AEA">
        <w:t>Ein neues Mitglied trat dem Verband 2013 (Serbien) und eines im Jahr 2014 (Afrikanische Organisation für geistiges Eigentum (OAPI)) bei, wobei jedes ab 2014 bzw. 2015 jeweils 0,2 Einheiten entrichtet</w:t>
      </w:r>
      <w:r w:rsidR="00782A9D" w:rsidRPr="00455AEA">
        <w:t xml:space="preserve">. </w:t>
      </w:r>
      <w:r w:rsidRPr="00455AEA">
        <w:t>In der Rechnungsperiode 2014-2015 wurden keine Einnahmen aus Veröffentlichungen erzielt, da alle Veröffentlichungen kostenfrei verfügbar sind</w:t>
      </w:r>
      <w:r w:rsidR="00782A9D" w:rsidRPr="00455AEA">
        <w:t xml:space="preserve">. </w:t>
      </w:r>
      <w:r w:rsidRPr="00455AEA">
        <w:t>Zinseinnahmen beliefen sich auf 14 Tausend Schweizer Franken und lagen damit um 6 Tausend Schweizer Franken unter dem veranschlagten Betrag</w:t>
      </w:r>
      <w:r w:rsidR="00782A9D" w:rsidRPr="00455AEA">
        <w:t xml:space="preserve">. </w:t>
      </w:r>
      <w:r w:rsidRPr="00455AEA">
        <w:t>2015 wurden au</w:t>
      </w:r>
      <w:r w:rsidR="00ED7D52" w:rsidRPr="00455AEA">
        <w:t>fgrund der Änderung der Zins</w:t>
      </w:r>
      <w:r w:rsidRPr="00455AEA">
        <w:t>politik der Eidgenössischen Finanzverwaltung (EFV) keine Zi</w:t>
      </w:r>
      <w:r w:rsidR="00ED7D52" w:rsidRPr="00455AEA">
        <w:t>nsen auf bei der EFV deponierte</w:t>
      </w:r>
      <w:r w:rsidRPr="00455AEA">
        <w:t xml:space="preserve"> Mittel erzielt</w:t>
      </w:r>
      <w:r w:rsidR="00782A9D" w:rsidRPr="00455AEA">
        <w:t xml:space="preserve">. </w:t>
      </w:r>
      <w:r w:rsidRPr="00455AEA">
        <w:t>Sonstige Einnahmen beliefen sich auf 100 Tausend Schweizer Franken und lagen damit um 14 Tausend Schweizer Franken über dem veranschlagten Betrag</w:t>
      </w:r>
      <w:r w:rsidR="00782A9D" w:rsidRPr="00455AEA">
        <w:t xml:space="preserve">. </w:t>
      </w:r>
      <w:r w:rsidR="00ED7D52" w:rsidRPr="00455AEA">
        <w:t>Sonstige</w:t>
      </w:r>
      <w:r w:rsidRPr="00455AEA">
        <w:t xml:space="preserve"> Einnahmen umfassten Einnahmen aus administrativen Unterstützungskosten im Rahmen der außeretatsmä</w:t>
      </w:r>
      <w:r w:rsidR="00734AB7" w:rsidRPr="00455AEA">
        <w:t>ßigen Fonds (z. B. Treuhandgelder</w:t>
      </w:r>
      <w:r w:rsidRPr="00455AEA">
        <w:t xml:space="preserve">), Einnahmen durch die Teilnahmegebühren am UPOV-Fernlehrgang und Buchhaltungsberichtigungen für frühere Jahre. </w:t>
      </w:r>
    </w:p>
    <w:p w:rsidR="004D202D" w:rsidRPr="00455AEA" w:rsidRDefault="004D202D" w:rsidP="008402C8">
      <w:pPr>
        <w:rPr>
          <w:rFonts w:eastAsiaTheme="minorHAnsi" w:cs="Arial"/>
          <w:b/>
          <w:u w:val="single"/>
        </w:rPr>
      </w:pPr>
      <w:r w:rsidRPr="00455AEA">
        <w:rPr>
          <w:rFonts w:cs="Arial"/>
        </w:rPr>
        <w:br w:type="page"/>
      </w:r>
    </w:p>
    <w:p w:rsidR="00917841" w:rsidRPr="00455AEA" w:rsidRDefault="00917841" w:rsidP="00F11E52">
      <w:pPr>
        <w:pStyle w:val="Heading2"/>
      </w:pPr>
      <w:bookmarkStart w:id="19" w:name="_Toc457911024"/>
      <w:bookmarkStart w:id="20" w:name="_Toc460245167"/>
      <w:bookmarkStart w:id="21" w:name="_Toc460245217"/>
      <w:bookmarkStart w:id="22" w:name="_Toc460245291"/>
      <w:bookmarkStart w:id="23" w:name="_Toc460246269"/>
      <w:r w:rsidRPr="00455AEA">
        <w:t>Tabelle 2. 2014-2015 veranschlagte und tatsächliche Einnahmen nach Quellen</w:t>
      </w:r>
      <w:bookmarkEnd w:id="19"/>
      <w:bookmarkEnd w:id="20"/>
      <w:bookmarkEnd w:id="21"/>
      <w:bookmarkEnd w:id="22"/>
      <w:bookmarkEnd w:id="23"/>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4A4D0E" w:rsidRPr="00455AEA" w:rsidRDefault="00ED7D52" w:rsidP="00917841">
      <w:pPr>
        <w:spacing w:after="200" w:line="276" w:lineRule="auto"/>
        <w:jc w:val="center"/>
        <w:rPr>
          <w:rFonts w:eastAsiaTheme="minorHAnsi" w:cs="Arial"/>
          <w:b/>
          <w:sz w:val="22"/>
          <w:szCs w:val="22"/>
        </w:rPr>
      </w:pPr>
      <w:r w:rsidRPr="00455AEA">
        <w:rPr>
          <w:rFonts w:eastAsiaTheme="minorHAnsi" w:cs="Arial"/>
          <w:noProof/>
          <w:lang w:val="en-US" w:eastAsia="en-US" w:bidi="ar-SA"/>
        </w:rPr>
        <w:drawing>
          <wp:inline distT="0" distB="0" distL="0" distR="0" wp14:anchorId="41E9A8B5" wp14:editId="3BFA0D5B">
            <wp:extent cx="4762500" cy="17678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1767840"/>
                    </a:xfrm>
                    <a:prstGeom prst="rect">
                      <a:avLst/>
                    </a:prstGeom>
                    <a:noFill/>
                    <a:ln>
                      <a:noFill/>
                    </a:ln>
                  </pic:spPr>
                </pic:pic>
              </a:graphicData>
            </a:graphic>
          </wp:inline>
        </w:drawing>
      </w:r>
    </w:p>
    <w:p w:rsidR="0097434A" w:rsidRPr="00455AEA" w:rsidRDefault="0097434A" w:rsidP="00917841">
      <w:pPr>
        <w:spacing w:after="200" w:line="276" w:lineRule="auto"/>
        <w:jc w:val="center"/>
        <w:rPr>
          <w:rFonts w:eastAsiaTheme="minorHAnsi" w:cs="Arial"/>
          <w:b/>
          <w:sz w:val="22"/>
          <w:szCs w:val="22"/>
        </w:rPr>
      </w:pPr>
    </w:p>
    <w:p w:rsidR="00917841" w:rsidRPr="00455AEA" w:rsidRDefault="00340985" w:rsidP="00917841">
      <w:pPr>
        <w:spacing w:after="200" w:line="276" w:lineRule="auto"/>
        <w:jc w:val="center"/>
        <w:rPr>
          <w:rFonts w:eastAsiaTheme="minorHAnsi" w:cs="Arial"/>
          <w:b/>
          <w:sz w:val="22"/>
          <w:szCs w:val="22"/>
        </w:rPr>
      </w:pPr>
      <w:r w:rsidRPr="00455AEA">
        <w:rPr>
          <w:rFonts w:cs="Arial"/>
          <w:noProof/>
          <w:lang w:val="en-US" w:eastAsia="en-US" w:bidi="ar-SA"/>
        </w:rPr>
        <w:drawing>
          <wp:inline distT="0" distB="0" distL="0" distR="0" wp14:anchorId="02DF4197" wp14:editId="49E3F60D">
            <wp:extent cx="4684395" cy="2840355"/>
            <wp:effectExtent l="0" t="0" r="1905" b="0"/>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7841" w:rsidRPr="00455AEA" w:rsidRDefault="00917841" w:rsidP="00D81BFB">
      <w:pPr>
        <w:spacing w:after="200" w:line="276" w:lineRule="auto"/>
        <w:rPr>
          <w:rFonts w:eastAsiaTheme="minorHAnsi" w:cs="Arial"/>
          <w:sz w:val="22"/>
          <w:szCs w:val="22"/>
        </w:rPr>
      </w:pPr>
    </w:p>
    <w:p w:rsidR="0097434A" w:rsidRPr="00455AEA" w:rsidRDefault="0097434A">
      <w:pPr>
        <w:rPr>
          <w:rFonts w:cs="Arial"/>
        </w:rPr>
      </w:pPr>
      <w:r w:rsidRPr="00455AEA">
        <w:rPr>
          <w:rFonts w:cs="Arial"/>
        </w:rPr>
        <w:br w:type="page"/>
      </w:r>
    </w:p>
    <w:p w:rsidR="00EE7438" w:rsidRPr="00455AEA" w:rsidRDefault="0097434A" w:rsidP="0097434A">
      <w:pPr>
        <w:spacing w:line="276" w:lineRule="auto"/>
        <w:rPr>
          <w:rFonts w:eastAsiaTheme="minorHAnsi" w:cs="Arial"/>
          <w:sz w:val="22"/>
          <w:szCs w:val="22"/>
        </w:rPr>
      </w:pPr>
      <w:r w:rsidRPr="00455AEA">
        <w:rPr>
          <w:rFonts w:cs="Arial"/>
        </w:rPr>
        <w:t>Die tatsächlichen Ausgaben in 2014-2015 gegenüber dem angenommenen Programm und Haushaltsplan 2014-2015 sind in Tabelle 3 nach Kostenkategorien und in Tabelle 4 nach Unterprogrammen dargelegt</w:t>
      </w:r>
      <w:r w:rsidR="00782A9D" w:rsidRPr="00455AEA">
        <w:rPr>
          <w:rFonts w:cs="Arial"/>
        </w:rPr>
        <w:t xml:space="preserve">. </w:t>
      </w:r>
      <w:r w:rsidRPr="00455AEA">
        <w:rPr>
          <w:rFonts w:cs="Arial"/>
        </w:rPr>
        <w:t xml:space="preserve"> </w:t>
      </w:r>
    </w:p>
    <w:p w:rsidR="0097434A" w:rsidRPr="00455AEA" w:rsidRDefault="0097434A" w:rsidP="0097434A">
      <w:pPr>
        <w:spacing w:line="276" w:lineRule="auto"/>
        <w:rPr>
          <w:rFonts w:eastAsiaTheme="minorHAnsi" w:cs="Arial"/>
          <w:sz w:val="22"/>
          <w:szCs w:val="22"/>
        </w:rPr>
      </w:pPr>
    </w:p>
    <w:p w:rsidR="00917841" w:rsidRPr="00455AEA" w:rsidRDefault="00917841" w:rsidP="00F11E52">
      <w:pPr>
        <w:pStyle w:val="Heading2"/>
      </w:pPr>
      <w:bookmarkStart w:id="24" w:name="_Toc457911025"/>
      <w:bookmarkStart w:id="25" w:name="_Toc460245168"/>
      <w:bookmarkStart w:id="26" w:name="_Toc460245218"/>
      <w:bookmarkStart w:id="27" w:name="_Toc460245292"/>
      <w:bookmarkStart w:id="28" w:name="_Toc460246270"/>
      <w:r w:rsidRPr="00455AEA">
        <w:t>Tabelle 3. Für 2014-2015 angenommener Haushaltsplan und Ausgaben nach Ausgabeposten</w:t>
      </w:r>
      <w:bookmarkEnd w:id="24"/>
      <w:bookmarkEnd w:id="25"/>
      <w:bookmarkEnd w:id="26"/>
      <w:bookmarkEnd w:id="27"/>
      <w:bookmarkEnd w:id="28"/>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FC393E" w:rsidRPr="00455AEA" w:rsidRDefault="008836AD" w:rsidP="00743C2D">
      <w:pPr>
        <w:spacing w:line="276" w:lineRule="auto"/>
        <w:jc w:val="center"/>
        <w:rPr>
          <w:rFonts w:eastAsiaTheme="minorHAnsi" w:cs="Arial"/>
          <w:sz w:val="22"/>
          <w:szCs w:val="22"/>
        </w:rPr>
      </w:pPr>
      <w:r w:rsidRPr="00455AEA">
        <w:rPr>
          <w:rFonts w:eastAsiaTheme="minorHAnsi" w:cs="Arial"/>
          <w:noProof/>
          <w:lang w:val="en-US" w:eastAsia="en-US" w:bidi="ar-SA"/>
        </w:rPr>
        <w:drawing>
          <wp:inline distT="0" distB="0" distL="0" distR="0" wp14:anchorId="49633368" wp14:editId="7DB7EFB9">
            <wp:extent cx="5943600" cy="532638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326380"/>
                    </a:xfrm>
                    <a:prstGeom prst="rect">
                      <a:avLst/>
                    </a:prstGeom>
                    <a:noFill/>
                    <a:ln>
                      <a:noFill/>
                    </a:ln>
                  </pic:spPr>
                </pic:pic>
              </a:graphicData>
            </a:graphic>
          </wp:inline>
        </w:drawing>
      </w:r>
    </w:p>
    <w:p w:rsidR="00150B2B" w:rsidRPr="00455AEA" w:rsidRDefault="00455AEA" w:rsidP="00455AEA">
      <w:pPr>
        <w:tabs>
          <w:tab w:val="left" w:pos="426"/>
        </w:tabs>
        <w:spacing w:line="276" w:lineRule="auto"/>
        <w:ind w:left="142" w:right="141"/>
        <w:rPr>
          <w:rFonts w:eastAsiaTheme="minorHAnsi" w:cs="Arial"/>
          <w:sz w:val="18"/>
          <w:szCs w:val="18"/>
        </w:rPr>
      </w:pPr>
      <w:r>
        <w:rPr>
          <w:rFonts w:eastAsiaTheme="minorHAnsi" w:cs="Arial"/>
          <w:sz w:val="18"/>
        </w:rPr>
        <w:t>*</w:t>
      </w:r>
      <w:r>
        <w:rPr>
          <w:rFonts w:eastAsiaTheme="minorHAnsi" w:cs="Arial"/>
          <w:sz w:val="18"/>
        </w:rPr>
        <w:tab/>
      </w:r>
      <w:r w:rsidR="00743C2D" w:rsidRPr="00455AEA">
        <w:rPr>
          <w:rFonts w:eastAsiaTheme="minorHAnsi" w:cs="Arial"/>
          <w:sz w:val="18"/>
        </w:rPr>
        <w:t xml:space="preserve">Es ist darauf hinzuweisen, daß die Kosten für Praktikanten in der Darstellung des </w:t>
      </w:r>
      <w:r w:rsidR="00680CDD" w:rsidRPr="00455AEA">
        <w:rPr>
          <w:rFonts w:eastAsiaTheme="minorHAnsi" w:cs="Arial"/>
          <w:sz w:val="18"/>
        </w:rPr>
        <w:t xml:space="preserve">Jahresabschlusses </w:t>
      </w:r>
      <w:r w:rsidR="00743C2D" w:rsidRPr="00455AEA">
        <w:rPr>
          <w:rFonts w:eastAsiaTheme="minorHAnsi" w:cs="Arial"/>
          <w:sz w:val="18"/>
        </w:rPr>
        <w:t>in den Kosten für vertraglich vereinbarte Dienstleistungen enthalten sind.</w:t>
      </w:r>
    </w:p>
    <w:p w:rsidR="00150B2B" w:rsidRPr="00455AEA" w:rsidRDefault="00455AEA" w:rsidP="00455AEA">
      <w:pPr>
        <w:tabs>
          <w:tab w:val="left" w:pos="426"/>
        </w:tabs>
        <w:spacing w:line="276" w:lineRule="auto"/>
        <w:ind w:left="142" w:right="141"/>
        <w:rPr>
          <w:rFonts w:eastAsiaTheme="minorHAnsi" w:cs="Arial"/>
          <w:sz w:val="18"/>
          <w:szCs w:val="18"/>
        </w:rPr>
      </w:pPr>
      <w:r>
        <w:rPr>
          <w:rFonts w:eastAsiaTheme="minorHAnsi" w:cs="Arial"/>
          <w:sz w:val="18"/>
        </w:rPr>
        <w:t>**</w:t>
      </w:r>
      <w:r>
        <w:rPr>
          <w:rFonts w:eastAsiaTheme="minorHAnsi" w:cs="Arial"/>
          <w:sz w:val="18"/>
        </w:rPr>
        <w:tab/>
      </w:r>
      <w:r w:rsidR="00150B2B" w:rsidRPr="00455AEA">
        <w:rPr>
          <w:rFonts w:eastAsiaTheme="minorHAnsi" w:cs="Arial"/>
          <w:sz w:val="18"/>
        </w:rPr>
        <w:t xml:space="preserve">Alle anderen numerischen Abweichungen zwischen dieser Tabelle und folgenden </w:t>
      </w:r>
      <w:r w:rsidR="00734AB7" w:rsidRPr="00455AEA">
        <w:rPr>
          <w:rFonts w:eastAsiaTheme="minorHAnsi" w:cs="Arial"/>
          <w:sz w:val="18"/>
        </w:rPr>
        <w:t>Tabellen aus de</w:t>
      </w:r>
      <w:r w:rsidR="00150B2B" w:rsidRPr="00455AEA">
        <w:rPr>
          <w:rFonts w:eastAsiaTheme="minorHAnsi" w:cs="Arial"/>
          <w:sz w:val="18"/>
        </w:rPr>
        <w:t>m Jahresabschluß sind durch Auf- oder Abrunden bedingt.</w:t>
      </w:r>
    </w:p>
    <w:p w:rsidR="00235388" w:rsidRPr="00455AEA" w:rsidRDefault="00235388" w:rsidP="008518D2">
      <w:pPr>
        <w:pStyle w:val="Heading3"/>
        <w:rPr>
          <w:rFonts w:cs="Arial"/>
        </w:rPr>
      </w:pPr>
    </w:p>
    <w:p w:rsidR="00DC1903" w:rsidRPr="00455AEA" w:rsidRDefault="00DC1903">
      <w:pPr>
        <w:rPr>
          <w:rFonts w:eastAsiaTheme="minorHAnsi" w:cs="Arial"/>
          <w:b/>
          <w:u w:val="single"/>
        </w:rPr>
      </w:pPr>
      <w:r w:rsidRPr="00455AEA">
        <w:rPr>
          <w:rFonts w:cs="Arial"/>
        </w:rPr>
        <w:br w:type="page"/>
      </w:r>
    </w:p>
    <w:p w:rsidR="00917841" w:rsidRPr="00455AEA" w:rsidRDefault="00917841" w:rsidP="00F11E52">
      <w:pPr>
        <w:pStyle w:val="Heading2"/>
      </w:pPr>
      <w:bookmarkStart w:id="29" w:name="_Toc457911026"/>
      <w:bookmarkStart w:id="30" w:name="_Toc460245169"/>
      <w:bookmarkStart w:id="31" w:name="_Toc460245219"/>
      <w:bookmarkStart w:id="32" w:name="_Toc460245293"/>
      <w:bookmarkStart w:id="33" w:name="_Toc460246271"/>
      <w:r w:rsidRPr="00455AEA">
        <w:t>Tabelle 4. Für 2014-2015 angenommener Haushaltsplan und Ausgaben nach Unterprogrammen</w:t>
      </w:r>
      <w:bookmarkEnd w:id="29"/>
      <w:bookmarkEnd w:id="30"/>
      <w:bookmarkEnd w:id="31"/>
      <w:bookmarkEnd w:id="32"/>
      <w:bookmarkEnd w:id="33"/>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A36ABA" w:rsidRPr="00455AEA" w:rsidRDefault="00680CDD" w:rsidP="000B34D5">
      <w:pPr>
        <w:jc w:val="center"/>
        <w:rPr>
          <w:rFonts w:eastAsiaTheme="minorHAnsi" w:cs="Arial"/>
          <w:b/>
          <w:sz w:val="22"/>
          <w:szCs w:val="22"/>
        </w:rPr>
      </w:pPr>
      <w:r w:rsidRPr="00455AEA">
        <w:rPr>
          <w:rFonts w:eastAsiaTheme="minorHAnsi" w:cs="Arial"/>
          <w:noProof/>
          <w:lang w:val="en-US" w:eastAsia="en-US" w:bidi="ar-SA"/>
        </w:rPr>
        <w:drawing>
          <wp:inline distT="0" distB="0" distL="0" distR="0" wp14:anchorId="14748F56" wp14:editId="56AB84C6">
            <wp:extent cx="6120765" cy="220171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201714"/>
                    </a:xfrm>
                    <a:prstGeom prst="rect">
                      <a:avLst/>
                    </a:prstGeom>
                    <a:noFill/>
                    <a:ln>
                      <a:noFill/>
                    </a:ln>
                  </pic:spPr>
                </pic:pic>
              </a:graphicData>
            </a:graphic>
          </wp:inline>
        </w:drawing>
      </w:r>
    </w:p>
    <w:p w:rsidR="00917841" w:rsidRPr="00455AEA" w:rsidRDefault="00917841" w:rsidP="00B025CE">
      <w:pPr>
        <w:rPr>
          <w:rFonts w:cs="Arial"/>
          <w:u w:val="single"/>
        </w:rPr>
      </w:pPr>
      <w:r w:rsidRPr="00455AEA">
        <w:rPr>
          <w:rFonts w:cs="Arial"/>
          <w:u w:val="single"/>
        </w:rPr>
        <w:t>Personalkosten</w:t>
      </w:r>
    </w:p>
    <w:p w:rsidR="00B025CE" w:rsidRDefault="00B025CE" w:rsidP="00B025CE">
      <w:pPr>
        <w:rPr>
          <w:rFonts w:cs="Arial"/>
        </w:rPr>
      </w:pPr>
    </w:p>
    <w:p w:rsidR="00DC1903" w:rsidRDefault="00DC1903" w:rsidP="00B025CE">
      <w:pPr>
        <w:rPr>
          <w:rFonts w:cs="Arial"/>
        </w:rPr>
      </w:pPr>
      <w:r w:rsidRPr="00455AEA">
        <w:rPr>
          <w:rFonts w:cs="Arial"/>
        </w:rPr>
        <w:t xml:space="preserve">Die Personalkosten beliefen sich (vor IPSAS-Anpassungen) 2014-2015 auf 4,364 Millionen Schweizer Franken, 60.940 Schweizer Franken weniger als im angenommen Programm und Haushaltsplan 2014-2015 veranschlagt. Diese Verringerung ist auf geringere Ausgaben in der Kategorie </w:t>
      </w:r>
      <w:r w:rsidR="00D30B95">
        <w:rPr>
          <w:rFonts w:cs="Arial"/>
        </w:rPr>
        <w:t>‚</w:t>
      </w:r>
      <w:r w:rsidRPr="00455AEA">
        <w:rPr>
          <w:rFonts w:cs="Arial"/>
        </w:rPr>
        <w:t>Posten</w:t>
      </w:r>
      <w:r w:rsidR="00D30B95">
        <w:rPr>
          <w:rFonts w:cs="Arial"/>
        </w:rPr>
        <w:t>‘</w:t>
      </w:r>
      <w:r w:rsidRPr="00455AEA">
        <w:rPr>
          <w:rFonts w:cs="Arial"/>
        </w:rPr>
        <w:t xml:space="preserve"> zurückzuführen, die zum Teil wiederum durch höhere A</w:t>
      </w:r>
      <w:r w:rsidR="00734AB7" w:rsidRPr="00455AEA">
        <w:rPr>
          <w:rFonts w:cs="Arial"/>
        </w:rPr>
        <w:t xml:space="preserve">usgaben in der Kategorie </w:t>
      </w:r>
      <w:r w:rsidR="00D30B95">
        <w:rPr>
          <w:rFonts w:cs="Arial"/>
        </w:rPr>
        <w:t>‚</w:t>
      </w:r>
      <w:r w:rsidR="00734AB7" w:rsidRPr="00455AEA">
        <w:rPr>
          <w:rFonts w:cs="Arial"/>
        </w:rPr>
        <w:t>befristete Mitarbeiter</w:t>
      </w:r>
      <w:r w:rsidR="00D30B95">
        <w:rPr>
          <w:rFonts w:cs="Arial"/>
        </w:rPr>
        <w:t>‘</w:t>
      </w:r>
      <w:r w:rsidRPr="00455AEA">
        <w:rPr>
          <w:rFonts w:cs="Arial"/>
        </w:rPr>
        <w:t xml:space="preserve"> kompensiert wurde</w:t>
      </w:r>
      <w:r w:rsidR="00782A9D" w:rsidRPr="00455AEA">
        <w:rPr>
          <w:rFonts w:cs="Arial"/>
        </w:rPr>
        <w:t xml:space="preserve">. </w:t>
      </w:r>
      <w:r w:rsidRPr="00455AEA">
        <w:rPr>
          <w:rFonts w:cs="Arial"/>
        </w:rPr>
        <w:t>Die Ausgaben für Posten waren geringer als erwartet, da eine Mitarbeiterin ihre Tätigkeit nach dem Mutterschaftsurlaub auf Teilzeitbasis wiederaufnahm. Die höheren Ausgaben für</w:t>
      </w:r>
      <w:r w:rsidR="00844C3B" w:rsidRPr="00455AEA">
        <w:rPr>
          <w:rFonts w:cs="Arial"/>
        </w:rPr>
        <w:t xml:space="preserve"> </w:t>
      </w:r>
      <w:r w:rsidR="00D30B95">
        <w:rPr>
          <w:rFonts w:cs="Arial"/>
        </w:rPr>
        <w:t>‚</w:t>
      </w:r>
      <w:r w:rsidR="00120B7B" w:rsidRPr="00455AEA">
        <w:rPr>
          <w:rFonts w:cs="Arial"/>
        </w:rPr>
        <w:t>befristete Mitarbeiter</w:t>
      </w:r>
      <w:r w:rsidR="00D30B95">
        <w:rPr>
          <w:rFonts w:cs="Arial"/>
        </w:rPr>
        <w:t>‘</w:t>
      </w:r>
      <w:r w:rsidR="00120B7B" w:rsidRPr="00455AEA">
        <w:rPr>
          <w:rFonts w:cs="Arial"/>
        </w:rPr>
        <w:t xml:space="preserve"> </w:t>
      </w:r>
      <w:r w:rsidR="00844C3B" w:rsidRPr="00455AEA">
        <w:rPr>
          <w:rFonts w:cs="Arial"/>
        </w:rPr>
        <w:t>fielen aufgrund der</w:t>
      </w:r>
      <w:r w:rsidR="00120B7B" w:rsidRPr="00455AEA">
        <w:rPr>
          <w:rFonts w:cs="Arial"/>
        </w:rPr>
        <w:t xml:space="preserve"> Unterstützung für die</w:t>
      </w:r>
      <w:r w:rsidRPr="00455AEA">
        <w:rPr>
          <w:rFonts w:cs="Arial"/>
        </w:rPr>
        <w:t xml:space="preserve"> Entwicklung des elektronischen Antragsformblatts an</w:t>
      </w:r>
      <w:r w:rsidR="00782A9D" w:rsidRPr="00455AEA">
        <w:rPr>
          <w:rFonts w:cs="Arial"/>
        </w:rPr>
        <w:t xml:space="preserve">. </w:t>
      </w:r>
    </w:p>
    <w:p w:rsidR="00B025CE" w:rsidRPr="00455AEA" w:rsidRDefault="00B025CE" w:rsidP="00B025CE">
      <w:pPr>
        <w:rPr>
          <w:rFonts w:cs="Arial"/>
        </w:rPr>
      </w:pPr>
    </w:p>
    <w:p w:rsidR="00917841" w:rsidRPr="00455AEA" w:rsidRDefault="00917841" w:rsidP="00B025CE">
      <w:pPr>
        <w:rPr>
          <w:rFonts w:cs="Arial"/>
          <w:u w:val="single"/>
        </w:rPr>
      </w:pPr>
      <w:r w:rsidRPr="00455AEA">
        <w:rPr>
          <w:rFonts w:cs="Arial"/>
          <w:u w:val="single"/>
        </w:rPr>
        <w:t>Nichtpersonalkosten</w:t>
      </w:r>
    </w:p>
    <w:p w:rsidR="00B025CE" w:rsidRDefault="00B025CE" w:rsidP="00B025CE">
      <w:pPr>
        <w:rPr>
          <w:rFonts w:cs="Arial"/>
        </w:rPr>
      </w:pPr>
    </w:p>
    <w:p w:rsidR="00743C2D" w:rsidRPr="00455AEA" w:rsidRDefault="00DC1903" w:rsidP="00B025CE">
      <w:pPr>
        <w:rPr>
          <w:rFonts w:cs="Arial"/>
        </w:rPr>
      </w:pPr>
      <w:r w:rsidRPr="00455AEA">
        <w:rPr>
          <w:rFonts w:cs="Arial"/>
        </w:rPr>
        <w:t>Die Nichtpersonalkosten beliefen sich (vor IPSAS-Anpassungen) insgesamt auf 2,428 Millionen Schweizer Franken und lagen damit um 59.421 Schweizer Franken bzw. drei Prozent über dem veranschlagten Ziel</w:t>
      </w:r>
      <w:r w:rsidR="00782A9D" w:rsidRPr="00455AEA">
        <w:rPr>
          <w:rFonts w:cs="Arial"/>
        </w:rPr>
        <w:t xml:space="preserve">. </w:t>
      </w:r>
      <w:r w:rsidRPr="00455AEA">
        <w:rPr>
          <w:rFonts w:cs="Arial"/>
        </w:rPr>
        <w:t>Erklärungen nach Kostenkategorien sind unten aufgeführt.</w:t>
      </w:r>
    </w:p>
    <w:p w:rsidR="00DC1903" w:rsidRPr="00455AEA" w:rsidRDefault="00DC1903" w:rsidP="00B025CE">
      <w:pPr>
        <w:rPr>
          <w:rFonts w:cs="Arial"/>
        </w:rPr>
      </w:pPr>
    </w:p>
    <w:p w:rsidR="00743C2D" w:rsidRPr="00455AEA" w:rsidRDefault="00DC1903" w:rsidP="00B025CE">
      <w:pPr>
        <w:rPr>
          <w:rFonts w:cs="Arial"/>
          <w:i/>
        </w:rPr>
      </w:pPr>
      <w:r w:rsidRPr="00455AEA">
        <w:rPr>
          <w:rFonts w:cs="Arial"/>
          <w:i/>
        </w:rPr>
        <w:t>Praktikanten</w:t>
      </w:r>
    </w:p>
    <w:p w:rsidR="00743C2D" w:rsidRPr="00455AEA" w:rsidRDefault="00743C2D" w:rsidP="00B025CE">
      <w:pPr>
        <w:rPr>
          <w:rFonts w:cs="Arial"/>
          <w:i/>
        </w:rPr>
      </w:pPr>
    </w:p>
    <w:p w:rsidR="00743C2D" w:rsidRPr="00455AEA" w:rsidRDefault="00A36ABA" w:rsidP="00B025CE">
      <w:pPr>
        <w:rPr>
          <w:rFonts w:cs="Arial"/>
        </w:rPr>
      </w:pPr>
      <w:r w:rsidRPr="00455AEA">
        <w:rPr>
          <w:rFonts w:cs="Arial"/>
        </w:rPr>
        <w:t>Die Ausgaben für Praktika beliefen sich auf 12.247 Schweizer Franken</w:t>
      </w:r>
      <w:r w:rsidR="00782A9D" w:rsidRPr="00455AEA">
        <w:rPr>
          <w:rFonts w:cs="Arial"/>
        </w:rPr>
        <w:t xml:space="preserve">. </w:t>
      </w:r>
      <w:r w:rsidRPr="00455AEA">
        <w:rPr>
          <w:rFonts w:cs="Arial"/>
        </w:rPr>
        <w:t>Im Programm und Haushaltsplan 2014-2015 wurden zwar keine Mittel speziell für Praktikanten veranschlagt, aber die angefallenen Kosten wurden im Rahmen des Gesamthaushalts für die UPOV absorbiert.</w:t>
      </w:r>
    </w:p>
    <w:p w:rsidR="00A36ABA" w:rsidRPr="00455AEA" w:rsidRDefault="00A36ABA" w:rsidP="00B025CE">
      <w:pPr>
        <w:rPr>
          <w:rFonts w:cs="Arial"/>
        </w:rPr>
      </w:pPr>
    </w:p>
    <w:p w:rsidR="00743C2D" w:rsidRPr="00455AEA" w:rsidRDefault="00743C2D" w:rsidP="00B025CE">
      <w:pPr>
        <w:rPr>
          <w:rFonts w:cs="Arial"/>
          <w:i/>
        </w:rPr>
      </w:pPr>
      <w:r w:rsidRPr="00455AEA">
        <w:rPr>
          <w:rFonts w:cs="Arial"/>
          <w:i/>
        </w:rPr>
        <w:t>Reisen</w:t>
      </w:r>
    </w:p>
    <w:p w:rsidR="00743C2D" w:rsidRPr="00455AEA" w:rsidRDefault="00743C2D" w:rsidP="00B025CE">
      <w:pPr>
        <w:rPr>
          <w:rFonts w:cs="Arial"/>
          <w:i/>
        </w:rPr>
      </w:pPr>
    </w:p>
    <w:p w:rsidR="00743C2D" w:rsidRPr="00455AEA" w:rsidRDefault="00A36ABA" w:rsidP="00B025CE">
      <w:pPr>
        <w:rPr>
          <w:rFonts w:cs="Arial"/>
        </w:rPr>
      </w:pPr>
      <w:r w:rsidRPr="00455AEA">
        <w:rPr>
          <w:rFonts w:cs="Arial"/>
        </w:rPr>
        <w:t>Die Ausgaben für Reisen beliefen sich insgesamt auf 482 Tausend Schweizer Franken und lagen damit um 108 Tausend Schweizer Franken unter dem Haushaltsplan. Ein beträchtlicher Teil des Rückgangs resultierte aus der Einführung eines Online-Buchungs-Tools, das zwischen 2013 und 2015 zu einem 14-prozentigen Rückgang der durchschnittlichen Ticketpreise führte.</w:t>
      </w:r>
    </w:p>
    <w:p w:rsidR="00A36ABA" w:rsidRPr="00455AEA" w:rsidRDefault="00A36ABA" w:rsidP="00B025CE">
      <w:pPr>
        <w:rPr>
          <w:rFonts w:cs="Arial"/>
          <w:i/>
        </w:rPr>
      </w:pPr>
    </w:p>
    <w:p w:rsidR="00743C2D" w:rsidRPr="00455AEA" w:rsidRDefault="00743C2D" w:rsidP="00B025CE">
      <w:pPr>
        <w:rPr>
          <w:rFonts w:cs="Arial"/>
          <w:i/>
        </w:rPr>
      </w:pPr>
      <w:r w:rsidRPr="00455AEA">
        <w:rPr>
          <w:rFonts w:cs="Arial"/>
          <w:i/>
        </w:rPr>
        <w:t>Vertraglich vereinbarte Dienstleistungen</w:t>
      </w:r>
    </w:p>
    <w:p w:rsidR="00743C2D" w:rsidRPr="00455AEA" w:rsidRDefault="00743C2D" w:rsidP="00B025CE">
      <w:pPr>
        <w:rPr>
          <w:rFonts w:cs="Arial"/>
          <w:i/>
        </w:rPr>
      </w:pPr>
    </w:p>
    <w:p w:rsidR="00743C2D" w:rsidRPr="00455AEA" w:rsidRDefault="00A36ABA" w:rsidP="00B025CE">
      <w:pPr>
        <w:rPr>
          <w:rFonts w:cs="Arial"/>
        </w:rPr>
      </w:pPr>
      <w:r w:rsidRPr="00455AEA">
        <w:rPr>
          <w:rFonts w:cs="Arial"/>
        </w:rPr>
        <w:t>Die Ausgaben für vertraglich vereinbarte Dienstleistungen beliefen sich insgesamt auf 681 Tausend Schweizer Franken, also um 206 Tausend Schweizer Franken über dem veranschlagten Betrag</w:t>
      </w:r>
      <w:r w:rsidR="00782A9D" w:rsidRPr="00455AEA">
        <w:rPr>
          <w:rFonts w:cs="Arial"/>
        </w:rPr>
        <w:t xml:space="preserve">. </w:t>
      </w:r>
      <w:r w:rsidRPr="00455AEA">
        <w:rPr>
          <w:rFonts w:cs="Arial"/>
        </w:rPr>
        <w:t>Der Anstieg fiel in</w:t>
      </w:r>
      <w:r w:rsidR="00844C3B" w:rsidRPr="00455AEA">
        <w:rPr>
          <w:rFonts w:cs="Arial"/>
        </w:rPr>
        <w:t xml:space="preserve"> erster Linie in die Kategorie </w:t>
      </w:r>
      <w:r w:rsidR="00D30B95">
        <w:rPr>
          <w:rFonts w:cs="Arial"/>
        </w:rPr>
        <w:t>‚</w:t>
      </w:r>
      <w:r w:rsidR="00844C3B" w:rsidRPr="00455AEA">
        <w:rPr>
          <w:rFonts w:cs="Arial"/>
        </w:rPr>
        <w:t>A</w:t>
      </w:r>
      <w:r w:rsidRPr="00455AEA">
        <w:rPr>
          <w:rFonts w:cs="Arial"/>
        </w:rPr>
        <w:t>ndere vertraglich vereinbarten Dienstleistungen</w:t>
      </w:r>
      <w:r w:rsidR="00D30B95">
        <w:rPr>
          <w:rFonts w:cs="Arial"/>
        </w:rPr>
        <w:t>‘</w:t>
      </w:r>
      <w:r w:rsidRPr="00455AEA">
        <w:rPr>
          <w:rFonts w:cs="Arial"/>
        </w:rPr>
        <w:t>, da eine Vertretung für einen Muttersch</w:t>
      </w:r>
      <w:r w:rsidR="00844C3B" w:rsidRPr="00455AEA">
        <w:rPr>
          <w:rFonts w:cs="Arial"/>
        </w:rPr>
        <w:t>afturlaub und die Teilzeitbeschäftigung</w:t>
      </w:r>
      <w:r w:rsidRPr="00455AEA">
        <w:rPr>
          <w:rFonts w:cs="Arial"/>
        </w:rPr>
        <w:t xml:space="preserve"> im Anschluß an den Mutterschaftsurlaub einer Mitarbeiterin erforderlich war</w:t>
      </w:r>
      <w:r w:rsidR="00782A9D" w:rsidRPr="00455AEA">
        <w:rPr>
          <w:rFonts w:cs="Arial"/>
        </w:rPr>
        <w:t xml:space="preserve">. </w:t>
      </w:r>
      <w:r w:rsidRPr="00455AEA">
        <w:rPr>
          <w:rFonts w:cs="Arial"/>
        </w:rPr>
        <w:t>Zudem waren die für Tätigkeiten in der Finanzperiode zur Verfügung stehenden außeretatmäßigen Mittel wesentlich höher als veranschlagt, weshalb zusätzliche administrative Unterstützung, die über externe vertraglich vereinbarte Dienstleistungen abgedeckt wurde, erforderlich war</w:t>
      </w:r>
      <w:r w:rsidR="00782A9D" w:rsidRPr="00455AEA">
        <w:rPr>
          <w:rFonts w:cs="Arial"/>
        </w:rPr>
        <w:t xml:space="preserve">. </w:t>
      </w:r>
      <w:r w:rsidRPr="00455AEA">
        <w:rPr>
          <w:rFonts w:cs="Arial"/>
        </w:rPr>
        <w:t xml:space="preserve"> Schließlich waren die IT-Entwicklungskosten in Bezug auf die TG-Mustervorlage höher als veranschlagt</w:t>
      </w:r>
      <w:r w:rsidR="00782A9D" w:rsidRPr="00455AEA">
        <w:rPr>
          <w:rFonts w:cs="Arial"/>
        </w:rPr>
        <w:t xml:space="preserve">. </w:t>
      </w:r>
      <w:r w:rsidRPr="00455AEA">
        <w:rPr>
          <w:rFonts w:cs="Arial"/>
        </w:rPr>
        <w:t xml:space="preserve"> </w:t>
      </w:r>
    </w:p>
    <w:p w:rsidR="00A36ABA" w:rsidRPr="00455AEA" w:rsidRDefault="00A36ABA" w:rsidP="00B025CE">
      <w:pPr>
        <w:rPr>
          <w:rFonts w:cs="Arial"/>
        </w:rPr>
      </w:pPr>
    </w:p>
    <w:p w:rsidR="00743C2D" w:rsidRPr="00455AEA" w:rsidRDefault="00743C2D" w:rsidP="00B025CE">
      <w:pPr>
        <w:rPr>
          <w:rFonts w:cs="Arial"/>
          <w:i/>
        </w:rPr>
      </w:pPr>
      <w:r w:rsidRPr="00455AEA">
        <w:rPr>
          <w:rFonts w:cs="Arial"/>
          <w:i/>
        </w:rPr>
        <w:t>Betriebsaufwand</w:t>
      </w:r>
    </w:p>
    <w:p w:rsidR="00743C2D" w:rsidRPr="00455AEA" w:rsidRDefault="00743C2D" w:rsidP="00B025CE">
      <w:pPr>
        <w:rPr>
          <w:rFonts w:cs="Arial"/>
          <w:i/>
        </w:rPr>
      </w:pPr>
    </w:p>
    <w:p w:rsidR="00743C2D" w:rsidRPr="00455AEA" w:rsidRDefault="00743C2D" w:rsidP="00B025CE">
      <w:pPr>
        <w:rPr>
          <w:rFonts w:cs="Arial"/>
        </w:rPr>
      </w:pPr>
      <w:r w:rsidRPr="00455AEA">
        <w:rPr>
          <w:rFonts w:cs="Arial"/>
        </w:rPr>
        <w:t>Der Betriebsaufwand belief sich auf 1,243 Millionen Schweizer Franken und lag somit leicht unter dem veranschlagten Betrag.</w:t>
      </w:r>
    </w:p>
    <w:p w:rsidR="00743C2D" w:rsidRPr="00455AEA" w:rsidRDefault="00743C2D" w:rsidP="00B025CE">
      <w:pPr>
        <w:rPr>
          <w:rFonts w:cs="Arial"/>
          <w:i/>
        </w:rPr>
      </w:pPr>
      <w:r w:rsidRPr="00455AEA">
        <w:rPr>
          <w:rFonts w:cs="Arial"/>
          <w:i/>
        </w:rPr>
        <w:t>Gerät und Bürobedarf</w:t>
      </w:r>
    </w:p>
    <w:p w:rsidR="00743C2D" w:rsidRPr="00455AEA" w:rsidRDefault="00743C2D" w:rsidP="00B025CE">
      <w:pPr>
        <w:rPr>
          <w:rFonts w:cs="Arial"/>
          <w:i/>
        </w:rPr>
      </w:pPr>
    </w:p>
    <w:p w:rsidR="00EE7438" w:rsidRPr="00455AEA" w:rsidRDefault="00743C2D" w:rsidP="00B025CE">
      <w:pPr>
        <w:rPr>
          <w:rFonts w:eastAsiaTheme="minorHAnsi" w:cs="Arial"/>
        </w:rPr>
      </w:pPr>
      <w:r w:rsidRPr="00455AEA">
        <w:rPr>
          <w:rFonts w:cs="Arial"/>
        </w:rPr>
        <w:t>Die Ausgaben für Gerät und Bürobedarf beliefen sich auf 10.293 Tausend Schweizer Franken und lagen somit um 27.707 Schweizer Franken unter dem verangschlagten Betrag.</w:t>
      </w:r>
    </w:p>
    <w:p w:rsidR="00B025CE" w:rsidRDefault="00B025CE" w:rsidP="00B025CE">
      <w:pPr>
        <w:rPr>
          <w:rFonts w:cs="Arial"/>
        </w:rPr>
      </w:pPr>
    </w:p>
    <w:p w:rsidR="00917841" w:rsidRDefault="006B4C1F" w:rsidP="00B025CE">
      <w:pPr>
        <w:rPr>
          <w:rFonts w:cs="Arial"/>
        </w:rPr>
      </w:pPr>
      <w:r w:rsidRPr="00455AEA">
        <w:rPr>
          <w:rFonts w:cs="Arial"/>
        </w:rPr>
        <w:t>Die Aufschlüsselung der Ausgaben 2014-2015 nach Unterprogrammen und Kostenkategorien ist unten in Tabelle 5 dargestellt</w:t>
      </w:r>
      <w:r w:rsidR="00782A9D" w:rsidRPr="00455AEA">
        <w:rPr>
          <w:rFonts w:cs="Arial"/>
        </w:rPr>
        <w:t xml:space="preserve">. </w:t>
      </w:r>
    </w:p>
    <w:p w:rsidR="00B025CE" w:rsidRPr="00455AEA" w:rsidRDefault="00B025CE" w:rsidP="00B025CE">
      <w:pPr>
        <w:rPr>
          <w:rFonts w:eastAsiaTheme="minorHAnsi" w:cs="Arial"/>
        </w:rPr>
      </w:pPr>
    </w:p>
    <w:p w:rsidR="00917841" w:rsidRPr="00455AEA" w:rsidRDefault="00743C2D" w:rsidP="00F11E52">
      <w:pPr>
        <w:pStyle w:val="Heading2"/>
      </w:pPr>
      <w:bookmarkStart w:id="34" w:name="_Toc457911027"/>
      <w:bookmarkStart w:id="35" w:name="_Toc460245170"/>
      <w:bookmarkStart w:id="36" w:name="_Toc460245220"/>
      <w:bookmarkStart w:id="37" w:name="_Toc460245294"/>
      <w:bookmarkStart w:id="38" w:name="_Toc460246272"/>
      <w:r w:rsidRPr="00455AEA">
        <w:t>Tabelle 5. Einzelheiten der Ausgaben 2014-2015 nach Unterprogrammen</w:t>
      </w:r>
      <w:bookmarkEnd w:id="34"/>
      <w:bookmarkEnd w:id="35"/>
      <w:bookmarkEnd w:id="36"/>
      <w:bookmarkEnd w:id="37"/>
      <w:bookmarkEnd w:id="38"/>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965A10" w:rsidRPr="00455AEA" w:rsidRDefault="008836AD" w:rsidP="00743C2D">
      <w:pPr>
        <w:spacing w:line="276" w:lineRule="auto"/>
        <w:rPr>
          <w:rFonts w:eastAsiaTheme="minorHAnsi" w:cs="Arial"/>
        </w:rPr>
      </w:pPr>
      <w:r w:rsidRPr="00455AEA">
        <w:rPr>
          <w:rFonts w:eastAsiaTheme="minorHAnsi" w:cs="Arial"/>
          <w:noProof/>
          <w:lang w:val="en-US" w:eastAsia="en-US" w:bidi="ar-SA"/>
        </w:rPr>
        <w:drawing>
          <wp:inline distT="0" distB="0" distL="0" distR="0" wp14:anchorId="0D11720E" wp14:editId="7151398E">
            <wp:extent cx="6120765" cy="471346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4713460"/>
                    </a:xfrm>
                    <a:prstGeom prst="rect">
                      <a:avLst/>
                    </a:prstGeom>
                    <a:noFill/>
                    <a:ln>
                      <a:noFill/>
                    </a:ln>
                  </pic:spPr>
                </pic:pic>
              </a:graphicData>
            </a:graphic>
          </wp:inline>
        </w:drawing>
      </w:r>
    </w:p>
    <w:p w:rsidR="00743C2D" w:rsidRPr="00455AEA" w:rsidRDefault="00B025CE" w:rsidP="00B025CE">
      <w:pPr>
        <w:tabs>
          <w:tab w:val="left" w:pos="284"/>
        </w:tabs>
        <w:spacing w:line="276" w:lineRule="auto"/>
        <w:rPr>
          <w:rFonts w:eastAsiaTheme="minorHAnsi" w:cs="Arial"/>
          <w:sz w:val="18"/>
          <w:szCs w:val="18"/>
        </w:rPr>
      </w:pPr>
      <w:r>
        <w:rPr>
          <w:rFonts w:eastAsiaTheme="minorHAnsi" w:cs="Arial"/>
          <w:sz w:val="18"/>
        </w:rPr>
        <w:t>*</w:t>
      </w:r>
      <w:r>
        <w:rPr>
          <w:rFonts w:eastAsiaTheme="minorHAnsi" w:cs="Arial"/>
          <w:sz w:val="18"/>
        </w:rPr>
        <w:tab/>
      </w:r>
      <w:r w:rsidR="00150B2B" w:rsidRPr="00455AEA">
        <w:rPr>
          <w:rFonts w:eastAsiaTheme="minorHAnsi" w:cs="Arial"/>
          <w:sz w:val="18"/>
        </w:rPr>
        <w:t>Es ist darauf hinzuweisen, daß die Kosten für Praktikanten in der Darstellung des Jahresabschlusses in den Kosten für vertraglich vereinbarte Dienstleistungen enthalten sind.</w:t>
      </w:r>
    </w:p>
    <w:p w:rsidR="00150B2B" w:rsidRPr="00455AEA" w:rsidRDefault="00B025CE" w:rsidP="00B025CE">
      <w:pPr>
        <w:tabs>
          <w:tab w:val="left" w:pos="284"/>
        </w:tabs>
        <w:spacing w:line="276" w:lineRule="auto"/>
        <w:rPr>
          <w:rFonts w:eastAsiaTheme="minorHAnsi" w:cs="Arial"/>
          <w:sz w:val="18"/>
          <w:szCs w:val="18"/>
        </w:rPr>
      </w:pPr>
      <w:r>
        <w:rPr>
          <w:rFonts w:eastAsiaTheme="minorHAnsi" w:cs="Arial"/>
          <w:sz w:val="18"/>
        </w:rPr>
        <w:t>**</w:t>
      </w:r>
      <w:r>
        <w:rPr>
          <w:rFonts w:eastAsiaTheme="minorHAnsi" w:cs="Arial"/>
          <w:sz w:val="18"/>
        </w:rPr>
        <w:tab/>
      </w:r>
      <w:r w:rsidR="00150B2B" w:rsidRPr="00455AEA">
        <w:rPr>
          <w:rFonts w:eastAsiaTheme="minorHAnsi" w:cs="Arial"/>
          <w:sz w:val="18"/>
        </w:rPr>
        <w:t>Alle anderen numerischen Abweichungen zwischen dieser Tabelle und folgenden Tabellen aus dem Jahresabschluß sind durch Auf- oder Abrunden bedingt.</w:t>
      </w:r>
    </w:p>
    <w:p w:rsidR="00150B2B" w:rsidRPr="00455AEA" w:rsidRDefault="00150B2B" w:rsidP="00150B2B">
      <w:pPr>
        <w:spacing w:line="276" w:lineRule="auto"/>
        <w:rPr>
          <w:rFonts w:eastAsiaTheme="minorHAnsi" w:cs="Arial"/>
          <w:sz w:val="18"/>
          <w:szCs w:val="18"/>
        </w:rPr>
      </w:pPr>
    </w:p>
    <w:p w:rsidR="00A36ABA" w:rsidRPr="00455AEA" w:rsidRDefault="00A36ABA">
      <w:pPr>
        <w:rPr>
          <w:rFonts w:eastAsiaTheme="minorHAnsi" w:cs="Arial"/>
        </w:rPr>
      </w:pPr>
      <w:r w:rsidRPr="00455AEA">
        <w:rPr>
          <w:rFonts w:cs="Arial"/>
        </w:rPr>
        <w:br w:type="page"/>
      </w:r>
    </w:p>
    <w:p w:rsidR="00917841" w:rsidRPr="00455AEA" w:rsidRDefault="00FA4A51" w:rsidP="00D81BFB">
      <w:pPr>
        <w:spacing w:after="200" w:line="276" w:lineRule="auto"/>
        <w:rPr>
          <w:rFonts w:eastAsiaTheme="minorHAnsi" w:cs="Arial"/>
        </w:rPr>
      </w:pPr>
      <w:r w:rsidRPr="00455AEA">
        <w:rPr>
          <w:rFonts w:cs="Arial"/>
        </w:rPr>
        <w:t xml:space="preserve">Tabelle 6 liefert eine Zusammenfassung der Anzahl Posten nach Kategorie. </w:t>
      </w:r>
    </w:p>
    <w:p w:rsidR="00917841" w:rsidRPr="00455AEA" w:rsidRDefault="006B4C1F" w:rsidP="00F11E52">
      <w:pPr>
        <w:pStyle w:val="Heading2"/>
      </w:pPr>
      <w:bookmarkStart w:id="39" w:name="_Toc457911028"/>
      <w:bookmarkStart w:id="40" w:name="_Toc460245171"/>
      <w:bookmarkStart w:id="41" w:name="_Toc460245221"/>
      <w:bookmarkStart w:id="42" w:name="_Toc460245295"/>
      <w:bookmarkStart w:id="43" w:name="_Toc460246273"/>
      <w:r w:rsidRPr="00455AEA">
        <w:t>Tabelle 6. 2014-2015 veranschlagte und tatsächliche Posten</w:t>
      </w:r>
      <w:bookmarkEnd w:id="39"/>
      <w:bookmarkEnd w:id="40"/>
      <w:bookmarkEnd w:id="41"/>
      <w:bookmarkEnd w:id="42"/>
      <w:bookmarkEnd w:id="43"/>
    </w:p>
    <w:p w:rsidR="00BA6252" w:rsidRPr="00455AEA" w:rsidRDefault="00BA6252" w:rsidP="00BA6252">
      <w:pPr>
        <w:rPr>
          <w:rFonts w:eastAsiaTheme="minorHAnsi" w:cs="Arial"/>
        </w:rPr>
      </w:pPr>
    </w:p>
    <w:p w:rsidR="00965A10" w:rsidRPr="00455AEA" w:rsidRDefault="00DC54D0" w:rsidP="00965A10">
      <w:pPr>
        <w:spacing w:after="200" w:line="276" w:lineRule="auto"/>
        <w:jc w:val="center"/>
        <w:rPr>
          <w:rFonts w:eastAsiaTheme="minorHAnsi" w:cs="Arial"/>
        </w:rPr>
      </w:pPr>
      <w:r w:rsidRPr="00455AEA">
        <w:rPr>
          <w:rFonts w:eastAsiaTheme="minorHAnsi" w:cs="Arial"/>
          <w:noProof/>
          <w:lang w:val="en-US" w:eastAsia="en-US" w:bidi="ar-SA"/>
        </w:rPr>
        <w:drawing>
          <wp:inline distT="0" distB="0" distL="0" distR="0" wp14:anchorId="5419FECF" wp14:editId="04513F91">
            <wp:extent cx="3939540" cy="1600200"/>
            <wp:effectExtent l="0" t="0" r="381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9540" cy="1600200"/>
                    </a:xfrm>
                    <a:prstGeom prst="rect">
                      <a:avLst/>
                    </a:prstGeom>
                    <a:noFill/>
                    <a:ln>
                      <a:noFill/>
                    </a:ln>
                  </pic:spPr>
                </pic:pic>
              </a:graphicData>
            </a:graphic>
          </wp:inline>
        </w:drawing>
      </w:r>
    </w:p>
    <w:p w:rsidR="007B66B8" w:rsidRPr="00455AEA" w:rsidRDefault="007B66B8" w:rsidP="00B025CE">
      <w:r w:rsidRPr="00455AEA">
        <w:t>Wie aus Tabelle 6 unten hervorgeht, gab es keine Änderung im Hinblick auf die Gesamtzahl der Posten</w:t>
      </w:r>
      <w:r w:rsidR="00782A9D" w:rsidRPr="00455AEA">
        <w:t xml:space="preserve">. </w:t>
      </w:r>
      <w:r w:rsidRPr="00455AEA">
        <w:t>In Programm und Haushaltsplan für die Rechnungsperiode 2014-2015 sind drei Posten in der Kategorie ˈDirektorendienstˈ, vier Posten in der Kategorie ˈHöherer Dienstˈ und vier Posten in der Kategorie ˈAllgemeiner Dienstˈ vorgesehen</w:t>
      </w:r>
      <w:r w:rsidR="00782A9D" w:rsidRPr="00455AEA">
        <w:t xml:space="preserve">. </w:t>
      </w:r>
      <w:r w:rsidRPr="00455AEA">
        <w:t>Die tatsächliche Anzahl der Posten war allerdings zwei in der Kategorie ˈDirektorendienstˈ, vier in der Kategorie ˈHöherer Dienstˈ und fünf in der Kategorie ˈAllgemeiner Dienstˈ</w:t>
      </w:r>
      <w:r w:rsidR="002342F4" w:rsidRPr="00455AEA">
        <w:t>.</w:t>
      </w:r>
      <w:r w:rsidRPr="00455AEA">
        <w:t xml:space="preserve"> Die höhere Anzahl Posten in der Kategorie ˈAllgemeiner Dienstˈ erklärt sich dadurch, dass die Neuklassifizierung eines Postens von Allgemeiner Dienst zu Höherer Dienst 2015 nicht abgeschlossen wurde. Die Neuklassifizierung eines Postens aus der Kategorie Höherer Dienst in die Kategorie Direktorendienst ist für 2017 vorgesehen</w:t>
      </w:r>
      <w:r w:rsidR="00782A9D" w:rsidRPr="00455AEA">
        <w:t xml:space="preserve">. </w:t>
      </w:r>
      <w:r w:rsidRPr="00455AEA">
        <w:t xml:space="preserve">Der Posten des Generalsekretärs ist in dieser Anzahl Posten enthalten, jedoch ohne Kosten, da der derzeitige Generaldirektor der WIPO ein Gehalt oder Zulagen für seine Funktion als Generalsekretär der UPOV abgelehnt hat. </w:t>
      </w:r>
    </w:p>
    <w:p w:rsidR="00B025CE" w:rsidRDefault="00B025CE" w:rsidP="00B025CE"/>
    <w:p w:rsidR="007B66B8" w:rsidRDefault="00917841" w:rsidP="00B025CE">
      <w:r w:rsidRPr="00455AEA">
        <w:t xml:space="preserve">Die Gesamtentwicklung der tatsächlichen Einnahmen und Ausgaben (vor IPSAS-Anpassungen) ist in Tabelle 7 unten  für den Zeitraum 2008 bis 2015 aufgezeigt. </w:t>
      </w:r>
    </w:p>
    <w:p w:rsidR="00B025CE" w:rsidRPr="00455AEA" w:rsidRDefault="00B025CE" w:rsidP="00B025CE">
      <w:pPr>
        <w:rPr>
          <w:rFonts w:eastAsiaTheme="minorHAnsi"/>
        </w:rPr>
      </w:pPr>
    </w:p>
    <w:p w:rsidR="00917841" w:rsidRPr="00455AEA" w:rsidRDefault="00917841" w:rsidP="00F11E52">
      <w:pPr>
        <w:pStyle w:val="Heading2"/>
      </w:pPr>
      <w:bookmarkStart w:id="44" w:name="_Toc457911029"/>
      <w:bookmarkStart w:id="45" w:name="_Toc460245172"/>
      <w:bookmarkStart w:id="46" w:name="_Toc460245222"/>
      <w:bookmarkStart w:id="47" w:name="_Toc460245296"/>
      <w:bookmarkStart w:id="48" w:name="_Toc460246274"/>
      <w:r w:rsidRPr="00455AEA">
        <w:t>Tabelle 7. Entwicklung der tatsächlichen Einnahmen und Ausgaben im Zeitraum 2008-2015</w:t>
      </w:r>
      <w:bookmarkEnd w:id="44"/>
      <w:bookmarkEnd w:id="45"/>
      <w:bookmarkEnd w:id="46"/>
      <w:bookmarkEnd w:id="47"/>
      <w:bookmarkEnd w:id="48"/>
    </w:p>
    <w:p w:rsidR="00917841" w:rsidRPr="00455AEA" w:rsidRDefault="00917841" w:rsidP="00917841">
      <w:pPr>
        <w:spacing w:after="200" w:line="276" w:lineRule="auto"/>
        <w:jc w:val="center"/>
        <w:rPr>
          <w:rFonts w:eastAsiaTheme="minorHAnsi" w:cs="Arial"/>
          <w:i/>
        </w:rPr>
      </w:pPr>
      <w:r w:rsidRPr="00455AEA">
        <w:rPr>
          <w:rFonts w:eastAsiaTheme="minorHAnsi" w:cs="Arial"/>
          <w:i/>
        </w:rPr>
        <w:t>(in Tausend Schweizer Franken)</w:t>
      </w:r>
    </w:p>
    <w:p w:rsidR="001377BE" w:rsidRPr="00455AEA" w:rsidRDefault="002342F4" w:rsidP="00917841">
      <w:pPr>
        <w:spacing w:after="200" w:line="276" w:lineRule="auto"/>
        <w:jc w:val="center"/>
        <w:rPr>
          <w:rFonts w:eastAsiaTheme="minorHAnsi" w:cs="Arial"/>
          <w:b/>
          <w:sz w:val="22"/>
          <w:szCs w:val="22"/>
        </w:rPr>
      </w:pPr>
      <w:r w:rsidRPr="00455AEA">
        <w:rPr>
          <w:rFonts w:eastAsiaTheme="minorHAnsi" w:cs="Arial"/>
          <w:noProof/>
          <w:lang w:val="en-US" w:eastAsia="en-US" w:bidi="ar-SA"/>
        </w:rPr>
        <w:drawing>
          <wp:inline distT="0" distB="0" distL="0" distR="0" wp14:anchorId="3C005486" wp14:editId="73B77104">
            <wp:extent cx="6120765" cy="11812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181200"/>
                    </a:xfrm>
                    <a:prstGeom prst="rect">
                      <a:avLst/>
                    </a:prstGeom>
                    <a:noFill/>
                    <a:ln>
                      <a:noFill/>
                    </a:ln>
                  </pic:spPr>
                </pic:pic>
              </a:graphicData>
            </a:graphic>
          </wp:inline>
        </w:drawing>
      </w:r>
    </w:p>
    <w:p w:rsidR="005C7018" w:rsidRPr="00455AEA" w:rsidRDefault="002342F4" w:rsidP="00A36ABA">
      <w:pPr>
        <w:spacing w:after="200" w:line="276" w:lineRule="auto"/>
        <w:jc w:val="center"/>
        <w:rPr>
          <w:rFonts w:eastAsiaTheme="minorHAnsi" w:cs="Arial"/>
          <w:b/>
          <w:sz w:val="22"/>
          <w:szCs w:val="22"/>
        </w:rPr>
      </w:pPr>
      <w:r w:rsidRPr="00455AEA">
        <w:rPr>
          <w:rFonts w:cs="Arial"/>
          <w:noProof/>
          <w:lang w:val="en-US" w:eastAsia="en-US" w:bidi="ar-SA"/>
        </w:rPr>
        <w:drawing>
          <wp:inline distT="0" distB="0" distL="0" distR="0" wp14:anchorId="5F77AC93" wp14:editId="0D24627D">
            <wp:extent cx="5972810" cy="2785110"/>
            <wp:effectExtent l="0" t="0" r="8890" b="0"/>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8E4604" w:rsidRPr="00455AEA">
        <w:rPr>
          <w:rFonts w:cs="Arial"/>
        </w:rPr>
        <w:br w:type="page"/>
      </w:r>
    </w:p>
    <w:p w:rsidR="00CE47DD" w:rsidRPr="00455AEA" w:rsidRDefault="00CE47DD" w:rsidP="00D81BFB">
      <w:pPr>
        <w:pStyle w:val="Heading1"/>
        <w:jc w:val="both"/>
        <w:rPr>
          <w:rFonts w:cs="Arial"/>
        </w:rPr>
      </w:pPr>
      <w:bookmarkStart w:id="49" w:name="_Toc457911030"/>
      <w:bookmarkStart w:id="50" w:name="_Toc460245173"/>
      <w:bookmarkStart w:id="51" w:name="_Toc460245223"/>
      <w:bookmarkStart w:id="52" w:name="_Toc460245297"/>
      <w:bookmarkStart w:id="53" w:name="_Toc460246275"/>
      <w:r w:rsidRPr="00455AEA">
        <w:rPr>
          <w:rFonts w:cs="Arial"/>
        </w:rPr>
        <w:t>ANLAGEN</w:t>
      </w:r>
      <w:bookmarkEnd w:id="49"/>
      <w:bookmarkEnd w:id="50"/>
      <w:bookmarkEnd w:id="51"/>
      <w:bookmarkEnd w:id="52"/>
      <w:bookmarkEnd w:id="53"/>
    </w:p>
    <w:p w:rsidR="00CE47DD" w:rsidRPr="00455AEA" w:rsidRDefault="00CE47DD" w:rsidP="006360C1">
      <w:pPr>
        <w:rPr>
          <w:rFonts w:cs="Arial"/>
        </w:rPr>
      </w:pPr>
    </w:p>
    <w:p w:rsidR="00073668" w:rsidRPr="00455AEA" w:rsidRDefault="00073668" w:rsidP="00BF69E8">
      <w:pPr>
        <w:rPr>
          <w:rFonts w:cs="Arial"/>
        </w:rPr>
      </w:pPr>
      <w:r w:rsidRPr="00455AEA">
        <w:rPr>
          <w:rFonts w:cs="Arial"/>
        </w:rPr>
        <w:t xml:space="preserve">Nach Regel 4.10 der UPOV-Finanzordnung und ihrer Durchführungsbestimmungen (vgl. Dokument UPOV/INF/4/4) kann der Generalsekretär gemäß den vom Rat gebilligten Anlagegrundsätzen der UPOV kurzfristig Gelder anlegen, die für den unmittelbaren Bedarf nicht benötigt werden, und unterrichtet den Beratenden Ausschuß regelmäßig über diese Anlagen. </w:t>
      </w:r>
    </w:p>
    <w:p w:rsidR="005E69CA" w:rsidRPr="00455AEA" w:rsidRDefault="005E69CA" w:rsidP="00BF69E8">
      <w:pPr>
        <w:rPr>
          <w:rFonts w:cs="Arial"/>
        </w:rPr>
      </w:pPr>
    </w:p>
    <w:p w:rsidR="00CE47DD" w:rsidRPr="00455AEA" w:rsidRDefault="00073668" w:rsidP="00BF69E8">
      <w:pPr>
        <w:rPr>
          <w:rFonts w:cs="Arial"/>
        </w:rPr>
      </w:pPr>
      <w:r w:rsidRPr="00455AEA">
        <w:rPr>
          <w:rFonts w:cs="Arial"/>
        </w:rPr>
        <w:t xml:space="preserve">Zudem kann der Generalsekretär nach Regel 4.11 gemäß den vom Rat gebilligten Anlagegrundsätzen der UPOV langfristig Gelder anlegen, die </w:t>
      </w:r>
      <w:r w:rsidR="002342F4" w:rsidRPr="00455AEA">
        <w:rPr>
          <w:rFonts w:cs="Arial"/>
        </w:rPr>
        <w:t xml:space="preserve">auf den Konten der </w:t>
      </w:r>
      <w:r w:rsidRPr="00455AEA">
        <w:rPr>
          <w:rFonts w:cs="Arial"/>
        </w:rPr>
        <w:t>UPOV stehen, und unterrichtet den Beratenden Ausschuß regelmäßig über diese Anlagen.</w:t>
      </w:r>
    </w:p>
    <w:p w:rsidR="005E69CA" w:rsidRPr="00455AEA" w:rsidRDefault="005E69CA" w:rsidP="00BF69E8">
      <w:pPr>
        <w:rPr>
          <w:rFonts w:cs="Arial"/>
        </w:rPr>
      </w:pPr>
    </w:p>
    <w:p w:rsidR="00DA1A1B" w:rsidRPr="00455AEA" w:rsidRDefault="00DA1A1B" w:rsidP="00BF69E8">
      <w:pPr>
        <w:rPr>
          <w:rFonts w:cs="Arial"/>
        </w:rPr>
      </w:pPr>
      <w:r w:rsidRPr="00455AEA">
        <w:rPr>
          <w:rFonts w:cs="Arial"/>
        </w:rPr>
        <w:t xml:space="preserve">Sofern nicht anders vom Rat vereinbart, stimmt die Investitionspolitik der UPOV mit der Investitionspolitik der WIPO überein. Im Jahr 2015 wurden die Anlagegrundsätze der WIPO überarbeitet und von der fünfundfünfzigsten Sitzungsreihe der Versammlungen der Mitgliedstaaten der WIPO angenommen. Die überarbeiteten Grundsätze enthalten zwei spezifische Anlagegrundsätze, einen für operative und Kernliquidität und einen zweiten für strategische Liquidität. </w:t>
      </w:r>
    </w:p>
    <w:p w:rsidR="00DA1A1B" w:rsidRPr="00455AEA" w:rsidRDefault="00DA1A1B" w:rsidP="00BF69E8">
      <w:pPr>
        <w:rPr>
          <w:rFonts w:cs="Arial"/>
        </w:rPr>
      </w:pPr>
    </w:p>
    <w:p w:rsidR="00612E92" w:rsidRPr="00455AEA" w:rsidRDefault="00DA1A1B" w:rsidP="00BF69E8">
      <w:pPr>
        <w:rPr>
          <w:rFonts w:cs="Arial"/>
        </w:rPr>
      </w:pPr>
      <w:r w:rsidRPr="00455AEA">
        <w:rPr>
          <w:rFonts w:cs="Arial"/>
        </w:rPr>
        <w:t>Während der Finanzperiode 2014-2015 hielt die UPOV ihre Anlagen auch weiterhin in Anlagekonten bei der Eidgenössischen Finanzverwaltung (EFV). Auf die Umsetzung neuer Bestimmungen der EFV im Zusammenhang mit der Eröffnung und Führung von Einlagenkonten hin war die UPOV darüber informiert worden, daß sie ab Ende 2015 keine Einlagen mehr bei der EFV halten könne, doch diese</w:t>
      </w:r>
      <w:r w:rsidR="00CE2377" w:rsidRPr="00455AEA">
        <w:rPr>
          <w:rFonts w:cs="Arial"/>
        </w:rPr>
        <w:t xml:space="preserve"> Frist wurde schließlich bis zum 15. Dezember 2017 verlängert</w:t>
      </w:r>
      <w:r w:rsidRPr="00455AEA">
        <w:rPr>
          <w:rFonts w:cs="Arial"/>
        </w:rPr>
        <w:t xml:space="preserve">. </w:t>
      </w:r>
    </w:p>
    <w:p w:rsidR="00612E92" w:rsidRPr="00455AEA" w:rsidRDefault="00612E92" w:rsidP="00BF69E8">
      <w:pPr>
        <w:rPr>
          <w:rFonts w:cs="Arial"/>
        </w:rPr>
      </w:pPr>
    </w:p>
    <w:p w:rsidR="005E69CA" w:rsidRPr="00455AEA" w:rsidRDefault="00612E92" w:rsidP="00BF69E8">
      <w:pPr>
        <w:rPr>
          <w:rFonts w:cs="Arial"/>
        </w:rPr>
      </w:pPr>
      <w:r w:rsidRPr="00455AEA">
        <w:rPr>
          <w:rFonts w:cs="Arial"/>
        </w:rPr>
        <w:t>Aus untenstehender Tabelle gehen die bei der EFV in der Finanzperiode 2014-2015 gehaltenen Anlagen im Detail hervor. Es ist anzumerken, daß der Zinssatz auf diese Anlagen Anfang Februar 2015 auf 0,00 Prozent fiel und für den Rest des Jahres unverändert blieb.</w:t>
      </w:r>
    </w:p>
    <w:p w:rsidR="005E69CA" w:rsidRPr="00455AEA" w:rsidRDefault="005E69CA" w:rsidP="005E69CA">
      <w:pPr>
        <w:rPr>
          <w:rFonts w:cs="Arial"/>
        </w:rPr>
      </w:pPr>
    </w:p>
    <w:p w:rsidR="00CE47DD" w:rsidRPr="00455AEA" w:rsidRDefault="00CE47DD" w:rsidP="006360C1">
      <w:pPr>
        <w:rPr>
          <w:rFonts w:cs="Arial"/>
        </w:rPr>
      </w:pPr>
    </w:p>
    <w:p w:rsidR="00612E92" w:rsidRPr="00455AEA" w:rsidRDefault="007A3824" w:rsidP="00612E92">
      <w:pPr>
        <w:jc w:val="center"/>
        <w:rPr>
          <w:rFonts w:cs="Arial"/>
          <w:b/>
          <w:caps/>
        </w:rPr>
      </w:pPr>
      <w:r w:rsidRPr="00455AEA">
        <w:rPr>
          <w:rFonts w:cs="Arial"/>
          <w:noProof/>
          <w:lang w:val="en-US" w:eastAsia="en-US" w:bidi="ar-SA"/>
        </w:rPr>
        <w:drawing>
          <wp:inline distT="0" distB="0" distL="0" distR="0" wp14:anchorId="47E31C24" wp14:editId="6EBB7CE6">
            <wp:extent cx="4686300" cy="489966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86300" cy="4899660"/>
                    </a:xfrm>
                    <a:prstGeom prst="rect">
                      <a:avLst/>
                    </a:prstGeom>
                    <a:noFill/>
                    <a:ln>
                      <a:noFill/>
                    </a:ln>
                  </pic:spPr>
                </pic:pic>
              </a:graphicData>
            </a:graphic>
          </wp:inline>
        </w:drawing>
      </w:r>
      <w:r w:rsidR="00BF69E8" w:rsidRPr="00455AEA">
        <w:rPr>
          <w:rFonts w:cs="Arial"/>
        </w:rPr>
        <w:br w:type="page"/>
      </w:r>
    </w:p>
    <w:p w:rsidR="002F09F3" w:rsidRPr="00455AEA" w:rsidRDefault="002F09F3" w:rsidP="00D81BFB">
      <w:pPr>
        <w:pStyle w:val="Heading1"/>
        <w:jc w:val="both"/>
        <w:rPr>
          <w:rFonts w:cs="Arial"/>
        </w:rPr>
      </w:pPr>
      <w:bookmarkStart w:id="54" w:name="_Toc457911031"/>
      <w:bookmarkStart w:id="55" w:name="_Toc460245174"/>
      <w:bookmarkStart w:id="56" w:name="_Toc460245224"/>
      <w:bookmarkStart w:id="57" w:name="_Toc460245298"/>
      <w:bookmarkStart w:id="58" w:name="_Toc460246276"/>
      <w:r w:rsidRPr="00455AEA">
        <w:rPr>
          <w:rFonts w:cs="Arial"/>
        </w:rPr>
        <w:t>JAHRESABSCHLUSS</w:t>
      </w:r>
      <w:bookmarkEnd w:id="54"/>
      <w:bookmarkEnd w:id="55"/>
      <w:bookmarkEnd w:id="56"/>
      <w:bookmarkEnd w:id="57"/>
      <w:bookmarkEnd w:id="58"/>
    </w:p>
    <w:p w:rsidR="002F09F3" w:rsidRPr="00455AEA" w:rsidRDefault="002F09F3" w:rsidP="00F11E52">
      <w:pPr>
        <w:rPr>
          <w:rFonts w:cs="Arial"/>
        </w:rPr>
      </w:pPr>
    </w:p>
    <w:p w:rsidR="002F09F3" w:rsidRDefault="002F09F3" w:rsidP="00907A50">
      <w:pPr>
        <w:rPr>
          <w:rFonts w:cs="Arial"/>
        </w:rPr>
      </w:pPr>
      <w:r w:rsidRPr="00455AEA">
        <w:rPr>
          <w:rFonts w:cs="Arial"/>
        </w:rPr>
        <w:t>Für jedes der beiden Jahre der Rechnungsperiode 2014-2015 wurde der Jahresabschluß der UPOV nach den Internationalen Rechnungslegungsstandards für den öffentlichen Sektor (IPSAS) erstellt.</w:t>
      </w:r>
    </w:p>
    <w:p w:rsidR="00907A50" w:rsidRPr="00455AEA" w:rsidRDefault="00907A50" w:rsidP="00907A50">
      <w:pPr>
        <w:rPr>
          <w:rFonts w:cs="Arial"/>
        </w:rPr>
      </w:pPr>
    </w:p>
    <w:p w:rsidR="002F09F3" w:rsidRPr="00455AEA" w:rsidRDefault="00AB5C70" w:rsidP="00907A50">
      <w:pPr>
        <w:rPr>
          <w:rFonts w:cs="Arial"/>
          <w:b/>
        </w:rPr>
      </w:pPr>
      <w:r w:rsidRPr="00455AEA">
        <w:rPr>
          <w:rFonts w:cs="Arial"/>
          <w:b/>
        </w:rPr>
        <w:t>Periodengerechte Rechnungsführung gemäß IPSAS</w:t>
      </w:r>
    </w:p>
    <w:p w:rsidR="00907A50" w:rsidRDefault="00907A50" w:rsidP="00907A50">
      <w:pPr>
        <w:autoSpaceDE w:val="0"/>
        <w:autoSpaceDN w:val="0"/>
        <w:adjustRightInd w:val="0"/>
        <w:rPr>
          <w:rFonts w:cs="Arial"/>
        </w:rPr>
      </w:pPr>
    </w:p>
    <w:p w:rsidR="0049138D" w:rsidRPr="00455AEA" w:rsidRDefault="0049138D" w:rsidP="00907A50">
      <w:pPr>
        <w:autoSpaceDE w:val="0"/>
        <w:autoSpaceDN w:val="0"/>
        <w:adjustRightInd w:val="0"/>
        <w:rPr>
          <w:rFonts w:cs="Arial"/>
          <w:szCs w:val="22"/>
        </w:rPr>
      </w:pPr>
      <w:r w:rsidRPr="00455AEA">
        <w:rPr>
          <w:rFonts w:cs="Arial"/>
        </w:rPr>
        <w:t>Nach den IPSAS wird der Jahresabschluß unter Anwendung der vollständig periodengerechten Rechnungsführung erstellt. Periodenrechnung bedeutet, dass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49138D" w:rsidRPr="00455AEA" w:rsidRDefault="0049138D" w:rsidP="00907A50">
      <w:pPr>
        <w:autoSpaceDE w:val="0"/>
        <w:autoSpaceDN w:val="0"/>
        <w:adjustRightInd w:val="0"/>
        <w:rPr>
          <w:rFonts w:cs="Arial"/>
          <w:szCs w:val="22"/>
        </w:rPr>
      </w:pPr>
    </w:p>
    <w:p w:rsidR="0049138D" w:rsidRPr="00455AEA" w:rsidRDefault="0049138D" w:rsidP="00907A50">
      <w:pPr>
        <w:autoSpaceDE w:val="0"/>
        <w:autoSpaceDN w:val="0"/>
        <w:adjustRightInd w:val="0"/>
        <w:rPr>
          <w:rFonts w:cs="Arial"/>
          <w:szCs w:val="22"/>
        </w:rPr>
      </w:pPr>
      <w:r w:rsidRPr="00455AEA">
        <w:rPr>
          <w:rFonts w:cs="Arial"/>
        </w:rPr>
        <w:t xml:space="preserve">Gemäß den IPSAS werden Einnahmen sowohl aus Beiträgen als auch aus außeretatmäßigen Mitteln (Treuhandgelder) zu dem Zeitpunkt erfaßt, zu dem UPOV Anspruch auf den Erhalt des Beitrags hat. Werden der UPOV Beiträge geschuldet, so werden die Forderungen ausgewiesen. Vereinbarungen über außeretatmäßige Mittel werden zunächst geprüft, um festzustellen, ob die UPOV Leistungsbedingungen erfüllen muß, und sollten solche Bedingungen vorliegen, wird die Einnahme erst verbucht, wenn die Bedingungen erfüllt sind. </w:t>
      </w:r>
    </w:p>
    <w:p w:rsidR="0049138D" w:rsidRPr="00455AEA" w:rsidRDefault="0049138D" w:rsidP="00907A50">
      <w:pPr>
        <w:rPr>
          <w:rFonts w:cs="Arial"/>
          <w:szCs w:val="22"/>
        </w:rPr>
      </w:pPr>
    </w:p>
    <w:p w:rsidR="0049138D" w:rsidRPr="00455AEA" w:rsidRDefault="0049138D" w:rsidP="00907A50">
      <w:pPr>
        <w:rPr>
          <w:rFonts w:cs="Arial"/>
        </w:rPr>
      </w:pPr>
      <w:r w:rsidRPr="00455AEA">
        <w:rPr>
          <w:rFonts w:cs="Arial"/>
        </w:rPr>
        <w:t>Der Wert künftiger Leistungsverpflichtungen gegenüber Bediensteten (darunter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w:t>
      </w:r>
    </w:p>
    <w:p w:rsidR="0049138D" w:rsidRPr="00455AEA" w:rsidRDefault="0049138D" w:rsidP="00907A50">
      <w:pPr>
        <w:rPr>
          <w:rFonts w:cs="Arial"/>
          <w:szCs w:val="22"/>
        </w:rPr>
      </w:pPr>
    </w:p>
    <w:p w:rsidR="002F09F3" w:rsidRDefault="002B0D19" w:rsidP="00907A50">
      <w:pPr>
        <w:rPr>
          <w:rFonts w:cs="Arial"/>
        </w:rPr>
      </w:pPr>
      <w:r w:rsidRPr="00455AEA">
        <w:rPr>
          <w:rFonts w:cs="Arial"/>
        </w:rPr>
        <w:t>Das UPOV-Programm und der Haushaltsplan werden auf der Basis einer modifizierten Periodenrechnung erstellt, was von der vollständig periodengerechten Rechnungslegung, nach der der Jahresabschluß erstellt wird, abweicht. Weitere Unterschiede zwischen den Haushaltsergebnissen und dem Ergebnis nach dem Jahresabschluß sind auf die Aufnahme von Treuhandgeldern und des Sonderprojektfonds, die nicht im ordentlichen Programm und Haushaltsplan der UPOV enthalten sind, zurückzuführen. Eine Gegenüberstellung von Haushaltsplan und wichtigsten Zahlen des Jahresabschlusses wird in Einklang mit den Anforderungen der IPSAS im Jahresabschluß der UPOV vorgelegt.</w:t>
      </w:r>
    </w:p>
    <w:p w:rsidR="00907A50" w:rsidRPr="00455AEA" w:rsidRDefault="00907A50" w:rsidP="00907A50">
      <w:pPr>
        <w:rPr>
          <w:rFonts w:cs="Arial"/>
          <w:szCs w:val="22"/>
        </w:rPr>
      </w:pPr>
    </w:p>
    <w:p w:rsidR="002F09F3" w:rsidRPr="00455AEA" w:rsidRDefault="002F09F3" w:rsidP="00907A50">
      <w:pPr>
        <w:rPr>
          <w:rFonts w:cs="Arial"/>
          <w:b/>
          <w:szCs w:val="22"/>
        </w:rPr>
      </w:pPr>
      <w:r w:rsidRPr="00455AEA">
        <w:rPr>
          <w:rFonts w:cs="Arial"/>
          <w:b/>
        </w:rPr>
        <w:t>Darstellung von Finanzinformationen gemäß den IPSAS</w:t>
      </w:r>
    </w:p>
    <w:p w:rsidR="00907A50" w:rsidRDefault="00907A50" w:rsidP="00907A50">
      <w:pPr>
        <w:autoSpaceDE w:val="0"/>
        <w:autoSpaceDN w:val="0"/>
        <w:adjustRightInd w:val="0"/>
        <w:rPr>
          <w:rFonts w:cs="Arial"/>
          <w:color w:val="000000"/>
        </w:rPr>
      </w:pPr>
    </w:p>
    <w:p w:rsidR="00EB0D97" w:rsidRPr="00455AEA" w:rsidRDefault="002F09F3" w:rsidP="00907A50">
      <w:pPr>
        <w:autoSpaceDE w:val="0"/>
        <w:autoSpaceDN w:val="0"/>
        <w:adjustRightInd w:val="0"/>
        <w:rPr>
          <w:rFonts w:cs="Arial"/>
          <w:color w:val="000000"/>
        </w:rPr>
      </w:pPr>
      <w:r w:rsidRPr="00455AEA">
        <w:rPr>
          <w:rFonts w:cs="Arial"/>
          <w:color w:val="000000"/>
        </w:rPr>
        <w:t xml:space="preserve">Da nach den IPSAS jährliche Abschlüsse erstellt werden müssen, werden die Jahresabschlüsse der UPOV getrennt für jedes Kalenderjahr der Rechnungsperiode erstellt. Die Jahresabschlüsse werden getrennt vom Finanzverwaltungsbericht dargelegt und für eine Einsichtnahme in die vollständigen, nach den IPSAS-Anforderungen aufbereiteten Finanzinformation der UPOV sollte auf die Jahresabschlüsse der UPOV verwiesen werden. </w:t>
      </w:r>
    </w:p>
    <w:p w:rsidR="00EB0D97" w:rsidRPr="00455AEA" w:rsidRDefault="00EB0D97" w:rsidP="00907A50">
      <w:pPr>
        <w:autoSpaceDE w:val="0"/>
        <w:autoSpaceDN w:val="0"/>
        <w:adjustRightInd w:val="0"/>
        <w:rPr>
          <w:rFonts w:cs="Arial"/>
          <w:color w:val="000000"/>
        </w:rPr>
      </w:pPr>
    </w:p>
    <w:p w:rsidR="002F09F3" w:rsidRPr="00455AEA" w:rsidRDefault="002F09F3" w:rsidP="00907A50">
      <w:pPr>
        <w:autoSpaceDE w:val="0"/>
        <w:autoSpaceDN w:val="0"/>
        <w:adjustRightInd w:val="0"/>
        <w:rPr>
          <w:rFonts w:cs="Arial"/>
          <w:color w:val="000000"/>
        </w:rPr>
      </w:pPr>
      <w:r w:rsidRPr="00455AEA">
        <w:rPr>
          <w:rFonts w:cs="Arial"/>
          <w:color w:val="000000"/>
        </w:rPr>
        <w:t xml:space="preserve">Gemäß den IPSAS enthalten die Jahresabschlüsse folgende Elemente: </w:t>
      </w:r>
    </w:p>
    <w:p w:rsidR="002F09F3" w:rsidRPr="00455AEA" w:rsidRDefault="002F09F3" w:rsidP="00907A50">
      <w:pPr>
        <w:autoSpaceDE w:val="0"/>
        <w:autoSpaceDN w:val="0"/>
        <w:adjustRightInd w:val="0"/>
        <w:rPr>
          <w:rFonts w:cs="Arial"/>
          <w:color w:val="000000"/>
        </w:rPr>
      </w:pP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Darstellung I - Darstellung der Finanzlage </w:t>
      </w: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Darstellung II - Darstellung der Erfolgsrechnung </w:t>
      </w: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Darstellung III - Darstellung der Entwicklung des Nettovermögens </w:t>
      </w: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Darstellung IV - Darstellung der Kapitalflußrechnung </w:t>
      </w: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Darstellung V - Darstellung der Gegenüberstellung von budgetierten und tatsächlichen Beträgen </w:t>
      </w:r>
    </w:p>
    <w:p w:rsidR="002F09F3" w:rsidRPr="00455AEA" w:rsidRDefault="002F09F3" w:rsidP="00907A50">
      <w:pPr>
        <w:numPr>
          <w:ilvl w:val="1"/>
          <w:numId w:val="24"/>
        </w:numPr>
        <w:autoSpaceDE w:val="0"/>
        <w:autoSpaceDN w:val="0"/>
        <w:adjustRightInd w:val="0"/>
        <w:rPr>
          <w:rFonts w:cs="Arial"/>
          <w:color w:val="000000"/>
        </w:rPr>
      </w:pPr>
      <w:r w:rsidRPr="00455AEA">
        <w:rPr>
          <w:rFonts w:cs="Arial"/>
          <w:color w:val="000000"/>
        </w:rPr>
        <w:t xml:space="preserve">Anmerkungen zum Jahresabschluß </w:t>
      </w:r>
    </w:p>
    <w:p w:rsidR="002F09F3" w:rsidRPr="00455AEA" w:rsidRDefault="002F09F3" w:rsidP="00907A50">
      <w:pPr>
        <w:autoSpaceDE w:val="0"/>
        <w:autoSpaceDN w:val="0"/>
        <w:adjustRightInd w:val="0"/>
        <w:rPr>
          <w:rFonts w:cs="Arial"/>
          <w:color w:val="000000"/>
        </w:rPr>
      </w:pPr>
    </w:p>
    <w:p w:rsidR="002F09F3" w:rsidRPr="00455AEA" w:rsidRDefault="002F09F3" w:rsidP="00907A50">
      <w:pPr>
        <w:autoSpaceDE w:val="0"/>
        <w:autoSpaceDN w:val="0"/>
        <w:adjustRightInd w:val="0"/>
        <w:rPr>
          <w:rFonts w:cs="Arial"/>
          <w:color w:val="000000"/>
        </w:rPr>
      </w:pPr>
      <w:r w:rsidRPr="00455AEA">
        <w:rPr>
          <w:rFonts w:cs="Arial"/>
          <w:color w:val="000000"/>
        </w:rPr>
        <w:t xml:space="preserve">Im Finanzverwaltungsbericht werden die Darstellungen I - V für die Rechnungsperiode 2014-2015 dargelegt. Finanzinformationen werden bereitgestellt, um ein Verständnis der Unterschiede zwischen dem Ergebnis der UPOV auf einer Haushaltsgrundlage und dem Ergebnis gemäß dem IPSAS-Jahresabschluß zu vermitteln. Andere Auszüge aus dem Jahresabschluß liefern weitere Einzelheiten über Vermögen und Verbindlichkeiten der UPOV. </w:t>
      </w:r>
    </w:p>
    <w:p w:rsidR="002F09F3" w:rsidRPr="00455AEA" w:rsidRDefault="002F09F3" w:rsidP="00907A50">
      <w:pPr>
        <w:autoSpaceDE w:val="0"/>
        <w:autoSpaceDN w:val="0"/>
        <w:adjustRightInd w:val="0"/>
        <w:rPr>
          <w:rFonts w:cs="Arial"/>
          <w:color w:val="000000"/>
        </w:rPr>
      </w:pPr>
    </w:p>
    <w:p w:rsidR="002F09F3" w:rsidRPr="00455AEA" w:rsidRDefault="002F09F3" w:rsidP="00F11E52">
      <w:pPr>
        <w:pStyle w:val="Heading3"/>
        <w:rPr>
          <w:rFonts w:cs="Arial"/>
        </w:rPr>
      </w:pPr>
      <w:r w:rsidRPr="00455AEA">
        <w:rPr>
          <w:rFonts w:cs="Arial"/>
        </w:rPr>
        <w:br w:type="page"/>
      </w:r>
      <w:bookmarkStart w:id="59" w:name="_Toc460246277"/>
      <w:r w:rsidR="00F11E52" w:rsidRPr="00455AEA">
        <w:rPr>
          <w:rFonts w:cs="Arial"/>
        </w:rPr>
        <w:t xml:space="preserve">Darstellung </w:t>
      </w:r>
      <w:r w:rsidRPr="00455AEA">
        <w:rPr>
          <w:rFonts w:cs="Arial"/>
        </w:rPr>
        <w:t>I</w:t>
      </w:r>
      <w:r w:rsidR="00F11E52" w:rsidRPr="00455AEA">
        <w:rPr>
          <w:rFonts w:cs="Arial"/>
        </w:rPr>
        <w:br/>
      </w:r>
      <w:r w:rsidR="00F11E52" w:rsidRPr="00455AEA">
        <w:rPr>
          <w:rFonts w:cs="Arial"/>
        </w:rPr>
        <w:br/>
        <w:t>Darstellung der Finanzlage</w:t>
      </w:r>
      <w:bookmarkEnd w:id="59"/>
    </w:p>
    <w:p w:rsidR="00D05106" w:rsidRPr="00455AEA" w:rsidRDefault="00D05106" w:rsidP="009A0C8C">
      <w:pPr>
        <w:jc w:val="center"/>
        <w:rPr>
          <w:rFonts w:cs="Arial"/>
          <w:b/>
          <w:color w:val="000000"/>
        </w:rPr>
      </w:pPr>
    </w:p>
    <w:p w:rsidR="002F09F3" w:rsidRPr="00455AEA" w:rsidRDefault="002F09F3" w:rsidP="009A0C8C">
      <w:pPr>
        <w:jc w:val="center"/>
        <w:rPr>
          <w:rFonts w:cs="Arial"/>
          <w:b/>
          <w:color w:val="000000"/>
        </w:rPr>
      </w:pPr>
      <w:r w:rsidRPr="00455AEA">
        <w:rPr>
          <w:rFonts w:cs="Arial"/>
          <w:b/>
          <w:color w:val="000000"/>
        </w:rPr>
        <w:t>zum 31. Dezember 2015</w:t>
      </w:r>
    </w:p>
    <w:p w:rsidR="002F09F3" w:rsidRPr="00455AEA" w:rsidRDefault="002F09F3" w:rsidP="009A0C8C">
      <w:pPr>
        <w:jc w:val="center"/>
        <w:rPr>
          <w:rFonts w:cs="Arial"/>
          <w:i/>
        </w:rPr>
      </w:pPr>
      <w:r w:rsidRPr="00455AEA">
        <w:rPr>
          <w:rFonts w:cs="Arial"/>
          <w:i/>
        </w:rPr>
        <w:t xml:space="preserve">(in Schweizer Franken) </w:t>
      </w:r>
    </w:p>
    <w:p w:rsidR="002F09F3" w:rsidRPr="00455AEA" w:rsidRDefault="002F09F3" w:rsidP="00532F43">
      <w:pPr>
        <w:spacing w:line="276" w:lineRule="auto"/>
        <w:jc w:val="center"/>
        <w:rPr>
          <w:rFonts w:cs="Arial"/>
          <w:b/>
        </w:rPr>
      </w:pPr>
    </w:p>
    <w:p w:rsidR="002F09F3" w:rsidRPr="00455AEA" w:rsidRDefault="0020620B" w:rsidP="00532F43">
      <w:pPr>
        <w:spacing w:line="276" w:lineRule="auto"/>
        <w:jc w:val="center"/>
        <w:rPr>
          <w:rFonts w:cs="Arial"/>
          <w:b/>
        </w:rPr>
      </w:pPr>
      <w:r w:rsidRPr="0020620B">
        <w:drawing>
          <wp:inline distT="0" distB="0" distL="0" distR="0">
            <wp:extent cx="6067425" cy="50482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7425" cy="5048250"/>
                    </a:xfrm>
                    <a:prstGeom prst="rect">
                      <a:avLst/>
                    </a:prstGeom>
                    <a:noFill/>
                    <a:ln>
                      <a:noFill/>
                    </a:ln>
                  </pic:spPr>
                </pic:pic>
              </a:graphicData>
            </a:graphic>
          </wp:inline>
        </w:drawing>
      </w:r>
    </w:p>
    <w:p w:rsidR="002F09F3" w:rsidRPr="00455AEA" w:rsidRDefault="002F09F3" w:rsidP="00532F43">
      <w:pPr>
        <w:spacing w:line="276" w:lineRule="auto"/>
        <w:jc w:val="center"/>
        <w:rPr>
          <w:rFonts w:cs="Arial"/>
          <w:b/>
        </w:rPr>
      </w:pPr>
    </w:p>
    <w:p w:rsidR="002F09F3" w:rsidRPr="00455AEA" w:rsidRDefault="002F09F3" w:rsidP="00D05106">
      <w:pPr>
        <w:pStyle w:val="Heading3"/>
        <w:rPr>
          <w:rFonts w:cs="Arial"/>
        </w:rPr>
      </w:pPr>
      <w:r w:rsidRPr="00455AEA">
        <w:rPr>
          <w:rFonts w:cs="Arial"/>
        </w:rPr>
        <w:br w:type="page"/>
      </w:r>
      <w:bookmarkStart w:id="60" w:name="_Toc460246278"/>
      <w:r w:rsidR="00D05106" w:rsidRPr="00455AEA">
        <w:rPr>
          <w:rFonts w:cs="Arial"/>
        </w:rPr>
        <w:t xml:space="preserve">Darstellung </w:t>
      </w:r>
      <w:r w:rsidRPr="00455AEA">
        <w:rPr>
          <w:rFonts w:cs="Arial"/>
        </w:rPr>
        <w:t>II</w:t>
      </w:r>
      <w:r w:rsidR="00D05106" w:rsidRPr="00455AEA">
        <w:rPr>
          <w:rFonts w:cs="Arial"/>
        </w:rPr>
        <w:br/>
      </w:r>
      <w:r w:rsidR="00D05106" w:rsidRPr="00455AEA">
        <w:rPr>
          <w:rFonts w:cs="Arial"/>
        </w:rPr>
        <w:br/>
        <w:t>Darstellung der Erfolgsrechnung</w:t>
      </w:r>
      <w:bookmarkEnd w:id="60"/>
    </w:p>
    <w:p w:rsidR="00D05106" w:rsidRPr="00455AEA" w:rsidRDefault="00D05106" w:rsidP="009A0C8C">
      <w:pPr>
        <w:jc w:val="center"/>
        <w:rPr>
          <w:rFonts w:cs="Arial"/>
          <w:b/>
          <w:color w:val="000000"/>
        </w:rPr>
      </w:pPr>
    </w:p>
    <w:p w:rsidR="002F09F3" w:rsidRPr="00455AEA" w:rsidRDefault="00EF5AF4" w:rsidP="009A0C8C">
      <w:pPr>
        <w:jc w:val="center"/>
        <w:rPr>
          <w:rFonts w:cs="Arial"/>
          <w:b/>
          <w:color w:val="000000"/>
        </w:rPr>
      </w:pPr>
      <w:r w:rsidRPr="00455AEA">
        <w:rPr>
          <w:rFonts w:cs="Arial"/>
          <w:b/>
          <w:color w:val="000000"/>
        </w:rPr>
        <w:t>für die am 31. Dezember 2015 abgelaufene Rechnungsperiode</w:t>
      </w:r>
    </w:p>
    <w:p w:rsidR="002F09F3" w:rsidRPr="00455AEA" w:rsidRDefault="002F09F3" w:rsidP="009A0C8C">
      <w:pPr>
        <w:jc w:val="center"/>
        <w:rPr>
          <w:rFonts w:cs="Arial"/>
          <w:i/>
        </w:rPr>
      </w:pPr>
      <w:r w:rsidRPr="00455AEA">
        <w:rPr>
          <w:rFonts w:cs="Arial"/>
          <w:i/>
        </w:rPr>
        <w:t xml:space="preserve">(in Schweizer Franken) </w:t>
      </w:r>
    </w:p>
    <w:p w:rsidR="002F09F3" w:rsidRPr="00455AEA" w:rsidRDefault="002F09F3" w:rsidP="009A0C8C">
      <w:pPr>
        <w:jc w:val="center"/>
        <w:rPr>
          <w:rFonts w:cs="Arial"/>
          <w:b/>
        </w:rPr>
      </w:pPr>
    </w:p>
    <w:p w:rsidR="002F09F3" w:rsidRPr="00455AEA" w:rsidRDefault="002F09F3" w:rsidP="00532F43">
      <w:pPr>
        <w:spacing w:line="276" w:lineRule="auto"/>
        <w:jc w:val="center"/>
        <w:rPr>
          <w:rFonts w:cs="Arial"/>
          <w:b/>
        </w:rPr>
      </w:pPr>
    </w:p>
    <w:p w:rsidR="002F09F3" w:rsidRPr="00455AEA" w:rsidRDefault="00CE2377" w:rsidP="00532F43">
      <w:pPr>
        <w:spacing w:line="276" w:lineRule="auto"/>
        <w:jc w:val="center"/>
        <w:rPr>
          <w:rFonts w:cs="Arial"/>
          <w:b/>
        </w:rPr>
      </w:pPr>
      <w:r w:rsidRPr="00455AEA">
        <w:rPr>
          <w:rFonts w:cs="Arial"/>
          <w:noProof/>
          <w:lang w:val="en-US" w:eastAsia="en-US" w:bidi="ar-SA"/>
        </w:rPr>
        <w:drawing>
          <wp:inline distT="0" distB="0" distL="0" distR="0" wp14:anchorId="269A1ADB" wp14:editId="01050E1E">
            <wp:extent cx="6088380" cy="3710940"/>
            <wp:effectExtent l="0" t="0" r="7620" b="381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8380" cy="3710940"/>
                    </a:xfrm>
                    <a:prstGeom prst="rect">
                      <a:avLst/>
                    </a:prstGeom>
                    <a:noFill/>
                    <a:ln>
                      <a:noFill/>
                    </a:ln>
                  </pic:spPr>
                </pic:pic>
              </a:graphicData>
            </a:graphic>
          </wp:inline>
        </w:drawing>
      </w:r>
    </w:p>
    <w:p w:rsidR="002F09F3" w:rsidRPr="00455AEA" w:rsidRDefault="002F09F3" w:rsidP="00D05106">
      <w:pPr>
        <w:pStyle w:val="Heading3"/>
        <w:rPr>
          <w:rFonts w:cs="Arial"/>
        </w:rPr>
      </w:pPr>
      <w:r w:rsidRPr="00455AEA">
        <w:rPr>
          <w:rFonts w:cs="Arial"/>
        </w:rPr>
        <w:br w:type="page"/>
      </w:r>
      <w:bookmarkStart w:id="61" w:name="_Toc460246279"/>
      <w:r w:rsidR="00D05106" w:rsidRPr="00455AEA">
        <w:rPr>
          <w:rFonts w:cs="Arial"/>
        </w:rPr>
        <w:t xml:space="preserve">Darstellung </w:t>
      </w:r>
      <w:r w:rsidRPr="00455AEA">
        <w:rPr>
          <w:rFonts w:cs="Arial"/>
        </w:rPr>
        <w:t>III</w:t>
      </w:r>
      <w:r w:rsidR="00D05106" w:rsidRPr="00455AEA">
        <w:rPr>
          <w:rFonts w:cs="Arial"/>
        </w:rPr>
        <w:br/>
      </w:r>
      <w:r w:rsidR="00D05106" w:rsidRPr="00455AEA">
        <w:rPr>
          <w:rFonts w:cs="Arial"/>
        </w:rPr>
        <w:br/>
        <w:t>Darstellung der Entwicklungen des Nettovermögens</w:t>
      </w:r>
      <w:bookmarkEnd w:id="61"/>
    </w:p>
    <w:p w:rsidR="00D05106" w:rsidRPr="00455AEA" w:rsidRDefault="00D05106" w:rsidP="009A0C8C">
      <w:pPr>
        <w:jc w:val="center"/>
        <w:rPr>
          <w:rFonts w:cs="Arial"/>
          <w:b/>
          <w:color w:val="000000"/>
        </w:rPr>
      </w:pPr>
    </w:p>
    <w:p w:rsidR="002F09F3" w:rsidRPr="00455AEA" w:rsidRDefault="00EF5AF4" w:rsidP="009A0C8C">
      <w:pPr>
        <w:jc w:val="center"/>
        <w:rPr>
          <w:rFonts w:cs="Arial"/>
          <w:b/>
          <w:color w:val="000000"/>
        </w:rPr>
      </w:pPr>
      <w:r w:rsidRPr="00455AEA">
        <w:rPr>
          <w:rFonts w:cs="Arial"/>
          <w:b/>
          <w:color w:val="000000"/>
        </w:rPr>
        <w:t>für die am 31. Dezember 2015 abgelaufene Rechnungsperiode</w:t>
      </w:r>
    </w:p>
    <w:p w:rsidR="002F09F3" w:rsidRPr="00455AEA" w:rsidRDefault="002F09F3" w:rsidP="009A0C8C">
      <w:pPr>
        <w:jc w:val="center"/>
        <w:rPr>
          <w:rFonts w:cs="Arial"/>
          <w:i/>
        </w:rPr>
      </w:pPr>
      <w:r w:rsidRPr="00455AEA">
        <w:rPr>
          <w:rFonts w:cs="Arial"/>
          <w:i/>
        </w:rPr>
        <w:t xml:space="preserve">(in Schweizer Franken) </w:t>
      </w:r>
    </w:p>
    <w:p w:rsidR="002F09F3" w:rsidRPr="00455AEA" w:rsidRDefault="002F09F3" w:rsidP="009A0C8C">
      <w:pPr>
        <w:jc w:val="center"/>
        <w:rPr>
          <w:rFonts w:cs="Arial"/>
          <w:b/>
        </w:rPr>
      </w:pPr>
    </w:p>
    <w:p w:rsidR="002F09F3" w:rsidRPr="00455AEA" w:rsidRDefault="003F10A1" w:rsidP="00532F43">
      <w:pPr>
        <w:spacing w:line="276" w:lineRule="auto"/>
        <w:jc w:val="center"/>
        <w:rPr>
          <w:rFonts w:cs="Arial"/>
          <w:b/>
        </w:rPr>
      </w:pPr>
      <w:r w:rsidRPr="00455AEA">
        <w:rPr>
          <w:rFonts w:cs="Arial"/>
          <w:noProof/>
          <w:lang w:val="en-US" w:eastAsia="en-US" w:bidi="ar-SA"/>
        </w:rPr>
        <w:drawing>
          <wp:inline distT="0" distB="0" distL="0" distR="0" wp14:anchorId="39FB3E1C" wp14:editId="768A8E43">
            <wp:extent cx="5981700" cy="30327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1700" cy="3032760"/>
                    </a:xfrm>
                    <a:prstGeom prst="rect">
                      <a:avLst/>
                    </a:prstGeom>
                    <a:noFill/>
                    <a:ln>
                      <a:noFill/>
                    </a:ln>
                  </pic:spPr>
                </pic:pic>
              </a:graphicData>
            </a:graphic>
          </wp:inline>
        </w:drawing>
      </w:r>
    </w:p>
    <w:p w:rsidR="002F09F3" w:rsidRPr="00455AEA" w:rsidRDefault="002F09F3" w:rsidP="00532F43">
      <w:pPr>
        <w:spacing w:line="276" w:lineRule="auto"/>
        <w:jc w:val="center"/>
        <w:rPr>
          <w:rFonts w:cs="Arial"/>
          <w:b/>
        </w:rPr>
      </w:pPr>
    </w:p>
    <w:p w:rsidR="002F09F3" w:rsidRPr="00455AEA" w:rsidRDefault="002F09F3" w:rsidP="00532F43">
      <w:pPr>
        <w:spacing w:line="276" w:lineRule="auto"/>
        <w:jc w:val="center"/>
        <w:rPr>
          <w:rFonts w:cs="Arial"/>
        </w:rPr>
      </w:pPr>
    </w:p>
    <w:p w:rsidR="002F09F3" w:rsidRPr="00455AEA" w:rsidRDefault="002F09F3" w:rsidP="00D05106">
      <w:pPr>
        <w:pStyle w:val="Heading3"/>
        <w:rPr>
          <w:rFonts w:cs="Arial"/>
        </w:rPr>
      </w:pPr>
      <w:r w:rsidRPr="00455AEA">
        <w:rPr>
          <w:rFonts w:cs="Arial"/>
        </w:rPr>
        <w:br w:type="page"/>
      </w:r>
      <w:bookmarkStart w:id="62" w:name="_Toc460246280"/>
      <w:r w:rsidR="00D05106" w:rsidRPr="00455AEA">
        <w:rPr>
          <w:rFonts w:cs="Arial"/>
        </w:rPr>
        <w:t xml:space="preserve">Darstellung </w:t>
      </w:r>
      <w:r w:rsidRPr="00455AEA">
        <w:rPr>
          <w:rFonts w:cs="Arial"/>
        </w:rPr>
        <w:t>IV</w:t>
      </w:r>
      <w:r w:rsidR="00D05106" w:rsidRPr="00455AEA">
        <w:rPr>
          <w:rFonts w:cs="Arial"/>
        </w:rPr>
        <w:br/>
      </w:r>
      <w:r w:rsidR="00D05106" w:rsidRPr="00455AEA">
        <w:rPr>
          <w:rFonts w:cs="Arial"/>
        </w:rPr>
        <w:br/>
        <w:t>Kapitalflussrechnung</w:t>
      </w:r>
      <w:bookmarkEnd w:id="62"/>
    </w:p>
    <w:p w:rsidR="00D05106" w:rsidRPr="00455AEA" w:rsidRDefault="00D05106" w:rsidP="00532F43">
      <w:pPr>
        <w:spacing w:line="276" w:lineRule="auto"/>
        <w:jc w:val="center"/>
        <w:rPr>
          <w:rFonts w:cs="Arial"/>
          <w:b/>
          <w:color w:val="000000"/>
        </w:rPr>
      </w:pPr>
    </w:p>
    <w:p w:rsidR="002F09F3" w:rsidRPr="00455AEA" w:rsidRDefault="00EF5AF4" w:rsidP="00532F43">
      <w:pPr>
        <w:spacing w:line="276" w:lineRule="auto"/>
        <w:jc w:val="center"/>
        <w:rPr>
          <w:rFonts w:cs="Arial"/>
          <w:b/>
          <w:color w:val="000000"/>
        </w:rPr>
      </w:pPr>
      <w:r w:rsidRPr="00455AEA">
        <w:rPr>
          <w:rFonts w:cs="Arial"/>
          <w:b/>
          <w:color w:val="000000"/>
        </w:rPr>
        <w:t>für die am 31. Dezember 2015 abgelaufene Rechnungsperiode</w:t>
      </w:r>
    </w:p>
    <w:p w:rsidR="002F09F3" w:rsidRPr="00455AEA" w:rsidRDefault="002F09F3" w:rsidP="00532F43">
      <w:pPr>
        <w:spacing w:line="276" w:lineRule="auto"/>
        <w:jc w:val="center"/>
        <w:rPr>
          <w:rFonts w:cs="Arial"/>
          <w:i/>
        </w:rPr>
      </w:pPr>
      <w:r w:rsidRPr="00455AEA">
        <w:rPr>
          <w:rFonts w:cs="Arial"/>
          <w:i/>
        </w:rPr>
        <w:t xml:space="preserve">(in Schweizer Franken) </w:t>
      </w:r>
    </w:p>
    <w:p w:rsidR="002F09F3" w:rsidRPr="00455AEA" w:rsidRDefault="002F09F3" w:rsidP="00532F43">
      <w:pPr>
        <w:spacing w:line="276" w:lineRule="auto"/>
        <w:jc w:val="center"/>
        <w:rPr>
          <w:rFonts w:cs="Arial"/>
          <w:b/>
        </w:rPr>
      </w:pPr>
    </w:p>
    <w:p w:rsidR="002F09F3" w:rsidRPr="00455AEA" w:rsidRDefault="002F09F3" w:rsidP="00532F43">
      <w:pPr>
        <w:spacing w:line="276" w:lineRule="auto"/>
        <w:jc w:val="center"/>
        <w:rPr>
          <w:rFonts w:cs="Arial"/>
          <w:b/>
        </w:rPr>
      </w:pPr>
    </w:p>
    <w:p w:rsidR="002F09F3" w:rsidRPr="00455AEA" w:rsidRDefault="002F09F3" w:rsidP="00532F43">
      <w:pPr>
        <w:spacing w:line="276" w:lineRule="auto"/>
        <w:jc w:val="center"/>
        <w:rPr>
          <w:rFonts w:cs="Arial"/>
        </w:rPr>
      </w:pPr>
    </w:p>
    <w:p w:rsidR="002F09F3" w:rsidRPr="00455AEA" w:rsidRDefault="002F09F3" w:rsidP="00532F43">
      <w:pPr>
        <w:spacing w:line="276" w:lineRule="auto"/>
        <w:jc w:val="center"/>
        <w:rPr>
          <w:rFonts w:cs="Arial"/>
        </w:rPr>
      </w:pPr>
    </w:p>
    <w:p w:rsidR="003958BC" w:rsidRPr="00455AEA" w:rsidRDefault="00CC3462" w:rsidP="00B605E0">
      <w:pPr>
        <w:rPr>
          <w:rFonts w:cs="Arial"/>
        </w:rPr>
      </w:pPr>
      <w:r w:rsidRPr="00455AEA">
        <w:rPr>
          <w:rFonts w:cs="Arial"/>
          <w:noProof/>
        </w:rPr>
        <w:drawing>
          <wp:inline distT="0" distB="0" distL="0" distR="0" wp14:anchorId="3C80A0B1" wp14:editId="2DA185FC">
            <wp:extent cx="6120765" cy="389566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3895662"/>
                    </a:xfrm>
                    <a:prstGeom prst="rect">
                      <a:avLst/>
                    </a:prstGeom>
                    <a:noFill/>
                    <a:ln>
                      <a:noFill/>
                    </a:ln>
                  </pic:spPr>
                </pic:pic>
              </a:graphicData>
            </a:graphic>
          </wp:inline>
        </w:drawing>
      </w:r>
    </w:p>
    <w:p w:rsidR="003958BC" w:rsidRPr="00455AEA" w:rsidRDefault="003958BC" w:rsidP="00B605E0">
      <w:pPr>
        <w:rPr>
          <w:rFonts w:cs="Arial"/>
        </w:rPr>
      </w:pPr>
    </w:p>
    <w:p w:rsidR="003958BC" w:rsidRPr="00455AEA" w:rsidRDefault="003958BC" w:rsidP="00B605E0">
      <w:pPr>
        <w:rPr>
          <w:rFonts w:cs="Arial"/>
        </w:rPr>
      </w:pPr>
    </w:p>
    <w:p w:rsidR="002F09F3" w:rsidRPr="00455AEA" w:rsidRDefault="002F09F3" w:rsidP="003958BC">
      <w:pPr>
        <w:pStyle w:val="Heading3"/>
        <w:rPr>
          <w:rFonts w:cs="Arial"/>
        </w:rPr>
      </w:pPr>
      <w:r w:rsidRPr="00455AEA">
        <w:rPr>
          <w:rFonts w:cs="Arial"/>
        </w:rPr>
        <w:br w:type="page"/>
      </w:r>
      <w:bookmarkStart w:id="63" w:name="_Toc460246281"/>
      <w:r w:rsidR="00D05106" w:rsidRPr="00455AEA">
        <w:rPr>
          <w:rFonts w:cs="Arial"/>
        </w:rPr>
        <w:t xml:space="preserve">Darstellung </w:t>
      </w:r>
      <w:r w:rsidRPr="00455AEA">
        <w:rPr>
          <w:rFonts w:cs="Arial"/>
        </w:rPr>
        <w:t>V</w:t>
      </w:r>
      <w:r w:rsidR="00D05106" w:rsidRPr="00455AEA">
        <w:rPr>
          <w:rFonts w:cs="Arial"/>
        </w:rPr>
        <w:br/>
      </w:r>
      <w:r w:rsidR="00D05106" w:rsidRPr="00455AEA">
        <w:rPr>
          <w:rFonts w:cs="Arial"/>
        </w:rPr>
        <w:br/>
        <w:t>Darstellung der Gegenüberstellung von budgetierten und tatsächlichen Beträgen</w:t>
      </w:r>
      <w:bookmarkEnd w:id="63"/>
    </w:p>
    <w:p w:rsidR="00D05106" w:rsidRPr="00455AEA" w:rsidRDefault="00D05106" w:rsidP="009A0C8C">
      <w:pPr>
        <w:jc w:val="center"/>
        <w:rPr>
          <w:rFonts w:cs="Arial"/>
          <w:b/>
          <w:color w:val="000000"/>
        </w:rPr>
      </w:pPr>
    </w:p>
    <w:p w:rsidR="002F09F3" w:rsidRPr="00455AEA" w:rsidRDefault="00EF5AF4" w:rsidP="009A0C8C">
      <w:pPr>
        <w:jc w:val="center"/>
        <w:rPr>
          <w:rFonts w:cs="Arial"/>
          <w:b/>
          <w:color w:val="000000"/>
        </w:rPr>
      </w:pPr>
      <w:r w:rsidRPr="00455AEA">
        <w:rPr>
          <w:rFonts w:cs="Arial"/>
          <w:b/>
          <w:color w:val="000000"/>
        </w:rPr>
        <w:t>für die am 31. Dezember 2015 abgelaufene Rechnungsperiode</w:t>
      </w:r>
    </w:p>
    <w:p w:rsidR="002F09F3" w:rsidRPr="00455AEA" w:rsidRDefault="002F09F3" w:rsidP="00532F43">
      <w:pPr>
        <w:spacing w:line="276" w:lineRule="auto"/>
        <w:jc w:val="center"/>
        <w:rPr>
          <w:rFonts w:cs="Arial"/>
          <w:i/>
        </w:rPr>
      </w:pPr>
      <w:r w:rsidRPr="00455AEA">
        <w:rPr>
          <w:rFonts w:cs="Arial"/>
          <w:i/>
        </w:rPr>
        <w:t>(in Tausend Schweizer Franken)</w:t>
      </w:r>
    </w:p>
    <w:p w:rsidR="002F09F3" w:rsidRPr="00455AEA" w:rsidRDefault="002F09F3" w:rsidP="00532F43">
      <w:pPr>
        <w:spacing w:line="276" w:lineRule="auto"/>
        <w:jc w:val="center"/>
        <w:rPr>
          <w:rFonts w:cs="Arial"/>
        </w:rPr>
      </w:pPr>
    </w:p>
    <w:p w:rsidR="002F09F3" w:rsidRPr="00455AEA" w:rsidRDefault="00812E7B" w:rsidP="00532F43">
      <w:pPr>
        <w:spacing w:line="276" w:lineRule="auto"/>
        <w:jc w:val="center"/>
        <w:rPr>
          <w:rFonts w:cs="Arial"/>
        </w:rPr>
      </w:pPr>
      <w:r w:rsidRPr="00812E7B">
        <w:drawing>
          <wp:inline distT="0" distB="0" distL="0" distR="0">
            <wp:extent cx="5591175" cy="50292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1175" cy="5029200"/>
                    </a:xfrm>
                    <a:prstGeom prst="rect">
                      <a:avLst/>
                    </a:prstGeom>
                    <a:noFill/>
                    <a:ln>
                      <a:noFill/>
                    </a:ln>
                  </pic:spPr>
                </pic:pic>
              </a:graphicData>
            </a:graphic>
          </wp:inline>
        </w:drawing>
      </w:r>
    </w:p>
    <w:p w:rsidR="002F09F3" w:rsidRPr="00455AEA" w:rsidRDefault="002F09F3" w:rsidP="00532F43">
      <w:pPr>
        <w:rPr>
          <w:rFonts w:cs="Arial"/>
        </w:rPr>
      </w:pPr>
    </w:p>
    <w:p w:rsidR="002F09F3" w:rsidRPr="00455AEA" w:rsidRDefault="002F09F3" w:rsidP="00D81BFB">
      <w:pPr>
        <w:numPr>
          <w:ilvl w:val="0"/>
          <w:numId w:val="23"/>
        </w:numPr>
        <w:rPr>
          <w:rFonts w:cs="Arial"/>
          <w:sz w:val="18"/>
          <w:szCs w:val="18"/>
        </w:rPr>
      </w:pPr>
      <w:r w:rsidRPr="00455AEA">
        <w:rPr>
          <w:rFonts w:cs="Arial"/>
          <w:sz w:val="18"/>
        </w:rPr>
        <w:t>zeigt den angenommenen Haushaltsplan für die Rechnungsperiode 2014-2015;</w:t>
      </w:r>
    </w:p>
    <w:p w:rsidR="002F09F3" w:rsidRPr="00455AEA" w:rsidRDefault="002F09F3" w:rsidP="00D81BFB">
      <w:pPr>
        <w:numPr>
          <w:ilvl w:val="0"/>
          <w:numId w:val="23"/>
        </w:numPr>
        <w:rPr>
          <w:rFonts w:cs="Arial"/>
          <w:sz w:val="18"/>
          <w:szCs w:val="18"/>
        </w:rPr>
      </w:pPr>
      <w:r w:rsidRPr="00455AEA">
        <w:rPr>
          <w:rFonts w:cs="Arial"/>
          <w:sz w:val="18"/>
        </w:rPr>
        <w:t>zeigt die Differenz zwischen dem endgültigen (angepaßten) Haushaltsplan und den tatsächlichen Ausgaben auf einer vergleichbaren Basis (vor IPSAS-Anpassungen);</w:t>
      </w:r>
    </w:p>
    <w:p w:rsidR="00833A89" w:rsidRPr="00455AEA" w:rsidRDefault="00833A89" w:rsidP="00D81BFB">
      <w:pPr>
        <w:numPr>
          <w:ilvl w:val="0"/>
          <w:numId w:val="23"/>
        </w:numPr>
        <w:rPr>
          <w:rFonts w:cs="Arial"/>
          <w:sz w:val="18"/>
          <w:szCs w:val="18"/>
        </w:rPr>
      </w:pPr>
      <w:r w:rsidRPr="00455AEA">
        <w:rPr>
          <w:rFonts w:cs="Arial"/>
          <w:sz w:val="18"/>
        </w:rPr>
        <w:t>Es ist darauf hinzuweisen, daß die Kosten für Praktikanten in der Darstellung des Jahresabschlusses in den Kosten für vertraglich vereinbarte Dienstleistungen enthalten sind.</w:t>
      </w:r>
    </w:p>
    <w:p w:rsidR="002F09F3" w:rsidRPr="00455AEA" w:rsidRDefault="002F09F3" w:rsidP="00B605E0">
      <w:pPr>
        <w:pStyle w:val="Heading3"/>
        <w:jc w:val="left"/>
        <w:rPr>
          <w:rFonts w:cs="Arial"/>
          <w:szCs w:val="18"/>
        </w:rPr>
      </w:pPr>
      <w:r w:rsidRPr="00455AEA">
        <w:rPr>
          <w:rFonts w:cs="Arial"/>
        </w:rPr>
        <w:br w:type="page"/>
      </w:r>
      <w:bookmarkStart w:id="64" w:name="_Toc460246282"/>
      <w:r w:rsidR="00B605E0" w:rsidRPr="00455AEA">
        <w:rPr>
          <w:rFonts w:cs="Arial"/>
        </w:rPr>
        <w:t>Analyse der Finanz</w:t>
      </w:r>
      <w:r w:rsidRPr="00455AEA">
        <w:rPr>
          <w:rFonts w:cs="Arial"/>
        </w:rPr>
        <w:t xml:space="preserve">- </w:t>
      </w:r>
      <w:r w:rsidR="00B605E0" w:rsidRPr="00455AEA">
        <w:rPr>
          <w:rFonts w:cs="Arial"/>
        </w:rPr>
        <w:t>und Vermögenslage</w:t>
      </w:r>
      <w:bookmarkEnd w:id="64"/>
    </w:p>
    <w:p w:rsidR="002F09F3" w:rsidRPr="00455AEA" w:rsidRDefault="009A0C8C" w:rsidP="009A0C8C">
      <w:pPr>
        <w:pStyle w:val="Heading4"/>
        <w:rPr>
          <w:rFonts w:ascii="Arial" w:hAnsi="Arial" w:cs="Arial"/>
        </w:rPr>
      </w:pPr>
      <w:bookmarkStart w:id="65" w:name="_Toc457911037"/>
      <w:bookmarkStart w:id="66" w:name="_Toc460245180"/>
      <w:bookmarkStart w:id="67" w:name="_Toc460245230"/>
      <w:r w:rsidRPr="00455AEA">
        <w:rPr>
          <w:rFonts w:ascii="Arial" w:hAnsi="Arial" w:cs="Arial"/>
        </w:rPr>
        <w:t>Analyse der Finanz- und Vermögenslage</w:t>
      </w:r>
      <w:bookmarkEnd w:id="65"/>
      <w:bookmarkEnd w:id="66"/>
      <w:bookmarkEnd w:id="67"/>
    </w:p>
    <w:p w:rsidR="002F09F3" w:rsidRPr="00455AEA" w:rsidRDefault="002F09F3" w:rsidP="00812E7B">
      <w:pPr>
        <w:autoSpaceDE w:val="0"/>
        <w:autoSpaceDN w:val="0"/>
        <w:adjustRightInd w:val="0"/>
        <w:rPr>
          <w:rFonts w:cs="Arial"/>
          <w:color w:val="000000"/>
        </w:rPr>
      </w:pPr>
      <w:r w:rsidRPr="00455AEA">
        <w:rPr>
          <w:rFonts w:cs="Arial"/>
          <w:b/>
          <w:color w:val="000000"/>
        </w:rPr>
        <w:t>Bewegungen im Nettovermögen (Reserve- und Betriebsmittelfonds)</w:t>
      </w:r>
    </w:p>
    <w:p w:rsidR="002F09F3" w:rsidRPr="00455AEA" w:rsidRDefault="002F09F3" w:rsidP="00812E7B">
      <w:pPr>
        <w:rPr>
          <w:rFonts w:cs="Arial"/>
          <w:color w:val="000000"/>
        </w:rPr>
      </w:pPr>
    </w:p>
    <w:p w:rsidR="00D75014" w:rsidRPr="00455AEA" w:rsidRDefault="002F09F3" w:rsidP="00812E7B">
      <w:pPr>
        <w:rPr>
          <w:rFonts w:cs="Arial"/>
          <w:color w:val="000000"/>
        </w:rPr>
      </w:pPr>
      <w:r w:rsidRPr="00455AEA">
        <w:rPr>
          <w:rFonts w:cs="Arial"/>
          <w:color w:val="000000"/>
        </w:rPr>
        <w:t xml:space="preserve">Zum 31. Dezember 2015 verfügt die UPOV auf IPSAS-Basis über </w:t>
      </w:r>
      <w:r w:rsidR="00812E7B">
        <w:rPr>
          <w:rFonts w:cs="Arial"/>
          <w:color w:val="000000"/>
        </w:rPr>
        <w:t>ein Nettovermögen von 1.663.834 Schweizer </w:t>
      </w:r>
      <w:r w:rsidRPr="00455AEA">
        <w:rPr>
          <w:rFonts w:cs="Arial"/>
          <w:color w:val="000000"/>
        </w:rPr>
        <w:t>Franken</w:t>
      </w:r>
      <w:r w:rsidR="00782A9D" w:rsidRPr="00455AEA">
        <w:rPr>
          <w:rFonts w:cs="Arial"/>
          <w:color w:val="000000"/>
        </w:rPr>
        <w:t xml:space="preserve">. </w:t>
      </w:r>
      <w:r w:rsidRPr="00455AEA">
        <w:rPr>
          <w:rFonts w:cs="Arial"/>
          <w:color w:val="000000"/>
        </w:rPr>
        <w:t>Nach einem Nettodefizit von 83.794 Schweizer Franken für die Rechnungsperiode 2014-15 und Beteiligungen am Betriebsmittelfonds über 3.334 Schweizer Franken im selben Zeitraum, ging das Nettovermögen</w:t>
      </w:r>
      <w:r w:rsidR="005752ED" w:rsidRPr="00455AEA">
        <w:rPr>
          <w:rFonts w:cs="Arial"/>
          <w:color w:val="000000"/>
        </w:rPr>
        <w:t xml:space="preserve"> über 1.744.294 Schweizer Franken Ende 2013</w:t>
      </w:r>
      <w:r w:rsidRPr="00455AEA">
        <w:rPr>
          <w:rFonts w:cs="Arial"/>
          <w:color w:val="000000"/>
        </w:rPr>
        <w:t xml:space="preserve"> insgesamt</w:t>
      </w:r>
      <w:r w:rsidR="005752ED" w:rsidRPr="00455AEA">
        <w:rPr>
          <w:rFonts w:cs="Arial"/>
          <w:color w:val="000000"/>
        </w:rPr>
        <w:t xml:space="preserve"> um 80.460 Schweizer Franken zurück</w:t>
      </w:r>
      <w:r w:rsidRPr="00455AEA">
        <w:rPr>
          <w:rFonts w:cs="Arial"/>
          <w:color w:val="000000"/>
        </w:rPr>
        <w:t xml:space="preserve">. In untenstehender Tabelle ist der Rückgang des Nettovermögens in der Rechnungsperiode 2014/2015 zusammengefaßt: </w:t>
      </w:r>
    </w:p>
    <w:p w:rsidR="002F09F3" w:rsidRPr="00455AEA" w:rsidRDefault="002F09F3" w:rsidP="00812E7B">
      <w:pPr>
        <w:rPr>
          <w:rFonts w:cs="Arial"/>
          <w:color w:val="000000"/>
        </w:rPr>
      </w:pPr>
    </w:p>
    <w:p w:rsidR="000962D0" w:rsidRPr="00455AEA" w:rsidRDefault="000962D0" w:rsidP="00812E7B">
      <w:pPr>
        <w:jc w:val="center"/>
        <w:rPr>
          <w:rFonts w:cs="Arial"/>
          <w:color w:val="000000"/>
        </w:rPr>
      </w:pPr>
      <w:r w:rsidRPr="00455AEA">
        <w:rPr>
          <w:rFonts w:cs="Arial"/>
          <w:color w:val="000000"/>
        </w:rPr>
        <w:t>Bewegungen beim Nettovermögen (Reserve- und Betriebmittelfonds) 2014-2015</w:t>
      </w:r>
    </w:p>
    <w:p w:rsidR="002F09F3" w:rsidRPr="00455AEA" w:rsidRDefault="00E65C07" w:rsidP="00812E7B">
      <w:pPr>
        <w:jc w:val="center"/>
        <w:rPr>
          <w:rFonts w:cs="Arial"/>
        </w:rPr>
      </w:pPr>
      <w:r w:rsidRPr="00455AEA">
        <w:rPr>
          <w:rFonts w:cs="Arial"/>
          <w:noProof/>
          <w:lang w:val="en-US" w:eastAsia="en-US" w:bidi="ar-SA"/>
        </w:rPr>
        <w:drawing>
          <wp:inline distT="0" distB="0" distL="0" distR="0" wp14:anchorId="17F047F4" wp14:editId="7805134F">
            <wp:extent cx="5438775" cy="2607632"/>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8775" cy="2607632"/>
                    </a:xfrm>
                    <a:prstGeom prst="rect">
                      <a:avLst/>
                    </a:prstGeom>
                    <a:noFill/>
                    <a:ln>
                      <a:noFill/>
                    </a:ln>
                  </pic:spPr>
                </pic:pic>
              </a:graphicData>
            </a:graphic>
          </wp:inline>
        </w:drawing>
      </w:r>
    </w:p>
    <w:p w:rsidR="004B2B03" w:rsidRPr="00455AEA" w:rsidRDefault="004B2B03" w:rsidP="00812E7B">
      <w:pPr>
        <w:rPr>
          <w:rFonts w:cs="Arial"/>
        </w:rPr>
      </w:pPr>
    </w:p>
    <w:p w:rsidR="004B2B03" w:rsidRPr="00455AEA" w:rsidRDefault="004B2B03" w:rsidP="00812E7B">
      <w:pPr>
        <w:rPr>
          <w:rFonts w:cs="Arial"/>
        </w:rPr>
      </w:pPr>
      <w:r w:rsidRPr="00455AEA">
        <w:rPr>
          <w:rFonts w:cs="Arial"/>
        </w:rPr>
        <w:t>2015 wurden entsprechend dem Betrag des Reservefonds, der 15 Prozent der Gesamteinnahmen für die Rechnungsperiode 2012-2013 überstieg, 183.824 Schweizer Franken an einen Sonderprojektfonds für spezielle Projekte überwiesen. Von den 183.824 Schweizer Franken wurden im Verlauf des Jahres 2015 114.151 Schweizer Franken ausgegeben. Zum 31. Dezember 2015 ist der Saldo des Sonderprojektfonds von 69.673 Schweizer Franken Teil des Nettovermögens der UPOV.</w:t>
      </w:r>
    </w:p>
    <w:p w:rsidR="002F09F3" w:rsidRPr="00455AEA" w:rsidRDefault="002F09F3" w:rsidP="00812E7B">
      <w:pPr>
        <w:rPr>
          <w:rFonts w:cs="Arial"/>
          <w:sz w:val="18"/>
          <w:szCs w:val="18"/>
        </w:rPr>
      </w:pPr>
    </w:p>
    <w:p w:rsidR="002F09F3" w:rsidRPr="00455AEA" w:rsidRDefault="002F09F3" w:rsidP="00812E7B">
      <w:pPr>
        <w:rPr>
          <w:rFonts w:cs="Arial"/>
          <w:b/>
          <w:sz w:val="18"/>
          <w:szCs w:val="18"/>
        </w:rPr>
      </w:pPr>
      <w:r w:rsidRPr="00455AEA">
        <w:rPr>
          <w:rFonts w:cs="Arial"/>
          <w:b/>
          <w:sz w:val="18"/>
        </w:rPr>
        <w:t>Zusammenfassung der Aktiva und Passiva</w:t>
      </w:r>
    </w:p>
    <w:p w:rsidR="002F09F3" w:rsidRPr="00455AEA" w:rsidRDefault="002F09F3" w:rsidP="00812E7B">
      <w:pPr>
        <w:rPr>
          <w:rFonts w:cs="Arial"/>
          <w:b/>
          <w:sz w:val="18"/>
          <w:szCs w:val="18"/>
        </w:rPr>
      </w:pPr>
    </w:p>
    <w:p w:rsidR="002F09F3" w:rsidRPr="00455AEA" w:rsidRDefault="002F09F3" w:rsidP="00812E7B">
      <w:pPr>
        <w:rPr>
          <w:rFonts w:cs="Arial"/>
        </w:rPr>
      </w:pPr>
      <w:r w:rsidRPr="00455AEA">
        <w:rPr>
          <w:rFonts w:cs="Arial"/>
        </w:rPr>
        <w:t>Untenstehende Graphik gibt einen Überblick über die Finanzlage der UPOV zum 31. Dezember 2015:</w:t>
      </w:r>
    </w:p>
    <w:p w:rsidR="002F09F3" w:rsidRPr="00455AEA" w:rsidRDefault="002F09F3" w:rsidP="00812E7B">
      <w:pPr>
        <w:spacing w:before="180"/>
        <w:jc w:val="center"/>
        <w:rPr>
          <w:rFonts w:cs="Arial"/>
        </w:rPr>
      </w:pPr>
      <w:r w:rsidRPr="00455AEA">
        <w:rPr>
          <w:rFonts w:cs="Arial"/>
        </w:rPr>
        <w:t>Zusammenfaßung der Aktiva und Passiva zum 31. Dezember 2015</w:t>
      </w:r>
    </w:p>
    <w:p w:rsidR="002F09F3" w:rsidRPr="00455AEA" w:rsidRDefault="00E65C07" w:rsidP="00C02456">
      <w:pPr>
        <w:jc w:val="center"/>
        <w:rPr>
          <w:rFonts w:cs="Arial"/>
        </w:rPr>
      </w:pPr>
      <w:r w:rsidRPr="00455AEA">
        <w:rPr>
          <w:rFonts w:cs="Arial"/>
          <w:noProof/>
          <w:lang w:val="en-US" w:eastAsia="en-US" w:bidi="ar-SA"/>
        </w:rPr>
        <w:drawing>
          <wp:inline distT="0" distB="0" distL="0" distR="0" wp14:anchorId="019A690A" wp14:editId="1BBC57D0">
            <wp:extent cx="5953125" cy="33196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a:extLst>
                        <a:ext uri="{28A0092B-C50C-407E-A947-70E740481C1C}">
                          <a14:useLocalDpi xmlns:a14="http://schemas.microsoft.com/office/drawing/2010/main" val="0"/>
                        </a:ext>
                      </a:extLst>
                    </a:blip>
                    <a:srcRect t="2394" b="2357"/>
                    <a:stretch/>
                  </pic:blipFill>
                  <pic:spPr bwMode="auto">
                    <a:xfrm>
                      <a:off x="0" y="0"/>
                      <a:ext cx="5958689" cy="3322758"/>
                    </a:xfrm>
                    <a:prstGeom prst="rect">
                      <a:avLst/>
                    </a:prstGeom>
                    <a:noFill/>
                    <a:ln>
                      <a:noFill/>
                    </a:ln>
                    <a:extLst>
                      <a:ext uri="{53640926-AAD7-44D8-BBD7-CCE9431645EC}">
                        <a14:shadowObscured xmlns:a14="http://schemas.microsoft.com/office/drawing/2010/main"/>
                      </a:ext>
                    </a:extLst>
                  </pic:spPr>
                </pic:pic>
              </a:graphicData>
            </a:graphic>
          </wp:inline>
        </w:drawing>
      </w:r>
    </w:p>
    <w:p w:rsidR="002F09F3" w:rsidRPr="00CA32DE" w:rsidRDefault="002F09F3" w:rsidP="00CA32DE"/>
    <w:p w:rsidR="00E737E0" w:rsidRPr="00455AEA" w:rsidRDefault="002F09F3" w:rsidP="00CA32DE">
      <w:pPr>
        <w:rPr>
          <w:rFonts w:cs="Arial"/>
        </w:rPr>
      </w:pPr>
      <w:r w:rsidRPr="00455AEA">
        <w:rPr>
          <w:rFonts w:cs="Arial"/>
        </w:rPr>
        <w:t>Die UPOV hat einen Zahlungmittelbestand von 4.503.112 Schweizer Franken, was 95,8 Prozent des Gesamtvermögens entspricht. Allerdings beinhaltet dies auch Beträge, die gemäß IPSAS als gebunden eingestuft werden. Die restlichen Vermögenswerte sind Kreditorenfor</w:t>
      </w:r>
      <w:r w:rsidR="00CA32DE">
        <w:rPr>
          <w:rFonts w:cs="Arial"/>
        </w:rPr>
        <w:t>derungen über insgesamt 195.399 </w:t>
      </w:r>
      <w:r w:rsidRPr="00455AEA">
        <w:rPr>
          <w:rFonts w:cs="Arial"/>
        </w:rPr>
        <w:t xml:space="preserve">Schweizer Franken. </w:t>
      </w:r>
    </w:p>
    <w:p w:rsidR="00E737E0" w:rsidRPr="00455AEA" w:rsidRDefault="00E737E0" w:rsidP="00CA32DE">
      <w:pPr>
        <w:rPr>
          <w:rFonts w:cs="Arial"/>
        </w:rPr>
      </w:pPr>
    </w:p>
    <w:p w:rsidR="002F09F3" w:rsidRPr="00455AEA" w:rsidRDefault="002F09F3" w:rsidP="00CA32DE">
      <w:pPr>
        <w:rPr>
          <w:rFonts w:cs="Arial"/>
        </w:rPr>
      </w:pPr>
      <w:r w:rsidRPr="00455AEA">
        <w:rPr>
          <w:rFonts w:cs="Arial"/>
        </w:rPr>
        <w:t>Die größte Verbindlichkeit der UPOV sind die Leistungsverpflichtungen gegenüber Bediensteten über 1.358.508 Schweizer Franken, die in erster Linie Verbindlichkeiten für die Krankenversicherung nach Beendigung des Dienstverhältnisses über 1.070.019 Schweizer Franken umfassen. Im voraus eingegangene Beträge über 462.744 Schweizer Franken betreffen in erster Linie im voraus entrichtete Beiträge (244.834 Schweizer Franken) und abgegrenzte Einnahmen aus au</w:t>
      </w:r>
      <w:r w:rsidR="00CA32DE">
        <w:rPr>
          <w:rFonts w:cs="Arial"/>
        </w:rPr>
        <w:t>ßeretatmäßigen Mitteln (217.910 Schweizer </w:t>
      </w:r>
      <w:r w:rsidRPr="00455AEA">
        <w:rPr>
          <w:rFonts w:cs="Arial"/>
        </w:rPr>
        <w:t>Franken)</w:t>
      </w:r>
      <w:r w:rsidR="00782A9D" w:rsidRPr="00455AEA">
        <w:rPr>
          <w:rFonts w:cs="Arial"/>
        </w:rPr>
        <w:t xml:space="preserve">. </w:t>
      </w:r>
      <w:r w:rsidRPr="00455AEA">
        <w:rPr>
          <w:rFonts w:cs="Arial"/>
        </w:rPr>
        <w:t>Die anderen Verbindlichkeiten (1.213.425 Schweizer Franken) stellen den Betrag dar, der zum 31. Dezember 2015 an die Weltorganisation für Geistiges Eigentum (WIPO) zu entrichten ist.</w:t>
      </w:r>
    </w:p>
    <w:p w:rsidR="002F09F3" w:rsidRPr="00455AEA" w:rsidRDefault="002F09F3" w:rsidP="00CA32DE">
      <w:pPr>
        <w:rPr>
          <w:rFonts w:cs="Arial"/>
        </w:rPr>
      </w:pPr>
    </w:p>
    <w:p w:rsidR="002F09F3" w:rsidRPr="00455AEA" w:rsidRDefault="002F09F3" w:rsidP="00CA32DE">
      <w:pPr>
        <w:rPr>
          <w:rFonts w:cs="Arial"/>
          <w:b/>
        </w:rPr>
      </w:pPr>
      <w:r w:rsidRPr="00455AEA">
        <w:rPr>
          <w:rFonts w:cs="Arial"/>
          <w:b/>
        </w:rPr>
        <w:t>Zahlungsmittelbestand</w:t>
      </w:r>
    </w:p>
    <w:p w:rsidR="002F09F3" w:rsidRPr="00455AEA" w:rsidRDefault="002F09F3" w:rsidP="00CA32DE">
      <w:pPr>
        <w:rPr>
          <w:rFonts w:cs="Arial"/>
          <w:b/>
        </w:rPr>
      </w:pPr>
    </w:p>
    <w:p w:rsidR="002F09F3" w:rsidRPr="00455AEA" w:rsidRDefault="00747849" w:rsidP="00CA32DE">
      <w:pPr>
        <w:jc w:val="center"/>
        <w:rPr>
          <w:rFonts w:cs="Arial"/>
          <w:b/>
        </w:rPr>
      </w:pPr>
      <w:r w:rsidRPr="00455AEA">
        <w:rPr>
          <w:rFonts w:cs="Arial"/>
          <w:noProof/>
          <w:lang w:val="en-US" w:eastAsia="en-US" w:bidi="ar-SA"/>
        </w:rPr>
        <w:drawing>
          <wp:inline distT="0" distB="0" distL="0" distR="0" wp14:anchorId="41D35CA5" wp14:editId="64960E8A">
            <wp:extent cx="6120765" cy="1252457"/>
            <wp:effectExtent l="0" t="0" r="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252457"/>
                    </a:xfrm>
                    <a:prstGeom prst="rect">
                      <a:avLst/>
                    </a:prstGeom>
                    <a:noFill/>
                    <a:ln>
                      <a:noFill/>
                    </a:ln>
                  </pic:spPr>
                </pic:pic>
              </a:graphicData>
            </a:graphic>
          </wp:inline>
        </w:drawing>
      </w:r>
    </w:p>
    <w:p w:rsidR="00747849" w:rsidRPr="00455AEA" w:rsidRDefault="00747849" w:rsidP="00CA32DE">
      <w:pPr>
        <w:rPr>
          <w:rFonts w:cs="Arial"/>
        </w:rPr>
      </w:pPr>
    </w:p>
    <w:p w:rsidR="002F09F3" w:rsidRPr="00455AEA" w:rsidRDefault="002F09F3" w:rsidP="00CA32DE">
      <w:pPr>
        <w:rPr>
          <w:rFonts w:cs="Arial"/>
          <w:b/>
        </w:rPr>
      </w:pPr>
      <w:r w:rsidRPr="00455AEA">
        <w:rPr>
          <w:rFonts w:cs="Arial"/>
        </w:rPr>
        <w:t>Der Gesamtsaldo der Zahlungsmittelbestände ist in der Rechnungsperiode zwischen dem 31. Dezember 2013 und dem 31. Dezember 2015 um 20,8 Prozent gestiegen. Zum Zwecke der IPSAS-gerechten Darstellung ist der Zahlungsmittelbestand unterteilt in nicht gebundene und gebundene Mittel. Zahlungsmittelbestände, die den Betriebsmittelfonds oder außeretatmäßige Mittel (Treuhandgelder) betreffen, sind als gebunden zu betrachten.</w:t>
      </w:r>
    </w:p>
    <w:p w:rsidR="002F09F3" w:rsidRPr="00455AEA" w:rsidRDefault="002F09F3" w:rsidP="00CA32DE">
      <w:pPr>
        <w:rPr>
          <w:rFonts w:cs="Arial"/>
          <w:b/>
        </w:rPr>
      </w:pPr>
    </w:p>
    <w:p w:rsidR="002F09F3" w:rsidRPr="00455AEA" w:rsidRDefault="00A22D2C" w:rsidP="00532F43">
      <w:pPr>
        <w:spacing w:line="276" w:lineRule="auto"/>
        <w:rPr>
          <w:rFonts w:cs="Arial"/>
          <w:b/>
        </w:rPr>
      </w:pPr>
      <w:r w:rsidRPr="00455AEA">
        <w:rPr>
          <w:rFonts w:cs="Arial"/>
          <w:b/>
        </w:rPr>
        <w:t>Kreditorenforderungen</w:t>
      </w:r>
    </w:p>
    <w:p w:rsidR="002F09F3" w:rsidRPr="00455AEA" w:rsidRDefault="002F09F3" w:rsidP="00CA32DE">
      <w:pPr>
        <w:rPr>
          <w:rFonts w:cs="Arial"/>
          <w:b/>
        </w:rPr>
      </w:pPr>
    </w:p>
    <w:p w:rsidR="002F09F3" w:rsidRPr="00455AEA" w:rsidRDefault="00747849" w:rsidP="00CA32DE">
      <w:pPr>
        <w:rPr>
          <w:rFonts w:cs="Arial"/>
          <w:b/>
        </w:rPr>
      </w:pPr>
      <w:r w:rsidRPr="00455AEA">
        <w:rPr>
          <w:rFonts w:cs="Arial"/>
          <w:noProof/>
          <w:lang w:val="en-US" w:eastAsia="en-US" w:bidi="ar-SA"/>
        </w:rPr>
        <w:drawing>
          <wp:inline distT="0" distB="0" distL="0" distR="0" wp14:anchorId="7BD1E751" wp14:editId="3EA41645">
            <wp:extent cx="6120765" cy="1820823"/>
            <wp:effectExtent l="0" t="0" r="0" b="825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820823"/>
                    </a:xfrm>
                    <a:prstGeom prst="rect">
                      <a:avLst/>
                    </a:prstGeom>
                    <a:noFill/>
                    <a:ln>
                      <a:noFill/>
                    </a:ln>
                  </pic:spPr>
                </pic:pic>
              </a:graphicData>
            </a:graphic>
          </wp:inline>
        </w:drawing>
      </w:r>
    </w:p>
    <w:p w:rsidR="00151973" w:rsidRPr="00455AEA" w:rsidRDefault="00151973" w:rsidP="00CA32DE">
      <w:pPr>
        <w:rPr>
          <w:rFonts w:cs="Arial"/>
        </w:rPr>
      </w:pPr>
    </w:p>
    <w:p w:rsidR="002F09F3" w:rsidRPr="00455AEA" w:rsidRDefault="002F09F3" w:rsidP="00CA32DE">
      <w:pPr>
        <w:rPr>
          <w:rFonts w:cs="Arial"/>
          <w:b/>
        </w:rPr>
      </w:pPr>
      <w:r w:rsidRPr="00455AEA">
        <w:rPr>
          <w:rFonts w:cs="Arial"/>
        </w:rPr>
        <w:t>Die zum 31. Dezember 2015 fälligen  Kreditorenforderungen beliefen sich auf 195.399 Schweizer Franken gegenüber 167.373 zum 31. Dezember 2013</w:t>
      </w:r>
      <w:r w:rsidR="00782A9D" w:rsidRPr="00455AEA">
        <w:rPr>
          <w:rFonts w:cs="Arial"/>
        </w:rPr>
        <w:t xml:space="preserve">. </w:t>
      </w:r>
      <w:r w:rsidRPr="00455AEA">
        <w:rPr>
          <w:rFonts w:cs="Arial"/>
        </w:rPr>
        <w:t>Diese Bewegung ist durch einen Anstieg des Saldos der zum Ende 2015 noch ausstehenden Beiträge bedingt. Dem stand zum Teil ein leichter Anstieg der Forderungen aus außeretatmäßigen Mitteln (Treuhandgeldern) gegenüber.</w:t>
      </w:r>
    </w:p>
    <w:p w:rsidR="002F09F3" w:rsidRPr="00455AEA" w:rsidRDefault="002F09F3" w:rsidP="00CA32DE">
      <w:pPr>
        <w:rPr>
          <w:rFonts w:cs="Arial"/>
          <w:b/>
        </w:rPr>
      </w:pPr>
    </w:p>
    <w:p w:rsidR="00E737E0" w:rsidRPr="00455AEA" w:rsidRDefault="00E737E0">
      <w:pPr>
        <w:rPr>
          <w:rFonts w:cs="Arial"/>
          <w:b/>
        </w:rPr>
      </w:pPr>
      <w:r w:rsidRPr="00455AEA">
        <w:rPr>
          <w:rFonts w:cs="Arial"/>
        </w:rPr>
        <w:br w:type="page"/>
      </w:r>
    </w:p>
    <w:p w:rsidR="008D6641" w:rsidRPr="00455AEA" w:rsidRDefault="00E737E0" w:rsidP="00CA32DE">
      <w:pPr>
        <w:rPr>
          <w:rFonts w:cs="Arial"/>
          <w:b/>
        </w:rPr>
      </w:pPr>
      <w:r w:rsidRPr="00455AEA">
        <w:rPr>
          <w:rFonts w:cs="Arial"/>
          <w:b/>
        </w:rPr>
        <w:t>Leistungsverpflichtungen gegenüber Bediensteten</w:t>
      </w:r>
    </w:p>
    <w:p w:rsidR="00E737E0" w:rsidRPr="00455AEA" w:rsidRDefault="00E737E0" w:rsidP="00CA32DE">
      <w:pPr>
        <w:rPr>
          <w:rFonts w:cs="Arial"/>
          <w:b/>
        </w:rPr>
      </w:pPr>
    </w:p>
    <w:p w:rsidR="008D6641" w:rsidRPr="00455AEA" w:rsidRDefault="00F10045" w:rsidP="00CA32DE">
      <w:pPr>
        <w:rPr>
          <w:rFonts w:cs="Arial"/>
          <w:b/>
        </w:rPr>
      </w:pPr>
      <w:r w:rsidRPr="00455AEA">
        <w:rPr>
          <w:rFonts w:cs="Arial"/>
          <w:noProof/>
          <w:lang w:val="en-US" w:eastAsia="en-US" w:bidi="ar-SA"/>
        </w:rPr>
        <w:drawing>
          <wp:inline distT="0" distB="0" distL="0" distR="0" wp14:anchorId="0EBD1EA9" wp14:editId="084E0467">
            <wp:extent cx="6120765" cy="156924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569245"/>
                    </a:xfrm>
                    <a:prstGeom prst="rect">
                      <a:avLst/>
                    </a:prstGeom>
                    <a:noFill/>
                    <a:ln>
                      <a:noFill/>
                    </a:ln>
                  </pic:spPr>
                </pic:pic>
              </a:graphicData>
            </a:graphic>
          </wp:inline>
        </w:drawing>
      </w:r>
    </w:p>
    <w:p w:rsidR="00A429AA" w:rsidRPr="00455AEA" w:rsidRDefault="00A429AA" w:rsidP="00CA32DE">
      <w:pPr>
        <w:rPr>
          <w:rFonts w:cs="Arial"/>
          <w:b/>
        </w:rPr>
      </w:pPr>
    </w:p>
    <w:p w:rsidR="00E737E0" w:rsidRPr="00455AEA" w:rsidRDefault="00E737E0" w:rsidP="00CA32DE">
      <w:pPr>
        <w:rPr>
          <w:rFonts w:cs="Arial"/>
        </w:rPr>
      </w:pPr>
      <w:r w:rsidRPr="00455AEA">
        <w:rPr>
          <w:rFonts w:cs="Arial"/>
        </w:rPr>
        <w:t>Wie aus der Tabelle oben hervorgeht, stellen die ASHI-Verbindlichkeiten, die 78,7 % aller Leistungsverpflichtungen zum 31</w:t>
      </w:r>
      <w:r w:rsidR="00A429AA" w:rsidRPr="00455AEA">
        <w:rPr>
          <w:rFonts w:cs="Arial"/>
        </w:rPr>
        <w:t>. Dezember 2015 ausmachen, bei w</w:t>
      </w:r>
      <w:r w:rsidRPr="00455AEA">
        <w:rPr>
          <w:rFonts w:cs="Arial"/>
        </w:rPr>
        <w:t>eitem die größte Leistungsverpflichtung der UPOV dar. Die ASHI-Verbindlichkeiten stiegen im Verlauf der Rechnu</w:t>
      </w:r>
      <w:r w:rsidR="00CA32DE">
        <w:rPr>
          <w:rFonts w:cs="Arial"/>
        </w:rPr>
        <w:t>ngsperiode 2014-2015 um 102.204 </w:t>
      </w:r>
      <w:r w:rsidRPr="00455AEA">
        <w:rPr>
          <w:rFonts w:cs="Arial"/>
        </w:rPr>
        <w:t>Schweizer Franken und diese Entwicklung ist detailliert in untenstehender Tabelle dargestellt:</w:t>
      </w:r>
    </w:p>
    <w:p w:rsidR="00E737E0" w:rsidRPr="00455AEA" w:rsidRDefault="00E737E0" w:rsidP="00CA32DE">
      <w:pPr>
        <w:rPr>
          <w:rFonts w:cs="Arial"/>
        </w:rPr>
      </w:pPr>
    </w:p>
    <w:p w:rsidR="00E737E0" w:rsidRPr="00455AEA" w:rsidRDefault="0023689F" w:rsidP="00CA32DE">
      <w:pPr>
        <w:jc w:val="center"/>
        <w:rPr>
          <w:rFonts w:cs="Arial"/>
        </w:rPr>
      </w:pPr>
      <w:r w:rsidRPr="00455AEA">
        <w:rPr>
          <w:rFonts w:cs="Arial"/>
          <w:noProof/>
          <w:lang w:val="en-US" w:eastAsia="en-US" w:bidi="ar-SA"/>
        </w:rPr>
        <w:drawing>
          <wp:inline distT="0" distB="0" distL="0" distR="0" wp14:anchorId="340B9014" wp14:editId="3AA30CA2">
            <wp:extent cx="4831080" cy="1516380"/>
            <wp:effectExtent l="0" t="0" r="762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31080" cy="1516380"/>
                    </a:xfrm>
                    <a:prstGeom prst="rect">
                      <a:avLst/>
                    </a:prstGeom>
                    <a:noFill/>
                    <a:ln>
                      <a:noFill/>
                    </a:ln>
                  </pic:spPr>
                </pic:pic>
              </a:graphicData>
            </a:graphic>
          </wp:inline>
        </w:drawing>
      </w:r>
    </w:p>
    <w:p w:rsidR="0023689F" w:rsidRPr="00455AEA" w:rsidRDefault="0023689F" w:rsidP="00CA32DE">
      <w:pPr>
        <w:jc w:val="center"/>
        <w:rPr>
          <w:rFonts w:cs="Arial"/>
        </w:rPr>
      </w:pPr>
    </w:p>
    <w:p w:rsidR="00E737E0" w:rsidRPr="00455AEA" w:rsidRDefault="00895722" w:rsidP="00CA32DE">
      <w:pPr>
        <w:rPr>
          <w:rFonts w:cs="Arial"/>
          <w:b/>
        </w:rPr>
      </w:pPr>
      <w:r w:rsidRPr="00455AEA">
        <w:rPr>
          <w:rFonts w:cs="Arial"/>
        </w:rPr>
        <w:t>Die Verbindlichkeiten wurden von einem unabhängigen Versicherungsmathematiker berechnet und reflektieren die künftigen Gesamtkosten des Anteils der UPOV an den Krankenversicherungsbeiträgen sowohl für bereits im Ruhestand befindliche ehemalige UPOV-Mitarbeiter als auch für die vorausberechnete Zahl aktiver UPOV-Mitarbeiter, die künftig in den Ruhestand treten werden. Die derzeitigen Dienstzeitkosten in obenstehender Tabelle sind die Nettoauswirkungen des von Bediensteten geleisteten Dienstes für die Rechnungsperiode 2014-2015. Die Zinskosten sind die Auswirkungen, die aus dem Fakt resultieren, daß jedes Mitglied des aktiven Personals dem Alter für das Erreichen des Anspruchsalters für einen ASHI-Ruhestand näherrückt. Die von der UPOV in der Rechnungsperiode ausgezahlten Leistungen sind die monatlichen Beiträge (derzeit 65,0 Prozent der Prämien), die UPOV für im Ruhestand befindliche Personen, die am ASHI beteiligt sind, entrichtet</w:t>
      </w:r>
      <w:r w:rsidR="00782A9D" w:rsidRPr="00455AEA">
        <w:rPr>
          <w:rFonts w:cs="Arial"/>
        </w:rPr>
        <w:t xml:space="preserve">. </w:t>
      </w:r>
    </w:p>
    <w:p w:rsidR="00E737E0" w:rsidRPr="00455AEA" w:rsidRDefault="00E737E0" w:rsidP="00CA32DE">
      <w:pPr>
        <w:rPr>
          <w:rFonts w:cs="Arial"/>
          <w:b/>
        </w:rPr>
      </w:pPr>
    </w:p>
    <w:p w:rsidR="002F09F3" w:rsidRPr="00455AEA" w:rsidRDefault="002F09F3" w:rsidP="00CA32DE">
      <w:pPr>
        <w:rPr>
          <w:rFonts w:cs="Arial"/>
          <w:b/>
        </w:rPr>
      </w:pPr>
      <w:r w:rsidRPr="00455AEA">
        <w:rPr>
          <w:rFonts w:cs="Arial"/>
          <w:b/>
        </w:rPr>
        <w:t>Im voraus entrichtete Beiträge</w:t>
      </w:r>
    </w:p>
    <w:p w:rsidR="002F09F3" w:rsidRPr="00455AEA" w:rsidRDefault="002F09F3" w:rsidP="00CA32DE">
      <w:pPr>
        <w:rPr>
          <w:rFonts w:cs="Arial"/>
          <w:b/>
        </w:rPr>
      </w:pPr>
    </w:p>
    <w:p w:rsidR="002F09F3" w:rsidRPr="00455AEA" w:rsidRDefault="0023689F" w:rsidP="00CA32DE">
      <w:pPr>
        <w:rPr>
          <w:rFonts w:cs="Arial"/>
          <w:b/>
        </w:rPr>
      </w:pPr>
      <w:r w:rsidRPr="00455AEA">
        <w:rPr>
          <w:rFonts w:cs="Arial"/>
          <w:noProof/>
          <w:lang w:val="en-US" w:eastAsia="en-US" w:bidi="ar-SA"/>
        </w:rPr>
        <w:drawing>
          <wp:inline distT="0" distB="0" distL="0" distR="0" wp14:anchorId="1C2873A0" wp14:editId="56E8939F">
            <wp:extent cx="6120765" cy="1141516"/>
            <wp:effectExtent l="0" t="0" r="0" b="190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141516"/>
                    </a:xfrm>
                    <a:prstGeom prst="rect">
                      <a:avLst/>
                    </a:prstGeom>
                    <a:noFill/>
                    <a:ln>
                      <a:noFill/>
                    </a:ln>
                  </pic:spPr>
                </pic:pic>
              </a:graphicData>
            </a:graphic>
          </wp:inline>
        </w:drawing>
      </w:r>
    </w:p>
    <w:p w:rsidR="0023689F" w:rsidRPr="00455AEA" w:rsidRDefault="0023689F" w:rsidP="00CA32DE">
      <w:pPr>
        <w:pStyle w:val="Style3"/>
        <w:spacing w:after="0"/>
        <w:rPr>
          <w:rFonts w:cs="Arial"/>
          <w:sz w:val="20"/>
        </w:rPr>
      </w:pPr>
    </w:p>
    <w:p w:rsidR="002F09F3" w:rsidRPr="00455AEA" w:rsidRDefault="002F09F3" w:rsidP="00CA32DE">
      <w:pPr>
        <w:pStyle w:val="Style3"/>
        <w:spacing w:after="0"/>
        <w:rPr>
          <w:rFonts w:cs="Arial"/>
          <w:sz w:val="20"/>
        </w:rPr>
      </w:pPr>
      <w:r w:rsidRPr="00455AEA">
        <w:rPr>
          <w:rFonts w:cs="Arial"/>
          <w:sz w:val="20"/>
        </w:rPr>
        <w:t>Im voraus entrichtete Beiträge werden als im voraus eingegangene Verbindlichkeiten verbucht und in dem Jahr, auf das sie sich beziehen, als Einnahme erfaßt. Außeretatmäßige Mittel von Gebern von Treuhandgeldern, die an Bedingungen geknüpft sind, werden solange als abgegrenzte Einnahme behandelt, bis die Leistungen erfüllt sind, woraufhin die Einnahme verbucht wird.</w:t>
      </w:r>
    </w:p>
    <w:p w:rsidR="002F09F3" w:rsidRPr="00455AEA" w:rsidRDefault="002F09F3" w:rsidP="00CA32DE">
      <w:pPr>
        <w:rPr>
          <w:rFonts w:cs="Arial"/>
          <w:b/>
        </w:rPr>
      </w:pPr>
    </w:p>
    <w:p w:rsidR="00895722" w:rsidRPr="00455AEA" w:rsidRDefault="00895722" w:rsidP="00CA32DE">
      <w:pPr>
        <w:rPr>
          <w:rFonts w:cs="Arial"/>
          <w:b/>
        </w:rPr>
      </w:pPr>
      <w:r w:rsidRPr="00455AEA">
        <w:rPr>
          <w:rFonts w:cs="Arial"/>
        </w:rPr>
        <w:br w:type="page"/>
      </w:r>
    </w:p>
    <w:p w:rsidR="002F09F3" w:rsidRPr="00455AEA" w:rsidRDefault="00E737E0" w:rsidP="00CA32DE">
      <w:pPr>
        <w:rPr>
          <w:rFonts w:cs="Arial"/>
          <w:b/>
        </w:rPr>
      </w:pPr>
      <w:r w:rsidRPr="00455AEA">
        <w:rPr>
          <w:rFonts w:cs="Arial"/>
          <w:b/>
        </w:rPr>
        <w:t>Andere Verbindlichkeiten</w:t>
      </w:r>
    </w:p>
    <w:p w:rsidR="002F09F3" w:rsidRPr="00455AEA" w:rsidRDefault="002F09F3" w:rsidP="00CA32DE">
      <w:pPr>
        <w:rPr>
          <w:rFonts w:cs="Arial"/>
          <w:b/>
        </w:rPr>
      </w:pPr>
    </w:p>
    <w:p w:rsidR="002F09F3" w:rsidRPr="00455AEA" w:rsidRDefault="004F5B95" w:rsidP="00CA32DE">
      <w:pPr>
        <w:rPr>
          <w:rFonts w:cs="Arial"/>
          <w:b/>
        </w:rPr>
      </w:pPr>
      <w:r w:rsidRPr="00455AEA">
        <w:rPr>
          <w:rFonts w:cs="Arial"/>
          <w:noProof/>
          <w:lang w:val="en-US" w:eastAsia="en-US" w:bidi="ar-SA"/>
        </w:rPr>
        <w:drawing>
          <wp:inline distT="0" distB="0" distL="0" distR="0" wp14:anchorId="028BE89A" wp14:editId="4C670947">
            <wp:extent cx="6120765" cy="987446"/>
            <wp:effectExtent l="0" t="0" r="0" b="317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987446"/>
                    </a:xfrm>
                    <a:prstGeom prst="rect">
                      <a:avLst/>
                    </a:prstGeom>
                    <a:noFill/>
                    <a:ln>
                      <a:noFill/>
                    </a:ln>
                  </pic:spPr>
                </pic:pic>
              </a:graphicData>
            </a:graphic>
          </wp:inline>
        </w:drawing>
      </w:r>
    </w:p>
    <w:p w:rsidR="004F5B95" w:rsidRPr="00455AEA" w:rsidRDefault="004F5B95" w:rsidP="00CA32DE">
      <w:pPr>
        <w:rPr>
          <w:rFonts w:cs="Arial"/>
        </w:rPr>
      </w:pPr>
    </w:p>
    <w:p w:rsidR="00A32192" w:rsidRPr="00455AEA" w:rsidRDefault="00A32192" w:rsidP="00CA32DE">
      <w:pPr>
        <w:rPr>
          <w:rFonts w:cs="Arial"/>
        </w:rPr>
      </w:pPr>
      <w:r w:rsidRPr="00455AEA">
        <w:rPr>
          <w:rFonts w:cs="Arial"/>
        </w:rPr>
        <w:t xml:space="preserve">Andere Verbindlichkeiten stellen der WIPO geschuldete Beträge dar. Diese beliefen sich zum 31. Dezember 2015 auf insgesamt 1.213.425 Schweizer Franken. </w:t>
      </w:r>
    </w:p>
    <w:p w:rsidR="00A32192" w:rsidRPr="00455AEA" w:rsidRDefault="00A32192" w:rsidP="00CA32DE">
      <w:pPr>
        <w:rPr>
          <w:rFonts w:cs="Arial"/>
          <w:b/>
        </w:rPr>
      </w:pPr>
    </w:p>
    <w:p w:rsidR="002F09F3" w:rsidRPr="00455AEA" w:rsidRDefault="002F09F3" w:rsidP="00CA32DE">
      <w:pPr>
        <w:rPr>
          <w:rFonts w:cs="Arial"/>
          <w:b/>
        </w:rPr>
      </w:pPr>
      <w:r w:rsidRPr="00455AEA">
        <w:rPr>
          <w:rFonts w:cs="Arial"/>
          <w:b/>
        </w:rPr>
        <w:t>Finanzlage nach Segmenten</w:t>
      </w:r>
    </w:p>
    <w:p w:rsidR="002F09F3" w:rsidRPr="00455AEA" w:rsidRDefault="002F09F3" w:rsidP="00CA32DE">
      <w:pPr>
        <w:rPr>
          <w:rFonts w:cs="Arial"/>
          <w:b/>
        </w:rPr>
      </w:pPr>
    </w:p>
    <w:p w:rsidR="002F09F3" w:rsidRPr="00455AEA" w:rsidRDefault="00F10045" w:rsidP="00CA32DE">
      <w:pPr>
        <w:rPr>
          <w:rFonts w:cs="Arial"/>
        </w:rPr>
      </w:pPr>
      <w:r w:rsidRPr="00455AEA">
        <w:rPr>
          <w:rFonts w:cs="Arial"/>
          <w:noProof/>
          <w:lang w:val="en-US" w:eastAsia="en-US" w:bidi="ar-SA"/>
        </w:rPr>
        <w:drawing>
          <wp:inline distT="0" distB="0" distL="0" distR="0" wp14:anchorId="27DBBE84" wp14:editId="342890A4">
            <wp:extent cx="6120765" cy="5414787"/>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5414787"/>
                    </a:xfrm>
                    <a:prstGeom prst="rect">
                      <a:avLst/>
                    </a:prstGeom>
                    <a:noFill/>
                    <a:ln>
                      <a:noFill/>
                    </a:ln>
                  </pic:spPr>
                </pic:pic>
              </a:graphicData>
            </a:graphic>
          </wp:inline>
        </w:drawing>
      </w:r>
    </w:p>
    <w:p w:rsidR="00A32192" w:rsidRPr="00455AEA" w:rsidRDefault="00A32192" w:rsidP="00CA32DE">
      <w:pPr>
        <w:rPr>
          <w:rFonts w:cs="Arial"/>
        </w:rPr>
      </w:pPr>
    </w:p>
    <w:p w:rsidR="002F09F3" w:rsidRPr="00455AEA" w:rsidRDefault="00A32192" w:rsidP="00CA32DE">
      <w:pPr>
        <w:pStyle w:val="Styletexte"/>
        <w:spacing w:after="0"/>
        <w:rPr>
          <w:rFonts w:cs="Arial"/>
          <w:sz w:val="20"/>
        </w:rPr>
      </w:pPr>
      <w:r w:rsidRPr="00455AEA">
        <w:rPr>
          <w:rFonts w:cs="Arial"/>
          <w:sz w:val="20"/>
        </w:rPr>
        <w:t>Gemäß den IPSAS-Anforderungen muß die UPOV ihre Vermögenswerte und Verbindlichkeiten nach jedem Segment</w:t>
      </w:r>
      <w:r w:rsidR="003A74AA" w:rsidRPr="00455AEA">
        <w:rPr>
          <w:rFonts w:cs="Arial"/>
          <w:sz w:val="20"/>
        </w:rPr>
        <w:t>, aus dem sie sich zusammensetzen</w:t>
      </w:r>
      <w:r w:rsidRPr="00455AEA">
        <w:rPr>
          <w:rFonts w:cs="Arial"/>
          <w:sz w:val="20"/>
        </w:rPr>
        <w:t>, offenlegen.</w:t>
      </w:r>
      <w:r w:rsidRPr="00455AEA">
        <w:rPr>
          <w:rFonts w:cs="Arial"/>
          <w:b/>
          <w:sz w:val="20"/>
        </w:rPr>
        <w:t xml:space="preserve"> </w:t>
      </w:r>
      <w:r w:rsidRPr="00455AEA">
        <w:rPr>
          <w:rFonts w:cs="Arial"/>
          <w:sz w:val="20"/>
        </w:rPr>
        <w:t>Segmentinformation basiert auf den Haupttätigkeiten und -finanzierungsquellen der UPOV. Die UPOV legt getrennte Finanzinformation für drei Segmente vor: ordentliches Programm und Haushaltsplan, Treuhandgelder (außeretatmäßige Mittel) und Sonderprojektfonds. Treuhandgelder sind Beträge, die von der UPOV im Namen einzelner Geber zur Durchführung von Programmen verwaltet werden, die mit der Politik, den Zielen und den Tätigkeiten der UPOV in Einklang stehen. Der Sonderprojektfonds stellt den Betrag des Reservefonds dar, der 15 Prozent der Gesamteinnahmen für die Rechnungsperiode 2012-2013 übersteigt und zur Finanzierung außeretatmäßiger Projekte, die der Rat vereinbart, verwendet wird. Das ordentliche Programm und der Haushaltsplan, Treuhandgelder und der Sonderprojektfonds werden im Finanzbuchhaltungssystem getrennt behandelt.</w:t>
      </w:r>
    </w:p>
    <w:p w:rsidR="002F09F3" w:rsidRPr="00455AEA" w:rsidRDefault="00B605E0" w:rsidP="00CA32DE">
      <w:pPr>
        <w:pStyle w:val="Heading3"/>
        <w:jc w:val="left"/>
        <w:rPr>
          <w:rFonts w:cs="Arial"/>
        </w:rPr>
      </w:pPr>
      <w:bookmarkStart w:id="68" w:name="_Toc460246283"/>
      <w:r w:rsidRPr="00455AEA">
        <w:rPr>
          <w:rFonts w:cs="Arial"/>
        </w:rPr>
        <w:t>Analyse der Erfolgsrechnung</w:t>
      </w:r>
      <w:bookmarkEnd w:id="68"/>
    </w:p>
    <w:p w:rsidR="002F09F3" w:rsidRPr="00455AEA" w:rsidRDefault="00191B7D" w:rsidP="00CA32DE">
      <w:pPr>
        <w:pStyle w:val="Heading4"/>
        <w:rPr>
          <w:rFonts w:ascii="Arial" w:hAnsi="Arial" w:cs="Arial"/>
        </w:rPr>
      </w:pPr>
      <w:bookmarkStart w:id="69" w:name="_Toc457911038"/>
      <w:bookmarkStart w:id="70" w:name="_Toc460245181"/>
      <w:bookmarkStart w:id="71" w:name="_Toc460245231"/>
      <w:r w:rsidRPr="00455AEA">
        <w:rPr>
          <w:rFonts w:ascii="Arial" w:hAnsi="Arial" w:cs="Arial"/>
        </w:rPr>
        <w:t>Analyse der Erfolgsrechnung</w:t>
      </w:r>
      <w:bookmarkEnd w:id="69"/>
      <w:bookmarkEnd w:id="70"/>
      <w:bookmarkEnd w:id="71"/>
    </w:p>
    <w:p w:rsidR="002F09F3" w:rsidRPr="00455AEA" w:rsidRDefault="002F09F3" w:rsidP="00CA32DE">
      <w:pPr>
        <w:keepNext/>
        <w:rPr>
          <w:rFonts w:cs="Arial"/>
          <w:b/>
        </w:rPr>
      </w:pPr>
      <w:r w:rsidRPr="00455AEA">
        <w:rPr>
          <w:rFonts w:cs="Arial"/>
          <w:b/>
        </w:rPr>
        <w:t>Einnahmen</w:t>
      </w:r>
    </w:p>
    <w:p w:rsidR="002F09F3" w:rsidRPr="00455AEA" w:rsidRDefault="002F09F3" w:rsidP="00CA32DE">
      <w:pPr>
        <w:keepNext/>
        <w:rPr>
          <w:rFonts w:cs="Arial"/>
          <w:b/>
        </w:rPr>
      </w:pPr>
    </w:p>
    <w:p w:rsidR="002F09F3" w:rsidRPr="00455AEA" w:rsidRDefault="00736AC8" w:rsidP="00CA32DE">
      <w:pPr>
        <w:jc w:val="center"/>
        <w:rPr>
          <w:rFonts w:cs="Arial"/>
          <w:b/>
        </w:rPr>
      </w:pPr>
      <w:r w:rsidRPr="00455AEA">
        <w:rPr>
          <w:rFonts w:cs="Arial"/>
          <w:noProof/>
          <w:lang w:val="en-US" w:eastAsia="en-US" w:bidi="ar-SA"/>
        </w:rPr>
        <w:drawing>
          <wp:inline distT="0" distB="0" distL="0" distR="0" wp14:anchorId="1341B062" wp14:editId="5A185A0B">
            <wp:extent cx="6120765" cy="19862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986255"/>
                    </a:xfrm>
                    <a:prstGeom prst="rect">
                      <a:avLst/>
                    </a:prstGeom>
                    <a:noFill/>
                    <a:ln>
                      <a:noFill/>
                    </a:ln>
                  </pic:spPr>
                </pic:pic>
              </a:graphicData>
            </a:graphic>
          </wp:inline>
        </w:drawing>
      </w:r>
    </w:p>
    <w:p w:rsidR="00736AC8" w:rsidRPr="00455AEA" w:rsidRDefault="00736AC8" w:rsidP="00CA32DE">
      <w:pPr>
        <w:rPr>
          <w:rFonts w:cs="Arial"/>
        </w:rPr>
      </w:pPr>
    </w:p>
    <w:p w:rsidR="002F09F3" w:rsidRPr="00455AEA" w:rsidRDefault="002F09F3" w:rsidP="00CA32DE">
      <w:pPr>
        <w:rPr>
          <w:rFonts w:cs="Arial"/>
          <w:b/>
        </w:rPr>
      </w:pPr>
      <w:r w:rsidRPr="00455AEA">
        <w:rPr>
          <w:rFonts w:cs="Arial"/>
        </w:rPr>
        <w:t xml:space="preserve">Beiträge sind im ordentlichen Programm und Haushaltsplan als Anfang jeder Rechnungsperiode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Erfüllen der Leistungsbedingungen, die in der mit dem Geldgeber geschlossenen Vereinbarung enthalten ist, eingebracht werden. </w:t>
      </w:r>
    </w:p>
    <w:p w:rsidR="002F09F3" w:rsidRPr="00455AEA" w:rsidRDefault="002F09F3" w:rsidP="00CA32DE">
      <w:pPr>
        <w:rPr>
          <w:rFonts w:cs="Arial"/>
          <w:b/>
        </w:rPr>
      </w:pPr>
    </w:p>
    <w:p w:rsidR="002F09F3" w:rsidRPr="00455AEA" w:rsidRDefault="002F09F3" w:rsidP="00CA32DE">
      <w:pPr>
        <w:rPr>
          <w:rFonts w:cs="Arial"/>
          <w:b/>
        </w:rPr>
      </w:pPr>
      <w:r w:rsidRPr="00455AEA">
        <w:rPr>
          <w:rFonts w:cs="Arial"/>
          <w:b/>
        </w:rPr>
        <w:t>Ausgaben</w:t>
      </w:r>
    </w:p>
    <w:p w:rsidR="002F09F3" w:rsidRPr="00A379E6" w:rsidRDefault="002F09F3" w:rsidP="00A379E6"/>
    <w:p w:rsidR="00A379E6" w:rsidRDefault="00F42F99" w:rsidP="00A379E6">
      <w:pPr>
        <w:rPr>
          <w:sz w:val="18"/>
        </w:rPr>
      </w:pPr>
      <w:r w:rsidRPr="00A379E6">
        <w:drawing>
          <wp:inline distT="0" distB="0" distL="0" distR="0" wp14:anchorId="2577368D" wp14:editId="697494DD">
            <wp:extent cx="6120765" cy="1991007"/>
            <wp:effectExtent l="0" t="0" r="0" b="95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1991007"/>
                    </a:xfrm>
                    <a:prstGeom prst="rect">
                      <a:avLst/>
                    </a:prstGeom>
                    <a:noFill/>
                    <a:ln>
                      <a:noFill/>
                    </a:ln>
                  </pic:spPr>
                </pic:pic>
              </a:graphicData>
            </a:graphic>
          </wp:inline>
        </w:drawing>
      </w:r>
    </w:p>
    <w:p w:rsidR="00EF6554" w:rsidRPr="00455AEA" w:rsidRDefault="00CB14FD" w:rsidP="00A379E6">
      <w:pPr>
        <w:spacing w:before="60"/>
        <w:rPr>
          <w:sz w:val="18"/>
          <w:szCs w:val="18"/>
        </w:rPr>
      </w:pPr>
      <w:r w:rsidRPr="00455AEA">
        <w:rPr>
          <w:sz w:val="18"/>
        </w:rPr>
        <w:t>*</w:t>
      </w:r>
      <w:r w:rsidR="00A379E6">
        <w:rPr>
          <w:sz w:val="18"/>
        </w:rPr>
        <w:tab/>
      </w:r>
      <w:r w:rsidRPr="00455AEA">
        <w:rPr>
          <w:sz w:val="18"/>
          <w:szCs w:val="18"/>
        </w:rPr>
        <w:t>Es ist darauf hinzuweisen, daß die Kosten für Praktikanten in der Darstellung des Jahresabschlusses in den Kosten für vertraglich vereinbarte Dienstleistungen enthalten sind.</w:t>
      </w:r>
    </w:p>
    <w:p w:rsidR="00EF6554" w:rsidRPr="00A379E6" w:rsidRDefault="00EF6554" w:rsidP="00A379E6"/>
    <w:p w:rsidR="002F09F3" w:rsidRPr="00455AEA" w:rsidRDefault="002F09F3" w:rsidP="00CA32DE">
      <w:pPr>
        <w:pStyle w:val="Styletexte"/>
        <w:spacing w:after="0"/>
        <w:rPr>
          <w:rFonts w:cs="Arial"/>
          <w:color w:val="000000"/>
          <w:sz w:val="20"/>
        </w:rPr>
      </w:pPr>
      <w:r w:rsidRPr="00455AEA">
        <w:rPr>
          <w:rFonts w:cs="Arial"/>
          <w:sz w:val="20"/>
        </w:rPr>
        <w:t>Der Personalaufwand umfaßt kurzfristige Leistungen für Bedienstete, wie etwa Grundgehalt, Ortszuschläge, Beihilfen für Unterhaltsberechtigte, Beiträge zur Pensionskasse, Beiträge zur Krankenversicherung und zu anderen Versicherungen, Heimaturlaub und andere Ansprüche. Infolge der Einführung der IPSAS umfaßt der Personalaufwand auch Beträge für die Veränderungen im Hinblick auf die Rückstellungen für Leistungsverpflichtungen gegenüber Bediensteten.</w:t>
      </w:r>
    </w:p>
    <w:p w:rsidR="002F09F3" w:rsidRPr="00455AEA" w:rsidRDefault="002F09F3" w:rsidP="00CA32DE">
      <w:pPr>
        <w:pStyle w:val="Styletexte"/>
        <w:spacing w:after="0"/>
        <w:rPr>
          <w:rFonts w:cs="Arial"/>
          <w:sz w:val="20"/>
        </w:rPr>
      </w:pPr>
    </w:p>
    <w:p w:rsidR="009A3538" w:rsidRPr="00455AEA" w:rsidRDefault="002F09F3" w:rsidP="00CA32DE">
      <w:pPr>
        <w:rPr>
          <w:rFonts w:cs="Arial"/>
          <w:color w:val="000000" w:themeColor="text1"/>
        </w:rPr>
      </w:pPr>
      <w:r w:rsidRPr="00455AEA">
        <w:rPr>
          <w:rFonts w:cs="Arial"/>
        </w:rPr>
        <w:t>Zu Reisen und Stipendien gehören die Kosten für Flugtickets, Spesen, Transferkosten und sonstige Reisekosten für Bedienstete auf Dienstreise und Reisen für Teilnehmer, Dozenten und Stipendiaten in Verbindung mit Ausbildungstätigkeiten. Die aus dem Sonderprojektfonds getätigten Ausgaben für Reisen und Stipendien wurden auf fünf Schulungs- und Arbeitstagungs-Veranstaltungen im Jahre 2015 verteilt.</w:t>
      </w:r>
    </w:p>
    <w:p w:rsidR="00E53D70" w:rsidRPr="00455AEA" w:rsidRDefault="00E53D70" w:rsidP="00CA32DE">
      <w:pPr>
        <w:rPr>
          <w:rFonts w:cs="Arial"/>
        </w:rPr>
      </w:pPr>
    </w:p>
    <w:p w:rsidR="00A379E6" w:rsidRDefault="002F09F3" w:rsidP="00CA32DE">
      <w:pPr>
        <w:rPr>
          <w:rFonts w:cs="Arial"/>
        </w:rPr>
      </w:pPr>
      <w:r w:rsidRPr="00455AEA">
        <w:rPr>
          <w:rFonts w:cs="Arial"/>
        </w:rPr>
        <w:t>Zu vertraglich vereinbarten Dienstleistungen gehören Übersetzer, Dolmetscher und andere Dienstleistungen, die nicht vom Personal erbracht werden. Im Jahresabschluß beinhaltet dies auch die Kosten für Praktikanten. Der Betriebsaufwand umfaßt Punkte, wie etwa die Miete für die Räumlichkeiten, Instandhaltung und Bankgebühren.</w:t>
      </w:r>
    </w:p>
    <w:p w:rsidR="00A379E6" w:rsidRDefault="00A379E6" w:rsidP="00CA32DE">
      <w:pPr>
        <w:rPr>
          <w:rFonts w:cs="Arial"/>
        </w:rPr>
      </w:pPr>
    </w:p>
    <w:p w:rsidR="002F09F3" w:rsidRPr="00455AEA" w:rsidRDefault="002F09F3" w:rsidP="00CA32DE">
      <w:pPr>
        <w:rPr>
          <w:rFonts w:cs="Arial"/>
        </w:rPr>
      </w:pPr>
      <w:r w:rsidRPr="00455AEA">
        <w:rPr>
          <w:rFonts w:cs="Arial"/>
        </w:rPr>
        <w:br w:type="page"/>
      </w:r>
    </w:p>
    <w:p w:rsidR="00140793" w:rsidRPr="00455AEA" w:rsidRDefault="00140793" w:rsidP="00D81BFB">
      <w:pPr>
        <w:pStyle w:val="Heading1"/>
        <w:jc w:val="both"/>
        <w:rPr>
          <w:rFonts w:cs="Arial"/>
        </w:rPr>
      </w:pPr>
      <w:bookmarkStart w:id="72" w:name="_Toc457911039"/>
      <w:bookmarkStart w:id="73" w:name="_Toc460245182"/>
      <w:bookmarkStart w:id="74" w:name="_Toc460245232"/>
      <w:bookmarkStart w:id="75" w:name="_Toc460245299"/>
      <w:bookmarkStart w:id="76" w:name="_Toc460246284"/>
      <w:r w:rsidRPr="00455AEA">
        <w:rPr>
          <w:rFonts w:cs="Arial"/>
        </w:rPr>
        <w:t>BETRIEBSMITTELFONDS UND BEITRÄGE</w:t>
      </w:r>
      <w:bookmarkEnd w:id="72"/>
      <w:bookmarkEnd w:id="73"/>
      <w:bookmarkEnd w:id="74"/>
      <w:bookmarkEnd w:id="75"/>
      <w:bookmarkEnd w:id="76"/>
    </w:p>
    <w:p w:rsidR="008518D2" w:rsidRPr="00455AEA" w:rsidRDefault="008518D2" w:rsidP="008518D2">
      <w:pPr>
        <w:rPr>
          <w:rFonts w:cs="Arial"/>
        </w:rPr>
      </w:pPr>
    </w:p>
    <w:p w:rsidR="002F09F3" w:rsidRPr="00455AEA" w:rsidRDefault="002F09F3" w:rsidP="00F11E52">
      <w:pPr>
        <w:pStyle w:val="Heading2"/>
      </w:pPr>
      <w:bookmarkStart w:id="77" w:name="_Toc457911040"/>
      <w:bookmarkStart w:id="78" w:name="_Toc460245183"/>
      <w:bookmarkStart w:id="79" w:name="_Toc460245233"/>
      <w:bookmarkStart w:id="80" w:name="_Toc460246285"/>
      <w:r w:rsidRPr="00455AEA">
        <w:t>Betriebsmittelfonds zum 31. Dezember 2015</w:t>
      </w:r>
      <w:bookmarkEnd w:id="77"/>
      <w:bookmarkEnd w:id="78"/>
      <w:bookmarkEnd w:id="79"/>
      <w:bookmarkEnd w:id="80"/>
    </w:p>
    <w:p w:rsidR="002F09F3" w:rsidRPr="00455AEA" w:rsidRDefault="002F09F3" w:rsidP="008B6109">
      <w:pPr>
        <w:pStyle w:val="Heading2"/>
        <w:rPr>
          <w:snapToGrid w:val="0"/>
        </w:rPr>
      </w:pPr>
    </w:p>
    <w:p w:rsidR="006345A5" w:rsidRPr="00455AEA" w:rsidRDefault="006345A5" w:rsidP="00A379E6">
      <w:pPr>
        <w:rPr>
          <w:rFonts w:cs="Arial"/>
          <w:snapToGrid w:val="0"/>
        </w:rPr>
      </w:pPr>
      <w:r w:rsidRPr="00455AEA">
        <w:rPr>
          <w:rFonts w:cs="Arial"/>
        </w:rPr>
        <w:t>Gemäß Regel 4.2 der Finanzordnung hat die UPOV einen Betriebsm</w:t>
      </w:r>
      <w:r w:rsidR="00A379E6">
        <w:rPr>
          <w:rFonts w:cs="Arial"/>
        </w:rPr>
        <w:t>ittelfonds (vergleiche Dokument </w:t>
      </w:r>
      <w:r w:rsidRPr="00455AEA">
        <w:rPr>
          <w:rFonts w:cs="Arial"/>
        </w:rPr>
        <w:t>UPOV/INF/4/4). Gemäß der Darstellung der Vermögens- und Finanzlage zum 31. Dezember 2015 beläuft sich der Betriebsmittelfonds auf 543.345 Schweizer Franken</w:t>
      </w:r>
      <w:r w:rsidR="00782A9D" w:rsidRPr="00455AEA">
        <w:rPr>
          <w:rFonts w:cs="Arial"/>
        </w:rPr>
        <w:t xml:space="preserve">. </w:t>
      </w:r>
      <w:r w:rsidRPr="00455AEA">
        <w:rPr>
          <w:rFonts w:cs="Arial"/>
        </w:rPr>
        <w:t>Der Anteil der einzelnen Verbandsmitglieder wurde durch die Entscheidungen des Rates auf seinen Tagungen im November 1972 (Dokument UPOV/C/VI/12, Absatz 57), Oktober 1992 (Dokument C/26/15, Absatz 14) und April 2006 (Dokument C(Extr.)/23/4, Absatz 10 und Dokument UPOV/INF/13, Anlage</w:t>
      </w:r>
      <w:r w:rsidR="00123B6A" w:rsidRPr="00455AEA">
        <w:rPr>
          <w:rFonts w:cs="Arial"/>
        </w:rPr>
        <w:t>,</w:t>
      </w:r>
      <w:r w:rsidRPr="00455AEA">
        <w:rPr>
          <w:rFonts w:cs="Arial"/>
        </w:rPr>
        <w:t xml:space="preserve"> festgesetzt; er ist nachstehend wiedergegeben:</w:t>
      </w:r>
    </w:p>
    <w:p w:rsidR="00F83AB5" w:rsidRPr="00455AEA" w:rsidRDefault="00F83AB5" w:rsidP="00A379E6">
      <w:pPr>
        <w:rPr>
          <w:rFonts w:cs="Arial"/>
          <w:snapToGrid w:val="0"/>
        </w:rPr>
      </w:pPr>
    </w:p>
    <w:p w:rsidR="002F09F3" w:rsidRPr="00455AEA" w:rsidRDefault="00F6342C" w:rsidP="00A379E6">
      <w:pPr>
        <w:jc w:val="center"/>
        <w:rPr>
          <w:rFonts w:cs="Arial"/>
        </w:rPr>
      </w:pPr>
      <w:r w:rsidRPr="00455AEA">
        <w:rPr>
          <w:rFonts w:cs="Arial"/>
          <w:noProof/>
          <w:lang w:val="en-US" w:eastAsia="en-US" w:bidi="ar-SA"/>
        </w:rPr>
        <w:drawing>
          <wp:inline distT="0" distB="0" distL="0" distR="0" wp14:anchorId="5E44A8CE" wp14:editId="0B0CC1F4">
            <wp:extent cx="5762625" cy="6953250"/>
            <wp:effectExtent l="0" t="0" r="952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2625" cy="6953250"/>
                    </a:xfrm>
                    <a:prstGeom prst="rect">
                      <a:avLst/>
                    </a:prstGeom>
                    <a:noFill/>
                    <a:ln>
                      <a:noFill/>
                    </a:ln>
                  </pic:spPr>
                </pic:pic>
              </a:graphicData>
            </a:graphic>
          </wp:inline>
        </w:drawing>
      </w:r>
    </w:p>
    <w:p w:rsidR="002F09F3" w:rsidRPr="00455AEA" w:rsidRDefault="002F09F3" w:rsidP="00A379E6">
      <w:pPr>
        <w:rPr>
          <w:rFonts w:cs="Arial"/>
          <w:sz w:val="18"/>
        </w:rPr>
      </w:pPr>
    </w:p>
    <w:p w:rsidR="00A379E6" w:rsidRDefault="00A379E6">
      <w:pPr>
        <w:jc w:val="left"/>
        <w:rPr>
          <w:rFonts w:cs="Arial"/>
          <w:b/>
          <w:u w:val="single"/>
          <w:lang w:val="en-US" w:eastAsia="en-US" w:bidi="ar-SA"/>
        </w:rPr>
      </w:pPr>
      <w:bookmarkStart w:id="81" w:name="_Toc457911041"/>
      <w:bookmarkStart w:id="82" w:name="_Toc460245184"/>
      <w:bookmarkStart w:id="83" w:name="_Toc460245234"/>
      <w:bookmarkStart w:id="84" w:name="_Toc460246286"/>
      <w:r>
        <w:br w:type="page"/>
      </w:r>
    </w:p>
    <w:p w:rsidR="00F11E52" w:rsidRPr="00455AEA" w:rsidRDefault="00BB72AB" w:rsidP="00A379E6">
      <w:pPr>
        <w:pStyle w:val="Heading2"/>
      </w:pPr>
      <w:r w:rsidRPr="00455AEA">
        <w:t>Beiträge von Verbandsmitgliedern</w:t>
      </w:r>
      <w:bookmarkEnd w:id="81"/>
      <w:bookmarkEnd w:id="82"/>
      <w:bookmarkEnd w:id="83"/>
      <w:bookmarkEnd w:id="84"/>
    </w:p>
    <w:p w:rsidR="00F15EF6" w:rsidRPr="00455AEA" w:rsidRDefault="00BB72AB" w:rsidP="00A379E6">
      <w:pPr>
        <w:jc w:val="center"/>
        <w:rPr>
          <w:rFonts w:cs="Arial"/>
        </w:rPr>
      </w:pPr>
      <w:r w:rsidRPr="00455AEA">
        <w:rPr>
          <w:rFonts w:cs="Arial"/>
        </w:rPr>
        <w:t>(Schweizer Franken)</w:t>
      </w:r>
    </w:p>
    <w:p w:rsidR="00F15EF6" w:rsidRPr="00455AEA" w:rsidRDefault="00F15EF6" w:rsidP="00A379E6">
      <w:pPr>
        <w:jc w:val="center"/>
        <w:rPr>
          <w:rFonts w:cs="Arial"/>
        </w:rPr>
      </w:pPr>
    </w:p>
    <w:p w:rsidR="006345A5" w:rsidRPr="00455AEA" w:rsidRDefault="00A379E6" w:rsidP="00A379E6">
      <w:pPr>
        <w:jc w:val="center"/>
        <w:rPr>
          <w:rFonts w:cs="Arial"/>
        </w:rPr>
      </w:pPr>
      <w:r w:rsidRPr="00A379E6">
        <w:drawing>
          <wp:inline distT="0" distB="0" distL="0" distR="0">
            <wp:extent cx="4629150" cy="84201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9150" cy="8420100"/>
                    </a:xfrm>
                    <a:prstGeom prst="rect">
                      <a:avLst/>
                    </a:prstGeom>
                    <a:noFill/>
                    <a:ln>
                      <a:noFill/>
                    </a:ln>
                  </pic:spPr>
                </pic:pic>
              </a:graphicData>
            </a:graphic>
          </wp:inline>
        </w:drawing>
      </w:r>
    </w:p>
    <w:p w:rsidR="00643221" w:rsidRPr="00455AEA" w:rsidRDefault="00643221" w:rsidP="00A379E6">
      <w:pPr>
        <w:jc w:val="center"/>
        <w:rPr>
          <w:rFonts w:cs="Arial"/>
        </w:rPr>
      </w:pPr>
    </w:p>
    <w:p w:rsidR="00643221" w:rsidRPr="00455AEA" w:rsidRDefault="00643221" w:rsidP="00A379E6">
      <w:pPr>
        <w:jc w:val="center"/>
        <w:rPr>
          <w:rFonts w:cs="Arial"/>
        </w:rPr>
      </w:pPr>
    </w:p>
    <w:p w:rsidR="002F09F3" w:rsidRPr="00455AEA" w:rsidRDefault="002F09F3" w:rsidP="00A379E6">
      <w:pPr>
        <w:jc w:val="center"/>
        <w:rPr>
          <w:rFonts w:cs="Arial"/>
        </w:rPr>
      </w:pPr>
    </w:p>
    <w:p w:rsidR="003958BC" w:rsidRPr="00455AEA" w:rsidRDefault="00A379E6" w:rsidP="00A379E6">
      <w:pPr>
        <w:jc w:val="center"/>
        <w:rPr>
          <w:rFonts w:cs="Arial"/>
        </w:rPr>
      </w:pPr>
      <w:r w:rsidRPr="00A379E6">
        <w:drawing>
          <wp:inline distT="0" distB="0" distL="0" distR="0">
            <wp:extent cx="4629150" cy="5048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29150" cy="5048250"/>
                    </a:xfrm>
                    <a:prstGeom prst="rect">
                      <a:avLst/>
                    </a:prstGeom>
                    <a:noFill/>
                    <a:ln>
                      <a:noFill/>
                    </a:ln>
                  </pic:spPr>
                </pic:pic>
              </a:graphicData>
            </a:graphic>
          </wp:inline>
        </w:drawing>
      </w:r>
    </w:p>
    <w:p w:rsidR="003958BC" w:rsidRPr="00455AEA" w:rsidRDefault="003958BC" w:rsidP="00A379E6">
      <w:pPr>
        <w:rPr>
          <w:rFonts w:cs="Arial"/>
        </w:rPr>
      </w:pPr>
    </w:p>
    <w:p w:rsidR="002F09F3" w:rsidRPr="00455AEA" w:rsidRDefault="002F09F3" w:rsidP="00A379E6">
      <w:pPr>
        <w:pStyle w:val="Heading2"/>
      </w:pPr>
      <w:r w:rsidRPr="00455AEA">
        <w:br w:type="page"/>
      </w:r>
      <w:bookmarkStart w:id="85" w:name="_Toc457911042"/>
      <w:bookmarkStart w:id="86" w:name="_Toc460246287"/>
      <w:r w:rsidRPr="00455AEA">
        <w:t>Im Voraus entrichtete Beiträge</w:t>
      </w:r>
      <w:bookmarkEnd w:id="85"/>
      <w:bookmarkEnd w:id="86"/>
    </w:p>
    <w:p w:rsidR="002F09F3" w:rsidRPr="00455AEA" w:rsidRDefault="002F09F3" w:rsidP="00A379E6">
      <w:pPr>
        <w:jc w:val="center"/>
        <w:rPr>
          <w:rFonts w:cs="Arial"/>
        </w:rPr>
      </w:pPr>
    </w:p>
    <w:p w:rsidR="002F09F3" w:rsidRPr="00455AEA" w:rsidRDefault="002F09F3" w:rsidP="00A379E6">
      <w:pPr>
        <w:rPr>
          <w:rFonts w:cs="Arial"/>
        </w:rPr>
      </w:pPr>
    </w:p>
    <w:p w:rsidR="006C4E45" w:rsidRPr="00455AEA" w:rsidRDefault="002B2CAC" w:rsidP="00A379E6">
      <w:pPr>
        <w:jc w:val="center"/>
        <w:rPr>
          <w:rFonts w:cs="Arial"/>
          <w:u w:val="single"/>
        </w:rPr>
      </w:pPr>
      <w:r w:rsidRPr="00455AEA">
        <w:rPr>
          <w:rFonts w:cs="Arial"/>
          <w:noProof/>
          <w:lang w:val="en-US" w:eastAsia="en-US" w:bidi="ar-SA"/>
        </w:rPr>
        <w:drawing>
          <wp:inline distT="0" distB="0" distL="0" distR="0" wp14:anchorId="2709D293" wp14:editId="3EE02BC4">
            <wp:extent cx="4076700" cy="5844540"/>
            <wp:effectExtent l="0" t="0" r="0" b="381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76700" cy="5844540"/>
                    </a:xfrm>
                    <a:prstGeom prst="rect">
                      <a:avLst/>
                    </a:prstGeom>
                    <a:noFill/>
                    <a:ln>
                      <a:noFill/>
                    </a:ln>
                  </pic:spPr>
                </pic:pic>
              </a:graphicData>
            </a:graphic>
          </wp:inline>
        </w:drawing>
      </w:r>
    </w:p>
    <w:p w:rsidR="00B17732" w:rsidRPr="00455AEA" w:rsidRDefault="00B17732" w:rsidP="00A379E6">
      <w:pPr>
        <w:jc w:val="center"/>
        <w:rPr>
          <w:rFonts w:cs="Arial"/>
          <w:u w:val="single"/>
        </w:rPr>
      </w:pPr>
    </w:p>
    <w:p w:rsidR="00B17732" w:rsidRPr="00455AEA" w:rsidRDefault="00B17732" w:rsidP="00A379E6">
      <w:pPr>
        <w:jc w:val="center"/>
        <w:rPr>
          <w:rFonts w:cs="Arial"/>
          <w:u w:val="single"/>
        </w:rPr>
      </w:pPr>
    </w:p>
    <w:p w:rsidR="00B17732" w:rsidRPr="00455AEA" w:rsidRDefault="00B17732" w:rsidP="00A379E6">
      <w:pPr>
        <w:rPr>
          <w:rFonts w:cs="Arial"/>
          <w:u w:val="single"/>
        </w:rPr>
      </w:pPr>
      <w:r w:rsidRPr="00455AEA">
        <w:rPr>
          <w:rFonts w:cs="Arial"/>
        </w:rPr>
        <w:br w:type="page"/>
      </w:r>
    </w:p>
    <w:p w:rsidR="002F09F3" w:rsidRPr="00455AEA" w:rsidRDefault="00BB72AB" w:rsidP="00A379E6">
      <w:pPr>
        <w:pStyle w:val="Heading2"/>
      </w:pPr>
      <w:bookmarkStart w:id="87" w:name="_Toc457911043"/>
      <w:bookmarkStart w:id="88" w:name="_Toc460245235"/>
      <w:bookmarkStart w:id="89" w:name="_Toc460246288"/>
      <w:r w:rsidRPr="00455AEA">
        <w:t>Höhe der fälligen Beiträge und Betriebsmittel zum 31. Dezember 2015</w:t>
      </w:r>
      <w:bookmarkEnd w:id="87"/>
      <w:bookmarkEnd w:id="88"/>
      <w:bookmarkEnd w:id="89"/>
    </w:p>
    <w:p w:rsidR="002F09F3" w:rsidRPr="00455AEA" w:rsidRDefault="002F09F3" w:rsidP="00A379E6">
      <w:pPr>
        <w:jc w:val="center"/>
        <w:rPr>
          <w:rFonts w:cs="Arial"/>
        </w:rPr>
      </w:pPr>
    </w:p>
    <w:p w:rsidR="00233293" w:rsidRPr="00455AEA" w:rsidRDefault="007F45EB" w:rsidP="00A379E6">
      <w:pPr>
        <w:jc w:val="center"/>
        <w:rPr>
          <w:rFonts w:cs="Arial"/>
        </w:rPr>
      </w:pPr>
      <w:r w:rsidRPr="007F45EB">
        <w:drawing>
          <wp:inline distT="0" distB="0" distL="0" distR="0">
            <wp:extent cx="5010150" cy="84010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0" cy="8401050"/>
                    </a:xfrm>
                    <a:prstGeom prst="rect">
                      <a:avLst/>
                    </a:prstGeom>
                    <a:noFill/>
                    <a:ln>
                      <a:noFill/>
                    </a:ln>
                  </pic:spPr>
                </pic:pic>
              </a:graphicData>
            </a:graphic>
          </wp:inline>
        </w:drawing>
      </w:r>
    </w:p>
    <w:p w:rsidR="002F09F3" w:rsidRPr="00455AEA" w:rsidRDefault="002F09F3" w:rsidP="00A379E6">
      <w:pPr>
        <w:jc w:val="center"/>
        <w:rPr>
          <w:rFonts w:cs="Arial"/>
        </w:rPr>
      </w:pPr>
    </w:p>
    <w:p w:rsidR="002F09F3" w:rsidRPr="00455AEA" w:rsidRDefault="002F09F3" w:rsidP="00A379E6">
      <w:pPr>
        <w:jc w:val="center"/>
        <w:rPr>
          <w:rFonts w:cs="Arial"/>
          <w:b/>
          <w:u w:val="single"/>
        </w:rPr>
      </w:pPr>
      <w:r w:rsidRPr="00455AEA">
        <w:rPr>
          <w:rFonts w:cs="Arial"/>
        </w:rPr>
        <w:br w:type="page"/>
      </w:r>
      <w:r w:rsidR="007F45EB" w:rsidRPr="007F45EB">
        <w:drawing>
          <wp:inline distT="0" distB="0" distL="0" distR="0">
            <wp:extent cx="5010150" cy="49149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0" cy="4914900"/>
                    </a:xfrm>
                    <a:prstGeom prst="rect">
                      <a:avLst/>
                    </a:prstGeom>
                    <a:noFill/>
                    <a:ln>
                      <a:noFill/>
                    </a:ln>
                  </pic:spPr>
                </pic:pic>
              </a:graphicData>
            </a:graphic>
          </wp:inline>
        </w:drawing>
      </w:r>
    </w:p>
    <w:p w:rsidR="007A55B1" w:rsidRPr="007F45EB" w:rsidRDefault="007A55B1" w:rsidP="007F45EB">
      <w:bookmarkStart w:id="90" w:name="_Toc457911044"/>
    </w:p>
    <w:p w:rsidR="007F45EB" w:rsidRDefault="007F45EB">
      <w:pPr>
        <w:jc w:val="left"/>
        <w:rPr>
          <w:rFonts w:cs="Arial"/>
          <w:b/>
          <w:caps/>
          <w:lang w:val="en-US" w:eastAsia="en-US" w:bidi="ar-SA"/>
        </w:rPr>
      </w:pPr>
      <w:bookmarkStart w:id="91" w:name="_Toc460245237"/>
      <w:bookmarkStart w:id="92" w:name="_Toc460245300"/>
      <w:bookmarkStart w:id="93" w:name="_Toc460246289"/>
      <w:r>
        <w:rPr>
          <w:rFonts w:cs="Arial"/>
        </w:rPr>
        <w:br w:type="page"/>
      </w:r>
    </w:p>
    <w:p w:rsidR="002F09F3" w:rsidRPr="00455AEA" w:rsidRDefault="007A55B1" w:rsidP="00A379E6">
      <w:pPr>
        <w:pStyle w:val="Heading1"/>
        <w:jc w:val="both"/>
        <w:rPr>
          <w:rFonts w:cs="Arial"/>
        </w:rPr>
      </w:pPr>
      <w:r w:rsidRPr="00455AEA">
        <w:rPr>
          <w:rFonts w:cs="Arial"/>
        </w:rPr>
        <w:t>AuSSeretatmäSS</w:t>
      </w:r>
      <w:r w:rsidR="002F09F3" w:rsidRPr="00455AEA">
        <w:rPr>
          <w:rFonts w:cs="Arial"/>
        </w:rPr>
        <w:t>ige Mittel (Treuhandgelder)</w:t>
      </w:r>
      <w:bookmarkEnd w:id="90"/>
      <w:bookmarkEnd w:id="91"/>
      <w:bookmarkEnd w:id="92"/>
      <w:bookmarkEnd w:id="93"/>
    </w:p>
    <w:p w:rsidR="002F09F3" w:rsidRPr="00455AEA" w:rsidRDefault="002F09F3" w:rsidP="00A379E6">
      <w:pPr>
        <w:pStyle w:val="Heading1"/>
        <w:jc w:val="both"/>
        <w:rPr>
          <w:rFonts w:cs="Arial"/>
        </w:rPr>
      </w:pPr>
    </w:p>
    <w:p w:rsidR="002F09F3" w:rsidRPr="00455AEA" w:rsidRDefault="002F09F3" w:rsidP="00A379E6">
      <w:pPr>
        <w:keepNext/>
        <w:rPr>
          <w:rFonts w:cs="Arial"/>
        </w:rPr>
      </w:pPr>
      <w:r w:rsidRPr="00455AEA">
        <w:rPr>
          <w:rFonts w:cs="Arial"/>
        </w:rPr>
        <w:t>Die von den Verbandsmitgliedern gewährten außeretatmäßigen Mittel (einschließlich der Treuhandgelder) werden nachstehend als getrennte Buchführung ausgewiesen.</w:t>
      </w:r>
    </w:p>
    <w:p w:rsidR="002F09F3" w:rsidRPr="00455AEA" w:rsidRDefault="002F09F3" w:rsidP="00A379E6">
      <w:pPr>
        <w:keepNext/>
        <w:rPr>
          <w:rFonts w:cs="Arial"/>
        </w:rPr>
      </w:pPr>
    </w:p>
    <w:p w:rsidR="002F09F3" w:rsidRPr="00455AEA" w:rsidRDefault="007544CC" w:rsidP="00F15832">
      <w:pPr>
        <w:ind w:left="-284" w:right="-142"/>
        <w:rPr>
          <w:rFonts w:cs="Arial"/>
        </w:rPr>
      </w:pPr>
      <w:r w:rsidRPr="00455AEA">
        <w:rPr>
          <w:rFonts w:cs="Arial"/>
          <w:noProof/>
          <w:lang w:val="en-US" w:eastAsia="en-US" w:bidi="ar-SA"/>
        </w:rPr>
        <w:drawing>
          <wp:inline distT="0" distB="0" distL="0" distR="0" wp14:anchorId="4F9559BF" wp14:editId="2FA0E262">
            <wp:extent cx="6562725" cy="986135"/>
            <wp:effectExtent l="0" t="0" r="0" b="508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14376" cy="993896"/>
                    </a:xfrm>
                    <a:prstGeom prst="rect">
                      <a:avLst/>
                    </a:prstGeom>
                    <a:noFill/>
                    <a:ln>
                      <a:noFill/>
                    </a:ln>
                  </pic:spPr>
                </pic:pic>
              </a:graphicData>
            </a:graphic>
          </wp:inline>
        </w:drawing>
      </w:r>
    </w:p>
    <w:p w:rsidR="002F09F3" w:rsidRPr="00455AEA" w:rsidRDefault="002F09F3" w:rsidP="00A379E6">
      <w:pPr>
        <w:rPr>
          <w:rFonts w:cs="Arial"/>
        </w:rPr>
      </w:pPr>
    </w:p>
    <w:p w:rsidR="00E37BC2" w:rsidRPr="00455AEA" w:rsidRDefault="00E37BC2" w:rsidP="00A379E6">
      <w:pPr>
        <w:rPr>
          <w:rFonts w:cs="Arial"/>
          <w:b/>
        </w:rPr>
      </w:pPr>
      <w:r w:rsidRPr="00455AEA">
        <w:rPr>
          <w:rFonts w:cs="Arial"/>
          <w:b/>
        </w:rPr>
        <w:t>Einnahmen und Ausgaben für die Rechnungsperiode 2014-2015</w:t>
      </w:r>
    </w:p>
    <w:p w:rsidR="00E37BC2" w:rsidRPr="00455AEA" w:rsidRDefault="00E37BC2" w:rsidP="00A379E6">
      <w:pPr>
        <w:rPr>
          <w:rFonts w:cs="Arial"/>
          <w:b/>
        </w:rPr>
      </w:pPr>
    </w:p>
    <w:p w:rsidR="00E37BC2" w:rsidRDefault="001B11AA" w:rsidP="00A379E6">
      <w:pPr>
        <w:jc w:val="center"/>
        <w:rPr>
          <w:rFonts w:cs="Arial"/>
          <w:b/>
        </w:rPr>
      </w:pPr>
      <w:r w:rsidRPr="00455AEA">
        <w:rPr>
          <w:rFonts w:cs="Arial"/>
          <w:noProof/>
          <w:lang w:val="en-US" w:eastAsia="en-US" w:bidi="ar-SA"/>
        </w:rPr>
        <w:drawing>
          <wp:inline distT="0" distB="0" distL="0" distR="0" wp14:anchorId="4A1995F4" wp14:editId="529A8F00">
            <wp:extent cx="5974080" cy="2133600"/>
            <wp:effectExtent l="0" t="0" r="762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74080" cy="2133600"/>
                    </a:xfrm>
                    <a:prstGeom prst="rect">
                      <a:avLst/>
                    </a:prstGeom>
                    <a:noFill/>
                    <a:ln>
                      <a:noFill/>
                    </a:ln>
                  </pic:spPr>
                </pic:pic>
              </a:graphicData>
            </a:graphic>
          </wp:inline>
        </w:drawing>
      </w:r>
    </w:p>
    <w:p w:rsidR="00F15832" w:rsidRPr="00455AEA" w:rsidRDefault="00F15832" w:rsidP="00A379E6">
      <w:pPr>
        <w:jc w:val="center"/>
        <w:rPr>
          <w:rFonts w:cs="Arial"/>
          <w:b/>
        </w:rPr>
      </w:pPr>
    </w:p>
    <w:p w:rsidR="00E37BC2" w:rsidRPr="00455AEA" w:rsidRDefault="00E37BC2" w:rsidP="00F15832">
      <w:pPr>
        <w:ind w:left="1276" w:right="141" w:hanging="1134"/>
        <w:rPr>
          <w:rFonts w:cs="Arial"/>
          <w:sz w:val="18"/>
          <w:szCs w:val="18"/>
        </w:rPr>
      </w:pPr>
      <w:r w:rsidRPr="00455AEA">
        <w:rPr>
          <w:rFonts w:cs="Arial"/>
          <w:i/>
        </w:rPr>
        <w:t>Anmerkung</w:t>
      </w:r>
      <w:r w:rsidRPr="00455AEA">
        <w:rPr>
          <w:rFonts w:cs="Arial"/>
        </w:rPr>
        <w:t>:</w:t>
      </w:r>
      <w:r w:rsidRPr="00455AEA">
        <w:rPr>
          <w:rFonts w:cs="Arial"/>
        </w:rPr>
        <w:tab/>
      </w:r>
      <w:r w:rsidRPr="00455AEA">
        <w:rPr>
          <w:rFonts w:cs="Arial"/>
          <w:sz w:val="18"/>
        </w:rPr>
        <w:t>Treuhandgelder in Form von außeretatmäßigen Mitteln von der Regierung von Japan für regionale Seminare und Arbeitstagungen über Sortenschutz in der Region Asien.</w:t>
      </w:r>
    </w:p>
    <w:p w:rsidR="00813B45" w:rsidRPr="00455AEA" w:rsidRDefault="00813B45" w:rsidP="00A379E6">
      <w:pPr>
        <w:ind w:left="567" w:hanging="567"/>
        <w:rPr>
          <w:rFonts w:cs="Arial"/>
          <w:sz w:val="18"/>
          <w:szCs w:val="18"/>
        </w:rPr>
      </w:pPr>
    </w:p>
    <w:p w:rsidR="00E37BC2" w:rsidRPr="00455AEA" w:rsidRDefault="00E37BC2" w:rsidP="00A379E6">
      <w:pPr>
        <w:ind w:left="567" w:hanging="567"/>
        <w:rPr>
          <w:rFonts w:cs="Arial"/>
          <w:sz w:val="18"/>
          <w:szCs w:val="18"/>
        </w:rPr>
      </w:pPr>
    </w:p>
    <w:p w:rsidR="00E37BC2" w:rsidRPr="00455AEA" w:rsidRDefault="001B11AA" w:rsidP="00A379E6">
      <w:pPr>
        <w:ind w:left="567" w:hanging="567"/>
        <w:jc w:val="center"/>
        <w:rPr>
          <w:rFonts w:cs="Arial"/>
          <w:sz w:val="18"/>
          <w:szCs w:val="18"/>
        </w:rPr>
      </w:pPr>
      <w:r w:rsidRPr="00455AEA">
        <w:rPr>
          <w:rFonts w:cs="Arial"/>
          <w:noProof/>
          <w:lang w:val="en-US" w:eastAsia="en-US" w:bidi="ar-SA"/>
        </w:rPr>
        <w:drawing>
          <wp:inline distT="0" distB="0" distL="0" distR="0" wp14:anchorId="0E6CD948" wp14:editId="00D85050">
            <wp:extent cx="5974080" cy="2141220"/>
            <wp:effectExtent l="0" t="0" r="762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4080" cy="2141220"/>
                    </a:xfrm>
                    <a:prstGeom prst="rect">
                      <a:avLst/>
                    </a:prstGeom>
                    <a:noFill/>
                    <a:ln>
                      <a:noFill/>
                    </a:ln>
                  </pic:spPr>
                </pic:pic>
              </a:graphicData>
            </a:graphic>
          </wp:inline>
        </w:drawing>
      </w:r>
    </w:p>
    <w:p w:rsidR="00F15832" w:rsidRDefault="00F15832" w:rsidP="00A379E6">
      <w:pPr>
        <w:ind w:left="567" w:hanging="567"/>
        <w:rPr>
          <w:rFonts w:cs="Arial"/>
          <w:i/>
        </w:rPr>
      </w:pPr>
    </w:p>
    <w:p w:rsidR="00813B45" w:rsidRPr="00455AEA" w:rsidRDefault="00813B45" w:rsidP="00F15832">
      <w:pPr>
        <w:ind w:left="1276" w:right="283" w:hanging="1134"/>
        <w:rPr>
          <w:rFonts w:cs="Arial"/>
          <w:sz w:val="18"/>
          <w:szCs w:val="18"/>
        </w:rPr>
      </w:pPr>
      <w:r w:rsidRPr="00455AEA">
        <w:rPr>
          <w:rFonts w:cs="Arial"/>
          <w:i/>
        </w:rPr>
        <w:t>Anmerkung</w:t>
      </w:r>
      <w:r w:rsidRPr="00455AEA">
        <w:rPr>
          <w:rFonts w:cs="Arial"/>
        </w:rPr>
        <w:t>:</w:t>
      </w:r>
      <w:r w:rsidRPr="00455AEA">
        <w:rPr>
          <w:rFonts w:cs="Arial"/>
          <w:sz w:val="18"/>
        </w:rPr>
        <w:t xml:space="preserve">  Treuhandgelder in Form von außeretatmäßigen Mitteln von der Regierung der Vereinigten Staaten von Amerika für die Schulung auf dem Gebiet des Schutzes des geistigen Eigentums im Bereich des Sortenschutzes. Die Abschlüsse und Finanzberichte für diese Treuhandgelder sind in US-Dollar gehalten.</w:t>
      </w:r>
    </w:p>
    <w:p w:rsidR="00813B45" w:rsidRPr="00455AEA" w:rsidRDefault="00813B45" w:rsidP="00A379E6">
      <w:pPr>
        <w:rPr>
          <w:rFonts w:cs="Arial"/>
          <w:sz w:val="18"/>
          <w:szCs w:val="18"/>
        </w:rPr>
      </w:pPr>
      <w:r w:rsidRPr="00455AEA">
        <w:rPr>
          <w:rFonts w:cs="Arial"/>
        </w:rPr>
        <w:br w:type="page"/>
      </w:r>
    </w:p>
    <w:p w:rsidR="00813B45" w:rsidRDefault="001B11AA" w:rsidP="00A379E6">
      <w:pPr>
        <w:ind w:left="567" w:hanging="567"/>
        <w:jc w:val="center"/>
        <w:rPr>
          <w:rFonts w:cs="Arial"/>
          <w:sz w:val="18"/>
          <w:szCs w:val="18"/>
        </w:rPr>
      </w:pPr>
      <w:r w:rsidRPr="00455AEA">
        <w:rPr>
          <w:rFonts w:cs="Arial"/>
          <w:noProof/>
          <w:lang w:val="en-US" w:eastAsia="en-US" w:bidi="ar-SA"/>
        </w:rPr>
        <w:drawing>
          <wp:inline distT="0" distB="0" distL="0" distR="0" wp14:anchorId="058DC689" wp14:editId="2B063576">
            <wp:extent cx="5974080" cy="1805940"/>
            <wp:effectExtent l="0" t="0" r="7620" b="381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4080" cy="1805940"/>
                    </a:xfrm>
                    <a:prstGeom prst="rect">
                      <a:avLst/>
                    </a:prstGeom>
                    <a:noFill/>
                    <a:ln>
                      <a:noFill/>
                    </a:ln>
                  </pic:spPr>
                </pic:pic>
              </a:graphicData>
            </a:graphic>
          </wp:inline>
        </w:drawing>
      </w:r>
    </w:p>
    <w:p w:rsidR="00F15832" w:rsidRPr="00455AEA" w:rsidRDefault="00F15832" w:rsidP="00A379E6">
      <w:pPr>
        <w:ind w:left="567" w:hanging="567"/>
        <w:jc w:val="center"/>
        <w:rPr>
          <w:rFonts w:cs="Arial"/>
          <w:sz w:val="18"/>
          <w:szCs w:val="18"/>
        </w:rPr>
      </w:pPr>
    </w:p>
    <w:p w:rsidR="00813B45" w:rsidRPr="00455AEA" w:rsidRDefault="00813B45" w:rsidP="00F15832">
      <w:pPr>
        <w:ind w:left="1276" w:right="283" w:hanging="1134"/>
        <w:rPr>
          <w:rFonts w:cs="Arial"/>
          <w:sz w:val="18"/>
          <w:szCs w:val="18"/>
        </w:rPr>
      </w:pPr>
      <w:r w:rsidRPr="00F15832">
        <w:rPr>
          <w:rFonts w:cs="Arial"/>
          <w:i/>
          <w:sz w:val="18"/>
        </w:rPr>
        <w:t>Anmerkung</w:t>
      </w:r>
      <w:r w:rsidRPr="00F15832">
        <w:rPr>
          <w:rFonts w:cs="Arial"/>
          <w:i/>
        </w:rPr>
        <w:t>:</w:t>
      </w:r>
      <w:r w:rsidRPr="00455AEA">
        <w:rPr>
          <w:rFonts w:cs="Arial"/>
        </w:rPr>
        <w:tab/>
      </w:r>
      <w:r w:rsidRPr="00455AEA">
        <w:rPr>
          <w:rFonts w:cs="Arial"/>
          <w:sz w:val="18"/>
        </w:rPr>
        <w:t>Außeretatmäßige Mittel aus den Niederlanden für die Bereit</w:t>
      </w:r>
      <w:r w:rsidR="00F15832">
        <w:rPr>
          <w:rFonts w:cs="Arial"/>
          <w:sz w:val="18"/>
        </w:rPr>
        <w:t>stellung und Förderung des UPOV</w:t>
      </w:r>
      <w:r w:rsidR="00F15832">
        <w:rPr>
          <w:rFonts w:cs="Arial"/>
          <w:sz w:val="18"/>
        </w:rPr>
        <w:noBreakHyphen/>
      </w:r>
      <w:r w:rsidRPr="00455AEA">
        <w:rPr>
          <w:rFonts w:cs="Arial"/>
          <w:sz w:val="18"/>
        </w:rPr>
        <w:t>Sortenschutzsystems.</w:t>
      </w:r>
    </w:p>
    <w:p w:rsidR="00E37BC2" w:rsidRPr="00455AEA" w:rsidRDefault="00E37BC2" w:rsidP="00A379E6">
      <w:pPr>
        <w:ind w:left="567" w:hanging="567"/>
        <w:rPr>
          <w:rFonts w:cs="Arial"/>
          <w:sz w:val="18"/>
          <w:szCs w:val="18"/>
        </w:rPr>
      </w:pPr>
    </w:p>
    <w:p w:rsidR="001E0EF9" w:rsidRPr="00455AEA" w:rsidRDefault="001E0EF9" w:rsidP="00A379E6">
      <w:pPr>
        <w:rPr>
          <w:rFonts w:cs="Arial"/>
          <w:sz w:val="16"/>
          <w:szCs w:val="16"/>
        </w:rPr>
      </w:pPr>
    </w:p>
    <w:p w:rsidR="00BE02C7" w:rsidRPr="00455AEA" w:rsidRDefault="00BE02C7" w:rsidP="00A379E6">
      <w:pPr>
        <w:jc w:val="right"/>
        <w:rPr>
          <w:rFonts w:cs="Arial"/>
        </w:rPr>
      </w:pPr>
    </w:p>
    <w:p w:rsidR="00FD7918" w:rsidRPr="00455AEA" w:rsidRDefault="00FD7918" w:rsidP="00A379E6">
      <w:pPr>
        <w:jc w:val="right"/>
        <w:rPr>
          <w:rFonts w:cs="Arial"/>
        </w:rPr>
      </w:pPr>
    </w:p>
    <w:p w:rsidR="00FD7918" w:rsidRPr="00455AEA" w:rsidRDefault="00FD7918" w:rsidP="00A379E6">
      <w:pPr>
        <w:jc w:val="right"/>
        <w:rPr>
          <w:rFonts w:cs="Arial"/>
        </w:rPr>
      </w:pPr>
    </w:p>
    <w:p w:rsidR="002F09F3" w:rsidRPr="00455AEA" w:rsidRDefault="002F09F3" w:rsidP="00A379E6">
      <w:pPr>
        <w:jc w:val="right"/>
        <w:rPr>
          <w:rFonts w:cs="Arial"/>
        </w:rPr>
      </w:pPr>
      <w:r w:rsidRPr="00455AEA">
        <w:rPr>
          <w:rFonts w:cs="Arial"/>
        </w:rPr>
        <w:t>[Ende der Anlage und des Dokuments]</w:t>
      </w:r>
    </w:p>
    <w:sectPr w:rsidR="002F09F3" w:rsidRPr="00455AEA" w:rsidSect="00812E7B">
      <w:headerReference w:type="first" r:id="rId51"/>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4A" w:rsidRDefault="00CE2C4A" w:rsidP="006655D3">
      <w:r>
        <w:separator/>
      </w:r>
    </w:p>
    <w:p w:rsidR="00CE2C4A" w:rsidRDefault="00CE2C4A" w:rsidP="006655D3"/>
    <w:p w:rsidR="00CE2C4A" w:rsidRDefault="00CE2C4A" w:rsidP="006655D3"/>
  </w:endnote>
  <w:endnote w:type="continuationSeparator" w:id="0">
    <w:p w:rsidR="00CE2C4A" w:rsidRDefault="00CE2C4A" w:rsidP="006655D3">
      <w:r>
        <w:separator/>
      </w:r>
    </w:p>
    <w:p w:rsidR="00CE2C4A" w:rsidRPr="00560A6D" w:rsidRDefault="00CE2C4A">
      <w:pPr>
        <w:pStyle w:val="Footer"/>
        <w:spacing w:after="60"/>
        <w:rPr>
          <w:sz w:val="18"/>
          <w:lang w:val="fr-FR"/>
        </w:rPr>
      </w:pPr>
      <w:r w:rsidRPr="00560A6D">
        <w:rPr>
          <w:sz w:val="18"/>
          <w:lang w:val="fr-FR"/>
        </w:rPr>
        <w:t>[Suite de la note de la page précédente]</w:t>
      </w:r>
    </w:p>
    <w:p w:rsidR="00CE2C4A" w:rsidRPr="00560A6D" w:rsidRDefault="00CE2C4A" w:rsidP="006655D3">
      <w:pPr>
        <w:rPr>
          <w:lang w:val="fr-FR"/>
        </w:rPr>
      </w:pPr>
    </w:p>
    <w:p w:rsidR="00CE2C4A" w:rsidRPr="00560A6D" w:rsidRDefault="00CE2C4A" w:rsidP="006655D3">
      <w:pPr>
        <w:rPr>
          <w:lang w:val="fr-FR"/>
        </w:rPr>
      </w:pPr>
    </w:p>
  </w:endnote>
  <w:endnote w:type="continuationNotice" w:id="1">
    <w:p w:rsidR="00CE2C4A" w:rsidRPr="00560A6D" w:rsidRDefault="00CE2C4A" w:rsidP="006655D3">
      <w:pPr>
        <w:rPr>
          <w:lang w:val="fr-FR"/>
        </w:rPr>
      </w:pPr>
      <w:r w:rsidRPr="00560A6D">
        <w:rPr>
          <w:lang w:val="fr-FR"/>
        </w:rPr>
        <w:t>[Suite de la note page suivante]</w:t>
      </w:r>
    </w:p>
    <w:p w:rsidR="00CE2C4A" w:rsidRPr="00560A6D" w:rsidRDefault="00CE2C4A" w:rsidP="006655D3">
      <w:pPr>
        <w:rPr>
          <w:lang w:val="fr-FR"/>
        </w:rPr>
      </w:pPr>
    </w:p>
    <w:p w:rsidR="00CE2C4A" w:rsidRPr="00560A6D" w:rsidRDefault="00CE2C4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C4" w:rsidRDefault="002D03C4">
    <w:pPr>
      <w:pStyle w:val="Footer"/>
      <w:jc w:val="right"/>
    </w:pPr>
  </w:p>
  <w:p w:rsidR="002D03C4" w:rsidRDefault="002D0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C4" w:rsidRDefault="002D03C4" w:rsidP="001921EF">
    <w:pPr>
      <w:pStyle w:val="Footer"/>
      <w:jc w:val="center"/>
    </w:pPr>
  </w:p>
  <w:p w:rsidR="002D03C4" w:rsidRDefault="002D0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4A" w:rsidRDefault="00CE2C4A" w:rsidP="00C95616">
      <w:pPr>
        <w:spacing w:before="120"/>
      </w:pPr>
      <w:r>
        <w:separator/>
      </w:r>
    </w:p>
  </w:footnote>
  <w:footnote w:type="continuationSeparator" w:id="0">
    <w:p w:rsidR="00CE2C4A" w:rsidRDefault="00CE2C4A" w:rsidP="006655D3">
      <w:r>
        <w:separator/>
      </w:r>
    </w:p>
  </w:footnote>
  <w:footnote w:type="continuationNotice" w:id="1">
    <w:p w:rsidR="00CE2C4A" w:rsidRPr="00A56FAA" w:rsidRDefault="00CE2C4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C4" w:rsidRPr="00C5280D" w:rsidRDefault="002D03C4" w:rsidP="002F09F3">
    <w:pPr>
      <w:pStyle w:val="Header"/>
      <w:rPr>
        <w:rStyle w:val="PageNumber"/>
      </w:rPr>
    </w:pPr>
    <w:r>
      <w:rPr>
        <w:rStyle w:val="PageNumber"/>
      </w:rPr>
      <w:t>C/48/4</w:t>
    </w:r>
  </w:p>
  <w:p w:rsidR="002D03C4" w:rsidRPr="00C5280D" w:rsidRDefault="002D03C4" w:rsidP="002F09F3">
    <w:pPr>
      <w:pStyle w:val="Header"/>
    </w:pPr>
    <w:r>
      <w:t>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D1607">
      <w:rPr>
        <w:rStyle w:val="PageNumber"/>
        <w:noProof/>
      </w:rPr>
      <w:t>25</w:t>
    </w:r>
    <w:r w:rsidRPr="00C5280D">
      <w:rPr>
        <w:rStyle w:val="PageNumber"/>
      </w:rPr>
      <w:fldChar w:fldCharType="end"/>
    </w:r>
  </w:p>
  <w:p w:rsidR="002D03C4" w:rsidRPr="00C5280D" w:rsidRDefault="002D03C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C4" w:rsidRPr="002F09F3" w:rsidRDefault="002D03C4" w:rsidP="005C7018">
    <w:pPr>
      <w:pStyle w:val="Header"/>
    </w:pPr>
    <w:r>
      <w:t>C/50/4</w:t>
    </w:r>
  </w:p>
  <w:p w:rsidR="002D03C4" w:rsidRPr="002F09F3" w:rsidRDefault="002D03C4" w:rsidP="005C7018">
    <w:pPr>
      <w:pStyle w:val="Header"/>
      <w:rPr>
        <w:noProof/>
      </w:rPr>
    </w:pPr>
    <w:r>
      <w:t xml:space="preserve">Anlage, Seite </w:t>
    </w:r>
    <w:r w:rsidRPr="002F09F3">
      <w:fldChar w:fldCharType="begin"/>
    </w:r>
    <w:r w:rsidRPr="002F09F3">
      <w:instrText xml:space="preserve"> PAGE   \* MERGEFORMAT </w:instrText>
    </w:r>
    <w:r w:rsidRPr="002F09F3">
      <w:fldChar w:fldCharType="separate"/>
    </w:r>
    <w:r w:rsidR="002D1607">
      <w:rPr>
        <w:noProof/>
      </w:rPr>
      <w:t>27</w:t>
    </w:r>
    <w:r w:rsidRPr="002F09F3">
      <w:rPr>
        <w:noProof/>
      </w:rPr>
      <w:fldChar w:fldCharType="end"/>
    </w:r>
  </w:p>
  <w:p w:rsidR="002D03C4" w:rsidRPr="002F09F3" w:rsidRDefault="002D03C4" w:rsidP="00C76EE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C4" w:rsidRDefault="002D03C4" w:rsidP="005C7018">
    <w:pPr>
      <w:pStyle w:val="Header"/>
    </w:pPr>
    <w:r>
      <w:t>C/50/4</w:t>
    </w:r>
  </w:p>
  <w:p w:rsidR="002D03C4" w:rsidRDefault="002D03C4" w:rsidP="005C7018">
    <w:pPr>
      <w:pStyle w:val="Header"/>
    </w:pPr>
  </w:p>
  <w:p w:rsidR="002D03C4" w:rsidRDefault="002D03C4" w:rsidP="005C7018">
    <w:pPr>
      <w:pStyle w:val="Header"/>
    </w:pPr>
    <w:r>
      <w:t>ANLAGE</w:t>
    </w:r>
  </w:p>
  <w:p w:rsidR="002D03C4" w:rsidRDefault="002D03C4" w:rsidP="005C7018">
    <w:pPr>
      <w:pStyle w:val="Header"/>
    </w:pPr>
  </w:p>
  <w:p w:rsidR="002D03C4" w:rsidRDefault="002D03C4"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2D03C4" w:rsidRPr="002F09F3" w:rsidRDefault="002D03C4" w:rsidP="005C7018">
        <w:pPr>
          <w:pStyle w:val="Header"/>
        </w:pPr>
        <w:r>
          <w:t>C/50/4</w:t>
        </w:r>
      </w:p>
      <w:p w:rsidR="002D03C4" w:rsidRDefault="002D03C4" w:rsidP="005C7018">
        <w:pPr>
          <w:pStyle w:val="Header"/>
        </w:pPr>
        <w:r>
          <w:t xml:space="preserve">Anlage, Seite </w:t>
        </w:r>
        <w:r>
          <w:fldChar w:fldCharType="begin"/>
        </w:r>
        <w:r>
          <w:instrText xml:space="preserve"> PAGE   \* MERGEFORMAT </w:instrText>
        </w:r>
        <w:r>
          <w:fldChar w:fldCharType="separate"/>
        </w:r>
        <w:r w:rsidR="002D1607">
          <w:rPr>
            <w:noProof/>
          </w:rPr>
          <w:t>2</w:t>
        </w:r>
        <w:r>
          <w:rPr>
            <w:noProof/>
          </w:rPr>
          <w:fldChar w:fldCharType="end"/>
        </w:r>
      </w:p>
    </w:sdtContent>
  </w:sdt>
  <w:p w:rsidR="002D03C4" w:rsidRDefault="002D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7B488B"/>
    <w:multiLevelType w:val="hybridMultilevel"/>
    <w:tmpl w:val="994EF384"/>
    <w:lvl w:ilvl="0" w:tplc="0407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4AB8"/>
    <w:rsid w:val="00030854"/>
    <w:rsid w:val="00035FF3"/>
    <w:rsid w:val="00036028"/>
    <w:rsid w:val="00040F79"/>
    <w:rsid w:val="00044642"/>
    <w:rsid w:val="000446B9"/>
    <w:rsid w:val="000451E7"/>
    <w:rsid w:val="000478F6"/>
    <w:rsid w:val="00047E21"/>
    <w:rsid w:val="00072089"/>
    <w:rsid w:val="00073668"/>
    <w:rsid w:val="00081327"/>
    <w:rsid w:val="000831C7"/>
    <w:rsid w:val="00085505"/>
    <w:rsid w:val="00092E7A"/>
    <w:rsid w:val="00092EDA"/>
    <w:rsid w:val="000962D0"/>
    <w:rsid w:val="000A3255"/>
    <w:rsid w:val="000A68B4"/>
    <w:rsid w:val="000B34D5"/>
    <w:rsid w:val="000C3ABA"/>
    <w:rsid w:val="000C7021"/>
    <w:rsid w:val="000D6BBC"/>
    <w:rsid w:val="000D7780"/>
    <w:rsid w:val="000E15D4"/>
    <w:rsid w:val="000E49AD"/>
    <w:rsid w:val="000E7048"/>
    <w:rsid w:val="000F209C"/>
    <w:rsid w:val="000F305E"/>
    <w:rsid w:val="00105929"/>
    <w:rsid w:val="00106C61"/>
    <w:rsid w:val="001076E1"/>
    <w:rsid w:val="001131D5"/>
    <w:rsid w:val="00113D73"/>
    <w:rsid w:val="00120B7B"/>
    <w:rsid w:val="00123B6A"/>
    <w:rsid w:val="001377BE"/>
    <w:rsid w:val="00140793"/>
    <w:rsid w:val="00141316"/>
    <w:rsid w:val="00141DB8"/>
    <w:rsid w:val="00150B2B"/>
    <w:rsid w:val="00151973"/>
    <w:rsid w:val="0016415C"/>
    <w:rsid w:val="0017474A"/>
    <w:rsid w:val="001758C6"/>
    <w:rsid w:val="00180DE0"/>
    <w:rsid w:val="0018246F"/>
    <w:rsid w:val="00182B99"/>
    <w:rsid w:val="0018373F"/>
    <w:rsid w:val="00191B7D"/>
    <w:rsid w:val="001921EF"/>
    <w:rsid w:val="001A0080"/>
    <w:rsid w:val="001A792E"/>
    <w:rsid w:val="001B11AA"/>
    <w:rsid w:val="001D6CED"/>
    <w:rsid w:val="001E0CF9"/>
    <w:rsid w:val="001E0EF9"/>
    <w:rsid w:val="0020620B"/>
    <w:rsid w:val="0021173E"/>
    <w:rsid w:val="0021332C"/>
    <w:rsid w:val="00213982"/>
    <w:rsid w:val="00233293"/>
    <w:rsid w:val="002342F4"/>
    <w:rsid w:val="00235388"/>
    <w:rsid w:val="0023689F"/>
    <w:rsid w:val="00242E11"/>
    <w:rsid w:val="0024416D"/>
    <w:rsid w:val="002800A0"/>
    <w:rsid w:val="002801B3"/>
    <w:rsid w:val="0028098F"/>
    <w:rsid w:val="00281060"/>
    <w:rsid w:val="002940E8"/>
    <w:rsid w:val="002A6E50"/>
    <w:rsid w:val="002B0D19"/>
    <w:rsid w:val="002B1132"/>
    <w:rsid w:val="002B2CAC"/>
    <w:rsid w:val="002C256A"/>
    <w:rsid w:val="002C2BB0"/>
    <w:rsid w:val="002C53A4"/>
    <w:rsid w:val="002D03C4"/>
    <w:rsid w:val="002D1607"/>
    <w:rsid w:val="002D7DB5"/>
    <w:rsid w:val="002F09F3"/>
    <w:rsid w:val="002F4B84"/>
    <w:rsid w:val="00305A7F"/>
    <w:rsid w:val="00315280"/>
    <w:rsid w:val="003152FE"/>
    <w:rsid w:val="00327436"/>
    <w:rsid w:val="0033507D"/>
    <w:rsid w:val="00340985"/>
    <w:rsid w:val="00343928"/>
    <w:rsid w:val="00344BD6"/>
    <w:rsid w:val="0035528D"/>
    <w:rsid w:val="0035627A"/>
    <w:rsid w:val="00361821"/>
    <w:rsid w:val="003663A1"/>
    <w:rsid w:val="00371404"/>
    <w:rsid w:val="00374E52"/>
    <w:rsid w:val="003935BF"/>
    <w:rsid w:val="003958BC"/>
    <w:rsid w:val="003A74AA"/>
    <w:rsid w:val="003C3E3A"/>
    <w:rsid w:val="003D227C"/>
    <w:rsid w:val="003D2B4D"/>
    <w:rsid w:val="003D5268"/>
    <w:rsid w:val="003E322A"/>
    <w:rsid w:val="003E4EAC"/>
    <w:rsid w:val="003F0534"/>
    <w:rsid w:val="003F10A1"/>
    <w:rsid w:val="004419C0"/>
    <w:rsid w:val="00444A88"/>
    <w:rsid w:val="00455AEA"/>
    <w:rsid w:val="004622E4"/>
    <w:rsid w:val="00474DA4"/>
    <w:rsid w:val="00476B4D"/>
    <w:rsid w:val="004805FA"/>
    <w:rsid w:val="0049138D"/>
    <w:rsid w:val="004951C9"/>
    <w:rsid w:val="004A4D0E"/>
    <w:rsid w:val="004B0C0F"/>
    <w:rsid w:val="004B2B03"/>
    <w:rsid w:val="004C25C1"/>
    <w:rsid w:val="004C2612"/>
    <w:rsid w:val="004D047D"/>
    <w:rsid w:val="004D202D"/>
    <w:rsid w:val="004F305A"/>
    <w:rsid w:val="004F5B95"/>
    <w:rsid w:val="00503B4C"/>
    <w:rsid w:val="00504419"/>
    <w:rsid w:val="0051068B"/>
    <w:rsid w:val="00512164"/>
    <w:rsid w:val="00520297"/>
    <w:rsid w:val="00532F43"/>
    <w:rsid w:val="005338F9"/>
    <w:rsid w:val="005353CC"/>
    <w:rsid w:val="0054281C"/>
    <w:rsid w:val="00542B2F"/>
    <w:rsid w:val="00544B41"/>
    <w:rsid w:val="0055268D"/>
    <w:rsid w:val="00560A6D"/>
    <w:rsid w:val="00561097"/>
    <w:rsid w:val="00574678"/>
    <w:rsid w:val="005752ED"/>
    <w:rsid w:val="00576BE4"/>
    <w:rsid w:val="005A400A"/>
    <w:rsid w:val="005C7018"/>
    <w:rsid w:val="005E25AA"/>
    <w:rsid w:val="005E69CA"/>
    <w:rsid w:val="005F05B6"/>
    <w:rsid w:val="00612379"/>
    <w:rsid w:val="006128CD"/>
    <w:rsid w:val="00612E92"/>
    <w:rsid w:val="0061555F"/>
    <w:rsid w:val="006345A5"/>
    <w:rsid w:val="006360C1"/>
    <w:rsid w:val="00641200"/>
    <w:rsid w:val="00643221"/>
    <w:rsid w:val="006603C1"/>
    <w:rsid w:val="00663239"/>
    <w:rsid w:val="006655D3"/>
    <w:rsid w:val="0067078A"/>
    <w:rsid w:val="006727B5"/>
    <w:rsid w:val="00680CDD"/>
    <w:rsid w:val="00687EB4"/>
    <w:rsid w:val="006920A0"/>
    <w:rsid w:val="006975A9"/>
    <w:rsid w:val="006A090C"/>
    <w:rsid w:val="006A10B0"/>
    <w:rsid w:val="006B17D2"/>
    <w:rsid w:val="006B4C1F"/>
    <w:rsid w:val="006B6A21"/>
    <w:rsid w:val="006C224E"/>
    <w:rsid w:val="006C4E45"/>
    <w:rsid w:val="006D780A"/>
    <w:rsid w:val="006E4721"/>
    <w:rsid w:val="006E514C"/>
    <w:rsid w:val="007137EB"/>
    <w:rsid w:val="00732DEC"/>
    <w:rsid w:val="00734AB7"/>
    <w:rsid w:val="00735BD5"/>
    <w:rsid w:val="00736AC8"/>
    <w:rsid w:val="00742545"/>
    <w:rsid w:val="00742815"/>
    <w:rsid w:val="00743C2D"/>
    <w:rsid w:val="00743DC1"/>
    <w:rsid w:val="00744BB5"/>
    <w:rsid w:val="00747849"/>
    <w:rsid w:val="007544CC"/>
    <w:rsid w:val="007556F6"/>
    <w:rsid w:val="00760EEF"/>
    <w:rsid w:val="00766B27"/>
    <w:rsid w:val="007676EC"/>
    <w:rsid w:val="00776633"/>
    <w:rsid w:val="00777EE5"/>
    <w:rsid w:val="00780E2C"/>
    <w:rsid w:val="00782A9D"/>
    <w:rsid w:val="00784836"/>
    <w:rsid w:val="0079023E"/>
    <w:rsid w:val="007940CC"/>
    <w:rsid w:val="007A2854"/>
    <w:rsid w:val="007A3824"/>
    <w:rsid w:val="007A4CA1"/>
    <w:rsid w:val="007A4E51"/>
    <w:rsid w:val="007A55B1"/>
    <w:rsid w:val="007A5B7C"/>
    <w:rsid w:val="007B5A4C"/>
    <w:rsid w:val="007B66B8"/>
    <w:rsid w:val="007D0B9D"/>
    <w:rsid w:val="007D19B0"/>
    <w:rsid w:val="007D59A9"/>
    <w:rsid w:val="007F1F20"/>
    <w:rsid w:val="007F45EB"/>
    <w:rsid w:val="007F498F"/>
    <w:rsid w:val="007F6E11"/>
    <w:rsid w:val="0080679D"/>
    <w:rsid w:val="008108B0"/>
    <w:rsid w:val="00811B20"/>
    <w:rsid w:val="00812680"/>
    <w:rsid w:val="00812E7B"/>
    <w:rsid w:val="00813B45"/>
    <w:rsid w:val="00815D5E"/>
    <w:rsid w:val="0082296E"/>
    <w:rsid w:val="00824099"/>
    <w:rsid w:val="00825887"/>
    <w:rsid w:val="00833A89"/>
    <w:rsid w:val="008359FE"/>
    <w:rsid w:val="008402C8"/>
    <w:rsid w:val="00844C3B"/>
    <w:rsid w:val="008518D2"/>
    <w:rsid w:val="00867AC1"/>
    <w:rsid w:val="00873512"/>
    <w:rsid w:val="008836AD"/>
    <w:rsid w:val="00895722"/>
    <w:rsid w:val="008A3C6D"/>
    <w:rsid w:val="008A743F"/>
    <w:rsid w:val="008B1C23"/>
    <w:rsid w:val="008B6109"/>
    <w:rsid w:val="008C0970"/>
    <w:rsid w:val="008D2CF7"/>
    <w:rsid w:val="008D34BA"/>
    <w:rsid w:val="008D6641"/>
    <w:rsid w:val="008E31F3"/>
    <w:rsid w:val="008E4604"/>
    <w:rsid w:val="00900C26"/>
    <w:rsid w:val="0090197F"/>
    <w:rsid w:val="00901A3F"/>
    <w:rsid w:val="00906DDC"/>
    <w:rsid w:val="00907A50"/>
    <w:rsid w:val="0091330F"/>
    <w:rsid w:val="00917841"/>
    <w:rsid w:val="009316C4"/>
    <w:rsid w:val="00934E09"/>
    <w:rsid w:val="00936253"/>
    <w:rsid w:val="00947760"/>
    <w:rsid w:val="00952DD4"/>
    <w:rsid w:val="00965A10"/>
    <w:rsid w:val="00970EB5"/>
    <w:rsid w:val="00970FED"/>
    <w:rsid w:val="0097434A"/>
    <w:rsid w:val="00990657"/>
    <w:rsid w:val="0099091B"/>
    <w:rsid w:val="00997029"/>
    <w:rsid w:val="00997058"/>
    <w:rsid w:val="009A0C8C"/>
    <w:rsid w:val="009A3538"/>
    <w:rsid w:val="009A3B56"/>
    <w:rsid w:val="009B03D4"/>
    <w:rsid w:val="009D690D"/>
    <w:rsid w:val="009E57AB"/>
    <w:rsid w:val="009E65B6"/>
    <w:rsid w:val="009F7D0F"/>
    <w:rsid w:val="00A22D2C"/>
    <w:rsid w:val="00A32192"/>
    <w:rsid w:val="00A36ABA"/>
    <w:rsid w:val="00A379E6"/>
    <w:rsid w:val="00A429AA"/>
    <w:rsid w:val="00A42AC3"/>
    <w:rsid w:val="00A430CF"/>
    <w:rsid w:val="00A4653A"/>
    <w:rsid w:val="00A46DE9"/>
    <w:rsid w:val="00A54309"/>
    <w:rsid w:val="00A56FAA"/>
    <w:rsid w:val="00A953CC"/>
    <w:rsid w:val="00AA44FF"/>
    <w:rsid w:val="00AB2B93"/>
    <w:rsid w:val="00AB5C70"/>
    <w:rsid w:val="00AB7E5B"/>
    <w:rsid w:val="00AC0177"/>
    <w:rsid w:val="00AE0EF1"/>
    <w:rsid w:val="00AE2937"/>
    <w:rsid w:val="00AE793E"/>
    <w:rsid w:val="00AF112F"/>
    <w:rsid w:val="00AF2134"/>
    <w:rsid w:val="00B0161F"/>
    <w:rsid w:val="00B025CE"/>
    <w:rsid w:val="00B07301"/>
    <w:rsid w:val="00B14A1B"/>
    <w:rsid w:val="00B17732"/>
    <w:rsid w:val="00B224DE"/>
    <w:rsid w:val="00B37B40"/>
    <w:rsid w:val="00B46575"/>
    <w:rsid w:val="00B571DC"/>
    <w:rsid w:val="00B605E0"/>
    <w:rsid w:val="00B84BBD"/>
    <w:rsid w:val="00B93720"/>
    <w:rsid w:val="00BA43FB"/>
    <w:rsid w:val="00BA6252"/>
    <w:rsid w:val="00BB23C2"/>
    <w:rsid w:val="00BB2BD6"/>
    <w:rsid w:val="00BB5A73"/>
    <w:rsid w:val="00BB72AB"/>
    <w:rsid w:val="00BC127D"/>
    <w:rsid w:val="00BC1FE6"/>
    <w:rsid w:val="00BD5E7F"/>
    <w:rsid w:val="00BE02C7"/>
    <w:rsid w:val="00BE5370"/>
    <w:rsid w:val="00BF69E8"/>
    <w:rsid w:val="00BF7AE6"/>
    <w:rsid w:val="00C02456"/>
    <w:rsid w:val="00C061B6"/>
    <w:rsid w:val="00C125F5"/>
    <w:rsid w:val="00C1438F"/>
    <w:rsid w:val="00C2446C"/>
    <w:rsid w:val="00C3533C"/>
    <w:rsid w:val="00C36AE5"/>
    <w:rsid w:val="00C40EA5"/>
    <w:rsid w:val="00C41F17"/>
    <w:rsid w:val="00C431BE"/>
    <w:rsid w:val="00C51D44"/>
    <w:rsid w:val="00C5280D"/>
    <w:rsid w:val="00C5791C"/>
    <w:rsid w:val="00C651CE"/>
    <w:rsid w:val="00C66290"/>
    <w:rsid w:val="00C72B7A"/>
    <w:rsid w:val="00C76EE9"/>
    <w:rsid w:val="00C95616"/>
    <w:rsid w:val="00C973F2"/>
    <w:rsid w:val="00CA304C"/>
    <w:rsid w:val="00CA32DE"/>
    <w:rsid w:val="00CA774A"/>
    <w:rsid w:val="00CB14FD"/>
    <w:rsid w:val="00CC11B0"/>
    <w:rsid w:val="00CC3462"/>
    <w:rsid w:val="00CD0F0A"/>
    <w:rsid w:val="00CD178F"/>
    <w:rsid w:val="00CE2377"/>
    <w:rsid w:val="00CE2C4A"/>
    <w:rsid w:val="00CE43ED"/>
    <w:rsid w:val="00CE47DD"/>
    <w:rsid w:val="00CF798B"/>
    <w:rsid w:val="00CF7E36"/>
    <w:rsid w:val="00D00D30"/>
    <w:rsid w:val="00D05106"/>
    <w:rsid w:val="00D12AAF"/>
    <w:rsid w:val="00D24319"/>
    <w:rsid w:val="00D260A0"/>
    <w:rsid w:val="00D30B95"/>
    <w:rsid w:val="00D32DEA"/>
    <w:rsid w:val="00D36F87"/>
    <w:rsid w:val="00D3708D"/>
    <w:rsid w:val="00D40426"/>
    <w:rsid w:val="00D4237F"/>
    <w:rsid w:val="00D42838"/>
    <w:rsid w:val="00D57C96"/>
    <w:rsid w:val="00D74017"/>
    <w:rsid w:val="00D75014"/>
    <w:rsid w:val="00D7512B"/>
    <w:rsid w:val="00D81BFB"/>
    <w:rsid w:val="00D91203"/>
    <w:rsid w:val="00D95174"/>
    <w:rsid w:val="00DA1A1B"/>
    <w:rsid w:val="00DA6F36"/>
    <w:rsid w:val="00DA7E69"/>
    <w:rsid w:val="00DB3D83"/>
    <w:rsid w:val="00DB596E"/>
    <w:rsid w:val="00DC00EA"/>
    <w:rsid w:val="00DC0CD8"/>
    <w:rsid w:val="00DC1903"/>
    <w:rsid w:val="00DC54D0"/>
    <w:rsid w:val="00E32F7E"/>
    <w:rsid w:val="00E37BC2"/>
    <w:rsid w:val="00E44689"/>
    <w:rsid w:val="00E53D70"/>
    <w:rsid w:val="00E54141"/>
    <w:rsid w:val="00E65C07"/>
    <w:rsid w:val="00E72D49"/>
    <w:rsid w:val="00E737E0"/>
    <w:rsid w:val="00E7593C"/>
    <w:rsid w:val="00E7678A"/>
    <w:rsid w:val="00E84C93"/>
    <w:rsid w:val="00E935F1"/>
    <w:rsid w:val="00E93B7E"/>
    <w:rsid w:val="00E94A81"/>
    <w:rsid w:val="00EA1047"/>
    <w:rsid w:val="00EA1FFB"/>
    <w:rsid w:val="00EA5967"/>
    <w:rsid w:val="00EB048E"/>
    <w:rsid w:val="00EB0D97"/>
    <w:rsid w:val="00ED20BB"/>
    <w:rsid w:val="00ED7D52"/>
    <w:rsid w:val="00EE34DF"/>
    <w:rsid w:val="00EE7438"/>
    <w:rsid w:val="00EF2F89"/>
    <w:rsid w:val="00EF5AF4"/>
    <w:rsid w:val="00EF6554"/>
    <w:rsid w:val="00F04020"/>
    <w:rsid w:val="00F0571F"/>
    <w:rsid w:val="00F10045"/>
    <w:rsid w:val="00F11E52"/>
    <w:rsid w:val="00F1237A"/>
    <w:rsid w:val="00F15832"/>
    <w:rsid w:val="00F15EF6"/>
    <w:rsid w:val="00F22CBD"/>
    <w:rsid w:val="00F40B46"/>
    <w:rsid w:val="00F42F99"/>
    <w:rsid w:val="00F45372"/>
    <w:rsid w:val="00F560F7"/>
    <w:rsid w:val="00F56C99"/>
    <w:rsid w:val="00F62C90"/>
    <w:rsid w:val="00F6334D"/>
    <w:rsid w:val="00F6342C"/>
    <w:rsid w:val="00F712D1"/>
    <w:rsid w:val="00F80602"/>
    <w:rsid w:val="00F83AB5"/>
    <w:rsid w:val="00F92D69"/>
    <w:rsid w:val="00FA49AB"/>
    <w:rsid w:val="00FA4A51"/>
    <w:rsid w:val="00FC393E"/>
    <w:rsid w:val="00FD7918"/>
    <w:rsid w:val="00FE39C7"/>
    <w:rsid w:val="00FF45AD"/>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8BC"/>
    <w:pPr>
      <w:jc w:val="both"/>
    </w:pPr>
    <w:rPr>
      <w:rFonts w:ascii="Arial" w:hAnsi="Arial"/>
    </w:rPr>
  </w:style>
  <w:style w:type="paragraph" w:styleId="Heading1">
    <w:name w:val="heading 1"/>
    <w:next w:val="Normal"/>
    <w:link w:val="Heading1Char"/>
    <w:autoRedefine/>
    <w:qFormat/>
    <w:rsid w:val="00F11E52"/>
    <w:pPr>
      <w:keepNext/>
      <w:outlineLvl w:val="0"/>
    </w:pPr>
    <w:rPr>
      <w:rFonts w:ascii="Arial" w:hAnsi="Arial"/>
      <w:b/>
      <w:caps/>
      <w:lang w:val="en-US" w:eastAsia="en-US" w:bidi="ar-SA"/>
    </w:rPr>
  </w:style>
  <w:style w:type="paragraph" w:styleId="Heading2">
    <w:name w:val="heading 2"/>
    <w:next w:val="Normal"/>
    <w:link w:val="Heading2Char"/>
    <w:autoRedefine/>
    <w:qFormat/>
    <w:rsid w:val="00A379E6"/>
    <w:pPr>
      <w:keepNext/>
      <w:jc w:val="center"/>
      <w:outlineLvl w:val="1"/>
    </w:pPr>
    <w:rPr>
      <w:rFonts w:ascii="Arial" w:hAnsi="Arial" w:cs="Arial"/>
      <w:b/>
      <w:u w:val="single"/>
      <w:lang w:eastAsia="en-US" w:bidi="ar-SA"/>
    </w:rPr>
  </w:style>
  <w:style w:type="paragraph" w:styleId="Heading3">
    <w:name w:val="heading 3"/>
    <w:next w:val="Normal"/>
    <w:link w:val="Heading3Char"/>
    <w:qFormat/>
    <w:rsid w:val="00F11E52"/>
    <w:pPr>
      <w:keepNext/>
      <w:jc w:val="center"/>
      <w:outlineLvl w:val="2"/>
    </w:pPr>
    <w:rPr>
      <w:rFonts w:ascii="Arial" w:eastAsiaTheme="minorHAnsi" w:hAnsi="Arial"/>
      <w:b/>
      <w:caps/>
      <w:lang w:val="en-US" w:eastAsia="en-US" w:bidi="ar-SA"/>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rPr>
  </w:style>
  <w:style w:type="paragraph" w:styleId="Heading5">
    <w:name w:val="heading 5"/>
    <w:next w:val="Normal"/>
    <w:link w:val="Heading5Char"/>
    <w:autoRedefine/>
    <w:qFormat/>
    <w:rsid w:val="00B17732"/>
    <w:pPr>
      <w:keepNext/>
      <w:jc w:val="center"/>
      <w:outlineLvl w:val="4"/>
    </w:pPr>
    <w:rPr>
      <w:rFonts w:ascii="Arial" w:hAnsi="Arial"/>
      <w:b/>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F11E52"/>
    <w:pPr>
      <w:tabs>
        <w:tab w:val="right" w:leader="dot" w:pos="9639"/>
      </w:tabs>
      <w:spacing w:before="120" w:after="120"/>
      <w:ind w:left="284"/>
    </w:pPr>
    <w:rPr>
      <w:rFonts w:ascii="Arial" w:hAnsi="Arial"/>
      <w:noProof/>
      <w:lang w:val="en-US" w:eastAsia="en-US" w:bidi="ar-SA"/>
    </w:rPr>
  </w:style>
  <w:style w:type="paragraph" w:styleId="TOC3">
    <w:name w:val="toc 3"/>
    <w:next w:val="Normal"/>
    <w:autoRedefine/>
    <w:uiPriority w:val="39"/>
    <w:rsid w:val="00F11E52"/>
    <w:pPr>
      <w:tabs>
        <w:tab w:val="right" w:leader="dot" w:pos="9639"/>
      </w:tabs>
      <w:spacing w:before="120" w:line="360" w:lineRule="auto"/>
      <w:ind w:left="851" w:right="851" w:hanging="567"/>
      <w:contextualSpacing/>
      <w:jc w:val="center"/>
    </w:pPr>
    <w:rPr>
      <w:rFonts w:ascii="Arial" w:hAnsi="Arial"/>
      <w:noProof/>
      <w:lang w:val="fr-FR" w:eastAsia="en-US" w:bidi="ar-SA"/>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11E52"/>
    <w:pPr>
      <w:tabs>
        <w:tab w:val="right" w:leader="dot" w:pos="9639"/>
      </w:tabs>
      <w:spacing w:before="240" w:after="240"/>
      <w:ind w:left="284" w:right="284" w:hanging="284"/>
      <w:jc w:val="both"/>
    </w:pPr>
    <w:rPr>
      <w:rFonts w:ascii="Arial" w:hAnsi="Arial"/>
      <w:b/>
      <w:caps/>
      <w:noProof/>
      <w:lang w:val="en-US" w:eastAsia="en-US" w:bidi="ar-SA"/>
    </w:rPr>
  </w:style>
  <w:style w:type="paragraph" w:styleId="TOC5">
    <w:name w:val="toc 5"/>
    <w:next w:val="Normal"/>
    <w:autoRedefine/>
    <w:uiPriority w:val="39"/>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de-DE"/>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A379E6"/>
    <w:rPr>
      <w:rFonts w:ascii="Arial" w:hAnsi="Arial" w:cs="Arial"/>
      <w:b/>
      <w:u w:val="single"/>
      <w:lang w:eastAsia="en-US" w:bidi="ar-SA"/>
    </w:rPr>
  </w:style>
  <w:style w:type="character" w:customStyle="1" w:styleId="Heading1Char">
    <w:name w:val="Heading 1 Char"/>
    <w:link w:val="Heading1"/>
    <w:rsid w:val="00F11E52"/>
    <w:rPr>
      <w:rFonts w:ascii="Arial" w:hAnsi="Arial"/>
      <w:b/>
      <w:caps/>
      <w:lang w:val="en-US" w:eastAsia="en-US" w:bidi="ar-SA"/>
    </w:rPr>
  </w:style>
  <w:style w:type="character" w:customStyle="1" w:styleId="Heading3Char">
    <w:name w:val="Heading 3 Char"/>
    <w:link w:val="Heading3"/>
    <w:rsid w:val="00F11E52"/>
    <w:rPr>
      <w:rFonts w:ascii="Arial" w:eastAsiaTheme="minorHAnsi" w:hAnsi="Arial"/>
      <w:b/>
      <w:caps/>
      <w:lang w:val="en-US" w:eastAsia="en-US" w:bidi="ar-SA"/>
    </w:rPr>
  </w:style>
  <w:style w:type="character" w:customStyle="1" w:styleId="Heading4Char">
    <w:name w:val="Heading 4 Char"/>
    <w:link w:val="Heading4"/>
    <w:rsid w:val="009A0C8C"/>
    <w:rPr>
      <w:rFonts w:ascii="Arial Bold" w:hAnsi="Arial Bold"/>
      <w:b/>
      <w:color w:val="FFFFFF" w:themeColor="background1"/>
      <w:sz w:val="16"/>
      <w:lang w:val="de-DE"/>
    </w:rPr>
  </w:style>
  <w:style w:type="character" w:customStyle="1" w:styleId="Heading5Char">
    <w:name w:val="Heading 5 Char"/>
    <w:link w:val="Heading5"/>
    <w:rsid w:val="00B17732"/>
    <w:rPr>
      <w:rFonts w:ascii="Arial" w:hAnsi="Arial"/>
      <w:b/>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de-DE"/>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de-DE"/>
    </w:rPr>
  </w:style>
  <w:style w:type="paragraph" w:customStyle="1" w:styleId="DecisionInvitingPara">
    <w:name w:val="Decision Inviting Para."/>
    <w:basedOn w:val="Normal"/>
    <w:rsid w:val="002F09F3"/>
    <w:pPr>
      <w:ind w:left="4536"/>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de-DE"/>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de-DE"/>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pPr>
    <w:rPr>
      <w:rFonts w:ascii="Times New Roman" w:hAnsi="Times New Roman"/>
      <w:sz w:val="24"/>
    </w:rPr>
  </w:style>
  <w:style w:type="character" w:customStyle="1" w:styleId="BodyText2Char">
    <w:name w:val="Body Text 2 Char"/>
    <w:basedOn w:val="DefaultParagraphFont"/>
    <w:link w:val="BodyText2"/>
    <w:rsid w:val="002F09F3"/>
    <w:rPr>
      <w:sz w:val="24"/>
      <w:lang w:val="de-DE"/>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 w:type="paragraph" w:styleId="TOC6">
    <w:name w:val="toc 6"/>
    <w:basedOn w:val="Normal"/>
    <w:next w:val="Normal"/>
    <w:autoRedefine/>
    <w:uiPriority w:val="39"/>
    <w:rsid w:val="002D03C4"/>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8BC"/>
    <w:pPr>
      <w:jc w:val="both"/>
    </w:pPr>
    <w:rPr>
      <w:rFonts w:ascii="Arial" w:hAnsi="Arial"/>
    </w:rPr>
  </w:style>
  <w:style w:type="paragraph" w:styleId="Heading1">
    <w:name w:val="heading 1"/>
    <w:next w:val="Normal"/>
    <w:link w:val="Heading1Char"/>
    <w:autoRedefine/>
    <w:qFormat/>
    <w:rsid w:val="00F11E52"/>
    <w:pPr>
      <w:keepNext/>
      <w:outlineLvl w:val="0"/>
    </w:pPr>
    <w:rPr>
      <w:rFonts w:ascii="Arial" w:hAnsi="Arial"/>
      <w:b/>
      <w:caps/>
      <w:lang w:val="en-US" w:eastAsia="en-US" w:bidi="ar-SA"/>
    </w:rPr>
  </w:style>
  <w:style w:type="paragraph" w:styleId="Heading2">
    <w:name w:val="heading 2"/>
    <w:next w:val="Normal"/>
    <w:link w:val="Heading2Char"/>
    <w:autoRedefine/>
    <w:qFormat/>
    <w:rsid w:val="00A379E6"/>
    <w:pPr>
      <w:keepNext/>
      <w:jc w:val="center"/>
      <w:outlineLvl w:val="1"/>
    </w:pPr>
    <w:rPr>
      <w:rFonts w:ascii="Arial" w:hAnsi="Arial" w:cs="Arial"/>
      <w:b/>
      <w:u w:val="single"/>
      <w:lang w:eastAsia="en-US" w:bidi="ar-SA"/>
    </w:rPr>
  </w:style>
  <w:style w:type="paragraph" w:styleId="Heading3">
    <w:name w:val="heading 3"/>
    <w:next w:val="Normal"/>
    <w:link w:val="Heading3Char"/>
    <w:qFormat/>
    <w:rsid w:val="00F11E52"/>
    <w:pPr>
      <w:keepNext/>
      <w:jc w:val="center"/>
      <w:outlineLvl w:val="2"/>
    </w:pPr>
    <w:rPr>
      <w:rFonts w:ascii="Arial" w:eastAsiaTheme="minorHAnsi" w:hAnsi="Arial"/>
      <w:b/>
      <w:caps/>
      <w:lang w:val="en-US" w:eastAsia="en-US" w:bidi="ar-SA"/>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rPr>
  </w:style>
  <w:style w:type="paragraph" w:styleId="Heading5">
    <w:name w:val="heading 5"/>
    <w:next w:val="Normal"/>
    <w:link w:val="Heading5Char"/>
    <w:autoRedefine/>
    <w:qFormat/>
    <w:rsid w:val="00B17732"/>
    <w:pPr>
      <w:keepNext/>
      <w:jc w:val="center"/>
      <w:outlineLvl w:val="4"/>
    </w:pPr>
    <w:rPr>
      <w:rFonts w:ascii="Arial" w:hAnsi="Arial"/>
      <w:b/>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F11E52"/>
    <w:pPr>
      <w:tabs>
        <w:tab w:val="right" w:leader="dot" w:pos="9639"/>
      </w:tabs>
      <w:spacing w:before="120" w:after="120"/>
      <w:ind w:left="284"/>
    </w:pPr>
    <w:rPr>
      <w:rFonts w:ascii="Arial" w:hAnsi="Arial"/>
      <w:noProof/>
      <w:lang w:val="en-US" w:eastAsia="en-US" w:bidi="ar-SA"/>
    </w:rPr>
  </w:style>
  <w:style w:type="paragraph" w:styleId="TOC3">
    <w:name w:val="toc 3"/>
    <w:next w:val="Normal"/>
    <w:autoRedefine/>
    <w:uiPriority w:val="39"/>
    <w:rsid w:val="00F11E52"/>
    <w:pPr>
      <w:tabs>
        <w:tab w:val="right" w:leader="dot" w:pos="9639"/>
      </w:tabs>
      <w:spacing w:before="120" w:line="360" w:lineRule="auto"/>
      <w:ind w:left="851" w:right="851" w:hanging="567"/>
      <w:contextualSpacing/>
      <w:jc w:val="center"/>
    </w:pPr>
    <w:rPr>
      <w:rFonts w:ascii="Arial" w:hAnsi="Arial"/>
      <w:noProof/>
      <w:lang w:val="fr-FR" w:eastAsia="en-US" w:bidi="ar-SA"/>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39"/>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F11E52"/>
    <w:pPr>
      <w:tabs>
        <w:tab w:val="right" w:leader="dot" w:pos="9639"/>
      </w:tabs>
      <w:spacing w:before="240" w:after="240"/>
      <w:ind w:left="284" w:right="284" w:hanging="284"/>
      <w:jc w:val="both"/>
    </w:pPr>
    <w:rPr>
      <w:rFonts w:ascii="Arial" w:hAnsi="Arial"/>
      <w:b/>
      <w:caps/>
      <w:noProof/>
      <w:lang w:val="en-US" w:eastAsia="en-US" w:bidi="ar-SA"/>
    </w:rPr>
  </w:style>
  <w:style w:type="paragraph" w:styleId="TOC5">
    <w:name w:val="toc 5"/>
    <w:next w:val="Normal"/>
    <w:autoRedefine/>
    <w:uiPriority w:val="39"/>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de-DE"/>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A379E6"/>
    <w:rPr>
      <w:rFonts w:ascii="Arial" w:hAnsi="Arial" w:cs="Arial"/>
      <w:b/>
      <w:u w:val="single"/>
      <w:lang w:eastAsia="en-US" w:bidi="ar-SA"/>
    </w:rPr>
  </w:style>
  <w:style w:type="character" w:customStyle="1" w:styleId="Heading1Char">
    <w:name w:val="Heading 1 Char"/>
    <w:link w:val="Heading1"/>
    <w:rsid w:val="00F11E52"/>
    <w:rPr>
      <w:rFonts w:ascii="Arial" w:hAnsi="Arial"/>
      <w:b/>
      <w:caps/>
      <w:lang w:val="en-US" w:eastAsia="en-US" w:bidi="ar-SA"/>
    </w:rPr>
  </w:style>
  <w:style w:type="character" w:customStyle="1" w:styleId="Heading3Char">
    <w:name w:val="Heading 3 Char"/>
    <w:link w:val="Heading3"/>
    <w:rsid w:val="00F11E52"/>
    <w:rPr>
      <w:rFonts w:ascii="Arial" w:eastAsiaTheme="minorHAnsi" w:hAnsi="Arial"/>
      <w:b/>
      <w:caps/>
      <w:lang w:val="en-US" w:eastAsia="en-US" w:bidi="ar-SA"/>
    </w:rPr>
  </w:style>
  <w:style w:type="character" w:customStyle="1" w:styleId="Heading4Char">
    <w:name w:val="Heading 4 Char"/>
    <w:link w:val="Heading4"/>
    <w:rsid w:val="009A0C8C"/>
    <w:rPr>
      <w:rFonts w:ascii="Arial Bold" w:hAnsi="Arial Bold"/>
      <w:b/>
      <w:color w:val="FFFFFF" w:themeColor="background1"/>
      <w:sz w:val="16"/>
      <w:lang w:val="de-DE"/>
    </w:rPr>
  </w:style>
  <w:style w:type="character" w:customStyle="1" w:styleId="Heading5Char">
    <w:name w:val="Heading 5 Char"/>
    <w:link w:val="Heading5"/>
    <w:rsid w:val="00B17732"/>
    <w:rPr>
      <w:rFonts w:ascii="Arial" w:hAnsi="Arial"/>
      <w:b/>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de-DE"/>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rPr>
  </w:style>
  <w:style w:type="character" w:customStyle="1" w:styleId="BodyTextIndent3Char">
    <w:name w:val="Body Text Indent 3 Char"/>
    <w:basedOn w:val="DefaultParagraphFont"/>
    <w:link w:val="BodyTextIndent3"/>
    <w:rsid w:val="002F09F3"/>
    <w:rPr>
      <w:sz w:val="24"/>
      <w:lang w:val="de-DE"/>
    </w:rPr>
  </w:style>
  <w:style w:type="paragraph" w:customStyle="1" w:styleId="DecisionInvitingPara">
    <w:name w:val="Decision Inviting Para."/>
    <w:basedOn w:val="Normal"/>
    <w:rsid w:val="002F09F3"/>
    <w:pPr>
      <w:ind w:left="4536"/>
    </w:pPr>
    <w:rPr>
      <w:rFonts w:ascii="Times New Roman" w:hAnsi="Times New Roman"/>
      <w:i/>
      <w:sz w:val="24"/>
    </w:rPr>
  </w:style>
  <w:style w:type="paragraph" w:customStyle="1" w:styleId="T1">
    <w:name w:val="T1"/>
    <w:basedOn w:val="BodyText"/>
    <w:rsid w:val="002F09F3"/>
    <w:rPr>
      <w:rFonts w:ascii="Times New Roman" w:hAnsi="Times New Roman"/>
      <w:b/>
      <w:sz w:val="24"/>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rPr>
  </w:style>
  <w:style w:type="character" w:customStyle="1" w:styleId="BodyTextIndent2Char">
    <w:name w:val="Body Text Indent 2 Char"/>
    <w:basedOn w:val="DefaultParagraphFont"/>
    <w:link w:val="BodyTextIndent2"/>
    <w:rsid w:val="002F09F3"/>
    <w:rPr>
      <w:lang w:val="de-DE"/>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rPr>
  </w:style>
  <w:style w:type="character" w:customStyle="1" w:styleId="BodyText3Char">
    <w:name w:val="Body Text 3 Char"/>
    <w:basedOn w:val="DefaultParagraphFont"/>
    <w:link w:val="BodyText3"/>
    <w:rsid w:val="002F09F3"/>
    <w:rPr>
      <w:sz w:val="24"/>
      <w:u w:val="single"/>
      <w:lang w:val="de-DE"/>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rPr>
  </w:style>
  <w:style w:type="paragraph" w:styleId="BodyText2">
    <w:name w:val="Body Text 2"/>
    <w:basedOn w:val="Normal"/>
    <w:link w:val="BodyText2Char"/>
    <w:rsid w:val="002F09F3"/>
    <w:pPr>
      <w:tabs>
        <w:tab w:val="left" w:pos="567"/>
      </w:tabs>
    </w:pPr>
    <w:rPr>
      <w:rFonts w:ascii="Times New Roman" w:hAnsi="Times New Roman"/>
      <w:sz w:val="24"/>
    </w:rPr>
  </w:style>
  <w:style w:type="character" w:customStyle="1" w:styleId="BodyText2Char">
    <w:name w:val="Body Text 2 Char"/>
    <w:basedOn w:val="DefaultParagraphFont"/>
    <w:link w:val="BodyText2"/>
    <w:rsid w:val="002F09F3"/>
    <w:rPr>
      <w:sz w:val="24"/>
      <w:lang w:val="de-DE"/>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 w:type="paragraph" w:styleId="TOC6">
    <w:name w:val="toc 6"/>
    <w:basedOn w:val="Normal"/>
    <w:next w:val="Normal"/>
    <w:autoRedefine/>
    <w:uiPriority w:val="39"/>
    <w:rsid w:val="002D03C4"/>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11.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image" Target="media/image14.emf"/><Relationship Id="rId41" Type="http://schemas.openxmlformats.org/officeDocument/2006/relationships/image" Target="media/image2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chart" Target="charts/chart2.xml"/><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emf"/><Relationship Id="rId48" Type="http://schemas.openxmlformats.org/officeDocument/2006/relationships/image" Target="media/image33.emf"/><Relationship Id="rId8" Type="http://schemas.openxmlformats.org/officeDocument/2006/relationships/endnotes" Target="endnotes.xml"/><Relationship Id="rId51"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000" baseline="0">
                <a:latin typeface="Arial" panose="020B0604020202020204" pitchFamily="34" charset="0"/>
                <a:cs typeface="Arial" panose="020B0604020202020204" pitchFamily="34" charset="0"/>
              </a:rPr>
              <a:t>2014/15 Tatsächliche Einnahmen</a:t>
            </a:r>
          </a:p>
        </c:rich>
      </c:tx>
      <c:layout>
        <c:manualLayout>
          <c:xMode val="edge"/>
          <c:yMode val="edge"/>
          <c:x val="0.3208611111111111"/>
          <c:y val="9.2592592592592587E-3"/>
        </c:manualLayout>
      </c:layout>
      <c:overlay val="0"/>
    </c:title>
    <c:autoTitleDeleted val="0"/>
    <c:plotArea>
      <c:layout>
        <c:manualLayout>
          <c:layoutTarget val="inner"/>
          <c:xMode val="edge"/>
          <c:yMode val="edge"/>
          <c:x val="0.31046281714785651"/>
          <c:y val="0.17379192184310294"/>
          <c:w val="0.40804702537182852"/>
          <c:h val="0.68007837561971418"/>
        </c:manualLayout>
      </c:layout>
      <c:pieChart>
        <c:varyColors val="1"/>
        <c:ser>
          <c:idx val="0"/>
          <c:order val="0"/>
          <c:tx>
            <c:v>2012/13 Actual Income</c:v>
          </c:tx>
          <c:spPr>
            <a:solidFill>
              <a:schemeClr val="accent1">
                <a:lumMod val="60000"/>
                <a:lumOff val="40000"/>
              </a:schemeClr>
            </a:solidFill>
          </c:spPr>
          <c:dPt>
            <c:idx val="0"/>
            <c:bubble3D val="0"/>
          </c:dPt>
          <c:dPt>
            <c:idx val="1"/>
            <c:bubble3D val="0"/>
          </c:dPt>
          <c:dPt>
            <c:idx val="2"/>
            <c:bubble3D val="0"/>
            <c:spPr>
              <a:solidFill>
                <a:schemeClr val="accent3">
                  <a:lumMod val="60000"/>
                  <a:lumOff val="40000"/>
                </a:schemeClr>
              </a:solidFill>
            </c:spPr>
          </c:dPt>
          <c:dPt>
            <c:idx val="3"/>
            <c:bubble3D val="0"/>
            <c:spPr>
              <a:solidFill>
                <a:schemeClr val="accent2">
                  <a:lumMod val="60000"/>
                  <a:lumOff val="40000"/>
                </a:schemeClr>
              </a:solidFill>
            </c:spPr>
          </c:dPt>
          <c:dLbls>
            <c:dLbl>
              <c:idx val="0"/>
              <c:layout>
                <c:manualLayout>
                  <c:x val="-2.1013670166229223E-2"/>
                  <c:y val="-0.28016732283464568"/>
                </c:manualLayout>
              </c:layout>
              <c:showLegendKey val="0"/>
              <c:showVal val="0"/>
              <c:showCatName val="1"/>
              <c:showSerName val="0"/>
              <c:showPercent val="1"/>
              <c:showBubbleSize val="0"/>
            </c:dLbl>
            <c:dLbl>
              <c:idx val="1"/>
              <c:delete val="1"/>
            </c:dLbl>
            <c:dLbl>
              <c:idx val="2"/>
              <c:layout>
                <c:manualLayout>
                  <c:x val="-0.11082458442694663"/>
                  <c:y val="5.4760863225430147E-2"/>
                </c:manualLayout>
              </c:layout>
              <c:numFmt formatCode="0.0%" sourceLinked="0"/>
              <c:spPr/>
              <c:txPr>
                <a:bodyPr/>
                <a:lstStyle/>
                <a:p>
                  <a:pPr>
                    <a:defRPr/>
                  </a:pPr>
                  <a:endParaRPr lang="en-US"/>
                </a:p>
              </c:txPr>
              <c:dLblPos val="bestFit"/>
              <c:showLegendKey val="0"/>
              <c:showVal val="0"/>
              <c:showCatName val="1"/>
              <c:showSerName val="0"/>
              <c:showPercent val="1"/>
              <c:showBubbleSize val="0"/>
            </c:dLbl>
            <c:dLbl>
              <c:idx val="3"/>
              <c:layout>
                <c:manualLayout>
                  <c:x val="0.21484426946631671"/>
                  <c:y val="7.2921041119860017E-2"/>
                </c:manualLayout>
              </c:layout>
              <c:numFmt formatCode="0.0%" sourceLinked="0"/>
              <c:spPr/>
              <c:txPr>
                <a:bodyPr/>
                <a:lstStyle/>
                <a:p>
                  <a:pPr>
                    <a:defRPr/>
                  </a:pPr>
                  <a:endParaRPr lang="en-US"/>
                </a:p>
              </c:txPr>
              <c:dLblPos val="bestFit"/>
              <c:showLegendKey val="0"/>
              <c:showVal val="0"/>
              <c:showCatName val="1"/>
              <c:showSerName val="0"/>
              <c:showPercent val="1"/>
              <c:showBubbleSize val="0"/>
            </c:dLbl>
            <c:numFmt formatCode="0.0%" sourceLinked="0"/>
            <c:showLegendKey val="0"/>
            <c:showVal val="0"/>
            <c:showCatName val="1"/>
            <c:showSerName val="0"/>
            <c:showPercent val="1"/>
            <c:showBubbleSize val="0"/>
            <c:showLeaderLines val="1"/>
          </c:dLbls>
          <c:cat>
            <c:strRef>
              <c:f>'Page 3 Table2'!$B$6:$B$9</c:f>
              <c:strCache>
                <c:ptCount val="4"/>
                <c:pt idx="0">
                  <c:v>Beiträge</c:v>
                </c:pt>
                <c:pt idx="1">
                  <c:v>Veröffentlichungen</c:v>
                </c:pt>
                <c:pt idx="2">
                  <c:v>Zinsen</c:v>
                </c:pt>
                <c:pt idx="3">
                  <c:v>Sonstige</c:v>
                </c:pt>
              </c:strCache>
            </c:strRef>
          </c:cat>
          <c:val>
            <c:numRef>
              <c:f>'Page 3 Table2'!$D$6:$D$9</c:f>
              <c:numCache>
                <c:formatCode>#,##0;\-#,##0;_-* "-"_-\ </c:formatCode>
                <c:ptCount val="4"/>
                <c:pt idx="0" formatCode="_(* #,##0_);_(* \(#,##0\);_(* &quot;-&quot;??_);_(@_)">
                  <c:v>6679.2839999999997</c:v>
                </c:pt>
                <c:pt idx="1">
                  <c:v>0</c:v>
                </c:pt>
                <c:pt idx="2" formatCode="_ * #,##0_ ;_ * \-#,##0_ ;_ * &quot;-&quot;??_ ;_ @_ ">
                  <c:v>14.02455</c:v>
                </c:pt>
                <c:pt idx="3" formatCode="_ * #,##0_ ;_ * \-#,##0_ ;_ * &quot;-&quot;??_ ;_ @_ ">
                  <c:v>100.46472999999999</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1"/>
        <c:delete val="1"/>
      </c:legendEntry>
      <c:layout>
        <c:manualLayout>
          <c:xMode val="edge"/>
          <c:yMode val="edge"/>
          <c:x val="0.10119488188976378"/>
          <c:y val="0.89963728492271799"/>
          <c:w val="0.77936067366579176"/>
          <c:h val="8.4868766404199492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94907822150974"/>
          <c:y val="5.0351563197457462E-2"/>
          <c:w val="0.84727552768478798"/>
          <c:h val="0.7544028425018301"/>
        </c:manualLayout>
      </c:layout>
      <c:lineChart>
        <c:grouping val="standard"/>
        <c:varyColors val="0"/>
        <c:ser>
          <c:idx val="0"/>
          <c:order val="0"/>
          <c:tx>
            <c:strRef>
              <c:f>'Page 7 Table7'!$A$6</c:f>
              <c:strCache>
                <c:ptCount val="1"/>
                <c:pt idx="0">
                  <c:v>Einnahmen</c:v>
                </c:pt>
              </c:strCache>
            </c:strRef>
          </c:tx>
          <c:spPr>
            <a:ln>
              <a:solidFill>
                <a:schemeClr val="accent1">
                  <a:lumMod val="60000"/>
                  <a:lumOff val="40000"/>
                </a:schemeClr>
              </a:solidFill>
            </a:ln>
          </c:spPr>
          <c:marker>
            <c:spPr>
              <a:solidFill>
                <a:schemeClr val="accent1">
                  <a:lumMod val="60000"/>
                  <a:lumOff val="40000"/>
                </a:schemeClr>
              </a:solidFill>
              <a:ln>
                <a:noFill/>
              </a:ln>
            </c:spPr>
          </c:marker>
          <c:cat>
            <c:numRef>
              <c:f>'Page 7 Table7'!$B$4:$I$4</c:f>
              <c:numCache>
                <c:formatCode>General</c:formatCode>
                <c:ptCount val="8"/>
                <c:pt idx="0">
                  <c:v>2008</c:v>
                </c:pt>
                <c:pt idx="1">
                  <c:v>2009</c:v>
                </c:pt>
                <c:pt idx="2">
                  <c:v>2010</c:v>
                </c:pt>
                <c:pt idx="3">
                  <c:v>2011</c:v>
                </c:pt>
                <c:pt idx="4">
                  <c:v>2012</c:v>
                </c:pt>
                <c:pt idx="5">
                  <c:v>2013</c:v>
                </c:pt>
                <c:pt idx="6">
                  <c:v>2014</c:v>
                </c:pt>
                <c:pt idx="7">
                  <c:v>2015</c:v>
                </c:pt>
              </c:numCache>
            </c:numRef>
          </c:cat>
          <c:val>
            <c:numRef>
              <c:f>'Page 7 Table7'!$B$6:$I$6</c:f>
              <c:numCache>
                <c:formatCode>_ * #,##0_ ;_ * \-#,##0_ ;_ * "-"??_ ;_ @_ </c:formatCode>
                <c:ptCount val="8"/>
                <c:pt idx="0">
                  <c:v>3378</c:v>
                </c:pt>
                <c:pt idx="1">
                  <c:v>3393</c:v>
                </c:pt>
                <c:pt idx="2">
                  <c:v>3412</c:v>
                </c:pt>
                <c:pt idx="3">
                  <c:v>3489</c:v>
                </c:pt>
                <c:pt idx="4">
                  <c:v>3388.1260000000002</c:v>
                </c:pt>
                <c:pt idx="5">
                  <c:v>3403.2179999999998</c:v>
                </c:pt>
                <c:pt idx="6">
                  <c:v>3384.2971499999999</c:v>
                </c:pt>
                <c:pt idx="7">
                  <c:v>3408.74613</c:v>
                </c:pt>
              </c:numCache>
            </c:numRef>
          </c:val>
          <c:smooth val="0"/>
        </c:ser>
        <c:ser>
          <c:idx val="1"/>
          <c:order val="1"/>
          <c:tx>
            <c:strRef>
              <c:f>'Page 7 Table7'!$A$7</c:f>
              <c:strCache>
                <c:ptCount val="1"/>
                <c:pt idx="0">
                  <c:v>Ausgaben</c:v>
                </c:pt>
              </c:strCache>
            </c:strRef>
          </c:tx>
          <c:spPr>
            <a:ln>
              <a:solidFill>
                <a:schemeClr val="accent2">
                  <a:lumMod val="60000"/>
                  <a:lumOff val="40000"/>
                </a:schemeClr>
              </a:solidFill>
            </a:ln>
          </c:spPr>
          <c:marker>
            <c:spPr>
              <a:solidFill>
                <a:schemeClr val="accent2">
                  <a:lumMod val="60000"/>
                  <a:lumOff val="40000"/>
                </a:schemeClr>
              </a:solidFill>
              <a:ln>
                <a:noFill/>
              </a:ln>
            </c:spPr>
          </c:marker>
          <c:cat>
            <c:numRef>
              <c:f>'Page 7 Table7'!$B$4:$I$4</c:f>
              <c:numCache>
                <c:formatCode>General</c:formatCode>
                <c:ptCount val="8"/>
                <c:pt idx="0">
                  <c:v>2008</c:v>
                </c:pt>
                <c:pt idx="1">
                  <c:v>2009</c:v>
                </c:pt>
                <c:pt idx="2">
                  <c:v>2010</c:v>
                </c:pt>
                <c:pt idx="3">
                  <c:v>2011</c:v>
                </c:pt>
                <c:pt idx="4">
                  <c:v>2012</c:v>
                </c:pt>
                <c:pt idx="5">
                  <c:v>2013</c:v>
                </c:pt>
                <c:pt idx="6">
                  <c:v>2014</c:v>
                </c:pt>
                <c:pt idx="7">
                  <c:v>2015</c:v>
                </c:pt>
              </c:numCache>
            </c:numRef>
          </c:cat>
          <c:val>
            <c:numRef>
              <c:f>'Page 7 Table7'!$B$7:$I$7</c:f>
              <c:numCache>
                <c:formatCode>_ * #,##0_ ;_ * \-#,##0_ ;_ * "-"??_ ;_ @_ </c:formatCode>
                <c:ptCount val="8"/>
                <c:pt idx="0">
                  <c:v>3034</c:v>
                </c:pt>
                <c:pt idx="1">
                  <c:v>3347</c:v>
                </c:pt>
                <c:pt idx="2">
                  <c:v>3501</c:v>
                </c:pt>
                <c:pt idx="3">
                  <c:v>2978</c:v>
                </c:pt>
                <c:pt idx="4">
                  <c:v>2954.0264200000029</c:v>
                </c:pt>
                <c:pt idx="5">
                  <c:v>3330.8953200000001</c:v>
                </c:pt>
                <c:pt idx="6">
                  <c:v>3275.0866900000001</c:v>
                </c:pt>
                <c:pt idx="7">
                  <c:v>3517.3941799999998</c:v>
                </c:pt>
              </c:numCache>
            </c:numRef>
          </c:val>
          <c:smooth val="0"/>
        </c:ser>
        <c:dLbls>
          <c:showLegendKey val="0"/>
          <c:showVal val="0"/>
          <c:showCatName val="0"/>
          <c:showSerName val="0"/>
          <c:showPercent val="0"/>
          <c:showBubbleSize val="0"/>
        </c:dLbls>
        <c:marker val="1"/>
        <c:smooth val="0"/>
        <c:axId val="123508224"/>
        <c:axId val="123527552"/>
      </c:lineChart>
      <c:catAx>
        <c:axId val="123508224"/>
        <c:scaling>
          <c:orientation val="minMax"/>
        </c:scaling>
        <c:delete val="0"/>
        <c:axPos val="b"/>
        <c:numFmt formatCode="General" sourceLinked="1"/>
        <c:majorTickMark val="out"/>
        <c:minorTickMark val="none"/>
        <c:tickLblPos val="nextTo"/>
        <c:crossAx val="123527552"/>
        <c:crosses val="autoZero"/>
        <c:auto val="1"/>
        <c:lblAlgn val="ctr"/>
        <c:lblOffset val="100"/>
        <c:noMultiLvlLbl val="0"/>
      </c:catAx>
      <c:valAx>
        <c:axId val="123527552"/>
        <c:scaling>
          <c:orientation val="minMax"/>
          <c:min val="1000"/>
        </c:scaling>
        <c:delete val="0"/>
        <c:axPos val="l"/>
        <c:majorGridlines/>
        <c:numFmt formatCode="_ * #,##0_ ;_ * \-#,##0_ ;_ * &quot;-&quot;??_ ;_ @_ " sourceLinked="1"/>
        <c:majorTickMark val="out"/>
        <c:minorTickMark val="none"/>
        <c:tickLblPos val="nextTo"/>
        <c:crossAx val="123508224"/>
        <c:crosses val="autoZero"/>
        <c:crossBetween val="between"/>
      </c:valAx>
    </c:plotArea>
    <c:legend>
      <c:legendPos val="r"/>
      <c:layout>
        <c:manualLayout>
          <c:xMode val="edge"/>
          <c:yMode val="edge"/>
          <c:x val="0.13954662852772146"/>
          <c:y val="0.91685753566518469"/>
          <c:w val="0.75666095630261787"/>
          <c:h val="7.3314407127680448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3969-0CAD-4B34-A72F-FD28F3CD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4317</Words>
  <Characters>24613</Characters>
  <Application>Microsoft Office Word</Application>
  <DocSecurity>0</DocSecurity>
  <Lines>205</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18</cp:revision>
  <cp:lastPrinted>2016-08-29T13:45:00Z</cp:lastPrinted>
  <dcterms:created xsi:type="dcterms:W3CDTF">2016-08-22T07:55:00Z</dcterms:created>
  <dcterms:modified xsi:type="dcterms:W3CDTF">2016-08-29T13:45:00Z</dcterms:modified>
</cp:coreProperties>
</file>