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44232" w:rsidRPr="00331262" w:rsidTr="004E5CD5">
        <w:trPr>
          <w:trHeight w:val="1760"/>
        </w:trPr>
        <w:tc>
          <w:tcPr>
            <w:tcW w:w="4243" w:type="dxa"/>
          </w:tcPr>
          <w:p w:rsidR="00944232" w:rsidRPr="00331262" w:rsidRDefault="00944232" w:rsidP="004E5CD5">
            <w:pPr>
              <w:rPr>
                <w:lang w:val="de-DE"/>
              </w:rPr>
            </w:pPr>
          </w:p>
        </w:tc>
        <w:tc>
          <w:tcPr>
            <w:tcW w:w="1646" w:type="dxa"/>
            <w:vAlign w:val="center"/>
          </w:tcPr>
          <w:p w:rsidR="00944232" w:rsidRPr="00331262" w:rsidRDefault="00944232" w:rsidP="004E5CD5">
            <w:pPr>
              <w:pStyle w:val="LogoUPOV"/>
            </w:pPr>
            <w:r w:rsidRPr="00331262">
              <w:rPr>
                <w:noProof/>
                <w:lang w:val="en-US" w:eastAsia="en-US" w:bidi="ar-SA"/>
              </w:rPr>
              <w:drawing>
                <wp:inline distT="0" distB="0" distL="0" distR="0" wp14:anchorId="71EF4246" wp14:editId="02CE6CEC">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944232" w:rsidRPr="00331262" w:rsidRDefault="00944232" w:rsidP="004E5CD5">
            <w:pPr>
              <w:pStyle w:val="Lettrine"/>
            </w:pPr>
            <w:r w:rsidRPr="00331262">
              <w:t>G</w:t>
            </w:r>
          </w:p>
          <w:p w:rsidR="002B2441" w:rsidRDefault="00944232" w:rsidP="009F2206">
            <w:pPr>
              <w:spacing w:line="280" w:lineRule="exact"/>
              <w:ind w:left="1305"/>
              <w:jc w:val="left"/>
              <w:rPr>
                <w:b/>
                <w:spacing w:val="10"/>
                <w:lang w:val="de-DE"/>
              </w:rPr>
            </w:pPr>
            <w:r w:rsidRPr="00331262">
              <w:rPr>
                <w:b/>
                <w:spacing w:val="10"/>
                <w:lang w:val="de-DE"/>
              </w:rPr>
              <w:t xml:space="preserve">UPOV/EXN/NUL/2 </w:t>
            </w:r>
            <w:proofErr w:type="spellStart"/>
            <w:r w:rsidR="00365A0E" w:rsidRPr="00331262">
              <w:rPr>
                <w:b/>
                <w:spacing w:val="10"/>
                <w:lang w:val="de-DE"/>
              </w:rPr>
              <w:t>Draft</w:t>
            </w:r>
            <w:proofErr w:type="spellEnd"/>
            <w:r w:rsidR="00365A0E" w:rsidRPr="00331262">
              <w:rPr>
                <w:b/>
                <w:spacing w:val="10"/>
                <w:lang w:val="de-DE"/>
              </w:rPr>
              <w:t xml:space="preserve"> 4</w:t>
            </w:r>
          </w:p>
          <w:p w:rsidR="00944232" w:rsidRPr="00331262" w:rsidRDefault="00944232" w:rsidP="009F2206">
            <w:pPr>
              <w:spacing w:line="280" w:lineRule="exact"/>
              <w:ind w:left="1305"/>
              <w:jc w:val="left"/>
              <w:rPr>
                <w:lang w:val="de-DE"/>
              </w:rPr>
            </w:pPr>
            <w:r w:rsidRPr="00331262">
              <w:rPr>
                <w:b/>
                <w:spacing w:val="10"/>
                <w:lang w:val="de-DE"/>
              </w:rPr>
              <w:t>ORIGINAL:</w:t>
            </w:r>
            <w:r w:rsidRPr="00331262">
              <w:rPr>
                <w:lang w:val="de-DE"/>
              </w:rPr>
              <w:t xml:space="preserve"> englisch</w:t>
            </w:r>
          </w:p>
          <w:p w:rsidR="00944232" w:rsidRPr="00331262" w:rsidRDefault="00944232" w:rsidP="004D705F">
            <w:pPr>
              <w:pStyle w:val="Docoriginal"/>
              <w:ind w:left="1305"/>
              <w:jc w:val="left"/>
              <w:rPr>
                <w:b w:val="0"/>
                <w:spacing w:val="0"/>
              </w:rPr>
            </w:pPr>
            <w:r w:rsidRPr="00331262">
              <w:t>DATUM:</w:t>
            </w:r>
            <w:r w:rsidR="009F2206" w:rsidRPr="00331262">
              <w:rPr>
                <w:b w:val="0"/>
                <w:spacing w:val="0"/>
              </w:rPr>
              <w:t xml:space="preserve"> </w:t>
            </w:r>
            <w:r w:rsidR="004D705F">
              <w:rPr>
                <w:b w:val="0"/>
                <w:spacing w:val="0"/>
              </w:rPr>
              <w:t>14. September</w:t>
            </w:r>
            <w:bookmarkStart w:id="0" w:name="_GoBack"/>
            <w:bookmarkEnd w:id="0"/>
            <w:r w:rsidR="00107BC4" w:rsidRPr="00331262">
              <w:rPr>
                <w:b w:val="0"/>
                <w:spacing w:val="0"/>
              </w:rPr>
              <w:t xml:space="preserve"> </w:t>
            </w:r>
            <w:r w:rsidRPr="00331262">
              <w:rPr>
                <w:b w:val="0"/>
                <w:spacing w:val="0"/>
              </w:rPr>
              <w:t>201</w:t>
            </w:r>
            <w:r w:rsidR="009F2206" w:rsidRPr="00331262">
              <w:rPr>
                <w:b w:val="0"/>
                <w:spacing w:val="0"/>
              </w:rPr>
              <w:t>5</w:t>
            </w:r>
          </w:p>
        </w:tc>
      </w:tr>
      <w:tr w:rsidR="00944232" w:rsidRPr="004779EC" w:rsidTr="004E5CD5">
        <w:tc>
          <w:tcPr>
            <w:tcW w:w="10131" w:type="dxa"/>
            <w:gridSpan w:val="3"/>
          </w:tcPr>
          <w:p w:rsidR="00944232" w:rsidRPr="00331262" w:rsidRDefault="00944232" w:rsidP="004E5CD5">
            <w:pPr>
              <w:pStyle w:val="upove"/>
              <w:rPr>
                <w:sz w:val="28"/>
              </w:rPr>
            </w:pPr>
            <w:r w:rsidRPr="00331262">
              <w:t xml:space="preserve">INTERNATIONALER VERBAND ZUM SCHUTZ VON PFLANZENZÜCHTUNGEN </w:t>
            </w:r>
          </w:p>
        </w:tc>
      </w:tr>
      <w:tr w:rsidR="00944232" w:rsidRPr="00331262" w:rsidTr="004E5CD5">
        <w:tc>
          <w:tcPr>
            <w:tcW w:w="10131" w:type="dxa"/>
            <w:gridSpan w:val="3"/>
          </w:tcPr>
          <w:p w:rsidR="00944232" w:rsidRPr="00331262" w:rsidRDefault="00944232" w:rsidP="004E5CD5">
            <w:pPr>
              <w:pStyle w:val="Country"/>
            </w:pPr>
            <w:r w:rsidRPr="00331262">
              <w:t>Genf</w:t>
            </w:r>
          </w:p>
        </w:tc>
      </w:tr>
    </w:tbl>
    <w:p w:rsidR="00944232" w:rsidRPr="00331262" w:rsidRDefault="00944232">
      <w:pPr>
        <w:rPr>
          <w:lang w:val="de-DE"/>
        </w:rPr>
      </w:pPr>
    </w:p>
    <w:p w:rsidR="00944232" w:rsidRPr="00331262"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de-DE"/>
        </w:rPr>
      </w:pPr>
    </w:p>
    <w:p w:rsidR="00944232" w:rsidRPr="00331262"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de-DE"/>
        </w:rPr>
      </w:pPr>
      <w:r w:rsidRPr="00331262">
        <w:rPr>
          <w:lang w:val="de-DE"/>
        </w:rPr>
        <w:t>ENTWURF</w:t>
      </w:r>
    </w:p>
    <w:p w:rsidR="00944232" w:rsidRPr="00331262"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de-DE"/>
        </w:rPr>
      </w:pPr>
      <w:r w:rsidRPr="00331262">
        <w:rPr>
          <w:lang w:val="de-DE"/>
        </w:rPr>
        <w:t>(ÜBERARBEITUNG)</w:t>
      </w:r>
    </w:p>
    <w:p w:rsidR="00944232" w:rsidRPr="00331262"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de-DE"/>
        </w:rPr>
      </w:pPr>
    </w:p>
    <w:p w:rsidR="00944232" w:rsidRPr="00331262" w:rsidRDefault="00944232" w:rsidP="00BE4EC4">
      <w:pPr>
        <w:spacing w:before="1200" w:after="240"/>
        <w:jc w:val="center"/>
        <w:rPr>
          <w:caps/>
          <w:lang w:val="de-DE"/>
        </w:rPr>
      </w:pPr>
      <w:r w:rsidRPr="00331262">
        <w:rPr>
          <w:lang w:val="de-DE"/>
        </w:rPr>
        <w:t>ERLÄUTERUNGEN</w:t>
      </w:r>
      <w:r w:rsidRPr="00331262">
        <w:rPr>
          <w:lang w:val="de-DE"/>
        </w:rPr>
        <w:br/>
      </w:r>
      <w:r w:rsidRPr="00331262">
        <w:rPr>
          <w:caps/>
          <w:lang w:val="de-DE"/>
        </w:rPr>
        <w:br/>
        <w:t>ZUR Nichtigkeit des Züchterrechts</w:t>
      </w:r>
      <w:r w:rsidRPr="00331262">
        <w:rPr>
          <w:caps/>
          <w:lang w:val="de-DE"/>
        </w:rPr>
        <w:br/>
      </w:r>
      <w:r w:rsidRPr="00331262">
        <w:rPr>
          <w:caps/>
          <w:lang w:val="de-DE"/>
        </w:rPr>
        <w:br/>
        <w:t>nach dem UPOV-Übereinkommen</w:t>
      </w:r>
    </w:p>
    <w:p w:rsidR="00331262" w:rsidRPr="00331262" w:rsidRDefault="00944232" w:rsidP="00331262">
      <w:pPr>
        <w:pStyle w:val="preparedby0"/>
        <w:spacing w:after="960"/>
        <w:rPr>
          <w:rFonts w:cs="Arial"/>
        </w:rPr>
      </w:pPr>
      <w:r w:rsidRPr="00331262">
        <w:br/>
      </w:r>
      <w:r w:rsidRPr="00331262">
        <w:br/>
        <w:t>Vom Verbandsbüro erstelltes Dokument</w:t>
      </w:r>
      <w:r w:rsidRPr="00331262">
        <w:br/>
      </w:r>
      <w:r w:rsidRPr="00331262">
        <w:br/>
      </w:r>
      <w:r w:rsidR="00331262" w:rsidRPr="00331262">
        <w:t>zu prüfen vom Rat</w:t>
      </w:r>
      <w:r w:rsidR="00331262" w:rsidRPr="00331262">
        <w:br/>
        <w:t>auf seiner neunundvierzigsten ordentlichen Tagung am 29. Oktober 2015 in Genf</w:t>
      </w:r>
      <w:r w:rsidR="00331262" w:rsidRPr="00331262">
        <w:br/>
      </w:r>
      <w:r w:rsidR="00331262" w:rsidRPr="00331262">
        <w:br/>
      </w:r>
      <w:r w:rsidR="00331262" w:rsidRPr="00331262">
        <w:rPr>
          <w:color w:val="A6A6A6" w:themeColor="background1" w:themeShade="A6"/>
        </w:rPr>
        <w:t>Haftungsausschluß:  dieses Dokument gibt nicht die Grundsätze oder eine Anleitung der UPOV wieder</w:t>
      </w:r>
    </w:p>
    <w:p w:rsidR="00331262" w:rsidRPr="00331262" w:rsidRDefault="00331262" w:rsidP="00331262">
      <w:pPr>
        <w:rPr>
          <w:b/>
          <w:lang w:val="de-DE"/>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331262" w:rsidRPr="00331262" w:rsidTr="00C86289">
        <w:trPr>
          <w:cantSplit/>
          <w:jc w:val="center"/>
        </w:trPr>
        <w:tc>
          <w:tcPr>
            <w:tcW w:w="6664" w:type="dxa"/>
            <w:shd w:val="clear" w:color="auto" w:fill="E6E6E6"/>
          </w:tcPr>
          <w:p w:rsidR="00331262" w:rsidRPr="00331262" w:rsidRDefault="00331262" w:rsidP="00C86289">
            <w:pPr>
              <w:jc w:val="center"/>
              <w:rPr>
                <w:sz w:val="18"/>
                <w:szCs w:val="18"/>
                <w:lang w:val="de-DE"/>
              </w:rPr>
            </w:pPr>
            <w:r w:rsidRPr="00331262">
              <w:rPr>
                <w:sz w:val="18"/>
                <w:lang w:val="de-DE"/>
              </w:rPr>
              <w:t>Anmerkung zum Entwurf</w:t>
            </w:r>
          </w:p>
          <w:p w:rsidR="00331262" w:rsidRPr="00331262" w:rsidRDefault="00331262" w:rsidP="00C86289">
            <w:pPr>
              <w:jc w:val="center"/>
              <w:rPr>
                <w:sz w:val="18"/>
                <w:szCs w:val="18"/>
                <w:lang w:val="de-DE"/>
              </w:rPr>
            </w:pPr>
          </w:p>
          <w:p w:rsidR="00331262" w:rsidRPr="00331262" w:rsidRDefault="00331262" w:rsidP="00C86289">
            <w:pPr>
              <w:rPr>
                <w:sz w:val="18"/>
                <w:szCs w:val="18"/>
                <w:lang w:val="de-DE"/>
              </w:rPr>
            </w:pPr>
            <w:r w:rsidRPr="00331262">
              <w:rPr>
                <w:b/>
                <w:strike/>
                <w:sz w:val="18"/>
                <w:lang w:val="de-DE"/>
              </w:rPr>
              <w:t>Durchstreichen</w:t>
            </w:r>
            <w:r w:rsidRPr="00331262">
              <w:rPr>
                <w:b/>
                <w:sz w:val="18"/>
                <w:lang w:val="de-DE"/>
              </w:rPr>
              <w:t xml:space="preserve"> (hervorgehoben)</w:t>
            </w:r>
            <w:r w:rsidRPr="00331262">
              <w:rPr>
                <w:sz w:val="18"/>
                <w:lang w:val="de-DE"/>
              </w:rPr>
              <w:t xml:space="preserve"> gibt die vom Verwaltungs- und Rechtsausschuß (CAJ) vereinbarten Streichungen aus dem Wortlaut von Dokument UPOV/EXN/NUL/1 an.</w:t>
            </w:r>
          </w:p>
          <w:p w:rsidR="00331262" w:rsidRPr="00331262" w:rsidRDefault="00331262" w:rsidP="00C86289">
            <w:pPr>
              <w:rPr>
                <w:sz w:val="18"/>
                <w:szCs w:val="18"/>
                <w:lang w:val="de-DE"/>
              </w:rPr>
            </w:pPr>
          </w:p>
          <w:p w:rsidR="00331262" w:rsidRPr="00331262" w:rsidRDefault="00331262" w:rsidP="00C86289">
            <w:pPr>
              <w:rPr>
                <w:sz w:val="18"/>
                <w:szCs w:val="18"/>
                <w:lang w:val="de-DE"/>
              </w:rPr>
            </w:pPr>
            <w:r w:rsidRPr="00331262">
              <w:rPr>
                <w:b/>
                <w:sz w:val="18"/>
                <w:u w:val="single"/>
                <w:lang w:val="de-DE"/>
              </w:rPr>
              <w:t>Unterstreichen</w:t>
            </w:r>
            <w:r w:rsidRPr="00331262">
              <w:rPr>
                <w:b/>
                <w:sz w:val="18"/>
                <w:lang w:val="de-DE"/>
              </w:rPr>
              <w:t xml:space="preserve"> (hervorgehoben)</w:t>
            </w:r>
            <w:r w:rsidRPr="00331262">
              <w:rPr>
                <w:sz w:val="18"/>
                <w:lang w:val="de-DE"/>
              </w:rPr>
              <w:t xml:space="preserve"> gibt die vom CAJ vereinbarten Einfügungen in den Wortlaut von Dokument UPOV/EXN/NUL/1 an.</w:t>
            </w:r>
          </w:p>
          <w:p w:rsidR="00331262" w:rsidRPr="00331262" w:rsidRDefault="00331262" w:rsidP="00C86289">
            <w:pPr>
              <w:rPr>
                <w:sz w:val="18"/>
                <w:szCs w:val="18"/>
                <w:lang w:val="de-DE"/>
              </w:rPr>
            </w:pPr>
          </w:p>
          <w:p w:rsidR="00331262" w:rsidRPr="00331262" w:rsidRDefault="00331262" w:rsidP="00C86289">
            <w:pPr>
              <w:rPr>
                <w:szCs w:val="22"/>
                <w:lang w:val="de-DE"/>
              </w:rPr>
            </w:pPr>
            <w:r w:rsidRPr="00331262">
              <w:rPr>
                <w:b/>
                <w:sz w:val="18"/>
                <w:lang w:val="de-DE"/>
              </w:rPr>
              <w:t>Die Fußnoten</w:t>
            </w:r>
            <w:r w:rsidRPr="00331262">
              <w:rPr>
                <w:sz w:val="18"/>
                <w:lang w:val="de-DE"/>
              </w:rPr>
              <w:t xml:space="preserve"> werden im veröffentlichten Dokument beibehalten.</w:t>
            </w:r>
          </w:p>
        </w:tc>
      </w:tr>
    </w:tbl>
    <w:p w:rsidR="00331262" w:rsidRPr="00331262" w:rsidRDefault="00331262" w:rsidP="00331262">
      <w:pPr>
        <w:rPr>
          <w:lang w:val="de-DE"/>
        </w:rPr>
      </w:pPr>
    </w:p>
    <w:p w:rsidR="00944232" w:rsidRPr="00331262" w:rsidRDefault="00944232" w:rsidP="00331262">
      <w:pPr>
        <w:pStyle w:val="preparedby0"/>
        <w:spacing w:after="960"/>
      </w:pPr>
    </w:p>
    <w:p w:rsidR="00944232" w:rsidRPr="00331262" w:rsidRDefault="00944232">
      <w:pPr>
        <w:jc w:val="left"/>
        <w:rPr>
          <w:lang w:val="de-DE"/>
        </w:rPr>
      </w:pPr>
      <w:r w:rsidRPr="00331262">
        <w:rPr>
          <w:lang w:val="de-DE"/>
        </w:rPr>
        <w:br w:type="page"/>
      </w:r>
    </w:p>
    <w:p w:rsidR="004371D8" w:rsidRPr="00331262" w:rsidRDefault="004371D8" w:rsidP="004371D8">
      <w:pPr>
        <w:rPr>
          <w:lang w:val="de-DE"/>
        </w:rPr>
      </w:pPr>
    </w:p>
    <w:p w:rsidR="004371D8" w:rsidRPr="00331262" w:rsidRDefault="004371D8" w:rsidP="004371D8">
      <w:pPr>
        <w:jc w:val="center"/>
        <w:rPr>
          <w:sz w:val="18"/>
          <w:u w:val="single"/>
          <w:lang w:val="de-DE"/>
        </w:rPr>
      </w:pPr>
      <w:r w:rsidRPr="00331262">
        <w:rPr>
          <w:sz w:val="18"/>
          <w:u w:val="single"/>
          <w:lang w:val="de-DE"/>
        </w:rPr>
        <w:t>INHALT</w:t>
      </w:r>
    </w:p>
    <w:p w:rsidR="004371D8" w:rsidRPr="00331262" w:rsidRDefault="004371D8" w:rsidP="004371D8">
      <w:pPr>
        <w:rPr>
          <w:lang w:val="de-DE"/>
        </w:rPr>
      </w:pPr>
    </w:p>
    <w:p w:rsidR="00F42D1C" w:rsidRPr="002B2441" w:rsidRDefault="00944232">
      <w:pPr>
        <w:pStyle w:val="TOC2"/>
        <w:rPr>
          <w:rFonts w:asciiTheme="minorHAnsi" w:eastAsiaTheme="minorEastAsia" w:hAnsiTheme="minorHAnsi" w:cstheme="minorBidi"/>
          <w:sz w:val="22"/>
          <w:szCs w:val="22"/>
          <w:lang w:val="de-DE"/>
        </w:rPr>
      </w:pPr>
      <w:r w:rsidRPr="002B2441">
        <w:rPr>
          <w:bCs/>
          <w:szCs w:val="18"/>
          <w:lang w:val="de-DE"/>
        </w:rPr>
        <w:fldChar w:fldCharType="begin"/>
      </w:r>
      <w:r w:rsidRPr="002B2441">
        <w:rPr>
          <w:szCs w:val="18"/>
          <w:lang w:val="de-DE"/>
        </w:rPr>
        <w:instrText xml:space="preserve"> TOC \o "1-3" \u </w:instrText>
      </w:r>
      <w:r w:rsidRPr="002B2441">
        <w:rPr>
          <w:bCs/>
          <w:szCs w:val="18"/>
          <w:lang w:val="de-DE"/>
        </w:rPr>
        <w:fldChar w:fldCharType="separate"/>
      </w:r>
      <w:r w:rsidR="00F42D1C" w:rsidRPr="002B2441">
        <w:rPr>
          <w:lang w:val="de-DE"/>
        </w:rPr>
        <w:t>VORWORT</w:t>
      </w:r>
      <w:r w:rsidR="00F42D1C" w:rsidRPr="002B2441">
        <w:rPr>
          <w:lang w:val="de-DE"/>
        </w:rPr>
        <w:tab/>
      </w:r>
      <w:r w:rsidR="00F42D1C" w:rsidRPr="002B2441">
        <w:rPr>
          <w:lang w:val="de-DE"/>
        </w:rPr>
        <w:fldChar w:fldCharType="begin"/>
      </w:r>
      <w:r w:rsidR="00F42D1C" w:rsidRPr="002B2441">
        <w:rPr>
          <w:lang w:val="de-DE"/>
        </w:rPr>
        <w:instrText xml:space="preserve"> PAGEREF _Toc412823206 \h </w:instrText>
      </w:r>
      <w:r w:rsidR="00F42D1C" w:rsidRPr="002B2441">
        <w:rPr>
          <w:lang w:val="de-DE"/>
        </w:rPr>
      </w:r>
      <w:r w:rsidR="00F42D1C" w:rsidRPr="002B2441">
        <w:rPr>
          <w:lang w:val="de-DE"/>
        </w:rPr>
        <w:fldChar w:fldCharType="separate"/>
      </w:r>
      <w:r w:rsidR="00482D7C">
        <w:rPr>
          <w:lang w:val="de-DE"/>
        </w:rPr>
        <w:t>3</w:t>
      </w:r>
      <w:r w:rsidR="00F42D1C" w:rsidRPr="002B2441">
        <w:rPr>
          <w:lang w:val="de-DE"/>
        </w:rPr>
        <w:fldChar w:fldCharType="end"/>
      </w:r>
    </w:p>
    <w:p w:rsidR="00F42D1C" w:rsidRPr="002B2441" w:rsidRDefault="00F42D1C">
      <w:pPr>
        <w:pStyle w:val="TOC2"/>
        <w:rPr>
          <w:rFonts w:asciiTheme="minorHAnsi" w:eastAsiaTheme="minorEastAsia" w:hAnsiTheme="minorHAnsi" w:cstheme="minorBidi"/>
          <w:sz w:val="22"/>
          <w:szCs w:val="22"/>
          <w:lang w:val="de-DE"/>
        </w:rPr>
      </w:pPr>
      <w:r w:rsidRPr="002B2441">
        <w:rPr>
          <w:lang w:val="de-DE"/>
        </w:rPr>
        <w:t>ABSCHNITT I: BESTIMMUNGEN ÜBER DIE NICHTIGKEIT DES ZÜCHTERRECHTS</w:t>
      </w:r>
      <w:r w:rsidRPr="002B2441">
        <w:rPr>
          <w:lang w:val="de-DE"/>
        </w:rPr>
        <w:tab/>
      </w:r>
      <w:r w:rsidRPr="002B2441">
        <w:rPr>
          <w:lang w:val="de-DE"/>
        </w:rPr>
        <w:fldChar w:fldCharType="begin"/>
      </w:r>
      <w:r w:rsidRPr="002B2441">
        <w:rPr>
          <w:lang w:val="de-DE"/>
        </w:rPr>
        <w:instrText xml:space="preserve"> PAGEREF _Toc412823207 \h </w:instrText>
      </w:r>
      <w:r w:rsidRPr="002B2441">
        <w:rPr>
          <w:lang w:val="de-DE"/>
        </w:rPr>
      </w:r>
      <w:r w:rsidRPr="002B2441">
        <w:rPr>
          <w:lang w:val="de-DE"/>
        </w:rPr>
        <w:fldChar w:fldCharType="separate"/>
      </w:r>
      <w:r w:rsidR="00482D7C">
        <w:rPr>
          <w:lang w:val="de-DE"/>
        </w:rPr>
        <w:t>4</w:t>
      </w:r>
      <w:r w:rsidRPr="002B2441">
        <w:rPr>
          <w:lang w:val="de-DE"/>
        </w:rPr>
        <w:fldChar w:fldCharType="end"/>
      </w:r>
    </w:p>
    <w:p w:rsidR="00F42D1C" w:rsidRPr="002B2441" w:rsidRDefault="00F42D1C" w:rsidP="004779EC">
      <w:pPr>
        <w:pStyle w:val="TOC2"/>
        <w:rPr>
          <w:rFonts w:asciiTheme="minorHAnsi" w:eastAsiaTheme="minorEastAsia" w:hAnsiTheme="minorHAnsi" w:cstheme="minorBidi"/>
          <w:sz w:val="22"/>
          <w:szCs w:val="22"/>
          <w:lang w:val="de-DE"/>
        </w:rPr>
      </w:pPr>
      <w:r w:rsidRPr="002B2441">
        <w:rPr>
          <w:lang w:val="de-DE"/>
        </w:rPr>
        <w:t>ABSCHNITT II: BESTIMMTE ASPEKTE DER BESTIMMUNGEN ÜBER DIE NICHTIGKEIT DES ZÜCHTERRECHTS</w:t>
      </w:r>
      <w:r w:rsidRPr="002B2441">
        <w:rPr>
          <w:lang w:val="de-DE"/>
        </w:rPr>
        <w:tab/>
      </w:r>
      <w:r w:rsidRPr="002B2441">
        <w:rPr>
          <w:lang w:val="de-DE"/>
        </w:rPr>
        <w:fldChar w:fldCharType="begin"/>
      </w:r>
      <w:r w:rsidRPr="002B2441">
        <w:rPr>
          <w:lang w:val="de-DE"/>
        </w:rPr>
        <w:instrText xml:space="preserve"> PAGEREF _Toc412823208 \h </w:instrText>
      </w:r>
      <w:r w:rsidRPr="002B2441">
        <w:rPr>
          <w:lang w:val="de-DE"/>
        </w:rPr>
      </w:r>
      <w:r w:rsidRPr="002B2441">
        <w:rPr>
          <w:lang w:val="de-DE"/>
        </w:rPr>
        <w:fldChar w:fldCharType="separate"/>
      </w:r>
      <w:r w:rsidR="00482D7C">
        <w:rPr>
          <w:lang w:val="de-DE"/>
        </w:rPr>
        <w:t>5</w:t>
      </w:r>
      <w:r w:rsidRPr="002B2441">
        <w:rPr>
          <w:lang w:val="de-DE"/>
        </w:rPr>
        <w:fldChar w:fldCharType="end"/>
      </w:r>
    </w:p>
    <w:p w:rsidR="00944232" w:rsidRPr="00331262" w:rsidRDefault="00944232" w:rsidP="004371D8">
      <w:pPr>
        <w:jc w:val="center"/>
        <w:rPr>
          <w:rFonts w:asciiTheme="minorHAnsi" w:eastAsiaTheme="minorEastAsia" w:hAnsiTheme="minorHAnsi" w:cstheme="minorBidi"/>
          <w:bCs/>
          <w:noProof/>
          <w:lang w:val="de-DE"/>
        </w:rPr>
      </w:pPr>
      <w:r w:rsidRPr="002B2441">
        <w:rPr>
          <w:b/>
          <w:sz w:val="18"/>
          <w:szCs w:val="18"/>
          <w:lang w:val="de-DE"/>
        </w:rPr>
        <w:fldChar w:fldCharType="end"/>
      </w:r>
      <w:r w:rsidRPr="00331262">
        <w:rPr>
          <w:lang w:val="de-DE"/>
        </w:rPr>
        <w:br w:type="page"/>
      </w:r>
      <w:bookmarkStart w:id="1" w:name="_Toc398046490"/>
      <w:r w:rsidRPr="00331262">
        <w:rPr>
          <w:lang w:val="de-DE"/>
        </w:rPr>
        <w:lastRenderedPageBreak/>
        <w:t>ERLÄUTERUNGEN ZUR NICHTIGKEIT DES ZÜCHTERRECHTS</w:t>
      </w:r>
      <w:r w:rsidRPr="00331262">
        <w:rPr>
          <w:lang w:val="de-DE"/>
        </w:rPr>
        <w:br/>
        <w:t>NACH DEM UPOV-ÜBEREINKOMMEN</w:t>
      </w:r>
      <w:bookmarkEnd w:id="1"/>
    </w:p>
    <w:p w:rsidR="00944232" w:rsidRPr="00331262" w:rsidRDefault="00944232" w:rsidP="00BF6521">
      <w:pPr>
        <w:rPr>
          <w:lang w:val="de-DE"/>
        </w:rPr>
      </w:pPr>
    </w:p>
    <w:p w:rsidR="00944232" w:rsidRPr="00331262" w:rsidRDefault="00944232" w:rsidP="00944232">
      <w:pPr>
        <w:pStyle w:val="Heading2"/>
        <w:rPr>
          <w:lang w:val="de-DE"/>
        </w:rPr>
      </w:pPr>
      <w:bookmarkStart w:id="2" w:name="_Toc398046491"/>
      <w:bookmarkStart w:id="3" w:name="_Toc412823206"/>
      <w:r w:rsidRPr="00331262">
        <w:rPr>
          <w:lang w:val="de-DE"/>
        </w:rPr>
        <w:t>VORWORT</w:t>
      </w:r>
      <w:bookmarkEnd w:id="2"/>
      <w:bookmarkEnd w:id="3"/>
    </w:p>
    <w:p w:rsidR="00944232" w:rsidRPr="00331262" w:rsidRDefault="00944232" w:rsidP="00BF6521">
      <w:pPr>
        <w:rPr>
          <w:b/>
          <w:lang w:val="de-DE"/>
        </w:rPr>
      </w:pPr>
    </w:p>
    <w:p w:rsidR="00944232" w:rsidRPr="00331262" w:rsidRDefault="00944232" w:rsidP="00BF6521">
      <w:pPr>
        <w:rPr>
          <w:lang w:val="de-DE"/>
        </w:rPr>
      </w:pPr>
      <w:r w:rsidRPr="00331262">
        <w:rPr>
          <w:lang w:val="de-DE"/>
        </w:rPr>
        <w:fldChar w:fldCharType="begin"/>
      </w:r>
      <w:r w:rsidRPr="00331262">
        <w:rPr>
          <w:lang w:val="de-DE"/>
        </w:rPr>
        <w:instrText xml:space="preserve"> AUTONUM  </w:instrText>
      </w:r>
      <w:r w:rsidRPr="00331262">
        <w:rPr>
          <w:lang w:val="de-DE"/>
        </w:rPr>
        <w:fldChar w:fldCharType="end"/>
      </w:r>
      <w:r w:rsidRPr="00331262">
        <w:rPr>
          <w:lang w:val="de-DE"/>
        </w:rPr>
        <w:tab/>
        <w:t>Zweck dieser Erläuterungen ist es, Anleitung  zur Nichtigkeit des Züchterrechts nach dem Internationalen Übereinkommen zum Schutz von Pflanzensorten (UPOV-Übereinkommen) zu geben. Die einzigen verbindlichen Verpflichtungen für die Verbandsmitglieder sind diejenigen, die im Wortlaut des UPOV</w:t>
      </w:r>
      <w:r w:rsidRPr="00331262">
        <w:rPr>
          <w:lang w:val="de-DE"/>
        </w:rPr>
        <w:noBreakHyphen/>
        <w:t xml:space="preserve">Übereinkommens selbst enthalten sind, und diese Erläuterungen dürfen nicht in einer Weise ausgelegt werden, die in Widerspruch zu der für das jeweilige Verbandsmitglied geltenden Akte steht.  </w:t>
      </w:r>
    </w:p>
    <w:p w:rsidR="00944232" w:rsidRPr="00331262" w:rsidRDefault="00944232" w:rsidP="00BF6521">
      <w:pPr>
        <w:rPr>
          <w:lang w:val="de-DE"/>
        </w:rPr>
      </w:pPr>
    </w:p>
    <w:p w:rsidR="00944232" w:rsidRPr="00331262" w:rsidRDefault="00944232" w:rsidP="00BF6521">
      <w:pPr>
        <w:rPr>
          <w:lang w:val="de-DE"/>
        </w:rPr>
      </w:pPr>
      <w:r w:rsidRPr="00331262">
        <w:rPr>
          <w:lang w:val="de-DE"/>
        </w:rPr>
        <w:fldChar w:fldCharType="begin"/>
      </w:r>
      <w:r w:rsidRPr="00331262">
        <w:rPr>
          <w:lang w:val="de-DE"/>
        </w:rPr>
        <w:instrText xml:space="preserve"> AUTONUM  </w:instrText>
      </w:r>
      <w:r w:rsidRPr="00331262">
        <w:rPr>
          <w:lang w:val="de-DE"/>
        </w:rPr>
        <w:fldChar w:fldCharType="end"/>
      </w:r>
      <w:r w:rsidRPr="00331262">
        <w:rPr>
          <w:lang w:val="de-DE"/>
        </w:rPr>
        <w:tab/>
        <w:t>Die Erläuterungen in Abschnitt II geben Anleitung zu bestimmten Aspekten der in Artikel 21 der Akte von 1991 des UPOV-Übereinkommens und in Artikel 10 Absatz 1 und 4 der Akte von 1978 des UPOV</w:t>
      </w:r>
      <w:r w:rsidRPr="00331262">
        <w:rPr>
          <w:lang w:val="de-DE"/>
        </w:rPr>
        <w:noBreakHyphen/>
        <w:t xml:space="preserve">Übereinkommens enthaltenen Bestimmungen über die </w:t>
      </w:r>
      <w:r w:rsidRPr="00331262">
        <w:rPr>
          <w:noProof/>
          <w:lang w:val="de-DE"/>
        </w:rPr>
        <w:t>Aufhebung des Züchterrechts</w:t>
      </w:r>
      <w:r w:rsidRPr="00331262">
        <w:rPr>
          <w:lang w:val="de-DE"/>
        </w:rPr>
        <w:t xml:space="preserve">.  </w:t>
      </w:r>
    </w:p>
    <w:p w:rsidR="00944232" w:rsidRPr="00331262" w:rsidRDefault="00944232" w:rsidP="00BF6521">
      <w:pPr>
        <w:rPr>
          <w:lang w:val="de-DE"/>
        </w:rPr>
      </w:pPr>
    </w:p>
    <w:p w:rsidR="00944232" w:rsidRPr="00331262" w:rsidRDefault="00944232" w:rsidP="00BF6521">
      <w:pPr>
        <w:rPr>
          <w:lang w:val="de-DE"/>
        </w:rPr>
      </w:pPr>
    </w:p>
    <w:p w:rsidR="00944232" w:rsidRPr="00331262" w:rsidRDefault="00944232" w:rsidP="00944232">
      <w:pPr>
        <w:pStyle w:val="Heading2"/>
        <w:rPr>
          <w:lang w:val="de-DE"/>
        </w:rPr>
      </w:pPr>
      <w:r w:rsidRPr="00331262">
        <w:rPr>
          <w:lang w:val="de-DE"/>
        </w:rPr>
        <w:br w:type="page"/>
      </w:r>
      <w:bookmarkStart w:id="4" w:name="_Toc398046492"/>
      <w:bookmarkStart w:id="5" w:name="_Toc412823207"/>
      <w:r w:rsidRPr="00331262">
        <w:rPr>
          <w:lang w:val="de-DE"/>
        </w:rPr>
        <w:t>ABSCHNITT I: BESTIMMUNGEN ÜBER DIE NICHTIGKEIT DES ZÜCHTERRECHTS</w:t>
      </w:r>
      <w:bookmarkEnd w:id="4"/>
      <w:bookmarkEnd w:id="5"/>
    </w:p>
    <w:p w:rsidR="00944232" w:rsidRPr="00331262" w:rsidRDefault="00944232" w:rsidP="00BF6521">
      <w:pPr>
        <w:rPr>
          <w:lang w:val="de-DE"/>
        </w:rPr>
      </w:pPr>
    </w:p>
    <w:p w:rsidR="00944232" w:rsidRPr="00331262" w:rsidRDefault="00944232" w:rsidP="00BF6521">
      <w:pPr>
        <w:rPr>
          <w:lang w:val="de-DE"/>
        </w:rPr>
      </w:pPr>
      <w:r w:rsidRPr="00331262">
        <w:rPr>
          <w:lang w:val="de-DE"/>
        </w:rPr>
        <w:fldChar w:fldCharType="begin"/>
      </w:r>
      <w:r w:rsidRPr="00331262">
        <w:rPr>
          <w:lang w:val="de-DE"/>
        </w:rPr>
        <w:instrText xml:space="preserve"> AUTONUM  </w:instrText>
      </w:r>
      <w:r w:rsidRPr="00331262">
        <w:rPr>
          <w:lang w:val="de-DE"/>
        </w:rPr>
        <w:fldChar w:fldCharType="end"/>
      </w:r>
      <w:r w:rsidRPr="00331262">
        <w:rPr>
          <w:lang w:val="de-DE"/>
        </w:rPr>
        <w:tab/>
        <w:t>Die in Artikel 21 der Akte von 1991 und in Artikel 10 Absatz 1 und 4 der Akte von 1978 des UPOV-Übereinkommens enthaltenen Bestimmungen über die Nichtigkeit des Züchterrechts sind nachstehend wiedergegeben:</w:t>
      </w:r>
    </w:p>
    <w:p w:rsidR="00944232" w:rsidRPr="00331262" w:rsidRDefault="00944232" w:rsidP="00BF6521">
      <w:pPr>
        <w:rPr>
          <w:lang w:val="de-DE"/>
        </w:rPr>
      </w:pPr>
    </w:p>
    <w:p w:rsidR="00944232" w:rsidRPr="00331262"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lang w:val="de-DE"/>
        </w:rPr>
      </w:pPr>
    </w:p>
    <w:p w:rsidR="00944232" w:rsidRPr="00331262"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lang w:val="de-DE"/>
        </w:rPr>
      </w:pPr>
      <w:r w:rsidRPr="00331262">
        <w:rPr>
          <w:lang w:val="de-DE"/>
        </w:rPr>
        <w:t xml:space="preserve">Artikel 21 der </w:t>
      </w:r>
      <w:r w:rsidRPr="00331262">
        <w:rPr>
          <w:b/>
          <w:lang w:val="de-DE"/>
        </w:rPr>
        <w:t>Akte von 1991</w:t>
      </w:r>
      <w:r w:rsidRPr="00331262">
        <w:rPr>
          <w:lang w:val="de-DE"/>
        </w:rPr>
        <w:t xml:space="preserve"> des UPOV-Übereinkommens</w:t>
      </w:r>
    </w:p>
    <w:p w:rsidR="00944232" w:rsidRPr="00331262"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lang w:val="de-DE"/>
        </w:rPr>
      </w:pPr>
    </w:p>
    <w:p w:rsidR="00944232" w:rsidRPr="00331262"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lang w:val="de-DE"/>
        </w:rPr>
      </w:pPr>
      <w:r w:rsidRPr="00331262">
        <w:rPr>
          <w:b/>
          <w:lang w:val="de-DE"/>
        </w:rPr>
        <w:t>Artikel 21</w:t>
      </w:r>
    </w:p>
    <w:p w:rsidR="00944232" w:rsidRPr="00331262"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lang w:val="de-DE"/>
        </w:rPr>
      </w:pPr>
    </w:p>
    <w:p w:rsidR="00944232" w:rsidRPr="00331262"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lang w:val="de-DE"/>
        </w:rPr>
      </w:pPr>
      <w:r w:rsidRPr="00331262">
        <w:rPr>
          <w:b/>
          <w:lang w:val="de-DE"/>
        </w:rPr>
        <w:t>Nichtigkeit des Züchterrechts</w:t>
      </w:r>
    </w:p>
    <w:p w:rsidR="00944232" w:rsidRPr="00331262"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lang w:val="de-DE"/>
        </w:rPr>
      </w:pPr>
    </w:p>
    <w:p w:rsidR="00944232" w:rsidRPr="00331262" w:rsidRDefault="00944232" w:rsidP="00BF6521">
      <w:pPr>
        <w:pBdr>
          <w:top w:val="single" w:sz="4" w:space="1" w:color="auto"/>
          <w:left w:val="single" w:sz="4" w:space="1" w:color="auto"/>
          <w:bottom w:val="single" w:sz="4" w:space="1" w:color="auto"/>
          <w:right w:val="single" w:sz="4" w:space="1" w:color="auto"/>
        </w:pBdr>
        <w:ind w:left="567" w:right="571"/>
        <w:rPr>
          <w:lang w:val="de-DE"/>
        </w:rPr>
      </w:pPr>
      <w:r w:rsidRPr="00331262">
        <w:rPr>
          <w:lang w:val="de-DE"/>
        </w:rPr>
        <w:tab/>
        <w:t>1)</w:t>
      </w:r>
      <w:r w:rsidRPr="00331262">
        <w:rPr>
          <w:lang w:val="de-DE"/>
        </w:rPr>
        <w:tab/>
        <w:t>[</w:t>
      </w:r>
      <w:r w:rsidRPr="00331262">
        <w:rPr>
          <w:i/>
          <w:lang w:val="de-DE"/>
        </w:rPr>
        <w:t>Nichtigkeitsgründe</w:t>
      </w:r>
      <w:r w:rsidRPr="00331262">
        <w:rPr>
          <w:lang w:val="de-DE"/>
        </w:rPr>
        <w:t>] Das Züchterrecht wird für nichtig erklärt, wenn festgestellt wird,</w:t>
      </w:r>
    </w:p>
    <w:p w:rsidR="00944232" w:rsidRPr="00331262" w:rsidRDefault="00944232" w:rsidP="00BF6521">
      <w:pPr>
        <w:pBdr>
          <w:top w:val="single" w:sz="4" w:space="1" w:color="auto"/>
          <w:left w:val="single" w:sz="4" w:space="1" w:color="auto"/>
          <w:bottom w:val="single" w:sz="4" w:space="1" w:color="auto"/>
          <w:right w:val="single" w:sz="4" w:space="1" w:color="auto"/>
        </w:pBdr>
        <w:ind w:left="567" w:right="571"/>
        <w:rPr>
          <w:lang w:val="de-DE"/>
        </w:rPr>
      </w:pPr>
    </w:p>
    <w:p w:rsidR="00944232" w:rsidRPr="00331262"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331262">
        <w:rPr>
          <w:szCs w:val="20"/>
        </w:rPr>
        <w:tab/>
      </w:r>
      <w:r w:rsidRPr="00331262">
        <w:rPr>
          <w:szCs w:val="20"/>
        </w:rPr>
        <w:tab/>
        <w:t>i)</w:t>
      </w:r>
      <w:r w:rsidRPr="00331262">
        <w:rPr>
          <w:szCs w:val="20"/>
        </w:rPr>
        <w:tab/>
        <w:t xml:space="preserve">daß die in Artikel 6 oder 7 festgelegten Voraussetzungen bei der Erteilung des Züchterrechts nicht erfüllt waren, </w:t>
      </w:r>
    </w:p>
    <w:p w:rsidR="00944232" w:rsidRPr="00331262"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944232" w:rsidRPr="00331262"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331262">
        <w:rPr>
          <w:szCs w:val="20"/>
        </w:rPr>
        <w:tab/>
      </w:r>
      <w:r w:rsidRPr="00331262">
        <w:rPr>
          <w:szCs w:val="20"/>
        </w:rPr>
        <w:tab/>
        <w:t>ii)</w:t>
      </w:r>
      <w:r w:rsidRPr="00331262">
        <w:rPr>
          <w:szCs w:val="20"/>
        </w:rPr>
        <w:tab/>
        <w:t xml:space="preserve">daß, falls die der Erteilung des Züchterrechts im wesentlichen die vom Züchter gegebenen Auskünfte und eingereichten Unterlagen zugrunde gelegt wurden, die in Artikel 8 oder 9 festgelegten Voraussetzungen bei der Erteilung des Züchterrechts nicht erfüllt waren </w:t>
      </w:r>
      <w:r w:rsidRPr="00331262">
        <w:rPr>
          <w:szCs w:val="20"/>
          <w:vertAlign w:val="superscript"/>
        </w:rPr>
        <w:t>[</w:t>
      </w:r>
      <w:r w:rsidRPr="00331262">
        <w:rPr>
          <w:rStyle w:val="FootnoteReference"/>
          <w:szCs w:val="20"/>
        </w:rPr>
        <w:footnoteReference w:id="1"/>
      </w:r>
      <w:r w:rsidRPr="00331262">
        <w:rPr>
          <w:szCs w:val="20"/>
          <w:vertAlign w:val="superscript"/>
        </w:rPr>
        <w:t>]</w:t>
      </w:r>
      <w:r w:rsidRPr="00331262">
        <w:rPr>
          <w:szCs w:val="20"/>
        </w:rPr>
        <w:t>oder</w:t>
      </w:r>
    </w:p>
    <w:p w:rsidR="00944232" w:rsidRPr="00331262"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944232" w:rsidRPr="00331262"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331262">
        <w:tab/>
      </w:r>
      <w:r w:rsidRPr="00331262">
        <w:tab/>
        <w:t>iii)</w:t>
      </w:r>
      <w:r w:rsidRPr="00331262">
        <w:rPr>
          <w:szCs w:val="20"/>
        </w:rPr>
        <w:tab/>
        <w:t>daß das Züchterrecht einer nichtberechtigten Person erteilt worden ist, es sei denn, daß es der berechtigten Person übertragen wird.</w:t>
      </w:r>
      <w:r w:rsidRPr="00331262">
        <w:rPr>
          <w:szCs w:val="20"/>
          <w:vertAlign w:val="superscript"/>
        </w:rPr>
        <w:t>[</w:t>
      </w:r>
      <w:r w:rsidRPr="00331262">
        <w:rPr>
          <w:rStyle w:val="FootnoteReference"/>
          <w:szCs w:val="20"/>
        </w:rPr>
        <w:footnoteReference w:id="2"/>
      </w:r>
      <w:r w:rsidRPr="00331262">
        <w:rPr>
          <w:szCs w:val="20"/>
          <w:vertAlign w:val="superscript"/>
        </w:rPr>
        <w:t>]</w:t>
      </w:r>
    </w:p>
    <w:p w:rsidR="00944232" w:rsidRPr="00331262" w:rsidRDefault="00944232" w:rsidP="00BF6521">
      <w:pPr>
        <w:pBdr>
          <w:top w:val="single" w:sz="4" w:space="1" w:color="auto"/>
          <w:left w:val="single" w:sz="4" w:space="1" w:color="auto"/>
          <w:bottom w:val="single" w:sz="4" w:space="1" w:color="auto"/>
          <w:right w:val="single" w:sz="4" w:space="1" w:color="auto"/>
        </w:pBdr>
        <w:ind w:left="567" w:right="571"/>
        <w:rPr>
          <w:lang w:val="de-DE"/>
        </w:rPr>
      </w:pPr>
    </w:p>
    <w:p w:rsidR="00944232" w:rsidRPr="00331262" w:rsidRDefault="00944232" w:rsidP="00BF6521">
      <w:pPr>
        <w:pBdr>
          <w:top w:val="single" w:sz="4" w:space="1" w:color="auto"/>
          <w:left w:val="single" w:sz="4" w:space="1" w:color="auto"/>
          <w:bottom w:val="single" w:sz="4" w:space="1" w:color="auto"/>
          <w:right w:val="single" w:sz="4" w:space="1" w:color="auto"/>
        </w:pBdr>
        <w:ind w:left="567" w:right="571"/>
        <w:rPr>
          <w:lang w:val="de-DE"/>
        </w:rPr>
      </w:pPr>
      <w:r w:rsidRPr="00331262">
        <w:rPr>
          <w:lang w:val="de-DE"/>
        </w:rPr>
        <w:tab/>
        <w:t>2)</w:t>
      </w:r>
      <w:r w:rsidRPr="00331262">
        <w:rPr>
          <w:lang w:val="de-DE"/>
        </w:rPr>
        <w:tab/>
        <w:t>[</w:t>
      </w:r>
      <w:r w:rsidRPr="00331262">
        <w:rPr>
          <w:i/>
          <w:lang w:val="de-DE"/>
        </w:rPr>
        <w:t>Ausschluß anderer Gründe</w:t>
      </w:r>
      <w:r w:rsidRPr="00331262">
        <w:rPr>
          <w:lang w:val="de-DE"/>
        </w:rPr>
        <w:t>] Aus anderen als den in Absatz 1 aufgeführten Gründen darf das Züchterrecht nicht für nichtig erklärt werden.</w:t>
      </w:r>
    </w:p>
    <w:p w:rsidR="00944232" w:rsidRPr="00331262" w:rsidRDefault="00944232" w:rsidP="00BF6521">
      <w:pPr>
        <w:pBdr>
          <w:top w:val="single" w:sz="4" w:space="1" w:color="auto"/>
          <w:left w:val="single" w:sz="4" w:space="1" w:color="auto"/>
          <w:bottom w:val="single" w:sz="4" w:space="1" w:color="auto"/>
          <w:right w:val="single" w:sz="4" w:space="1" w:color="auto"/>
        </w:pBdr>
        <w:ind w:left="567" w:right="571"/>
        <w:rPr>
          <w:lang w:val="de-DE"/>
        </w:rPr>
      </w:pPr>
    </w:p>
    <w:p w:rsidR="00944232" w:rsidRPr="00331262" w:rsidRDefault="00944232" w:rsidP="00BF6521">
      <w:pPr>
        <w:rPr>
          <w:lang w:val="de-DE"/>
        </w:rPr>
      </w:pPr>
    </w:p>
    <w:p w:rsidR="00944232" w:rsidRPr="00331262" w:rsidRDefault="00944232" w:rsidP="00BF6521">
      <w:pPr>
        <w:rPr>
          <w:lang w:val="de-DE"/>
        </w:rPr>
      </w:pPr>
    </w:p>
    <w:p w:rsidR="00944232" w:rsidRPr="00331262" w:rsidRDefault="00944232" w:rsidP="00BF6521">
      <w:pPr>
        <w:pStyle w:val="a"/>
        <w:pBdr>
          <w:top w:val="single" w:sz="4" w:space="1" w:color="auto"/>
          <w:left w:val="single" w:sz="4" w:space="1" w:color="auto"/>
          <w:bottom w:val="single" w:sz="4" w:space="1" w:color="auto"/>
          <w:right w:val="single" w:sz="4" w:space="1" w:color="auto"/>
        </w:pBdr>
        <w:ind w:left="567" w:right="566"/>
        <w:rPr>
          <w:b w:val="0"/>
          <w:bCs/>
          <w:sz w:val="20"/>
        </w:rPr>
      </w:pPr>
    </w:p>
    <w:p w:rsidR="00944232" w:rsidRPr="00331262"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331262">
        <w:rPr>
          <w:rFonts w:ascii="Arial" w:hAnsi="Arial"/>
          <w:b w:val="0"/>
          <w:sz w:val="20"/>
        </w:rPr>
        <w:t xml:space="preserve">Artikel 10 der </w:t>
      </w:r>
      <w:r w:rsidRPr="00331262">
        <w:rPr>
          <w:rFonts w:ascii="Arial" w:hAnsi="Arial"/>
          <w:sz w:val="20"/>
        </w:rPr>
        <w:t xml:space="preserve">Akte von 1978 Act </w:t>
      </w:r>
      <w:r w:rsidRPr="00331262">
        <w:rPr>
          <w:rFonts w:ascii="Arial" w:hAnsi="Arial"/>
          <w:b w:val="0"/>
          <w:sz w:val="20"/>
        </w:rPr>
        <w:t xml:space="preserve">des UPOV-Übereinkommens </w:t>
      </w:r>
    </w:p>
    <w:p w:rsidR="00944232" w:rsidRPr="00331262"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p>
    <w:p w:rsidR="00944232" w:rsidRPr="00331262"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331262">
        <w:rPr>
          <w:rFonts w:ascii="Arial" w:hAnsi="Arial"/>
          <w:sz w:val="20"/>
        </w:rPr>
        <w:t>Artikel 10</w:t>
      </w:r>
    </w:p>
    <w:p w:rsidR="00944232" w:rsidRPr="00331262" w:rsidRDefault="00944232" w:rsidP="00BF6521">
      <w:pPr>
        <w:pBdr>
          <w:top w:val="single" w:sz="4" w:space="1" w:color="auto"/>
          <w:left w:val="single" w:sz="4" w:space="1" w:color="auto"/>
          <w:bottom w:val="single" w:sz="4" w:space="1" w:color="auto"/>
          <w:right w:val="single" w:sz="4" w:space="1" w:color="auto"/>
        </w:pBdr>
        <w:ind w:left="567" w:right="566"/>
        <w:rPr>
          <w:lang w:val="de-DE"/>
        </w:rPr>
      </w:pPr>
    </w:p>
    <w:p w:rsidR="00944232" w:rsidRPr="00331262"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331262">
        <w:rPr>
          <w:rFonts w:ascii="Arial" w:hAnsi="Arial"/>
          <w:sz w:val="20"/>
        </w:rPr>
        <w:t>Nichtigkeit [und Aufhebung] des Züchterrechts</w:t>
      </w:r>
    </w:p>
    <w:p w:rsidR="00944232" w:rsidRPr="00331262" w:rsidRDefault="00944232" w:rsidP="00BF6521">
      <w:pPr>
        <w:pBdr>
          <w:top w:val="single" w:sz="4" w:space="1" w:color="auto"/>
          <w:left w:val="single" w:sz="4" w:space="1" w:color="auto"/>
          <w:bottom w:val="single" w:sz="4" w:space="1" w:color="auto"/>
          <w:right w:val="single" w:sz="4" w:space="1" w:color="auto"/>
        </w:pBdr>
        <w:ind w:left="567" w:right="566"/>
        <w:rPr>
          <w:lang w:val="de-DE"/>
        </w:rPr>
      </w:pPr>
      <w:r w:rsidRPr="00331262">
        <w:rPr>
          <w:lang w:val="de-DE"/>
        </w:rPr>
        <w:t xml:space="preserve"> </w:t>
      </w:r>
    </w:p>
    <w:p w:rsidR="00944232" w:rsidRPr="00331262" w:rsidRDefault="00944232" w:rsidP="00BF6521">
      <w:pPr>
        <w:pBdr>
          <w:top w:val="single" w:sz="4" w:space="1" w:color="auto"/>
          <w:left w:val="single" w:sz="4" w:space="1" w:color="auto"/>
          <w:bottom w:val="single" w:sz="4" w:space="1" w:color="auto"/>
          <w:right w:val="single" w:sz="4" w:space="1" w:color="auto"/>
        </w:pBdr>
        <w:spacing w:after="120"/>
        <w:ind w:left="567" w:right="566"/>
        <w:rPr>
          <w:lang w:val="de-DE"/>
        </w:rPr>
      </w:pPr>
      <w:r w:rsidRPr="00331262">
        <w:rPr>
          <w:lang w:val="de-DE"/>
        </w:rPr>
        <w:tab/>
        <w:t xml:space="preserve">1) </w:t>
      </w:r>
      <w:r w:rsidRPr="00331262">
        <w:rPr>
          <w:lang w:val="de-DE"/>
        </w:rPr>
        <w:tab/>
        <w:t xml:space="preserve">Das Recht des Züchters wird nach Maßgabe des innerstaatlichen Rechtes eines jeden Verbandsstaats für nichtig erklärt, wenn sich herausstellt, daß die in Artikel 6 Absatz 1 Buchstaben </w:t>
      </w:r>
      <w:r w:rsidRPr="00331262">
        <w:rPr>
          <w:i/>
          <w:iCs/>
          <w:lang w:val="de-DE"/>
        </w:rPr>
        <w:t xml:space="preserve">a </w:t>
      </w:r>
      <w:r w:rsidRPr="00331262">
        <w:rPr>
          <w:lang w:val="de-DE"/>
        </w:rPr>
        <w:t xml:space="preserve">und </w:t>
      </w:r>
      <w:r w:rsidRPr="00331262">
        <w:rPr>
          <w:i/>
          <w:iCs/>
          <w:lang w:val="de-DE"/>
        </w:rPr>
        <w:t xml:space="preserve">b </w:t>
      </w:r>
      <w:r w:rsidRPr="00331262">
        <w:rPr>
          <w:lang w:val="de-DE"/>
        </w:rPr>
        <w:t>festgelegten Voraussetzungen bei der Erteilung des Schutzrechts tatsächlich nicht erfüllt waren.</w:t>
      </w:r>
    </w:p>
    <w:p w:rsidR="00944232" w:rsidRPr="00331262" w:rsidRDefault="00944232" w:rsidP="00BF6521">
      <w:pPr>
        <w:pBdr>
          <w:top w:val="single" w:sz="4" w:space="1" w:color="auto"/>
          <w:left w:val="single" w:sz="4" w:space="1" w:color="auto"/>
          <w:bottom w:val="single" w:sz="4" w:space="1" w:color="auto"/>
          <w:right w:val="single" w:sz="4" w:space="1" w:color="auto"/>
        </w:pBdr>
        <w:spacing w:after="120"/>
        <w:ind w:left="567" w:right="566"/>
        <w:rPr>
          <w:strike/>
          <w:vertAlign w:val="superscript"/>
          <w:lang w:val="de-DE"/>
        </w:rPr>
      </w:pPr>
      <w:r w:rsidRPr="00331262">
        <w:rPr>
          <w:lang w:val="de-DE"/>
        </w:rPr>
        <w:tab/>
        <w:t>[…]</w:t>
      </w:r>
      <w:r w:rsidRPr="00331262">
        <w:rPr>
          <w:vertAlign w:val="superscript"/>
          <w:lang w:val="de-DE"/>
        </w:rPr>
        <w:t>[</w:t>
      </w:r>
      <w:r w:rsidRPr="00331262">
        <w:rPr>
          <w:rStyle w:val="FootnoteReference"/>
          <w:lang w:val="de-DE"/>
        </w:rPr>
        <w:footnoteReference w:id="3"/>
      </w:r>
      <w:r w:rsidRPr="00331262">
        <w:rPr>
          <w:vertAlign w:val="superscript"/>
          <w:lang w:val="de-DE"/>
        </w:rPr>
        <w:t>]</w:t>
      </w:r>
    </w:p>
    <w:p w:rsidR="00944232" w:rsidRPr="00331262" w:rsidRDefault="00944232" w:rsidP="00BF6521">
      <w:pPr>
        <w:pBdr>
          <w:top w:val="single" w:sz="4" w:space="1" w:color="auto"/>
          <w:left w:val="single" w:sz="4" w:space="1" w:color="auto"/>
          <w:bottom w:val="single" w:sz="4" w:space="1" w:color="auto"/>
          <w:right w:val="single" w:sz="4" w:space="1" w:color="auto"/>
        </w:pBdr>
        <w:spacing w:after="120"/>
        <w:ind w:left="567" w:right="566"/>
        <w:rPr>
          <w:lang w:val="de-DE"/>
        </w:rPr>
      </w:pPr>
      <w:r w:rsidRPr="00331262">
        <w:rPr>
          <w:lang w:val="de-DE"/>
        </w:rPr>
        <w:tab/>
        <w:t>4)</w:t>
      </w:r>
      <w:r w:rsidRPr="00331262">
        <w:rPr>
          <w:lang w:val="de-DE"/>
        </w:rPr>
        <w:tab/>
        <w:t>Aus anderen als den in diesem Artikel aufgeführten Gründen kann das Recht des Züchters weder für nichtig erklärt noch aufgehoben werden.</w:t>
      </w:r>
    </w:p>
    <w:p w:rsidR="00944232" w:rsidRPr="00331262" w:rsidRDefault="00944232" w:rsidP="00BF6521">
      <w:pPr>
        <w:pBdr>
          <w:top w:val="single" w:sz="4" w:space="1" w:color="auto"/>
          <w:left w:val="single" w:sz="4" w:space="1" w:color="auto"/>
          <w:bottom w:val="single" w:sz="4" w:space="1" w:color="auto"/>
          <w:right w:val="single" w:sz="4" w:space="1" w:color="auto"/>
        </w:pBdr>
        <w:spacing w:after="120"/>
        <w:ind w:left="567" w:right="566"/>
        <w:rPr>
          <w:lang w:val="de-DE"/>
        </w:rPr>
      </w:pPr>
    </w:p>
    <w:p w:rsidR="00944232" w:rsidRPr="00331262" w:rsidRDefault="00944232" w:rsidP="00944232">
      <w:pPr>
        <w:rPr>
          <w:lang w:val="de-DE"/>
        </w:rPr>
      </w:pPr>
    </w:p>
    <w:p w:rsidR="00944232" w:rsidRPr="00331262" w:rsidRDefault="00944232" w:rsidP="00BF6521">
      <w:pPr>
        <w:pStyle w:val="Style1"/>
        <w:tabs>
          <w:tab w:val="clear" w:pos="907"/>
          <w:tab w:val="clear" w:pos="1077"/>
        </w:tabs>
        <w:suppressAutoHyphens/>
        <w:jc w:val="left"/>
        <w:rPr>
          <w:szCs w:val="20"/>
        </w:rPr>
      </w:pPr>
      <w:r w:rsidRPr="00331262">
        <w:br w:type="page"/>
      </w:r>
    </w:p>
    <w:p w:rsidR="00944232" w:rsidRPr="00331262" w:rsidRDefault="00944232" w:rsidP="00944232">
      <w:pPr>
        <w:pStyle w:val="Heading2"/>
        <w:rPr>
          <w:sz w:val="22"/>
          <w:lang w:val="de-DE"/>
        </w:rPr>
      </w:pPr>
      <w:bookmarkStart w:id="6" w:name="_Toc203190981"/>
      <w:bookmarkStart w:id="7" w:name="_Toc203203122"/>
      <w:bookmarkStart w:id="8" w:name="_Toc398046493"/>
      <w:bookmarkStart w:id="9" w:name="_Toc412823208"/>
      <w:r w:rsidRPr="00331262">
        <w:rPr>
          <w:lang w:val="de-DE"/>
        </w:rPr>
        <w:t>ABSCHNITT II: BESTIMMTE ASPEKTE DER BESTIMMUNGEN ÜBER DIE NICHTIGKEIT DES ZÜCHTERRECHTS</w:t>
      </w:r>
      <w:bookmarkEnd w:id="6"/>
      <w:bookmarkEnd w:id="7"/>
      <w:bookmarkEnd w:id="8"/>
      <w:bookmarkEnd w:id="9"/>
    </w:p>
    <w:p w:rsidR="00944232" w:rsidRPr="00331262" w:rsidRDefault="00944232" w:rsidP="00BF6521">
      <w:pPr>
        <w:rPr>
          <w:lang w:val="de-DE"/>
        </w:rPr>
      </w:pPr>
    </w:p>
    <w:p w:rsidR="00944232" w:rsidRPr="00331262" w:rsidRDefault="00944232" w:rsidP="00BF6521">
      <w:pPr>
        <w:rPr>
          <w:lang w:val="de-DE"/>
        </w:rPr>
      </w:pPr>
      <w:r w:rsidRPr="00331262">
        <w:rPr>
          <w:strike/>
          <w:highlight w:val="lightGray"/>
          <w:lang w:val="de-DE"/>
        </w:rPr>
        <w:t>5</w:t>
      </w:r>
      <w:r w:rsidRPr="00331262">
        <w:rPr>
          <w:strike/>
          <w:lang w:val="de-DE"/>
        </w:rPr>
        <w:t xml:space="preserve"> </w:t>
      </w:r>
      <w:r w:rsidRPr="00331262">
        <w:rPr>
          <w:highlight w:val="lightGray"/>
          <w:u w:val="single"/>
          <w:lang w:val="de-DE"/>
        </w:rPr>
        <w:fldChar w:fldCharType="begin"/>
      </w:r>
      <w:r w:rsidRPr="00331262">
        <w:rPr>
          <w:highlight w:val="lightGray"/>
          <w:u w:val="single"/>
          <w:lang w:val="de-DE"/>
        </w:rPr>
        <w:instrText xml:space="preserve"> AUTONUM  </w:instrText>
      </w:r>
      <w:r w:rsidRPr="00331262">
        <w:rPr>
          <w:highlight w:val="lightGray"/>
          <w:u w:val="single"/>
          <w:lang w:val="de-DE"/>
        </w:rPr>
        <w:fldChar w:fldCharType="end"/>
      </w:r>
      <w:r w:rsidRPr="00331262">
        <w:rPr>
          <w:lang w:val="de-DE"/>
        </w:rPr>
        <w:tab/>
        <w:t>Die Verwendung des Begriffs „erklärt … für nichtig“ stellt klar, daß die zuständige Behörde das Züchterrecht für nichtig erklären muß, wenn die in Artikel 21 Absatz 1 der Akte von 1991 des UPOV-Übereinkommens und Artikel 10 Absatz 1 der Akte von 1978 des UPOV-Übereinkommens erwähnten Kriterien erfüllt sind.</w:t>
      </w:r>
    </w:p>
    <w:p w:rsidR="00944232" w:rsidRPr="00331262" w:rsidRDefault="00944232" w:rsidP="00BF6521">
      <w:pPr>
        <w:rPr>
          <w:szCs w:val="22"/>
          <w:lang w:val="de-DE"/>
        </w:rPr>
      </w:pPr>
    </w:p>
    <w:p w:rsidR="00944232" w:rsidRPr="00331262" w:rsidRDefault="00944232" w:rsidP="00BF6521">
      <w:pPr>
        <w:rPr>
          <w:lang w:val="de-DE"/>
        </w:rPr>
      </w:pPr>
      <w:r w:rsidRPr="00331262">
        <w:rPr>
          <w:strike/>
          <w:highlight w:val="lightGray"/>
          <w:lang w:val="de-DE"/>
        </w:rPr>
        <w:t>4.</w:t>
      </w:r>
      <w:r w:rsidRPr="00331262">
        <w:rPr>
          <w:highlight w:val="lightGray"/>
          <w:u w:val="single"/>
          <w:lang w:val="de-DE"/>
        </w:rPr>
        <w:fldChar w:fldCharType="begin"/>
      </w:r>
      <w:r w:rsidRPr="00331262">
        <w:rPr>
          <w:highlight w:val="lightGray"/>
          <w:u w:val="single"/>
          <w:lang w:val="de-DE"/>
        </w:rPr>
        <w:instrText xml:space="preserve"> AUTONUM  </w:instrText>
      </w:r>
      <w:r w:rsidRPr="00331262">
        <w:rPr>
          <w:highlight w:val="lightGray"/>
          <w:u w:val="single"/>
          <w:lang w:val="de-DE"/>
        </w:rPr>
        <w:fldChar w:fldCharType="end"/>
      </w:r>
      <w:r w:rsidRPr="00331262">
        <w:rPr>
          <w:lang w:val="de-DE"/>
        </w:rPr>
        <w:tab/>
        <w:t>Wird ein Züchterrecht für nichtig erklärt, läuft dies darauf hinaus, daß erklärt wird, es sei ein ungültiges Recht und hätte gar nicht erteilt worden sein sollen. Ein Züchterrecht, das aufgehoben wurde, war hingegen bis zum Tag der Aufhebung und insbesondere zum Zeitpunkt der Erteilung gültig (vergleiche Erläuterungen zur Aufhebung des Züchterrechts nach dem UPOV-Übereinkommen (Dokument </w:t>
      </w:r>
      <w:hyperlink r:id="rId9">
        <w:r w:rsidRPr="00331262">
          <w:rPr>
            <w:rStyle w:val="Hyperlink"/>
            <w:lang w:val="de-DE"/>
          </w:rPr>
          <w:t>UPOV/EXN/CAN</w:t>
        </w:r>
        <w:r w:rsidRPr="00331262">
          <w:rPr>
            <w:rStyle w:val="Hyperlink"/>
            <w:strike/>
            <w:highlight w:val="lightGray"/>
            <w:lang w:val="de-DE"/>
          </w:rPr>
          <w:t>/1</w:t>
        </w:r>
      </w:hyperlink>
      <w:r w:rsidRPr="00331262">
        <w:rPr>
          <w:lang w:val="de-DE"/>
        </w:rPr>
        <w:t>)).</w:t>
      </w:r>
    </w:p>
    <w:p w:rsidR="00944232" w:rsidRPr="00331262" w:rsidRDefault="00944232" w:rsidP="00BF6521">
      <w:pPr>
        <w:rPr>
          <w:lang w:val="de-DE"/>
        </w:rPr>
      </w:pPr>
    </w:p>
    <w:p w:rsidR="00944232" w:rsidRPr="00331262" w:rsidRDefault="00944232" w:rsidP="00BF6521">
      <w:pPr>
        <w:rPr>
          <w:lang w:val="de-DE"/>
        </w:rPr>
      </w:pPr>
    </w:p>
    <w:p w:rsidR="00944232" w:rsidRPr="00331262" w:rsidRDefault="00944232" w:rsidP="00BF6521">
      <w:pPr>
        <w:pStyle w:val="Style1"/>
        <w:tabs>
          <w:tab w:val="clear" w:pos="907"/>
          <w:tab w:val="clear" w:pos="1077"/>
        </w:tabs>
        <w:rPr>
          <w:i/>
          <w:u w:val="single"/>
        </w:rPr>
      </w:pPr>
      <w:r w:rsidRPr="00331262">
        <w:rPr>
          <w:i/>
          <w:highlight w:val="lightGray"/>
          <w:u w:val="single"/>
        </w:rPr>
        <w:t>Nichtigkeitsverfahren und Entscheidungen</w:t>
      </w:r>
    </w:p>
    <w:p w:rsidR="00944232" w:rsidRPr="00331262" w:rsidRDefault="00944232" w:rsidP="00BF6521">
      <w:pPr>
        <w:rPr>
          <w:u w:val="single"/>
          <w:lang w:val="de-DE"/>
        </w:rPr>
      </w:pPr>
    </w:p>
    <w:p w:rsidR="00944232" w:rsidRPr="00331262" w:rsidRDefault="00944232" w:rsidP="00BF6521">
      <w:pPr>
        <w:rPr>
          <w:u w:val="single"/>
          <w:lang w:val="de-DE"/>
        </w:rPr>
      </w:pPr>
      <w:r w:rsidRPr="00331262">
        <w:rPr>
          <w:highlight w:val="lightGray"/>
          <w:u w:val="single"/>
          <w:lang w:val="de-DE"/>
        </w:rPr>
        <w:fldChar w:fldCharType="begin"/>
      </w:r>
      <w:r w:rsidRPr="00331262">
        <w:rPr>
          <w:highlight w:val="lightGray"/>
          <w:u w:val="single"/>
          <w:lang w:val="de-DE"/>
        </w:rPr>
        <w:instrText xml:space="preserve"> AUTONUM  </w:instrText>
      </w:r>
      <w:r w:rsidRPr="00331262">
        <w:rPr>
          <w:highlight w:val="lightGray"/>
          <w:u w:val="single"/>
          <w:lang w:val="de-DE"/>
        </w:rPr>
        <w:fldChar w:fldCharType="end"/>
      </w:r>
      <w:r w:rsidRPr="00331262">
        <w:rPr>
          <w:lang w:val="de-DE"/>
        </w:rPr>
        <w:tab/>
      </w:r>
      <w:r w:rsidRPr="00331262">
        <w:rPr>
          <w:highlight w:val="lightGray"/>
          <w:u w:val="single"/>
          <w:lang w:val="de-DE"/>
        </w:rPr>
        <w:t>Nichtigkeitsverfahren können auf Antrag eines Dritten oder von Amts wegen von der zuständigen Behörde des betreffenden UPOV-Mitgliedstaats eingeleitet werden.</w:t>
      </w:r>
    </w:p>
    <w:p w:rsidR="00944232" w:rsidRPr="00331262" w:rsidRDefault="00944232" w:rsidP="00BF6521">
      <w:pPr>
        <w:rPr>
          <w:u w:val="single"/>
          <w:lang w:val="de-DE"/>
        </w:rPr>
      </w:pPr>
    </w:p>
    <w:p w:rsidR="00944232" w:rsidRPr="00331262" w:rsidRDefault="00944232" w:rsidP="00BF6521">
      <w:pPr>
        <w:rPr>
          <w:highlight w:val="lightGray"/>
          <w:u w:val="single"/>
          <w:lang w:val="de-DE"/>
        </w:rPr>
      </w:pPr>
      <w:r w:rsidRPr="00331262">
        <w:rPr>
          <w:highlight w:val="lightGray"/>
          <w:u w:val="single"/>
          <w:lang w:val="de-DE"/>
        </w:rPr>
        <w:fldChar w:fldCharType="begin"/>
      </w:r>
      <w:r w:rsidRPr="00331262">
        <w:rPr>
          <w:highlight w:val="lightGray"/>
          <w:u w:val="single"/>
          <w:lang w:val="de-DE"/>
        </w:rPr>
        <w:instrText xml:space="preserve"> AUTONUM  </w:instrText>
      </w:r>
      <w:r w:rsidRPr="00331262">
        <w:rPr>
          <w:highlight w:val="lightGray"/>
          <w:u w:val="single"/>
          <w:lang w:val="de-DE"/>
        </w:rPr>
        <w:fldChar w:fldCharType="end"/>
      </w:r>
      <w:r w:rsidRPr="00331262">
        <w:rPr>
          <w:lang w:val="de-DE"/>
        </w:rPr>
        <w:tab/>
      </w:r>
      <w:r w:rsidRPr="00331262">
        <w:rPr>
          <w:highlight w:val="lightGray"/>
          <w:u w:val="single"/>
          <w:lang w:val="de-DE"/>
        </w:rPr>
        <w:t>Die Behörde oder Behörden, die dazu ermächtigt sind, in Angelegenheiten betreffend die Nichtigkeit von Züchterrechten zu entscheiden (z. B. Behörden, die Züchterrechte erteilen, Justizbehörden) wird/werden von den maßgeblichen Rechtsvorschriften bestimmt. Die jeweiligen Rechtsvorschriften können zusätzlich zu den Rechtsvorschriften, die die Züchterrechte regeln, andere Rechtsvorschriften zu wesentlichen Fragen und Verfahrensangelegenheiten (z. B. Zivilrecht, Strafrecht) umfassen.</w:t>
      </w:r>
      <w:r w:rsidRPr="00331262">
        <w:rPr>
          <w:rStyle w:val="EndnoteReference"/>
          <w:b/>
          <w:lang w:val="de-DE"/>
        </w:rPr>
        <w:t xml:space="preserve"> </w:t>
      </w:r>
    </w:p>
    <w:p w:rsidR="00944232" w:rsidRPr="00331262" w:rsidRDefault="00944232" w:rsidP="00BF6521">
      <w:pPr>
        <w:rPr>
          <w:u w:val="single"/>
          <w:lang w:val="de-DE"/>
        </w:rPr>
      </w:pPr>
    </w:p>
    <w:p w:rsidR="00944232" w:rsidRPr="00331262" w:rsidRDefault="00944232" w:rsidP="00BF6521">
      <w:pPr>
        <w:rPr>
          <w:u w:val="single"/>
          <w:lang w:val="de-DE"/>
        </w:rPr>
      </w:pPr>
      <w:r w:rsidRPr="00331262">
        <w:rPr>
          <w:highlight w:val="lightGray"/>
          <w:u w:val="single"/>
          <w:lang w:val="de-DE"/>
        </w:rPr>
        <w:fldChar w:fldCharType="begin"/>
      </w:r>
      <w:r w:rsidRPr="00331262">
        <w:rPr>
          <w:highlight w:val="lightGray"/>
          <w:u w:val="single"/>
          <w:lang w:val="de-DE"/>
        </w:rPr>
        <w:instrText xml:space="preserve"> AUTONUM  </w:instrText>
      </w:r>
      <w:r w:rsidRPr="00331262">
        <w:rPr>
          <w:highlight w:val="lightGray"/>
          <w:u w:val="single"/>
          <w:lang w:val="de-DE"/>
        </w:rPr>
        <w:fldChar w:fldCharType="end"/>
      </w:r>
      <w:r w:rsidRPr="00331262">
        <w:rPr>
          <w:lang w:val="de-DE"/>
        </w:rPr>
        <w:tab/>
      </w:r>
      <w:r w:rsidRPr="00331262">
        <w:rPr>
          <w:highlight w:val="lightGray"/>
          <w:u w:val="single"/>
          <w:lang w:val="de-DE"/>
        </w:rPr>
        <w:t>Das UPOV-Übereinkommen sieht vor, daß die Nichtigkeit von Züchterrechten veröffentlicht wird (siehe Artikel 30 Absatz 1 Nummer iii der Akte von 1991 und Artikel 30 Absatz 1 Buchstabw c der Akte von 1978.</w:t>
      </w:r>
    </w:p>
    <w:p w:rsidR="00944232" w:rsidRPr="00331262" w:rsidRDefault="00944232" w:rsidP="00BF6521">
      <w:pPr>
        <w:rPr>
          <w:i/>
          <w:szCs w:val="22"/>
          <w:highlight w:val="lightGray"/>
          <w:u w:val="single"/>
          <w:lang w:val="de-DE"/>
        </w:rPr>
      </w:pPr>
    </w:p>
    <w:p w:rsidR="00944232" w:rsidRPr="00331262" w:rsidRDefault="00944232" w:rsidP="00BF6521">
      <w:pPr>
        <w:rPr>
          <w:i/>
          <w:szCs w:val="22"/>
          <w:highlight w:val="lightGray"/>
          <w:u w:val="single"/>
          <w:lang w:val="de-DE"/>
        </w:rPr>
      </w:pPr>
    </w:p>
    <w:p w:rsidR="00944232" w:rsidRPr="00331262" w:rsidRDefault="00944232" w:rsidP="00BF6521">
      <w:pPr>
        <w:rPr>
          <w:i/>
          <w:szCs w:val="22"/>
          <w:highlight w:val="lightGray"/>
          <w:u w:val="single"/>
          <w:lang w:val="de-DE"/>
        </w:rPr>
      </w:pPr>
      <w:r w:rsidRPr="00331262">
        <w:rPr>
          <w:i/>
          <w:highlight w:val="lightGray"/>
          <w:u w:val="single"/>
          <w:lang w:val="de-DE"/>
        </w:rPr>
        <w:t>Rückwirkende Auswirkungen</w:t>
      </w:r>
    </w:p>
    <w:p w:rsidR="00944232" w:rsidRPr="00331262" w:rsidRDefault="00944232" w:rsidP="00BF6521">
      <w:pPr>
        <w:rPr>
          <w:i/>
          <w:szCs w:val="22"/>
          <w:highlight w:val="lightGray"/>
          <w:u w:val="single"/>
          <w:lang w:val="de-DE"/>
        </w:rPr>
      </w:pPr>
    </w:p>
    <w:p w:rsidR="00944232" w:rsidRPr="00331262" w:rsidRDefault="00944232" w:rsidP="00BF6521">
      <w:pPr>
        <w:rPr>
          <w:i/>
          <w:szCs w:val="22"/>
          <w:highlight w:val="lightGray"/>
          <w:u w:val="single"/>
          <w:lang w:val="de-DE"/>
        </w:rPr>
      </w:pPr>
      <w:r w:rsidRPr="00331262">
        <w:rPr>
          <w:highlight w:val="lightGray"/>
          <w:u w:val="single"/>
          <w:lang w:val="de-DE"/>
        </w:rPr>
        <w:fldChar w:fldCharType="begin"/>
      </w:r>
      <w:r w:rsidRPr="00331262">
        <w:rPr>
          <w:highlight w:val="lightGray"/>
          <w:u w:val="single"/>
          <w:lang w:val="de-DE"/>
        </w:rPr>
        <w:instrText xml:space="preserve"> AUTONUM  </w:instrText>
      </w:r>
      <w:r w:rsidRPr="00331262">
        <w:rPr>
          <w:highlight w:val="lightGray"/>
          <w:u w:val="single"/>
          <w:lang w:val="de-DE"/>
        </w:rPr>
        <w:fldChar w:fldCharType="end"/>
      </w:r>
      <w:r w:rsidRPr="00331262">
        <w:rPr>
          <w:lang w:val="de-DE"/>
        </w:rPr>
        <w:tab/>
      </w:r>
      <w:r w:rsidRPr="00331262">
        <w:rPr>
          <w:highlight w:val="lightGray"/>
          <w:u w:val="single"/>
          <w:lang w:val="de-DE"/>
        </w:rPr>
        <w:t>Die Entscheidung, ein Züchterrecht für nichtig zu erklären führt zum Erlöschen des Rechtes ab dem Zeitpunkt der Erteilung, auch wenn die Entscheidung über die Nichtigkeit durch die zuständige Behörde zu einem späteren Zeitpunkt erfolgt. Die Nichtigkeit hat grundsätzlich rückwirkende Kraft. Die rückwirkende Kraft der Nichtigkeit kann in der Praxis variieren. Die Rechtsmittel betreffend die rückwirkende Kraft der Nichtigkeit hängen von den Rechtsvorschriften des betreffenden Verbandsmitgliedes ab und können auch von vertraglichen Vereinbarungen abhängen. In einigen Fällen, wie etwa im Falle von Betrug oder vorsätzlichen mißbräuchlichen Handlungen durch den Inhaber des Züchterrechts, können eine Rückerstattung von gezahlten Lizenzgebühren und/oder andere Rechtsbehelfe wirksam werden. In einigen anderen Fällen kann es sein, daß eine Rückerstattung von an den Inhaber des Züchterrechts gezahlten Lizenzgebühren nicht anwendbar ist.</w:t>
      </w:r>
    </w:p>
    <w:p w:rsidR="00944232" w:rsidRPr="00331262" w:rsidRDefault="00944232" w:rsidP="00BF6521">
      <w:pPr>
        <w:rPr>
          <w:lang w:val="de-DE"/>
        </w:rPr>
      </w:pPr>
    </w:p>
    <w:p w:rsidR="00944232" w:rsidRPr="00331262" w:rsidRDefault="00944232" w:rsidP="00BF6521">
      <w:pPr>
        <w:rPr>
          <w:lang w:val="de-DE"/>
        </w:rPr>
      </w:pPr>
    </w:p>
    <w:p w:rsidR="00944232" w:rsidRPr="00331262" w:rsidRDefault="00944232" w:rsidP="00BF6521">
      <w:pPr>
        <w:rPr>
          <w:lang w:val="de-DE"/>
        </w:rPr>
      </w:pPr>
    </w:p>
    <w:p w:rsidR="00944232" w:rsidRPr="00331262" w:rsidRDefault="00944232" w:rsidP="006A1549">
      <w:pPr>
        <w:jc w:val="right"/>
        <w:rPr>
          <w:lang w:val="de-DE"/>
        </w:rPr>
      </w:pPr>
      <w:r w:rsidRPr="00331262">
        <w:rPr>
          <w:lang w:val="de-DE"/>
        </w:rPr>
        <w:t>[Ende des Dokuments]</w:t>
      </w:r>
    </w:p>
    <w:p w:rsidR="00944232" w:rsidRPr="00331262" w:rsidRDefault="00944232" w:rsidP="00BF6521">
      <w:pPr>
        <w:rPr>
          <w:lang w:val="de-DE"/>
        </w:rPr>
      </w:pPr>
    </w:p>
    <w:p w:rsidR="00F15E56" w:rsidRPr="00331262" w:rsidRDefault="00F15E56" w:rsidP="007E7836">
      <w:pPr>
        <w:rPr>
          <w:lang w:val="de-DE"/>
        </w:rPr>
      </w:pPr>
    </w:p>
    <w:sectPr w:rsidR="00F15E56" w:rsidRPr="00331262"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32" w:rsidRDefault="00944232" w:rsidP="00944232">
      <w:r>
        <w:separator/>
      </w:r>
    </w:p>
  </w:endnote>
  <w:endnote w:type="continuationSeparator" w:id="0">
    <w:p w:rsidR="00944232" w:rsidRDefault="00944232" w:rsidP="0094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32" w:rsidRDefault="00944232" w:rsidP="00944232">
      <w:r>
        <w:separator/>
      </w:r>
    </w:p>
  </w:footnote>
  <w:footnote w:type="continuationSeparator" w:id="0">
    <w:p w:rsidR="00944232" w:rsidRDefault="00944232" w:rsidP="00944232">
      <w:r>
        <w:continuationSeparator/>
      </w:r>
    </w:p>
  </w:footnote>
  <w:footnote w:id="1">
    <w:p w:rsidR="00944232" w:rsidRPr="004779EC" w:rsidRDefault="00944232" w:rsidP="00BF6521">
      <w:pPr>
        <w:pStyle w:val="FootnoteText"/>
        <w:rPr>
          <w:lang w:val="fr-FR"/>
        </w:rPr>
      </w:pPr>
      <w:r>
        <w:rPr>
          <w:rStyle w:val="FootnoteReference"/>
        </w:rPr>
        <w:footnoteRef/>
      </w:r>
      <w:r w:rsidRPr="004779EC">
        <w:rPr>
          <w:lang w:val="fr-FR"/>
        </w:rPr>
        <w:tab/>
        <w:t>Die Akte von 1978 enthält keine Artikel 21 Absatz 1 Nummer ii der Akte von 1991 entsprechende Bestimmung.</w:t>
      </w:r>
    </w:p>
  </w:footnote>
  <w:footnote w:id="2">
    <w:p w:rsidR="00944232" w:rsidRPr="004779EC" w:rsidRDefault="00944232" w:rsidP="00BF6521">
      <w:pPr>
        <w:pStyle w:val="FootnoteText"/>
        <w:rPr>
          <w:lang w:val="fr-FR"/>
        </w:rPr>
      </w:pPr>
      <w:r>
        <w:rPr>
          <w:rStyle w:val="FootnoteReference"/>
        </w:rPr>
        <w:footnoteRef/>
      </w:r>
      <w:r w:rsidRPr="004779EC">
        <w:rPr>
          <w:lang w:val="fr-FR"/>
        </w:rPr>
        <w:tab/>
        <w:t>Die Akte von 1978 enthält keine Artikel 21 Absatz 1 Nummer iii der Akte von 1991 entsprechende Bestimmung.</w:t>
      </w:r>
    </w:p>
  </w:footnote>
  <w:footnote w:id="3">
    <w:p w:rsidR="00944232" w:rsidRPr="004779EC" w:rsidRDefault="00944232" w:rsidP="00BF6521">
      <w:pPr>
        <w:pStyle w:val="FootnoteText"/>
        <w:rPr>
          <w:lang w:val="fr-FR"/>
        </w:rPr>
      </w:pPr>
      <w:r>
        <w:rPr>
          <w:rStyle w:val="FootnoteReference"/>
        </w:rPr>
        <w:footnoteRef/>
      </w:r>
      <w:r w:rsidRPr="004779EC">
        <w:rPr>
          <w:lang w:val="fr-FR"/>
        </w:rPr>
        <w:tab/>
        <w:t xml:space="preserve">Die Bestimmungen in den Absätzen 2 und 3 von Artikel 10 der Akte von 1978 betreffen die Aufhebung des Züchterrechts (vergleiche Erläuterungen zur Aufhebung des </w:t>
      </w:r>
      <w:proofErr w:type="spellStart"/>
      <w:r w:rsidRPr="004779EC">
        <w:rPr>
          <w:lang w:val="fr-FR"/>
        </w:rPr>
        <w:t>Züchterrechts</w:t>
      </w:r>
      <w:proofErr w:type="spellEnd"/>
      <w:r w:rsidRPr="004779EC">
        <w:rPr>
          <w:lang w:val="fr-FR"/>
        </w:rPr>
        <w:t xml:space="preserve"> </w:t>
      </w:r>
      <w:proofErr w:type="spellStart"/>
      <w:r w:rsidRPr="004779EC">
        <w:rPr>
          <w:lang w:val="fr-FR"/>
        </w:rPr>
        <w:t>nach</w:t>
      </w:r>
      <w:proofErr w:type="spellEnd"/>
      <w:r w:rsidRPr="004779EC">
        <w:rPr>
          <w:lang w:val="fr-FR"/>
        </w:rPr>
        <w:t xml:space="preserve"> </w:t>
      </w:r>
      <w:proofErr w:type="spellStart"/>
      <w:r w:rsidRPr="004779EC">
        <w:rPr>
          <w:lang w:val="fr-FR"/>
        </w:rPr>
        <w:t>dem</w:t>
      </w:r>
      <w:proofErr w:type="spellEnd"/>
      <w:r w:rsidRPr="004779EC">
        <w:rPr>
          <w:lang w:val="fr-FR"/>
        </w:rPr>
        <w:t xml:space="preserve"> UPOV</w:t>
      </w:r>
      <w:r w:rsidRPr="004779EC">
        <w:rPr>
          <w:lang w:val="fr-FR"/>
        </w:rPr>
        <w:noBreakHyphen/>
      </w:r>
      <w:proofErr w:type="spellStart"/>
      <w:r w:rsidRPr="004779EC">
        <w:rPr>
          <w:lang w:val="fr-FR"/>
        </w:rPr>
        <w:t>Übereinkommen</w:t>
      </w:r>
      <w:proofErr w:type="spellEnd"/>
      <w:r w:rsidRPr="004779EC">
        <w:rPr>
          <w:lang w:val="fr-FR"/>
        </w:rPr>
        <w:t xml:space="preserve"> (</w:t>
      </w:r>
      <w:proofErr w:type="spellStart"/>
      <w:r w:rsidRPr="004779EC">
        <w:rPr>
          <w:lang w:val="fr-FR"/>
        </w:rPr>
        <w:t>Dokument</w:t>
      </w:r>
      <w:proofErr w:type="spellEnd"/>
      <w:r w:rsidRPr="004779EC">
        <w:rPr>
          <w:lang w:val="fr-FR"/>
        </w:rPr>
        <w:t> </w:t>
      </w:r>
      <w:hyperlink r:id="rId1">
        <w:r w:rsidRPr="004779EC">
          <w:rPr>
            <w:rStyle w:val="Hyperlink"/>
            <w:lang w:val="fr-FR"/>
          </w:rPr>
          <w:t>UPOV/EXN/CAN</w:t>
        </w:r>
        <w:r w:rsidRPr="004779EC">
          <w:rPr>
            <w:rStyle w:val="Hyperlink"/>
            <w:strike/>
            <w:highlight w:val="lightGray"/>
            <w:lang w:val="fr-FR"/>
          </w:rPr>
          <w:t>/1</w:t>
        </w:r>
      </w:hyperlink>
      <w:r w:rsidRPr="004779EC">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5B362A" w:rsidP="00BE4EC4">
    <w:pPr>
      <w:pStyle w:val="Enttepair"/>
    </w:pPr>
    <w:r>
      <w:t>ANMERKUNGEN — ARTIKEL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4779EC" w:rsidRDefault="005B362A" w:rsidP="00BE4EC4">
    <w:pPr>
      <w:pStyle w:val="Header"/>
      <w:rPr>
        <w:lang w:val="en-US"/>
      </w:rPr>
    </w:pPr>
    <w:r w:rsidRPr="004779EC">
      <w:rPr>
        <w:lang w:val="en-US"/>
      </w:rPr>
      <w:t>UPOV/EXN/NUL/2 </w:t>
    </w:r>
    <w:r w:rsidR="00365A0E" w:rsidRPr="004779EC">
      <w:rPr>
        <w:lang w:val="en-US"/>
      </w:rPr>
      <w:t>Draft 4</w:t>
    </w:r>
  </w:p>
  <w:p w:rsidR="00F61DE9" w:rsidRPr="004779EC" w:rsidRDefault="005B362A" w:rsidP="00BE4EC4">
    <w:pPr>
      <w:pStyle w:val="Header"/>
      <w:rPr>
        <w:rStyle w:val="PageNumber"/>
        <w:lang w:val="en-US"/>
      </w:rPr>
    </w:pPr>
    <w:proofErr w:type="spellStart"/>
    <w:r w:rsidRPr="004779EC">
      <w:rPr>
        <w:lang w:val="en-US"/>
      </w:rPr>
      <w:t>Seite</w:t>
    </w:r>
    <w:proofErr w:type="spellEnd"/>
    <w:r w:rsidRPr="004779EC">
      <w:rPr>
        <w:lang w:val="en-US"/>
      </w:rPr>
      <w:t xml:space="preserve"> </w:t>
    </w:r>
    <w:r w:rsidRPr="009929A5">
      <w:rPr>
        <w:rStyle w:val="PageNumber"/>
      </w:rPr>
      <w:fldChar w:fldCharType="begin"/>
    </w:r>
    <w:r w:rsidRPr="004779EC">
      <w:rPr>
        <w:rStyle w:val="PageNumber"/>
        <w:lang w:val="en-US"/>
      </w:rPr>
      <w:instrText xml:space="preserve"> PAGE </w:instrText>
    </w:r>
    <w:r w:rsidRPr="009929A5">
      <w:rPr>
        <w:rStyle w:val="PageNumber"/>
      </w:rPr>
      <w:fldChar w:fldCharType="separate"/>
    </w:r>
    <w:r w:rsidR="00482D7C">
      <w:rPr>
        <w:rStyle w:val="PageNumber"/>
        <w:noProof/>
        <w:lang w:val="en-US"/>
      </w:rPr>
      <w:t>5</w:t>
    </w:r>
    <w:r w:rsidRPr="009929A5">
      <w:rPr>
        <w:rStyle w:val="PageNumber"/>
      </w:rPr>
      <w:fldChar w:fldCharType="end"/>
    </w:r>
  </w:p>
  <w:p w:rsidR="00F61DE9" w:rsidRPr="004779EC" w:rsidRDefault="00482D7C" w:rsidP="00BE4E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32"/>
    <w:rsid w:val="00000531"/>
    <w:rsid w:val="00002775"/>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19D1"/>
    <w:rsid w:val="00023EDE"/>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0D7"/>
    <w:rsid w:val="00091F9C"/>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35F"/>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07BC4"/>
    <w:rsid w:val="00111C96"/>
    <w:rsid w:val="00113AE2"/>
    <w:rsid w:val="00114146"/>
    <w:rsid w:val="001166FC"/>
    <w:rsid w:val="00120461"/>
    <w:rsid w:val="00122F6C"/>
    <w:rsid w:val="001237F6"/>
    <w:rsid w:val="001270DA"/>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6D70"/>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126"/>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68D"/>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2441"/>
    <w:rsid w:val="002B3CB7"/>
    <w:rsid w:val="002B52E9"/>
    <w:rsid w:val="002B5EB6"/>
    <w:rsid w:val="002B6038"/>
    <w:rsid w:val="002C1827"/>
    <w:rsid w:val="002C5439"/>
    <w:rsid w:val="002C6605"/>
    <w:rsid w:val="002C760B"/>
    <w:rsid w:val="002D0AEB"/>
    <w:rsid w:val="002D0C29"/>
    <w:rsid w:val="002D0ED1"/>
    <w:rsid w:val="002D2714"/>
    <w:rsid w:val="002D3B17"/>
    <w:rsid w:val="002D4388"/>
    <w:rsid w:val="002D5C64"/>
    <w:rsid w:val="002D6048"/>
    <w:rsid w:val="002D64FF"/>
    <w:rsid w:val="002D790E"/>
    <w:rsid w:val="002E0B31"/>
    <w:rsid w:val="002E1869"/>
    <w:rsid w:val="002E1F19"/>
    <w:rsid w:val="002E216C"/>
    <w:rsid w:val="002E3CF7"/>
    <w:rsid w:val="002E4129"/>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15942"/>
    <w:rsid w:val="00320742"/>
    <w:rsid w:val="00320AA9"/>
    <w:rsid w:val="00320E1A"/>
    <w:rsid w:val="003238A2"/>
    <w:rsid w:val="00324537"/>
    <w:rsid w:val="00324F66"/>
    <w:rsid w:val="00325B84"/>
    <w:rsid w:val="00327307"/>
    <w:rsid w:val="00330C10"/>
    <w:rsid w:val="00331262"/>
    <w:rsid w:val="00331AFF"/>
    <w:rsid w:val="003322E3"/>
    <w:rsid w:val="0033300E"/>
    <w:rsid w:val="00333E8A"/>
    <w:rsid w:val="00333FD9"/>
    <w:rsid w:val="0033584D"/>
    <w:rsid w:val="00335A41"/>
    <w:rsid w:val="00335F46"/>
    <w:rsid w:val="00336624"/>
    <w:rsid w:val="003371B8"/>
    <w:rsid w:val="00341784"/>
    <w:rsid w:val="00341EC2"/>
    <w:rsid w:val="00342EB2"/>
    <w:rsid w:val="00343605"/>
    <w:rsid w:val="003458C7"/>
    <w:rsid w:val="00345907"/>
    <w:rsid w:val="00347FC6"/>
    <w:rsid w:val="00350544"/>
    <w:rsid w:val="00350C7F"/>
    <w:rsid w:val="003510E5"/>
    <w:rsid w:val="00351280"/>
    <w:rsid w:val="00352499"/>
    <w:rsid w:val="003526C7"/>
    <w:rsid w:val="003526EA"/>
    <w:rsid w:val="00354B79"/>
    <w:rsid w:val="0035506D"/>
    <w:rsid w:val="0035533A"/>
    <w:rsid w:val="003624A3"/>
    <w:rsid w:val="00362DFB"/>
    <w:rsid w:val="00364D90"/>
    <w:rsid w:val="0036502F"/>
    <w:rsid w:val="00365A0E"/>
    <w:rsid w:val="0036717D"/>
    <w:rsid w:val="003677C6"/>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4E"/>
    <w:rsid w:val="003C0AC2"/>
    <w:rsid w:val="003C0C8B"/>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CE0"/>
    <w:rsid w:val="004338B2"/>
    <w:rsid w:val="00434FEF"/>
    <w:rsid w:val="004371D8"/>
    <w:rsid w:val="004401FC"/>
    <w:rsid w:val="00441B83"/>
    <w:rsid w:val="0044274A"/>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3EB"/>
    <w:rsid w:val="00461972"/>
    <w:rsid w:val="0046292B"/>
    <w:rsid w:val="00462AA7"/>
    <w:rsid w:val="00463180"/>
    <w:rsid w:val="00464172"/>
    <w:rsid w:val="00464F66"/>
    <w:rsid w:val="004663DB"/>
    <w:rsid w:val="004665EE"/>
    <w:rsid w:val="00466F95"/>
    <w:rsid w:val="00470205"/>
    <w:rsid w:val="00472A58"/>
    <w:rsid w:val="00473812"/>
    <w:rsid w:val="004757E7"/>
    <w:rsid w:val="0047691A"/>
    <w:rsid w:val="00476E80"/>
    <w:rsid w:val="004779EC"/>
    <w:rsid w:val="00477F73"/>
    <w:rsid w:val="00480B41"/>
    <w:rsid w:val="00480D6B"/>
    <w:rsid w:val="004812A6"/>
    <w:rsid w:val="0048167C"/>
    <w:rsid w:val="00481D6D"/>
    <w:rsid w:val="00482D7C"/>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05F"/>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62A"/>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418A"/>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6467"/>
    <w:rsid w:val="006C7C62"/>
    <w:rsid w:val="006D026B"/>
    <w:rsid w:val="006D05D3"/>
    <w:rsid w:val="006D08C3"/>
    <w:rsid w:val="006D1CCA"/>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69AE"/>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66E"/>
    <w:rsid w:val="00744567"/>
    <w:rsid w:val="00744A8F"/>
    <w:rsid w:val="00744F57"/>
    <w:rsid w:val="007465E7"/>
    <w:rsid w:val="0074690D"/>
    <w:rsid w:val="00746A78"/>
    <w:rsid w:val="00747C42"/>
    <w:rsid w:val="00750637"/>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2475"/>
    <w:rsid w:val="00782E26"/>
    <w:rsid w:val="00782F3D"/>
    <w:rsid w:val="0078367A"/>
    <w:rsid w:val="007840C6"/>
    <w:rsid w:val="0078581E"/>
    <w:rsid w:val="00787C20"/>
    <w:rsid w:val="00791384"/>
    <w:rsid w:val="00793503"/>
    <w:rsid w:val="00793C46"/>
    <w:rsid w:val="00793DE5"/>
    <w:rsid w:val="00795B36"/>
    <w:rsid w:val="00795BDE"/>
    <w:rsid w:val="00795E44"/>
    <w:rsid w:val="00796002"/>
    <w:rsid w:val="007975E8"/>
    <w:rsid w:val="007A0033"/>
    <w:rsid w:val="007A004A"/>
    <w:rsid w:val="007A2A81"/>
    <w:rsid w:val="007A5B13"/>
    <w:rsid w:val="007A5B1D"/>
    <w:rsid w:val="007A720D"/>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265"/>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0CF"/>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3F6F"/>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514"/>
    <w:rsid w:val="008C7833"/>
    <w:rsid w:val="008C7AE6"/>
    <w:rsid w:val="008D0254"/>
    <w:rsid w:val="008D09CC"/>
    <w:rsid w:val="008D1291"/>
    <w:rsid w:val="008D1BC4"/>
    <w:rsid w:val="008D4B4B"/>
    <w:rsid w:val="008D4BA5"/>
    <w:rsid w:val="008D5A54"/>
    <w:rsid w:val="008D7A68"/>
    <w:rsid w:val="008D7E42"/>
    <w:rsid w:val="008D7F3E"/>
    <w:rsid w:val="008E345E"/>
    <w:rsid w:val="008E3A89"/>
    <w:rsid w:val="008E4317"/>
    <w:rsid w:val="008E47A0"/>
    <w:rsid w:val="008E4F36"/>
    <w:rsid w:val="008E52A1"/>
    <w:rsid w:val="008E563B"/>
    <w:rsid w:val="008F0CAB"/>
    <w:rsid w:val="008F0D91"/>
    <w:rsid w:val="008F12D4"/>
    <w:rsid w:val="008F1618"/>
    <w:rsid w:val="008F1B15"/>
    <w:rsid w:val="008F1F41"/>
    <w:rsid w:val="008F202C"/>
    <w:rsid w:val="008F2B52"/>
    <w:rsid w:val="008F2D43"/>
    <w:rsid w:val="008F3258"/>
    <w:rsid w:val="008F3C3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2B6"/>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4232"/>
    <w:rsid w:val="0094581F"/>
    <w:rsid w:val="009459CE"/>
    <w:rsid w:val="00945ECE"/>
    <w:rsid w:val="00945EE8"/>
    <w:rsid w:val="00946F6F"/>
    <w:rsid w:val="00947E43"/>
    <w:rsid w:val="00953EEC"/>
    <w:rsid w:val="00955A00"/>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7FA"/>
    <w:rsid w:val="009E3B8B"/>
    <w:rsid w:val="009E58B1"/>
    <w:rsid w:val="009E691A"/>
    <w:rsid w:val="009E7723"/>
    <w:rsid w:val="009E7FCD"/>
    <w:rsid w:val="009F1503"/>
    <w:rsid w:val="009F16FE"/>
    <w:rsid w:val="009F2206"/>
    <w:rsid w:val="009F3068"/>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1312"/>
    <w:rsid w:val="00A92C23"/>
    <w:rsid w:val="00A9313D"/>
    <w:rsid w:val="00A94A1A"/>
    <w:rsid w:val="00A94C29"/>
    <w:rsid w:val="00A94F4E"/>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8C7"/>
    <w:rsid w:val="00AE3A6D"/>
    <w:rsid w:val="00AE3B1A"/>
    <w:rsid w:val="00AE4264"/>
    <w:rsid w:val="00AE4476"/>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2D22"/>
    <w:rsid w:val="00B03319"/>
    <w:rsid w:val="00B06A49"/>
    <w:rsid w:val="00B0742F"/>
    <w:rsid w:val="00B074DF"/>
    <w:rsid w:val="00B10805"/>
    <w:rsid w:val="00B10F67"/>
    <w:rsid w:val="00B11044"/>
    <w:rsid w:val="00B11198"/>
    <w:rsid w:val="00B118C5"/>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52B"/>
    <w:rsid w:val="00B31E30"/>
    <w:rsid w:val="00B32406"/>
    <w:rsid w:val="00B32FE5"/>
    <w:rsid w:val="00B33046"/>
    <w:rsid w:val="00B3405A"/>
    <w:rsid w:val="00B34E39"/>
    <w:rsid w:val="00B3636D"/>
    <w:rsid w:val="00B36CDD"/>
    <w:rsid w:val="00B37C2B"/>
    <w:rsid w:val="00B41020"/>
    <w:rsid w:val="00B41EEA"/>
    <w:rsid w:val="00B426C8"/>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316"/>
    <w:rsid w:val="00C00AB1"/>
    <w:rsid w:val="00C03163"/>
    <w:rsid w:val="00C0391B"/>
    <w:rsid w:val="00C03CAC"/>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926"/>
    <w:rsid w:val="00C66C59"/>
    <w:rsid w:val="00C66C92"/>
    <w:rsid w:val="00C66F0A"/>
    <w:rsid w:val="00C67EA7"/>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5718"/>
    <w:rsid w:val="00D57A32"/>
    <w:rsid w:val="00D6291D"/>
    <w:rsid w:val="00D6384D"/>
    <w:rsid w:val="00D65283"/>
    <w:rsid w:val="00D66E61"/>
    <w:rsid w:val="00D66EC3"/>
    <w:rsid w:val="00D67921"/>
    <w:rsid w:val="00D701C8"/>
    <w:rsid w:val="00D73E3E"/>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5F5"/>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C4A"/>
    <w:rsid w:val="00EC11C9"/>
    <w:rsid w:val="00EC2279"/>
    <w:rsid w:val="00EC2930"/>
    <w:rsid w:val="00EC38B7"/>
    <w:rsid w:val="00EC4E75"/>
    <w:rsid w:val="00EC5BFA"/>
    <w:rsid w:val="00EC604D"/>
    <w:rsid w:val="00EC65A7"/>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4B2B"/>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2AD8"/>
    <w:rsid w:val="00F42D1C"/>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587"/>
    <w:rsid w:val="00F540BB"/>
    <w:rsid w:val="00F5461E"/>
    <w:rsid w:val="00F54A74"/>
    <w:rsid w:val="00F55344"/>
    <w:rsid w:val="00F57C26"/>
    <w:rsid w:val="00F623B3"/>
    <w:rsid w:val="00F6241A"/>
    <w:rsid w:val="00F62A13"/>
    <w:rsid w:val="00F62A60"/>
    <w:rsid w:val="00F62B10"/>
    <w:rsid w:val="00F62F2E"/>
    <w:rsid w:val="00F630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944232"/>
    <w:pPr>
      <w:keepNext/>
      <w:jc w:val="center"/>
      <w:outlineLvl w:val="0"/>
    </w:pPr>
    <w:rPr>
      <w:caps/>
    </w:rPr>
  </w:style>
  <w:style w:type="paragraph" w:styleId="Heading2">
    <w:name w:val="heading 2"/>
    <w:next w:val="Normal"/>
    <w:link w:val="Heading2Char"/>
    <w:autoRedefine/>
    <w:qFormat/>
    <w:rsid w:val="00944232"/>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944232"/>
    <w:pPr>
      <w:tabs>
        <w:tab w:val="right" w:leader="dot" w:pos="9639"/>
      </w:tabs>
      <w:spacing w:before="60" w:after="120"/>
      <w:ind w:right="851"/>
      <w:jc w:val="left"/>
      <w:outlineLvl w:val="0"/>
    </w:pPr>
    <w:rPr>
      <w:bCs/>
      <w:caps/>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4779EC"/>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944232"/>
    <w:pPr>
      <w:tabs>
        <w:tab w:val="decimal" w:pos="907"/>
        <w:tab w:val="left" w:pos="1077"/>
      </w:tabs>
    </w:pPr>
    <w:rPr>
      <w:rFonts w:cs="Times New Roman"/>
      <w:szCs w:val="24"/>
      <w:lang w:val="de-DE" w:eastAsia="de-DE" w:bidi="de-DE"/>
    </w:rPr>
  </w:style>
  <w:style w:type="paragraph" w:customStyle="1" w:styleId="preparedby0">
    <w:name w:val="prepared by"/>
    <w:basedOn w:val="Normal"/>
    <w:rsid w:val="00944232"/>
    <w:pPr>
      <w:spacing w:before="600" w:after="600"/>
      <w:jc w:val="center"/>
    </w:pPr>
    <w:rPr>
      <w:rFonts w:cs="Times New Roman"/>
      <w:i/>
      <w:lang w:val="de-DE" w:eastAsia="de-DE" w:bidi="de-DE"/>
    </w:rPr>
  </w:style>
  <w:style w:type="paragraph" w:customStyle="1" w:styleId="Docoriginal">
    <w:name w:val="Doc_original"/>
    <w:basedOn w:val="Normal"/>
    <w:link w:val="DocoriginalChar"/>
    <w:rsid w:val="00944232"/>
    <w:pPr>
      <w:spacing w:line="280" w:lineRule="exact"/>
      <w:ind w:left="1361"/>
    </w:pPr>
    <w:rPr>
      <w:rFonts w:cs="Times New Roman"/>
      <w:b/>
      <w:bCs/>
      <w:spacing w:val="10"/>
      <w:lang w:val="de-DE" w:eastAsia="de-DE" w:bidi="de-DE"/>
    </w:rPr>
  </w:style>
  <w:style w:type="paragraph" w:customStyle="1" w:styleId="upove">
    <w:name w:val="upov_e"/>
    <w:basedOn w:val="Normal"/>
    <w:rsid w:val="00944232"/>
    <w:pPr>
      <w:spacing w:before="60"/>
      <w:jc w:val="center"/>
    </w:pPr>
    <w:rPr>
      <w:rFonts w:cs="Times New Roman"/>
      <w:b/>
      <w:bCs/>
      <w:spacing w:val="8"/>
      <w:sz w:val="24"/>
      <w:lang w:val="de-DE" w:eastAsia="de-DE" w:bidi="de-DE"/>
    </w:rPr>
  </w:style>
  <w:style w:type="paragraph" w:customStyle="1" w:styleId="Country">
    <w:name w:val="Country"/>
    <w:basedOn w:val="Normal"/>
    <w:semiHidden/>
    <w:rsid w:val="00944232"/>
    <w:pPr>
      <w:spacing w:before="60" w:after="480"/>
      <w:jc w:val="center"/>
    </w:pPr>
    <w:rPr>
      <w:rFonts w:cs="Times New Roman"/>
      <w:lang w:val="de-DE" w:eastAsia="de-DE" w:bidi="de-DE"/>
    </w:rPr>
  </w:style>
  <w:style w:type="paragraph" w:customStyle="1" w:styleId="Lettrine">
    <w:name w:val="Lettrine"/>
    <w:basedOn w:val="Normal"/>
    <w:rsid w:val="00944232"/>
    <w:pPr>
      <w:spacing w:after="120" w:line="340" w:lineRule="atLeast"/>
      <w:jc w:val="right"/>
    </w:pPr>
    <w:rPr>
      <w:rFonts w:cs="Times New Roman"/>
      <w:b/>
      <w:bCs/>
      <w:sz w:val="56"/>
      <w:lang w:val="de-DE" w:eastAsia="de-DE" w:bidi="de-DE"/>
    </w:rPr>
  </w:style>
  <w:style w:type="paragraph" w:customStyle="1" w:styleId="LogoUPOV">
    <w:name w:val="LogoUPOV"/>
    <w:basedOn w:val="Normal"/>
    <w:rsid w:val="00944232"/>
    <w:pPr>
      <w:spacing w:before="720"/>
      <w:jc w:val="center"/>
    </w:pPr>
    <w:rPr>
      <w:rFonts w:cs="Times New Roman"/>
      <w:lang w:val="de-DE" w:eastAsia="de-DE" w:bidi="de-DE"/>
    </w:rPr>
  </w:style>
  <w:style w:type="character" w:customStyle="1" w:styleId="DocoriginalChar">
    <w:name w:val="Doc_original Char"/>
    <w:link w:val="Docoriginal"/>
    <w:rsid w:val="00944232"/>
    <w:rPr>
      <w:rFonts w:cs="Times New Roman"/>
      <w:b/>
      <w:bCs/>
      <w:spacing w:val="10"/>
      <w:lang w:val="de-DE" w:eastAsia="de-DE" w:bidi="de-DE"/>
    </w:rPr>
  </w:style>
  <w:style w:type="character" w:customStyle="1" w:styleId="Heading2Char">
    <w:name w:val="Heading 2 Char"/>
    <w:basedOn w:val="DefaultParagraphFont"/>
    <w:link w:val="Heading2"/>
    <w:rsid w:val="00944232"/>
    <w:rPr>
      <w:u w:val="single"/>
    </w:rPr>
  </w:style>
  <w:style w:type="character" w:customStyle="1" w:styleId="FootnoteTextChar">
    <w:name w:val="Footnote Text Char"/>
    <w:basedOn w:val="DefaultParagraphFont"/>
    <w:link w:val="FootnoteText"/>
    <w:rsid w:val="00944232"/>
    <w:rPr>
      <w:sz w:val="16"/>
    </w:rPr>
  </w:style>
  <w:style w:type="paragraph" w:styleId="BodyText2">
    <w:name w:val="Body Text 2"/>
    <w:basedOn w:val="Normal"/>
    <w:link w:val="BodyText2Char"/>
    <w:rsid w:val="00944232"/>
    <w:rPr>
      <w:rFonts w:ascii="Times New Roman" w:hAnsi="Times New Roman" w:cs="Times New Roman"/>
      <w:color w:val="008000"/>
      <w:sz w:val="24"/>
      <w:lang w:val="de-DE" w:eastAsia="de-DE" w:bidi="de-DE"/>
    </w:rPr>
  </w:style>
  <w:style w:type="character" w:customStyle="1" w:styleId="BodyText2Char">
    <w:name w:val="Body Text 2 Char"/>
    <w:basedOn w:val="DefaultParagraphFont"/>
    <w:link w:val="BodyText2"/>
    <w:rsid w:val="00944232"/>
    <w:rPr>
      <w:rFonts w:ascii="Times New Roman" w:hAnsi="Times New Roman" w:cs="Times New Roman"/>
      <w:color w:val="008000"/>
      <w:sz w:val="24"/>
      <w:lang w:val="de-DE" w:eastAsia="de-DE" w:bidi="de-DE"/>
    </w:rPr>
  </w:style>
  <w:style w:type="paragraph" w:customStyle="1" w:styleId="a">
    <w:name w:val="a"/>
    <w:basedOn w:val="Normal"/>
    <w:rsid w:val="00944232"/>
    <w:pPr>
      <w:overflowPunct w:val="0"/>
      <w:autoSpaceDE w:val="0"/>
      <w:autoSpaceDN w:val="0"/>
      <w:adjustRightInd w:val="0"/>
      <w:jc w:val="center"/>
      <w:textAlignment w:val="baseline"/>
    </w:pPr>
    <w:rPr>
      <w:rFonts w:ascii="Times New Roman" w:hAnsi="Times New Roman" w:cs="Times New Roman"/>
      <w:b/>
      <w:sz w:val="24"/>
      <w:lang w:val="de-DE" w:eastAsia="de-DE" w:bidi="de-DE"/>
    </w:rPr>
  </w:style>
  <w:style w:type="character" w:customStyle="1" w:styleId="BodyTextChar">
    <w:name w:val="Body Text Char"/>
    <w:basedOn w:val="DefaultParagraphFont"/>
    <w:link w:val="BodyText"/>
    <w:rsid w:val="00944232"/>
  </w:style>
  <w:style w:type="character" w:customStyle="1" w:styleId="BodyTextIndentChar">
    <w:name w:val="Body Text Indent Char"/>
    <w:basedOn w:val="DefaultParagraphFont"/>
    <w:link w:val="BodyTextIndent"/>
    <w:rsid w:val="00944232"/>
    <w:rPr>
      <w:lang w:val="es-ES_tradnl"/>
    </w:rPr>
  </w:style>
  <w:style w:type="character" w:customStyle="1" w:styleId="CommentTextChar">
    <w:name w:val="Comment Text Char"/>
    <w:basedOn w:val="DefaultParagraphFont"/>
    <w:link w:val="CommentText"/>
    <w:semiHidden/>
    <w:rsid w:val="00944232"/>
    <w:rPr>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944232"/>
    <w:pPr>
      <w:keepNext/>
      <w:jc w:val="center"/>
      <w:outlineLvl w:val="0"/>
    </w:pPr>
    <w:rPr>
      <w:caps/>
    </w:rPr>
  </w:style>
  <w:style w:type="paragraph" w:styleId="Heading2">
    <w:name w:val="heading 2"/>
    <w:next w:val="Normal"/>
    <w:link w:val="Heading2Char"/>
    <w:autoRedefine/>
    <w:qFormat/>
    <w:rsid w:val="00944232"/>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944232"/>
    <w:pPr>
      <w:tabs>
        <w:tab w:val="right" w:leader="dot" w:pos="9639"/>
      </w:tabs>
      <w:spacing w:before="60" w:after="120"/>
      <w:ind w:right="851"/>
      <w:jc w:val="left"/>
      <w:outlineLvl w:val="0"/>
    </w:pPr>
    <w:rPr>
      <w:bCs/>
      <w:caps/>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4779EC"/>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944232"/>
    <w:pPr>
      <w:tabs>
        <w:tab w:val="decimal" w:pos="907"/>
        <w:tab w:val="left" w:pos="1077"/>
      </w:tabs>
    </w:pPr>
    <w:rPr>
      <w:rFonts w:cs="Times New Roman"/>
      <w:szCs w:val="24"/>
      <w:lang w:val="de-DE" w:eastAsia="de-DE" w:bidi="de-DE"/>
    </w:rPr>
  </w:style>
  <w:style w:type="paragraph" w:customStyle="1" w:styleId="preparedby0">
    <w:name w:val="prepared by"/>
    <w:basedOn w:val="Normal"/>
    <w:rsid w:val="00944232"/>
    <w:pPr>
      <w:spacing w:before="600" w:after="600"/>
      <w:jc w:val="center"/>
    </w:pPr>
    <w:rPr>
      <w:rFonts w:cs="Times New Roman"/>
      <w:i/>
      <w:lang w:val="de-DE" w:eastAsia="de-DE" w:bidi="de-DE"/>
    </w:rPr>
  </w:style>
  <w:style w:type="paragraph" w:customStyle="1" w:styleId="Docoriginal">
    <w:name w:val="Doc_original"/>
    <w:basedOn w:val="Normal"/>
    <w:link w:val="DocoriginalChar"/>
    <w:rsid w:val="00944232"/>
    <w:pPr>
      <w:spacing w:line="280" w:lineRule="exact"/>
      <w:ind w:left="1361"/>
    </w:pPr>
    <w:rPr>
      <w:rFonts w:cs="Times New Roman"/>
      <w:b/>
      <w:bCs/>
      <w:spacing w:val="10"/>
      <w:lang w:val="de-DE" w:eastAsia="de-DE" w:bidi="de-DE"/>
    </w:rPr>
  </w:style>
  <w:style w:type="paragraph" w:customStyle="1" w:styleId="upove">
    <w:name w:val="upov_e"/>
    <w:basedOn w:val="Normal"/>
    <w:rsid w:val="00944232"/>
    <w:pPr>
      <w:spacing w:before="60"/>
      <w:jc w:val="center"/>
    </w:pPr>
    <w:rPr>
      <w:rFonts w:cs="Times New Roman"/>
      <w:b/>
      <w:bCs/>
      <w:spacing w:val="8"/>
      <w:sz w:val="24"/>
      <w:lang w:val="de-DE" w:eastAsia="de-DE" w:bidi="de-DE"/>
    </w:rPr>
  </w:style>
  <w:style w:type="paragraph" w:customStyle="1" w:styleId="Country">
    <w:name w:val="Country"/>
    <w:basedOn w:val="Normal"/>
    <w:semiHidden/>
    <w:rsid w:val="00944232"/>
    <w:pPr>
      <w:spacing w:before="60" w:after="480"/>
      <w:jc w:val="center"/>
    </w:pPr>
    <w:rPr>
      <w:rFonts w:cs="Times New Roman"/>
      <w:lang w:val="de-DE" w:eastAsia="de-DE" w:bidi="de-DE"/>
    </w:rPr>
  </w:style>
  <w:style w:type="paragraph" w:customStyle="1" w:styleId="Lettrine">
    <w:name w:val="Lettrine"/>
    <w:basedOn w:val="Normal"/>
    <w:rsid w:val="00944232"/>
    <w:pPr>
      <w:spacing w:after="120" w:line="340" w:lineRule="atLeast"/>
      <w:jc w:val="right"/>
    </w:pPr>
    <w:rPr>
      <w:rFonts w:cs="Times New Roman"/>
      <w:b/>
      <w:bCs/>
      <w:sz w:val="56"/>
      <w:lang w:val="de-DE" w:eastAsia="de-DE" w:bidi="de-DE"/>
    </w:rPr>
  </w:style>
  <w:style w:type="paragraph" w:customStyle="1" w:styleId="LogoUPOV">
    <w:name w:val="LogoUPOV"/>
    <w:basedOn w:val="Normal"/>
    <w:rsid w:val="00944232"/>
    <w:pPr>
      <w:spacing w:before="720"/>
      <w:jc w:val="center"/>
    </w:pPr>
    <w:rPr>
      <w:rFonts w:cs="Times New Roman"/>
      <w:lang w:val="de-DE" w:eastAsia="de-DE" w:bidi="de-DE"/>
    </w:rPr>
  </w:style>
  <w:style w:type="character" w:customStyle="1" w:styleId="DocoriginalChar">
    <w:name w:val="Doc_original Char"/>
    <w:link w:val="Docoriginal"/>
    <w:rsid w:val="00944232"/>
    <w:rPr>
      <w:rFonts w:cs="Times New Roman"/>
      <w:b/>
      <w:bCs/>
      <w:spacing w:val="10"/>
      <w:lang w:val="de-DE" w:eastAsia="de-DE" w:bidi="de-DE"/>
    </w:rPr>
  </w:style>
  <w:style w:type="character" w:customStyle="1" w:styleId="Heading2Char">
    <w:name w:val="Heading 2 Char"/>
    <w:basedOn w:val="DefaultParagraphFont"/>
    <w:link w:val="Heading2"/>
    <w:rsid w:val="00944232"/>
    <w:rPr>
      <w:u w:val="single"/>
    </w:rPr>
  </w:style>
  <w:style w:type="character" w:customStyle="1" w:styleId="FootnoteTextChar">
    <w:name w:val="Footnote Text Char"/>
    <w:basedOn w:val="DefaultParagraphFont"/>
    <w:link w:val="FootnoteText"/>
    <w:rsid w:val="00944232"/>
    <w:rPr>
      <w:sz w:val="16"/>
    </w:rPr>
  </w:style>
  <w:style w:type="paragraph" w:styleId="BodyText2">
    <w:name w:val="Body Text 2"/>
    <w:basedOn w:val="Normal"/>
    <w:link w:val="BodyText2Char"/>
    <w:rsid w:val="00944232"/>
    <w:rPr>
      <w:rFonts w:ascii="Times New Roman" w:hAnsi="Times New Roman" w:cs="Times New Roman"/>
      <w:color w:val="008000"/>
      <w:sz w:val="24"/>
      <w:lang w:val="de-DE" w:eastAsia="de-DE" w:bidi="de-DE"/>
    </w:rPr>
  </w:style>
  <w:style w:type="character" w:customStyle="1" w:styleId="BodyText2Char">
    <w:name w:val="Body Text 2 Char"/>
    <w:basedOn w:val="DefaultParagraphFont"/>
    <w:link w:val="BodyText2"/>
    <w:rsid w:val="00944232"/>
    <w:rPr>
      <w:rFonts w:ascii="Times New Roman" w:hAnsi="Times New Roman" w:cs="Times New Roman"/>
      <w:color w:val="008000"/>
      <w:sz w:val="24"/>
      <w:lang w:val="de-DE" w:eastAsia="de-DE" w:bidi="de-DE"/>
    </w:rPr>
  </w:style>
  <w:style w:type="paragraph" w:customStyle="1" w:styleId="a">
    <w:name w:val="a"/>
    <w:basedOn w:val="Normal"/>
    <w:rsid w:val="00944232"/>
    <w:pPr>
      <w:overflowPunct w:val="0"/>
      <w:autoSpaceDE w:val="0"/>
      <w:autoSpaceDN w:val="0"/>
      <w:adjustRightInd w:val="0"/>
      <w:jc w:val="center"/>
      <w:textAlignment w:val="baseline"/>
    </w:pPr>
    <w:rPr>
      <w:rFonts w:ascii="Times New Roman" w:hAnsi="Times New Roman" w:cs="Times New Roman"/>
      <w:b/>
      <w:sz w:val="24"/>
      <w:lang w:val="de-DE" w:eastAsia="de-DE" w:bidi="de-DE"/>
    </w:rPr>
  </w:style>
  <w:style w:type="character" w:customStyle="1" w:styleId="BodyTextChar">
    <w:name w:val="Body Text Char"/>
    <w:basedOn w:val="DefaultParagraphFont"/>
    <w:link w:val="BodyText"/>
    <w:rsid w:val="00944232"/>
  </w:style>
  <w:style w:type="character" w:customStyle="1" w:styleId="BodyTextIndentChar">
    <w:name w:val="Body Text Indent Char"/>
    <w:basedOn w:val="DefaultParagraphFont"/>
    <w:link w:val="BodyTextIndent"/>
    <w:rsid w:val="00944232"/>
    <w:rPr>
      <w:lang w:val="es-ES_tradnl"/>
    </w:rPr>
  </w:style>
  <w:style w:type="character" w:customStyle="1" w:styleId="CommentTextChar">
    <w:name w:val="Comment Text Char"/>
    <w:basedOn w:val="DefaultParagraphFont"/>
    <w:link w:val="CommentText"/>
    <w:semiHidden/>
    <w:rsid w:val="00944232"/>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edocs/expndocs/de/upov_exn_ca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expndocs/de/upov_exn_c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843</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12</cp:revision>
  <cp:lastPrinted>2015-09-28T16:28:00Z</cp:lastPrinted>
  <dcterms:created xsi:type="dcterms:W3CDTF">2015-07-06T09:19:00Z</dcterms:created>
  <dcterms:modified xsi:type="dcterms:W3CDTF">2015-09-28T16:28:00Z</dcterms:modified>
</cp:coreProperties>
</file>