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drawings/drawing2.xml" ContentType="application/vnd.openxmlformats-officedocument.drawingml.chartshapes+xml"/>
  <Override PartName="/word/charts/chart7.xml" ContentType="application/vnd.openxmlformats-officedocument.drawingml.chart+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17EE" w:rsidTr="00C27491">
        <w:trPr>
          <w:trHeight w:val="1760"/>
        </w:trPr>
        <w:tc>
          <w:tcPr>
            <w:tcW w:w="4243" w:type="dxa"/>
          </w:tcPr>
          <w:p w:rsidR="000D7780" w:rsidRPr="00C517EE" w:rsidRDefault="000D7780" w:rsidP="00F45372"/>
        </w:tc>
        <w:tc>
          <w:tcPr>
            <w:tcW w:w="1646" w:type="dxa"/>
            <w:vAlign w:val="center"/>
          </w:tcPr>
          <w:p w:rsidR="000D7780" w:rsidRPr="00347219" w:rsidRDefault="00B16CEC" w:rsidP="00F45372">
            <w:pPr>
              <w:pStyle w:val="LogoUPOV"/>
            </w:pPr>
            <w:r w:rsidRPr="00347219">
              <w:rPr>
                <w:noProof/>
                <w:lang w:val="en-US"/>
              </w:rPr>
              <w:drawing>
                <wp:inline distT="0" distB="0" distL="0" distR="0" wp14:anchorId="10143E42" wp14:editId="73A52072">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347219" w:rsidRDefault="00C27491" w:rsidP="00F45372">
            <w:pPr>
              <w:pStyle w:val="Lettrine"/>
            </w:pPr>
            <w:r w:rsidRPr="00347219">
              <w:t>G</w:t>
            </w:r>
          </w:p>
          <w:p w:rsidR="00C517EE" w:rsidRPr="00347219" w:rsidRDefault="00C517EE" w:rsidP="00C517EE">
            <w:pPr>
              <w:pStyle w:val="Docoriginal"/>
              <w:ind w:left="313"/>
            </w:pPr>
            <w:r w:rsidRPr="00347219">
              <w:t>C/49/</w:t>
            </w:r>
            <w:bookmarkStart w:id="0" w:name="Code"/>
            <w:bookmarkEnd w:id="0"/>
            <w:r w:rsidRPr="00347219">
              <w:t>15</w:t>
            </w:r>
          </w:p>
          <w:p w:rsidR="00C517EE" w:rsidRPr="00347219" w:rsidRDefault="00C517EE" w:rsidP="00C517EE">
            <w:pPr>
              <w:pStyle w:val="Docoriginal"/>
              <w:ind w:left="313"/>
              <w:rPr>
                <w:b w:val="0"/>
                <w:spacing w:val="0"/>
              </w:rPr>
            </w:pPr>
            <w:r w:rsidRPr="00347219">
              <w:rPr>
                <w:rStyle w:val="StyleDoclangBold"/>
                <w:b/>
                <w:bCs/>
                <w:spacing w:val="0"/>
                <w:lang w:val="de-DE"/>
              </w:rPr>
              <w:t>ORIGINAL:</w:t>
            </w:r>
            <w:r w:rsidRPr="00347219">
              <w:rPr>
                <w:rStyle w:val="StyleDocoriginalNotBold1"/>
                <w:spacing w:val="0"/>
                <w:lang w:val="de-DE"/>
              </w:rPr>
              <w:t xml:space="preserve"> </w:t>
            </w:r>
            <w:r w:rsidRPr="00347219">
              <w:t xml:space="preserve"> </w:t>
            </w:r>
            <w:bookmarkStart w:id="1" w:name="Original"/>
            <w:bookmarkEnd w:id="1"/>
            <w:r w:rsidRPr="00347219">
              <w:rPr>
                <w:b w:val="0"/>
                <w:spacing w:val="0"/>
                <w:sz w:val="18"/>
                <w:szCs w:val="18"/>
              </w:rPr>
              <w:t>English/</w:t>
            </w:r>
            <w:proofErr w:type="spellStart"/>
            <w:r w:rsidRPr="00347219">
              <w:rPr>
                <w:b w:val="0"/>
                <w:spacing w:val="0"/>
                <w:sz w:val="18"/>
                <w:szCs w:val="18"/>
              </w:rPr>
              <w:t>français</w:t>
            </w:r>
            <w:proofErr w:type="spellEnd"/>
            <w:r w:rsidRPr="00347219">
              <w:rPr>
                <w:b w:val="0"/>
                <w:spacing w:val="0"/>
                <w:sz w:val="18"/>
                <w:szCs w:val="18"/>
              </w:rPr>
              <w:t>/deutsch/</w:t>
            </w:r>
            <w:proofErr w:type="spellStart"/>
            <w:r w:rsidRPr="00347219">
              <w:rPr>
                <w:b w:val="0"/>
                <w:spacing w:val="0"/>
                <w:sz w:val="18"/>
                <w:szCs w:val="18"/>
              </w:rPr>
              <w:t>español</w:t>
            </w:r>
            <w:proofErr w:type="spellEnd"/>
          </w:p>
          <w:p w:rsidR="000D7780" w:rsidRPr="00C517EE" w:rsidRDefault="00C517EE" w:rsidP="00347219">
            <w:pPr>
              <w:pStyle w:val="Docoriginal"/>
              <w:ind w:left="313"/>
            </w:pPr>
            <w:r w:rsidRPr="00347219">
              <w:t xml:space="preserve">DATUM: </w:t>
            </w:r>
            <w:r w:rsidRPr="00347219">
              <w:rPr>
                <w:rStyle w:val="StyleDocoriginalNotBold1"/>
                <w:spacing w:val="0"/>
                <w:lang w:val="de-DE"/>
              </w:rPr>
              <w:t xml:space="preserve"> </w:t>
            </w:r>
            <w:bookmarkStart w:id="2" w:name="Date"/>
            <w:bookmarkEnd w:id="2"/>
            <w:r w:rsidRPr="00347219">
              <w:rPr>
                <w:rStyle w:val="StyleDocoriginalNotBold1"/>
                <w:spacing w:val="0"/>
                <w:lang w:val="de-DE"/>
              </w:rPr>
              <w:t>1</w:t>
            </w:r>
            <w:r w:rsidR="00347219" w:rsidRPr="00347219">
              <w:rPr>
                <w:rStyle w:val="StyleDocoriginalNotBold1"/>
                <w:spacing w:val="0"/>
                <w:lang w:val="de-DE"/>
              </w:rPr>
              <w:t>6</w:t>
            </w:r>
            <w:r w:rsidRPr="00347219">
              <w:rPr>
                <w:rStyle w:val="StyleDocoriginalNotBold1"/>
                <w:spacing w:val="0"/>
                <w:lang w:val="de-DE"/>
              </w:rPr>
              <w:t>. Oktober</w:t>
            </w:r>
            <w:r w:rsidRPr="00347219">
              <w:rPr>
                <w:b w:val="0"/>
                <w:spacing w:val="0"/>
              </w:rPr>
              <w:t xml:space="preserve"> 2015</w:t>
            </w:r>
          </w:p>
        </w:tc>
      </w:tr>
      <w:tr w:rsidR="000D7780" w:rsidRPr="00C517EE" w:rsidTr="00C27491">
        <w:tc>
          <w:tcPr>
            <w:tcW w:w="10131" w:type="dxa"/>
            <w:gridSpan w:val="3"/>
          </w:tcPr>
          <w:p w:rsidR="000D7780" w:rsidRPr="00C517EE" w:rsidRDefault="00C27491" w:rsidP="00F45372">
            <w:pPr>
              <w:pStyle w:val="upove"/>
              <w:rPr>
                <w:sz w:val="28"/>
              </w:rPr>
            </w:pPr>
            <w:r w:rsidRPr="00C517EE">
              <w:rPr>
                <w:snapToGrid w:val="0"/>
                <w:spacing w:val="10"/>
              </w:rPr>
              <w:t>INTERNATIONALER VERBAND ZUM SCHUTZ VON PFLANZENZÜCHTUNGEN</w:t>
            </w:r>
            <w:r w:rsidR="0024416D" w:rsidRPr="00C517EE">
              <w:rPr>
                <w:snapToGrid w:val="0"/>
              </w:rPr>
              <w:t xml:space="preserve"> </w:t>
            </w:r>
          </w:p>
        </w:tc>
      </w:tr>
      <w:tr w:rsidR="000D7780" w:rsidRPr="00C517EE" w:rsidTr="00C27491">
        <w:tc>
          <w:tcPr>
            <w:tcW w:w="10131" w:type="dxa"/>
            <w:gridSpan w:val="3"/>
          </w:tcPr>
          <w:p w:rsidR="000D7780" w:rsidRPr="00C517EE" w:rsidRDefault="00867AC1" w:rsidP="00F45372">
            <w:pPr>
              <w:pStyle w:val="Country"/>
            </w:pPr>
            <w:r w:rsidRPr="00C517EE">
              <w:t>Gen</w:t>
            </w:r>
            <w:r w:rsidR="00C27491" w:rsidRPr="00C517EE">
              <w:t>f</w:t>
            </w:r>
          </w:p>
        </w:tc>
      </w:tr>
    </w:tbl>
    <w:p w:rsidR="000D7780" w:rsidRPr="00C517EE" w:rsidRDefault="00091594" w:rsidP="00F45372">
      <w:pPr>
        <w:pStyle w:val="Sessiontc"/>
      </w:pPr>
      <w:r w:rsidRPr="00C517EE">
        <w:t>DER RAT</w:t>
      </w:r>
    </w:p>
    <w:p w:rsidR="00361821" w:rsidRPr="00C517EE" w:rsidRDefault="00A15D73" w:rsidP="00F45372">
      <w:pPr>
        <w:pStyle w:val="Sessiontcplacedate"/>
      </w:pPr>
      <w:r w:rsidRPr="00C517EE">
        <w:t>Neun</w:t>
      </w:r>
      <w:r w:rsidR="00C27491" w:rsidRPr="00C517EE">
        <w:t xml:space="preserve">undvierzigste </w:t>
      </w:r>
      <w:r w:rsidR="00091594" w:rsidRPr="00C517EE">
        <w:t xml:space="preserve">ordentliche </w:t>
      </w:r>
      <w:r w:rsidR="00C27491" w:rsidRPr="00C517EE">
        <w:t>Tagung</w:t>
      </w:r>
      <w:r w:rsidR="00C27491" w:rsidRPr="00C517EE">
        <w:br/>
        <w:t xml:space="preserve">Genf, </w:t>
      </w:r>
      <w:r w:rsidRPr="00C517EE">
        <w:t>29</w:t>
      </w:r>
      <w:r w:rsidR="00C27491" w:rsidRPr="00C517EE">
        <w:t xml:space="preserve">. </w:t>
      </w:r>
      <w:r w:rsidR="00EC3139" w:rsidRPr="00C517EE">
        <w:t xml:space="preserve">Oktober </w:t>
      </w:r>
      <w:r w:rsidR="00C27491" w:rsidRPr="00C517EE">
        <w:t>201</w:t>
      </w:r>
      <w:r w:rsidRPr="00C517EE">
        <w:t>5</w:t>
      </w:r>
    </w:p>
    <w:p w:rsidR="00C517EE" w:rsidRPr="00C517EE" w:rsidRDefault="00C517EE" w:rsidP="00C517EE">
      <w:pPr>
        <w:pStyle w:val="Titleofdoc0"/>
      </w:pPr>
      <w:bookmarkStart w:id="3" w:name="TitleOfDoc"/>
      <w:bookmarkEnd w:id="3"/>
      <w:r w:rsidRPr="00C517EE">
        <w:t xml:space="preserve">BERICHTE DER VERTRETER VON MITGLIEDERN UND BEOBACHTERN ÜBER DIE LAGE </w:t>
      </w:r>
      <w:r w:rsidRPr="00C517EE">
        <w:br/>
        <w:t>AUF DEN GEBIETEN DER GESETZGEBUNG, DER VERWALTUNG UND DER TECHNIK</w:t>
      </w:r>
    </w:p>
    <w:p w:rsidR="00C517EE" w:rsidRPr="00C517EE" w:rsidRDefault="00C517EE" w:rsidP="00C517EE">
      <w:pPr>
        <w:pStyle w:val="preparedby1"/>
      </w:pPr>
      <w:bookmarkStart w:id="4" w:name="Prepared"/>
      <w:bookmarkEnd w:id="4"/>
      <w:r w:rsidRPr="00C517EE">
        <w:t>vom Verbandsbüro erstelltes Dokument</w:t>
      </w:r>
      <w:r w:rsidRPr="00C517EE">
        <w:br/>
      </w:r>
      <w:r w:rsidRPr="00C517EE">
        <w:br/>
      </w:r>
      <w:proofErr w:type="spellStart"/>
      <w:r w:rsidRPr="00C517EE">
        <w:rPr>
          <w:color w:val="A6A6A6" w:themeColor="background1" w:themeShade="A6"/>
        </w:rPr>
        <w:t>Haftungsausschluß</w:t>
      </w:r>
      <w:proofErr w:type="spellEnd"/>
      <w:r w:rsidRPr="00C517EE">
        <w:rPr>
          <w:color w:val="A6A6A6" w:themeColor="background1" w:themeShade="A6"/>
        </w:rPr>
        <w:t>: dieses Dokument gibt nicht die Grundsätze oder eine Anleitung der UPOV wieder</w:t>
      </w:r>
    </w:p>
    <w:p w:rsidR="00C517EE" w:rsidRPr="00C517EE" w:rsidRDefault="00C517EE" w:rsidP="00C517EE">
      <w:r w:rsidRPr="00C517EE">
        <w:fldChar w:fldCharType="begin"/>
      </w:r>
      <w:r w:rsidRPr="00C517EE">
        <w:instrText xml:space="preserve"> AUTONUM </w:instrText>
      </w:r>
      <w:r w:rsidRPr="00C517EE">
        <w:fldChar w:fldCharType="separate"/>
      </w:r>
      <w:r w:rsidRPr="00C517EE">
        <w:t>2.</w:t>
      </w:r>
      <w:r w:rsidRPr="00C517EE">
        <w:fldChar w:fldCharType="end"/>
      </w:r>
      <w:r w:rsidRPr="00C517EE">
        <w:tab/>
        <w:t xml:space="preserve">Gemäß der auf der sechsundzwanzigsten ordentlichen Tagung des Rates eingeführten Praxis werden die Vertreter von Mitgliedern und Beobachtern gebeten, ihre Berichte über die Lage auf den Gebieten der Gesetzgebung, der Verwaltung und der Technik des Sortenschutzes und in verwandten Bereichen </w:t>
      </w:r>
      <w:proofErr w:type="spellStart"/>
      <w:r w:rsidRPr="00C517EE">
        <w:t>im voraus</w:t>
      </w:r>
      <w:proofErr w:type="spellEnd"/>
      <w:r w:rsidRPr="00C517EE">
        <w:t xml:space="preserve"> schriftlich vorzulegen, damit der Rat Gelegenheit hat, seine Aufgaben wirksam auszuführen.</w:t>
      </w:r>
    </w:p>
    <w:p w:rsidR="00C517EE" w:rsidRPr="00C517EE" w:rsidRDefault="00C517EE" w:rsidP="00C517EE"/>
    <w:p w:rsidR="00C517EE" w:rsidRPr="00C517EE" w:rsidRDefault="00C517EE" w:rsidP="00C517EE">
      <w:r w:rsidRPr="00C517EE">
        <w:fldChar w:fldCharType="begin"/>
      </w:r>
      <w:r w:rsidRPr="00C517EE">
        <w:instrText xml:space="preserve"> AUTONUM </w:instrText>
      </w:r>
      <w:r w:rsidRPr="00C517EE">
        <w:fldChar w:fldCharType="separate"/>
      </w:r>
      <w:r w:rsidRPr="00C517EE">
        <w:t>2.</w:t>
      </w:r>
      <w:r w:rsidRPr="00C517EE">
        <w:fldChar w:fldCharType="end"/>
      </w:r>
      <w:r w:rsidRPr="00C517EE">
        <w:tab/>
        <w:t>Das Verbandsbüro ersuchte in den Rundschreiben mit der Einladung zu dieser Tagung um schriftliche Berichte und schlug zu diesem Zweck ein Musterformat vor. Folgende Berichte wurden eingereicht (in der alphabetischen Reihenfolge der französischen Namen der Staaten):</w:t>
      </w:r>
    </w:p>
    <w:p w:rsidR="00C517EE" w:rsidRPr="00C517EE" w:rsidRDefault="00C517EE" w:rsidP="00C517EE"/>
    <w:p w:rsidR="00C517EE" w:rsidRPr="00C517EE" w:rsidRDefault="00C517EE" w:rsidP="00C517EE">
      <w:pPr>
        <w:tabs>
          <w:tab w:val="left" w:pos="567"/>
          <w:tab w:val="left" w:pos="2694"/>
        </w:tabs>
        <w:ind w:left="567" w:right="-1" w:hanging="567"/>
        <w:rPr>
          <w:szCs w:val="24"/>
        </w:rPr>
      </w:pPr>
      <w:r w:rsidRPr="00C517EE">
        <w:tab/>
      </w:r>
      <w:r w:rsidRPr="00C517EE">
        <w:rPr>
          <w:spacing w:val="-2"/>
          <w:u w:val="single"/>
        </w:rPr>
        <w:t>Mitglieder</w:t>
      </w:r>
      <w:r w:rsidRPr="00C517EE">
        <w:rPr>
          <w:spacing w:val="-2"/>
        </w:rPr>
        <w:t>: Anlagen I bis X</w:t>
      </w:r>
      <w:r>
        <w:rPr>
          <w:spacing w:val="-2"/>
        </w:rPr>
        <w:t>V</w:t>
      </w:r>
      <w:r w:rsidRPr="00C517EE">
        <w:rPr>
          <w:spacing w:val="-2"/>
        </w:rPr>
        <w:t xml:space="preserve">II: </w:t>
      </w:r>
      <w:r w:rsidRPr="006E3C6B">
        <w:rPr>
          <w:szCs w:val="24"/>
        </w:rPr>
        <w:t xml:space="preserve">Deutschland, Chile, </w:t>
      </w:r>
      <w:r>
        <w:rPr>
          <w:szCs w:val="24"/>
        </w:rPr>
        <w:t xml:space="preserve">Kolumbien, </w:t>
      </w:r>
      <w:r w:rsidRPr="006E3C6B">
        <w:rPr>
          <w:szCs w:val="24"/>
        </w:rPr>
        <w:t>Kroatien, Dänemark, Lettland, Litauen, Marokko, Neuseeland, Polen,</w:t>
      </w:r>
      <w:r>
        <w:rPr>
          <w:szCs w:val="24"/>
        </w:rPr>
        <w:t xml:space="preserve"> Republik Korea,</w:t>
      </w:r>
      <w:r w:rsidRPr="006E3C6B">
        <w:rPr>
          <w:szCs w:val="24"/>
        </w:rPr>
        <w:t xml:space="preserve"> Republik Moldau, Tschechische Republik, Serbien, Schweiz, Tunesien</w:t>
      </w:r>
      <w:r>
        <w:rPr>
          <w:szCs w:val="24"/>
        </w:rPr>
        <w:t xml:space="preserve"> und</w:t>
      </w:r>
      <w:r w:rsidRPr="006E3C6B">
        <w:rPr>
          <w:szCs w:val="24"/>
        </w:rPr>
        <w:t xml:space="preserve"> Europäische Union</w:t>
      </w:r>
    </w:p>
    <w:p w:rsidR="00C517EE" w:rsidRPr="00C517EE" w:rsidRDefault="00C517EE" w:rsidP="00C517EE">
      <w:pPr>
        <w:tabs>
          <w:tab w:val="left" w:pos="567"/>
          <w:tab w:val="left" w:pos="2694"/>
        </w:tabs>
        <w:ind w:left="567" w:right="-1" w:hanging="567"/>
        <w:rPr>
          <w:szCs w:val="24"/>
        </w:rPr>
      </w:pPr>
    </w:p>
    <w:p w:rsidR="00C517EE" w:rsidRPr="00C517EE" w:rsidRDefault="00C517EE" w:rsidP="00C517EE">
      <w:pPr>
        <w:tabs>
          <w:tab w:val="left" w:pos="567"/>
          <w:tab w:val="left" w:pos="2694"/>
        </w:tabs>
        <w:ind w:left="567" w:right="-1" w:hanging="567"/>
      </w:pPr>
      <w:r w:rsidRPr="00C517EE">
        <w:rPr>
          <w:szCs w:val="24"/>
        </w:rPr>
        <w:tab/>
      </w:r>
      <w:r w:rsidRPr="00C517EE">
        <w:rPr>
          <w:szCs w:val="24"/>
          <w:u w:val="single"/>
        </w:rPr>
        <w:t>Beobachter</w:t>
      </w:r>
      <w:r w:rsidRPr="00C517EE">
        <w:rPr>
          <w:szCs w:val="24"/>
        </w:rPr>
        <w:t>:  Anlage XV</w:t>
      </w:r>
      <w:r>
        <w:rPr>
          <w:szCs w:val="24"/>
        </w:rPr>
        <w:t>III</w:t>
      </w:r>
      <w:r w:rsidRPr="00C517EE">
        <w:rPr>
          <w:szCs w:val="24"/>
        </w:rPr>
        <w:t xml:space="preserve">: </w:t>
      </w:r>
      <w:r>
        <w:rPr>
          <w:szCs w:val="24"/>
        </w:rPr>
        <w:t>ARIPO</w:t>
      </w:r>
    </w:p>
    <w:p w:rsidR="00C517EE" w:rsidRPr="00C517EE" w:rsidRDefault="00C517EE" w:rsidP="00C517EE">
      <w:pPr>
        <w:tabs>
          <w:tab w:val="left" w:pos="2694"/>
        </w:tabs>
      </w:pPr>
    </w:p>
    <w:p w:rsidR="00C517EE" w:rsidRPr="00C517EE" w:rsidRDefault="00C517EE" w:rsidP="00C517EE">
      <w:r w:rsidRPr="00C517EE">
        <w:fldChar w:fldCharType="begin"/>
      </w:r>
      <w:r w:rsidRPr="00C517EE">
        <w:instrText xml:space="preserve"> AUTONUM  </w:instrText>
      </w:r>
      <w:r w:rsidRPr="00C517EE">
        <w:fldChar w:fldCharType="end"/>
      </w:r>
      <w:r w:rsidRPr="00C517EE">
        <w:tab/>
        <w:t xml:space="preserve">Berichte, die nach dem </w:t>
      </w:r>
      <w:r>
        <w:t>9</w:t>
      </w:r>
      <w:r w:rsidRPr="00C517EE">
        <w:t xml:space="preserve">. </w:t>
      </w:r>
      <w:r>
        <w:t xml:space="preserve">Oktober </w:t>
      </w:r>
      <w:r w:rsidRPr="00C517EE">
        <w:t>201</w:t>
      </w:r>
      <w:r>
        <w:t>5</w:t>
      </w:r>
      <w:r w:rsidRPr="00C517EE">
        <w:t xml:space="preserve"> eingereicht wurden, werden später als Ergänzung zu diesem Dokument aufgenommen und nach der Ratssitzung veröffentlicht.</w:t>
      </w:r>
    </w:p>
    <w:p w:rsidR="00C517EE" w:rsidRPr="00C517EE" w:rsidRDefault="00C517EE" w:rsidP="00C517EE">
      <w:pPr>
        <w:pStyle w:val="endofdoc"/>
        <w:rPr>
          <w:lang w:val="de-DE"/>
        </w:rPr>
      </w:pPr>
      <w:r w:rsidRPr="00C517EE">
        <w:rPr>
          <w:lang w:val="de-DE"/>
        </w:rPr>
        <w:t>[Anlagen folgen]</w:t>
      </w:r>
    </w:p>
    <w:p w:rsidR="00900C26" w:rsidRPr="00C517EE" w:rsidRDefault="00900C26" w:rsidP="00B07301">
      <w:pPr>
        <w:pStyle w:val="TOC1"/>
        <w:rPr>
          <w:snapToGrid w:val="0"/>
          <w:lang w:val="de-DE"/>
        </w:rPr>
      </w:pPr>
    </w:p>
    <w:p w:rsidR="00C517EE" w:rsidRDefault="00C517EE" w:rsidP="00475EF4">
      <w:pPr>
        <w:sectPr w:rsidR="00C517EE" w:rsidSect="00906DDC">
          <w:headerReference w:type="default" r:id="rId10"/>
          <w:pgSz w:w="11907" w:h="16840" w:code="9"/>
          <w:pgMar w:top="510" w:right="1134" w:bottom="1134" w:left="1134" w:header="510" w:footer="680" w:gutter="0"/>
          <w:cols w:space="720"/>
          <w:titlePg/>
        </w:sectPr>
      </w:pPr>
    </w:p>
    <w:p w:rsidR="00C517EE" w:rsidRPr="0075031D" w:rsidRDefault="00C517EE" w:rsidP="00C517EE">
      <w:pPr>
        <w:jc w:val="center"/>
      </w:pPr>
      <w:r>
        <w:lastRenderedPageBreak/>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I</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t>DEUTSCHLAND</w:t>
      </w:r>
    </w:p>
    <w:p w:rsidR="00C517EE" w:rsidRDefault="00C517EE" w:rsidP="00C517EE">
      <w:pPr>
        <w:jc w:val="left"/>
      </w:pPr>
    </w:p>
    <w:p w:rsidR="00C517EE" w:rsidRDefault="00C517EE" w:rsidP="00C517EE">
      <w:pPr>
        <w:jc w:val="left"/>
      </w:pPr>
    </w:p>
    <w:p w:rsidR="00755DDE" w:rsidRDefault="00755DDE" w:rsidP="00755DDE">
      <w:r>
        <w:t>SORTENSCHUTZ</w:t>
      </w:r>
    </w:p>
    <w:p w:rsidR="00755DDE" w:rsidRDefault="00755DDE" w:rsidP="00755DDE"/>
    <w:p w:rsidR="00755DDE" w:rsidRPr="00DF7E19" w:rsidRDefault="00755DDE" w:rsidP="00755DDE">
      <w:pPr>
        <w:rPr>
          <w:u w:val="single"/>
        </w:rPr>
      </w:pPr>
      <w:r w:rsidRPr="00DF7E19">
        <w:rPr>
          <w:u w:val="single"/>
        </w:rPr>
        <w:t>Tätigkeiten zur Förderung des Sortenschutzes</w:t>
      </w:r>
    </w:p>
    <w:p w:rsidR="00755DDE" w:rsidRDefault="00755DDE" w:rsidP="00755DDE"/>
    <w:p w:rsidR="00755DDE" w:rsidRDefault="00755DDE" w:rsidP="00755DDE">
      <w:r>
        <w:t>Im Berichtszeitraum besuchten Vertreter des Bundessortenamtes und der Wirtschaft die Mongolei, wo ein Workshop zum Thema Sorten- und Saatgutrecht ausgerichtet wurde.</w:t>
      </w:r>
    </w:p>
    <w:p w:rsidR="00755DDE" w:rsidRDefault="00755DDE" w:rsidP="00755DDE"/>
    <w:p w:rsidR="00755DDE" w:rsidRDefault="00755DDE" w:rsidP="00755DDE">
      <w:r>
        <w:t xml:space="preserve">Ein weiteres Mal ist Indien im Rahmen eines Kooperationsprojekts des Bundeslandwirtschaftsministeriums im Dezember 2014 besucht worden. Es fand ein Austausch mit dortigen Vertretern der Saatgutwirtschaft und des Ministeriums sowie der Sortenprüfbehörde insbesondere zu den Besonderheiten des indischen Sortenschutzsystems (u. a. Farmers’ </w:t>
      </w:r>
      <w:proofErr w:type="spellStart"/>
      <w:r>
        <w:t>Rights</w:t>
      </w:r>
      <w:proofErr w:type="spellEnd"/>
      <w:r>
        <w:t>) statt. Einen Gegenbesuch statteten Vertreter des indischen Sortenamts dem Bundessortenamt und einzelnen Unternehmen der deutschen Saatgutwirtschaft ab, in dem der Austausch weiter vertieft werden konnte.</w:t>
      </w:r>
    </w:p>
    <w:p w:rsidR="00C517EE" w:rsidRPr="005917C2" w:rsidRDefault="00C517EE" w:rsidP="00C517EE"/>
    <w:p w:rsidR="00C517EE" w:rsidRDefault="00C517EE" w:rsidP="00C517EE">
      <w:pPr>
        <w:jc w:val="left"/>
      </w:pPr>
    </w:p>
    <w:p w:rsidR="00C517EE" w:rsidRPr="005917C2" w:rsidRDefault="00C517EE" w:rsidP="00C517EE"/>
    <w:p w:rsidR="00C517EE" w:rsidRPr="0075031D" w:rsidRDefault="00DB5AC1" w:rsidP="00C517EE">
      <w:pPr>
        <w:jc w:val="right"/>
      </w:pPr>
      <w:r>
        <w:t>[Anlage</w:t>
      </w:r>
      <w:r w:rsidR="00C517EE" w:rsidRPr="0075031D">
        <w:t xml:space="preserve"> II </w:t>
      </w:r>
      <w:r>
        <w:t>folgt]</w:t>
      </w:r>
    </w:p>
    <w:p w:rsidR="00C517EE" w:rsidRPr="0075031D" w:rsidRDefault="00C517EE" w:rsidP="00C517EE">
      <w:pPr>
        <w:jc w:val="left"/>
      </w:pPr>
    </w:p>
    <w:p w:rsidR="00C517EE" w:rsidRDefault="00C517EE" w:rsidP="00C517EE">
      <w:pPr>
        <w:jc w:val="left"/>
        <w:sectPr w:rsidR="00C517EE" w:rsidSect="00371832">
          <w:headerReference w:type="default" r:id="rId11"/>
          <w:pgSz w:w="11907" w:h="16840" w:code="9"/>
          <w:pgMar w:top="510" w:right="1134" w:bottom="1134" w:left="1134" w:header="510" w:footer="680" w:gutter="0"/>
          <w:pgNumType w:start="1"/>
          <w:cols w:space="720"/>
          <w:titlePg/>
        </w:sectPr>
      </w:pPr>
    </w:p>
    <w:p w:rsidR="00C517EE" w:rsidRPr="0075031D" w:rsidRDefault="00C517EE" w:rsidP="00C517EE">
      <w:pPr>
        <w:jc w:val="center"/>
      </w:pPr>
      <w:r>
        <w:lastRenderedPageBreak/>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I</w:t>
      </w:r>
      <w:r w:rsidR="00C517EE">
        <w:t>I</w:t>
      </w:r>
    </w:p>
    <w:p w:rsidR="00C517EE" w:rsidRPr="0075031D" w:rsidRDefault="00C517EE" w:rsidP="00C517EE">
      <w:pPr>
        <w:jc w:val="center"/>
      </w:pPr>
    </w:p>
    <w:p w:rsidR="00C517EE" w:rsidRDefault="00C517EE" w:rsidP="00C517EE">
      <w:pPr>
        <w:jc w:val="center"/>
      </w:pPr>
    </w:p>
    <w:p w:rsidR="00C517EE" w:rsidRPr="0075031D" w:rsidRDefault="00C517EE" w:rsidP="00C517EE">
      <w:pPr>
        <w:jc w:val="center"/>
      </w:pPr>
      <w:r>
        <w:t>CHIL</w:t>
      </w:r>
      <w:r w:rsidR="00DB5AC1">
        <w:t>E</w:t>
      </w:r>
    </w:p>
    <w:p w:rsidR="00C517EE" w:rsidRDefault="00C517EE" w:rsidP="00C517EE">
      <w:pPr>
        <w:jc w:val="left"/>
      </w:pPr>
    </w:p>
    <w:p w:rsidR="00C517EE" w:rsidRDefault="00C517EE" w:rsidP="00C517EE">
      <w:pPr>
        <w:jc w:val="left"/>
      </w:pPr>
    </w:p>
    <w:p w:rsidR="00755DDE" w:rsidRPr="00131BEC" w:rsidRDefault="00755DDE" w:rsidP="00755DDE">
      <w:r>
        <w:t>SORTENSCHUTZ</w:t>
      </w:r>
    </w:p>
    <w:p w:rsidR="00755DDE" w:rsidRPr="00131BEC" w:rsidRDefault="00755DDE" w:rsidP="00755DDE"/>
    <w:p w:rsidR="00755DDE" w:rsidRPr="00131BEC" w:rsidRDefault="00755DDE" w:rsidP="00755DDE">
      <w:pPr>
        <w:rPr>
          <w:u w:val="single"/>
        </w:rPr>
      </w:pPr>
      <w:r>
        <w:t>1.</w:t>
      </w:r>
      <w:r>
        <w:tab/>
      </w:r>
      <w:r>
        <w:rPr>
          <w:u w:val="single"/>
        </w:rPr>
        <w:t>Lage auf dem Gebiet der Gesetzgebung</w:t>
      </w:r>
    </w:p>
    <w:p w:rsidR="00755DDE" w:rsidRPr="00131BEC" w:rsidRDefault="00755DDE" w:rsidP="00755DDE"/>
    <w:p w:rsidR="00755DDE" w:rsidRPr="00131BEC" w:rsidRDefault="00755DDE" w:rsidP="00755DDE">
      <w:r>
        <w:tab/>
        <w:t>1.1</w:t>
      </w:r>
      <w:r>
        <w:tab/>
        <w:t>Änderungen des Gesetzes und der Ausführungsvorschriften</w:t>
      </w:r>
    </w:p>
    <w:p w:rsidR="00755DDE" w:rsidRPr="00131BEC" w:rsidRDefault="00755DDE" w:rsidP="00755DDE">
      <w:pPr>
        <w:ind w:left="851"/>
      </w:pPr>
      <w:r>
        <w:t>-</w:t>
      </w:r>
      <w:r>
        <w:tab/>
        <w:t>Anpassung an die Akte von 1991 des Übereinkommens</w:t>
      </w:r>
    </w:p>
    <w:p w:rsidR="00755DDE" w:rsidRPr="00131BEC" w:rsidRDefault="00755DDE" w:rsidP="00755DDE">
      <w:pPr>
        <w:ind w:left="851"/>
      </w:pPr>
      <w:r>
        <w:t>-</w:t>
      </w:r>
      <w:r>
        <w:tab/>
        <w:t xml:space="preserve">andere Änderungen, auch in </w:t>
      </w:r>
      <w:proofErr w:type="spellStart"/>
      <w:r>
        <w:t>bezug</w:t>
      </w:r>
      <w:proofErr w:type="spellEnd"/>
      <w:r>
        <w:t xml:space="preserve"> auf die Gebühren </w:t>
      </w:r>
    </w:p>
    <w:p w:rsidR="00755DDE" w:rsidRPr="00131BEC" w:rsidRDefault="00755DDE" w:rsidP="00755DDE">
      <w:pPr>
        <w:ind w:left="851"/>
      </w:pPr>
    </w:p>
    <w:p w:rsidR="00755DDE" w:rsidRPr="00131BEC" w:rsidRDefault="00755DDE" w:rsidP="00755DDE">
      <w:pPr>
        <w:ind w:left="851"/>
      </w:pPr>
      <w:r>
        <w:t>Die Gebühren für die Registrierung und Aufrechterhaltung wurden zum 1. August 2015 geändert. Die Entscheidungen zur Regelung der neuen Gebühren sind diesem Dokument beigelegt.</w:t>
      </w:r>
    </w:p>
    <w:p w:rsidR="00755DDE" w:rsidRDefault="00755DDE" w:rsidP="00755DDE"/>
    <w:p w:rsidR="00755DDE" w:rsidRPr="00131BEC" w:rsidRDefault="00755DDE" w:rsidP="00755DDE"/>
    <w:p w:rsidR="00755DDE" w:rsidRPr="00131BEC" w:rsidRDefault="00755DDE" w:rsidP="00755DDE">
      <w:pPr>
        <w:rPr>
          <w:u w:val="single"/>
        </w:rPr>
      </w:pPr>
      <w:r>
        <w:t>2.</w:t>
      </w:r>
      <w:r>
        <w:tab/>
      </w:r>
      <w:r>
        <w:rPr>
          <w:u w:val="single"/>
        </w:rPr>
        <w:t>Zusammenarbeit bei der Prüfung</w:t>
      </w:r>
    </w:p>
    <w:p w:rsidR="00755DDE" w:rsidRPr="00131BEC" w:rsidRDefault="00755DDE" w:rsidP="00755DDE">
      <w:pPr>
        <w:rPr>
          <w:u w:val="single"/>
        </w:rPr>
      </w:pPr>
    </w:p>
    <w:p w:rsidR="00755DDE" w:rsidRPr="00131BEC" w:rsidRDefault="00755DDE" w:rsidP="00755DDE">
      <w:pPr>
        <w:tabs>
          <w:tab w:val="left" w:pos="851"/>
          <w:tab w:val="left" w:pos="4111"/>
        </w:tabs>
        <w:ind w:left="426"/>
      </w:pPr>
      <w:r>
        <w:t>-</w:t>
      </w:r>
      <w:r>
        <w:tab/>
        <w:t>Schließung neuer Vereinbarungen (geschehen, in Vorbereitung oder geplant)</w:t>
      </w:r>
    </w:p>
    <w:p w:rsidR="00755DDE" w:rsidRPr="00131BEC" w:rsidRDefault="00755DDE" w:rsidP="00755DDE">
      <w:pPr>
        <w:tabs>
          <w:tab w:val="left" w:pos="851"/>
        </w:tabs>
        <w:ind w:left="426"/>
      </w:pPr>
      <w:r>
        <w:t>-</w:t>
      </w:r>
      <w:r>
        <w:tab/>
        <w:t>Änderung bestehender Vereinbarungen (geschehen, in Vorbereitung oder geplant)</w:t>
      </w:r>
    </w:p>
    <w:p w:rsidR="00755DDE" w:rsidRPr="00131BEC" w:rsidRDefault="00755DDE" w:rsidP="00755DDE">
      <w:pPr>
        <w:tabs>
          <w:tab w:val="left" w:pos="851"/>
        </w:tabs>
        <w:ind w:left="426"/>
      </w:pPr>
    </w:p>
    <w:p w:rsidR="00755DDE" w:rsidRPr="00131BEC" w:rsidRDefault="00755DDE" w:rsidP="00755DDE">
      <w:pPr>
        <w:tabs>
          <w:tab w:val="left" w:pos="851"/>
        </w:tabs>
        <w:ind w:left="426"/>
      </w:pPr>
      <w:r>
        <w:t>Es wurden keine Vereinbarungen geschlossen oder unterzeichnet. Jedoch wurden Berichte gemäß Dokument TGP/5 an Peru, Ecuador, Marokko und Kolumbien verkauft.</w:t>
      </w:r>
    </w:p>
    <w:p w:rsidR="00755DDE" w:rsidRPr="00131BEC" w:rsidRDefault="00755DDE" w:rsidP="00755DDE"/>
    <w:p w:rsidR="00755DDE" w:rsidRPr="00131BEC" w:rsidRDefault="00755DDE" w:rsidP="00755DDE"/>
    <w:p w:rsidR="00755DDE" w:rsidRPr="00131BEC" w:rsidRDefault="00755DDE" w:rsidP="00755DDE">
      <w:pPr>
        <w:rPr>
          <w:u w:val="single"/>
        </w:rPr>
      </w:pPr>
      <w:r>
        <w:t>3.</w:t>
      </w:r>
      <w:r>
        <w:tab/>
      </w:r>
      <w:r>
        <w:rPr>
          <w:u w:val="single"/>
        </w:rPr>
        <w:t>Lage auf dem Gebiet der Verwaltung</w:t>
      </w:r>
    </w:p>
    <w:p w:rsidR="00755DDE" w:rsidRPr="00131BEC" w:rsidRDefault="00755DDE" w:rsidP="00755DDE">
      <w:pPr>
        <w:rPr>
          <w:u w:val="single"/>
        </w:rPr>
      </w:pPr>
    </w:p>
    <w:p w:rsidR="00755DDE" w:rsidRPr="00131BEC" w:rsidRDefault="00755DDE" w:rsidP="00755DDE">
      <w:pPr>
        <w:ind w:left="851" w:hanging="425"/>
      </w:pPr>
      <w:r>
        <w:t>-</w:t>
      </w:r>
      <w:r>
        <w:tab/>
        <w:t xml:space="preserve">Änderungen in der Verwaltung: Keine Änderungen. </w:t>
      </w:r>
    </w:p>
    <w:p w:rsidR="00755DDE" w:rsidRPr="00131BEC" w:rsidRDefault="00755DDE" w:rsidP="00755DDE">
      <w:pPr>
        <w:ind w:left="851" w:hanging="425"/>
      </w:pPr>
      <w:r>
        <w:t>-</w:t>
      </w:r>
      <w:r>
        <w:tab/>
        <w:t xml:space="preserve">Änderungen in den Verfahren und Systemen: Keine Änderungen (auf Verwaltungsebene). </w:t>
      </w:r>
    </w:p>
    <w:p w:rsidR="00755DDE" w:rsidRPr="00131BEC" w:rsidRDefault="00755DDE" w:rsidP="00755DDE"/>
    <w:p w:rsidR="00755DDE" w:rsidRPr="00131BEC" w:rsidRDefault="00755DDE" w:rsidP="00755DDE"/>
    <w:p w:rsidR="00755DDE" w:rsidRPr="00131BEC" w:rsidRDefault="00755DDE" w:rsidP="00755DDE">
      <w:r>
        <w:t>4.</w:t>
      </w:r>
      <w:r>
        <w:tab/>
      </w:r>
      <w:r>
        <w:rPr>
          <w:u w:val="single"/>
        </w:rPr>
        <w:t>Lage auf dem Gebiet der Technik</w:t>
      </w:r>
      <w:r>
        <w:t xml:space="preserve"> (siehe Punkt 3)</w:t>
      </w:r>
    </w:p>
    <w:p w:rsidR="00755DDE" w:rsidRPr="00131BEC" w:rsidRDefault="00755DDE" w:rsidP="00755DDE"/>
    <w:p w:rsidR="00755DDE" w:rsidRPr="00131BEC" w:rsidRDefault="00755DDE" w:rsidP="00755DDE"/>
    <w:p w:rsidR="00755DDE" w:rsidRPr="00131BEC" w:rsidRDefault="00755DDE" w:rsidP="00755DDE">
      <w:pPr>
        <w:rPr>
          <w:u w:val="single"/>
        </w:rPr>
      </w:pPr>
      <w:r>
        <w:t>5.</w:t>
      </w:r>
      <w:r>
        <w:tab/>
      </w:r>
      <w:r>
        <w:rPr>
          <w:u w:val="single"/>
        </w:rPr>
        <w:t>Tätigkeiten zur Förderung des Sortenschutzes</w:t>
      </w:r>
    </w:p>
    <w:p w:rsidR="00755DDE" w:rsidRPr="00131BEC" w:rsidRDefault="00755DDE" w:rsidP="00755DDE"/>
    <w:tbl>
      <w:tblPr>
        <w:tblStyle w:val="TableGrid"/>
        <w:tblW w:w="9838" w:type="dxa"/>
        <w:tblLayout w:type="fixed"/>
        <w:tblCellMar>
          <w:left w:w="57" w:type="dxa"/>
          <w:right w:w="57" w:type="dxa"/>
        </w:tblCellMar>
        <w:tblLook w:val="01E0" w:firstRow="1" w:lastRow="1" w:firstColumn="1" w:lastColumn="1" w:noHBand="0" w:noVBand="0"/>
      </w:tblPr>
      <w:tblGrid>
        <w:gridCol w:w="908"/>
        <w:gridCol w:w="679"/>
        <w:gridCol w:w="1022"/>
        <w:gridCol w:w="1417"/>
        <w:gridCol w:w="1508"/>
        <w:gridCol w:w="1985"/>
        <w:gridCol w:w="2319"/>
      </w:tblGrid>
      <w:tr w:rsidR="00755DDE" w:rsidRPr="00131BEC" w:rsidTr="005231C9">
        <w:trPr>
          <w:tblHeader/>
        </w:trPr>
        <w:tc>
          <w:tcPr>
            <w:tcW w:w="908" w:type="dxa"/>
          </w:tcPr>
          <w:p w:rsidR="00755DDE" w:rsidRPr="00131BEC" w:rsidRDefault="00755DDE" w:rsidP="00371832">
            <w:pPr>
              <w:jc w:val="left"/>
              <w:rPr>
                <w:sz w:val="18"/>
                <w:szCs w:val="18"/>
              </w:rPr>
            </w:pPr>
            <w:r>
              <w:rPr>
                <w:sz w:val="18"/>
              </w:rPr>
              <w:t>Art der Tätigkeit</w:t>
            </w:r>
          </w:p>
        </w:tc>
        <w:tc>
          <w:tcPr>
            <w:tcW w:w="679" w:type="dxa"/>
          </w:tcPr>
          <w:p w:rsidR="00755DDE" w:rsidRPr="00131BEC" w:rsidRDefault="00755DDE" w:rsidP="00371832">
            <w:pPr>
              <w:jc w:val="left"/>
              <w:rPr>
                <w:sz w:val="18"/>
                <w:szCs w:val="18"/>
              </w:rPr>
            </w:pPr>
            <w:r>
              <w:rPr>
                <w:sz w:val="18"/>
              </w:rPr>
              <w:t>Datum</w:t>
            </w:r>
          </w:p>
        </w:tc>
        <w:tc>
          <w:tcPr>
            <w:tcW w:w="1022" w:type="dxa"/>
          </w:tcPr>
          <w:p w:rsidR="00755DDE" w:rsidRPr="00131BEC" w:rsidRDefault="00755DDE" w:rsidP="00371832">
            <w:pPr>
              <w:jc w:val="left"/>
              <w:rPr>
                <w:sz w:val="18"/>
                <w:szCs w:val="18"/>
              </w:rPr>
            </w:pPr>
            <w:r>
              <w:rPr>
                <w:sz w:val="18"/>
              </w:rPr>
              <w:t>Ort</w:t>
            </w:r>
          </w:p>
        </w:tc>
        <w:tc>
          <w:tcPr>
            <w:tcW w:w="1417" w:type="dxa"/>
          </w:tcPr>
          <w:p w:rsidR="00755DDE" w:rsidRPr="00131BEC" w:rsidRDefault="00755DDE" w:rsidP="00371832">
            <w:pPr>
              <w:jc w:val="left"/>
              <w:rPr>
                <w:sz w:val="18"/>
                <w:szCs w:val="18"/>
              </w:rPr>
            </w:pPr>
            <w:r>
              <w:rPr>
                <w:sz w:val="18"/>
              </w:rPr>
              <w:t>Organisator(en)</w:t>
            </w:r>
          </w:p>
        </w:tc>
        <w:tc>
          <w:tcPr>
            <w:tcW w:w="1508" w:type="dxa"/>
          </w:tcPr>
          <w:p w:rsidR="00755DDE" w:rsidRPr="00131BEC" w:rsidRDefault="00755DDE" w:rsidP="00371832">
            <w:pPr>
              <w:jc w:val="left"/>
              <w:rPr>
                <w:sz w:val="18"/>
                <w:szCs w:val="18"/>
              </w:rPr>
            </w:pPr>
            <w:r>
              <w:rPr>
                <w:sz w:val="18"/>
              </w:rPr>
              <w:t>Zweck der Tätigkeit</w:t>
            </w:r>
          </w:p>
        </w:tc>
        <w:tc>
          <w:tcPr>
            <w:tcW w:w="1985" w:type="dxa"/>
          </w:tcPr>
          <w:p w:rsidR="00755DDE" w:rsidRPr="00131BEC" w:rsidRDefault="00755DDE" w:rsidP="00371832">
            <w:pPr>
              <w:jc w:val="left"/>
              <w:rPr>
                <w:sz w:val="18"/>
                <w:szCs w:val="18"/>
              </w:rPr>
            </w:pPr>
            <w:r>
              <w:rPr>
                <w:sz w:val="18"/>
              </w:rPr>
              <w:t xml:space="preserve">Teilnehmende Staaten/ Organisationen (Zahl der Teilnehmer pro Staat/Organisation) </w:t>
            </w:r>
          </w:p>
        </w:tc>
        <w:tc>
          <w:tcPr>
            <w:tcW w:w="2319" w:type="dxa"/>
          </w:tcPr>
          <w:p w:rsidR="00755DDE" w:rsidRPr="00131BEC" w:rsidRDefault="00755DDE" w:rsidP="00371832">
            <w:pPr>
              <w:jc w:val="left"/>
              <w:rPr>
                <w:sz w:val="18"/>
                <w:szCs w:val="18"/>
              </w:rPr>
            </w:pPr>
            <w:r>
              <w:rPr>
                <w:sz w:val="18"/>
              </w:rPr>
              <w:t>Bemerkungen</w:t>
            </w:r>
          </w:p>
        </w:tc>
      </w:tr>
      <w:tr w:rsidR="00755DDE" w:rsidRPr="00131BEC" w:rsidTr="005231C9">
        <w:tc>
          <w:tcPr>
            <w:tcW w:w="908" w:type="dxa"/>
          </w:tcPr>
          <w:p w:rsidR="00755DDE" w:rsidRPr="00131BEC" w:rsidRDefault="00755DDE" w:rsidP="00371832">
            <w:pPr>
              <w:jc w:val="left"/>
              <w:rPr>
                <w:sz w:val="18"/>
                <w:szCs w:val="18"/>
              </w:rPr>
            </w:pPr>
            <w:r>
              <w:rPr>
                <w:sz w:val="18"/>
              </w:rPr>
              <w:t>1.</w:t>
            </w:r>
          </w:p>
          <w:p w:rsidR="00755DDE" w:rsidRPr="00131BEC" w:rsidRDefault="00755DDE" w:rsidP="00371832">
            <w:pPr>
              <w:jc w:val="left"/>
              <w:rPr>
                <w:sz w:val="18"/>
                <w:szCs w:val="18"/>
              </w:rPr>
            </w:pPr>
          </w:p>
        </w:tc>
        <w:tc>
          <w:tcPr>
            <w:tcW w:w="679" w:type="dxa"/>
          </w:tcPr>
          <w:p w:rsidR="00755DDE" w:rsidRPr="00131BEC" w:rsidRDefault="00755DDE" w:rsidP="00371832">
            <w:pPr>
              <w:jc w:val="left"/>
              <w:rPr>
                <w:sz w:val="18"/>
                <w:szCs w:val="18"/>
              </w:rPr>
            </w:pPr>
            <w:r>
              <w:rPr>
                <w:sz w:val="18"/>
              </w:rPr>
              <w:t>21/10/2014</w:t>
            </w:r>
          </w:p>
        </w:tc>
        <w:tc>
          <w:tcPr>
            <w:tcW w:w="1022" w:type="dxa"/>
          </w:tcPr>
          <w:p w:rsidR="00755DDE" w:rsidRPr="00131BEC" w:rsidRDefault="00755DDE" w:rsidP="00371832">
            <w:pPr>
              <w:jc w:val="left"/>
              <w:rPr>
                <w:sz w:val="18"/>
                <w:szCs w:val="18"/>
              </w:rPr>
            </w:pPr>
            <w:r>
              <w:rPr>
                <w:sz w:val="18"/>
              </w:rPr>
              <w:t>Hotel Neruda, Santiago</w:t>
            </w:r>
          </w:p>
        </w:tc>
        <w:tc>
          <w:tcPr>
            <w:tcW w:w="1417" w:type="dxa"/>
          </w:tcPr>
          <w:p w:rsidR="00755DDE" w:rsidRPr="00131BEC" w:rsidRDefault="00755DDE" w:rsidP="00371832">
            <w:pPr>
              <w:jc w:val="left"/>
              <w:rPr>
                <w:sz w:val="18"/>
                <w:szCs w:val="18"/>
              </w:rPr>
            </w:pPr>
            <w:r>
              <w:rPr>
                <w:sz w:val="18"/>
              </w:rPr>
              <w:t>Abteilung für Land- und Viehwirtschaft / UPOV</w:t>
            </w:r>
          </w:p>
        </w:tc>
        <w:tc>
          <w:tcPr>
            <w:tcW w:w="1508" w:type="dxa"/>
          </w:tcPr>
          <w:p w:rsidR="00755DDE" w:rsidRPr="00131BEC" w:rsidRDefault="00755DDE" w:rsidP="00371832">
            <w:pPr>
              <w:jc w:val="left"/>
              <w:rPr>
                <w:sz w:val="18"/>
                <w:szCs w:val="18"/>
              </w:rPr>
            </w:pPr>
            <w:r>
              <w:rPr>
                <w:sz w:val="18"/>
              </w:rPr>
              <w:t xml:space="preserve">Internationale Arbeitstagung zu Sortenschutz </w:t>
            </w:r>
          </w:p>
        </w:tc>
        <w:tc>
          <w:tcPr>
            <w:tcW w:w="1985" w:type="dxa"/>
          </w:tcPr>
          <w:p w:rsidR="00755DDE" w:rsidRPr="00131BEC" w:rsidRDefault="00755DDE" w:rsidP="00371832">
            <w:pPr>
              <w:jc w:val="left"/>
              <w:rPr>
                <w:sz w:val="18"/>
                <w:szCs w:val="18"/>
              </w:rPr>
            </w:pPr>
            <w:r>
              <w:rPr>
                <w:sz w:val="18"/>
              </w:rPr>
              <w:t>Chile</w:t>
            </w:r>
          </w:p>
        </w:tc>
        <w:tc>
          <w:tcPr>
            <w:tcW w:w="2319" w:type="dxa"/>
          </w:tcPr>
          <w:p w:rsidR="00755DDE" w:rsidRPr="00131BEC" w:rsidRDefault="00755DDE" w:rsidP="005231C9">
            <w:pPr>
              <w:jc w:val="left"/>
              <w:rPr>
                <w:sz w:val="18"/>
                <w:szCs w:val="18"/>
              </w:rPr>
            </w:pPr>
            <w:r>
              <w:rPr>
                <w:sz w:val="18"/>
              </w:rPr>
              <w:t xml:space="preserve">50 Teilnehmer: Züchter, Vertreter, Vereinigung der Saatgutproduzenten, Vereinigung der Pflanzgärten, Anwaltskanzleien, </w:t>
            </w:r>
            <w:proofErr w:type="spellStart"/>
            <w:r>
              <w:rPr>
                <w:sz w:val="18"/>
              </w:rPr>
              <w:t>Pflanzenverbesserer</w:t>
            </w:r>
            <w:proofErr w:type="spellEnd"/>
            <w:r>
              <w:rPr>
                <w:sz w:val="18"/>
              </w:rPr>
              <w:t>, Universitäten</w:t>
            </w:r>
          </w:p>
        </w:tc>
      </w:tr>
      <w:tr w:rsidR="00755DDE" w:rsidRPr="00131BEC" w:rsidTr="005231C9">
        <w:tc>
          <w:tcPr>
            <w:tcW w:w="908" w:type="dxa"/>
          </w:tcPr>
          <w:p w:rsidR="00755DDE" w:rsidRPr="00131BEC" w:rsidRDefault="00755DDE" w:rsidP="00371832">
            <w:pPr>
              <w:jc w:val="left"/>
              <w:rPr>
                <w:sz w:val="18"/>
                <w:szCs w:val="18"/>
              </w:rPr>
            </w:pPr>
            <w:r>
              <w:rPr>
                <w:sz w:val="18"/>
              </w:rPr>
              <w:t>2.</w:t>
            </w:r>
          </w:p>
          <w:p w:rsidR="00755DDE" w:rsidRPr="00131BEC" w:rsidRDefault="00755DDE" w:rsidP="00371832">
            <w:pPr>
              <w:jc w:val="left"/>
              <w:rPr>
                <w:sz w:val="18"/>
                <w:szCs w:val="18"/>
              </w:rPr>
            </w:pPr>
          </w:p>
        </w:tc>
        <w:tc>
          <w:tcPr>
            <w:tcW w:w="679" w:type="dxa"/>
          </w:tcPr>
          <w:p w:rsidR="00755DDE" w:rsidRPr="00131BEC" w:rsidRDefault="00755DDE" w:rsidP="00371832">
            <w:pPr>
              <w:jc w:val="left"/>
              <w:rPr>
                <w:sz w:val="18"/>
                <w:szCs w:val="18"/>
              </w:rPr>
            </w:pPr>
            <w:r>
              <w:rPr>
                <w:sz w:val="18"/>
              </w:rPr>
              <w:t>23/01/2015</w:t>
            </w:r>
          </w:p>
        </w:tc>
        <w:tc>
          <w:tcPr>
            <w:tcW w:w="1022" w:type="dxa"/>
          </w:tcPr>
          <w:p w:rsidR="00755DDE" w:rsidRPr="00131BEC" w:rsidRDefault="00755DDE" w:rsidP="00371832">
            <w:pPr>
              <w:jc w:val="left"/>
              <w:rPr>
                <w:sz w:val="18"/>
                <w:szCs w:val="18"/>
              </w:rPr>
            </w:pPr>
            <w:r>
              <w:rPr>
                <w:sz w:val="18"/>
              </w:rPr>
              <w:t xml:space="preserve">Nationales Institut für </w:t>
            </w:r>
            <w:proofErr w:type="spellStart"/>
            <w:r>
              <w:rPr>
                <w:sz w:val="18"/>
              </w:rPr>
              <w:t>Gewerb-liches</w:t>
            </w:r>
            <w:proofErr w:type="spellEnd"/>
            <w:r>
              <w:rPr>
                <w:sz w:val="18"/>
              </w:rPr>
              <w:t xml:space="preserve"> Eigentum, Santiago</w:t>
            </w:r>
          </w:p>
        </w:tc>
        <w:tc>
          <w:tcPr>
            <w:tcW w:w="1417" w:type="dxa"/>
          </w:tcPr>
          <w:p w:rsidR="00755DDE" w:rsidRPr="00131BEC" w:rsidRDefault="00755DDE" w:rsidP="00371832">
            <w:pPr>
              <w:jc w:val="left"/>
              <w:rPr>
                <w:sz w:val="18"/>
                <w:szCs w:val="18"/>
              </w:rPr>
            </w:pPr>
            <w:r>
              <w:rPr>
                <w:sz w:val="18"/>
              </w:rPr>
              <w:t>Nationales Institut für Gewerbliches Eigentum, WIPO</w:t>
            </w:r>
          </w:p>
        </w:tc>
        <w:tc>
          <w:tcPr>
            <w:tcW w:w="1508" w:type="dxa"/>
          </w:tcPr>
          <w:p w:rsidR="00755DDE" w:rsidRPr="00131BEC" w:rsidRDefault="00755DDE" w:rsidP="00371832">
            <w:pPr>
              <w:jc w:val="left"/>
              <w:rPr>
                <w:sz w:val="18"/>
                <w:szCs w:val="18"/>
              </w:rPr>
            </w:pPr>
            <w:r>
              <w:rPr>
                <w:sz w:val="18"/>
              </w:rPr>
              <w:t>WIPO-Sommerschule</w:t>
            </w:r>
          </w:p>
        </w:tc>
        <w:tc>
          <w:tcPr>
            <w:tcW w:w="1985" w:type="dxa"/>
          </w:tcPr>
          <w:p w:rsidR="00755DDE" w:rsidRPr="00347219" w:rsidRDefault="00755DDE" w:rsidP="00371832">
            <w:pPr>
              <w:jc w:val="left"/>
              <w:rPr>
                <w:sz w:val="18"/>
                <w:szCs w:val="18"/>
                <w:lang w:val="es-ES_tradnl"/>
              </w:rPr>
            </w:pPr>
            <w:r w:rsidRPr="00347219">
              <w:rPr>
                <w:sz w:val="18"/>
                <w:lang w:val="es-ES_tradnl"/>
              </w:rPr>
              <w:t xml:space="preserve">Chile, </w:t>
            </w:r>
            <w:proofErr w:type="spellStart"/>
            <w:r w:rsidRPr="00347219">
              <w:rPr>
                <w:sz w:val="18"/>
                <w:lang w:val="es-ES_tradnl"/>
              </w:rPr>
              <w:t>Kolumbien</w:t>
            </w:r>
            <w:proofErr w:type="spellEnd"/>
            <w:r w:rsidRPr="00347219">
              <w:rPr>
                <w:sz w:val="18"/>
                <w:lang w:val="es-ES_tradnl"/>
              </w:rPr>
              <w:t xml:space="preserve">, Paraguay, </w:t>
            </w:r>
            <w:proofErr w:type="spellStart"/>
            <w:r w:rsidRPr="00347219">
              <w:rPr>
                <w:sz w:val="18"/>
                <w:lang w:val="es-ES_tradnl"/>
              </w:rPr>
              <w:t>Peru</w:t>
            </w:r>
            <w:proofErr w:type="spellEnd"/>
            <w:r w:rsidRPr="00347219">
              <w:rPr>
                <w:sz w:val="18"/>
                <w:lang w:val="es-ES_tradnl"/>
              </w:rPr>
              <w:t xml:space="preserve">, Ecuador, </w:t>
            </w:r>
            <w:proofErr w:type="spellStart"/>
            <w:r w:rsidRPr="00347219">
              <w:rPr>
                <w:sz w:val="18"/>
                <w:lang w:val="es-ES_tradnl"/>
              </w:rPr>
              <w:t>Argentinien</w:t>
            </w:r>
            <w:proofErr w:type="spellEnd"/>
            <w:r w:rsidRPr="00347219">
              <w:rPr>
                <w:sz w:val="18"/>
                <w:lang w:val="es-ES_tradnl"/>
              </w:rPr>
              <w:t xml:space="preserve">, Uruguay, </w:t>
            </w:r>
            <w:proofErr w:type="spellStart"/>
            <w:r w:rsidRPr="00347219">
              <w:rPr>
                <w:sz w:val="18"/>
                <w:lang w:val="es-ES_tradnl"/>
              </w:rPr>
              <w:t>Brasilien</w:t>
            </w:r>
            <w:proofErr w:type="spellEnd"/>
          </w:p>
        </w:tc>
        <w:tc>
          <w:tcPr>
            <w:tcW w:w="2319" w:type="dxa"/>
          </w:tcPr>
          <w:p w:rsidR="00755DDE" w:rsidRPr="00131BEC" w:rsidRDefault="00755DDE" w:rsidP="005231C9">
            <w:pPr>
              <w:jc w:val="left"/>
              <w:rPr>
                <w:sz w:val="18"/>
                <w:szCs w:val="18"/>
              </w:rPr>
            </w:pPr>
            <w:r>
              <w:rPr>
                <w:sz w:val="18"/>
              </w:rPr>
              <w:t>Teilnahme am Thema „Sortenschutz und Übereinkommen des Internationalen Verbandes zum Schutz von Pflanzenzüchtungen (UPOV)“</w:t>
            </w:r>
          </w:p>
        </w:tc>
      </w:tr>
      <w:tr w:rsidR="00755DDE" w:rsidRPr="00131BEC" w:rsidTr="005231C9">
        <w:trPr>
          <w:trHeight w:val="1720"/>
        </w:trPr>
        <w:tc>
          <w:tcPr>
            <w:tcW w:w="908" w:type="dxa"/>
          </w:tcPr>
          <w:p w:rsidR="00755DDE" w:rsidRPr="00131BEC" w:rsidRDefault="00755DDE" w:rsidP="00371832">
            <w:pPr>
              <w:jc w:val="left"/>
              <w:rPr>
                <w:sz w:val="18"/>
                <w:szCs w:val="18"/>
              </w:rPr>
            </w:pPr>
            <w:r>
              <w:rPr>
                <w:sz w:val="18"/>
              </w:rPr>
              <w:t xml:space="preserve">3. </w:t>
            </w:r>
          </w:p>
          <w:p w:rsidR="00755DDE" w:rsidRPr="00131BEC" w:rsidRDefault="00755DDE" w:rsidP="00371832">
            <w:pPr>
              <w:jc w:val="left"/>
              <w:rPr>
                <w:sz w:val="18"/>
                <w:szCs w:val="18"/>
              </w:rPr>
            </w:pPr>
          </w:p>
        </w:tc>
        <w:tc>
          <w:tcPr>
            <w:tcW w:w="679" w:type="dxa"/>
          </w:tcPr>
          <w:p w:rsidR="00755DDE" w:rsidRPr="00131BEC" w:rsidRDefault="00755DDE" w:rsidP="00371832">
            <w:pPr>
              <w:jc w:val="left"/>
              <w:rPr>
                <w:sz w:val="18"/>
                <w:szCs w:val="18"/>
              </w:rPr>
            </w:pPr>
            <w:r>
              <w:rPr>
                <w:sz w:val="18"/>
              </w:rPr>
              <w:t>Mai 2015</w:t>
            </w:r>
          </w:p>
        </w:tc>
        <w:tc>
          <w:tcPr>
            <w:tcW w:w="1022" w:type="dxa"/>
          </w:tcPr>
          <w:p w:rsidR="00755DDE" w:rsidRPr="00131BEC" w:rsidRDefault="00755DDE" w:rsidP="00371832">
            <w:pPr>
              <w:jc w:val="left"/>
              <w:rPr>
                <w:sz w:val="18"/>
                <w:szCs w:val="18"/>
              </w:rPr>
            </w:pPr>
            <w:r>
              <w:rPr>
                <w:sz w:val="18"/>
              </w:rPr>
              <w:t>Santiago</w:t>
            </w:r>
          </w:p>
        </w:tc>
        <w:tc>
          <w:tcPr>
            <w:tcW w:w="1417" w:type="dxa"/>
          </w:tcPr>
          <w:p w:rsidR="00755DDE" w:rsidRPr="00131BEC" w:rsidRDefault="00755DDE" w:rsidP="00371832">
            <w:pPr>
              <w:jc w:val="left"/>
              <w:rPr>
                <w:sz w:val="18"/>
                <w:szCs w:val="18"/>
              </w:rPr>
            </w:pPr>
            <w:r>
              <w:rPr>
                <w:sz w:val="18"/>
              </w:rPr>
              <w:t>Abteilung für Land- und Viehwirtschaft / UPOV</w:t>
            </w:r>
          </w:p>
        </w:tc>
        <w:tc>
          <w:tcPr>
            <w:tcW w:w="1508" w:type="dxa"/>
          </w:tcPr>
          <w:p w:rsidR="00755DDE" w:rsidRPr="00131BEC" w:rsidRDefault="00755DDE" w:rsidP="00371832">
            <w:pPr>
              <w:jc w:val="left"/>
              <w:rPr>
                <w:sz w:val="18"/>
                <w:szCs w:val="18"/>
              </w:rPr>
            </w:pPr>
            <w:r>
              <w:rPr>
                <w:sz w:val="18"/>
              </w:rPr>
              <w:t xml:space="preserve">Sondersitzung, Lehrgang DL-205 </w:t>
            </w:r>
          </w:p>
        </w:tc>
        <w:tc>
          <w:tcPr>
            <w:tcW w:w="1985" w:type="dxa"/>
          </w:tcPr>
          <w:p w:rsidR="00755DDE" w:rsidRPr="00131BEC" w:rsidRDefault="00755DDE" w:rsidP="00371832">
            <w:pPr>
              <w:jc w:val="left"/>
              <w:rPr>
                <w:sz w:val="18"/>
                <w:szCs w:val="18"/>
              </w:rPr>
            </w:pPr>
            <w:r>
              <w:rPr>
                <w:sz w:val="18"/>
              </w:rPr>
              <w:t xml:space="preserve">Chile </w:t>
            </w:r>
          </w:p>
        </w:tc>
        <w:tc>
          <w:tcPr>
            <w:tcW w:w="2319" w:type="dxa"/>
          </w:tcPr>
          <w:p w:rsidR="00755DDE" w:rsidRPr="00131BEC" w:rsidRDefault="00755DDE" w:rsidP="00371832">
            <w:pPr>
              <w:jc w:val="left"/>
              <w:rPr>
                <w:sz w:val="18"/>
                <w:szCs w:val="18"/>
              </w:rPr>
            </w:pPr>
            <w:r>
              <w:rPr>
                <w:sz w:val="18"/>
              </w:rPr>
              <w:t xml:space="preserve">35 Teilnehmer: Züchter, Vertreter, Vereinigung der Saatgutproduzenten, Vereinigung der Pflanzgärten, Anwaltskanzleien, </w:t>
            </w:r>
            <w:proofErr w:type="spellStart"/>
            <w:r>
              <w:rPr>
                <w:sz w:val="18"/>
              </w:rPr>
              <w:t>Pflanzenverbesserer</w:t>
            </w:r>
            <w:proofErr w:type="spellEnd"/>
            <w:r>
              <w:rPr>
                <w:sz w:val="18"/>
              </w:rPr>
              <w:t>, Universitäten</w:t>
            </w:r>
          </w:p>
        </w:tc>
      </w:tr>
      <w:tr w:rsidR="00755DDE" w:rsidRPr="00131BEC" w:rsidTr="005231C9">
        <w:trPr>
          <w:trHeight w:val="1720"/>
        </w:trPr>
        <w:tc>
          <w:tcPr>
            <w:tcW w:w="908" w:type="dxa"/>
          </w:tcPr>
          <w:p w:rsidR="00755DDE" w:rsidRPr="00131BEC" w:rsidRDefault="00755DDE" w:rsidP="00371832">
            <w:pPr>
              <w:jc w:val="left"/>
              <w:rPr>
                <w:sz w:val="18"/>
                <w:szCs w:val="18"/>
              </w:rPr>
            </w:pPr>
            <w:r>
              <w:rPr>
                <w:sz w:val="18"/>
              </w:rPr>
              <w:t>4.</w:t>
            </w:r>
          </w:p>
        </w:tc>
        <w:tc>
          <w:tcPr>
            <w:tcW w:w="679" w:type="dxa"/>
          </w:tcPr>
          <w:p w:rsidR="00755DDE" w:rsidRPr="00131BEC" w:rsidRDefault="00755DDE" w:rsidP="00371832">
            <w:pPr>
              <w:jc w:val="left"/>
              <w:rPr>
                <w:sz w:val="18"/>
                <w:szCs w:val="18"/>
              </w:rPr>
            </w:pPr>
            <w:r>
              <w:rPr>
                <w:sz w:val="18"/>
              </w:rPr>
              <w:t>25. August 2015</w:t>
            </w:r>
          </w:p>
        </w:tc>
        <w:tc>
          <w:tcPr>
            <w:tcW w:w="1022" w:type="dxa"/>
          </w:tcPr>
          <w:p w:rsidR="00755DDE" w:rsidRPr="00131BEC" w:rsidRDefault="00755DDE" w:rsidP="00371832">
            <w:pPr>
              <w:jc w:val="left"/>
              <w:rPr>
                <w:sz w:val="18"/>
                <w:szCs w:val="18"/>
              </w:rPr>
            </w:pPr>
            <w:r>
              <w:rPr>
                <w:sz w:val="18"/>
              </w:rPr>
              <w:t>Hotel Neruda, Santiago</w:t>
            </w:r>
          </w:p>
        </w:tc>
        <w:tc>
          <w:tcPr>
            <w:tcW w:w="1417" w:type="dxa"/>
          </w:tcPr>
          <w:p w:rsidR="00755DDE" w:rsidRPr="00131BEC" w:rsidRDefault="00755DDE" w:rsidP="00371832">
            <w:pPr>
              <w:jc w:val="left"/>
              <w:rPr>
                <w:sz w:val="18"/>
                <w:szCs w:val="18"/>
              </w:rPr>
            </w:pPr>
            <w:r>
              <w:rPr>
                <w:sz w:val="18"/>
              </w:rPr>
              <w:t>Abteilung für Land- und Viehwirtschaft</w:t>
            </w:r>
          </w:p>
        </w:tc>
        <w:tc>
          <w:tcPr>
            <w:tcW w:w="1508" w:type="dxa"/>
          </w:tcPr>
          <w:p w:rsidR="00755DDE" w:rsidRPr="00131BEC" w:rsidRDefault="00755DDE" w:rsidP="00371832">
            <w:pPr>
              <w:jc w:val="left"/>
              <w:rPr>
                <w:sz w:val="18"/>
                <w:szCs w:val="18"/>
              </w:rPr>
            </w:pPr>
            <w:r>
              <w:rPr>
                <w:sz w:val="18"/>
              </w:rPr>
              <w:t>Arbeitstagung zu Sortenschutz</w:t>
            </w:r>
          </w:p>
        </w:tc>
        <w:tc>
          <w:tcPr>
            <w:tcW w:w="1985" w:type="dxa"/>
          </w:tcPr>
          <w:p w:rsidR="00755DDE" w:rsidRPr="00131BEC" w:rsidRDefault="00755DDE" w:rsidP="00371832">
            <w:pPr>
              <w:jc w:val="left"/>
              <w:rPr>
                <w:sz w:val="18"/>
                <w:szCs w:val="18"/>
              </w:rPr>
            </w:pPr>
            <w:r>
              <w:rPr>
                <w:sz w:val="18"/>
              </w:rPr>
              <w:t>Chile</w:t>
            </w:r>
          </w:p>
        </w:tc>
        <w:tc>
          <w:tcPr>
            <w:tcW w:w="2319" w:type="dxa"/>
          </w:tcPr>
          <w:p w:rsidR="00755DDE" w:rsidRPr="00131BEC" w:rsidRDefault="00755DDE" w:rsidP="005231C9">
            <w:pPr>
              <w:jc w:val="left"/>
              <w:rPr>
                <w:sz w:val="18"/>
                <w:szCs w:val="18"/>
              </w:rPr>
            </w:pPr>
            <w:r>
              <w:rPr>
                <w:sz w:val="18"/>
              </w:rPr>
              <w:t xml:space="preserve">50 Teilnehmer: Züchter, Vertreter, Vereinigung der Saatgutproduzenten, Vereinigung der Pflanzgärten, Anwaltskanzleien, </w:t>
            </w:r>
            <w:proofErr w:type="spellStart"/>
            <w:r>
              <w:rPr>
                <w:sz w:val="18"/>
              </w:rPr>
              <w:t>Pflanzenverbesserer</w:t>
            </w:r>
            <w:proofErr w:type="spellEnd"/>
            <w:r>
              <w:rPr>
                <w:sz w:val="18"/>
              </w:rPr>
              <w:t>, Universitäten</w:t>
            </w:r>
          </w:p>
        </w:tc>
      </w:tr>
    </w:tbl>
    <w:p w:rsidR="00755DDE" w:rsidRPr="00131BEC" w:rsidRDefault="00755DDE" w:rsidP="00755DDE"/>
    <w:p w:rsidR="00C517EE" w:rsidRPr="002C4387" w:rsidRDefault="00C517EE" w:rsidP="00C517EE"/>
    <w:p w:rsidR="00C517EE" w:rsidRPr="008F6F9D" w:rsidRDefault="00C517EE" w:rsidP="00C517EE"/>
    <w:p w:rsidR="00C517EE" w:rsidRPr="0075031D" w:rsidRDefault="00DB5AC1" w:rsidP="00C517EE">
      <w:pPr>
        <w:jc w:val="right"/>
      </w:pPr>
      <w:r>
        <w:t>[Anlage</w:t>
      </w:r>
      <w:r w:rsidR="00C517EE" w:rsidRPr="0075031D">
        <w:t xml:space="preserve"> </w:t>
      </w:r>
      <w:r w:rsidR="00C517EE">
        <w:t>I</w:t>
      </w:r>
      <w:r w:rsidR="00C517EE" w:rsidRPr="0075031D">
        <w:t xml:space="preserve">II </w:t>
      </w:r>
      <w:r>
        <w:t>folgt]</w:t>
      </w:r>
    </w:p>
    <w:p w:rsidR="00C517EE" w:rsidRPr="0075031D" w:rsidRDefault="00C517EE" w:rsidP="00C517EE">
      <w:pPr>
        <w:jc w:val="left"/>
      </w:pPr>
    </w:p>
    <w:p w:rsidR="00C517EE" w:rsidRDefault="00C517EE" w:rsidP="00C517EE">
      <w:pPr>
        <w:jc w:val="left"/>
        <w:sectPr w:rsidR="00C517EE" w:rsidSect="00371832">
          <w:headerReference w:type="default" r:id="rId12"/>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I</w:t>
      </w:r>
      <w:r w:rsidR="00C517EE">
        <w:t>II</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t>KOLUMBIEN</w:t>
      </w:r>
    </w:p>
    <w:p w:rsidR="002330D2" w:rsidRPr="003D67AA" w:rsidRDefault="002330D2" w:rsidP="002330D2">
      <w:pPr>
        <w:jc w:val="center"/>
      </w:pPr>
      <w:r>
        <w:t>Zeitraum: Oktober 2014 - September 2015</w:t>
      </w:r>
    </w:p>
    <w:p w:rsidR="002330D2" w:rsidRDefault="002330D2" w:rsidP="002330D2"/>
    <w:p w:rsidR="002330D2" w:rsidRPr="003D67AA" w:rsidRDefault="002330D2" w:rsidP="002330D2"/>
    <w:p w:rsidR="002330D2" w:rsidRPr="00131BEC" w:rsidRDefault="002330D2" w:rsidP="002330D2">
      <w:r>
        <w:t>SORTENSCHUTZ</w:t>
      </w:r>
    </w:p>
    <w:p w:rsidR="002330D2" w:rsidRPr="00131BEC" w:rsidRDefault="002330D2" w:rsidP="002330D2"/>
    <w:p w:rsidR="002330D2" w:rsidRPr="003D67AA" w:rsidRDefault="002330D2" w:rsidP="002330D2">
      <w:pPr>
        <w:rPr>
          <w:u w:val="single"/>
        </w:rPr>
      </w:pPr>
      <w:r>
        <w:rPr>
          <w:u w:val="single"/>
        </w:rPr>
        <w:t>Lage auf dem Gebiet der Gesetzgebung</w:t>
      </w:r>
    </w:p>
    <w:p w:rsidR="002330D2" w:rsidRDefault="002330D2" w:rsidP="002330D2"/>
    <w:p w:rsidR="002330D2" w:rsidRPr="003D67AA" w:rsidRDefault="002330D2" w:rsidP="002330D2">
      <w:r>
        <w:t xml:space="preserve">Im Berichtszeitraum gab es keine Änderungen an den Rechtsvorschriften für den Sortenschutz. Kolumbien wendet derzeit basierend auf </w:t>
      </w:r>
      <w:proofErr w:type="spellStart"/>
      <w:r>
        <w:t>Beschluß</w:t>
      </w:r>
      <w:proofErr w:type="spellEnd"/>
      <w:r>
        <w:t xml:space="preserve"> 345 von 1993 auch weiterhin die geltenden Rechtsvorschriften zum Schutz der Rechte der Pflanzenzüchter an. Aufgrund der Zustimmung zur Akte von 1978 ist es Mitglied des UPOV-Übereinkommens und die in der Akte von 1991 enthaltenden Regeln werden in der Praxis angewandt, da bereits ein Regelwerk vorhanden ist, das das Züchterrechtssystem nach denselben Grundprinzipien wie das UPOV-Übereinkommen von 1991 strukturiert. </w:t>
      </w:r>
    </w:p>
    <w:p w:rsidR="002330D2" w:rsidRPr="003D67AA" w:rsidRDefault="002330D2" w:rsidP="002330D2"/>
    <w:p w:rsidR="002330D2" w:rsidRPr="003D67AA" w:rsidRDefault="002330D2" w:rsidP="002330D2">
      <w:r>
        <w:t xml:space="preserve">In Kolumbien ist das Züchterrecht auf die Sorten aller botanischer Gattungen und -arten anwendbar, insofern als deren Anbau, Besitz oder Nutzung nicht aus Gründen der menschlichen, tierischen oder pflanzlichen Gesundheit verboten sind. </w:t>
      </w:r>
    </w:p>
    <w:p w:rsidR="002330D2" w:rsidRDefault="002330D2" w:rsidP="002330D2"/>
    <w:p w:rsidR="002330D2" w:rsidRPr="003D67AA" w:rsidRDefault="002330D2" w:rsidP="002330D2"/>
    <w:p w:rsidR="002330D2" w:rsidRPr="003D67AA" w:rsidRDefault="002330D2" w:rsidP="002330D2">
      <w:pPr>
        <w:rPr>
          <w:u w:val="single"/>
        </w:rPr>
      </w:pPr>
      <w:r>
        <w:rPr>
          <w:u w:val="single"/>
        </w:rPr>
        <w:t>Lage auf dem Gebiet der Verwaltung und Technik</w:t>
      </w:r>
    </w:p>
    <w:p w:rsidR="002330D2" w:rsidRDefault="002330D2" w:rsidP="002330D2"/>
    <w:p w:rsidR="002330D2" w:rsidRPr="003D67AA" w:rsidRDefault="002330D2" w:rsidP="002330D2">
      <w:r>
        <w:t>Es gab keine Änderungen in der Verwaltung oder in den Verfahren und Systemen (Verwaltung) der Technischen Saatgutdirektion des Kolumbianischen Instituts für Landwirtschaft (</w:t>
      </w:r>
      <w:proofErr w:type="spellStart"/>
      <w:r>
        <w:t>Instituto</w:t>
      </w:r>
      <w:proofErr w:type="spellEnd"/>
      <w:r>
        <w:t xml:space="preserve"> </w:t>
      </w:r>
      <w:proofErr w:type="spellStart"/>
      <w:r>
        <w:t>colombiano</w:t>
      </w:r>
      <w:proofErr w:type="spellEnd"/>
      <w:r>
        <w:t xml:space="preserve"> </w:t>
      </w:r>
      <w:proofErr w:type="spellStart"/>
      <w:r>
        <w:t>agropecuario</w:t>
      </w:r>
      <w:proofErr w:type="spellEnd"/>
      <w:r>
        <w:t xml:space="preserve"> (ICA)). Es werden auch weiterhin Verbindungen zur Zusammenarbeit im Bereich der technischen Prüfung mit verschiedenen Verbandsmitgliedern aufrechterhalten. Wie aus der Grafik 1 hervorgeht, gingen im Berichtszeitraum (Oktober 2014 - September 2015) 214 Anträge aus verschiedenen Ländern, insbesondere  unter anderem aus Holland, Deutschland, Italien, den Vereinigten Staaten von Amerika und Kolumbien, ein, die ausgewertet und bearbeitet wurden.</w:t>
      </w:r>
    </w:p>
    <w:p w:rsidR="002330D2" w:rsidRPr="003D67AA" w:rsidRDefault="002330D2" w:rsidP="002330D2"/>
    <w:p w:rsidR="002330D2" w:rsidRPr="003D67AA" w:rsidRDefault="002330D2" w:rsidP="002330D2">
      <w:r>
        <w:t>Die Sorten, für die Anfragen eingingen, waren unter anderem die Rosenarten, Chrysantheme, Nelke, Kaffee, Inkalilie und Tomate. Es wurden Prüfung der Unterscheidbarkeit, Homogenität und Beständigkeit (DUS) an 29 Kandidatensorten verschiedener Arten, wie Soja, Reis und Baumwolle durchgeführt und derzeit ist die Prüfung für Kaffee im Gange. Es wurden 170 Züchterzertifikate ausgestellt (Graphik 2).</w:t>
      </w:r>
    </w:p>
    <w:p w:rsidR="002330D2" w:rsidRPr="003D67AA" w:rsidRDefault="002330D2" w:rsidP="002330D2"/>
    <w:p w:rsidR="002330D2" w:rsidRPr="003D67AA" w:rsidRDefault="002330D2" w:rsidP="002330D2">
      <w:r>
        <w:t>Das Kolumbianische Institut für Landwirtschaft (ICA) stellt das Amtsblatt für geschützte Pflanzensorten, das detaillierte Informationen über den Schutz der Züchterrechte in Kolumbien enthält, zusammen und veröffentlicht es. Im Berichtszeitraum wurde das Amtsblatt Nr. 17 veröffentlicht.</w:t>
      </w:r>
    </w:p>
    <w:p w:rsidR="002330D2" w:rsidRPr="003D67AA" w:rsidRDefault="002330D2" w:rsidP="002330D2"/>
    <w:p w:rsidR="002330D2" w:rsidRPr="003D67AA" w:rsidRDefault="002330D2" w:rsidP="002330D2">
      <w:r>
        <w:t xml:space="preserve">Auch auf dem Gebiet der Verwaltung agierte das ICA als zuständige nationale Behörde für Züchterrechte und als designierter technischer Gutachter für die Identifizierung geschützter Pflanzensorten bei diversen Gerichtsverfahren, bei denen es um einen Verstoß gegen die Züchterrechte ging. Demzufolge unterstützte das ICA in seiner Eigenschaft als Sachverständiger und Gutachter die Justiz, indem es verschiedene Konzepte und Gutachten betreffend den Verstoß gegen Züchterrechte erstellte.  </w:t>
      </w:r>
    </w:p>
    <w:p w:rsidR="002330D2" w:rsidRPr="003D67AA" w:rsidRDefault="002330D2" w:rsidP="002330D2"/>
    <w:p w:rsidR="002330D2" w:rsidRDefault="002330D2" w:rsidP="002330D2">
      <w:pPr>
        <w:keepNext/>
      </w:pPr>
      <w:r>
        <w:t>Graphik 1:</w:t>
      </w:r>
    </w:p>
    <w:p w:rsidR="002330D2" w:rsidRPr="003D67AA" w:rsidRDefault="002330D2" w:rsidP="002330D2">
      <w:pPr>
        <w:keepNext/>
      </w:pPr>
    </w:p>
    <w:p w:rsidR="002330D2" w:rsidRDefault="002330D2" w:rsidP="002330D2">
      <w:pPr>
        <w:rPr>
          <w:rFonts w:cs="Arial"/>
        </w:rPr>
      </w:pPr>
      <w:r>
        <w:rPr>
          <w:noProof/>
          <w:lang w:val="en-US"/>
        </w:rPr>
        <mc:AlternateContent>
          <mc:Choice Requires="wps">
            <w:drawing>
              <wp:anchor distT="0" distB="0" distL="114300" distR="114300" simplePos="0" relativeHeight="251659264" behindDoc="0" locked="0" layoutInCell="1" allowOverlap="1" wp14:anchorId="07B9F5D8" wp14:editId="041922C3">
                <wp:simplePos x="0" y="0"/>
                <wp:positionH relativeFrom="column">
                  <wp:posOffset>327660</wp:posOffset>
                </wp:positionH>
                <wp:positionV relativeFrom="paragraph">
                  <wp:posOffset>2460625</wp:posOffset>
                </wp:positionV>
                <wp:extent cx="5467350" cy="945515"/>
                <wp:effectExtent l="0" t="0" r="0" b="6985"/>
                <wp:wrapNone/>
                <wp:docPr id="11" name="Text Box 1"/>
                <wp:cNvGraphicFramePr/>
                <a:graphic xmlns:a="http://schemas.openxmlformats.org/drawingml/2006/main">
                  <a:graphicData uri="http://schemas.microsoft.com/office/word/2010/wordprocessingShape">
                    <wps:wsp>
                      <wps:cNvSpPr txBox="1"/>
                      <wps:spPr>
                        <a:xfrm>
                          <a:off x="0" y="0"/>
                          <a:ext cx="5467350" cy="945515"/>
                        </a:xfrm>
                        <a:prstGeom prst="rect">
                          <a:avLst/>
                        </a:prstGeom>
                        <a:solidFill>
                          <a:schemeClr val="bg1"/>
                        </a:solidFill>
                      </wps:spPr>
                      <wps:txbx>
                        <w:txbxContent>
                          <w:p w:rsidR="00AF7FF3" w:rsidRPr="00B57A5B" w:rsidRDefault="00AF7FF3" w:rsidP="002330D2">
                            <w:pPr>
                              <w:spacing w:line="316" w:lineRule="exact"/>
                              <w:jc w:val="right"/>
                              <w:rPr>
                                <w:rFonts w:cs="Arial"/>
                                <w:sz w:val="16"/>
                                <w:szCs w:val="16"/>
                              </w:rPr>
                            </w:pPr>
                            <w:r w:rsidRPr="00B57A5B">
                              <w:rPr>
                                <w:rFonts w:cs="Arial"/>
                                <w:sz w:val="16"/>
                                <w:szCs w:val="16"/>
                              </w:rPr>
                              <w:t xml:space="preserve">AVOKADO </w:t>
                            </w:r>
                          </w:p>
                          <w:p w:rsidR="00AF7FF3" w:rsidRPr="00B57A5B" w:rsidRDefault="00AF7FF3" w:rsidP="002330D2">
                            <w:pPr>
                              <w:spacing w:line="316" w:lineRule="exact"/>
                              <w:jc w:val="right"/>
                              <w:rPr>
                                <w:rFonts w:cs="Arial"/>
                                <w:sz w:val="16"/>
                                <w:szCs w:val="16"/>
                              </w:rPr>
                            </w:pPr>
                            <w:r w:rsidRPr="00B57A5B">
                              <w:rPr>
                                <w:rFonts w:cs="Arial"/>
                                <w:sz w:val="16"/>
                                <w:szCs w:val="16"/>
                              </w:rPr>
                              <w:t xml:space="preserve">ABSINTH </w:t>
                            </w:r>
                          </w:p>
                          <w:p w:rsidR="00AF7FF3" w:rsidRPr="00B57A5B" w:rsidRDefault="00AF7FF3" w:rsidP="002330D2">
                            <w:pPr>
                              <w:spacing w:line="316" w:lineRule="exact"/>
                              <w:jc w:val="right"/>
                              <w:rPr>
                                <w:rFonts w:cs="Arial"/>
                                <w:sz w:val="16"/>
                                <w:szCs w:val="16"/>
                              </w:rPr>
                            </w:pPr>
                            <w:r w:rsidRPr="00B57A5B">
                              <w:rPr>
                                <w:rFonts w:cs="Arial"/>
                                <w:sz w:val="16"/>
                                <w:szCs w:val="16"/>
                              </w:rPr>
                              <w:t xml:space="preserve">BAUMWOLLE </w:t>
                            </w:r>
                          </w:p>
                          <w:p w:rsidR="00AF7FF3" w:rsidRPr="00B57A5B" w:rsidRDefault="00AF7FF3" w:rsidP="002330D2">
                            <w:pPr>
                              <w:spacing w:line="316" w:lineRule="exact"/>
                              <w:jc w:val="right"/>
                              <w:rPr>
                                <w:rFonts w:cs="Arial"/>
                                <w:sz w:val="16"/>
                                <w:szCs w:val="16"/>
                              </w:rPr>
                            </w:pPr>
                            <w:r>
                              <w:rPr>
                                <w:rFonts w:cs="Arial"/>
                                <w:sz w:val="16"/>
                                <w:szCs w:val="16"/>
                              </w:rPr>
                              <w:t>INKALILIE</w:t>
                            </w:r>
                          </w:p>
                          <w:p w:rsidR="00AF7FF3" w:rsidRPr="00B57A5B" w:rsidRDefault="00AF7FF3" w:rsidP="002330D2">
                            <w:pPr>
                              <w:spacing w:line="316" w:lineRule="exact"/>
                              <w:jc w:val="right"/>
                              <w:rPr>
                                <w:rFonts w:cs="Arial"/>
                                <w:sz w:val="16"/>
                                <w:szCs w:val="16"/>
                              </w:rPr>
                            </w:pPr>
                            <w:r w:rsidRPr="00B57A5B">
                              <w:rPr>
                                <w:rFonts w:cs="Arial"/>
                                <w:sz w:val="16"/>
                                <w:szCs w:val="16"/>
                              </w:rPr>
                              <w:t>HEIDELBEERE</w:t>
                            </w:r>
                          </w:p>
                          <w:p w:rsidR="00AF7FF3" w:rsidRPr="00B57A5B" w:rsidRDefault="00AF7FF3" w:rsidP="002330D2">
                            <w:pPr>
                              <w:spacing w:line="316" w:lineRule="exact"/>
                              <w:jc w:val="right"/>
                              <w:rPr>
                                <w:rFonts w:cs="Arial"/>
                                <w:sz w:val="16"/>
                                <w:szCs w:val="16"/>
                              </w:rPr>
                            </w:pPr>
                            <w:r w:rsidRPr="00B57A5B">
                              <w:rPr>
                                <w:rFonts w:cs="Arial"/>
                                <w:sz w:val="16"/>
                                <w:szCs w:val="16"/>
                              </w:rPr>
                              <w:t>REIS</w:t>
                            </w:r>
                          </w:p>
                          <w:p w:rsidR="00AF7FF3" w:rsidRPr="00B57A5B" w:rsidRDefault="00AF7FF3" w:rsidP="002330D2">
                            <w:pPr>
                              <w:spacing w:line="316" w:lineRule="exact"/>
                              <w:jc w:val="right"/>
                              <w:rPr>
                                <w:rFonts w:cs="Arial"/>
                                <w:sz w:val="16"/>
                                <w:szCs w:val="16"/>
                              </w:rPr>
                            </w:pPr>
                            <w:r w:rsidRPr="00B57A5B">
                              <w:rPr>
                                <w:rFonts w:cs="Arial"/>
                                <w:sz w:val="16"/>
                                <w:szCs w:val="16"/>
                              </w:rPr>
                              <w:t>BRAQUIARIA</w:t>
                            </w:r>
                          </w:p>
                          <w:p w:rsidR="00AF7FF3" w:rsidRPr="00B57A5B" w:rsidRDefault="00AF7FF3" w:rsidP="002330D2">
                            <w:pPr>
                              <w:spacing w:line="316" w:lineRule="exact"/>
                              <w:jc w:val="right"/>
                              <w:rPr>
                                <w:rFonts w:cs="Arial"/>
                                <w:sz w:val="16"/>
                                <w:szCs w:val="16"/>
                              </w:rPr>
                            </w:pPr>
                            <w:r w:rsidRPr="00B57A5B">
                              <w:rPr>
                                <w:rFonts w:cs="Arial"/>
                                <w:sz w:val="16"/>
                                <w:szCs w:val="16"/>
                              </w:rPr>
                              <w:t>KAKAO</w:t>
                            </w:r>
                          </w:p>
                          <w:p w:rsidR="00AF7FF3" w:rsidRPr="00B57A5B" w:rsidRDefault="00AF7FF3" w:rsidP="002330D2">
                            <w:pPr>
                              <w:spacing w:line="316" w:lineRule="exact"/>
                              <w:jc w:val="right"/>
                              <w:rPr>
                                <w:rFonts w:cs="Arial"/>
                                <w:sz w:val="16"/>
                                <w:szCs w:val="16"/>
                              </w:rPr>
                            </w:pPr>
                            <w:r w:rsidRPr="00B57A5B">
                              <w:rPr>
                                <w:rFonts w:cs="Arial"/>
                                <w:sz w:val="16"/>
                                <w:szCs w:val="16"/>
                              </w:rPr>
                              <w:t>KAFFEE</w:t>
                            </w:r>
                          </w:p>
                          <w:p w:rsidR="00AF7FF3" w:rsidRPr="00B57A5B" w:rsidRDefault="00AF7FF3" w:rsidP="002330D2">
                            <w:pPr>
                              <w:spacing w:line="316" w:lineRule="exact"/>
                              <w:jc w:val="right"/>
                              <w:rPr>
                                <w:rFonts w:cs="Arial"/>
                                <w:sz w:val="16"/>
                                <w:szCs w:val="16"/>
                              </w:rPr>
                            </w:pPr>
                            <w:r w:rsidRPr="00B57A5B">
                              <w:rPr>
                                <w:rFonts w:cs="Arial"/>
                                <w:sz w:val="16"/>
                                <w:szCs w:val="16"/>
                              </w:rPr>
                              <w:t>KALLA</w:t>
                            </w:r>
                          </w:p>
                          <w:p w:rsidR="00AF7FF3" w:rsidRPr="00B57A5B" w:rsidRDefault="00AF7FF3" w:rsidP="002330D2">
                            <w:pPr>
                              <w:spacing w:line="316" w:lineRule="exact"/>
                              <w:jc w:val="right"/>
                              <w:rPr>
                                <w:rFonts w:cs="Arial"/>
                                <w:sz w:val="16"/>
                                <w:szCs w:val="16"/>
                              </w:rPr>
                            </w:pPr>
                            <w:r w:rsidRPr="00B57A5B">
                              <w:rPr>
                                <w:rFonts w:cs="Arial"/>
                                <w:sz w:val="16"/>
                                <w:szCs w:val="16"/>
                              </w:rPr>
                              <w:t>ZUCKERROHR</w:t>
                            </w:r>
                          </w:p>
                          <w:p w:rsidR="00AF7FF3" w:rsidRPr="00B57A5B" w:rsidRDefault="00AF7FF3" w:rsidP="002330D2">
                            <w:pPr>
                              <w:spacing w:line="316" w:lineRule="exact"/>
                              <w:jc w:val="right"/>
                              <w:rPr>
                                <w:rFonts w:cs="Arial"/>
                                <w:sz w:val="16"/>
                                <w:szCs w:val="16"/>
                              </w:rPr>
                            </w:pPr>
                            <w:r w:rsidRPr="00B57A5B">
                              <w:rPr>
                                <w:rFonts w:cs="Arial"/>
                                <w:sz w:val="16"/>
                                <w:szCs w:val="16"/>
                              </w:rPr>
                              <w:t>GUINEAGRAS</w:t>
                            </w:r>
                          </w:p>
                          <w:p w:rsidR="00AF7FF3" w:rsidRPr="00B57A5B" w:rsidRDefault="00AF7FF3" w:rsidP="002330D2">
                            <w:pPr>
                              <w:spacing w:line="316" w:lineRule="exact"/>
                              <w:jc w:val="right"/>
                              <w:rPr>
                                <w:rFonts w:cs="Arial"/>
                                <w:sz w:val="16"/>
                                <w:szCs w:val="16"/>
                              </w:rPr>
                            </w:pPr>
                            <w:r w:rsidRPr="00B57A5B">
                              <w:rPr>
                                <w:rFonts w:cs="Arial"/>
                                <w:sz w:val="16"/>
                                <w:szCs w:val="16"/>
                              </w:rPr>
                              <w:t>ZWIEBEL</w:t>
                            </w:r>
                          </w:p>
                          <w:p w:rsidR="00AF7FF3" w:rsidRPr="00B57A5B" w:rsidRDefault="00AF7FF3" w:rsidP="002330D2">
                            <w:pPr>
                              <w:spacing w:line="316" w:lineRule="exact"/>
                              <w:jc w:val="right"/>
                              <w:rPr>
                                <w:rFonts w:cs="Arial"/>
                                <w:sz w:val="16"/>
                                <w:szCs w:val="16"/>
                              </w:rPr>
                            </w:pPr>
                            <w:r w:rsidRPr="00B57A5B">
                              <w:rPr>
                                <w:rFonts w:cs="Arial"/>
                                <w:sz w:val="16"/>
                                <w:szCs w:val="16"/>
                              </w:rPr>
                              <w:t>NELKE</w:t>
                            </w:r>
                          </w:p>
                          <w:p w:rsidR="00AF7FF3" w:rsidRPr="00B57A5B" w:rsidRDefault="00AF7FF3" w:rsidP="002330D2">
                            <w:pPr>
                              <w:spacing w:line="316" w:lineRule="exact"/>
                              <w:jc w:val="right"/>
                              <w:rPr>
                                <w:rFonts w:cs="Arial"/>
                                <w:sz w:val="16"/>
                                <w:szCs w:val="16"/>
                              </w:rPr>
                            </w:pPr>
                            <w:r w:rsidRPr="00B57A5B">
                              <w:rPr>
                                <w:rFonts w:cs="Arial"/>
                                <w:sz w:val="16"/>
                                <w:szCs w:val="16"/>
                              </w:rPr>
                              <w:t>CHRYSANTHEME</w:t>
                            </w:r>
                          </w:p>
                          <w:p w:rsidR="00AF7FF3" w:rsidRPr="00B57A5B" w:rsidRDefault="00AF7FF3" w:rsidP="002330D2">
                            <w:pPr>
                              <w:spacing w:line="316" w:lineRule="exact"/>
                              <w:jc w:val="right"/>
                              <w:rPr>
                                <w:rFonts w:cs="Arial"/>
                                <w:sz w:val="16"/>
                                <w:szCs w:val="16"/>
                              </w:rPr>
                            </w:pPr>
                            <w:r w:rsidRPr="00B57A5B">
                              <w:rPr>
                                <w:rFonts w:cs="Arial"/>
                                <w:sz w:val="16"/>
                                <w:szCs w:val="16"/>
                              </w:rPr>
                              <w:t>ERDBEERE</w:t>
                            </w:r>
                          </w:p>
                          <w:p w:rsidR="00AF7FF3" w:rsidRPr="00B57A5B" w:rsidRDefault="00AF7FF3" w:rsidP="002330D2">
                            <w:pPr>
                              <w:spacing w:line="316" w:lineRule="exact"/>
                              <w:jc w:val="right"/>
                              <w:rPr>
                                <w:rFonts w:cs="Arial"/>
                                <w:sz w:val="16"/>
                                <w:szCs w:val="16"/>
                              </w:rPr>
                            </w:pPr>
                            <w:r w:rsidRPr="00B57A5B">
                              <w:rPr>
                                <w:rFonts w:cs="Arial"/>
                                <w:sz w:val="16"/>
                                <w:szCs w:val="16"/>
                              </w:rPr>
                              <w:t>GIPSKRAUT</w:t>
                            </w:r>
                          </w:p>
                          <w:p w:rsidR="00AF7FF3" w:rsidRPr="00B57A5B" w:rsidRDefault="00AF7FF3" w:rsidP="002330D2">
                            <w:pPr>
                              <w:spacing w:line="316" w:lineRule="exact"/>
                              <w:jc w:val="right"/>
                              <w:rPr>
                                <w:rFonts w:cs="Arial"/>
                                <w:sz w:val="16"/>
                                <w:szCs w:val="16"/>
                              </w:rPr>
                            </w:pPr>
                            <w:r w:rsidRPr="00B57A5B">
                              <w:rPr>
                                <w:rFonts w:cs="Arial"/>
                                <w:sz w:val="16"/>
                                <w:szCs w:val="16"/>
                              </w:rPr>
                              <w:t>JOHANNISKRAUT</w:t>
                            </w:r>
                          </w:p>
                          <w:p w:rsidR="00AF7FF3" w:rsidRPr="00B57A5B" w:rsidRDefault="00AF7FF3" w:rsidP="002330D2">
                            <w:pPr>
                              <w:spacing w:line="316" w:lineRule="exact"/>
                              <w:jc w:val="right"/>
                              <w:rPr>
                                <w:rFonts w:cs="Arial"/>
                                <w:sz w:val="16"/>
                                <w:szCs w:val="16"/>
                              </w:rPr>
                            </w:pPr>
                            <w:r w:rsidRPr="00B57A5B">
                              <w:rPr>
                                <w:rFonts w:cs="Arial"/>
                                <w:sz w:val="16"/>
                                <w:szCs w:val="16"/>
                              </w:rPr>
                              <w:t>LIMONIUM</w:t>
                            </w:r>
                          </w:p>
                          <w:p w:rsidR="00AF7FF3" w:rsidRPr="00B57A5B" w:rsidRDefault="00AF7FF3" w:rsidP="002330D2">
                            <w:pPr>
                              <w:spacing w:line="316" w:lineRule="exact"/>
                              <w:jc w:val="right"/>
                              <w:rPr>
                                <w:rFonts w:cs="Arial"/>
                                <w:sz w:val="16"/>
                                <w:szCs w:val="16"/>
                              </w:rPr>
                            </w:pPr>
                            <w:r w:rsidRPr="00B57A5B">
                              <w:rPr>
                                <w:rFonts w:cs="Arial"/>
                                <w:sz w:val="16"/>
                                <w:szCs w:val="16"/>
                              </w:rPr>
                              <w:t>MELONE</w:t>
                            </w:r>
                          </w:p>
                          <w:p w:rsidR="00AF7FF3" w:rsidRPr="00B57A5B" w:rsidRDefault="00AF7FF3" w:rsidP="002330D2">
                            <w:pPr>
                              <w:spacing w:line="316" w:lineRule="exact"/>
                              <w:jc w:val="right"/>
                              <w:rPr>
                                <w:rFonts w:cs="Arial"/>
                                <w:sz w:val="16"/>
                                <w:szCs w:val="16"/>
                              </w:rPr>
                            </w:pPr>
                            <w:r w:rsidRPr="00B57A5B">
                              <w:rPr>
                                <w:rFonts w:cs="Arial"/>
                                <w:sz w:val="16"/>
                                <w:szCs w:val="16"/>
                              </w:rPr>
                              <w:t>ÖLPALME</w:t>
                            </w:r>
                          </w:p>
                          <w:p w:rsidR="00AF7FF3" w:rsidRPr="00B57A5B" w:rsidRDefault="00AF7FF3" w:rsidP="002330D2">
                            <w:pPr>
                              <w:spacing w:line="316" w:lineRule="exact"/>
                              <w:jc w:val="right"/>
                              <w:rPr>
                                <w:rFonts w:cs="Arial"/>
                                <w:sz w:val="16"/>
                                <w:szCs w:val="16"/>
                              </w:rPr>
                            </w:pPr>
                            <w:r w:rsidRPr="00B57A5B">
                              <w:rPr>
                                <w:rFonts w:cs="Arial"/>
                                <w:sz w:val="16"/>
                                <w:szCs w:val="16"/>
                              </w:rPr>
                              <w:t>PFEFFERKRAUT</w:t>
                            </w:r>
                          </w:p>
                          <w:p w:rsidR="00AF7FF3" w:rsidRPr="00B57A5B" w:rsidRDefault="00AF7FF3" w:rsidP="002330D2">
                            <w:pPr>
                              <w:spacing w:line="316" w:lineRule="exact"/>
                              <w:jc w:val="right"/>
                              <w:rPr>
                                <w:rFonts w:cs="Arial"/>
                                <w:sz w:val="16"/>
                                <w:szCs w:val="16"/>
                              </w:rPr>
                            </w:pPr>
                            <w:r w:rsidRPr="00B57A5B">
                              <w:rPr>
                                <w:rFonts w:cs="Arial"/>
                                <w:sz w:val="16"/>
                                <w:szCs w:val="16"/>
                              </w:rPr>
                              <w:t>ROSE</w:t>
                            </w:r>
                          </w:p>
                          <w:p w:rsidR="00AF7FF3" w:rsidRPr="00B57A5B" w:rsidRDefault="00AF7FF3" w:rsidP="002330D2">
                            <w:pPr>
                              <w:spacing w:line="316" w:lineRule="exact"/>
                              <w:jc w:val="right"/>
                              <w:rPr>
                                <w:rFonts w:cs="Arial"/>
                                <w:sz w:val="16"/>
                                <w:szCs w:val="16"/>
                              </w:rPr>
                            </w:pPr>
                            <w:r w:rsidRPr="00B57A5B">
                              <w:rPr>
                                <w:rFonts w:cs="Arial"/>
                                <w:sz w:val="16"/>
                                <w:szCs w:val="16"/>
                              </w:rPr>
                              <w:t>WASSERMELONE</w:t>
                            </w:r>
                          </w:p>
                          <w:p w:rsidR="00AF7FF3" w:rsidRPr="00B57A5B" w:rsidRDefault="00AF7FF3" w:rsidP="002330D2">
                            <w:pPr>
                              <w:spacing w:line="316" w:lineRule="exact"/>
                              <w:jc w:val="right"/>
                              <w:rPr>
                                <w:rFonts w:cs="Arial"/>
                                <w:sz w:val="16"/>
                                <w:szCs w:val="16"/>
                              </w:rPr>
                            </w:pPr>
                            <w:r w:rsidRPr="00B57A5B">
                              <w:rPr>
                                <w:rFonts w:cs="Arial"/>
                                <w:sz w:val="16"/>
                                <w:szCs w:val="16"/>
                              </w:rPr>
                              <w:t>GOLDRUTE</w:t>
                            </w:r>
                          </w:p>
                          <w:p w:rsidR="00AF7FF3" w:rsidRPr="00B57A5B" w:rsidRDefault="00AF7FF3" w:rsidP="002330D2">
                            <w:pPr>
                              <w:spacing w:line="316" w:lineRule="exact"/>
                              <w:jc w:val="right"/>
                              <w:rPr>
                                <w:rFonts w:cs="Arial"/>
                                <w:sz w:val="16"/>
                                <w:szCs w:val="16"/>
                              </w:rPr>
                            </w:pPr>
                            <w:r w:rsidRPr="00B57A5B">
                              <w:rPr>
                                <w:rFonts w:cs="Arial"/>
                                <w:sz w:val="16"/>
                                <w:szCs w:val="16"/>
                              </w:rPr>
                              <w:t>TOMATE</w:t>
                            </w:r>
                          </w:p>
                          <w:p w:rsidR="00AF7FF3" w:rsidRPr="002330D2" w:rsidRDefault="00AF7FF3" w:rsidP="002330D2">
                            <w:pPr>
                              <w:spacing w:line="316" w:lineRule="exact"/>
                              <w:jc w:val="right"/>
                              <w:rPr>
                                <w:rFonts w:cs="Arial"/>
                              </w:rPr>
                            </w:pPr>
                            <w:r w:rsidRPr="00B57A5B">
                              <w:rPr>
                                <w:rFonts w:cs="Arial"/>
                                <w:sz w:val="16"/>
                                <w:szCs w:val="16"/>
                              </w:rPr>
                              <w:t>REBE</w:t>
                            </w:r>
                          </w:p>
                        </w:txbxContent>
                      </wps:txbx>
                      <wps:bodyPr vertOverflow="clip" vert="vert270" wrap="square" lIns="0" tIns="0" rIns="0" bIns="0" rtlCol="0"/>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5.8pt;margin-top:193.75pt;width:430.5pt;height:74.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" fillcolor="white [3212]" stroked="f">
                <v:textbox style="layout-flow:vertical;mso-layout-flow-alt:bottom-to-top" inset="0,0,0,0">
                  <w:txbxContent>
                    <w:p w:rsidR="00AF7FF3" w:rsidRPr="00B57A5B" w:rsidRDefault="00AF7FF3" w:rsidP="002330D2">
                      <w:pPr>
                        <w:spacing w:line="316" w:lineRule="exact"/>
                        <w:jc w:val="right"/>
                        <w:rPr>
                          <w:rFonts w:cs="Arial"/>
                          <w:sz w:val="16"/>
                          <w:szCs w:val="16"/>
                        </w:rPr>
                      </w:pPr>
                      <w:r w:rsidRPr="00B57A5B">
                        <w:rPr>
                          <w:rFonts w:cs="Arial"/>
                          <w:sz w:val="16"/>
                          <w:szCs w:val="16"/>
                        </w:rPr>
                        <w:t xml:space="preserve">AVOKADO </w:t>
                      </w:r>
                    </w:p>
                    <w:p w:rsidR="00AF7FF3" w:rsidRPr="00B57A5B" w:rsidRDefault="00AF7FF3" w:rsidP="002330D2">
                      <w:pPr>
                        <w:spacing w:line="316" w:lineRule="exact"/>
                        <w:jc w:val="right"/>
                        <w:rPr>
                          <w:rFonts w:cs="Arial"/>
                          <w:sz w:val="16"/>
                          <w:szCs w:val="16"/>
                        </w:rPr>
                      </w:pPr>
                      <w:r w:rsidRPr="00B57A5B">
                        <w:rPr>
                          <w:rFonts w:cs="Arial"/>
                          <w:sz w:val="16"/>
                          <w:szCs w:val="16"/>
                        </w:rPr>
                        <w:t xml:space="preserve">ABSINTH </w:t>
                      </w:r>
                    </w:p>
                    <w:p w:rsidR="00AF7FF3" w:rsidRPr="00B57A5B" w:rsidRDefault="00AF7FF3" w:rsidP="002330D2">
                      <w:pPr>
                        <w:spacing w:line="316" w:lineRule="exact"/>
                        <w:jc w:val="right"/>
                        <w:rPr>
                          <w:rFonts w:cs="Arial"/>
                          <w:sz w:val="16"/>
                          <w:szCs w:val="16"/>
                        </w:rPr>
                      </w:pPr>
                      <w:r w:rsidRPr="00B57A5B">
                        <w:rPr>
                          <w:rFonts w:cs="Arial"/>
                          <w:sz w:val="16"/>
                          <w:szCs w:val="16"/>
                        </w:rPr>
                        <w:t xml:space="preserve">BAUMWOLLE </w:t>
                      </w:r>
                    </w:p>
                    <w:p w:rsidR="00AF7FF3" w:rsidRPr="00B57A5B" w:rsidRDefault="00AF7FF3" w:rsidP="002330D2">
                      <w:pPr>
                        <w:spacing w:line="316" w:lineRule="exact"/>
                        <w:jc w:val="right"/>
                        <w:rPr>
                          <w:rFonts w:cs="Arial"/>
                          <w:sz w:val="16"/>
                          <w:szCs w:val="16"/>
                        </w:rPr>
                      </w:pPr>
                      <w:r>
                        <w:rPr>
                          <w:rFonts w:cs="Arial"/>
                          <w:sz w:val="16"/>
                          <w:szCs w:val="16"/>
                        </w:rPr>
                        <w:t>INKALILIE</w:t>
                      </w:r>
                    </w:p>
                    <w:p w:rsidR="00AF7FF3" w:rsidRPr="00B57A5B" w:rsidRDefault="00AF7FF3" w:rsidP="002330D2">
                      <w:pPr>
                        <w:spacing w:line="316" w:lineRule="exact"/>
                        <w:jc w:val="right"/>
                        <w:rPr>
                          <w:rFonts w:cs="Arial"/>
                          <w:sz w:val="16"/>
                          <w:szCs w:val="16"/>
                        </w:rPr>
                      </w:pPr>
                      <w:r w:rsidRPr="00B57A5B">
                        <w:rPr>
                          <w:rFonts w:cs="Arial"/>
                          <w:sz w:val="16"/>
                          <w:szCs w:val="16"/>
                        </w:rPr>
                        <w:t>HEIDELBEERE</w:t>
                      </w:r>
                    </w:p>
                    <w:p w:rsidR="00AF7FF3" w:rsidRPr="00B57A5B" w:rsidRDefault="00AF7FF3" w:rsidP="002330D2">
                      <w:pPr>
                        <w:spacing w:line="316" w:lineRule="exact"/>
                        <w:jc w:val="right"/>
                        <w:rPr>
                          <w:rFonts w:cs="Arial"/>
                          <w:sz w:val="16"/>
                          <w:szCs w:val="16"/>
                        </w:rPr>
                      </w:pPr>
                      <w:r w:rsidRPr="00B57A5B">
                        <w:rPr>
                          <w:rFonts w:cs="Arial"/>
                          <w:sz w:val="16"/>
                          <w:szCs w:val="16"/>
                        </w:rPr>
                        <w:t>REIS</w:t>
                      </w:r>
                    </w:p>
                    <w:p w:rsidR="00AF7FF3" w:rsidRPr="00B57A5B" w:rsidRDefault="00AF7FF3" w:rsidP="002330D2">
                      <w:pPr>
                        <w:spacing w:line="316" w:lineRule="exact"/>
                        <w:jc w:val="right"/>
                        <w:rPr>
                          <w:rFonts w:cs="Arial"/>
                          <w:sz w:val="16"/>
                          <w:szCs w:val="16"/>
                        </w:rPr>
                      </w:pPr>
                      <w:r w:rsidRPr="00B57A5B">
                        <w:rPr>
                          <w:rFonts w:cs="Arial"/>
                          <w:sz w:val="16"/>
                          <w:szCs w:val="16"/>
                        </w:rPr>
                        <w:t>BRAQUIARIA</w:t>
                      </w:r>
                    </w:p>
                    <w:p w:rsidR="00AF7FF3" w:rsidRPr="00B57A5B" w:rsidRDefault="00AF7FF3" w:rsidP="002330D2">
                      <w:pPr>
                        <w:spacing w:line="316" w:lineRule="exact"/>
                        <w:jc w:val="right"/>
                        <w:rPr>
                          <w:rFonts w:cs="Arial"/>
                          <w:sz w:val="16"/>
                          <w:szCs w:val="16"/>
                        </w:rPr>
                      </w:pPr>
                      <w:r w:rsidRPr="00B57A5B">
                        <w:rPr>
                          <w:rFonts w:cs="Arial"/>
                          <w:sz w:val="16"/>
                          <w:szCs w:val="16"/>
                        </w:rPr>
                        <w:t>KAKAO</w:t>
                      </w:r>
                    </w:p>
                    <w:p w:rsidR="00AF7FF3" w:rsidRPr="00B57A5B" w:rsidRDefault="00AF7FF3" w:rsidP="002330D2">
                      <w:pPr>
                        <w:spacing w:line="316" w:lineRule="exact"/>
                        <w:jc w:val="right"/>
                        <w:rPr>
                          <w:rFonts w:cs="Arial"/>
                          <w:sz w:val="16"/>
                          <w:szCs w:val="16"/>
                        </w:rPr>
                      </w:pPr>
                      <w:r w:rsidRPr="00B57A5B">
                        <w:rPr>
                          <w:rFonts w:cs="Arial"/>
                          <w:sz w:val="16"/>
                          <w:szCs w:val="16"/>
                        </w:rPr>
                        <w:t>KAFFEE</w:t>
                      </w:r>
                    </w:p>
                    <w:p w:rsidR="00AF7FF3" w:rsidRPr="00B57A5B" w:rsidRDefault="00AF7FF3" w:rsidP="002330D2">
                      <w:pPr>
                        <w:spacing w:line="316" w:lineRule="exact"/>
                        <w:jc w:val="right"/>
                        <w:rPr>
                          <w:rFonts w:cs="Arial"/>
                          <w:sz w:val="16"/>
                          <w:szCs w:val="16"/>
                        </w:rPr>
                      </w:pPr>
                      <w:r w:rsidRPr="00B57A5B">
                        <w:rPr>
                          <w:rFonts w:cs="Arial"/>
                          <w:sz w:val="16"/>
                          <w:szCs w:val="16"/>
                        </w:rPr>
                        <w:t>KALLA</w:t>
                      </w:r>
                    </w:p>
                    <w:p w:rsidR="00AF7FF3" w:rsidRPr="00B57A5B" w:rsidRDefault="00AF7FF3" w:rsidP="002330D2">
                      <w:pPr>
                        <w:spacing w:line="316" w:lineRule="exact"/>
                        <w:jc w:val="right"/>
                        <w:rPr>
                          <w:rFonts w:cs="Arial"/>
                          <w:sz w:val="16"/>
                          <w:szCs w:val="16"/>
                        </w:rPr>
                      </w:pPr>
                      <w:r w:rsidRPr="00B57A5B">
                        <w:rPr>
                          <w:rFonts w:cs="Arial"/>
                          <w:sz w:val="16"/>
                          <w:szCs w:val="16"/>
                        </w:rPr>
                        <w:t>ZUCKERROHR</w:t>
                      </w:r>
                    </w:p>
                    <w:p w:rsidR="00AF7FF3" w:rsidRPr="00B57A5B" w:rsidRDefault="00AF7FF3" w:rsidP="002330D2">
                      <w:pPr>
                        <w:spacing w:line="316" w:lineRule="exact"/>
                        <w:jc w:val="right"/>
                        <w:rPr>
                          <w:rFonts w:cs="Arial"/>
                          <w:sz w:val="16"/>
                          <w:szCs w:val="16"/>
                        </w:rPr>
                      </w:pPr>
                      <w:r w:rsidRPr="00B57A5B">
                        <w:rPr>
                          <w:rFonts w:cs="Arial"/>
                          <w:sz w:val="16"/>
                          <w:szCs w:val="16"/>
                        </w:rPr>
                        <w:t>GUINEAGRAS</w:t>
                      </w:r>
                    </w:p>
                    <w:p w:rsidR="00AF7FF3" w:rsidRPr="00B57A5B" w:rsidRDefault="00AF7FF3" w:rsidP="002330D2">
                      <w:pPr>
                        <w:spacing w:line="316" w:lineRule="exact"/>
                        <w:jc w:val="right"/>
                        <w:rPr>
                          <w:rFonts w:cs="Arial"/>
                          <w:sz w:val="16"/>
                          <w:szCs w:val="16"/>
                        </w:rPr>
                      </w:pPr>
                      <w:r w:rsidRPr="00B57A5B">
                        <w:rPr>
                          <w:rFonts w:cs="Arial"/>
                          <w:sz w:val="16"/>
                          <w:szCs w:val="16"/>
                        </w:rPr>
                        <w:t>ZWIEBEL</w:t>
                      </w:r>
                    </w:p>
                    <w:p w:rsidR="00AF7FF3" w:rsidRPr="00B57A5B" w:rsidRDefault="00AF7FF3" w:rsidP="002330D2">
                      <w:pPr>
                        <w:spacing w:line="316" w:lineRule="exact"/>
                        <w:jc w:val="right"/>
                        <w:rPr>
                          <w:rFonts w:cs="Arial"/>
                          <w:sz w:val="16"/>
                          <w:szCs w:val="16"/>
                        </w:rPr>
                      </w:pPr>
                      <w:r w:rsidRPr="00B57A5B">
                        <w:rPr>
                          <w:rFonts w:cs="Arial"/>
                          <w:sz w:val="16"/>
                          <w:szCs w:val="16"/>
                        </w:rPr>
                        <w:t>NELKE</w:t>
                      </w:r>
                    </w:p>
                    <w:p w:rsidR="00AF7FF3" w:rsidRPr="00B57A5B" w:rsidRDefault="00AF7FF3" w:rsidP="002330D2">
                      <w:pPr>
                        <w:spacing w:line="316" w:lineRule="exact"/>
                        <w:jc w:val="right"/>
                        <w:rPr>
                          <w:rFonts w:cs="Arial"/>
                          <w:sz w:val="16"/>
                          <w:szCs w:val="16"/>
                        </w:rPr>
                      </w:pPr>
                      <w:r w:rsidRPr="00B57A5B">
                        <w:rPr>
                          <w:rFonts w:cs="Arial"/>
                          <w:sz w:val="16"/>
                          <w:szCs w:val="16"/>
                        </w:rPr>
                        <w:t>CHRYSANTHEME</w:t>
                      </w:r>
                    </w:p>
                    <w:p w:rsidR="00AF7FF3" w:rsidRPr="00B57A5B" w:rsidRDefault="00AF7FF3" w:rsidP="002330D2">
                      <w:pPr>
                        <w:spacing w:line="316" w:lineRule="exact"/>
                        <w:jc w:val="right"/>
                        <w:rPr>
                          <w:rFonts w:cs="Arial"/>
                          <w:sz w:val="16"/>
                          <w:szCs w:val="16"/>
                        </w:rPr>
                      </w:pPr>
                      <w:r w:rsidRPr="00B57A5B">
                        <w:rPr>
                          <w:rFonts w:cs="Arial"/>
                          <w:sz w:val="16"/>
                          <w:szCs w:val="16"/>
                        </w:rPr>
                        <w:t>ERDBEERE</w:t>
                      </w:r>
                    </w:p>
                    <w:p w:rsidR="00AF7FF3" w:rsidRPr="00B57A5B" w:rsidRDefault="00AF7FF3" w:rsidP="002330D2">
                      <w:pPr>
                        <w:spacing w:line="316" w:lineRule="exact"/>
                        <w:jc w:val="right"/>
                        <w:rPr>
                          <w:rFonts w:cs="Arial"/>
                          <w:sz w:val="16"/>
                          <w:szCs w:val="16"/>
                        </w:rPr>
                      </w:pPr>
                      <w:r w:rsidRPr="00B57A5B">
                        <w:rPr>
                          <w:rFonts w:cs="Arial"/>
                          <w:sz w:val="16"/>
                          <w:szCs w:val="16"/>
                        </w:rPr>
                        <w:t>GIPSKRAUT</w:t>
                      </w:r>
                    </w:p>
                    <w:p w:rsidR="00AF7FF3" w:rsidRPr="00B57A5B" w:rsidRDefault="00AF7FF3" w:rsidP="002330D2">
                      <w:pPr>
                        <w:spacing w:line="316" w:lineRule="exact"/>
                        <w:jc w:val="right"/>
                        <w:rPr>
                          <w:rFonts w:cs="Arial"/>
                          <w:sz w:val="16"/>
                          <w:szCs w:val="16"/>
                        </w:rPr>
                      </w:pPr>
                      <w:r w:rsidRPr="00B57A5B">
                        <w:rPr>
                          <w:rFonts w:cs="Arial"/>
                          <w:sz w:val="16"/>
                          <w:szCs w:val="16"/>
                        </w:rPr>
                        <w:t>JOHANNISKRAUT</w:t>
                      </w:r>
                    </w:p>
                    <w:p w:rsidR="00AF7FF3" w:rsidRPr="00B57A5B" w:rsidRDefault="00AF7FF3" w:rsidP="002330D2">
                      <w:pPr>
                        <w:spacing w:line="316" w:lineRule="exact"/>
                        <w:jc w:val="right"/>
                        <w:rPr>
                          <w:rFonts w:cs="Arial"/>
                          <w:sz w:val="16"/>
                          <w:szCs w:val="16"/>
                        </w:rPr>
                      </w:pPr>
                      <w:r w:rsidRPr="00B57A5B">
                        <w:rPr>
                          <w:rFonts w:cs="Arial"/>
                          <w:sz w:val="16"/>
                          <w:szCs w:val="16"/>
                        </w:rPr>
                        <w:t>LIMONIUM</w:t>
                      </w:r>
                    </w:p>
                    <w:p w:rsidR="00AF7FF3" w:rsidRPr="00B57A5B" w:rsidRDefault="00AF7FF3" w:rsidP="002330D2">
                      <w:pPr>
                        <w:spacing w:line="316" w:lineRule="exact"/>
                        <w:jc w:val="right"/>
                        <w:rPr>
                          <w:rFonts w:cs="Arial"/>
                          <w:sz w:val="16"/>
                          <w:szCs w:val="16"/>
                        </w:rPr>
                      </w:pPr>
                      <w:r w:rsidRPr="00B57A5B">
                        <w:rPr>
                          <w:rFonts w:cs="Arial"/>
                          <w:sz w:val="16"/>
                          <w:szCs w:val="16"/>
                        </w:rPr>
                        <w:t>MELONE</w:t>
                      </w:r>
                    </w:p>
                    <w:p w:rsidR="00AF7FF3" w:rsidRPr="00B57A5B" w:rsidRDefault="00AF7FF3" w:rsidP="002330D2">
                      <w:pPr>
                        <w:spacing w:line="316" w:lineRule="exact"/>
                        <w:jc w:val="right"/>
                        <w:rPr>
                          <w:rFonts w:cs="Arial"/>
                          <w:sz w:val="16"/>
                          <w:szCs w:val="16"/>
                        </w:rPr>
                      </w:pPr>
                      <w:r w:rsidRPr="00B57A5B">
                        <w:rPr>
                          <w:rFonts w:cs="Arial"/>
                          <w:sz w:val="16"/>
                          <w:szCs w:val="16"/>
                        </w:rPr>
                        <w:t>ÖLPALME</w:t>
                      </w:r>
                    </w:p>
                    <w:p w:rsidR="00AF7FF3" w:rsidRPr="00B57A5B" w:rsidRDefault="00AF7FF3" w:rsidP="002330D2">
                      <w:pPr>
                        <w:spacing w:line="316" w:lineRule="exact"/>
                        <w:jc w:val="right"/>
                        <w:rPr>
                          <w:rFonts w:cs="Arial"/>
                          <w:sz w:val="16"/>
                          <w:szCs w:val="16"/>
                        </w:rPr>
                      </w:pPr>
                      <w:r w:rsidRPr="00B57A5B">
                        <w:rPr>
                          <w:rFonts w:cs="Arial"/>
                          <w:sz w:val="16"/>
                          <w:szCs w:val="16"/>
                        </w:rPr>
                        <w:t>PFEFFERKRAUT</w:t>
                      </w:r>
                    </w:p>
                    <w:p w:rsidR="00AF7FF3" w:rsidRPr="00B57A5B" w:rsidRDefault="00AF7FF3" w:rsidP="002330D2">
                      <w:pPr>
                        <w:spacing w:line="316" w:lineRule="exact"/>
                        <w:jc w:val="right"/>
                        <w:rPr>
                          <w:rFonts w:cs="Arial"/>
                          <w:sz w:val="16"/>
                          <w:szCs w:val="16"/>
                        </w:rPr>
                      </w:pPr>
                      <w:r w:rsidRPr="00B57A5B">
                        <w:rPr>
                          <w:rFonts w:cs="Arial"/>
                          <w:sz w:val="16"/>
                          <w:szCs w:val="16"/>
                        </w:rPr>
                        <w:t>ROSE</w:t>
                      </w:r>
                    </w:p>
                    <w:p w:rsidR="00AF7FF3" w:rsidRPr="00B57A5B" w:rsidRDefault="00AF7FF3" w:rsidP="002330D2">
                      <w:pPr>
                        <w:spacing w:line="316" w:lineRule="exact"/>
                        <w:jc w:val="right"/>
                        <w:rPr>
                          <w:rFonts w:cs="Arial"/>
                          <w:sz w:val="16"/>
                          <w:szCs w:val="16"/>
                        </w:rPr>
                      </w:pPr>
                      <w:r w:rsidRPr="00B57A5B">
                        <w:rPr>
                          <w:rFonts w:cs="Arial"/>
                          <w:sz w:val="16"/>
                          <w:szCs w:val="16"/>
                        </w:rPr>
                        <w:t>WASSERMELONE</w:t>
                      </w:r>
                    </w:p>
                    <w:p w:rsidR="00AF7FF3" w:rsidRPr="00B57A5B" w:rsidRDefault="00AF7FF3" w:rsidP="002330D2">
                      <w:pPr>
                        <w:spacing w:line="316" w:lineRule="exact"/>
                        <w:jc w:val="right"/>
                        <w:rPr>
                          <w:rFonts w:cs="Arial"/>
                          <w:sz w:val="16"/>
                          <w:szCs w:val="16"/>
                        </w:rPr>
                      </w:pPr>
                      <w:r w:rsidRPr="00B57A5B">
                        <w:rPr>
                          <w:rFonts w:cs="Arial"/>
                          <w:sz w:val="16"/>
                          <w:szCs w:val="16"/>
                        </w:rPr>
                        <w:t>GOLDRUTE</w:t>
                      </w:r>
                    </w:p>
                    <w:p w:rsidR="00AF7FF3" w:rsidRPr="00B57A5B" w:rsidRDefault="00AF7FF3" w:rsidP="002330D2">
                      <w:pPr>
                        <w:spacing w:line="316" w:lineRule="exact"/>
                        <w:jc w:val="right"/>
                        <w:rPr>
                          <w:rFonts w:cs="Arial"/>
                          <w:sz w:val="16"/>
                          <w:szCs w:val="16"/>
                        </w:rPr>
                      </w:pPr>
                      <w:r w:rsidRPr="00B57A5B">
                        <w:rPr>
                          <w:rFonts w:cs="Arial"/>
                          <w:sz w:val="16"/>
                          <w:szCs w:val="16"/>
                        </w:rPr>
                        <w:t>TOMATE</w:t>
                      </w:r>
                    </w:p>
                    <w:p w:rsidR="00AF7FF3" w:rsidRPr="002330D2" w:rsidRDefault="00AF7FF3" w:rsidP="002330D2">
                      <w:pPr>
                        <w:spacing w:line="316" w:lineRule="exact"/>
                        <w:jc w:val="right"/>
                        <w:rPr>
                          <w:rFonts w:cs="Arial"/>
                        </w:rPr>
                      </w:pPr>
                      <w:r w:rsidRPr="00B57A5B">
                        <w:rPr>
                          <w:rFonts w:cs="Arial"/>
                          <w:sz w:val="16"/>
                          <w:szCs w:val="16"/>
                        </w:rPr>
                        <w:t>REBE</w:t>
                      </w:r>
                    </w:p>
                  </w:txbxContent>
                </v:textbox>
              </v:shape>
            </w:pict>
          </mc:Fallback>
        </mc:AlternateContent>
      </w:r>
      <w:r>
        <w:rPr>
          <w:noProof/>
          <w:lang w:val="en-US"/>
        </w:rPr>
        <w:drawing>
          <wp:inline distT="0" distB="0" distL="0" distR="0" wp14:anchorId="1A9C8FCA" wp14:editId="0344F6BA">
            <wp:extent cx="5895975" cy="3495675"/>
            <wp:effectExtent l="0" t="0" r="9525" b="9525"/>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330D2" w:rsidRDefault="002330D2" w:rsidP="002330D2">
      <w:pPr>
        <w:rPr>
          <w:rFonts w:cs="Arial"/>
        </w:rPr>
      </w:pPr>
    </w:p>
    <w:p w:rsidR="002330D2" w:rsidRDefault="002330D2" w:rsidP="002330D2">
      <w:pPr>
        <w:rPr>
          <w:rFonts w:cs="Arial"/>
        </w:rPr>
      </w:pPr>
    </w:p>
    <w:p w:rsidR="002330D2" w:rsidRDefault="002330D2" w:rsidP="002330D2">
      <w:pPr>
        <w:rPr>
          <w:rFonts w:cs="Arial"/>
        </w:rPr>
      </w:pPr>
    </w:p>
    <w:p w:rsidR="002330D2" w:rsidRDefault="002330D2" w:rsidP="002330D2">
      <w:pPr>
        <w:rPr>
          <w:rFonts w:cs="Arial"/>
        </w:rPr>
      </w:pPr>
      <w:r>
        <w:t>Graphik 2:</w:t>
      </w:r>
    </w:p>
    <w:p w:rsidR="002330D2" w:rsidRDefault="002330D2" w:rsidP="002330D2">
      <w:pPr>
        <w:rPr>
          <w:rFonts w:cs="Arial"/>
        </w:rPr>
      </w:pPr>
    </w:p>
    <w:p w:rsidR="002330D2" w:rsidRDefault="002330D2" w:rsidP="002330D2">
      <w:pPr>
        <w:jc w:val="right"/>
        <w:rPr>
          <w:rFonts w:cs="Arial"/>
        </w:rPr>
      </w:pPr>
    </w:p>
    <w:p w:rsidR="00C517EE" w:rsidRDefault="002330D2" w:rsidP="00C517EE">
      <w:r w:rsidRPr="00B17BCB">
        <w:rPr>
          <w:noProof/>
          <w:lang w:val="en-US"/>
        </w:rPr>
        <w:drawing>
          <wp:inline distT="0" distB="0" distL="0" distR="0" wp14:anchorId="248B7EC0" wp14:editId="168A4B95">
            <wp:extent cx="5943600" cy="3488055"/>
            <wp:effectExtent l="0" t="0" r="19050" b="1714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517EE" w:rsidRPr="00B17BCB" w:rsidRDefault="00C517EE" w:rsidP="00C517EE"/>
    <w:p w:rsidR="00C517EE" w:rsidRPr="005917C2" w:rsidRDefault="00C517EE" w:rsidP="00C517EE"/>
    <w:p w:rsidR="00C517EE" w:rsidRPr="005917C2" w:rsidRDefault="00C517EE" w:rsidP="00C517EE"/>
    <w:p w:rsidR="00C517EE" w:rsidRPr="0075031D" w:rsidRDefault="00DB5AC1" w:rsidP="00C517EE">
      <w:pPr>
        <w:jc w:val="right"/>
      </w:pPr>
      <w:r>
        <w:t>[Anlage</w:t>
      </w:r>
      <w:r w:rsidR="00C517EE" w:rsidRPr="0075031D">
        <w:t xml:space="preserve"> I</w:t>
      </w:r>
      <w:r w:rsidR="00C517EE">
        <w:t>V</w:t>
      </w:r>
      <w:r w:rsidR="00C517EE" w:rsidRPr="0075031D">
        <w:t xml:space="preserve"> </w:t>
      </w:r>
      <w:r>
        <w:t>folgt]</w:t>
      </w:r>
    </w:p>
    <w:p w:rsidR="00C517EE" w:rsidRPr="0075031D" w:rsidRDefault="00C517EE" w:rsidP="00C517EE">
      <w:pPr>
        <w:jc w:val="left"/>
      </w:pPr>
    </w:p>
    <w:p w:rsidR="00C517EE" w:rsidRDefault="00C517EE" w:rsidP="00C517EE">
      <w:pPr>
        <w:jc w:val="left"/>
        <w:sectPr w:rsidR="00C517EE" w:rsidSect="00371832">
          <w:headerReference w:type="default" r:id="rId15"/>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I</w:t>
      </w:r>
      <w:r w:rsidR="00C517EE">
        <w:t>V</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t>KROATIEN</w:t>
      </w:r>
    </w:p>
    <w:p w:rsidR="00C517EE" w:rsidRDefault="00C517EE" w:rsidP="00C517EE">
      <w:pPr>
        <w:jc w:val="left"/>
      </w:pPr>
    </w:p>
    <w:p w:rsidR="00C517EE" w:rsidRDefault="00C517EE" w:rsidP="00C517EE">
      <w:pPr>
        <w:jc w:val="left"/>
      </w:pPr>
    </w:p>
    <w:p w:rsidR="00371832" w:rsidRPr="00515A3E" w:rsidRDefault="00371832" w:rsidP="00371832">
      <w:r w:rsidRPr="00515A3E">
        <w:t>SORTENSCHUTZ</w:t>
      </w:r>
    </w:p>
    <w:p w:rsidR="00371832" w:rsidRPr="00515A3E" w:rsidRDefault="00371832" w:rsidP="00371832"/>
    <w:p w:rsidR="00371832" w:rsidRPr="00515A3E" w:rsidRDefault="00371832" w:rsidP="00371832">
      <w:pPr>
        <w:tabs>
          <w:tab w:val="left" w:pos="426"/>
          <w:tab w:val="left" w:pos="1276"/>
        </w:tabs>
        <w:rPr>
          <w:u w:val="single"/>
        </w:rPr>
      </w:pPr>
      <w:r w:rsidRPr="00515A3E">
        <w:t xml:space="preserve">1. </w:t>
      </w:r>
      <w:r w:rsidRPr="00515A3E">
        <w:tab/>
      </w:r>
      <w:r w:rsidRPr="00515A3E">
        <w:rPr>
          <w:u w:val="single"/>
        </w:rPr>
        <w:t>Lage auf dem Gebiet der Gesetzgebung</w:t>
      </w:r>
    </w:p>
    <w:p w:rsidR="00371832" w:rsidRPr="00515A3E" w:rsidRDefault="00371832" w:rsidP="00371832">
      <w:pPr>
        <w:tabs>
          <w:tab w:val="left" w:pos="426"/>
          <w:tab w:val="left" w:pos="1276"/>
        </w:tabs>
      </w:pPr>
    </w:p>
    <w:p w:rsidR="00371832" w:rsidRPr="00515A3E" w:rsidRDefault="00371832" w:rsidP="00371832">
      <w:r w:rsidRPr="00515A3E">
        <w:t>1.1</w:t>
      </w:r>
      <w:r w:rsidRPr="00515A3E">
        <w:tab/>
        <w:t>Kroatien hinterlegte die Urkunde zur Ratifikation der Akte von 1991 des UPOV-Übereinkommens am 1. August 2001. Kroatien trat der UPOV am 1. September 2001 bei.</w:t>
      </w:r>
    </w:p>
    <w:p w:rsidR="00371832" w:rsidRPr="00515A3E" w:rsidRDefault="00371832" w:rsidP="00371832"/>
    <w:p w:rsidR="00371832" w:rsidRPr="00515A3E" w:rsidRDefault="00371832" w:rsidP="00371832">
      <w:pPr>
        <w:ind w:left="567"/>
      </w:pPr>
      <w:r w:rsidRPr="00515A3E">
        <w:t>Sortenschutzgesetz (mit Änderungen und Ergänzungen) (Amtsblatt 131/1997, 62/2000, 67/2008, 124/2011).</w:t>
      </w:r>
    </w:p>
    <w:p w:rsidR="00371832" w:rsidRPr="00515A3E" w:rsidRDefault="00371832" w:rsidP="00371832">
      <w:pPr>
        <w:ind w:left="567"/>
      </w:pPr>
    </w:p>
    <w:p w:rsidR="00371832" w:rsidRPr="00515A3E" w:rsidRDefault="00371832" w:rsidP="00371832">
      <w:pPr>
        <w:ind w:left="567"/>
      </w:pPr>
      <w:r w:rsidRPr="00515A3E">
        <w:t>Verordnung zur Prüfung von Unterscheidbarkeit, Homogenität und Beständigkeit zum Zwecke der Erteilung von Züchterrechten und Eintragung von Pflanzensorten (Amtsblatt 61/2011).</w:t>
      </w:r>
    </w:p>
    <w:p w:rsidR="00371832" w:rsidRPr="00515A3E" w:rsidRDefault="00371832" w:rsidP="00371832">
      <w:pPr>
        <w:ind w:left="567"/>
      </w:pPr>
    </w:p>
    <w:p w:rsidR="00371832" w:rsidRPr="00515A3E" w:rsidRDefault="00371832" w:rsidP="00371832">
      <w:pPr>
        <w:ind w:left="567"/>
      </w:pPr>
      <w:r w:rsidRPr="00515A3E">
        <w:t>Verordnung zu Sortenschutzregistern (Amtsblatt 58/2011).</w:t>
      </w:r>
    </w:p>
    <w:p w:rsidR="00371832" w:rsidRPr="00515A3E" w:rsidRDefault="00371832" w:rsidP="00371832">
      <w:pPr>
        <w:ind w:left="567"/>
      </w:pPr>
    </w:p>
    <w:p w:rsidR="00371832" w:rsidRPr="00515A3E" w:rsidRDefault="00371832" w:rsidP="00371832">
      <w:pPr>
        <w:ind w:left="567"/>
      </w:pPr>
      <w:r w:rsidRPr="00515A3E">
        <w:t>Verordnung zu den Bedingungen für die Nutzung von Nachbausaatgut geschützter Sorten und Kriterien zur Bestimmung von Kleinbauern (Amtsblatt 145/2011).</w:t>
      </w:r>
    </w:p>
    <w:p w:rsidR="00371832" w:rsidRPr="00515A3E" w:rsidRDefault="00371832" w:rsidP="00371832"/>
    <w:p w:rsidR="00371832" w:rsidRPr="00515A3E" w:rsidRDefault="00371832" w:rsidP="00371832">
      <w:r w:rsidRPr="00515A3E">
        <w:t>1.2</w:t>
      </w:r>
      <w:r w:rsidRPr="00515A3E">
        <w:tab/>
        <w:t>Seit dem 1. September 2011 sind alle Pflanzengattungen und -arten schutzfähig.</w:t>
      </w:r>
    </w:p>
    <w:p w:rsidR="00371832" w:rsidRPr="00515A3E" w:rsidRDefault="00371832" w:rsidP="00371832"/>
    <w:p w:rsidR="00371832" w:rsidRPr="00515A3E" w:rsidRDefault="00371832" w:rsidP="00371832"/>
    <w:p w:rsidR="00371832" w:rsidRPr="00515A3E" w:rsidRDefault="00371832" w:rsidP="00371832">
      <w:pPr>
        <w:rPr>
          <w:u w:val="single"/>
        </w:rPr>
      </w:pPr>
      <w:r w:rsidRPr="00515A3E">
        <w:t>2.</w:t>
      </w:r>
      <w:r w:rsidRPr="00515A3E">
        <w:tab/>
      </w:r>
      <w:r w:rsidRPr="00515A3E">
        <w:rPr>
          <w:u w:val="single"/>
        </w:rPr>
        <w:t>Zusammenarbeit bei der Prüfung</w:t>
      </w:r>
    </w:p>
    <w:p w:rsidR="00371832" w:rsidRPr="00515A3E" w:rsidRDefault="00371832" w:rsidP="00371832">
      <w:pPr>
        <w:tabs>
          <w:tab w:val="left" w:pos="426"/>
          <w:tab w:val="left" w:pos="851"/>
        </w:tabs>
      </w:pPr>
    </w:p>
    <w:p w:rsidR="00371832" w:rsidRPr="00515A3E" w:rsidRDefault="00371832" w:rsidP="00371832">
      <w:r w:rsidRPr="00515A3E">
        <w:t xml:space="preserve">Kroatien führt DUS-Prüfungen für Slowenien (Weizen, Gerste und Mais) und für Rumänien (Weizen) durch. </w:t>
      </w:r>
    </w:p>
    <w:p w:rsidR="00371832" w:rsidRPr="00515A3E" w:rsidRDefault="00371832" w:rsidP="00371832"/>
    <w:p w:rsidR="00371832" w:rsidRPr="00515A3E" w:rsidRDefault="00371832" w:rsidP="00371832">
      <w:r w:rsidRPr="00515A3E">
        <w:t>Änderung Nr. 3 der bestehenden Vereinbarung mit AFSVSPP, SLOWENIEN (erfolgt am 22.09.2014).</w:t>
      </w:r>
    </w:p>
    <w:p w:rsidR="00371832" w:rsidRPr="00515A3E" w:rsidRDefault="00371832" w:rsidP="00371832"/>
    <w:p w:rsidR="00371832" w:rsidRPr="00515A3E" w:rsidRDefault="00371832" w:rsidP="00371832">
      <w:r w:rsidRPr="00515A3E">
        <w:t>Ungarn, die Tschechische Republik, Polen, die Slowakei und Österreich führen die DUS-Prüfung bestimmter Sorten für Kroatien durch.</w:t>
      </w:r>
    </w:p>
    <w:p w:rsidR="00371832" w:rsidRPr="00515A3E" w:rsidRDefault="00371832" w:rsidP="00371832"/>
    <w:p w:rsidR="00371832" w:rsidRPr="00515A3E" w:rsidRDefault="00371832" w:rsidP="00371832">
      <w:r w:rsidRPr="00515A3E">
        <w:t>Bisher überließ Kroatien bestehende DUS-Berichte an Slowenien, Serbien, Rumänien, die EU (CPVO), die Russische Föderation und die Türkei.</w:t>
      </w:r>
    </w:p>
    <w:p w:rsidR="00371832" w:rsidRPr="00515A3E" w:rsidRDefault="00371832" w:rsidP="00371832"/>
    <w:p w:rsidR="00371832" w:rsidRPr="00515A3E" w:rsidRDefault="00371832" w:rsidP="00371832">
      <w:r w:rsidRPr="00515A3E">
        <w:t>Kroatien erkennt im Allgemeinen bestehende DUS-Berichte anderer Verbandsmitglieder an.</w:t>
      </w:r>
    </w:p>
    <w:p w:rsidR="00371832" w:rsidRPr="00515A3E" w:rsidRDefault="00371832" w:rsidP="00371832"/>
    <w:p w:rsidR="00371832" w:rsidRPr="00515A3E" w:rsidRDefault="00371832" w:rsidP="00371832"/>
    <w:p w:rsidR="00371832" w:rsidRPr="00515A3E" w:rsidRDefault="00371832" w:rsidP="00371832">
      <w:pPr>
        <w:rPr>
          <w:u w:val="single"/>
        </w:rPr>
      </w:pPr>
      <w:r w:rsidRPr="00515A3E">
        <w:t>3.</w:t>
      </w:r>
      <w:r w:rsidRPr="00515A3E">
        <w:tab/>
      </w:r>
      <w:r w:rsidRPr="00515A3E">
        <w:rPr>
          <w:u w:val="single"/>
        </w:rPr>
        <w:t>Lage auf dem Gebiet der Verwaltung</w:t>
      </w:r>
    </w:p>
    <w:p w:rsidR="00371832" w:rsidRPr="00515A3E" w:rsidRDefault="00371832" w:rsidP="00371832">
      <w:pPr>
        <w:rPr>
          <w:u w:val="single"/>
        </w:rPr>
      </w:pPr>
    </w:p>
    <w:p w:rsidR="00371832" w:rsidRPr="00515A3E" w:rsidRDefault="00371832" w:rsidP="00371832">
      <w:r w:rsidRPr="00515A3E">
        <w:t>Nationale Behörde: Landwirtschaftsministerium und Kroatischen Anstalt für Landwirtschaft, Ernährung und ländliche Angelegenheiten, Institut für Saat- und Pflanzgut (Abteilung Sortenschutz und Registrierung).</w:t>
      </w:r>
    </w:p>
    <w:p w:rsidR="00371832" w:rsidRPr="00515A3E" w:rsidRDefault="00371832" w:rsidP="00371832"/>
    <w:p w:rsidR="00371832" w:rsidRPr="00515A3E" w:rsidRDefault="00371832" w:rsidP="00371832">
      <w:r w:rsidRPr="00515A3E">
        <w:t xml:space="preserve">Das Entscheidungsorgan ist der </w:t>
      </w:r>
      <w:proofErr w:type="spellStart"/>
      <w:r w:rsidRPr="00515A3E">
        <w:t>Sortenschutzausschuß</w:t>
      </w:r>
      <w:proofErr w:type="spellEnd"/>
      <w:r w:rsidRPr="00515A3E">
        <w:t>.</w:t>
      </w:r>
    </w:p>
    <w:p w:rsidR="00371832" w:rsidRPr="00515A3E" w:rsidRDefault="00371832" w:rsidP="00371832"/>
    <w:p w:rsidR="00371832" w:rsidRPr="00515A3E" w:rsidRDefault="00371832" w:rsidP="00371832"/>
    <w:p w:rsidR="00371832" w:rsidRPr="00515A3E" w:rsidRDefault="00371832" w:rsidP="00371832">
      <w:pPr>
        <w:rPr>
          <w:u w:val="single"/>
        </w:rPr>
      </w:pPr>
      <w:r w:rsidRPr="00515A3E">
        <w:t>4.</w:t>
      </w:r>
      <w:r w:rsidRPr="00515A3E">
        <w:tab/>
      </w:r>
      <w:r w:rsidRPr="00515A3E">
        <w:rPr>
          <w:u w:val="single"/>
        </w:rPr>
        <w:t>Lage auf dem Gebiet der Technik</w:t>
      </w:r>
    </w:p>
    <w:p w:rsidR="00371832" w:rsidRPr="00515A3E" w:rsidRDefault="00371832" w:rsidP="00371832"/>
    <w:p w:rsidR="00371832" w:rsidRPr="00515A3E" w:rsidRDefault="00371832" w:rsidP="00371832">
      <w:r w:rsidRPr="00515A3E">
        <w:t xml:space="preserve">Die DUS-Prüfungen für Getreide (Hafer, Gerste, Roggen, Weizen, Hartweizen, </w:t>
      </w:r>
      <w:proofErr w:type="spellStart"/>
      <w:r w:rsidRPr="00515A3E">
        <w:t>Triticale</w:t>
      </w:r>
      <w:proofErr w:type="spellEnd"/>
      <w:r w:rsidRPr="00515A3E">
        <w:t>), Mais und Sojabohne werden von der Kroatischen Anstalt für Landwirtschaft, Ernährung und ländliche Angelegenheiten, Institut für Saat- und Pflanzgut, durchgeführt.</w:t>
      </w:r>
    </w:p>
    <w:p w:rsidR="00C517EE" w:rsidRDefault="00C517EE" w:rsidP="00C517EE"/>
    <w:p w:rsidR="00371832" w:rsidRDefault="00371832" w:rsidP="00C517EE"/>
    <w:p w:rsidR="00C517EE" w:rsidRPr="008D093B" w:rsidRDefault="00C517EE" w:rsidP="00C517EE"/>
    <w:p w:rsidR="00C517EE" w:rsidRPr="0075031D" w:rsidRDefault="00DB5AC1" w:rsidP="00C517EE">
      <w:pPr>
        <w:jc w:val="right"/>
      </w:pPr>
      <w:r>
        <w:t>[Anlage</w:t>
      </w:r>
      <w:r w:rsidR="00C517EE" w:rsidRPr="0075031D">
        <w:t xml:space="preserve"> </w:t>
      </w:r>
      <w:r w:rsidR="00C517EE">
        <w:t>V</w:t>
      </w:r>
      <w:r w:rsidR="00C517EE" w:rsidRPr="0075031D">
        <w:t xml:space="preserve"> </w:t>
      </w:r>
      <w:r>
        <w:t>folgt]</w:t>
      </w:r>
    </w:p>
    <w:p w:rsidR="00C517EE" w:rsidRPr="0075031D" w:rsidRDefault="00C517EE" w:rsidP="00C517EE">
      <w:pPr>
        <w:jc w:val="left"/>
      </w:pPr>
    </w:p>
    <w:p w:rsidR="00C517EE" w:rsidRDefault="00C517EE" w:rsidP="00C517EE">
      <w:pPr>
        <w:jc w:val="left"/>
        <w:sectPr w:rsidR="00C517EE" w:rsidSect="00371832">
          <w:headerReference w:type="default" r:id="rId16"/>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t xml:space="preserve"> V</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t>DÄNEMARK</w:t>
      </w:r>
    </w:p>
    <w:p w:rsidR="00C517EE" w:rsidRDefault="00C517EE" w:rsidP="00C517EE">
      <w:pPr>
        <w:jc w:val="left"/>
      </w:pPr>
    </w:p>
    <w:p w:rsidR="00C517EE" w:rsidRDefault="00C517EE" w:rsidP="00C517EE">
      <w:pPr>
        <w:jc w:val="left"/>
      </w:pPr>
    </w:p>
    <w:p w:rsidR="00371832" w:rsidRPr="00515A3E" w:rsidRDefault="00371832" w:rsidP="00371832">
      <w:r w:rsidRPr="00515A3E">
        <w:t>SORTENSCHUTZ</w:t>
      </w:r>
    </w:p>
    <w:p w:rsidR="00371832" w:rsidRPr="00515A3E" w:rsidRDefault="00371832" w:rsidP="00371832"/>
    <w:p w:rsidR="00371832" w:rsidRPr="00515A3E" w:rsidRDefault="00371832" w:rsidP="00371832">
      <w:r w:rsidRPr="00515A3E">
        <w:t>1.</w:t>
      </w:r>
      <w:r w:rsidRPr="00515A3E">
        <w:tab/>
      </w:r>
      <w:r w:rsidRPr="00515A3E">
        <w:rPr>
          <w:u w:val="single"/>
        </w:rPr>
        <w:t>Lage auf dem Gebiet der Gesetzgebung</w:t>
      </w:r>
    </w:p>
    <w:p w:rsidR="00371832" w:rsidRPr="00515A3E" w:rsidRDefault="00371832" w:rsidP="00371832"/>
    <w:p w:rsidR="00371832" w:rsidRPr="00515A3E" w:rsidRDefault="00371832" w:rsidP="00371832">
      <w:r w:rsidRPr="00515A3E">
        <w:t>1.1</w:t>
      </w:r>
      <w:r w:rsidRPr="00515A3E">
        <w:tab/>
        <w:t>Änderungen des Gesetzes und der Ausführungsvorschriften</w:t>
      </w:r>
    </w:p>
    <w:p w:rsidR="00371832" w:rsidRPr="00515A3E" w:rsidRDefault="00371832" w:rsidP="00371832"/>
    <w:p w:rsidR="00371832" w:rsidRPr="00515A3E" w:rsidRDefault="00371832" w:rsidP="00371832">
      <w:r w:rsidRPr="00515A3E">
        <w:tab/>
        <w:t>-</w:t>
      </w:r>
      <w:r w:rsidRPr="00515A3E">
        <w:tab/>
        <w:t>Anpassung an die Akte von 1991 des Übereinkommens</w:t>
      </w:r>
    </w:p>
    <w:p w:rsidR="00371832" w:rsidRPr="00515A3E" w:rsidRDefault="00371832" w:rsidP="00371832"/>
    <w:p w:rsidR="00371832" w:rsidRPr="00515A3E" w:rsidRDefault="00371832" w:rsidP="00371832">
      <w:r w:rsidRPr="00515A3E">
        <w:t xml:space="preserve">Das dänische Gesetz Nr. 190 </w:t>
      </w:r>
      <w:r w:rsidRPr="00515A3E">
        <w:rPr>
          <w:i/>
        </w:rPr>
        <w:t xml:space="preserve">Gesetz zum Sortenschutz </w:t>
      </w:r>
      <w:r w:rsidRPr="00515A3E">
        <w:t xml:space="preserve">trat am 1. Januar 2009 in Kraft (auf Dänisch: </w:t>
      </w:r>
      <w:proofErr w:type="spellStart"/>
      <w:r w:rsidRPr="00515A3E">
        <w:rPr>
          <w:i/>
        </w:rPr>
        <w:t>Bekendtgørelse</w:t>
      </w:r>
      <w:proofErr w:type="spellEnd"/>
      <w:r w:rsidRPr="00515A3E">
        <w:rPr>
          <w:i/>
        </w:rPr>
        <w:t xml:space="preserve"> </w:t>
      </w:r>
      <w:proofErr w:type="spellStart"/>
      <w:r w:rsidRPr="00515A3E">
        <w:rPr>
          <w:i/>
        </w:rPr>
        <w:t>af</w:t>
      </w:r>
      <w:proofErr w:type="spellEnd"/>
      <w:r w:rsidRPr="00515A3E">
        <w:rPr>
          <w:i/>
        </w:rPr>
        <w:t xml:space="preserve"> </w:t>
      </w:r>
      <w:proofErr w:type="spellStart"/>
      <w:r w:rsidRPr="00515A3E">
        <w:rPr>
          <w:i/>
        </w:rPr>
        <w:t>lov</w:t>
      </w:r>
      <w:proofErr w:type="spellEnd"/>
      <w:r w:rsidRPr="00515A3E">
        <w:rPr>
          <w:i/>
        </w:rPr>
        <w:t xml:space="preserve"> </w:t>
      </w:r>
      <w:proofErr w:type="spellStart"/>
      <w:r w:rsidRPr="00515A3E">
        <w:rPr>
          <w:i/>
        </w:rPr>
        <w:t>om</w:t>
      </w:r>
      <w:proofErr w:type="spellEnd"/>
      <w:r w:rsidRPr="00515A3E">
        <w:rPr>
          <w:i/>
        </w:rPr>
        <w:t xml:space="preserve"> </w:t>
      </w:r>
      <w:proofErr w:type="spellStart"/>
      <w:r w:rsidRPr="00515A3E">
        <w:rPr>
          <w:i/>
        </w:rPr>
        <w:t>plantenyheder</w:t>
      </w:r>
      <w:proofErr w:type="spellEnd"/>
      <w:r w:rsidRPr="00515A3E">
        <w:t>). Das Gesetz ersetzt das Gesetz Nr. 51 vom 5. Februar 1996, das derzeit in WIPO Lex angezeigt wird und deshalb sollte durch den aktuell geltenden Rechtstext ersetzt werden.</w:t>
      </w:r>
    </w:p>
    <w:p w:rsidR="00371832" w:rsidRPr="00515A3E" w:rsidRDefault="00371832" w:rsidP="00371832"/>
    <w:p w:rsidR="00371832" w:rsidRPr="00515A3E" w:rsidRDefault="00371832" w:rsidP="00371832">
      <w:r w:rsidRPr="00515A3E">
        <w:t xml:space="preserve">Gemäß Dokument UPOV/INF/15/3 werden wir der UPOV eine offizielle englische Übersetzung der aktualisierten Version des Gesetzes über Sortenschutz zur Veröffentlichung in </w:t>
      </w:r>
      <w:r>
        <w:t xml:space="preserve">UPOV </w:t>
      </w:r>
      <w:r w:rsidRPr="00515A3E">
        <w:t xml:space="preserve">Lex, UPOV </w:t>
      </w:r>
      <w:r w:rsidRPr="004D4CC8">
        <w:rPr>
          <w:i/>
        </w:rPr>
        <w:t>Gazette</w:t>
      </w:r>
      <w:r>
        <w:t xml:space="preserve"> und</w:t>
      </w:r>
      <w:r w:rsidRPr="00515A3E">
        <w:t xml:space="preserve"> </w:t>
      </w:r>
      <w:r w:rsidRPr="004D4CC8">
        <w:rPr>
          <w:i/>
        </w:rPr>
        <w:t>Newsletter</w:t>
      </w:r>
      <w:r w:rsidRPr="00515A3E">
        <w:t xml:space="preserve"> bereitstellen.</w:t>
      </w:r>
    </w:p>
    <w:p w:rsidR="00371832" w:rsidRPr="00515A3E" w:rsidRDefault="00371832" w:rsidP="00371832"/>
    <w:p w:rsidR="00371832" w:rsidRPr="00515A3E" w:rsidRDefault="00371832" w:rsidP="00371832">
      <w:r w:rsidRPr="00515A3E">
        <w:t>Deshalb stehen wir derzeit im Dialog mit dem Sekretariat der UPOV betreffend die Regelung der Übersetzung und warten auf weitere Informationen.</w:t>
      </w:r>
    </w:p>
    <w:p w:rsidR="00371832" w:rsidRPr="00515A3E" w:rsidRDefault="00371832" w:rsidP="00371832"/>
    <w:p w:rsidR="00371832" w:rsidRPr="00515A3E" w:rsidRDefault="00371832" w:rsidP="00371832">
      <w:r w:rsidRPr="00515A3E">
        <w:t xml:space="preserve">Die dänische Version von Gesetz Nr. 190 </w:t>
      </w:r>
      <w:r w:rsidRPr="00515A3E">
        <w:rPr>
          <w:i/>
        </w:rPr>
        <w:t>Gesetz über den Sortenschutz</w:t>
      </w:r>
      <w:r w:rsidRPr="00515A3E">
        <w:t xml:space="preserve"> befindet sich in der dänischen öffentlichen Rechtsdatenbank: </w:t>
      </w:r>
      <w:hyperlink r:id="rId17">
        <w:r w:rsidRPr="00515A3E">
          <w:rPr>
            <w:rStyle w:val="Hyperlink"/>
          </w:rPr>
          <w:t>https://www.retsinformation.dk/Forms/R0710.aspx?id=123418</w:t>
        </w:r>
      </w:hyperlink>
    </w:p>
    <w:p w:rsidR="00371832" w:rsidRPr="00515A3E" w:rsidRDefault="00371832" w:rsidP="00371832"/>
    <w:p w:rsidR="00371832" w:rsidRPr="00515A3E" w:rsidRDefault="00371832" w:rsidP="00371832">
      <w:r w:rsidRPr="00515A3E">
        <w:tab/>
        <w:t>-</w:t>
      </w:r>
      <w:r w:rsidRPr="00515A3E">
        <w:tab/>
        <w:t xml:space="preserve">andere Änderungen, auch in </w:t>
      </w:r>
      <w:proofErr w:type="spellStart"/>
      <w:r w:rsidRPr="00515A3E">
        <w:t>bezug</w:t>
      </w:r>
      <w:proofErr w:type="spellEnd"/>
      <w:r w:rsidRPr="00515A3E">
        <w:t xml:space="preserve"> auf die Gebühren</w:t>
      </w:r>
    </w:p>
    <w:p w:rsidR="00371832" w:rsidRPr="00515A3E" w:rsidRDefault="00371832" w:rsidP="00371832"/>
    <w:p w:rsidR="00371832" w:rsidRPr="00515A3E" w:rsidRDefault="00371832" w:rsidP="00371832">
      <w:r w:rsidRPr="00515A3E">
        <w:t xml:space="preserve">Die Dänische Verfügung Nr. 941 vom 11. August 2015 </w:t>
      </w:r>
      <w:r w:rsidRPr="00515A3E">
        <w:rPr>
          <w:i/>
        </w:rPr>
        <w:t>Verfügung über Gebühren für Kontrolle usw. bei Saatgut und Getreidesaatgut</w:t>
      </w:r>
      <w:r w:rsidRPr="00515A3E">
        <w:t xml:space="preserve"> trat am 15. August 2015 in Kraft (auf Dänisch: </w:t>
      </w:r>
      <w:proofErr w:type="spellStart"/>
      <w:r w:rsidRPr="00515A3E">
        <w:rPr>
          <w:i/>
        </w:rPr>
        <w:t>Bekendtgørelse</w:t>
      </w:r>
      <w:proofErr w:type="spellEnd"/>
      <w:r w:rsidRPr="00515A3E">
        <w:rPr>
          <w:i/>
        </w:rPr>
        <w:t xml:space="preserve"> </w:t>
      </w:r>
      <w:proofErr w:type="spellStart"/>
      <w:r w:rsidRPr="00515A3E">
        <w:rPr>
          <w:i/>
        </w:rPr>
        <w:t>om</w:t>
      </w:r>
      <w:proofErr w:type="spellEnd"/>
      <w:r w:rsidRPr="00515A3E">
        <w:rPr>
          <w:i/>
        </w:rPr>
        <w:t xml:space="preserve"> </w:t>
      </w:r>
      <w:proofErr w:type="spellStart"/>
      <w:r w:rsidRPr="00515A3E">
        <w:rPr>
          <w:i/>
        </w:rPr>
        <w:t>betaling</w:t>
      </w:r>
      <w:proofErr w:type="spellEnd"/>
      <w:r w:rsidRPr="00515A3E">
        <w:rPr>
          <w:i/>
        </w:rPr>
        <w:t xml:space="preserve"> </w:t>
      </w:r>
      <w:proofErr w:type="spellStart"/>
      <w:r w:rsidRPr="00515A3E">
        <w:rPr>
          <w:i/>
        </w:rPr>
        <w:t>for</w:t>
      </w:r>
      <w:proofErr w:type="spellEnd"/>
      <w:r w:rsidRPr="00515A3E">
        <w:rPr>
          <w:i/>
        </w:rPr>
        <w:t xml:space="preserve"> </w:t>
      </w:r>
      <w:proofErr w:type="spellStart"/>
      <w:r w:rsidRPr="00515A3E">
        <w:rPr>
          <w:i/>
        </w:rPr>
        <w:t>kontrol</w:t>
      </w:r>
      <w:proofErr w:type="spellEnd"/>
      <w:r w:rsidRPr="00515A3E">
        <w:rPr>
          <w:i/>
        </w:rPr>
        <w:t xml:space="preserve"> m.m. </w:t>
      </w:r>
      <w:proofErr w:type="spellStart"/>
      <w:r w:rsidRPr="00515A3E">
        <w:rPr>
          <w:i/>
        </w:rPr>
        <w:t>med</w:t>
      </w:r>
      <w:proofErr w:type="spellEnd"/>
      <w:r w:rsidRPr="00515A3E">
        <w:rPr>
          <w:i/>
        </w:rPr>
        <w:t xml:space="preserve"> </w:t>
      </w:r>
      <w:proofErr w:type="spellStart"/>
      <w:r w:rsidRPr="00515A3E">
        <w:rPr>
          <w:i/>
        </w:rPr>
        <w:t>frø</w:t>
      </w:r>
      <w:proofErr w:type="spellEnd"/>
      <w:r w:rsidRPr="00515A3E">
        <w:rPr>
          <w:i/>
        </w:rPr>
        <w:t xml:space="preserve"> </w:t>
      </w:r>
      <w:proofErr w:type="spellStart"/>
      <w:r w:rsidRPr="00515A3E">
        <w:rPr>
          <w:i/>
        </w:rPr>
        <w:t>og</w:t>
      </w:r>
      <w:proofErr w:type="spellEnd"/>
      <w:r w:rsidRPr="00515A3E">
        <w:rPr>
          <w:i/>
        </w:rPr>
        <w:t xml:space="preserve"> </w:t>
      </w:r>
      <w:proofErr w:type="spellStart"/>
      <w:r w:rsidRPr="00515A3E">
        <w:rPr>
          <w:i/>
        </w:rPr>
        <w:t>sædekorn</w:t>
      </w:r>
      <w:proofErr w:type="spellEnd"/>
      <w:r w:rsidRPr="00515A3E">
        <w:t>). Auch diese Verordnung wurde weder auf Englisch übersetzt noch in der obengenannten Datenbank veröffentlicht.</w:t>
      </w:r>
    </w:p>
    <w:p w:rsidR="00371832" w:rsidRPr="00515A3E" w:rsidRDefault="00371832" w:rsidP="00371832"/>
    <w:p w:rsidR="00371832" w:rsidRPr="00515A3E" w:rsidRDefault="00371832" w:rsidP="00371832">
      <w:r w:rsidRPr="00515A3E">
        <w:t xml:space="preserve">Gemäß Artikel 17 der Verordnung hat Dänemark eine Zulassungsgebühr für die Aufnahme in unseren Sortenkatalog (Sortenliste) und den Sortenschutz aufgenommen eingeführt. Die Zulassungsgebühr beträgt </w:t>
      </w:r>
      <w:r w:rsidRPr="00515A3E">
        <w:rPr>
          <w:u w:val="single"/>
        </w:rPr>
        <w:t>700 DKK</w:t>
      </w:r>
      <w:r w:rsidRPr="00515A3E">
        <w:t xml:space="preserve"> (vergleiche Anlage 1 der Verfügung).</w:t>
      </w:r>
    </w:p>
    <w:p w:rsidR="00371832" w:rsidRPr="00515A3E" w:rsidRDefault="00371832" w:rsidP="00371832"/>
    <w:p w:rsidR="00371832" w:rsidRPr="00515A3E" w:rsidRDefault="00371832" w:rsidP="00371832">
      <w:r w:rsidRPr="00515A3E">
        <w:t xml:space="preserve">Die dänische Version von Verfügung Nr. 941 vom 11. August 2015 </w:t>
      </w:r>
      <w:r w:rsidRPr="00515A3E">
        <w:rPr>
          <w:i/>
        </w:rPr>
        <w:t>Verfügung über Gebühren für Kontrolle usw. bei Saatgut und Getreidesaatgut</w:t>
      </w:r>
      <w:r w:rsidRPr="00515A3E">
        <w:t xml:space="preserve"> befindet sich in der dänischen öffentlichen Rechtsdatenbank:</w:t>
      </w:r>
    </w:p>
    <w:p w:rsidR="00371832" w:rsidRPr="00515A3E" w:rsidRDefault="004D195E" w:rsidP="00371832">
      <w:hyperlink r:id="rId18">
        <w:r w:rsidR="00371832" w:rsidRPr="00515A3E">
          <w:rPr>
            <w:rStyle w:val="Hyperlink"/>
          </w:rPr>
          <w:t>https://www.retsinformation.dk/Forms/R0710.aspx?id=173645</w:t>
        </w:r>
      </w:hyperlink>
    </w:p>
    <w:p w:rsidR="00371832" w:rsidRPr="00515A3E" w:rsidRDefault="00371832" w:rsidP="00371832"/>
    <w:p w:rsidR="00371832" w:rsidRPr="00515A3E" w:rsidRDefault="00371832" w:rsidP="00371832">
      <w:r w:rsidRPr="00515A3E">
        <w:t xml:space="preserve">Seit 1. Juli 2015 ist das erste Sortenprüfungsinstitut in Dänemark die privatisierte </w:t>
      </w:r>
      <w:proofErr w:type="spellStart"/>
      <w:r w:rsidRPr="00515A3E">
        <w:rPr>
          <w:i/>
        </w:rPr>
        <w:t>TystofteFoundation</w:t>
      </w:r>
      <w:proofErr w:type="spellEnd"/>
      <w:r w:rsidRPr="00515A3E">
        <w:t xml:space="preserve">. Informationen betreffend die (jährlichen) Gebühren für Verwaltung, Analysen, DUS und Wertprüfung, Kontrollparzellen usw. können der Webseite der </w:t>
      </w:r>
      <w:proofErr w:type="spellStart"/>
      <w:r w:rsidRPr="00515A3E">
        <w:rPr>
          <w:i/>
        </w:rPr>
        <w:t>TystofteFoundation</w:t>
      </w:r>
      <w:proofErr w:type="spellEnd"/>
      <w:r w:rsidRPr="00515A3E">
        <w:t xml:space="preserve"> entnommen werden:</w:t>
      </w:r>
    </w:p>
    <w:p w:rsidR="00371832" w:rsidRPr="00515A3E" w:rsidRDefault="00371832" w:rsidP="00371832"/>
    <w:p w:rsidR="00371832" w:rsidRPr="00515A3E" w:rsidRDefault="00371832" w:rsidP="00371832">
      <w:r w:rsidRPr="00515A3E">
        <w:t>Preise 2015:</w:t>
      </w:r>
    </w:p>
    <w:p w:rsidR="00371832" w:rsidRPr="00515A3E" w:rsidRDefault="004D195E" w:rsidP="00371832">
      <w:hyperlink r:id="rId19">
        <w:r w:rsidR="00371832" w:rsidRPr="00515A3E">
          <w:rPr>
            <w:rStyle w:val="Hyperlink"/>
          </w:rPr>
          <w:t>http://www.tystofte.dk/wp-content/uploads/2015/06/prisliste-2015-pricelist-2015.pdf</w:t>
        </w:r>
      </w:hyperlink>
    </w:p>
    <w:p w:rsidR="00371832" w:rsidRPr="00515A3E" w:rsidRDefault="00371832" w:rsidP="00371832"/>
    <w:p w:rsidR="00371832" w:rsidRPr="00515A3E" w:rsidRDefault="00371832" w:rsidP="00371832">
      <w:r w:rsidRPr="00515A3E">
        <w:t>Preise 2016:</w:t>
      </w:r>
    </w:p>
    <w:p w:rsidR="00371832" w:rsidRPr="00515A3E" w:rsidRDefault="004D195E" w:rsidP="00371832">
      <w:hyperlink r:id="rId20">
        <w:r w:rsidR="00371832" w:rsidRPr="00515A3E">
          <w:rPr>
            <w:rStyle w:val="Hyperlink"/>
          </w:rPr>
          <w:t>http://www.tystofte.dk/wp-content/uploads/2015/08/prisliste-2016-pricelist-2016.pdf</w:t>
        </w:r>
      </w:hyperlink>
    </w:p>
    <w:p w:rsidR="00371832" w:rsidRPr="00515A3E" w:rsidRDefault="00371832" w:rsidP="00371832"/>
    <w:p w:rsidR="00371832" w:rsidRPr="00515A3E" w:rsidRDefault="00371832" w:rsidP="00371832"/>
    <w:p w:rsidR="00371832" w:rsidRPr="00515A3E" w:rsidRDefault="00371832" w:rsidP="00371832">
      <w:pPr>
        <w:rPr>
          <w:u w:val="single"/>
        </w:rPr>
      </w:pPr>
      <w:r w:rsidRPr="00515A3E">
        <w:t>2.</w:t>
      </w:r>
      <w:r w:rsidRPr="00515A3E">
        <w:tab/>
      </w:r>
      <w:r w:rsidRPr="00515A3E">
        <w:rPr>
          <w:u w:val="single"/>
        </w:rPr>
        <w:t>Lage auf dem Gebiet der Verwaltung</w:t>
      </w:r>
    </w:p>
    <w:p w:rsidR="00371832" w:rsidRPr="00515A3E" w:rsidRDefault="00371832" w:rsidP="00371832"/>
    <w:p w:rsidR="00371832" w:rsidRPr="00515A3E" w:rsidRDefault="00371832" w:rsidP="00371832">
      <w:pPr>
        <w:pStyle w:val="ListParagraph"/>
        <w:numPr>
          <w:ilvl w:val="0"/>
          <w:numId w:val="40"/>
        </w:numPr>
        <w:rPr>
          <w:lang w:val="de-DE"/>
        </w:rPr>
      </w:pPr>
      <w:r w:rsidRPr="00515A3E">
        <w:rPr>
          <w:lang w:val="de-DE"/>
        </w:rPr>
        <w:t>Änderungen in der Verwaltung:</w:t>
      </w:r>
    </w:p>
    <w:p w:rsidR="00371832" w:rsidRPr="00515A3E" w:rsidRDefault="00371832" w:rsidP="00371832"/>
    <w:p w:rsidR="00371832" w:rsidRPr="00515A3E" w:rsidRDefault="00371832" w:rsidP="00371832">
      <w:r w:rsidRPr="00515A3E">
        <w:t xml:space="preserve">Am 17. August 2015 übersendeten wir eine an </w:t>
      </w:r>
      <w:r w:rsidRPr="00515A3E">
        <w:rPr>
          <w:i/>
        </w:rPr>
        <w:t>Herrn Peter Button</w:t>
      </w:r>
      <w:r w:rsidRPr="00515A3E">
        <w:t xml:space="preserve"> gerichtete E-Mail mit Briefanhang an die UPOV (</w:t>
      </w:r>
      <w:hyperlink r:id="rId21">
        <w:r w:rsidRPr="00515A3E">
          <w:rPr>
            <w:rStyle w:val="Hyperlink"/>
          </w:rPr>
          <w:t>upov.mail@upov.int</w:t>
        </w:r>
      </w:hyperlink>
      <w:r w:rsidRPr="00515A3E">
        <w:t xml:space="preserve">) betreffend die </w:t>
      </w:r>
      <w:proofErr w:type="spellStart"/>
      <w:r w:rsidRPr="00515A3E">
        <w:t>Notifizierung</w:t>
      </w:r>
      <w:proofErr w:type="spellEnd"/>
      <w:r w:rsidRPr="00515A3E">
        <w:t xml:space="preserve"> der neuen Vertretung Dänemarks in den </w:t>
      </w:r>
      <w:r w:rsidRPr="00515A3E">
        <w:rPr>
          <w:i/>
        </w:rPr>
        <w:t>UPOV</w:t>
      </w:r>
      <w:r w:rsidRPr="00515A3E">
        <w:rPr>
          <w:i/>
        </w:rPr>
        <w:noBreakHyphen/>
        <w:t>Organen</w:t>
      </w:r>
      <w:r w:rsidRPr="00515A3E">
        <w:t>. Wir bitten den Rat die entsprechenden Dokumente zur Kenntnis zu nehmen, die wir ebenfalls diesem Bericht beifügen</w:t>
      </w:r>
      <w:r w:rsidRPr="00515A3E">
        <w:rPr>
          <w:rStyle w:val="FootnoteReference"/>
        </w:rPr>
        <w:footnoteReference w:id="2"/>
      </w:r>
      <w:r w:rsidRPr="00515A3E">
        <w:t>:</w:t>
      </w:r>
    </w:p>
    <w:p w:rsidR="00371832" w:rsidRPr="00515A3E" w:rsidRDefault="00371832" w:rsidP="00371832"/>
    <w:p w:rsidR="00371832" w:rsidRPr="00515A3E" w:rsidRDefault="00371832" w:rsidP="00371832">
      <w:pPr>
        <w:ind w:left="567"/>
      </w:pPr>
      <w:r w:rsidRPr="00515A3E">
        <w:t>- Schreiben an die UPOV Ernennung der Vertretung DK</w:t>
      </w:r>
    </w:p>
    <w:p w:rsidR="00371832" w:rsidRPr="00515A3E" w:rsidRDefault="00371832" w:rsidP="00371832">
      <w:pPr>
        <w:ind w:left="567"/>
      </w:pPr>
      <w:r w:rsidRPr="00515A3E">
        <w:t>- Organigramm</w:t>
      </w:r>
    </w:p>
    <w:p w:rsidR="00371832" w:rsidRPr="00515A3E" w:rsidRDefault="00371832" w:rsidP="00371832"/>
    <w:p w:rsidR="00371832" w:rsidRPr="00515A3E" w:rsidRDefault="00371832" w:rsidP="00371832">
      <w:r w:rsidRPr="00515A3E">
        <w:t>-</w:t>
      </w:r>
      <w:r w:rsidRPr="00515A3E">
        <w:tab/>
        <w:t>Änderungen in den Verfahren und Systemen:</w:t>
      </w:r>
    </w:p>
    <w:p w:rsidR="00371832" w:rsidRPr="00515A3E" w:rsidRDefault="00371832" w:rsidP="00371832"/>
    <w:p w:rsidR="00371832" w:rsidRPr="00515A3E" w:rsidRDefault="00371832" w:rsidP="00371832">
      <w:r w:rsidRPr="00515A3E">
        <w:t>Vergleiche die obigen Anmerkungen betreffend die Änderungen in der Verwaltung.</w:t>
      </w:r>
    </w:p>
    <w:p w:rsidR="00371832" w:rsidRPr="00515A3E" w:rsidRDefault="00371832" w:rsidP="00371832"/>
    <w:p w:rsidR="00371832" w:rsidRPr="00515A3E" w:rsidRDefault="00371832" w:rsidP="00371832"/>
    <w:p w:rsidR="00371832" w:rsidRPr="00515A3E" w:rsidRDefault="00371832" w:rsidP="00371832">
      <w:pPr>
        <w:rPr>
          <w:u w:val="single"/>
        </w:rPr>
      </w:pPr>
      <w:r w:rsidRPr="00515A3E">
        <w:t>3.</w:t>
      </w:r>
      <w:r w:rsidRPr="00515A3E">
        <w:tab/>
      </w:r>
      <w:r w:rsidRPr="00515A3E">
        <w:rPr>
          <w:u w:val="single"/>
        </w:rPr>
        <w:t>Lage auf dem Gebiet der Technik</w:t>
      </w:r>
    </w:p>
    <w:p w:rsidR="00371832" w:rsidRPr="00515A3E" w:rsidRDefault="00371832" w:rsidP="00371832"/>
    <w:p w:rsidR="00371832" w:rsidRPr="00515A3E" w:rsidRDefault="00371832" w:rsidP="00371832">
      <w:r w:rsidRPr="00515A3E">
        <w:t xml:space="preserve">Wie erwähnt, arbeitet die </w:t>
      </w:r>
      <w:proofErr w:type="spellStart"/>
      <w:r w:rsidRPr="00515A3E">
        <w:rPr>
          <w:i/>
        </w:rPr>
        <w:t>Danish</w:t>
      </w:r>
      <w:proofErr w:type="spellEnd"/>
      <w:r w:rsidRPr="00515A3E">
        <w:rPr>
          <w:i/>
        </w:rPr>
        <w:t xml:space="preserve"> </w:t>
      </w:r>
      <w:proofErr w:type="spellStart"/>
      <w:r w:rsidRPr="00515A3E">
        <w:rPr>
          <w:i/>
        </w:rPr>
        <w:t>AgriFish</w:t>
      </w:r>
      <w:proofErr w:type="spellEnd"/>
      <w:r w:rsidRPr="00515A3E">
        <w:rPr>
          <w:i/>
        </w:rPr>
        <w:t xml:space="preserve"> Agency</w:t>
      </w:r>
      <w:r w:rsidRPr="00515A3E">
        <w:t xml:space="preserve"> auf dem technischen Gebiet mit der </w:t>
      </w:r>
      <w:proofErr w:type="spellStart"/>
      <w:r w:rsidRPr="00515A3E">
        <w:rPr>
          <w:i/>
        </w:rPr>
        <w:t>TystofteFoundation</w:t>
      </w:r>
      <w:proofErr w:type="spellEnd"/>
      <w:r w:rsidRPr="00515A3E">
        <w:t xml:space="preserve"> zusammen. </w:t>
      </w:r>
      <w:r w:rsidRPr="00515A3E">
        <w:rPr>
          <w:i/>
        </w:rPr>
        <w:t xml:space="preserve">Herr Gerhard </w:t>
      </w:r>
      <w:proofErr w:type="spellStart"/>
      <w:r w:rsidRPr="00515A3E">
        <w:rPr>
          <w:i/>
        </w:rPr>
        <w:t>Deneken</w:t>
      </w:r>
      <w:proofErr w:type="spellEnd"/>
      <w:r w:rsidRPr="00515A3E">
        <w:t xml:space="preserve">, Geschäftsführer der </w:t>
      </w:r>
      <w:proofErr w:type="spellStart"/>
      <w:r w:rsidRPr="00515A3E">
        <w:rPr>
          <w:i/>
        </w:rPr>
        <w:t>TystofteFoundation</w:t>
      </w:r>
      <w:proofErr w:type="spellEnd"/>
      <w:r w:rsidRPr="00515A3E">
        <w:t>, kommentiert die Lage auf dem Gebiet der Technik:</w:t>
      </w:r>
    </w:p>
    <w:p w:rsidR="00371832" w:rsidRPr="00515A3E" w:rsidRDefault="00371832" w:rsidP="00371832"/>
    <w:p w:rsidR="00371832" w:rsidRPr="00515A3E" w:rsidRDefault="00371832" w:rsidP="00371832">
      <w:r w:rsidRPr="00515A3E">
        <w:t xml:space="preserve">Wir haben in Dänemark eine industriegetriebene Stiftung gegründet, die seit dem 1. Juli 2015 die Verantwortlichkeiten für die getesteten Sorten übernommen hat. Anträge werden nun direkt bei der von </w:t>
      </w:r>
      <w:r w:rsidRPr="00515A3E">
        <w:rPr>
          <w:i/>
        </w:rPr>
        <w:t xml:space="preserve">Gerhard </w:t>
      </w:r>
      <w:proofErr w:type="spellStart"/>
      <w:r w:rsidRPr="00515A3E">
        <w:rPr>
          <w:i/>
        </w:rPr>
        <w:t>Deneken</w:t>
      </w:r>
      <w:proofErr w:type="spellEnd"/>
      <w:r w:rsidRPr="00515A3E">
        <w:t xml:space="preserve"> geleiteten </w:t>
      </w:r>
      <w:proofErr w:type="spellStart"/>
      <w:r w:rsidRPr="00515A3E">
        <w:rPr>
          <w:i/>
        </w:rPr>
        <w:t>TystofteFoundation</w:t>
      </w:r>
      <w:proofErr w:type="spellEnd"/>
      <w:r w:rsidRPr="00515A3E">
        <w:t xml:space="preserve"> eingereicht, die unter der Aufsicht der </w:t>
      </w:r>
      <w:proofErr w:type="spellStart"/>
      <w:r w:rsidRPr="00515A3E">
        <w:rPr>
          <w:i/>
        </w:rPr>
        <w:t>Danish</w:t>
      </w:r>
      <w:proofErr w:type="spellEnd"/>
      <w:r w:rsidRPr="00515A3E">
        <w:rPr>
          <w:i/>
        </w:rPr>
        <w:t xml:space="preserve"> </w:t>
      </w:r>
      <w:proofErr w:type="spellStart"/>
      <w:r w:rsidRPr="00515A3E">
        <w:rPr>
          <w:i/>
        </w:rPr>
        <w:t>AgriFish</w:t>
      </w:r>
      <w:proofErr w:type="spellEnd"/>
      <w:r w:rsidRPr="00515A3E">
        <w:rPr>
          <w:i/>
        </w:rPr>
        <w:t xml:space="preserve"> Agency</w:t>
      </w:r>
      <w:r w:rsidRPr="00515A3E">
        <w:t xml:space="preserve"> steht. Die </w:t>
      </w:r>
      <w:proofErr w:type="spellStart"/>
      <w:r w:rsidRPr="00515A3E">
        <w:rPr>
          <w:i/>
        </w:rPr>
        <w:t>TystofteFoundation</w:t>
      </w:r>
      <w:proofErr w:type="spellEnd"/>
      <w:r w:rsidRPr="00515A3E">
        <w:t xml:space="preserve"> übernimmt alle technischen Aufgaben und die Sortenverwaltung und bereitet damit die Anerkennungen neuer Sorten durch die </w:t>
      </w:r>
      <w:proofErr w:type="spellStart"/>
      <w:r w:rsidRPr="00515A3E">
        <w:rPr>
          <w:i/>
        </w:rPr>
        <w:t>AgriFish</w:t>
      </w:r>
      <w:proofErr w:type="spellEnd"/>
      <w:r w:rsidRPr="00515A3E">
        <w:rPr>
          <w:i/>
        </w:rPr>
        <w:t xml:space="preserve"> Agency</w:t>
      </w:r>
      <w:r w:rsidRPr="00515A3E">
        <w:t xml:space="preserve"> vor.“</w:t>
      </w:r>
    </w:p>
    <w:p w:rsidR="00371832" w:rsidRPr="00515A3E" w:rsidRDefault="00371832" w:rsidP="00371832"/>
    <w:p w:rsidR="00371832" w:rsidRPr="00515A3E" w:rsidRDefault="00371832" w:rsidP="00371832">
      <w:r w:rsidRPr="00515A3E">
        <w:t xml:space="preserve">Der untenstehende Organisationsplan zeigt das Verhältnis zwischen der </w:t>
      </w:r>
      <w:proofErr w:type="spellStart"/>
      <w:r w:rsidRPr="00515A3E">
        <w:rPr>
          <w:i/>
        </w:rPr>
        <w:t>TystofteFoundation</w:t>
      </w:r>
      <w:proofErr w:type="spellEnd"/>
      <w:r w:rsidRPr="00515A3E">
        <w:t xml:space="preserve"> und der </w:t>
      </w:r>
      <w:proofErr w:type="spellStart"/>
      <w:r w:rsidRPr="00515A3E">
        <w:rPr>
          <w:i/>
        </w:rPr>
        <w:t>Danish</w:t>
      </w:r>
      <w:proofErr w:type="spellEnd"/>
      <w:r w:rsidRPr="00515A3E">
        <w:rPr>
          <w:i/>
        </w:rPr>
        <w:t xml:space="preserve"> </w:t>
      </w:r>
      <w:proofErr w:type="spellStart"/>
      <w:r w:rsidRPr="00515A3E">
        <w:rPr>
          <w:i/>
        </w:rPr>
        <w:t>AgriFish</w:t>
      </w:r>
      <w:proofErr w:type="spellEnd"/>
      <w:r w:rsidRPr="00515A3E">
        <w:rPr>
          <w:i/>
        </w:rPr>
        <w:t xml:space="preserve"> Agency</w:t>
      </w:r>
      <w:r w:rsidRPr="00515A3E">
        <w:t>.</w:t>
      </w:r>
    </w:p>
    <w:p w:rsidR="00371832" w:rsidRPr="00515A3E" w:rsidRDefault="00371832" w:rsidP="00371832"/>
    <w:p w:rsidR="00371832" w:rsidRPr="00515A3E" w:rsidRDefault="00371832" w:rsidP="00371832">
      <w:r w:rsidRPr="00515A3E">
        <w:rPr>
          <w:noProof/>
          <w:lang w:val="en-US"/>
        </w:rPr>
        <w:drawing>
          <wp:inline distT="0" distB="0" distL="0" distR="0" wp14:anchorId="408C882F" wp14:editId="6A513C21">
            <wp:extent cx="6120765" cy="45904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_Organization - 17.08.1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p>
    <w:p w:rsidR="00371832" w:rsidRPr="00515A3E" w:rsidRDefault="00371832" w:rsidP="00371832"/>
    <w:p w:rsidR="00371832" w:rsidRPr="00515A3E" w:rsidRDefault="00371832" w:rsidP="00371832">
      <w:pPr>
        <w:keepNext/>
        <w:rPr>
          <w:u w:val="single"/>
        </w:rPr>
      </w:pPr>
      <w:r w:rsidRPr="00515A3E">
        <w:t>4.</w:t>
      </w:r>
      <w:r w:rsidRPr="00515A3E">
        <w:tab/>
      </w:r>
      <w:r w:rsidRPr="00515A3E">
        <w:rPr>
          <w:u w:val="single"/>
        </w:rPr>
        <w:t>Tätigkeiten zur Förderung des Sortenschutzes</w:t>
      </w:r>
    </w:p>
    <w:p w:rsidR="00371832" w:rsidRPr="00515A3E" w:rsidRDefault="00371832" w:rsidP="00371832">
      <w:pPr>
        <w:keepNext/>
      </w:pPr>
    </w:p>
    <w:p w:rsidR="00371832" w:rsidRPr="00515A3E" w:rsidRDefault="00371832" w:rsidP="00371832">
      <w:r w:rsidRPr="00515A3E">
        <w:t xml:space="preserve">Derzeit hat die </w:t>
      </w:r>
      <w:proofErr w:type="spellStart"/>
      <w:r w:rsidRPr="00515A3E">
        <w:rPr>
          <w:i/>
        </w:rPr>
        <w:t>Danish</w:t>
      </w:r>
      <w:proofErr w:type="spellEnd"/>
      <w:r w:rsidRPr="00515A3E">
        <w:rPr>
          <w:i/>
        </w:rPr>
        <w:t xml:space="preserve"> </w:t>
      </w:r>
      <w:proofErr w:type="spellStart"/>
      <w:r w:rsidRPr="00515A3E">
        <w:rPr>
          <w:i/>
        </w:rPr>
        <w:t>AgriFish</w:t>
      </w:r>
      <w:proofErr w:type="spellEnd"/>
      <w:r w:rsidRPr="00515A3E">
        <w:rPr>
          <w:i/>
        </w:rPr>
        <w:t xml:space="preserve"> Agency</w:t>
      </w:r>
      <w:r w:rsidRPr="00515A3E">
        <w:t xml:space="preserve"> noch keine direkten Tätigkeiten zur Förderung des Sortenschutzes in Dänemark geplant oder durchgeführt, obwohl wir glauben, </w:t>
      </w:r>
      <w:proofErr w:type="spellStart"/>
      <w:r w:rsidRPr="00515A3E">
        <w:t>daß</w:t>
      </w:r>
      <w:proofErr w:type="spellEnd"/>
      <w:r w:rsidRPr="00515A3E">
        <w:t xml:space="preserve"> die neue Organisation und die Kooperation mit der </w:t>
      </w:r>
      <w:proofErr w:type="spellStart"/>
      <w:r w:rsidRPr="00515A3E">
        <w:rPr>
          <w:i/>
        </w:rPr>
        <w:t>TystofteFoundation</w:t>
      </w:r>
      <w:proofErr w:type="spellEnd"/>
      <w:r w:rsidRPr="00515A3E">
        <w:t xml:space="preserve"> den Züchtern allgemein zugutekommen wird. Weil diese Änderungen hinsichtlich der Verwaltung des Sortenschutzes und der Sortenprüfung in Dänemark erst kürzlich eingeführt wurden, arbeiten wir aktuell daran, Anpassungen vorzusehen. Deshalb ist es derzeit verfrüht, künftige Tätigkeiten zur Förderung des Sortenschutzes anzusprechen.</w:t>
      </w:r>
    </w:p>
    <w:p w:rsidR="00371832" w:rsidRPr="00515A3E" w:rsidRDefault="00371832" w:rsidP="00371832"/>
    <w:p w:rsidR="00C517EE" w:rsidRPr="000155A2" w:rsidRDefault="00C517EE" w:rsidP="00C517EE"/>
    <w:p w:rsidR="00C517EE" w:rsidRPr="000155A2" w:rsidRDefault="00C517EE" w:rsidP="00C517EE"/>
    <w:p w:rsidR="00C517EE" w:rsidRPr="0075031D" w:rsidRDefault="00DB5AC1" w:rsidP="00C517EE">
      <w:pPr>
        <w:jc w:val="right"/>
      </w:pPr>
      <w:r>
        <w:t>[Anlage</w:t>
      </w:r>
      <w:r w:rsidR="00C517EE" w:rsidRPr="0075031D">
        <w:t xml:space="preserve"> </w:t>
      </w:r>
      <w:r w:rsidR="00C517EE">
        <w:t>V</w:t>
      </w:r>
      <w:r w:rsidR="00C517EE" w:rsidRPr="0075031D">
        <w:t xml:space="preserve">I </w:t>
      </w:r>
      <w:r>
        <w:t>folgt]</w:t>
      </w:r>
    </w:p>
    <w:p w:rsidR="00C517EE" w:rsidRPr="0075031D" w:rsidRDefault="00C517EE" w:rsidP="00C517EE">
      <w:pPr>
        <w:jc w:val="left"/>
      </w:pPr>
    </w:p>
    <w:p w:rsidR="00C517EE" w:rsidRDefault="00C517EE" w:rsidP="00C517EE">
      <w:pPr>
        <w:jc w:val="left"/>
        <w:sectPr w:rsidR="00C517EE" w:rsidSect="00371832">
          <w:headerReference w:type="default" r:id="rId23"/>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w:t>
      </w:r>
      <w:r w:rsidR="00C517EE">
        <w:t>V</w:t>
      </w:r>
      <w:r w:rsidR="00C517EE" w:rsidRPr="0075031D">
        <w:t>I</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t>LETTLAND</w:t>
      </w:r>
    </w:p>
    <w:p w:rsidR="00C517EE" w:rsidRDefault="00C517EE" w:rsidP="00C517EE">
      <w:pPr>
        <w:jc w:val="left"/>
      </w:pPr>
    </w:p>
    <w:p w:rsidR="00C517EE" w:rsidRDefault="00C517EE" w:rsidP="00C517EE">
      <w:pPr>
        <w:jc w:val="left"/>
      </w:pPr>
    </w:p>
    <w:p w:rsidR="00371832" w:rsidRPr="00515A3E" w:rsidRDefault="00371832" w:rsidP="00371832">
      <w:pPr>
        <w:rPr>
          <w:rFonts w:cs="Arial"/>
        </w:rPr>
      </w:pPr>
      <w:r>
        <w:t>I.</w:t>
      </w:r>
      <w:r>
        <w:tab/>
      </w:r>
      <w:r w:rsidRPr="00515A3E">
        <w:t>SORTENSCHUTZ</w:t>
      </w:r>
    </w:p>
    <w:p w:rsidR="00371832" w:rsidRPr="00515A3E" w:rsidRDefault="00371832" w:rsidP="00371832">
      <w:pPr>
        <w:rPr>
          <w:rFonts w:cs="Arial"/>
        </w:rPr>
      </w:pPr>
    </w:p>
    <w:p w:rsidR="00371832" w:rsidRPr="00515A3E" w:rsidRDefault="00371832" w:rsidP="00371832">
      <w:pPr>
        <w:tabs>
          <w:tab w:val="left" w:pos="426"/>
          <w:tab w:val="left" w:pos="1276"/>
        </w:tabs>
      </w:pPr>
      <w:r w:rsidRPr="00515A3E">
        <w:t xml:space="preserve">1. </w:t>
      </w:r>
      <w:r w:rsidRPr="00515A3E">
        <w:tab/>
      </w:r>
      <w:r w:rsidRPr="00515A3E">
        <w:rPr>
          <w:u w:val="single"/>
        </w:rPr>
        <w:t>Lage auf dem Gebiet der Gesetzgebung</w:t>
      </w:r>
    </w:p>
    <w:p w:rsidR="00371832" w:rsidRPr="00515A3E" w:rsidRDefault="00371832" w:rsidP="00371832"/>
    <w:p w:rsidR="00371832" w:rsidRPr="00515A3E" w:rsidRDefault="00371832" w:rsidP="00371832">
      <w:r w:rsidRPr="00515A3E">
        <w:tab/>
        <w:t>1.1</w:t>
      </w:r>
      <w:r w:rsidRPr="00515A3E">
        <w:tab/>
        <w:t>Änderungen des Gesetzes und der Ausführungsvorschriften</w:t>
      </w:r>
    </w:p>
    <w:p w:rsidR="00371832" w:rsidRPr="00515A3E" w:rsidRDefault="00371832" w:rsidP="00371832">
      <w:pPr>
        <w:ind w:left="851"/>
      </w:pPr>
      <w:r w:rsidRPr="00515A3E">
        <w:t>-</w:t>
      </w:r>
      <w:r w:rsidRPr="00515A3E">
        <w:tab/>
        <w:t>Anpassung an die Akte von 1991 des Übereinkommens: Keine Änderungen.</w:t>
      </w:r>
    </w:p>
    <w:p w:rsidR="00371832" w:rsidRPr="00515A3E" w:rsidRDefault="00371832" w:rsidP="00371832">
      <w:pPr>
        <w:ind w:left="851"/>
      </w:pPr>
      <w:r w:rsidRPr="00515A3E">
        <w:t>-</w:t>
      </w:r>
      <w:r w:rsidRPr="00515A3E">
        <w:tab/>
        <w:t xml:space="preserve">andere Änderungen, auch in </w:t>
      </w:r>
      <w:proofErr w:type="spellStart"/>
      <w:r w:rsidRPr="00515A3E">
        <w:t>bezug</w:t>
      </w:r>
      <w:proofErr w:type="spellEnd"/>
      <w:r w:rsidRPr="00515A3E">
        <w:t xml:space="preserve"> auf die Gebühren: Keine Anmerkungen.</w:t>
      </w:r>
    </w:p>
    <w:p w:rsidR="00371832" w:rsidRPr="00515A3E" w:rsidRDefault="00371832" w:rsidP="00371832"/>
    <w:p w:rsidR="00371832" w:rsidRPr="00515A3E" w:rsidRDefault="00371832" w:rsidP="00371832">
      <w:r w:rsidRPr="00515A3E">
        <w:tab/>
        <w:t>1.2</w:t>
      </w:r>
      <w:r w:rsidRPr="00515A3E">
        <w:tab/>
        <w:t>Erstreckung des Schutzes auf weitere Gattungen und Arten (geschehen oder geplant)</w:t>
      </w:r>
    </w:p>
    <w:p w:rsidR="00371832" w:rsidRPr="00515A3E" w:rsidRDefault="00371832" w:rsidP="00371832">
      <w:r w:rsidRPr="00515A3E">
        <w:tab/>
      </w:r>
      <w:r w:rsidRPr="00515A3E">
        <w:tab/>
        <w:t>Keine Anmerkungen.</w:t>
      </w:r>
    </w:p>
    <w:p w:rsidR="00371832" w:rsidRPr="00515A3E" w:rsidRDefault="00371832" w:rsidP="00371832"/>
    <w:p w:rsidR="00371832" w:rsidRPr="00515A3E" w:rsidRDefault="00371832" w:rsidP="00371832">
      <w:r w:rsidRPr="00515A3E">
        <w:tab/>
        <w:t>1.3</w:t>
      </w:r>
      <w:r w:rsidRPr="00515A3E">
        <w:tab/>
        <w:t>Rechtsprechung: Keine Anmerkungen.</w:t>
      </w:r>
    </w:p>
    <w:p w:rsidR="00371832" w:rsidRPr="00515A3E" w:rsidRDefault="00371832" w:rsidP="00371832"/>
    <w:p w:rsidR="00371832" w:rsidRPr="00515A3E" w:rsidRDefault="00371832" w:rsidP="00371832">
      <w:r w:rsidRPr="00515A3E">
        <w:t>2.</w:t>
      </w:r>
      <w:r w:rsidRPr="00515A3E">
        <w:tab/>
      </w:r>
      <w:r w:rsidRPr="00515A3E">
        <w:rPr>
          <w:u w:val="single"/>
        </w:rPr>
        <w:t>Zusammenarbeit bei der Prüfung</w:t>
      </w:r>
    </w:p>
    <w:p w:rsidR="00371832" w:rsidRPr="00515A3E" w:rsidRDefault="00371832" w:rsidP="00371832">
      <w:pPr>
        <w:tabs>
          <w:tab w:val="left" w:pos="426"/>
          <w:tab w:val="left" w:pos="851"/>
        </w:tabs>
      </w:pPr>
    </w:p>
    <w:p w:rsidR="00371832" w:rsidRPr="00515A3E" w:rsidRDefault="00371832" w:rsidP="00371832">
      <w:pPr>
        <w:tabs>
          <w:tab w:val="left" w:pos="426"/>
          <w:tab w:val="left" w:pos="851"/>
        </w:tabs>
        <w:rPr>
          <w:b/>
        </w:rPr>
      </w:pPr>
      <w:r w:rsidRPr="00515A3E">
        <w:tab/>
        <w:t>-</w:t>
      </w:r>
      <w:r w:rsidRPr="00515A3E">
        <w:tab/>
        <w:t>Schließung neuer Vereinbarungen (geschehen, in Vorbereitung oder geplant): Keine Anmerkungen.</w:t>
      </w:r>
    </w:p>
    <w:p w:rsidR="00371832" w:rsidRPr="00515A3E" w:rsidRDefault="00371832" w:rsidP="00371832">
      <w:pPr>
        <w:tabs>
          <w:tab w:val="left" w:pos="426"/>
          <w:tab w:val="left" w:pos="851"/>
        </w:tabs>
      </w:pPr>
    </w:p>
    <w:p w:rsidR="00371832" w:rsidRPr="00515A3E" w:rsidRDefault="00371832" w:rsidP="00371832">
      <w:pPr>
        <w:tabs>
          <w:tab w:val="left" w:pos="426"/>
          <w:tab w:val="left" w:pos="851"/>
        </w:tabs>
      </w:pPr>
      <w:r w:rsidRPr="00515A3E">
        <w:tab/>
        <w:t>-</w:t>
      </w:r>
      <w:r w:rsidRPr="00515A3E">
        <w:tab/>
        <w:t>Änderung bestehender Vereinbarungen (geschehen, in Vorbereitung oder geplant)</w:t>
      </w:r>
    </w:p>
    <w:p w:rsidR="00371832" w:rsidRPr="00515A3E" w:rsidRDefault="00371832" w:rsidP="00371832">
      <w:pPr>
        <w:tabs>
          <w:tab w:val="left" w:pos="851"/>
        </w:tabs>
        <w:ind w:left="851"/>
      </w:pPr>
      <w:r w:rsidRPr="00515A3E">
        <w:t>Das Sortenamt Lettlands bietet keine DUS-Prüfungen mehr im Auftrag anderer Behörden an.</w:t>
      </w:r>
    </w:p>
    <w:p w:rsidR="00371832" w:rsidRPr="00515A3E" w:rsidRDefault="00371832" w:rsidP="00371832"/>
    <w:p w:rsidR="00371832" w:rsidRPr="00515A3E" w:rsidRDefault="00371832" w:rsidP="00371832">
      <w:pPr>
        <w:rPr>
          <w:u w:val="single"/>
        </w:rPr>
      </w:pPr>
      <w:r w:rsidRPr="00515A3E">
        <w:t>3.</w:t>
      </w:r>
      <w:r w:rsidRPr="00515A3E">
        <w:tab/>
      </w:r>
      <w:r w:rsidRPr="00515A3E">
        <w:rPr>
          <w:u w:val="single"/>
        </w:rPr>
        <w:t>Lage auf dem Gebiet der Verwaltung</w:t>
      </w:r>
    </w:p>
    <w:p w:rsidR="00371832" w:rsidRPr="00515A3E" w:rsidRDefault="00371832" w:rsidP="00371832"/>
    <w:p w:rsidR="00371832" w:rsidRPr="00515A3E" w:rsidRDefault="00371832" w:rsidP="00371832">
      <w:pPr>
        <w:ind w:left="851" w:hanging="425"/>
      </w:pPr>
      <w:r w:rsidRPr="00515A3E">
        <w:t>-</w:t>
      </w:r>
      <w:r w:rsidRPr="00515A3E">
        <w:tab/>
        <w:t>Änderungen in der Verwaltung: Keine Anmerkungen.</w:t>
      </w:r>
    </w:p>
    <w:p w:rsidR="00371832" w:rsidRPr="00515A3E" w:rsidRDefault="00371832" w:rsidP="00371832">
      <w:pPr>
        <w:ind w:left="851" w:hanging="425"/>
      </w:pPr>
      <w:r w:rsidRPr="00515A3E">
        <w:t>-</w:t>
      </w:r>
      <w:r w:rsidRPr="00515A3E">
        <w:tab/>
        <w:t>Änderungen in den Verfahren und Systemen: Keine Anmerkungen.</w:t>
      </w:r>
    </w:p>
    <w:p w:rsidR="00371832" w:rsidRPr="00515A3E" w:rsidRDefault="00371832" w:rsidP="00371832"/>
    <w:p w:rsidR="00371832" w:rsidRPr="00515A3E" w:rsidRDefault="00371832" w:rsidP="00371832">
      <w:pPr>
        <w:spacing w:line="360" w:lineRule="auto"/>
        <w:rPr>
          <w:u w:val="single"/>
        </w:rPr>
      </w:pPr>
      <w:r w:rsidRPr="00515A3E">
        <w:t>4.</w:t>
      </w:r>
      <w:r w:rsidRPr="00515A3E">
        <w:tab/>
      </w:r>
      <w:r w:rsidRPr="00515A3E">
        <w:rPr>
          <w:u w:val="single"/>
        </w:rPr>
        <w:t>Lage auf dem Gebiet der Technik</w:t>
      </w:r>
    </w:p>
    <w:p w:rsidR="00371832" w:rsidRPr="00515A3E" w:rsidRDefault="00371832" w:rsidP="00371832">
      <w:pPr>
        <w:spacing w:line="360" w:lineRule="auto"/>
      </w:pPr>
      <w:r w:rsidRPr="00515A3E">
        <w:t>Eine DUS-Prüfung erfolgte für:</w:t>
      </w:r>
    </w:p>
    <w:p w:rsidR="00371832" w:rsidRPr="00515A3E" w:rsidRDefault="00371832" w:rsidP="00371832">
      <w:pPr>
        <w:pStyle w:val="ListParagraph"/>
        <w:numPr>
          <w:ilvl w:val="0"/>
          <w:numId w:val="14"/>
        </w:numPr>
        <w:spacing w:line="360" w:lineRule="auto"/>
        <w:contextualSpacing/>
        <w:jc w:val="both"/>
        <w:rPr>
          <w:szCs w:val="20"/>
          <w:lang w:val="de-DE"/>
        </w:rPr>
      </w:pPr>
      <w:proofErr w:type="spellStart"/>
      <w:r w:rsidRPr="00515A3E">
        <w:rPr>
          <w:i/>
          <w:lang w:val="de-DE"/>
        </w:rPr>
        <w:t>Vitis</w:t>
      </w:r>
      <w:proofErr w:type="spellEnd"/>
      <w:r w:rsidRPr="00515A3E">
        <w:rPr>
          <w:i/>
          <w:lang w:val="de-DE"/>
        </w:rPr>
        <w:t xml:space="preserve"> </w:t>
      </w:r>
      <w:proofErr w:type="spellStart"/>
      <w:r w:rsidRPr="00515A3E">
        <w:rPr>
          <w:i/>
          <w:lang w:val="de-DE"/>
        </w:rPr>
        <w:t>vinifera</w:t>
      </w:r>
      <w:proofErr w:type="spellEnd"/>
      <w:r w:rsidRPr="00515A3E">
        <w:rPr>
          <w:lang w:val="de-DE"/>
        </w:rPr>
        <w:t xml:space="preserve"> L. – 1 Sorte</w:t>
      </w:r>
    </w:p>
    <w:p w:rsidR="00371832" w:rsidRPr="00515A3E" w:rsidRDefault="00371832" w:rsidP="00371832"/>
    <w:p w:rsidR="00371832" w:rsidRPr="00515A3E" w:rsidRDefault="00371832" w:rsidP="00371832">
      <w:pPr>
        <w:rPr>
          <w:u w:val="single"/>
        </w:rPr>
      </w:pPr>
      <w:r w:rsidRPr="00515A3E">
        <w:t>5.</w:t>
      </w:r>
      <w:r w:rsidRPr="00515A3E">
        <w:tab/>
      </w:r>
      <w:r w:rsidRPr="00515A3E">
        <w:rPr>
          <w:u w:val="single"/>
        </w:rPr>
        <w:t>Tätigkeiten zur Förderung des Sortenschutzes</w:t>
      </w:r>
    </w:p>
    <w:p w:rsidR="00371832" w:rsidRPr="00515A3E" w:rsidRDefault="00371832" w:rsidP="00371832"/>
    <w:tbl>
      <w:tblPr>
        <w:tblStyle w:val="TableGrid"/>
        <w:tblW w:w="9983" w:type="dxa"/>
        <w:tblLayout w:type="fixed"/>
        <w:tblLook w:val="01E0" w:firstRow="1" w:lastRow="1" w:firstColumn="1" w:lastColumn="1" w:noHBand="0" w:noVBand="0"/>
      </w:tblPr>
      <w:tblGrid>
        <w:gridCol w:w="675"/>
        <w:gridCol w:w="1105"/>
        <w:gridCol w:w="1022"/>
        <w:gridCol w:w="1560"/>
        <w:gridCol w:w="2550"/>
        <w:gridCol w:w="2126"/>
        <w:gridCol w:w="945"/>
      </w:tblGrid>
      <w:tr w:rsidR="00371832" w:rsidRPr="00515A3E" w:rsidTr="00371832">
        <w:trPr>
          <w:tblHeader/>
        </w:trPr>
        <w:tc>
          <w:tcPr>
            <w:tcW w:w="675" w:type="dxa"/>
          </w:tcPr>
          <w:p w:rsidR="00371832" w:rsidRPr="00515A3E" w:rsidRDefault="00371832" w:rsidP="00371832">
            <w:pPr>
              <w:jc w:val="left"/>
              <w:rPr>
                <w:sz w:val="18"/>
              </w:rPr>
            </w:pPr>
            <w:r w:rsidRPr="00515A3E">
              <w:rPr>
                <w:sz w:val="18"/>
              </w:rPr>
              <w:t>Art der Tätig-</w:t>
            </w:r>
            <w:proofErr w:type="spellStart"/>
            <w:r w:rsidRPr="00515A3E">
              <w:rPr>
                <w:sz w:val="18"/>
              </w:rPr>
              <w:t>keit</w:t>
            </w:r>
            <w:proofErr w:type="spellEnd"/>
          </w:p>
        </w:tc>
        <w:tc>
          <w:tcPr>
            <w:tcW w:w="1105" w:type="dxa"/>
          </w:tcPr>
          <w:p w:rsidR="00371832" w:rsidRPr="00515A3E" w:rsidRDefault="00371832" w:rsidP="00371832">
            <w:pPr>
              <w:jc w:val="left"/>
              <w:rPr>
                <w:sz w:val="18"/>
              </w:rPr>
            </w:pPr>
            <w:r w:rsidRPr="00515A3E">
              <w:rPr>
                <w:sz w:val="18"/>
              </w:rPr>
              <w:t>Datum</w:t>
            </w:r>
          </w:p>
        </w:tc>
        <w:tc>
          <w:tcPr>
            <w:tcW w:w="1022" w:type="dxa"/>
          </w:tcPr>
          <w:p w:rsidR="00371832" w:rsidRPr="00515A3E" w:rsidRDefault="00371832" w:rsidP="00371832">
            <w:pPr>
              <w:jc w:val="left"/>
              <w:rPr>
                <w:sz w:val="18"/>
              </w:rPr>
            </w:pPr>
            <w:r w:rsidRPr="00515A3E">
              <w:rPr>
                <w:sz w:val="18"/>
              </w:rPr>
              <w:t>Ort</w:t>
            </w:r>
          </w:p>
        </w:tc>
        <w:tc>
          <w:tcPr>
            <w:tcW w:w="1560" w:type="dxa"/>
          </w:tcPr>
          <w:p w:rsidR="00371832" w:rsidRPr="00515A3E" w:rsidRDefault="00371832" w:rsidP="00371832">
            <w:pPr>
              <w:jc w:val="left"/>
              <w:rPr>
                <w:sz w:val="18"/>
              </w:rPr>
            </w:pPr>
            <w:r w:rsidRPr="00515A3E">
              <w:rPr>
                <w:sz w:val="18"/>
              </w:rPr>
              <w:t>Organisator(en)</w:t>
            </w:r>
          </w:p>
        </w:tc>
        <w:tc>
          <w:tcPr>
            <w:tcW w:w="2550" w:type="dxa"/>
          </w:tcPr>
          <w:p w:rsidR="00371832" w:rsidRPr="00515A3E" w:rsidRDefault="00371832" w:rsidP="00371832">
            <w:pPr>
              <w:jc w:val="left"/>
              <w:rPr>
                <w:sz w:val="18"/>
              </w:rPr>
            </w:pPr>
            <w:r w:rsidRPr="00515A3E">
              <w:rPr>
                <w:sz w:val="18"/>
              </w:rPr>
              <w:t>Zweck der Tätigkeit</w:t>
            </w:r>
          </w:p>
        </w:tc>
        <w:tc>
          <w:tcPr>
            <w:tcW w:w="2126" w:type="dxa"/>
          </w:tcPr>
          <w:p w:rsidR="00371832" w:rsidRPr="00515A3E" w:rsidRDefault="00371832" w:rsidP="00371832">
            <w:pPr>
              <w:jc w:val="left"/>
              <w:rPr>
                <w:sz w:val="18"/>
              </w:rPr>
            </w:pPr>
            <w:r w:rsidRPr="00515A3E">
              <w:rPr>
                <w:sz w:val="18"/>
              </w:rPr>
              <w:t>Teilnehmende Staaten/ Organisationen (Zahl der Teilnehmer pro Staat/Organisation)</w:t>
            </w:r>
          </w:p>
        </w:tc>
        <w:tc>
          <w:tcPr>
            <w:tcW w:w="945" w:type="dxa"/>
          </w:tcPr>
          <w:p w:rsidR="00371832" w:rsidRPr="00515A3E" w:rsidRDefault="00371832" w:rsidP="00371832">
            <w:pPr>
              <w:jc w:val="left"/>
              <w:rPr>
                <w:sz w:val="18"/>
              </w:rPr>
            </w:pPr>
            <w:proofErr w:type="spellStart"/>
            <w:r w:rsidRPr="00515A3E">
              <w:rPr>
                <w:sz w:val="18"/>
              </w:rPr>
              <w:t>Bemer-kungen</w:t>
            </w:r>
            <w:proofErr w:type="spellEnd"/>
          </w:p>
        </w:tc>
      </w:tr>
      <w:tr w:rsidR="00371832" w:rsidRPr="00515A3E" w:rsidTr="00371832">
        <w:tc>
          <w:tcPr>
            <w:tcW w:w="675" w:type="dxa"/>
          </w:tcPr>
          <w:p w:rsidR="00371832" w:rsidRPr="00515A3E" w:rsidRDefault="00371832" w:rsidP="00371832">
            <w:pPr>
              <w:jc w:val="left"/>
              <w:rPr>
                <w:sz w:val="18"/>
              </w:rPr>
            </w:pPr>
            <w:r w:rsidRPr="00515A3E">
              <w:rPr>
                <w:sz w:val="18"/>
              </w:rPr>
              <w:t>1.</w:t>
            </w:r>
          </w:p>
        </w:tc>
        <w:tc>
          <w:tcPr>
            <w:tcW w:w="1105" w:type="dxa"/>
          </w:tcPr>
          <w:p w:rsidR="00371832" w:rsidRPr="00515A3E" w:rsidRDefault="00371832" w:rsidP="00371832">
            <w:pPr>
              <w:jc w:val="left"/>
              <w:rPr>
                <w:sz w:val="18"/>
              </w:rPr>
            </w:pPr>
            <w:r w:rsidRPr="00515A3E">
              <w:rPr>
                <w:sz w:val="18"/>
              </w:rPr>
              <w:t>18. - 19. März 2014</w:t>
            </w:r>
          </w:p>
        </w:tc>
        <w:tc>
          <w:tcPr>
            <w:tcW w:w="1022" w:type="dxa"/>
          </w:tcPr>
          <w:p w:rsidR="00371832" w:rsidRPr="00515A3E" w:rsidRDefault="00371832" w:rsidP="00371832">
            <w:pPr>
              <w:jc w:val="left"/>
              <w:rPr>
                <w:sz w:val="18"/>
              </w:rPr>
            </w:pPr>
            <w:r w:rsidRPr="00515A3E">
              <w:rPr>
                <w:sz w:val="18"/>
              </w:rPr>
              <w:t>Nitra, Slowak</w:t>
            </w:r>
            <w:r>
              <w:rPr>
                <w:sz w:val="18"/>
              </w:rPr>
              <w:t>ei</w:t>
            </w:r>
          </w:p>
        </w:tc>
        <w:tc>
          <w:tcPr>
            <w:tcW w:w="1560" w:type="dxa"/>
          </w:tcPr>
          <w:p w:rsidR="00371832" w:rsidRPr="00515A3E" w:rsidRDefault="00371832" w:rsidP="00371832">
            <w:pPr>
              <w:jc w:val="left"/>
              <w:rPr>
                <w:sz w:val="18"/>
              </w:rPr>
            </w:pPr>
            <w:r w:rsidRPr="00515A3E">
              <w:rPr>
                <w:sz w:val="18"/>
              </w:rPr>
              <w:t>CPVO</w:t>
            </w:r>
          </w:p>
        </w:tc>
        <w:tc>
          <w:tcPr>
            <w:tcW w:w="2550" w:type="dxa"/>
          </w:tcPr>
          <w:p w:rsidR="00371832" w:rsidRPr="00515A3E" w:rsidRDefault="00371832" w:rsidP="00371832">
            <w:pPr>
              <w:jc w:val="left"/>
              <w:rPr>
                <w:sz w:val="18"/>
              </w:rPr>
            </w:pPr>
            <w:r w:rsidRPr="00515A3E">
              <w:rPr>
                <w:sz w:val="18"/>
              </w:rPr>
              <w:t>Tagung des Verwaltungsrates des Gemeinschaftlichen Sortenamtes (CPVO)</w:t>
            </w:r>
          </w:p>
        </w:tc>
        <w:tc>
          <w:tcPr>
            <w:tcW w:w="2126" w:type="dxa"/>
          </w:tcPr>
          <w:p w:rsidR="00371832" w:rsidRPr="00515A3E" w:rsidRDefault="00371832" w:rsidP="00371832">
            <w:pPr>
              <w:jc w:val="left"/>
              <w:rPr>
                <w:sz w:val="18"/>
              </w:rPr>
            </w:pPr>
            <w:r w:rsidRPr="00515A3E">
              <w:rPr>
                <w:sz w:val="18"/>
              </w:rPr>
              <w:t>1</w:t>
            </w:r>
          </w:p>
        </w:tc>
        <w:tc>
          <w:tcPr>
            <w:tcW w:w="945" w:type="dxa"/>
          </w:tcPr>
          <w:p w:rsidR="00371832" w:rsidRPr="00515A3E" w:rsidRDefault="00371832" w:rsidP="00371832">
            <w:pPr>
              <w:jc w:val="left"/>
              <w:rPr>
                <w:sz w:val="18"/>
              </w:rPr>
            </w:pPr>
          </w:p>
        </w:tc>
      </w:tr>
      <w:tr w:rsidR="00371832" w:rsidRPr="00515A3E" w:rsidTr="00371832">
        <w:tc>
          <w:tcPr>
            <w:tcW w:w="675" w:type="dxa"/>
          </w:tcPr>
          <w:p w:rsidR="00371832" w:rsidRPr="00515A3E" w:rsidRDefault="00371832" w:rsidP="00371832">
            <w:pPr>
              <w:jc w:val="left"/>
              <w:rPr>
                <w:sz w:val="18"/>
              </w:rPr>
            </w:pPr>
            <w:r w:rsidRPr="00515A3E">
              <w:rPr>
                <w:sz w:val="18"/>
              </w:rPr>
              <w:t>2.</w:t>
            </w:r>
          </w:p>
        </w:tc>
        <w:tc>
          <w:tcPr>
            <w:tcW w:w="1105" w:type="dxa"/>
          </w:tcPr>
          <w:p w:rsidR="00371832" w:rsidRPr="00515A3E" w:rsidRDefault="00371832" w:rsidP="00371832">
            <w:pPr>
              <w:jc w:val="left"/>
              <w:rPr>
                <w:sz w:val="18"/>
              </w:rPr>
            </w:pPr>
            <w:r w:rsidRPr="00515A3E">
              <w:rPr>
                <w:sz w:val="18"/>
              </w:rPr>
              <w:t>7.-11. April 2014</w:t>
            </w:r>
          </w:p>
        </w:tc>
        <w:tc>
          <w:tcPr>
            <w:tcW w:w="1022" w:type="dxa"/>
          </w:tcPr>
          <w:p w:rsidR="00371832" w:rsidRPr="00515A3E" w:rsidRDefault="00371832" w:rsidP="00371832">
            <w:pPr>
              <w:jc w:val="left"/>
              <w:rPr>
                <w:sz w:val="18"/>
              </w:rPr>
            </w:pPr>
            <w:r w:rsidRPr="00515A3E">
              <w:rPr>
                <w:sz w:val="18"/>
              </w:rPr>
              <w:t>Genf, Schweiz</w:t>
            </w:r>
          </w:p>
        </w:tc>
        <w:tc>
          <w:tcPr>
            <w:tcW w:w="1560" w:type="dxa"/>
          </w:tcPr>
          <w:p w:rsidR="00371832" w:rsidRPr="00515A3E" w:rsidRDefault="00371832" w:rsidP="00371832">
            <w:pPr>
              <w:jc w:val="left"/>
              <w:rPr>
                <w:sz w:val="18"/>
              </w:rPr>
            </w:pPr>
            <w:r w:rsidRPr="00515A3E">
              <w:rPr>
                <w:sz w:val="18"/>
              </w:rPr>
              <w:t>UPOV</w:t>
            </w:r>
          </w:p>
        </w:tc>
        <w:tc>
          <w:tcPr>
            <w:tcW w:w="2550" w:type="dxa"/>
          </w:tcPr>
          <w:p w:rsidR="00371832" w:rsidRPr="00515A3E" w:rsidRDefault="00371832" w:rsidP="00371832">
            <w:pPr>
              <w:jc w:val="left"/>
              <w:rPr>
                <w:sz w:val="18"/>
              </w:rPr>
            </w:pPr>
            <w:r w:rsidRPr="00515A3E">
              <w:rPr>
                <w:sz w:val="18"/>
              </w:rPr>
              <w:t>UPOV-Tagungen: TC/50, CAJ/69, C(</w:t>
            </w:r>
            <w:proofErr w:type="spellStart"/>
            <w:r w:rsidRPr="00515A3E">
              <w:rPr>
                <w:sz w:val="18"/>
              </w:rPr>
              <w:t>Extr</w:t>
            </w:r>
            <w:proofErr w:type="spellEnd"/>
            <w:r w:rsidRPr="00515A3E">
              <w:rPr>
                <w:sz w:val="18"/>
              </w:rPr>
              <w:t>.)/31, CC/87</w:t>
            </w:r>
          </w:p>
        </w:tc>
        <w:tc>
          <w:tcPr>
            <w:tcW w:w="2126" w:type="dxa"/>
          </w:tcPr>
          <w:p w:rsidR="00371832" w:rsidRPr="00515A3E" w:rsidRDefault="00371832" w:rsidP="00371832">
            <w:pPr>
              <w:jc w:val="left"/>
              <w:rPr>
                <w:sz w:val="18"/>
              </w:rPr>
            </w:pPr>
            <w:r w:rsidRPr="00515A3E">
              <w:rPr>
                <w:sz w:val="18"/>
              </w:rPr>
              <w:t>1</w:t>
            </w:r>
          </w:p>
        </w:tc>
        <w:tc>
          <w:tcPr>
            <w:tcW w:w="945" w:type="dxa"/>
          </w:tcPr>
          <w:p w:rsidR="00371832" w:rsidRPr="00515A3E" w:rsidRDefault="00371832" w:rsidP="00371832">
            <w:pPr>
              <w:jc w:val="left"/>
              <w:rPr>
                <w:sz w:val="18"/>
              </w:rPr>
            </w:pPr>
          </w:p>
        </w:tc>
      </w:tr>
      <w:tr w:rsidR="00371832" w:rsidRPr="00515A3E" w:rsidTr="00371832">
        <w:tc>
          <w:tcPr>
            <w:tcW w:w="675" w:type="dxa"/>
          </w:tcPr>
          <w:p w:rsidR="00371832" w:rsidRPr="00515A3E" w:rsidRDefault="00371832" w:rsidP="00371832">
            <w:pPr>
              <w:jc w:val="left"/>
              <w:rPr>
                <w:sz w:val="18"/>
              </w:rPr>
            </w:pPr>
            <w:r w:rsidRPr="00515A3E">
              <w:rPr>
                <w:sz w:val="18"/>
              </w:rPr>
              <w:t>3.</w:t>
            </w:r>
          </w:p>
        </w:tc>
        <w:tc>
          <w:tcPr>
            <w:tcW w:w="1105" w:type="dxa"/>
          </w:tcPr>
          <w:p w:rsidR="00371832" w:rsidRPr="00515A3E" w:rsidRDefault="00371832" w:rsidP="00371832">
            <w:pPr>
              <w:jc w:val="left"/>
              <w:rPr>
                <w:sz w:val="18"/>
              </w:rPr>
            </w:pPr>
            <w:r w:rsidRPr="00515A3E">
              <w:rPr>
                <w:sz w:val="18"/>
              </w:rPr>
              <w:t>9. Oktober 2014</w:t>
            </w:r>
          </w:p>
        </w:tc>
        <w:tc>
          <w:tcPr>
            <w:tcW w:w="1022" w:type="dxa"/>
          </w:tcPr>
          <w:p w:rsidR="00371832" w:rsidRPr="00515A3E" w:rsidRDefault="00371832" w:rsidP="00371832">
            <w:pPr>
              <w:jc w:val="left"/>
              <w:rPr>
                <w:sz w:val="18"/>
              </w:rPr>
            </w:pPr>
            <w:r w:rsidRPr="00515A3E">
              <w:rPr>
                <w:sz w:val="18"/>
              </w:rPr>
              <w:t xml:space="preserve">Brüssel, Belgien </w:t>
            </w:r>
          </w:p>
        </w:tc>
        <w:tc>
          <w:tcPr>
            <w:tcW w:w="1560" w:type="dxa"/>
          </w:tcPr>
          <w:p w:rsidR="00371832" w:rsidRPr="00515A3E" w:rsidRDefault="00371832" w:rsidP="00371832">
            <w:pPr>
              <w:jc w:val="left"/>
              <w:rPr>
                <w:sz w:val="18"/>
              </w:rPr>
            </w:pPr>
            <w:r w:rsidRPr="00515A3E">
              <w:rPr>
                <w:sz w:val="18"/>
              </w:rPr>
              <w:t>CPVO</w:t>
            </w:r>
          </w:p>
        </w:tc>
        <w:tc>
          <w:tcPr>
            <w:tcW w:w="2550" w:type="dxa"/>
          </w:tcPr>
          <w:p w:rsidR="00371832" w:rsidRPr="00515A3E" w:rsidRDefault="00371832" w:rsidP="00371832">
            <w:pPr>
              <w:jc w:val="left"/>
              <w:rPr>
                <w:sz w:val="18"/>
              </w:rPr>
            </w:pPr>
            <w:r w:rsidRPr="00515A3E">
              <w:rPr>
                <w:sz w:val="18"/>
              </w:rPr>
              <w:t>Tagung des Verwaltungsrates des CPVO</w:t>
            </w:r>
          </w:p>
        </w:tc>
        <w:tc>
          <w:tcPr>
            <w:tcW w:w="2126" w:type="dxa"/>
          </w:tcPr>
          <w:p w:rsidR="00371832" w:rsidRPr="00515A3E" w:rsidRDefault="00371832" w:rsidP="00371832">
            <w:pPr>
              <w:jc w:val="left"/>
              <w:rPr>
                <w:sz w:val="18"/>
              </w:rPr>
            </w:pPr>
            <w:r w:rsidRPr="00515A3E">
              <w:rPr>
                <w:sz w:val="18"/>
              </w:rPr>
              <w:t>1</w:t>
            </w:r>
          </w:p>
        </w:tc>
        <w:tc>
          <w:tcPr>
            <w:tcW w:w="945" w:type="dxa"/>
          </w:tcPr>
          <w:p w:rsidR="00371832" w:rsidRPr="00515A3E" w:rsidRDefault="00371832" w:rsidP="00371832">
            <w:pPr>
              <w:jc w:val="left"/>
              <w:rPr>
                <w:sz w:val="18"/>
              </w:rPr>
            </w:pPr>
          </w:p>
        </w:tc>
      </w:tr>
      <w:tr w:rsidR="00371832" w:rsidRPr="00515A3E" w:rsidTr="00371832">
        <w:tc>
          <w:tcPr>
            <w:tcW w:w="675" w:type="dxa"/>
          </w:tcPr>
          <w:p w:rsidR="00371832" w:rsidRPr="00515A3E" w:rsidRDefault="00371832" w:rsidP="00371832">
            <w:pPr>
              <w:jc w:val="left"/>
              <w:rPr>
                <w:sz w:val="18"/>
              </w:rPr>
            </w:pPr>
            <w:r w:rsidRPr="00515A3E">
              <w:rPr>
                <w:sz w:val="18"/>
              </w:rPr>
              <w:t>4.</w:t>
            </w:r>
          </w:p>
        </w:tc>
        <w:tc>
          <w:tcPr>
            <w:tcW w:w="1105" w:type="dxa"/>
          </w:tcPr>
          <w:p w:rsidR="00371832" w:rsidRPr="00515A3E" w:rsidRDefault="00371832" w:rsidP="00371832">
            <w:pPr>
              <w:jc w:val="left"/>
              <w:rPr>
                <w:sz w:val="18"/>
              </w:rPr>
            </w:pPr>
            <w:r w:rsidRPr="00515A3E">
              <w:rPr>
                <w:sz w:val="18"/>
              </w:rPr>
              <w:t>13.-15. Oktober 2014</w:t>
            </w:r>
          </w:p>
        </w:tc>
        <w:tc>
          <w:tcPr>
            <w:tcW w:w="1022" w:type="dxa"/>
          </w:tcPr>
          <w:p w:rsidR="00371832" w:rsidRPr="00515A3E" w:rsidRDefault="00371832" w:rsidP="00371832">
            <w:pPr>
              <w:jc w:val="left"/>
              <w:rPr>
                <w:sz w:val="18"/>
              </w:rPr>
            </w:pPr>
            <w:r w:rsidRPr="00515A3E">
              <w:rPr>
                <w:sz w:val="18"/>
              </w:rPr>
              <w:t>Genf, Schweiz</w:t>
            </w:r>
          </w:p>
        </w:tc>
        <w:tc>
          <w:tcPr>
            <w:tcW w:w="1560" w:type="dxa"/>
          </w:tcPr>
          <w:p w:rsidR="00371832" w:rsidRPr="00515A3E" w:rsidRDefault="00371832" w:rsidP="00371832">
            <w:pPr>
              <w:jc w:val="left"/>
              <w:rPr>
                <w:sz w:val="18"/>
              </w:rPr>
            </w:pPr>
            <w:r w:rsidRPr="00515A3E">
              <w:rPr>
                <w:sz w:val="18"/>
              </w:rPr>
              <w:t>UPOV:</w:t>
            </w:r>
          </w:p>
        </w:tc>
        <w:tc>
          <w:tcPr>
            <w:tcW w:w="2550" w:type="dxa"/>
          </w:tcPr>
          <w:p w:rsidR="00371832" w:rsidRPr="00515A3E" w:rsidRDefault="00371832" w:rsidP="00371832">
            <w:pPr>
              <w:jc w:val="left"/>
              <w:rPr>
                <w:sz w:val="18"/>
              </w:rPr>
            </w:pPr>
            <w:r w:rsidRPr="00515A3E">
              <w:rPr>
                <w:sz w:val="18"/>
              </w:rPr>
              <w:t>UPOV-Tagungen: CAJ/70, CAJ</w:t>
            </w:r>
            <w:r w:rsidRPr="00515A3E">
              <w:rPr>
                <w:sz w:val="18"/>
              </w:rPr>
              <w:noBreakHyphen/>
              <w:t>AG/9, CC/88</w:t>
            </w:r>
          </w:p>
        </w:tc>
        <w:tc>
          <w:tcPr>
            <w:tcW w:w="2126" w:type="dxa"/>
          </w:tcPr>
          <w:p w:rsidR="00371832" w:rsidRPr="00515A3E" w:rsidRDefault="00371832" w:rsidP="00371832">
            <w:pPr>
              <w:jc w:val="left"/>
              <w:rPr>
                <w:sz w:val="18"/>
              </w:rPr>
            </w:pPr>
            <w:r w:rsidRPr="00515A3E">
              <w:rPr>
                <w:sz w:val="18"/>
              </w:rPr>
              <w:t>1</w:t>
            </w:r>
          </w:p>
        </w:tc>
        <w:tc>
          <w:tcPr>
            <w:tcW w:w="945" w:type="dxa"/>
          </w:tcPr>
          <w:p w:rsidR="00371832" w:rsidRPr="00515A3E" w:rsidRDefault="00371832" w:rsidP="00371832">
            <w:pPr>
              <w:jc w:val="left"/>
              <w:rPr>
                <w:sz w:val="18"/>
              </w:rPr>
            </w:pPr>
          </w:p>
        </w:tc>
      </w:tr>
      <w:tr w:rsidR="00371832" w:rsidRPr="00515A3E" w:rsidTr="00371832">
        <w:trPr>
          <w:cantSplit/>
        </w:trPr>
        <w:tc>
          <w:tcPr>
            <w:tcW w:w="675" w:type="dxa"/>
          </w:tcPr>
          <w:p w:rsidR="00371832" w:rsidRPr="00515A3E" w:rsidRDefault="00371832" w:rsidP="00371832">
            <w:pPr>
              <w:jc w:val="left"/>
              <w:rPr>
                <w:sz w:val="18"/>
              </w:rPr>
            </w:pPr>
            <w:r w:rsidRPr="00515A3E">
              <w:rPr>
                <w:sz w:val="18"/>
              </w:rPr>
              <w:t>5.</w:t>
            </w:r>
          </w:p>
        </w:tc>
        <w:tc>
          <w:tcPr>
            <w:tcW w:w="1105" w:type="dxa"/>
          </w:tcPr>
          <w:p w:rsidR="00371832" w:rsidRPr="00515A3E" w:rsidRDefault="00371832" w:rsidP="00371832">
            <w:pPr>
              <w:jc w:val="left"/>
              <w:rPr>
                <w:sz w:val="18"/>
              </w:rPr>
            </w:pPr>
            <w:r w:rsidRPr="00515A3E">
              <w:rPr>
                <w:sz w:val="18"/>
              </w:rPr>
              <w:t>31. März - 11. Mai 2014</w:t>
            </w:r>
          </w:p>
        </w:tc>
        <w:tc>
          <w:tcPr>
            <w:tcW w:w="1022" w:type="dxa"/>
          </w:tcPr>
          <w:p w:rsidR="00371832" w:rsidRPr="00515A3E" w:rsidRDefault="00371832" w:rsidP="00371832">
            <w:pPr>
              <w:jc w:val="left"/>
              <w:rPr>
                <w:sz w:val="18"/>
              </w:rPr>
            </w:pPr>
            <w:r w:rsidRPr="00515A3E">
              <w:rPr>
                <w:sz w:val="18"/>
              </w:rPr>
              <w:t>Fernlehr-gang</w:t>
            </w:r>
          </w:p>
        </w:tc>
        <w:tc>
          <w:tcPr>
            <w:tcW w:w="1560" w:type="dxa"/>
          </w:tcPr>
          <w:p w:rsidR="00371832" w:rsidRPr="00515A3E" w:rsidRDefault="00371832" w:rsidP="00371832">
            <w:pPr>
              <w:jc w:val="left"/>
              <w:rPr>
                <w:sz w:val="18"/>
              </w:rPr>
            </w:pPr>
            <w:r w:rsidRPr="00515A3E">
              <w:rPr>
                <w:sz w:val="18"/>
              </w:rPr>
              <w:t>UPOV/WIPO</w:t>
            </w:r>
          </w:p>
        </w:tc>
        <w:tc>
          <w:tcPr>
            <w:tcW w:w="2550" w:type="dxa"/>
          </w:tcPr>
          <w:p w:rsidR="00371832" w:rsidRPr="00515A3E" w:rsidRDefault="00371832" w:rsidP="00371832">
            <w:pPr>
              <w:jc w:val="left"/>
              <w:rPr>
                <w:sz w:val="18"/>
              </w:rPr>
            </w:pPr>
            <w:r w:rsidRPr="00515A3E">
              <w:rPr>
                <w:sz w:val="18"/>
              </w:rPr>
              <w:t>DL – 305</w:t>
            </w:r>
          </w:p>
          <w:p w:rsidR="00371832" w:rsidRPr="00515A3E" w:rsidRDefault="00371832" w:rsidP="00371832">
            <w:pPr>
              <w:jc w:val="left"/>
              <w:rPr>
                <w:sz w:val="18"/>
              </w:rPr>
            </w:pPr>
            <w:r w:rsidRPr="00515A3E">
              <w:rPr>
                <w:sz w:val="18"/>
              </w:rPr>
              <w:t>Prüfung von Anträgen auf Erteilung von Züchterrechten</w:t>
            </w:r>
          </w:p>
        </w:tc>
        <w:tc>
          <w:tcPr>
            <w:tcW w:w="2126" w:type="dxa"/>
          </w:tcPr>
          <w:p w:rsidR="00371832" w:rsidRPr="00515A3E" w:rsidRDefault="00371832" w:rsidP="00371832">
            <w:pPr>
              <w:jc w:val="left"/>
              <w:rPr>
                <w:sz w:val="18"/>
              </w:rPr>
            </w:pPr>
            <w:r w:rsidRPr="00515A3E">
              <w:rPr>
                <w:sz w:val="18"/>
              </w:rPr>
              <w:t>1</w:t>
            </w:r>
          </w:p>
        </w:tc>
        <w:tc>
          <w:tcPr>
            <w:tcW w:w="945" w:type="dxa"/>
          </w:tcPr>
          <w:p w:rsidR="00371832" w:rsidRPr="00515A3E" w:rsidRDefault="00371832" w:rsidP="00371832">
            <w:pPr>
              <w:jc w:val="left"/>
              <w:rPr>
                <w:sz w:val="18"/>
              </w:rPr>
            </w:pPr>
          </w:p>
        </w:tc>
      </w:tr>
    </w:tbl>
    <w:p w:rsidR="00371832" w:rsidRPr="00515A3E" w:rsidRDefault="00371832" w:rsidP="00371832"/>
    <w:p w:rsidR="00371832" w:rsidRPr="00515A3E" w:rsidRDefault="00371832" w:rsidP="00371832"/>
    <w:p w:rsidR="00371832" w:rsidRPr="00371832" w:rsidRDefault="00371832" w:rsidP="00371832">
      <w:r w:rsidRPr="00371832">
        <w:t>II.</w:t>
      </w:r>
      <w:r w:rsidRPr="00371832">
        <w:tab/>
        <w:t>ANDERE ENTWICKLUNGEN VON INTERESSE FÜR DIE UPOV</w:t>
      </w:r>
    </w:p>
    <w:p w:rsidR="00371832" w:rsidRPr="00515A3E" w:rsidRDefault="00371832" w:rsidP="00371832"/>
    <w:p w:rsidR="00371832" w:rsidRPr="00515A3E" w:rsidRDefault="00371832" w:rsidP="00371832">
      <w:pPr>
        <w:jc w:val="left"/>
      </w:pPr>
      <w:r w:rsidRPr="00515A3E">
        <w:t>Keine Anmerkungen.</w:t>
      </w:r>
    </w:p>
    <w:p w:rsidR="00371832" w:rsidRPr="00515A3E" w:rsidRDefault="00371832" w:rsidP="00371832">
      <w:pPr>
        <w:jc w:val="left"/>
      </w:pPr>
    </w:p>
    <w:p w:rsidR="00C517EE" w:rsidRPr="005917C2" w:rsidRDefault="00C517EE" w:rsidP="00C517EE"/>
    <w:p w:rsidR="00C517EE" w:rsidRPr="0075031D" w:rsidRDefault="00DB5AC1" w:rsidP="00C517EE">
      <w:pPr>
        <w:jc w:val="right"/>
      </w:pPr>
      <w:r>
        <w:t>[Anlage</w:t>
      </w:r>
      <w:r w:rsidR="00C517EE" w:rsidRPr="0075031D">
        <w:t xml:space="preserve"> </w:t>
      </w:r>
      <w:r w:rsidR="00C517EE">
        <w:t>V</w:t>
      </w:r>
      <w:r w:rsidR="00C517EE" w:rsidRPr="0075031D">
        <w:t xml:space="preserve">II </w:t>
      </w:r>
      <w:r>
        <w:t>folgt]</w:t>
      </w:r>
    </w:p>
    <w:p w:rsidR="00C517EE" w:rsidRDefault="00C517EE" w:rsidP="00C517EE">
      <w:pPr>
        <w:jc w:val="left"/>
        <w:sectPr w:rsidR="00C517EE" w:rsidSect="00371832">
          <w:headerReference w:type="default" r:id="rId24"/>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w:t>
      </w:r>
      <w:r w:rsidR="00C517EE">
        <w:t>VI</w:t>
      </w:r>
      <w:r w:rsidR="00C517EE" w:rsidRPr="0075031D">
        <w:t>I</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t>LITAUEN</w:t>
      </w:r>
    </w:p>
    <w:p w:rsidR="00C517EE" w:rsidRDefault="00C517EE" w:rsidP="00C517EE">
      <w:pPr>
        <w:jc w:val="left"/>
      </w:pPr>
    </w:p>
    <w:p w:rsidR="00C517EE" w:rsidRDefault="00C517EE" w:rsidP="00C517EE">
      <w:pPr>
        <w:jc w:val="left"/>
      </w:pPr>
    </w:p>
    <w:p w:rsidR="00371832" w:rsidRPr="00515A3E" w:rsidRDefault="00371832" w:rsidP="00371832">
      <w:r w:rsidRPr="00515A3E">
        <w:t>I.</w:t>
      </w:r>
      <w:r w:rsidRPr="00515A3E">
        <w:tab/>
        <w:t>SORTENSCHUTZ</w:t>
      </w:r>
    </w:p>
    <w:p w:rsidR="00371832" w:rsidRPr="00515A3E" w:rsidRDefault="00371832" w:rsidP="00371832"/>
    <w:p w:rsidR="00371832" w:rsidRPr="00515A3E" w:rsidRDefault="00371832" w:rsidP="00371832">
      <w:pPr>
        <w:rPr>
          <w:u w:val="single"/>
        </w:rPr>
      </w:pPr>
      <w:r w:rsidRPr="00515A3E">
        <w:t>1.</w:t>
      </w:r>
      <w:r w:rsidRPr="00515A3E">
        <w:tab/>
      </w:r>
      <w:r w:rsidRPr="00515A3E">
        <w:rPr>
          <w:u w:val="single"/>
        </w:rPr>
        <w:t>Lage auf dem Gebiet der Gesetzgebung</w:t>
      </w:r>
    </w:p>
    <w:p w:rsidR="00371832" w:rsidRPr="00515A3E" w:rsidRDefault="00371832" w:rsidP="00371832">
      <w:pPr>
        <w:rPr>
          <w:rFonts w:cs="Arial"/>
        </w:rPr>
      </w:pPr>
    </w:p>
    <w:p w:rsidR="00371832" w:rsidRPr="00515A3E" w:rsidRDefault="00371832" w:rsidP="00371832">
      <w:pPr>
        <w:rPr>
          <w:rFonts w:cs="Arial"/>
        </w:rPr>
      </w:pPr>
      <w:r w:rsidRPr="00515A3E">
        <w:t>1.1</w:t>
      </w:r>
      <w:r w:rsidRPr="00515A3E">
        <w:tab/>
        <w:t>Änderungen des Gesetzes und der Ausführungsvorschriften:</w:t>
      </w:r>
    </w:p>
    <w:p w:rsidR="00371832" w:rsidRPr="00515A3E" w:rsidRDefault="00371832" w:rsidP="00371832">
      <w:pPr>
        <w:rPr>
          <w:rFonts w:cs="Arial"/>
        </w:rPr>
      </w:pPr>
    </w:p>
    <w:p w:rsidR="00371832" w:rsidRPr="00515A3E" w:rsidRDefault="00371832" w:rsidP="00371832">
      <w:pPr>
        <w:ind w:left="567" w:hanging="567"/>
        <w:rPr>
          <w:rFonts w:cs="Arial"/>
        </w:rPr>
      </w:pPr>
      <w:r w:rsidRPr="00515A3E">
        <w:t>–</w:t>
      </w:r>
      <w:r w:rsidRPr="00515A3E">
        <w:tab/>
        <w:t xml:space="preserve">Sortenschutzgesetz der Republik Litauen, geändert am 19. Oktober 2006 und zuletzt geändert am 26. April 2012; </w:t>
      </w:r>
    </w:p>
    <w:p w:rsidR="00371832" w:rsidRPr="00515A3E" w:rsidRDefault="00371832" w:rsidP="00371832">
      <w:pPr>
        <w:ind w:left="567" w:hanging="567"/>
        <w:rPr>
          <w:rFonts w:cs="Arial"/>
        </w:rPr>
      </w:pPr>
    </w:p>
    <w:p w:rsidR="00371832" w:rsidRPr="00515A3E" w:rsidRDefault="00371832" w:rsidP="00371832">
      <w:pPr>
        <w:ind w:left="567" w:hanging="567"/>
        <w:rPr>
          <w:rFonts w:cs="Arial"/>
        </w:rPr>
      </w:pPr>
      <w:r w:rsidRPr="00515A3E">
        <w:t>–</w:t>
      </w:r>
      <w:r w:rsidRPr="00515A3E">
        <w:tab/>
        <w:t>Verordnung Nr. 1458 der Regierung der Republik Litauen vom 15. Dezember 2000 über die Gebührensätze;</w:t>
      </w:r>
    </w:p>
    <w:p w:rsidR="00371832" w:rsidRPr="00515A3E" w:rsidRDefault="00371832" w:rsidP="00371832">
      <w:pPr>
        <w:ind w:left="567" w:hanging="567"/>
        <w:rPr>
          <w:rFonts w:cs="Arial"/>
        </w:rPr>
      </w:pPr>
    </w:p>
    <w:p w:rsidR="00371832" w:rsidRPr="00515A3E" w:rsidRDefault="00371832" w:rsidP="00371832">
      <w:pPr>
        <w:ind w:left="567" w:hanging="567"/>
        <w:rPr>
          <w:rFonts w:cs="Arial"/>
        </w:rPr>
      </w:pPr>
      <w:r w:rsidRPr="00515A3E">
        <w:t>–</w:t>
      </w:r>
      <w:r w:rsidRPr="00515A3E">
        <w:tab/>
        <w:t>Verfügung Nr. A1-50 des Direktors des dem Landwirtschaftsministerium unterstellten Staatlichen Sortenprüfungszentrums vom 8. August 2010 über die Freigabe des Antragsformulars für Sortenschutz;</w:t>
      </w:r>
    </w:p>
    <w:p w:rsidR="00371832" w:rsidRPr="00515A3E" w:rsidRDefault="00371832" w:rsidP="00371832">
      <w:pPr>
        <w:ind w:left="567" w:hanging="567"/>
        <w:rPr>
          <w:rFonts w:cs="Arial"/>
        </w:rPr>
      </w:pPr>
    </w:p>
    <w:p w:rsidR="00371832" w:rsidRPr="00515A3E" w:rsidRDefault="00371832" w:rsidP="00371832">
      <w:pPr>
        <w:ind w:left="567" w:hanging="567"/>
        <w:rPr>
          <w:rFonts w:cs="Arial"/>
        </w:rPr>
      </w:pPr>
      <w:r w:rsidRPr="00515A3E">
        <w:t>–</w:t>
      </w:r>
      <w:r w:rsidRPr="00515A3E">
        <w:tab/>
        <w:t>Verfügung Nr. 3 D – 371 des Landwirtschaftsministeriums der Republik Litauen vom 23. Juni 2004 über die Vergütung.</w:t>
      </w:r>
    </w:p>
    <w:p w:rsidR="00371832" w:rsidRPr="00515A3E" w:rsidRDefault="00371832" w:rsidP="00371832">
      <w:pPr>
        <w:rPr>
          <w:rFonts w:cs="Arial"/>
        </w:rPr>
      </w:pPr>
    </w:p>
    <w:p w:rsidR="00371832" w:rsidRPr="00515A3E" w:rsidRDefault="00371832" w:rsidP="00371832">
      <w:pPr>
        <w:rPr>
          <w:rFonts w:cs="Arial"/>
        </w:rPr>
      </w:pPr>
      <w:r w:rsidRPr="00515A3E">
        <w:t>1.2</w:t>
      </w:r>
      <w:r w:rsidRPr="00515A3E">
        <w:tab/>
        <w:t>Erstreckung des Schutzes auf weitere Gattungen und Arten (geschehen oder geplant)</w:t>
      </w:r>
    </w:p>
    <w:p w:rsidR="00371832" w:rsidRPr="00515A3E" w:rsidRDefault="00371832" w:rsidP="00371832">
      <w:pPr>
        <w:rPr>
          <w:rFonts w:cs="Arial"/>
        </w:rPr>
      </w:pPr>
    </w:p>
    <w:p w:rsidR="00371832" w:rsidRPr="00515A3E" w:rsidRDefault="00371832" w:rsidP="00371832">
      <w:pPr>
        <w:rPr>
          <w:rFonts w:cs="Arial"/>
        </w:rPr>
      </w:pPr>
      <w:r w:rsidRPr="00515A3E">
        <w:t xml:space="preserve">Gemäß den Änderungen des Gesetzes über den Sortenschutz der Republik Litauen vom 26. April 2012 sind alle Pflanzenarten und -gattungen in der Republik Litauen schutzfähig. </w:t>
      </w:r>
    </w:p>
    <w:p w:rsidR="00371832" w:rsidRPr="00515A3E" w:rsidRDefault="00371832" w:rsidP="00371832">
      <w:pPr>
        <w:rPr>
          <w:rFonts w:cs="Arial"/>
        </w:rPr>
      </w:pPr>
    </w:p>
    <w:p w:rsidR="00371832" w:rsidRPr="00515A3E" w:rsidRDefault="00371832" w:rsidP="00371832">
      <w:pPr>
        <w:rPr>
          <w:rFonts w:cs="Arial"/>
        </w:rPr>
      </w:pPr>
      <w:r w:rsidRPr="00515A3E">
        <w:t>1.3</w:t>
      </w:r>
      <w:r w:rsidRPr="00515A3E">
        <w:tab/>
        <w:t>Rechtsprechung:</w:t>
      </w:r>
    </w:p>
    <w:p w:rsidR="00371832" w:rsidRPr="00515A3E" w:rsidRDefault="00371832" w:rsidP="00371832">
      <w:pPr>
        <w:rPr>
          <w:rFonts w:cs="Arial"/>
        </w:rPr>
      </w:pPr>
    </w:p>
    <w:p w:rsidR="00371832" w:rsidRPr="00515A3E" w:rsidRDefault="00371832" w:rsidP="00371832">
      <w:pPr>
        <w:rPr>
          <w:rFonts w:cs="Arial"/>
        </w:rPr>
      </w:pPr>
      <w:r w:rsidRPr="00515A3E">
        <w:t>Es gibt keine Rechtsprechung betreffend Sortenschutz in Litauen im Jahr 2014.</w:t>
      </w:r>
    </w:p>
    <w:p w:rsidR="00371832" w:rsidRPr="00515A3E" w:rsidRDefault="00371832" w:rsidP="00371832">
      <w:pPr>
        <w:rPr>
          <w:rFonts w:cs="Arial"/>
        </w:rPr>
      </w:pPr>
    </w:p>
    <w:p w:rsidR="00371832" w:rsidRPr="00515A3E" w:rsidRDefault="00371832" w:rsidP="00371832">
      <w:pPr>
        <w:rPr>
          <w:rFonts w:cs="Arial"/>
        </w:rPr>
      </w:pPr>
    </w:p>
    <w:p w:rsidR="00371832" w:rsidRPr="00515A3E" w:rsidRDefault="00371832" w:rsidP="00371832">
      <w:pPr>
        <w:rPr>
          <w:rFonts w:cs="Arial"/>
          <w:u w:val="single"/>
        </w:rPr>
      </w:pPr>
      <w:r w:rsidRPr="00515A3E">
        <w:t>2.</w:t>
      </w:r>
      <w:r w:rsidRPr="00515A3E">
        <w:tab/>
      </w:r>
      <w:r w:rsidRPr="00515A3E">
        <w:rPr>
          <w:u w:val="single"/>
        </w:rPr>
        <w:t>Zusammenarbeit bei der Prüfung</w:t>
      </w:r>
    </w:p>
    <w:p w:rsidR="00371832" w:rsidRPr="00515A3E" w:rsidRDefault="00371832" w:rsidP="00371832">
      <w:pPr>
        <w:rPr>
          <w:rFonts w:cs="Arial"/>
        </w:rPr>
      </w:pPr>
    </w:p>
    <w:p w:rsidR="00371832" w:rsidRPr="00515A3E" w:rsidRDefault="00371832" w:rsidP="00371832">
      <w:pPr>
        <w:rPr>
          <w:rFonts w:cs="Arial"/>
        </w:rPr>
      </w:pPr>
      <w:r w:rsidRPr="00515A3E">
        <w:t>Es gibt zwei unterzeichnete Vereinbarungen im Hinblick auf die Zusammenarbeit bei der Prüfung in Litauen:</w:t>
      </w:r>
    </w:p>
    <w:p w:rsidR="00371832" w:rsidRPr="00515A3E" w:rsidRDefault="00371832" w:rsidP="00371832">
      <w:pPr>
        <w:rPr>
          <w:rFonts w:cs="Arial"/>
        </w:rPr>
      </w:pPr>
    </w:p>
    <w:p w:rsidR="00371832" w:rsidRPr="00515A3E" w:rsidRDefault="00371832" w:rsidP="00371832">
      <w:pPr>
        <w:ind w:left="567" w:hanging="567"/>
        <w:rPr>
          <w:rFonts w:cs="Arial"/>
        </w:rPr>
      </w:pPr>
      <w:r w:rsidRPr="00515A3E">
        <w:t>–</w:t>
      </w:r>
      <w:r w:rsidRPr="00515A3E">
        <w:tab/>
        <w:t>Das bilaterale Abkommen mit dem polnischen Forschungszentrum für Zuchtsortenprüfung vom 11. August 2000 über die Durchführung der DUS-Prüfungen wurde am 14. November 2012 durch die Verwaltungsvereinbarung Nr. 1/2012/19T-247 geändert;</w:t>
      </w:r>
    </w:p>
    <w:p w:rsidR="00371832" w:rsidRPr="00515A3E" w:rsidRDefault="00371832" w:rsidP="00371832">
      <w:pPr>
        <w:ind w:left="567" w:hanging="567"/>
        <w:rPr>
          <w:rFonts w:cs="Arial"/>
        </w:rPr>
      </w:pPr>
    </w:p>
    <w:p w:rsidR="00371832" w:rsidRPr="00515A3E" w:rsidRDefault="00371832" w:rsidP="00371832">
      <w:pPr>
        <w:ind w:left="567" w:hanging="567"/>
        <w:rPr>
          <w:rFonts w:cs="Arial"/>
        </w:rPr>
      </w:pPr>
      <w:r w:rsidRPr="00515A3E">
        <w:t>–</w:t>
      </w:r>
      <w:r w:rsidRPr="00515A3E">
        <w:tab/>
        <w:t>Die Vereinbarung Nr. 10 vom 30. Juni 2006 mit dem deutschen Bundessortenamt über die Übermittlung der Ergebnisse der technischen Prüfung für die DUS-Prüfungen wurde am 18. Oktober 2010 mit Vereinbarung Nr. 19T-98 geändert.</w:t>
      </w:r>
    </w:p>
    <w:p w:rsidR="00371832" w:rsidRPr="00515A3E" w:rsidRDefault="00371832" w:rsidP="00371832">
      <w:pPr>
        <w:rPr>
          <w:rFonts w:cs="Arial"/>
        </w:rPr>
      </w:pPr>
    </w:p>
    <w:p w:rsidR="00371832" w:rsidRPr="00515A3E" w:rsidRDefault="00371832" w:rsidP="00371832">
      <w:pPr>
        <w:rPr>
          <w:rFonts w:cs="Arial"/>
        </w:rPr>
      </w:pPr>
    </w:p>
    <w:p w:rsidR="00371832" w:rsidRPr="00515A3E" w:rsidRDefault="00371832" w:rsidP="00371832">
      <w:pPr>
        <w:rPr>
          <w:rFonts w:cs="Arial"/>
          <w:u w:val="single"/>
        </w:rPr>
      </w:pPr>
      <w:r w:rsidRPr="00515A3E">
        <w:t>3.</w:t>
      </w:r>
      <w:r w:rsidRPr="00515A3E">
        <w:tab/>
      </w:r>
      <w:r w:rsidRPr="00515A3E">
        <w:rPr>
          <w:u w:val="single"/>
        </w:rPr>
        <w:t>Lage auf dem Gebiet der Verwaltung</w:t>
      </w:r>
    </w:p>
    <w:p w:rsidR="00371832" w:rsidRPr="00515A3E" w:rsidRDefault="00371832" w:rsidP="00371832">
      <w:pPr>
        <w:rPr>
          <w:rFonts w:cs="Arial"/>
        </w:rPr>
      </w:pPr>
    </w:p>
    <w:p w:rsidR="00371832" w:rsidRPr="00515A3E" w:rsidRDefault="00371832" w:rsidP="00371832">
      <w:pPr>
        <w:ind w:left="567" w:hanging="567"/>
        <w:rPr>
          <w:rFonts w:cs="Arial"/>
        </w:rPr>
      </w:pPr>
      <w:r w:rsidRPr="00515A3E">
        <w:t>–</w:t>
      </w:r>
      <w:r w:rsidRPr="00515A3E">
        <w:tab/>
        <w:t xml:space="preserve">Die Abteilung für Pflanzensorteneintragung der dem Landwirtschaftsministerium der Republik Litauen unterstellten staatlichen Pflanzendienststelle ist für die Prüfung von Pflanzensorten, die Listenführung und den rechtlichen Schutz zuständig; </w:t>
      </w:r>
    </w:p>
    <w:p w:rsidR="00371832" w:rsidRPr="00515A3E" w:rsidRDefault="00371832" w:rsidP="00371832">
      <w:pPr>
        <w:ind w:left="567" w:hanging="567"/>
        <w:rPr>
          <w:rFonts w:cs="Arial"/>
        </w:rPr>
      </w:pPr>
    </w:p>
    <w:p w:rsidR="00371832" w:rsidRPr="00515A3E" w:rsidRDefault="00371832" w:rsidP="00371832">
      <w:pPr>
        <w:ind w:left="567" w:hanging="567"/>
        <w:rPr>
          <w:rFonts w:cs="Arial"/>
        </w:rPr>
      </w:pPr>
      <w:r w:rsidRPr="00515A3E">
        <w:t>–</w:t>
      </w:r>
      <w:r w:rsidRPr="00515A3E">
        <w:tab/>
        <w:t>Die Kommission für die Prüfung der Anträge auf Sortenschutz, die am 6. Mai 2011 durch Verfügung Nr. A1</w:t>
      </w:r>
      <w:r w:rsidRPr="00515A3E">
        <w:noBreakHyphen/>
        <w:t>141 des Direktors der dem Landwirtschaftsministerium unterstellten staatlichen Pflanzendienststelle bestätigt wurde, wurde am 17. Juni 2013 auf Verfügung Nr. A1</w:t>
      </w:r>
      <w:r w:rsidRPr="00515A3E">
        <w:noBreakHyphen/>
        <w:t>217 des Direktors der dem Landwirtschaftsministerium unterstellten staatlichen Pflanzendienststelle geändert.</w:t>
      </w:r>
    </w:p>
    <w:p w:rsidR="00371832" w:rsidRPr="00515A3E" w:rsidRDefault="00371832" w:rsidP="00371832">
      <w:pPr>
        <w:ind w:left="567" w:hanging="567"/>
        <w:rPr>
          <w:rFonts w:cs="Arial"/>
        </w:rPr>
      </w:pPr>
    </w:p>
    <w:p w:rsidR="00371832" w:rsidRPr="00515A3E" w:rsidRDefault="00371832" w:rsidP="00371832">
      <w:pPr>
        <w:ind w:left="567" w:hanging="567"/>
        <w:rPr>
          <w:rFonts w:cs="Arial"/>
        </w:rPr>
      </w:pPr>
      <w:r w:rsidRPr="00515A3E">
        <w:t>–</w:t>
      </w:r>
      <w:r w:rsidRPr="00515A3E">
        <w:tab/>
        <w:t>Die Erteilung von Sortenschutz wird durch Verfügung des Direktors der dem Landwirtschaftsministerium unterstellten staatlichen Pflanzendienststelle gebilligt;</w:t>
      </w:r>
    </w:p>
    <w:p w:rsidR="00371832" w:rsidRPr="00515A3E" w:rsidRDefault="00371832" w:rsidP="00371832">
      <w:pPr>
        <w:ind w:left="567" w:hanging="567"/>
        <w:rPr>
          <w:rFonts w:cs="Arial"/>
        </w:rPr>
      </w:pPr>
    </w:p>
    <w:p w:rsidR="00371832" w:rsidRPr="00515A3E" w:rsidRDefault="00371832" w:rsidP="00371832">
      <w:pPr>
        <w:ind w:left="567" w:hanging="567"/>
        <w:rPr>
          <w:rFonts w:cs="Arial"/>
        </w:rPr>
      </w:pPr>
      <w:r w:rsidRPr="00515A3E">
        <w:t>–</w:t>
      </w:r>
      <w:r w:rsidRPr="00515A3E">
        <w:tab/>
        <w:t>Die Verfahren und das System für den Sortenschutz sind im Sortenschutzgesetz der Republik Litauen festgelegt.</w:t>
      </w:r>
    </w:p>
    <w:p w:rsidR="00371832" w:rsidRPr="00515A3E" w:rsidRDefault="00371832" w:rsidP="00371832">
      <w:pPr>
        <w:keepNext/>
        <w:rPr>
          <w:rFonts w:cs="Arial"/>
        </w:rPr>
      </w:pPr>
      <w:r w:rsidRPr="00515A3E">
        <w:t>4.</w:t>
      </w:r>
      <w:r w:rsidRPr="00515A3E">
        <w:tab/>
      </w:r>
      <w:r w:rsidRPr="00515A3E">
        <w:rPr>
          <w:u w:val="single"/>
        </w:rPr>
        <w:t>Lage auf dem Gebiet der Technik</w:t>
      </w:r>
    </w:p>
    <w:p w:rsidR="00371832" w:rsidRPr="00515A3E" w:rsidRDefault="00371832" w:rsidP="00371832">
      <w:pPr>
        <w:keepNext/>
        <w:rPr>
          <w:rFonts w:cs="Arial"/>
        </w:rPr>
      </w:pPr>
    </w:p>
    <w:p w:rsidR="00371832" w:rsidRPr="00515A3E" w:rsidRDefault="00371832" w:rsidP="00371832">
      <w:pPr>
        <w:rPr>
          <w:rFonts w:cs="Arial"/>
        </w:rPr>
      </w:pPr>
      <w:r w:rsidRPr="00515A3E">
        <w:t xml:space="preserve">Die DUS-Prüfungen werden gemäß einer Verwaltungsvereinbarung Nr. 1/2012/19T-247, geändert am 14. November 2012, vom polnischen Forschungszentrum für die Prüfung von Kulturpflanzen (COBORU) oder auf Anfrage des Züchters auch von einer anderen dafür zuständigen Prüfstelle der Europäischen Union durchgeführt. </w:t>
      </w:r>
    </w:p>
    <w:p w:rsidR="00371832" w:rsidRPr="00515A3E" w:rsidRDefault="00371832" w:rsidP="00371832">
      <w:pPr>
        <w:rPr>
          <w:rFonts w:cs="Arial"/>
        </w:rPr>
      </w:pPr>
    </w:p>
    <w:p w:rsidR="00371832" w:rsidRPr="00515A3E" w:rsidRDefault="00371832" w:rsidP="00371832">
      <w:pPr>
        <w:rPr>
          <w:rFonts w:cs="Arial"/>
        </w:rPr>
      </w:pPr>
    </w:p>
    <w:p w:rsidR="00371832" w:rsidRPr="00515A3E" w:rsidRDefault="00371832" w:rsidP="00371832">
      <w:pPr>
        <w:rPr>
          <w:rFonts w:cs="Arial"/>
          <w:u w:val="single"/>
        </w:rPr>
      </w:pPr>
      <w:r w:rsidRPr="00515A3E">
        <w:t>5.</w:t>
      </w:r>
      <w:r w:rsidRPr="00515A3E">
        <w:tab/>
      </w:r>
      <w:r w:rsidRPr="00515A3E">
        <w:rPr>
          <w:u w:val="single"/>
        </w:rPr>
        <w:t>Tätigkeiten zur Förderung des Sortenschutzes</w:t>
      </w:r>
    </w:p>
    <w:p w:rsidR="00371832" w:rsidRPr="00515A3E" w:rsidRDefault="00371832" w:rsidP="00371832">
      <w:pPr>
        <w:rPr>
          <w:rFonts w:cs="Arial"/>
          <w:u w:val="single"/>
        </w:rPr>
      </w:pPr>
    </w:p>
    <w:tbl>
      <w:tblPr>
        <w:tblW w:w="10156"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617"/>
        <w:gridCol w:w="1275"/>
        <w:gridCol w:w="1503"/>
        <w:gridCol w:w="1134"/>
        <w:gridCol w:w="1984"/>
        <w:gridCol w:w="1985"/>
        <w:gridCol w:w="658"/>
      </w:tblGrid>
      <w:tr w:rsidR="00371832" w:rsidRPr="00515A3E" w:rsidTr="004A0B04">
        <w:trPr>
          <w:cantSplit/>
          <w:tblHeader/>
        </w:trPr>
        <w:tc>
          <w:tcPr>
            <w:tcW w:w="1617"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Art der Tätigkeit</w:t>
            </w:r>
          </w:p>
        </w:tc>
        <w:tc>
          <w:tcPr>
            <w:tcW w:w="127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Datum</w:t>
            </w:r>
          </w:p>
        </w:tc>
        <w:tc>
          <w:tcPr>
            <w:tcW w:w="1503"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Ort</w:t>
            </w:r>
          </w:p>
        </w:tc>
        <w:tc>
          <w:tcPr>
            <w:tcW w:w="1134" w:type="dxa"/>
            <w:shd w:val="clear" w:color="auto" w:fill="auto"/>
            <w:tcMar>
              <w:left w:w="57" w:type="dxa"/>
              <w:right w:w="57" w:type="dxa"/>
            </w:tcMar>
          </w:tcPr>
          <w:p w:rsidR="00371832" w:rsidRPr="00515A3E" w:rsidRDefault="00371832" w:rsidP="00371832">
            <w:pPr>
              <w:jc w:val="left"/>
              <w:rPr>
                <w:rFonts w:cs="Arial"/>
                <w:sz w:val="18"/>
              </w:rPr>
            </w:pPr>
            <w:proofErr w:type="spellStart"/>
            <w:r w:rsidRPr="00515A3E">
              <w:rPr>
                <w:sz w:val="18"/>
              </w:rPr>
              <w:t>Organisa</w:t>
            </w:r>
            <w:proofErr w:type="spellEnd"/>
            <w:r w:rsidRPr="00515A3E">
              <w:rPr>
                <w:sz w:val="18"/>
              </w:rPr>
              <w:t>-tor(en)</w:t>
            </w:r>
          </w:p>
        </w:tc>
        <w:tc>
          <w:tcPr>
            <w:tcW w:w="198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Zweck der Tätigkeit</w:t>
            </w:r>
          </w:p>
        </w:tc>
        <w:tc>
          <w:tcPr>
            <w:tcW w:w="198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Teilnehmende Staaten/ Organisationen (Zahl de</w:t>
            </w:r>
            <w:r w:rsidR="004A0B04">
              <w:rPr>
                <w:sz w:val="18"/>
              </w:rPr>
              <w:t>r Teilnehmer pro Staat/Organisa</w:t>
            </w:r>
            <w:r w:rsidRPr="00515A3E">
              <w:rPr>
                <w:sz w:val="18"/>
              </w:rPr>
              <w:t>tion)</w:t>
            </w:r>
          </w:p>
        </w:tc>
        <w:tc>
          <w:tcPr>
            <w:tcW w:w="658" w:type="dxa"/>
            <w:shd w:val="clear" w:color="auto" w:fill="auto"/>
            <w:tcMar>
              <w:left w:w="57" w:type="dxa"/>
              <w:right w:w="57" w:type="dxa"/>
            </w:tcMar>
          </w:tcPr>
          <w:p w:rsidR="00371832" w:rsidRPr="00515A3E" w:rsidRDefault="00371832" w:rsidP="00371832">
            <w:pPr>
              <w:jc w:val="left"/>
              <w:rPr>
                <w:rFonts w:cs="Arial"/>
                <w:sz w:val="18"/>
              </w:rPr>
            </w:pPr>
            <w:proofErr w:type="spellStart"/>
            <w:r w:rsidRPr="00515A3E">
              <w:rPr>
                <w:sz w:val="18"/>
              </w:rPr>
              <w:t>Kom</w:t>
            </w:r>
            <w:r w:rsidR="004A0B04">
              <w:rPr>
                <w:sz w:val="18"/>
              </w:rPr>
              <w:t>-</w:t>
            </w:r>
            <w:r w:rsidRPr="00515A3E">
              <w:rPr>
                <w:sz w:val="18"/>
              </w:rPr>
              <w:t>men</w:t>
            </w:r>
            <w:r w:rsidR="004A0B04">
              <w:rPr>
                <w:sz w:val="18"/>
              </w:rPr>
              <w:t>-</w:t>
            </w:r>
            <w:r w:rsidRPr="00515A3E">
              <w:rPr>
                <w:sz w:val="18"/>
              </w:rPr>
              <w:t>tare</w:t>
            </w:r>
            <w:proofErr w:type="spellEnd"/>
          </w:p>
        </w:tc>
      </w:tr>
      <w:tr w:rsidR="00371832" w:rsidRPr="00515A3E" w:rsidTr="004A0B04">
        <w:trPr>
          <w:cantSplit/>
        </w:trPr>
        <w:tc>
          <w:tcPr>
            <w:tcW w:w="1617"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1. Sitzung der Europäische Kommission</w:t>
            </w:r>
          </w:p>
        </w:tc>
        <w:tc>
          <w:tcPr>
            <w:tcW w:w="127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4. Februar 2014</w:t>
            </w:r>
          </w:p>
        </w:tc>
        <w:tc>
          <w:tcPr>
            <w:tcW w:w="1503"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Brüssel, Belgien</w:t>
            </w:r>
          </w:p>
        </w:tc>
        <w:tc>
          <w:tcPr>
            <w:tcW w:w="113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Europäische Kommission</w:t>
            </w:r>
          </w:p>
        </w:tc>
        <w:tc>
          <w:tcPr>
            <w:tcW w:w="198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Erörterung wesentlicher Fragen betreffend Sortenschutz</w:t>
            </w:r>
          </w:p>
        </w:tc>
        <w:tc>
          <w:tcPr>
            <w:tcW w:w="198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Europäische Kommission, CPVO und Mitgliedstaaten - insgesamt 20</w:t>
            </w:r>
          </w:p>
        </w:tc>
        <w:tc>
          <w:tcPr>
            <w:tcW w:w="658" w:type="dxa"/>
            <w:shd w:val="clear" w:color="auto" w:fill="auto"/>
            <w:tcMar>
              <w:left w:w="57" w:type="dxa"/>
              <w:right w:w="57" w:type="dxa"/>
            </w:tcMar>
          </w:tcPr>
          <w:p w:rsidR="00371832" w:rsidRPr="00515A3E" w:rsidRDefault="00371832" w:rsidP="00371832">
            <w:pPr>
              <w:jc w:val="left"/>
              <w:rPr>
                <w:rFonts w:cs="Arial"/>
                <w:sz w:val="18"/>
              </w:rPr>
            </w:pPr>
          </w:p>
        </w:tc>
      </w:tr>
      <w:tr w:rsidR="00371832" w:rsidRPr="00515A3E" w:rsidTr="004A0B04">
        <w:trPr>
          <w:cantSplit/>
          <w:trHeight w:val="1656"/>
        </w:trPr>
        <w:tc>
          <w:tcPr>
            <w:tcW w:w="1617"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2. Verwaltungs-</w:t>
            </w:r>
            <w:proofErr w:type="spellStart"/>
            <w:r w:rsidRPr="00515A3E">
              <w:rPr>
                <w:sz w:val="18"/>
              </w:rPr>
              <w:t>ausschu</w:t>
            </w:r>
            <w:r w:rsidRPr="00515A3E">
              <w:t>ß</w:t>
            </w:r>
            <w:proofErr w:type="spellEnd"/>
            <w:r w:rsidRPr="00515A3E">
              <w:rPr>
                <w:sz w:val="18"/>
              </w:rPr>
              <w:t xml:space="preserve"> der CPVO Sitzung</w:t>
            </w:r>
          </w:p>
        </w:tc>
        <w:tc>
          <w:tcPr>
            <w:tcW w:w="127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18.-19. März 2014</w:t>
            </w:r>
          </w:p>
        </w:tc>
        <w:tc>
          <w:tcPr>
            <w:tcW w:w="1503"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Nitra, Slowakei</w:t>
            </w:r>
          </w:p>
        </w:tc>
        <w:tc>
          <w:tcPr>
            <w:tcW w:w="113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CPVO</w:t>
            </w:r>
          </w:p>
        </w:tc>
        <w:tc>
          <w:tcPr>
            <w:tcW w:w="198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Erörterung wesentlicher Fragen betreffend Sortenschutz</w:t>
            </w:r>
          </w:p>
        </w:tc>
        <w:tc>
          <w:tcPr>
            <w:tcW w:w="198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Europäische Kommission, CPVO, UPOV, Beobachter und Mitgliedstaaten - insgesamt 41</w:t>
            </w:r>
          </w:p>
        </w:tc>
        <w:tc>
          <w:tcPr>
            <w:tcW w:w="658" w:type="dxa"/>
            <w:shd w:val="clear" w:color="auto" w:fill="auto"/>
            <w:tcMar>
              <w:left w:w="57" w:type="dxa"/>
              <w:right w:w="57" w:type="dxa"/>
            </w:tcMar>
          </w:tcPr>
          <w:p w:rsidR="00371832" w:rsidRPr="00515A3E" w:rsidRDefault="00371832" w:rsidP="00371832">
            <w:pPr>
              <w:jc w:val="left"/>
              <w:rPr>
                <w:rFonts w:cs="Arial"/>
                <w:sz w:val="18"/>
              </w:rPr>
            </w:pPr>
          </w:p>
        </w:tc>
      </w:tr>
      <w:tr w:rsidR="00371832" w:rsidRPr="00515A3E" w:rsidTr="004A0B04">
        <w:trPr>
          <w:cantSplit/>
          <w:trHeight w:val="1656"/>
        </w:trPr>
        <w:tc>
          <w:tcPr>
            <w:tcW w:w="1617"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 xml:space="preserve">3. Seminar für Slowakische Züchter betreffend Nachbausaatgut </w:t>
            </w:r>
          </w:p>
        </w:tc>
        <w:tc>
          <w:tcPr>
            <w:tcW w:w="127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19. März 2014</w:t>
            </w:r>
          </w:p>
        </w:tc>
        <w:tc>
          <w:tcPr>
            <w:tcW w:w="1503"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Nitra, Slowakei</w:t>
            </w:r>
          </w:p>
        </w:tc>
        <w:tc>
          <w:tcPr>
            <w:tcW w:w="113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CPVO</w:t>
            </w:r>
          </w:p>
        </w:tc>
        <w:tc>
          <w:tcPr>
            <w:tcW w:w="198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Erörterung wesentlicher Fragen betreffend Nachbausaatgut und Erhebung von Vergütung dafür</w:t>
            </w:r>
          </w:p>
        </w:tc>
        <w:tc>
          <w:tcPr>
            <w:tcW w:w="198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CPVO, UPOV, Mitgliedstaaten und slowakische Züchter - insgesamt 40</w:t>
            </w:r>
          </w:p>
        </w:tc>
        <w:tc>
          <w:tcPr>
            <w:tcW w:w="658" w:type="dxa"/>
            <w:shd w:val="clear" w:color="auto" w:fill="auto"/>
            <w:tcMar>
              <w:left w:w="57" w:type="dxa"/>
              <w:right w:w="57" w:type="dxa"/>
            </w:tcMar>
          </w:tcPr>
          <w:p w:rsidR="00371832" w:rsidRPr="00515A3E" w:rsidRDefault="00371832" w:rsidP="00371832">
            <w:pPr>
              <w:jc w:val="left"/>
              <w:rPr>
                <w:rFonts w:cs="Arial"/>
                <w:sz w:val="18"/>
              </w:rPr>
            </w:pPr>
          </w:p>
        </w:tc>
      </w:tr>
      <w:tr w:rsidR="00371832" w:rsidRPr="00515A3E" w:rsidTr="004A0B04">
        <w:trPr>
          <w:cantSplit/>
          <w:trHeight w:val="1656"/>
        </w:trPr>
        <w:tc>
          <w:tcPr>
            <w:tcW w:w="1617"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 xml:space="preserve">4. Sitzung des Europäischen Rates </w:t>
            </w:r>
          </w:p>
        </w:tc>
        <w:tc>
          <w:tcPr>
            <w:tcW w:w="127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8. Oktober 2014</w:t>
            </w:r>
          </w:p>
        </w:tc>
        <w:tc>
          <w:tcPr>
            <w:tcW w:w="1503"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Brüssel, Belgien</w:t>
            </w:r>
          </w:p>
        </w:tc>
        <w:tc>
          <w:tcPr>
            <w:tcW w:w="113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Europäischer Rat</w:t>
            </w:r>
          </w:p>
        </w:tc>
        <w:tc>
          <w:tcPr>
            <w:tcW w:w="198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Koordinierung von Tätigkeiten betreffend bevorstehende UPOV-Tagungen</w:t>
            </w:r>
          </w:p>
        </w:tc>
        <w:tc>
          <w:tcPr>
            <w:tcW w:w="198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Kommission, CPVO und Mitgliedstaaten - insgesamt 37</w:t>
            </w:r>
          </w:p>
        </w:tc>
        <w:tc>
          <w:tcPr>
            <w:tcW w:w="658" w:type="dxa"/>
            <w:shd w:val="clear" w:color="auto" w:fill="auto"/>
            <w:tcMar>
              <w:left w:w="57" w:type="dxa"/>
              <w:right w:w="57" w:type="dxa"/>
            </w:tcMar>
          </w:tcPr>
          <w:p w:rsidR="00371832" w:rsidRPr="00515A3E" w:rsidRDefault="00371832" w:rsidP="00371832">
            <w:pPr>
              <w:jc w:val="left"/>
              <w:rPr>
                <w:rFonts w:cs="Arial"/>
                <w:sz w:val="18"/>
              </w:rPr>
            </w:pPr>
          </w:p>
        </w:tc>
      </w:tr>
      <w:tr w:rsidR="00371832" w:rsidRPr="00515A3E" w:rsidTr="004A0B04">
        <w:trPr>
          <w:cantSplit/>
          <w:trHeight w:val="1656"/>
        </w:trPr>
        <w:tc>
          <w:tcPr>
            <w:tcW w:w="1617"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5. Verwaltungs-</w:t>
            </w:r>
            <w:proofErr w:type="spellStart"/>
            <w:r w:rsidRPr="00515A3E">
              <w:rPr>
                <w:sz w:val="18"/>
              </w:rPr>
              <w:t>ausschuß</w:t>
            </w:r>
            <w:proofErr w:type="spellEnd"/>
            <w:r w:rsidRPr="00515A3E">
              <w:rPr>
                <w:sz w:val="18"/>
              </w:rPr>
              <w:t xml:space="preserve"> der CPVO Sitzung</w:t>
            </w:r>
          </w:p>
        </w:tc>
        <w:tc>
          <w:tcPr>
            <w:tcW w:w="127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9. Oktober 2014</w:t>
            </w:r>
          </w:p>
        </w:tc>
        <w:tc>
          <w:tcPr>
            <w:tcW w:w="1503"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Brüssel, Belgien</w:t>
            </w:r>
          </w:p>
        </w:tc>
        <w:tc>
          <w:tcPr>
            <w:tcW w:w="113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CPVO</w:t>
            </w:r>
          </w:p>
        </w:tc>
        <w:tc>
          <w:tcPr>
            <w:tcW w:w="198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Erörterung wesentlicher Fragen betreffend Sortenschutz</w:t>
            </w:r>
          </w:p>
        </w:tc>
        <w:tc>
          <w:tcPr>
            <w:tcW w:w="198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Europäische Kommission, CPVO, UPOV, Beobachter und Mitgliedstaaten - insgesamt 40</w:t>
            </w:r>
          </w:p>
        </w:tc>
        <w:tc>
          <w:tcPr>
            <w:tcW w:w="658" w:type="dxa"/>
            <w:shd w:val="clear" w:color="auto" w:fill="auto"/>
            <w:tcMar>
              <w:left w:w="57" w:type="dxa"/>
              <w:right w:w="57" w:type="dxa"/>
            </w:tcMar>
          </w:tcPr>
          <w:p w:rsidR="00371832" w:rsidRPr="00515A3E" w:rsidRDefault="00371832" w:rsidP="00371832">
            <w:pPr>
              <w:jc w:val="left"/>
              <w:rPr>
                <w:rFonts w:cs="Arial"/>
                <w:sz w:val="18"/>
              </w:rPr>
            </w:pPr>
          </w:p>
        </w:tc>
      </w:tr>
      <w:tr w:rsidR="00371832" w:rsidRPr="00515A3E" w:rsidTr="004A0B04">
        <w:trPr>
          <w:cantSplit/>
        </w:trPr>
        <w:tc>
          <w:tcPr>
            <w:tcW w:w="1617"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 xml:space="preserve">6. UPOV Verwaltungs- und </w:t>
            </w:r>
            <w:proofErr w:type="spellStart"/>
            <w:r w:rsidRPr="00515A3E">
              <w:rPr>
                <w:sz w:val="18"/>
              </w:rPr>
              <w:t>Rechtsausschuß</w:t>
            </w:r>
            <w:proofErr w:type="spellEnd"/>
          </w:p>
        </w:tc>
        <w:tc>
          <w:tcPr>
            <w:tcW w:w="127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13. Oktober 2014</w:t>
            </w:r>
          </w:p>
        </w:tc>
        <w:tc>
          <w:tcPr>
            <w:tcW w:w="1503"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Genf, Schweiz</w:t>
            </w:r>
          </w:p>
        </w:tc>
        <w:tc>
          <w:tcPr>
            <w:tcW w:w="113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UPOV</w:t>
            </w:r>
          </w:p>
        </w:tc>
        <w:tc>
          <w:tcPr>
            <w:tcW w:w="1984" w:type="dxa"/>
            <w:shd w:val="clear" w:color="auto" w:fill="auto"/>
            <w:tcMar>
              <w:left w:w="57" w:type="dxa"/>
              <w:right w:w="57" w:type="dxa"/>
            </w:tcMar>
          </w:tcPr>
          <w:p w:rsidR="00371832" w:rsidRPr="00515A3E" w:rsidRDefault="00371832" w:rsidP="00371832">
            <w:pPr>
              <w:jc w:val="left"/>
              <w:rPr>
                <w:rFonts w:cs="Arial"/>
                <w:sz w:val="18"/>
                <w:u w:val="single"/>
              </w:rPr>
            </w:pPr>
            <w:r w:rsidRPr="00515A3E">
              <w:rPr>
                <w:sz w:val="18"/>
              </w:rPr>
              <w:t>Erörterung wesentlicher Fragen betreffend Sortenschutz auf dem Gebiet von Verwaltung und Recht</w:t>
            </w:r>
          </w:p>
        </w:tc>
        <w:tc>
          <w:tcPr>
            <w:tcW w:w="198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Mitglieder (71), Beobachter (6), Organisationen (9), UPOV (6) – 92 insgesamt</w:t>
            </w:r>
          </w:p>
        </w:tc>
        <w:tc>
          <w:tcPr>
            <w:tcW w:w="658" w:type="dxa"/>
            <w:shd w:val="clear" w:color="auto" w:fill="auto"/>
            <w:tcMar>
              <w:left w:w="57" w:type="dxa"/>
              <w:right w:w="57" w:type="dxa"/>
            </w:tcMar>
          </w:tcPr>
          <w:p w:rsidR="00371832" w:rsidRPr="00515A3E" w:rsidRDefault="00371832" w:rsidP="00371832">
            <w:pPr>
              <w:jc w:val="left"/>
              <w:rPr>
                <w:rFonts w:cs="Arial"/>
                <w:sz w:val="18"/>
                <w:u w:val="single"/>
              </w:rPr>
            </w:pPr>
          </w:p>
        </w:tc>
      </w:tr>
      <w:tr w:rsidR="00371832" w:rsidRPr="00515A3E" w:rsidTr="004A0B04">
        <w:trPr>
          <w:cantSplit/>
        </w:trPr>
        <w:tc>
          <w:tcPr>
            <w:tcW w:w="1617"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7. Tagung der Beratungsgruppe des Verwaltungs- und Rechtsausschusses der UPOV</w:t>
            </w:r>
          </w:p>
        </w:tc>
        <w:tc>
          <w:tcPr>
            <w:tcW w:w="127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14. Oktober 2014</w:t>
            </w:r>
          </w:p>
        </w:tc>
        <w:tc>
          <w:tcPr>
            <w:tcW w:w="1503"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Genf, Schweiz</w:t>
            </w:r>
          </w:p>
        </w:tc>
        <w:tc>
          <w:tcPr>
            <w:tcW w:w="113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UPOV</w:t>
            </w:r>
          </w:p>
        </w:tc>
        <w:tc>
          <w:tcPr>
            <w:tcW w:w="1984" w:type="dxa"/>
            <w:shd w:val="clear" w:color="auto" w:fill="auto"/>
            <w:tcMar>
              <w:left w:w="57" w:type="dxa"/>
              <w:right w:w="57" w:type="dxa"/>
            </w:tcMar>
          </w:tcPr>
          <w:p w:rsidR="00371832" w:rsidRPr="00515A3E" w:rsidRDefault="00371832" w:rsidP="00371832">
            <w:pPr>
              <w:jc w:val="left"/>
              <w:rPr>
                <w:rFonts w:cs="Arial"/>
                <w:sz w:val="18"/>
                <w:u w:val="single"/>
              </w:rPr>
            </w:pPr>
            <w:r w:rsidRPr="00515A3E">
              <w:rPr>
                <w:sz w:val="18"/>
              </w:rPr>
              <w:t>Erörterung wesentlicher Fragen betreffend Sortenschutz auf dem Gebiet von Verwaltung und Recht</w:t>
            </w:r>
          </w:p>
        </w:tc>
        <w:tc>
          <w:tcPr>
            <w:tcW w:w="198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Mitglieder (71), Beobachter (6), Organisationen (9), UPOV (6) – 92 insgesamt</w:t>
            </w:r>
          </w:p>
        </w:tc>
        <w:tc>
          <w:tcPr>
            <w:tcW w:w="658" w:type="dxa"/>
            <w:shd w:val="clear" w:color="auto" w:fill="auto"/>
            <w:tcMar>
              <w:left w:w="57" w:type="dxa"/>
              <w:right w:w="57" w:type="dxa"/>
            </w:tcMar>
          </w:tcPr>
          <w:p w:rsidR="00371832" w:rsidRPr="00515A3E" w:rsidRDefault="00371832" w:rsidP="00371832">
            <w:pPr>
              <w:jc w:val="left"/>
              <w:rPr>
                <w:rFonts w:cs="Arial"/>
                <w:sz w:val="18"/>
                <w:u w:val="single"/>
              </w:rPr>
            </w:pPr>
          </w:p>
        </w:tc>
      </w:tr>
      <w:tr w:rsidR="00371832" w:rsidRPr="00515A3E" w:rsidTr="004A0B04">
        <w:trPr>
          <w:cantSplit/>
        </w:trPr>
        <w:tc>
          <w:tcPr>
            <w:tcW w:w="1617"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8. Tagung des Beratenden Ausschusses der UPOV</w:t>
            </w:r>
          </w:p>
        </w:tc>
        <w:tc>
          <w:tcPr>
            <w:tcW w:w="127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15. Oktober 2014</w:t>
            </w:r>
          </w:p>
        </w:tc>
        <w:tc>
          <w:tcPr>
            <w:tcW w:w="1503"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Genf, Schweiz</w:t>
            </w:r>
          </w:p>
        </w:tc>
        <w:tc>
          <w:tcPr>
            <w:tcW w:w="113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UPOV</w:t>
            </w:r>
          </w:p>
        </w:tc>
        <w:tc>
          <w:tcPr>
            <w:tcW w:w="1984" w:type="dxa"/>
            <w:shd w:val="clear" w:color="auto" w:fill="auto"/>
            <w:tcMar>
              <w:left w:w="57" w:type="dxa"/>
              <w:right w:w="57" w:type="dxa"/>
            </w:tcMar>
          </w:tcPr>
          <w:p w:rsidR="00371832" w:rsidRPr="00515A3E" w:rsidRDefault="00371832" w:rsidP="00371832">
            <w:pPr>
              <w:jc w:val="left"/>
              <w:rPr>
                <w:rFonts w:cs="Arial"/>
                <w:sz w:val="18"/>
                <w:u w:val="single"/>
              </w:rPr>
            </w:pPr>
            <w:r w:rsidRPr="00515A3E">
              <w:rPr>
                <w:sz w:val="18"/>
              </w:rPr>
              <w:t>Erörterung wesentlicher Fragen betreffend Sortenschutz im Bereich der Beratung</w:t>
            </w:r>
          </w:p>
        </w:tc>
        <w:tc>
          <w:tcPr>
            <w:tcW w:w="198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 xml:space="preserve">Mitglieder (71), Beobachter (6), Organisationen (9), UPOV (6) – 92 insgesamt </w:t>
            </w:r>
          </w:p>
        </w:tc>
        <w:tc>
          <w:tcPr>
            <w:tcW w:w="658" w:type="dxa"/>
            <w:shd w:val="clear" w:color="auto" w:fill="auto"/>
            <w:tcMar>
              <w:left w:w="57" w:type="dxa"/>
              <w:right w:w="57" w:type="dxa"/>
            </w:tcMar>
          </w:tcPr>
          <w:p w:rsidR="00371832" w:rsidRPr="00515A3E" w:rsidRDefault="00371832" w:rsidP="00371832">
            <w:pPr>
              <w:jc w:val="left"/>
              <w:rPr>
                <w:rFonts w:cs="Arial"/>
                <w:sz w:val="18"/>
                <w:u w:val="single"/>
              </w:rPr>
            </w:pPr>
          </w:p>
        </w:tc>
      </w:tr>
      <w:tr w:rsidR="00371832" w:rsidRPr="00515A3E" w:rsidTr="004A0B04">
        <w:trPr>
          <w:cantSplit/>
        </w:trPr>
        <w:tc>
          <w:tcPr>
            <w:tcW w:w="1617"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9. Tagung des Rates der UPOV</w:t>
            </w:r>
          </w:p>
        </w:tc>
        <w:tc>
          <w:tcPr>
            <w:tcW w:w="127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16. Oktober 2014</w:t>
            </w:r>
          </w:p>
        </w:tc>
        <w:tc>
          <w:tcPr>
            <w:tcW w:w="1503"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Genf, Schweiz</w:t>
            </w:r>
          </w:p>
        </w:tc>
        <w:tc>
          <w:tcPr>
            <w:tcW w:w="113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UPOV</w:t>
            </w:r>
          </w:p>
        </w:tc>
        <w:tc>
          <w:tcPr>
            <w:tcW w:w="198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Erörterung wesentlicher Fragen bezüglich Sortenschutz auf Ebene des Rates</w:t>
            </w:r>
          </w:p>
        </w:tc>
        <w:tc>
          <w:tcPr>
            <w:tcW w:w="1985"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Mitglieder (71), Beobachter (6), Organisationen (9), UPOV (6) – 92 insgesamt</w:t>
            </w:r>
          </w:p>
        </w:tc>
        <w:tc>
          <w:tcPr>
            <w:tcW w:w="658" w:type="dxa"/>
            <w:shd w:val="clear" w:color="auto" w:fill="auto"/>
            <w:tcMar>
              <w:left w:w="57" w:type="dxa"/>
              <w:right w:w="57" w:type="dxa"/>
            </w:tcMar>
          </w:tcPr>
          <w:p w:rsidR="00371832" w:rsidRPr="00515A3E" w:rsidRDefault="00371832" w:rsidP="00371832">
            <w:pPr>
              <w:jc w:val="left"/>
              <w:rPr>
                <w:rFonts w:cs="Arial"/>
                <w:sz w:val="18"/>
              </w:rPr>
            </w:pPr>
          </w:p>
        </w:tc>
      </w:tr>
      <w:tr w:rsidR="00371832" w:rsidRPr="00515A3E" w:rsidTr="004A0B04">
        <w:trPr>
          <w:cantSplit/>
        </w:trPr>
        <w:tc>
          <w:tcPr>
            <w:tcW w:w="1617"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10. CPVO-Tagung mit den Prüfungs-einrichtungen</w:t>
            </w:r>
          </w:p>
        </w:tc>
        <w:tc>
          <w:tcPr>
            <w:tcW w:w="1275" w:type="dxa"/>
            <w:shd w:val="clear" w:color="auto" w:fill="auto"/>
            <w:tcMar>
              <w:left w:w="57" w:type="dxa"/>
              <w:right w:w="57" w:type="dxa"/>
            </w:tcMar>
          </w:tcPr>
          <w:p w:rsidR="00371832" w:rsidRPr="00515A3E" w:rsidRDefault="00371832" w:rsidP="00371832">
            <w:pPr>
              <w:jc w:val="left"/>
              <w:rPr>
                <w:rFonts w:cs="Arial"/>
                <w:sz w:val="18"/>
              </w:rPr>
            </w:pPr>
          </w:p>
        </w:tc>
        <w:tc>
          <w:tcPr>
            <w:tcW w:w="1503" w:type="dxa"/>
            <w:shd w:val="clear" w:color="auto" w:fill="auto"/>
            <w:tcMar>
              <w:left w:w="57" w:type="dxa"/>
              <w:right w:w="57" w:type="dxa"/>
            </w:tcMar>
          </w:tcPr>
          <w:p w:rsidR="00371832" w:rsidRPr="00515A3E" w:rsidRDefault="00371832" w:rsidP="00371832">
            <w:pPr>
              <w:jc w:val="left"/>
              <w:rPr>
                <w:rFonts w:cs="Arial"/>
                <w:sz w:val="18"/>
              </w:rPr>
            </w:pPr>
          </w:p>
        </w:tc>
        <w:tc>
          <w:tcPr>
            <w:tcW w:w="1134" w:type="dxa"/>
            <w:shd w:val="clear" w:color="auto" w:fill="auto"/>
            <w:tcMar>
              <w:left w:w="57" w:type="dxa"/>
              <w:right w:w="57" w:type="dxa"/>
            </w:tcMar>
          </w:tcPr>
          <w:p w:rsidR="00371832" w:rsidRPr="00515A3E" w:rsidRDefault="00371832" w:rsidP="00371832">
            <w:pPr>
              <w:jc w:val="left"/>
              <w:rPr>
                <w:rFonts w:cs="Arial"/>
                <w:sz w:val="18"/>
              </w:rPr>
            </w:pPr>
          </w:p>
        </w:tc>
        <w:tc>
          <w:tcPr>
            <w:tcW w:w="1984" w:type="dxa"/>
            <w:shd w:val="clear" w:color="auto" w:fill="auto"/>
            <w:tcMar>
              <w:left w:w="57" w:type="dxa"/>
              <w:right w:w="57" w:type="dxa"/>
            </w:tcMar>
          </w:tcPr>
          <w:p w:rsidR="00371832" w:rsidRPr="00515A3E" w:rsidRDefault="00371832" w:rsidP="00371832">
            <w:pPr>
              <w:jc w:val="left"/>
              <w:rPr>
                <w:rFonts w:cs="Arial"/>
                <w:sz w:val="18"/>
              </w:rPr>
            </w:pPr>
            <w:r w:rsidRPr="00515A3E">
              <w:rPr>
                <w:sz w:val="18"/>
              </w:rPr>
              <w:t>Erörterung von Fragen betreffend DUS-Prüfung von Pflanzensorten und Sortenschutz</w:t>
            </w:r>
          </w:p>
        </w:tc>
        <w:tc>
          <w:tcPr>
            <w:tcW w:w="1985" w:type="dxa"/>
            <w:shd w:val="clear" w:color="auto" w:fill="auto"/>
            <w:tcMar>
              <w:left w:w="57" w:type="dxa"/>
              <w:right w:w="57" w:type="dxa"/>
            </w:tcMar>
          </w:tcPr>
          <w:p w:rsidR="00371832" w:rsidRPr="00515A3E" w:rsidRDefault="00371832" w:rsidP="00371832">
            <w:pPr>
              <w:jc w:val="left"/>
              <w:rPr>
                <w:rFonts w:cs="Arial"/>
                <w:sz w:val="18"/>
              </w:rPr>
            </w:pPr>
          </w:p>
        </w:tc>
        <w:tc>
          <w:tcPr>
            <w:tcW w:w="658" w:type="dxa"/>
            <w:shd w:val="clear" w:color="auto" w:fill="auto"/>
            <w:tcMar>
              <w:left w:w="57" w:type="dxa"/>
              <w:right w:w="57" w:type="dxa"/>
            </w:tcMar>
          </w:tcPr>
          <w:p w:rsidR="00371832" w:rsidRPr="00515A3E" w:rsidRDefault="00371832" w:rsidP="00371832">
            <w:pPr>
              <w:jc w:val="left"/>
              <w:rPr>
                <w:rFonts w:cs="Arial"/>
                <w:sz w:val="18"/>
                <w:u w:val="single"/>
              </w:rPr>
            </w:pPr>
          </w:p>
        </w:tc>
      </w:tr>
    </w:tbl>
    <w:p w:rsidR="00371832" w:rsidRPr="00515A3E" w:rsidRDefault="00371832" w:rsidP="00371832">
      <w:pPr>
        <w:rPr>
          <w:rFonts w:cs="Arial"/>
        </w:rPr>
      </w:pPr>
    </w:p>
    <w:p w:rsidR="00371832" w:rsidRPr="00515A3E" w:rsidRDefault="00371832" w:rsidP="00371832">
      <w:pPr>
        <w:ind w:left="567" w:hanging="567"/>
        <w:rPr>
          <w:rFonts w:cs="Arial"/>
        </w:rPr>
      </w:pPr>
      <w:r w:rsidRPr="00515A3E">
        <w:t>–</w:t>
      </w:r>
      <w:r w:rsidRPr="00515A3E">
        <w:tab/>
        <w:t xml:space="preserve">Das Informationsblatt für Züchterrechte und die nationale Liste Nr. 1 (21) des staatlichen, dem Landwirtschaftsministerium der Republik Litauen unterstellten </w:t>
      </w:r>
      <w:proofErr w:type="spellStart"/>
      <w:r w:rsidRPr="00515A3E">
        <w:t>Sortenpüfungszentrums</w:t>
      </w:r>
      <w:proofErr w:type="spellEnd"/>
      <w:r w:rsidRPr="00515A3E">
        <w:t xml:space="preserve"> wurde am 23. Januar 2014 und die Nr. 2 (22) am 12. Juni 2014 herausgegeben.</w:t>
      </w:r>
    </w:p>
    <w:p w:rsidR="00371832" w:rsidRPr="00515A3E" w:rsidRDefault="00371832" w:rsidP="00371832">
      <w:pPr>
        <w:rPr>
          <w:rFonts w:cs="Arial"/>
        </w:rPr>
      </w:pPr>
    </w:p>
    <w:p w:rsidR="00371832" w:rsidRPr="00515A3E" w:rsidRDefault="00371832" w:rsidP="00371832">
      <w:pPr>
        <w:rPr>
          <w:rFonts w:cs="Arial"/>
        </w:rPr>
      </w:pPr>
    </w:p>
    <w:p w:rsidR="00371832" w:rsidRPr="004A0B04" w:rsidRDefault="00371832" w:rsidP="00371832">
      <w:pPr>
        <w:rPr>
          <w:rFonts w:cs="Arial"/>
        </w:rPr>
      </w:pPr>
      <w:r w:rsidRPr="004A0B04">
        <w:t>II.</w:t>
      </w:r>
      <w:r w:rsidRPr="004A0B04">
        <w:tab/>
        <w:t>ANDERE ENTWICKLUNGEN VON INTERESSE FÜR DIE UPOV</w:t>
      </w:r>
    </w:p>
    <w:p w:rsidR="00371832" w:rsidRPr="00515A3E" w:rsidRDefault="00371832" w:rsidP="00371832">
      <w:pPr>
        <w:rPr>
          <w:rFonts w:cs="Arial"/>
          <w:b/>
        </w:rPr>
      </w:pPr>
    </w:p>
    <w:p w:rsidR="00371832" w:rsidRPr="00515A3E" w:rsidRDefault="00371832" w:rsidP="00371832">
      <w:pPr>
        <w:ind w:left="567" w:hanging="567"/>
        <w:rPr>
          <w:rFonts w:cs="Arial"/>
        </w:rPr>
      </w:pPr>
      <w:r w:rsidRPr="00515A3E">
        <w:t>–</w:t>
      </w:r>
      <w:r w:rsidRPr="00515A3E">
        <w:tab/>
        <w:t>Die Nationale Sortenliste Litauens 2014 wurde durch wird durch Verfügung Nr. A1-31 des Direktors der dem Landwirtschaftsministerium unterstellten staatlichen Pflanzendienststelle der Republik Litauen am 31. Januar 2014 gebilligt; Das Vermehrungsmaterial jeder eingetragenen Sorte jeder Pflanzenart kann gemäß den im Einklang mit der entsprechenden EU-Richtlinie erarbeiteten obligatorischen Anforderungen zertifiziert werden.</w:t>
      </w:r>
    </w:p>
    <w:p w:rsidR="00371832" w:rsidRDefault="00371832" w:rsidP="00371832"/>
    <w:p w:rsidR="004A0B04" w:rsidRPr="00515A3E" w:rsidRDefault="004A0B04" w:rsidP="00371832"/>
    <w:p w:rsidR="00C517EE" w:rsidRPr="005917C2" w:rsidRDefault="00C517EE" w:rsidP="00C517EE"/>
    <w:p w:rsidR="00C517EE" w:rsidRPr="0075031D" w:rsidRDefault="00DB5AC1" w:rsidP="00C517EE">
      <w:pPr>
        <w:jc w:val="right"/>
      </w:pPr>
      <w:r>
        <w:t>[Anlage</w:t>
      </w:r>
      <w:r w:rsidR="00C517EE" w:rsidRPr="0075031D">
        <w:t xml:space="preserve"> </w:t>
      </w:r>
      <w:r w:rsidR="00C517EE">
        <w:t>VI</w:t>
      </w:r>
      <w:r w:rsidR="00C517EE" w:rsidRPr="0075031D">
        <w:t xml:space="preserve">II </w:t>
      </w:r>
      <w:r>
        <w:t>folgt]</w:t>
      </w:r>
    </w:p>
    <w:p w:rsidR="00C517EE" w:rsidRPr="0075031D" w:rsidRDefault="00C517EE" w:rsidP="00C517EE">
      <w:pPr>
        <w:jc w:val="left"/>
      </w:pPr>
    </w:p>
    <w:p w:rsidR="00C517EE" w:rsidRDefault="00C517EE" w:rsidP="00C517EE">
      <w:pPr>
        <w:jc w:val="left"/>
        <w:sectPr w:rsidR="00C517EE" w:rsidSect="00371832">
          <w:headerReference w:type="default" r:id="rId25"/>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t xml:space="preserve"> VIII</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t>MAROKKO</w:t>
      </w:r>
    </w:p>
    <w:p w:rsidR="00C517EE" w:rsidRDefault="00C517EE" w:rsidP="00C517EE">
      <w:pPr>
        <w:jc w:val="left"/>
      </w:pPr>
    </w:p>
    <w:p w:rsidR="00C517EE" w:rsidRDefault="00C517EE" w:rsidP="00C517EE">
      <w:pPr>
        <w:jc w:val="left"/>
      </w:pPr>
    </w:p>
    <w:p w:rsidR="00C552FF" w:rsidRPr="0087603D" w:rsidRDefault="00C552FF" w:rsidP="00C552FF">
      <w:pPr>
        <w:rPr>
          <w:rFonts w:cs="Arial"/>
        </w:rPr>
      </w:pPr>
      <w:r>
        <w:t>SORTENSCHUTZ</w:t>
      </w:r>
    </w:p>
    <w:p w:rsidR="00C552FF" w:rsidRPr="0087603D" w:rsidRDefault="00C552FF" w:rsidP="00C552FF">
      <w:pPr>
        <w:rPr>
          <w:rFonts w:cs="Arial"/>
        </w:rPr>
      </w:pPr>
    </w:p>
    <w:p w:rsidR="00C552FF" w:rsidRPr="0087603D" w:rsidRDefault="00C552FF" w:rsidP="00C552FF">
      <w:pPr>
        <w:rPr>
          <w:rFonts w:cs="Arial"/>
        </w:rPr>
      </w:pPr>
      <w:r>
        <w:t>1.</w:t>
      </w:r>
      <w:r>
        <w:tab/>
      </w:r>
      <w:r>
        <w:rPr>
          <w:u w:val="single"/>
        </w:rPr>
        <w:t>Lage auf dem Gebiet der Gesetzgebung</w:t>
      </w:r>
    </w:p>
    <w:p w:rsidR="00C552FF" w:rsidRPr="0087603D" w:rsidRDefault="00C552FF" w:rsidP="00C552FF">
      <w:pPr>
        <w:rPr>
          <w:rFonts w:cs="Arial"/>
        </w:rPr>
      </w:pPr>
    </w:p>
    <w:p w:rsidR="00C552FF" w:rsidRPr="00A67586" w:rsidRDefault="00C552FF" w:rsidP="00C552FF">
      <w:r>
        <w:tab/>
        <w:t>1.1</w:t>
      </w:r>
      <w:r>
        <w:tab/>
        <w:t>Änderungen des Gesetzes und der Ausführungsvorschriften</w:t>
      </w:r>
    </w:p>
    <w:p w:rsidR="00C552FF" w:rsidRDefault="00C552FF" w:rsidP="00C552FF">
      <w:pPr>
        <w:ind w:left="851"/>
      </w:pPr>
    </w:p>
    <w:p w:rsidR="00C552FF" w:rsidRDefault="00C552FF" w:rsidP="00C552FF">
      <w:pPr>
        <w:ind w:left="851"/>
      </w:pPr>
      <w:r>
        <w:t>Keine Anmerkungen.</w:t>
      </w:r>
    </w:p>
    <w:p w:rsidR="00C552FF" w:rsidRPr="00A67586" w:rsidRDefault="00C552FF" w:rsidP="00C552FF">
      <w:pPr>
        <w:ind w:left="851"/>
      </w:pPr>
    </w:p>
    <w:p w:rsidR="00C552FF" w:rsidRPr="00CC0F21" w:rsidRDefault="00C552FF" w:rsidP="00C552FF">
      <w:pPr>
        <w:ind w:firstLine="425"/>
      </w:pPr>
      <w:r>
        <w:t>1.2</w:t>
      </w:r>
      <w:r>
        <w:tab/>
        <w:t>Erstreckung des Schutzes auf weitere Gattungen und Arten (geschehen oder geplant)</w:t>
      </w:r>
    </w:p>
    <w:p w:rsidR="00C552FF" w:rsidRPr="00CC0F21" w:rsidRDefault="00C552FF" w:rsidP="00C552FF"/>
    <w:tbl>
      <w:tblPr>
        <w:tblStyle w:val="TableGrid"/>
        <w:tblW w:w="0" w:type="auto"/>
        <w:tblInd w:w="1101" w:type="dxa"/>
        <w:tblLook w:val="04A0" w:firstRow="1" w:lastRow="0" w:firstColumn="1" w:lastColumn="0" w:noHBand="0" w:noVBand="1"/>
      </w:tblPr>
      <w:tblGrid>
        <w:gridCol w:w="2409"/>
        <w:gridCol w:w="3544"/>
      </w:tblGrid>
      <w:tr w:rsidR="00C552FF" w:rsidRPr="00CC0F21" w:rsidTr="00AF7FF3">
        <w:tc>
          <w:tcPr>
            <w:tcW w:w="2409" w:type="dxa"/>
          </w:tcPr>
          <w:p w:rsidR="00C552FF" w:rsidRPr="00CC0F21" w:rsidRDefault="00C552FF" w:rsidP="00AF7FF3">
            <w:pPr>
              <w:rPr>
                <w:b/>
                <w:bCs/>
              </w:rPr>
            </w:pPr>
            <w:r>
              <w:rPr>
                <w:b/>
              </w:rPr>
              <w:t>Arten</w:t>
            </w:r>
          </w:p>
        </w:tc>
        <w:tc>
          <w:tcPr>
            <w:tcW w:w="3544" w:type="dxa"/>
          </w:tcPr>
          <w:p w:rsidR="00C552FF" w:rsidRPr="00CC0F21" w:rsidRDefault="00C552FF" w:rsidP="00AF7FF3">
            <w:pPr>
              <w:rPr>
                <w:b/>
                <w:bCs/>
              </w:rPr>
            </w:pPr>
            <w:r>
              <w:rPr>
                <w:b/>
              </w:rPr>
              <w:t>Lateinischer Name</w:t>
            </w:r>
          </w:p>
        </w:tc>
      </w:tr>
      <w:tr w:rsidR="00C552FF" w:rsidRPr="00CC0F21" w:rsidTr="00AF7FF3">
        <w:tc>
          <w:tcPr>
            <w:tcW w:w="2409" w:type="dxa"/>
          </w:tcPr>
          <w:p w:rsidR="00C552FF" w:rsidRPr="00CC0F21" w:rsidRDefault="00C552FF" w:rsidP="00AF7FF3">
            <w:pPr>
              <w:rPr>
                <w:bCs/>
              </w:rPr>
            </w:pPr>
            <w:proofErr w:type="spellStart"/>
            <w:r>
              <w:t>Arganbaum</w:t>
            </w:r>
            <w:proofErr w:type="spellEnd"/>
          </w:p>
        </w:tc>
        <w:tc>
          <w:tcPr>
            <w:tcW w:w="3544" w:type="dxa"/>
          </w:tcPr>
          <w:p w:rsidR="00C552FF" w:rsidRPr="00CC0F21" w:rsidRDefault="00C552FF" w:rsidP="00AF7FF3">
            <w:proofErr w:type="spellStart"/>
            <w:r>
              <w:t>Argania</w:t>
            </w:r>
            <w:proofErr w:type="spellEnd"/>
            <w:r>
              <w:t xml:space="preserve"> </w:t>
            </w:r>
            <w:proofErr w:type="spellStart"/>
            <w:r>
              <w:t>spinosa</w:t>
            </w:r>
            <w:proofErr w:type="spellEnd"/>
            <w:r>
              <w:t xml:space="preserve"> (L.) </w:t>
            </w:r>
            <w:proofErr w:type="spellStart"/>
            <w:r>
              <w:t>Skeels</w:t>
            </w:r>
            <w:proofErr w:type="spellEnd"/>
          </w:p>
        </w:tc>
      </w:tr>
      <w:tr w:rsidR="00C552FF" w:rsidRPr="00CC0F21" w:rsidTr="00AF7FF3">
        <w:tc>
          <w:tcPr>
            <w:tcW w:w="2409" w:type="dxa"/>
          </w:tcPr>
          <w:p w:rsidR="00C552FF" w:rsidRPr="00CC0F21" w:rsidRDefault="00C552FF" w:rsidP="00AF7FF3">
            <w:pPr>
              <w:rPr>
                <w:bCs/>
              </w:rPr>
            </w:pPr>
            <w:r>
              <w:t>Feigenbaum</w:t>
            </w:r>
          </w:p>
        </w:tc>
        <w:tc>
          <w:tcPr>
            <w:tcW w:w="3544" w:type="dxa"/>
          </w:tcPr>
          <w:p w:rsidR="00C552FF" w:rsidRPr="00CC0F21" w:rsidRDefault="00C552FF" w:rsidP="00AF7FF3">
            <w:proofErr w:type="spellStart"/>
            <w:r>
              <w:t>Ficus</w:t>
            </w:r>
            <w:proofErr w:type="spellEnd"/>
            <w:r>
              <w:t xml:space="preserve"> L</w:t>
            </w:r>
          </w:p>
        </w:tc>
      </w:tr>
      <w:tr w:rsidR="00C552FF" w:rsidRPr="00830F3A" w:rsidTr="00AF7FF3">
        <w:tc>
          <w:tcPr>
            <w:tcW w:w="2409" w:type="dxa"/>
          </w:tcPr>
          <w:p w:rsidR="00C552FF" w:rsidRPr="00CC0F21" w:rsidRDefault="00C552FF" w:rsidP="00AF7FF3">
            <w:pPr>
              <w:rPr>
                <w:bCs/>
              </w:rPr>
            </w:pPr>
            <w:r>
              <w:t>Granatapfel</w:t>
            </w:r>
          </w:p>
        </w:tc>
        <w:tc>
          <w:tcPr>
            <w:tcW w:w="3544" w:type="dxa"/>
          </w:tcPr>
          <w:p w:rsidR="00C552FF" w:rsidRPr="00347219" w:rsidRDefault="00C552FF" w:rsidP="00AF7FF3">
            <w:pPr>
              <w:rPr>
                <w:lang w:val="es-ES_tradnl"/>
              </w:rPr>
            </w:pPr>
            <w:proofErr w:type="spellStart"/>
            <w:r w:rsidRPr="00347219">
              <w:rPr>
                <w:lang w:val="es-ES_tradnl"/>
              </w:rPr>
              <w:t>Punica</w:t>
            </w:r>
            <w:proofErr w:type="spellEnd"/>
            <w:r w:rsidRPr="00347219">
              <w:rPr>
                <w:lang w:val="es-ES_tradnl"/>
              </w:rPr>
              <w:t xml:space="preserve"> L.</w:t>
            </w:r>
          </w:p>
          <w:p w:rsidR="00C552FF" w:rsidRPr="00347219" w:rsidRDefault="00C552FF" w:rsidP="00AF7FF3">
            <w:pPr>
              <w:rPr>
                <w:lang w:val="es-ES_tradnl"/>
              </w:rPr>
            </w:pPr>
            <w:proofErr w:type="spellStart"/>
            <w:r w:rsidRPr="00347219">
              <w:rPr>
                <w:lang w:val="es-ES_tradnl"/>
              </w:rPr>
              <w:t>Punica</w:t>
            </w:r>
            <w:proofErr w:type="spellEnd"/>
            <w:r w:rsidRPr="00347219">
              <w:rPr>
                <w:lang w:val="es-ES_tradnl"/>
              </w:rPr>
              <w:t xml:space="preserve"> </w:t>
            </w:r>
            <w:proofErr w:type="spellStart"/>
            <w:r w:rsidRPr="00347219">
              <w:rPr>
                <w:lang w:val="es-ES_tradnl"/>
              </w:rPr>
              <w:t>granatum</w:t>
            </w:r>
            <w:proofErr w:type="spellEnd"/>
            <w:r w:rsidRPr="00347219">
              <w:rPr>
                <w:lang w:val="es-ES_tradnl"/>
              </w:rPr>
              <w:t xml:space="preserve"> L.</w:t>
            </w:r>
          </w:p>
        </w:tc>
      </w:tr>
      <w:tr w:rsidR="00C552FF" w:rsidRPr="00CC0F21" w:rsidTr="00AF7FF3">
        <w:tc>
          <w:tcPr>
            <w:tcW w:w="2409" w:type="dxa"/>
          </w:tcPr>
          <w:p w:rsidR="00C552FF" w:rsidRPr="00CC0F21" w:rsidRDefault="00C552FF" w:rsidP="00AF7FF3">
            <w:r>
              <w:t>Safran</w:t>
            </w:r>
          </w:p>
        </w:tc>
        <w:tc>
          <w:tcPr>
            <w:tcW w:w="3544" w:type="dxa"/>
          </w:tcPr>
          <w:p w:rsidR="00C552FF" w:rsidRPr="00CC0F21" w:rsidRDefault="00C552FF" w:rsidP="00AF7FF3">
            <w:proofErr w:type="spellStart"/>
            <w:r>
              <w:t>Corcus</w:t>
            </w:r>
            <w:proofErr w:type="spellEnd"/>
            <w:r>
              <w:t xml:space="preserve"> </w:t>
            </w:r>
            <w:proofErr w:type="spellStart"/>
            <w:r>
              <w:t>sativus</w:t>
            </w:r>
            <w:proofErr w:type="spellEnd"/>
            <w:r>
              <w:t xml:space="preserve"> L.</w:t>
            </w:r>
          </w:p>
        </w:tc>
      </w:tr>
    </w:tbl>
    <w:p w:rsidR="00C552FF" w:rsidRPr="00A67586" w:rsidRDefault="00C552FF" w:rsidP="00C552FF"/>
    <w:p w:rsidR="00C552FF" w:rsidRPr="00A67586" w:rsidRDefault="00C552FF" w:rsidP="00C552FF"/>
    <w:p w:rsidR="00C552FF" w:rsidRPr="00A67586" w:rsidRDefault="00C552FF" w:rsidP="00C552FF">
      <w:pPr>
        <w:rPr>
          <w:u w:val="single"/>
        </w:rPr>
      </w:pPr>
      <w:r>
        <w:t>2.</w:t>
      </w:r>
      <w:r>
        <w:tab/>
      </w:r>
      <w:r>
        <w:rPr>
          <w:u w:val="single"/>
        </w:rPr>
        <w:t>Zusammenarbeit bei der Prüfung</w:t>
      </w:r>
    </w:p>
    <w:p w:rsidR="00C552FF" w:rsidRPr="00A67586" w:rsidRDefault="00C552FF" w:rsidP="00C552FF">
      <w:pPr>
        <w:rPr>
          <w:u w:val="single"/>
        </w:rPr>
      </w:pPr>
    </w:p>
    <w:p w:rsidR="00C552FF" w:rsidRDefault="00C552FF" w:rsidP="00C552FF">
      <w:pPr>
        <w:tabs>
          <w:tab w:val="left" w:pos="851"/>
          <w:tab w:val="left" w:pos="4111"/>
        </w:tabs>
        <w:ind w:left="425"/>
      </w:pPr>
      <w:r>
        <w:t>-</w:t>
      </w:r>
      <w:r>
        <w:tab/>
        <w:t xml:space="preserve">Schließung neuer Vereinbarungen (geschehen, in Vorbereitung oder geplant)  </w:t>
      </w:r>
    </w:p>
    <w:p w:rsidR="00C552FF" w:rsidRDefault="00C552FF" w:rsidP="00C552FF"/>
    <w:p w:rsidR="00C552FF" w:rsidRPr="00A67586" w:rsidRDefault="00C552FF" w:rsidP="00C552FF">
      <w:pPr>
        <w:ind w:left="425"/>
      </w:pPr>
      <w:r>
        <w:t xml:space="preserve">Übernahme von DUS-Prüfungsberichten der CPVO, Spaniens, Frankreichs, der Niederlande, Australiens, Chiles und der Tschechischen Republik. </w:t>
      </w:r>
    </w:p>
    <w:p w:rsidR="00C552FF" w:rsidRPr="0087603D" w:rsidRDefault="00C552FF" w:rsidP="00C552FF">
      <w:pPr>
        <w:rPr>
          <w:rFonts w:cs="Arial"/>
        </w:rPr>
      </w:pPr>
    </w:p>
    <w:p w:rsidR="00C517EE" w:rsidRPr="005917C2" w:rsidRDefault="00C517EE" w:rsidP="00C517EE"/>
    <w:p w:rsidR="00C517EE" w:rsidRDefault="00C517EE" w:rsidP="00C517EE">
      <w:pPr>
        <w:jc w:val="left"/>
      </w:pPr>
    </w:p>
    <w:p w:rsidR="00C517EE" w:rsidRPr="0075031D" w:rsidRDefault="00DB5AC1" w:rsidP="00C517EE">
      <w:pPr>
        <w:jc w:val="right"/>
      </w:pPr>
      <w:r>
        <w:t>[Anlage</w:t>
      </w:r>
      <w:r w:rsidR="00C517EE">
        <w:t xml:space="preserve"> IX</w:t>
      </w:r>
      <w:r w:rsidR="00C517EE" w:rsidRPr="0075031D">
        <w:t xml:space="preserve"> </w:t>
      </w:r>
      <w:r>
        <w:t>folgt]</w:t>
      </w:r>
    </w:p>
    <w:p w:rsidR="00C517EE" w:rsidRPr="0075031D" w:rsidRDefault="00C517EE" w:rsidP="00C517EE">
      <w:pPr>
        <w:jc w:val="left"/>
      </w:pPr>
    </w:p>
    <w:p w:rsidR="00C517EE" w:rsidRDefault="00C517EE" w:rsidP="00C517EE">
      <w:pPr>
        <w:jc w:val="left"/>
        <w:sectPr w:rsidR="00C517EE" w:rsidSect="00371832">
          <w:headerReference w:type="default" r:id="rId26"/>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I</w:t>
      </w:r>
      <w:r w:rsidR="00C517EE">
        <w:t>X</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t>NEUSEELAND</w:t>
      </w:r>
    </w:p>
    <w:p w:rsidR="00C517EE" w:rsidRDefault="00C517EE" w:rsidP="00C517EE">
      <w:pPr>
        <w:jc w:val="left"/>
      </w:pPr>
    </w:p>
    <w:p w:rsidR="00C517EE" w:rsidRDefault="00C517EE" w:rsidP="00C517EE">
      <w:pPr>
        <w:jc w:val="left"/>
      </w:pPr>
    </w:p>
    <w:p w:rsidR="00514738" w:rsidRPr="00515A3E" w:rsidRDefault="00514738" w:rsidP="00514738">
      <w:r w:rsidRPr="00515A3E">
        <w:t>SORTENSCHUTZ</w:t>
      </w:r>
    </w:p>
    <w:p w:rsidR="00514738" w:rsidRPr="00515A3E" w:rsidRDefault="00514738" w:rsidP="00514738"/>
    <w:p w:rsidR="00514738" w:rsidRPr="00515A3E" w:rsidRDefault="00514738" w:rsidP="00514738">
      <w:r w:rsidRPr="00515A3E">
        <w:t>1.</w:t>
      </w:r>
      <w:r w:rsidRPr="00515A3E">
        <w:tab/>
      </w:r>
      <w:r w:rsidRPr="00515A3E">
        <w:rPr>
          <w:u w:val="single"/>
        </w:rPr>
        <w:t>Lage auf dem Gebiet der Gesetzgebung</w:t>
      </w:r>
    </w:p>
    <w:p w:rsidR="00514738" w:rsidRPr="00515A3E" w:rsidRDefault="00514738" w:rsidP="00514738"/>
    <w:p w:rsidR="00514738" w:rsidRPr="00515A3E" w:rsidRDefault="00514738" w:rsidP="00514738">
      <w:r w:rsidRPr="00515A3E">
        <w:t>Das Sortenrechtsgesetz von 1987 bleibt in Kraft und entspricht der Akte von 1978 des UPOV</w:t>
      </w:r>
      <w:r w:rsidRPr="00515A3E">
        <w:noBreakHyphen/>
        <w:t>Übereinkommens. Eine Überarbeitung der Akte einschließlich der Prüfung des Beitritts zur Akte von 1991 des Übereinkommens wird voraussichtlich in den kommenden ein bis zwei Jahren erfolgen.</w:t>
      </w:r>
    </w:p>
    <w:p w:rsidR="00514738" w:rsidRPr="00515A3E" w:rsidRDefault="00514738" w:rsidP="00514738">
      <w:pPr>
        <w:rPr>
          <w:rFonts w:cs="Calibri"/>
        </w:rPr>
      </w:pPr>
    </w:p>
    <w:p w:rsidR="00514738" w:rsidRPr="00515A3E" w:rsidRDefault="00514738" w:rsidP="00514738">
      <w:pPr>
        <w:rPr>
          <w:rFonts w:cs="Calibri"/>
        </w:rPr>
      </w:pPr>
    </w:p>
    <w:p w:rsidR="00514738" w:rsidRPr="00515A3E" w:rsidRDefault="00514738" w:rsidP="00514738">
      <w:pPr>
        <w:rPr>
          <w:rFonts w:cs="Calibri"/>
          <w:u w:val="single"/>
        </w:rPr>
      </w:pPr>
      <w:r w:rsidRPr="00515A3E">
        <w:t>2.</w:t>
      </w:r>
      <w:r w:rsidRPr="00515A3E">
        <w:tab/>
      </w:r>
      <w:r w:rsidRPr="00515A3E">
        <w:rPr>
          <w:u w:val="single"/>
        </w:rPr>
        <w:t>Zusammenarbeit bei der Prüfung</w:t>
      </w:r>
    </w:p>
    <w:p w:rsidR="00514738" w:rsidRPr="00515A3E" w:rsidRDefault="00514738" w:rsidP="00514738">
      <w:pPr>
        <w:rPr>
          <w:rFonts w:cs="Calibri"/>
          <w:u w:val="single"/>
        </w:rPr>
      </w:pPr>
    </w:p>
    <w:p w:rsidR="00514738" w:rsidRPr="00515A3E" w:rsidRDefault="00514738" w:rsidP="00514738">
      <w:pPr>
        <w:rPr>
          <w:rFonts w:cs="Calibri"/>
        </w:rPr>
      </w:pPr>
      <w:r w:rsidRPr="00515A3E">
        <w:t>Neuseeland erwirbt weiterhin je nach Bedarf im Rahmen der allgemeinen Bestimmungen des Übereinkommens Prüfungsberichte von Mitgliedstaaten für bestimmte Arten. Nach der Aufhebung der Gebühren für die Nutzung neuseeländischer Prüfungsberichte Ende 2012 wurde ein Anstieg der Zahl der Anfragen festgestellt.</w:t>
      </w:r>
    </w:p>
    <w:p w:rsidR="00514738" w:rsidRPr="00515A3E" w:rsidRDefault="00514738" w:rsidP="00514738">
      <w:pPr>
        <w:rPr>
          <w:rFonts w:cs="Calibri"/>
        </w:rPr>
      </w:pPr>
    </w:p>
    <w:p w:rsidR="00514738" w:rsidRPr="00515A3E" w:rsidRDefault="00514738" w:rsidP="00514738">
      <w:pPr>
        <w:rPr>
          <w:rFonts w:cs="Calibri"/>
        </w:rPr>
      </w:pPr>
      <w:r w:rsidRPr="00515A3E">
        <w:t xml:space="preserve">Das Sortenrechtsamt (das Amt) und das Züchterrechtsamt Australiens arbeiten im Hinblick auf Sorten von gemeinsamem Interesse auch weiterhin zusammen. Dabei handelt es sich um Sorten, für die Anträge in beiden Ländern gestellt wurden und bei denen noch Fragen im Hinblick auf ein oder mehrere Kriterien für die Erteilung von Züchterrechten offen sind. Die technische Zusammenarbeit wurde durch die Abschaffung der Erwerbskosten für einen australischen Prüfungsbericht, der in einer neuseeländischen Prüfung verwendet wird, verbessert. </w:t>
      </w:r>
    </w:p>
    <w:p w:rsidR="00514738" w:rsidRPr="00515A3E" w:rsidRDefault="00514738" w:rsidP="00514738">
      <w:pPr>
        <w:rPr>
          <w:rFonts w:cs="Calibri"/>
        </w:rPr>
      </w:pPr>
    </w:p>
    <w:p w:rsidR="00514738" w:rsidRPr="00515A3E" w:rsidRDefault="00514738" w:rsidP="00514738">
      <w:pPr>
        <w:rPr>
          <w:rFonts w:cs="Calibri"/>
        </w:rPr>
      </w:pPr>
    </w:p>
    <w:p w:rsidR="00514738" w:rsidRPr="00515A3E" w:rsidRDefault="00514738" w:rsidP="00514738">
      <w:pPr>
        <w:rPr>
          <w:rFonts w:cs="Calibri"/>
          <w:u w:val="single"/>
        </w:rPr>
      </w:pPr>
      <w:r w:rsidRPr="00515A3E">
        <w:t>3.</w:t>
      </w:r>
      <w:r w:rsidRPr="00515A3E">
        <w:tab/>
      </w:r>
      <w:r w:rsidRPr="00515A3E">
        <w:rPr>
          <w:u w:val="single"/>
        </w:rPr>
        <w:t>Lage auf dem Gebiet der Verwaltung</w:t>
      </w:r>
    </w:p>
    <w:p w:rsidR="00514738" w:rsidRPr="00515A3E" w:rsidRDefault="00514738" w:rsidP="00514738">
      <w:pPr>
        <w:rPr>
          <w:rFonts w:cs="Calibri"/>
          <w:b/>
        </w:rPr>
      </w:pPr>
    </w:p>
    <w:p w:rsidR="00514738" w:rsidRPr="00515A3E" w:rsidRDefault="00514738" w:rsidP="00514738">
      <w:pPr>
        <w:rPr>
          <w:rFonts w:cs="Calibri"/>
        </w:rPr>
      </w:pPr>
      <w:r w:rsidRPr="00515A3E">
        <w:t>In dem am 30. Juni 2015 endenden Finanzjahr wurden 136 Sort</w:t>
      </w:r>
      <w:r>
        <w:t>enschutzanträge angenommen (20% </w:t>
      </w:r>
      <w:r w:rsidRPr="00515A3E">
        <w:t>weniger als im Vorjahr), 133 Schutztitel erteilt (15 % weniger als im Vorjahr) und 78 Schutzrechte beendet (30 % weniger als im Vorjahr). Zum 30. Juni 2015 waren 1 295 Schutztitel in Kraft (2% mehr als im Vorjahr). Die Anzahl der Anträge war im vergangenen Jahr ungewöhnlich hoch und die geringere Anzahl in diesem Jahr entspricht nun wieder einem ähnlichen Niveau wie in den Vorjahren.</w:t>
      </w:r>
    </w:p>
    <w:p w:rsidR="00514738" w:rsidRPr="00515A3E" w:rsidRDefault="00514738" w:rsidP="00514738">
      <w:pPr>
        <w:rPr>
          <w:rFonts w:cs="Calibri"/>
        </w:rPr>
      </w:pPr>
    </w:p>
    <w:p w:rsidR="00514738" w:rsidRPr="00515A3E" w:rsidRDefault="00514738" w:rsidP="00514738">
      <w:pPr>
        <w:rPr>
          <w:rFonts w:cs="Calibri"/>
        </w:rPr>
      </w:pPr>
      <w:r w:rsidRPr="00515A3E">
        <w:t xml:space="preserve">Die ISO-Zertifizierung des Amts wurde im August 2015 erneuert. In einer verbundenen Tätigkeit verbessert das Amt weiterhin die Dokumentation der Praktiken und Verfahren des Amtes mit dem Ziel eindeutige Berichte und Anleitung für alle Schlüsselaufgaben zu liefern. Außerdem verfolgt das Amt ein Programm laufender Verbesserung für das Fallverwaltungssystem. Etwa 95 % der Anträge werden nun online eingereicht. </w:t>
      </w:r>
    </w:p>
    <w:p w:rsidR="00514738" w:rsidRPr="00515A3E" w:rsidRDefault="00514738" w:rsidP="00514738">
      <w:pPr>
        <w:rPr>
          <w:rFonts w:cs="Calibri"/>
        </w:rPr>
      </w:pPr>
    </w:p>
    <w:p w:rsidR="00514738" w:rsidRPr="00515A3E" w:rsidRDefault="00514738" w:rsidP="00514738">
      <w:pPr>
        <w:rPr>
          <w:rFonts w:cs="Calibri"/>
        </w:rPr>
      </w:pPr>
    </w:p>
    <w:p w:rsidR="00514738" w:rsidRPr="00515A3E" w:rsidRDefault="00514738" w:rsidP="00514738">
      <w:pPr>
        <w:rPr>
          <w:rFonts w:cs="Calibri"/>
        </w:rPr>
      </w:pPr>
      <w:r w:rsidRPr="00515A3E">
        <w:t>4.</w:t>
      </w:r>
      <w:r w:rsidRPr="00515A3E">
        <w:tab/>
      </w:r>
      <w:r w:rsidRPr="00515A3E">
        <w:rPr>
          <w:u w:val="single"/>
        </w:rPr>
        <w:t>Lage auf dem Gebiet der Technik</w:t>
      </w:r>
    </w:p>
    <w:p w:rsidR="00514738" w:rsidRPr="00515A3E" w:rsidRDefault="00514738" w:rsidP="00514738">
      <w:pPr>
        <w:rPr>
          <w:rFonts w:cs="Calibri"/>
        </w:rPr>
      </w:pPr>
    </w:p>
    <w:p w:rsidR="00514738" w:rsidRPr="00515A3E" w:rsidRDefault="00514738" w:rsidP="00514738">
      <w:pPr>
        <w:rPr>
          <w:rFonts w:cs="Calibri"/>
        </w:rPr>
      </w:pPr>
      <w:r w:rsidRPr="00515A3E">
        <w:t xml:space="preserve">Neuseeland hat die Erstellung der Prüfungsrichtlinie für </w:t>
      </w:r>
      <w:proofErr w:type="spellStart"/>
      <w:r w:rsidRPr="00515A3E">
        <w:rPr>
          <w:i/>
        </w:rPr>
        <w:t>Acca</w:t>
      </w:r>
      <w:proofErr w:type="spellEnd"/>
      <w:r w:rsidRPr="00515A3E">
        <w:t xml:space="preserve"> in der TWF fertiggestellt und ist derzeit führender Verfasser der Prüfungsrichtlinie für </w:t>
      </w:r>
      <w:proofErr w:type="spellStart"/>
      <w:r w:rsidRPr="00515A3E">
        <w:rPr>
          <w:i/>
        </w:rPr>
        <w:t>Cordyline</w:t>
      </w:r>
      <w:proofErr w:type="spellEnd"/>
      <w:r w:rsidRPr="00515A3E">
        <w:t xml:space="preserve"> in der TWO und für Hybrid </w:t>
      </w:r>
      <w:proofErr w:type="spellStart"/>
      <w:r w:rsidRPr="00515A3E">
        <w:t>Pear</w:t>
      </w:r>
      <w:proofErr w:type="spellEnd"/>
      <w:r w:rsidRPr="00515A3E">
        <w:t xml:space="preserve"> in der TWF.</w:t>
      </w:r>
    </w:p>
    <w:p w:rsidR="00514738" w:rsidRPr="00515A3E" w:rsidRDefault="00514738" w:rsidP="00514738">
      <w:pPr>
        <w:rPr>
          <w:rFonts w:cs="Calibri"/>
        </w:rPr>
      </w:pPr>
    </w:p>
    <w:p w:rsidR="00514738" w:rsidRPr="00515A3E" w:rsidRDefault="00514738" w:rsidP="00514738">
      <w:pPr>
        <w:rPr>
          <w:rFonts w:cs="Calibri"/>
        </w:rPr>
      </w:pPr>
      <w:r w:rsidRPr="00515A3E">
        <w:t>Auf Anfrage einer Züchterorganisation wurden technische Informationen auf der Webseite zu Merkmalen von Weidelgras, Zeitpunkt der Entwicklung der Blütenstände und Länge des längsten Stängels, bereitgestellt. Ziel ist es, die Qualität der Informationen zu verbessern, die im Technischen Fragebogen vom Züchter bei der Anmeldung angegeben werden. Züchter haben Schwierigkeiten bei der Ermittlung der Ausprägungsstufe bei ihrer neuen Sorte und können nun auf die Daten des PVRO zurückgreifen, um besser bestimmen zu können, wo ihre Sorte steht.</w:t>
      </w:r>
    </w:p>
    <w:p w:rsidR="00514738" w:rsidRPr="00515A3E" w:rsidRDefault="00514738" w:rsidP="00514738">
      <w:pPr>
        <w:rPr>
          <w:rFonts w:cs="Calibri"/>
        </w:rPr>
      </w:pPr>
    </w:p>
    <w:p w:rsidR="00514738" w:rsidRPr="00515A3E" w:rsidRDefault="00514738" w:rsidP="00514738">
      <w:pPr>
        <w:rPr>
          <w:rFonts w:cs="Calibri"/>
        </w:rPr>
      </w:pPr>
    </w:p>
    <w:p w:rsidR="00514738" w:rsidRPr="00515A3E" w:rsidRDefault="00514738" w:rsidP="00514738">
      <w:pPr>
        <w:jc w:val="left"/>
        <w:rPr>
          <w:rFonts w:cs="Calibri"/>
        </w:rPr>
      </w:pPr>
      <w:r w:rsidRPr="00515A3E">
        <w:br w:type="page"/>
      </w:r>
    </w:p>
    <w:p w:rsidR="00514738" w:rsidRPr="00515A3E" w:rsidRDefault="00514738" w:rsidP="00514738">
      <w:pPr>
        <w:rPr>
          <w:rFonts w:cs="Calibri"/>
          <w:u w:val="single"/>
        </w:rPr>
      </w:pPr>
      <w:r w:rsidRPr="00515A3E">
        <w:t>5.</w:t>
      </w:r>
      <w:r w:rsidRPr="00515A3E">
        <w:tab/>
      </w:r>
      <w:r w:rsidRPr="00515A3E">
        <w:rPr>
          <w:u w:val="single"/>
        </w:rPr>
        <w:t>Tätigkeiten zur Förderung des Sortenschutzes</w:t>
      </w:r>
    </w:p>
    <w:p w:rsidR="00514738" w:rsidRPr="00515A3E" w:rsidRDefault="00514738" w:rsidP="00514738">
      <w:pPr>
        <w:rPr>
          <w:rFonts w:cs="Calibri"/>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851"/>
        <w:gridCol w:w="992"/>
        <w:gridCol w:w="1559"/>
        <w:gridCol w:w="1418"/>
        <w:gridCol w:w="1983"/>
        <w:gridCol w:w="1985"/>
      </w:tblGrid>
      <w:tr w:rsidR="00514738" w:rsidRPr="00515A3E" w:rsidTr="00AF7FF3">
        <w:tc>
          <w:tcPr>
            <w:tcW w:w="1384" w:type="dxa"/>
            <w:shd w:val="clear" w:color="auto" w:fill="auto"/>
          </w:tcPr>
          <w:p w:rsidR="00514738" w:rsidRPr="00515A3E" w:rsidRDefault="00514738" w:rsidP="00AF7FF3">
            <w:pPr>
              <w:jc w:val="left"/>
              <w:rPr>
                <w:rFonts w:cs="Mangal"/>
                <w:sz w:val="18"/>
                <w:szCs w:val="26"/>
              </w:rPr>
            </w:pPr>
            <w:r w:rsidRPr="00515A3E">
              <w:rPr>
                <w:sz w:val="18"/>
              </w:rPr>
              <w:t>Art der Tätigkeit</w:t>
            </w:r>
          </w:p>
        </w:tc>
        <w:tc>
          <w:tcPr>
            <w:tcW w:w="851" w:type="dxa"/>
            <w:shd w:val="clear" w:color="auto" w:fill="auto"/>
          </w:tcPr>
          <w:p w:rsidR="00514738" w:rsidRPr="00515A3E" w:rsidRDefault="00514738" w:rsidP="00AF7FF3">
            <w:pPr>
              <w:jc w:val="left"/>
              <w:rPr>
                <w:rFonts w:cs="Mangal"/>
                <w:sz w:val="18"/>
                <w:szCs w:val="26"/>
              </w:rPr>
            </w:pPr>
            <w:r w:rsidRPr="00515A3E">
              <w:rPr>
                <w:sz w:val="18"/>
              </w:rPr>
              <w:t>Datum</w:t>
            </w:r>
          </w:p>
        </w:tc>
        <w:tc>
          <w:tcPr>
            <w:tcW w:w="992" w:type="dxa"/>
            <w:shd w:val="clear" w:color="auto" w:fill="auto"/>
          </w:tcPr>
          <w:p w:rsidR="00514738" w:rsidRPr="00515A3E" w:rsidRDefault="00514738" w:rsidP="00AF7FF3">
            <w:pPr>
              <w:jc w:val="left"/>
              <w:rPr>
                <w:rFonts w:cs="Mangal"/>
                <w:sz w:val="18"/>
                <w:szCs w:val="26"/>
              </w:rPr>
            </w:pPr>
            <w:r w:rsidRPr="00515A3E">
              <w:rPr>
                <w:sz w:val="18"/>
              </w:rPr>
              <w:t>Ort</w:t>
            </w:r>
          </w:p>
        </w:tc>
        <w:tc>
          <w:tcPr>
            <w:tcW w:w="1559" w:type="dxa"/>
            <w:shd w:val="clear" w:color="auto" w:fill="auto"/>
          </w:tcPr>
          <w:p w:rsidR="00514738" w:rsidRPr="00515A3E" w:rsidRDefault="00514738" w:rsidP="00AF7FF3">
            <w:pPr>
              <w:jc w:val="left"/>
              <w:rPr>
                <w:rFonts w:cs="Mangal"/>
                <w:sz w:val="18"/>
                <w:szCs w:val="26"/>
              </w:rPr>
            </w:pPr>
            <w:r w:rsidRPr="00515A3E">
              <w:rPr>
                <w:sz w:val="18"/>
              </w:rPr>
              <w:t>Organisator(en)</w:t>
            </w:r>
          </w:p>
        </w:tc>
        <w:tc>
          <w:tcPr>
            <w:tcW w:w="1418" w:type="dxa"/>
            <w:shd w:val="clear" w:color="auto" w:fill="auto"/>
          </w:tcPr>
          <w:p w:rsidR="00514738" w:rsidRPr="00515A3E" w:rsidRDefault="00514738" w:rsidP="00AF7FF3">
            <w:pPr>
              <w:jc w:val="left"/>
              <w:rPr>
                <w:rFonts w:cs="Mangal"/>
                <w:sz w:val="18"/>
                <w:szCs w:val="26"/>
              </w:rPr>
            </w:pPr>
            <w:r w:rsidRPr="00515A3E">
              <w:rPr>
                <w:sz w:val="18"/>
              </w:rPr>
              <w:t>Zweck der Tätigkeit</w:t>
            </w:r>
          </w:p>
        </w:tc>
        <w:tc>
          <w:tcPr>
            <w:tcW w:w="1983" w:type="dxa"/>
            <w:shd w:val="clear" w:color="auto" w:fill="auto"/>
          </w:tcPr>
          <w:p w:rsidR="00514738" w:rsidRPr="00515A3E" w:rsidRDefault="00514738" w:rsidP="00AF7FF3">
            <w:pPr>
              <w:jc w:val="left"/>
              <w:rPr>
                <w:rFonts w:cs="Mangal"/>
                <w:sz w:val="18"/>
                <w:szCs w:val="26"/>
              </w:rPr>
            </w:pPr>
            <w:r w:rsidRPr="00515A3E">
              <w:rPr>
                <w:sz w:val="18"/>
              </w:rPr>
              <w:t>Teilnehmende Staaten/ Organisationen (Zahl der Teilnehmer pro Staat/Organisation)</w:t>
            </w:r>
          </w:p>
        </w:tc>
        <w:tc>
          <w:tcPr>
            <w:tcW w:w="1985" w:type="dxa"/>
            <w:shd w:val="clear" w:color="auto" w:fill="auto"/>
          </w:tcPr>
          <w:p w:rsidR="00514738" w:rsidRPr="00515A3E" w:rsidRDefault="00514738" w:rsidP="00AF7FF3">
            <w:pPr>
              <w:jc w:val="left"/>
              <w:rPr>
                <w:rFonts w:cs="Mangal"/>
                <w:sz w:val="18"/>
                <w:szCs w:val="26"/>
              </w:rPr>
            </w:pPr>
            <w:r w:rsidRPr="00515A3E">
              <w:rPr>
                <w:sz w:val="18"/>
              </w:rPr>
              <w:t>Bemerkungen</w:t>
            </w:r>
          </w:p>
        </w:tc>
      </w:tr>
      <w:tr w:rsidR="00514738" w:rsidRPr="00515A3E" w:rsidTr="00AF7FF3">
        <w:tc>
          <w:tcPr>
            <w:tcW w:w="1384" w:type="dxa"/>
            <w:shd w:val="clear" w:color="auto" w:fill="auto"/>
          </w:tcPr>
          <w:p w:rsidR="00514738" w:rsidRPr="00515A3E" w:rsidRDefault="00514738" w:rsidP="00AF7FF3">
            <w:pPr>
              <w:jc w:val="left"/>
              <w:rPr>
                <w:rFonts w:cs="Mangal"/>
                <w:sz w:val="18"/>
                <w:szCs w:val="26"/>
              </w:rPr>
            </w:pPr>
            <w:r w:rsidRPr="00515A3E">
              <w:rPr>
                <w:sz w:val="18"/>
              </w:rPr>
              <w:t>1. Technische Unterstützung und Schulung</w:t>
            </w:r>
          </w:p>
        </w:tc>
        <w:tc>
          <w:tcPr>
            <w:tcW w:w="851" w:type="dxa"/>
            <w:shd w:val="clear" w:color="auto" w:fill="auto"/>
          </w:tcPr>
          <w:p w:rsidR="00514738" w:rsidRPr="00515A3E" w:rsidRDefault="00514738" w:rsidP="00AF7FF3">
            <w:pPr>
              <w:jc w:val="left"/>
              <w:rPr>
                <w:rFonts w:cs="Mangal"/>
                <w:sz w:val="18"/>
                <w:szCs w:val="26"/>
              </w:rPr>
            </w:pPr>
            <w:r w:rsidRPr="00515A3E">
              <w:rPr>
                <w:sz w:val="18"/>
              </w:rPr>
              <w:t>3.-6. Nov. 2014</w:t>
            </w:r>
          </w:p>
        </w:tc>
        <w:tc>
          <w:tcPr>
            <w:tcW w:w="992" w:type="dxa"/>
            <w:shd w:val="clear" w:color="auto" w:fill="auto"/>
          </w:tcPr>
          <w:p w:rsidR="00514738" w:rsidRPr="00515A3E" w:rsidRDefault="00514738" w:rsidP="00AF7FF3">
            <w:pPr>
              <w:jc w:val="left"/>
              <w:rPr>
                <w:rFonts w:cs="Mangal"/>
                <w:sz w:val="18"/>
                <w:szCs w:val="26"/>
              </w:rPr>
            </w:pPr>
            <w:r w:rsidRPr="00515A3E">
              <w:rPr>
                <w:sz w:val="18"/>
              </w:rPr>
              <w:t>Malaysia</w:t>
            </w:r>
          </w:p>
        </w:tc>
        <w:tc>
          <w:tcPr>
            <w:tcW w:w="1559" w:type="dxa"/>
            <w:shd w:val="clear" w:color="auto" w:fill="auto"/>
          </w:tcPr>
          <w:p w:rsidR="00514738" w:rsidRPr="00515A3E" w:rsidRDefault="00514738" w:rsidP="00AF7FF3">
            <w:pPr>
              <w:jc w:val="left"/>
              <w:rPr>
                <w:rFonts w:cs="Mangal"/>
                <w:sz w:val="18"/>
                <w:szCs w:val="26"/>
              </w:rPr>
            </w:pPr>
            <w:r w:rsidRPr="00515A3E">
              <w:rPr>
                <w:sz w:val="18"/>
              </w:rPr>
              <w:t>Ostasiatisches Forum für Sortenschutz</w:t>
            </w:r>
          </w:p>
        </w:tc>
        <w:tc>
          <w:tcPr>
            <w:tcW w:w="1418" w:type="dxa"/>
            <w:shd w:val="clear" w:color="auto" w:fill="auto"/>
          </w:tcPr>
          <w:p w:rsidR="00514738" w:rsidRPr="00515A3E" w:rsidRDefault="00514738" w:rsidP="00AF7FF3">
            <w:pPr>
              <w:jc w:val="left"/>
              <w:rPr>
                <w:rFonts w:cs="Mangal"/>
                <w:sz w:val="18"/>
                <w:szCs w:val="26"/>
              </w:rPr>
            </w:pPr>
            <w:r w:rsidRPr="00515A3E">
              <w:rPr>
                <w:sz w:val="18"/>
              </w:rPr>
              <w:t>Erstellung von Prüfungs-</w:t>
            </w:r>
            <w:proofErr w:type="spellStart"/>
            <w:r w:rsidRPr="00515A3E">
              <w:rPr>
                <w:sz w:val="18"/>
              </w:rPr>
              <w:t>richtlinen</w:t>
            </w:r>
            <w:proofErr w:type="spellEnd"/>
            <w:r w:rsidRPr="00515A3E">
              <w:rPr>
                <w:sz w:val="18"/>
              </w:rPr>
              <w:t xml:space="preserve"> für </w:t>
            </w:r>
            <w:proofErr w:type="spellStart"/>
            <w:r w:rsidRPr="00515A3E">
              <w:rPr>
                <w:sz w:val="18"/>
              </w:rPr>
              <w:t>Karambola</w:t>
            </w:r>
            <w:proofErr w:type="spellEnd"/>
            <w:r w:rsidRPr="00515A3E">
              <w:rPr>
                <w:sz w:val="18"/>
              </w:rPr>
              <w:t xml:space="preserve"> und </w:t>
            </w:r>
            <w:proofErr w:type="spellStart"/>
            <w:r w:rsidRPr="00515A3E">
              <w:rPr>
                <w:sz w:val="18"/>
              </w:rPr>
              <w:t>Rambutan</w:t>
            </w:r>
            <w:proofErr w:type="spellEnd"/>
          </w:p>
        </w:tc>
        <w:tc>
          <w:tcPr>
            <w:tcW w:w="1983" w:type="dxa"/>
            <w:shd w:val="clear" w:color="auto" w:fill="auto"/>
          </w:tcPr>
          <w:p w:rsidR="00514738" w:rsidRPr="00515A3E" w:rsidRDefault="00514738" w:rsidP="00AF7FF3">
            <w:pPr>
              <w:jc w:val="left"/>
              <w:rPr>
                <w:rFonts w:cs="Mangal"/>
                <w:sz w:val="18"/>
                <w:szCs w:val="26"/>
              </w:rPr>
            </w:pPr>
            <w:r w:rsidRPr="00515A3E">
              <w:rPr>
                <w:sz w:val="18"/>
              </w:rPr>
              <w:t>Malaysia, Thailand, Kambodscha, Indonesien, Sekretariat des Ostasienforums</w:t>
            </w:r>
          </w:p>
        </w:tc>
        <w:tc>
          <w:tcPr>
            <w:tcW w:w="1985" w:type="dxa"/>
            <w:shd w:val="clear" w:color="auto" w:fill="auto"/>
          </w:tcPr>
          <w:p w:rsidR="00514738" w:rsidRPr="00515A3E" w:rsidRDefault="00514738" w:rsidP="00AF7FF3">
            <w:pPr>
              <w:jc w:val="left"/>
              <w:rPr>
                <w:rFonts w:cs="Mangal"/>
                <w:sz w:val="18"/>
                <w:szCs w:val="26"/>
              </w:rPr>
            </w:pPr>
            <w:r w:rsidRPr="00515A3E">
              <w:rPr>
                <w:sz w:val="18"/>
              </w:rPr>
              <w:t>NZ als technischer Berater DUS und UPOV Sachverständiger</w:t>
            </w:r>
          </w:p>
        </w:tc>
      </w:tr>
      <w:tr w:rsidR="00514738" w:rsidRPr="00515A3E" w:rsidTr="00AF7FF3">
        <w:tc>
          <w:tcPr>
            <w:tcW w:w="1384" w:type="dxa"/>
            <w:shd w:val="clear" w:color="auto" w:fill="auto"/>
          </w:tcPr>
          <w:p w:rsidR="00514738" w:rsidRPr="00515A3E" w:rsidRDefault="00514738" w:rsidP="00AF7FF3">
            <w:pPr>
              <w:jc w:val="left"/>
              <w:rPr>
                <w:rFonts w:cs="Mangal"/>
                <w:sz w:val="18"/>
                <w:szCs w:val="26"/>
              </w:rPr>
            </w:pPr>
            <w:r w:rsidRPr="00515A3E">
              <w:rPr>
                <w:sz w:val="18"/>
              </w:rPr>
              <w:t>2. Technische Unterstützung und Schulung</w:t>
            </w:r>
          </w:p>
        </w:tc>
        <w:tc>
          <w:tcPr>
            <w:tcW w:w="851" w:type="dxa"/>
            <w:shd w:val="clear" w:color="auto" w:fill="auto"/>
          </w:tcPr>
          <w:p w:rsidR="00514738" w:rsidRPr="00515A3E" w:rsidRDefault="00514738" w:rsidP="00AF7FF3">
            <w:pPr>
              <w:jc w:val="left"/>
              <w:rPr>
                <w:rFonts w:cs="Mangal"/>
                <w:sz w:val="18"/>
                <w:szCs w:val="26"/>
              </w:rPr>
            </w:pPr>
            <w:r w:rsidRPr="00515A3E">
              <w:rPr>
                <w:sz w:val="18"/>
              </w:rPr>
              <w:t>1.-4. Juni 2015</w:t>
            </w:r>
          </w:p>
        </w:tc>
        <w:tc>
          <w:tcPr>
            <w:tcW w:w="992" w:type="dxa"/>
            <w:shd w:val="clear" w:color="auto" w:fill="auto"/>
          </w:tcPr>
          <w:p w:rsidR="00514738" w:rsidRPr="00515A3E" w:rsidRDefault="00514738" w:rsidP="00AF7FF3">
            <w:pPr>
              <w:jc w:val="left"/>
              <w:rPr>
                <w:rFonts w:cs="Mangal"/>
                <w:sz w:val="18"/>
                <w:szCs w:val="26"/>
              </w:rPr>
            </w:pPr>
            <w:r w:rsidRPr="00515A3E">
              <w:rPr>
                <w:sz w:val="18"/>
              </w:rPr>
              <w:t>Republik Korea</w:t>
            </w:r>
          </w:p>
        </w:tc>
        <w:tc>
          <w:tcPr>
            <w:tcW w:w="1559" w:type="dxa"/>
            <w:shd w:val="clear" w:color="auto" w:fill="auto"/>
          </w:tcPr>
          <w:p w:rsidR="00514738" w:rsidRPr="00515A3E" w:rsidRDefault="00514738" w:rsidP="00AF7FF3">
            <w:pPr>
              <w:jc w:val="left"/>
              <w:rPr>
                <w:rFonts w:cs="Mangal"/>
                <w:sz w:val="18"/>
                <w:szCs w:val="26"/>
              </w:rPr>
            </w:pPr>
            <w:r w:rsidRPr="00515A3E">
              <w:rPr>
                <w:sz w:val="18"/>
              </w:rPr>
              <w:t xml:space="preserve">Koreanischen Stelle für </w:t>
            </w:r>
            <w:proofErr w:type="spellStart"/>
            <w:r w:rsidRPr="00515A3E">
              <w:rPr>
                <w:sz w:val="18"/>
              </w:rPr>
              <w:t>Entwicklungszu-sammenarbeit</w:t>
            </w:r>
            <w:proofErr w:type="spellEnd"/>
            <w:r w:rsidRPr="00515A3E">
              <w:rPr>
                <w:sz w:val="18"/>
              </w:rPr>
              <w:t xml:space="preserve"> / Koreanisches Saatgut- und Sortenamt</w:t>
            </w:r>
          </w:p>
        </w:tc>
        <w:tc>
          <w:tcPr>
            <w:tcW w:w="1418" w:type="dxa"/>
            <w:shd w:val="clear" w:color="auto" w:fill="auto"/>
          </w:tcPr>
          <w:p w:rsidR="00514738" w:rsidRPr="00515A3E" w:rsidRDefault="00514738" w:rsidP="00AF7FF3">
            <w:pPr>
              <w:jc w:val="left"/>
              <w:rPr>
                <w:rFonts w:cs="Mangal"/>
                <w:sz w:val="18"/>
                <w:szCs w:val="26"/>
              </w:rPr>
            </w:pPr>
            <w:r w:rsidRPr="00515A3E">
              <w:rPr>
                <w:sz w:val="18"/>
              </w:rPr>
              <w:t>Internationale Ausbildungs-lehrgänge zum Sortenschutz</w:t>
            </w:r>
          </w:p>
        </w:tc>
        <w:tc>
          <w:tcPr>
            <w:tcW w:w="1983" w:type="dxa"/>
            <w:shd w:val="clear" w:color="auto" w:fill="auto"/>
          </w:tcPr>
          <w:p w:rsidR="00514738" w:rsidRPr="00515A3E" w:rsidRDefault="00514738" w:rsidP="00AF7FF3">
            <w:pPr>
              <w:jc w:val="left"/>
              <w:rPr>
                <w:rFonts w:cs="Mangal"/>
                <w:sz w:val="18"/>
                <w:szCs w:val="26"/>
              </w:rPr>
            </w:pPr>
            <w:r w:rsidRPr="00515A3E">
              <w:rPr>
                <w:sz w:val="18"/>
              </w:rPr>
              <w:t>Ägypten, Indonesien, Kambodscha, Kenia, Myanmar, Philippinen, Uganda, Vereinigte Republik Tansania</w:t>
            </w:r>
          </w:p>
        </w:tc>
        <w:tc>
          <w:tcPr>
            <w:tcW w:w="1985" w:type="dxa"/>
            <w:shd w:val="clear" w:color="auto" w:fill="auto"/>
          </w:tcPr>
          <w:p w:rsidR="00514738" w:rsidRPr="00515A3E" w:rsidRDefault="00514738" w:rsidP="00AF7FF3">
            <w:pPr>
              <w:jc w:val="left"/>
              <w:rPr>
                <w:rFonts w:cs="Mangal"/>
                <w:sz w:val="18"/>
                <w:szCs w:val="26"/>
              </w:rPr>
            </w:pPr>
            <w:r w:rsidRPr="00515A3E">
              <w:rPr>
                <w:sz w:val="18"/>
              </w:rPr>
              <w:t xml:space="preserve">NZ als technischer Berater DUS und führender Sachverständiger der </w:t>
            </w:r>
            <w:proofErr w:type="spellStart"/>
            <w:r w:rsidRPr="00515A3E">
              <w:rPr>
                <w:sz w:val="18"/>
              </w:rPr>
              <w:t>Prüfungsrichtlienen</w:t>
            </w:r>
            <w:proofErr w:type="spellEnd"/>
          </w:p>
        </w:tc>
      </w:tr>
    </w:tbl>
    <w:p w:rsidR="00514738" w:rsidRPr="00515A3E" w:rsidRDefault="00514738" w:rsidP="00514738">
      <w:pPr>
        <w:rPr>
          <w:rFonts w:cs="Mangal"/>
        </w:rPr>
      </w:pPr>
    </w:p>
    <w:p w:rsidR="00514738" w:rsidRDefault="00514738" w:rsidP="00C517EE">
      <w:pPr>
        <w:jc w:val="left"/>
      </w:pPr>
    </w:p>
    <w:p w:rsidR="00514738" w:rsidRDefault="00514738" w:rsidP="00C517EE">
      <w:pPr>
        <w:jc w:val="left"/>
      </w:pPr>
    </w:p>
    <w:p w:rsidR="00C517EE" w:rsidRPr="0075031D" w:rsidRDefault="00DB5AC1" w:rsidP="00C517EE">
      <w:pPr>
        <w:jc w:val="right"/>
      </w:pPr>
      <w:r w:rsidRPr="0075031D">
        <w:t xml:space="preserve"> </w:t>
      </w:r>
      <w:r>
        <w:t>[Anlage</w:t>
      </w:r>
      <w:r w:rsidR="00C517EE" w:rsidRPr="0075031D">
        <w:t xml:space="preserve"> </w:t>
      </w:r>
      <w:r w:rsidR="00C517EE">
        <w:t>X</w:t>
      </w:r>
      <w:r w:rsidR="00C517EE" w:rsidRPr="0075031D">
        <w:t xml:space="preserve"> </w:t>
      </w:r>
      <w:r>
        <w:t>folgt]</w:t>
      </w:r>
    </w:p>
    <w:p w:rsidR="00C517EE" w:rsidRDefault="00C517EE" w:rsidP="00C517EE">
      <w:pPr>
        <w:jc w:val="left"/>
        <w:sectPr w:rsidR="00C517EE" w:rsidSect="00371832">
          <w:headerReference w:type="default" r:id="rId27"/>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t xml:space="preserve"> X</w:t>
      </w:r>
    </w:p>
    <w:p w:rsidR="00C517EE" w:rsidRPr="0075031D" w:rsidRDefault="00C517EE" w:rsidP="00C517EE">
      <w:pPr>
        <w:jc w:val="center"/>
      </w:pPr>
    </w:p>
    <w:p w:rsidR="00C517EE" w:rsidRDefault="00C517EE" w:rsidP="00C517EE">
      <w:pPr>
        <w:jc w:val="center"/>
      </w:pPr>
    </w:p>
    <w:p w:rsidR="00C517EE" w:rsidRPr="00B912AA" w:rsidRDefault="00DB5AC1" w:rsidP="00C517EE">
      <w:pPr>
        <w:jc w:val="center"/>
      </w:pPr>
      <w:r>
        <w:t>POLEN</w:t>
      </w:r>
    </w:p>
    <w:p w:rsidR="00514738" w:rsidRPr="00515A3E" w:rsidRDefault="00514738" w:rsidP="00514738">
      <w:pPr>
        <w:tabs>
          <w:tab w:val="left" w:pos="4962"/>
        </w:tabs>
        <w:jc w:val="center"/>
        <w:rPr>
          <w:rFonts w:cs="Arial"/>
        </w:rPr>
      </w:pPr>
      <w:r w:rsidRPr="00515A3E">
        <w:t>(Zeitraum: 1. September 2014 – 31. August 2015)</w:t>
      </w:r>
    </w:p>
    <w:p w:rsidR="00514738" w:rsidRPr="00515A3E" w:rsidRDefault="00514738" w:rsidP="00514738"/>
    <w:p w:rsidR="00514738" w:rsidRPr="00515A3E" w:rsidRDefault="00514738" w:rsidP="00514738"/>
    <w:p w:rsidR="00514738" w:rsidRPr="00515A3E" w:rsidRDefault="00514738" w:rsidP="00514738">
      <w:r w:rsidRPr="00515A3E">
        <w:t>SORTENSCHUTZ</w:t>
      </w:r>
    </w:p>
    <w:p w:rsidR="00514738" w:rsidRPr="00515A3E" w:rsidRDefault="00514738" w:rsidP="00514738">
      <w:pPr>
        <w:tabs>
          <w:tab w:val="left" w:pos="4962"/>
        </w:tabs>
        <w:rPr>
          <w:rFonts w:cs="Arial"/>
          <w:u w:val="single"/>
        </w:rPr>
      </w:pPr>
    </w:p>
    <w:p w:rsidR="00514738" w:rsidRPr="00515A3E" w:rsidRDefault="00514738" w:rsidP="00514738">
      <w:pPr>
        <w:tabs>
          <w:tab w:val="left" w:pos="567"/>
          <w:tab w:val="left" w:pos="4962"/>
        </w:tabs>
        <w:rPr>
          <w:rFonts w:cs="Arial"/>
          <w:u w:val="single"/>
        </w:rPr>
      </w:pPr>
      <w:r w:rsidRPr="00515A3E">
        <w:t>1.</w:t>
      </w:r>
      <w:r w:rsidRPr="00515A3E">
        <w:tab/>
      </w:r>
      <w:r w:rsidRPr="00515A3E">
        <w:rPr>
          <w:u w:val="single"/>
        </w:rPr>
        <w:t>Lage auf dem Gebiet der Gesetzgebung</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rPr>
      </w:pPr>
      <w:r w:rsidRPr="00515A3E">
        <w:t>Im Berichtszeitraum gab es keine Änderungen der Züchterrechtsgesetze in Polen.</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rPr>
      </w:pPr>
      <w:r w:rsidRPr="00515A3E">
        <w:t xml:space="preserve">Das Gesetz über den Rechtsschutz von Pflanzensorten vom 26. Juni 2003 (Polnisches Amtsblatt Nr. 137/2003, Punkt 1300 in geänderter Form) bildet die gesetzliche Grundlage für das nationale Züchterrechtsschutzsystem in Polen. </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rPr>
      </w:pPr>
      <w:r w:rsidRPr="00515A3E">
        <w:t>Das polnische Sortenschutzgesetz beruht auf der Akte von 1991 des UPOV-Übereinkommens. Polen trat der Akte von 1991 des UPOV-Übereinkommens am 15. August 2003 als 24. Staat bei.</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rPr>
      </w:pPr>
      <w:r w:rsidRPr="00515A3E">
        <w:t>Seit dem 1. November 2000 sind alle Pflanzengattungen und -arten in Polen schutzfähig.</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rPr>
      </w:pPr>
    </w:p>
    <w:p w:rsidR="00514738" w:rsidRPr="00515A3E" w:rsidRDefault="00514738" w:rsidP="00514738">
      <w:pPr>
        <w:tabs>
          <w:tab w:val="left" w:pos="567"/>
          <w:tab w:val="left" w:pos="4962"/>
        </w:tabs>
        <w:rPr>
          <w:rFonts w:cs="Arial"/>
          <w:u w:val="single"/>
        </w:rPr>
      </w:pPr>
      <w:r w:rsidRPr="00515A3E">
        <w:t>2.</w:t>
      </w:r>
      <w:r w:rsidRPr="00515A3E">
        <w:tab/>
      </w:r>
      <w:r w:rsidRPr="00515A3E">
        <w:rPr>
          <w:u w:val="single"/>
        </w:rPr>
        <w:t>Zusammenarbeit bei der Prüfung</w:t>
      </w:r>
    </w:p>
    <w:p w:rsidR="00514738" w:rsidRPr="00515A3E" w:rsidRDefault="00514738" w:rsidP="00514738">
      <w:pPr>
        <w:tabs>
          <w:tab w:val="left" w:pos="4962"/>
        </w:tabs>
        <w:rPr>
          <w:rFonts w:cs="Arial"/>
          <w:color w:val="000000"/>
        </w:rPr>
      </w:pPr>
    </w:p>
    <w:p w:rsidR="00514738" w:rsidRPr="00515A3E" w:rsidRDefault="00514738" w:rsidP="00514738">
      <w:pPr>
        <w:tabs>
          <w:tab w:val="left" w:pos="4962"/>
        </w:tabs>
        <w:rPr>
          <w:rFonts w:cs="Arial"/>
          <w:color w:val="000000"/>
        </w:rPr>
      </w:pPr>
      <w:r w:rsidRPr="00515A3E">
        <w:rPr>
          <w:color w:val="000000"/>
        </w:rPr>
        <w:t xml:space="preserve">Das Forschungszentrum Polens für Zuchtsortenprüfung (COBORU) in </w:t>
      </w:r>
      <w:proofErr w:type="spellStart"/>
      <w:r w:rsidRPr="00515A3E">
        <w:rPr>
          <w:color w:val="000000"/>
        </w:rPr>
        <w:t>Słupia</w:t>
      </w:r>
      <w:proofErr w:type="spellEnd"/>
      <w:r w:rsidRPr="00515A3E">
        <w:rPr>
          <w:color w:val="000000"/>
        </w:rPr>
        <w:t xml:space="preserve"> </w:t>
      </w:r>
      <w:proofErr w:type="spellStart"/>
      <w:r w:rsidRPr="00515A3E">
        <w:rPr>
          <w:color w:val="000000"/>
        </w:rPr>
        <w:t>Wielka</w:t>
      </w:r>
      <w:proofErr w:type="spellEnd"/>
      <w:r w:rsidRPr="00515A3E">
        <w:rPr>
          <w:color w:val="000000"/>
        </w:rPr>
        <w:t xml:space="preserve"> arbeitet bei der DUS</w:t>
      </w:r>
      <w:r w:rsidRPr="00515A3E">
        <w:rPr>
          <w:color w:val="000000"/>
        </w:rPr>
        <w:noBreakHyphen/>
        <w:t>Prüfung weiterhin mit verschiedenen Ländern zusammen.</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rPr>
      </w:pPr>
      <w:r w:rsidRPr="00515A3E">
        <w:t xml:space="preserve">Polen verfügt über zweiseitige Vereinbarungen für die DUS-Prüfung mit der Slowakei, der Tschechischen Republik und Ungarn. Unilaterale Vereinbarungen bestehen mit Lettland, Litauen, Estland, Rumänien, Belarus, Slowenien, der Russischen Föderation und der Ukraine. </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rPr>
      </w:pPr>
      <w:r w:rsidRPr="00515A3E">
        <w:t>Im Berichtszeitraum führte Polen DUS-Prüfungen für die Behörden Litauens (56 Sorten), der Tschechischen Republik (33 Sorten), Estlands (33 Sorten), Ungarns (19 Sorten), Lettlands (10 Sorten), Kroatiens (4 Sorten), Österreichs (1 Sorte), Schwedens (4 Sorten), Finnlands (2 Sorten), Österreichs (1 Sorte), der Slowakei (1 Sorte) sowie auch für das CPVO (21 Sorten) durch.</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rPr>
      </w:pPr>
      <w:r w:rsidRPr="00515A3E">
        <w:t>Diese Prüfungen betrafen verschiedene landwirtschaftliche Arten (107 Sorten), Gemüsearten (20 Sorten), Zierarten (16 Sorten) und Obstarten (41 Sorten). Insgesamt wurden 184 Sorten im Auftrag oben genannter Behörden geprüft.</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color w:val="000000"/>
        </w:rPr>
      </w:pPr>
      <w:r w:rsidRPr="00515A3E">
        <w:rPr>
          <w:color w:val="000000"/>
        </w:rPr>
        <w:t>Wie in früheren Jahren übernahmen andere Behörden, nämlich das CPVO, Dänemark, Estland, Kroatien, Lettland, Litauen, die Niederlande, Österreich, die Russische Föderation, Schweden, Serbien, Slowenien und die Türkei technische Ergebnisse vom COBORU als Grundlage für ihre Entscheidungen bei nationalen Vorgängen.</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rPr>
      </w:pPr>
      <w:r w:rsidRPr="00515A3E">
        <w:t>Polen beteiligte sich aktiv an der Tätigkeit zur Ausarbeitung des technischen Protokolls bei der vom CPVO organisierten Tagung.</w:t>
      </w:r>
    </w:p>
    <w:p w:rsidR="00514738" w:rsidRPr="00347219" w:rsidRDefault="00514738" w:rsidP="00514738">
      <w:pPr>
        <w:tabs>
          <w:tab w:val="left" w:pos="4962"/>
        </w:tabs>
        <w:rPr>
          <w:rFonts w:cs="Arial"/>
        </w:rPr>
      </w:pPr>
    </w:p>
    <w:p w:rsidR="00514738" w:rsidRPr="00515A3E" w:rsidRDefault="00514738" w:rsidP="00514738">
      <w:pPr>
        <w:tabs>
          <w:tab w:val="left" w:pos="4962"/>
        </w:tabs>
        <w:rPr>
          <w:rFonts w:cs="Arial"/>
          <w:u w:val="single"/>
        </w:rPr>
      </w:pPr>
    </w:p>
    <w:p w:rsidR="00514738" w:rsidRPr="00515A3E" w:rsidRDefault="00514738" w:rsidP="00514738">
      <w:pPr>
        <w:tabs>
          <w:tab w:val="left" w:pos="567"/>
        </w:tabs>
        <w:rPr>
          <w:rFonts w:cs="Arial"/>
          <w:u w:val="single"/>
        </w:rPr>
      </w:pPr>
      <w:r w:rsidRPr="00515A3E">
        <w:t>3. und 4.</w:t>
      </w:r>
      <w:r w:rsidRPr="00515A3E">
        <w:tab/>
      </w:r>
      <w:r w:rsidRPr="00515A3E">
        <w:rPr>
          <w:u w:val="single"/>
        </w:rPr>
        <w:t>Lage auf den Gebieten der Verwaltung und der Technik</w:t>
      </w:r>
    </w:p>
    <w:p w:rsidR="00514738" w:rsidRPr="00515A3E" w:rsidRDefault="00514738" w:rsidP="00514738">
      <w:pPr>
        <w:tabs>
          <w:tab w:val="left" w:pos="567"/>
          <w:tab w:val="left" w:pos="4962"/>
        </w:tabs>
        <w:rPr>
          <w:rFonts w:cs="Arial"/>
          <w:u w:val="single"/>
        </w:rPr>
      </w:pPr>
    </w:p>
    <w:p w:rsidR="00514738" w:rsidRPr="00515A3E" w:rsidRDefault="00514738" w:rsidP="00514738">
      <w:pPr>
        <w:rPr>
          <w:rFonts w:cs="Arial"/>
        </w:rPr>
      </w:pPr>
      <w:r w:rsidRPr="00515A3E">
        <w:t xml:space="preserve">Die Sortenprüfungstätigkeit des COBORU auf dem Gebiet der DUS-Prüfung wird in 13 über das ganze Land verteilten Sortenprüfungsstationen durchgeführt und im Falle von Obstpflanzen auch im Forschungsinstitut für Blumenzucht in </w:t>
      </w:r>
      <w:proofErr w:type="spellStart"/>
      <w:r w:rsidRPr="00515A3E">
        <w:t>Skierniewice</w:t>
      </w:r>
      <w:proofErr w:type="spellEnd"/>
      <w:r w:rsidRPr="00515A3E">
        <w:t>.</w:t>
      </w:r>
    </w:p>
    <w:p w:rsidR="00514738" w:rsidRPr="00515A3E" w:rsidRDefault="00514738" w:rsidP="00514738">
      <w:pPr>
        <w:rPr>
          <w:rFonts w:cs="Arial"/>
        </w:rPr>
      </w:pPr>
    </w:p>
    <w:p w:rsidR="00514738" w:rsidRPr="00515A3E" w:rsidRDefault="00514738" w:rsidP="00514738">
      <w:pPr>
        <w:tabs>
          <w:tab w:val="left" w:pos="567"/>
          <w:tab w:val="left" w:pos="4962"/>
        </w:tabs>
        <w:rPr>
          <w:rFonts w:cs="Arial"/>
        </w:rPr>
      </w:pPr>
      <w:r w:rsidRPr="00515A3E">
        <w:t xml:space="preserve">Im Jahre 2014 wurden 9 221 Sorten von insgesamt 180 Arten, darunter 8 261 Sorten in Vergleichssammlungen und 960 Kandidatensorten geprüft. </w:t>
      </w:r>
    </w:p>
    <w:p w:rsidR="00514738" w:rsidRPr="00515A3E" w:rsidRDefault="00514738" w:rsidP="00514738">
      <w:pPr>
        <w:tabs>
          <w:tab w:val="left" w:pos="567"/>
          <w:tab w:val="left" w:pos="4962"/>
        </w:tabs>
        <w:rPr>
          <w:rFonts w:cs="Arial"/>
        </w:rPr>
      </w:pPr>
    </w:p>
    <w:p w:rsidR="00514738" w:rsidRPr="00515A3E" w:rsidRDefault="00514738" w:rsidP="00514738">
      <w:pPr>
        <w:tabs>
          <w:tab w:val="left" w:pos="567"/>
          <w:tab w:val="left" w:pos="4962"/>
        </w:tabs>
        <w:rPr>
          <w:rFonts w:cs="Arial"/>
        </w:rPr>
      </w:pPr>
      <w:r w:rsidRPr="00515A3E">
        <w:t>Die nachstehende Graphik weist die Zahl der in Polen geprüften Sorten pro Pflanzensektor aus:</w:t>
      </w:r>
    </w:p>
    <w:p w:rsidR="00514738" w:rsidRPr="00515A3E" w:rsidRDefault="00514738" w:rsidP="00514738">
      <w:pPr>
        <w:tabs>
          <w:tab w:val="left" w:pos="567"/>
          <w:tab w:val="left" w:pos="4962"/>
        </w:tabs>
        <w:jc w:val="right"/>
        <w:rPr>
          <w:rFonts w:cs="Arial"/>
        </w:rPr>
      </w:pPr>
    </w:p>
    <w:p w:rsidR="00514738" w:rsidRPr="00515A3E" w:rsidRDefault="00514738" w:rsidP="00514738">
      <w:pPr>
        <w:jc w:val="left"/>
        <w:rPr>
          <w:rFonts w:cs="Arial"/>
          <w:u w:val="single"/>
        </w:rPr>
      </w:pPr>
      <w:r w:rsidRPr="00515A3E">
        <w:br w:type="page"/>
      </w:r>
    </w:p>
    <w:p w:rsidR="00514738" w:rsidRPr="00515A3E" w:rsidRDefault="00514738" w:rsidP="00514738">
      <w:pPr>
        <w:pStyle w:val="Heading8"/>
        <w:rPr>
          <w:rFonts w:cs="Arial"/>
          <w:lang w:val="de-DE"/>
        </w:rPr>
      </w:pPr>
      <w:r w:rsidRPr="00515A3E">
        <w:rPr>
          <w:lang w:val="de-DE"/>
        </w:rPr>
        <w:t>Zahl der in der DUS-Prüfung befindlichen Sorten im Jahre 2014</w:t>
      </w:r>
    </w:p>
    <w:p w:rsidR="00514738" w:rsidRPr="00515A3E" w:rsidRDefault="00514738" w:rsidP="00514738">
      <w:pPr>
        <w:rPr>
          <w:rFonts w:cs="Arial"/>
        </w:rPr>
      </w:pPr>
    </w:p>
    <w:p w:rsidR="00514738" w:rsidRPr="00515A3E" w:rsidRDefault="00514738" w:rsidP="00514738">
      <w:pPr>
        <w:rPr>
          <w:rFonts w:cs="Arial"/>
        </w:rPr>
      </w:pPr>
      <w:r w:rsidRPr="00515A3E">
        <w:rPr>
          <w:rFonts w:cs="Arial"/>
        </w:rPr>
        <w:object w:dxaOrig="5962" w:dyaOrig="4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5pt;height:270.95pt" o:ole="">
            <v:imagedata r:id="rId28" o:title=""/>
          </v:shape>
          <o:OLEObject Type="Embed" ProgID="PowerPoint.Slide.12" ShapeID="_x0000_i1025" DrawAspect="Content" ObjectID="_1506841904" r:id="rId29"/>
        </w:object>
      </w:r>
    </w:p>
    <w:p w:rsidR="00514738" w:rsidRPr="00515A3E" w:rsidRDefault="00514738" w:rsidP="00514738">
      <w:pPr>
        <w:rPr>
          <w:rFonts w:cs="Arial"/>
        </w:rPr>
      </w:pPr>
    </w:p>
    <w:p w:rsidR="00514738" w:rsidRPr="00515A3E" w:rsidRDefault="00514738" w:rsidP="00514738">
      <w:pPr>
        <w:pStyle w:val="BodyText"/>
        <w:rPr>
          <w:rFonts w:cs="Arial"/>
        </w:rPr>
      </w:pPr>
      <w:r w:rsidRPr="00515A3E">
        <w:t>2014 gingen beim COBORU insgesamt 75 Anträge auf Erteilung nationaler Züchterrechte ein, was einen Rückgang um 13 Anträge im Vergleich zum Vorjahr darstellt.</w:t>
      </w:r>
    </w:p>
    <w:p w:rsidR="00514738" w:rsidRPr="00515A3E" w:rsidRDefault="00514738" w:rsidP="00514738">
      <w:pPr>
        <w:pStyle w:val="BodyText"/>
        <w:rPr>
          <w:rFonts w:cs="Arial"/>
        </w:rPr>
      </w:pPr>
    </w:p>
    <w:p w:rsidR="00514738" w:rsidRPr="00515A3E" w:rsidRDefault="00514738" w:rsidP="00514738">
      <w:pPr>
        <w:pStyle w:val="BodyText"/>
        <w:rPr>
          <w:rFonts w:cs="Arial"/>
        </w:rPr>
      </w:pPr>
      <w:r w:rsidRPr="00515A3E">
        <w:t>Vom 1. Januar bis 1. September 2015 wurden 68 neue Anträge auf Erteilung nationaler Züchterrechte, darunter 39 aus dem Inland und 29 aus dem Ausland eingereicht. Es wurden 14 Anträge mehr als im vorhergehenden Berichtszeitraum (54) eingereicht.</w:t>
      </w:r>
    </w:p>
    <w:p w:rsidR="00514738" w:rsidRPr="00347219" w:rsidRDefault="00514738" w:rsidP="00514738">
      <w:pPr>
        <w:pStyle w:val="BodyText"/>
        <w:rPr>
          <w:rFonts w:cs="Arial"/>
        </w:rPr>
      </w:pPr>
    </w:p>
    <w:p w:rsidR="00514738" w:rsidRPr="00515A3E" w:rsidRDefault="00514738" w:rsidP="00514738">
      <w:pPr>
        <w:pStyle w:val="BodyText"/>
        <w:rPr>
          <w:rFonts w:cs="Arial"/>
        </w:rPr>
      </w:pPr>
      <w:r w:rsidRPr="00515A3E">
        <w:t xml:space="preserve">Im Jahre 2014 erteilte das COBORU 57 nationale Sortenschutztitel. Ende 2014 waren 1 147 nationale Schutztitel in Kraft, was im Vergleich zum Vorjahr einen Rückgang um 91 Sorten (7,4%) bedeutet. </w:t>
      </w:r>
    </w:p>
    <w:p w:rsidR="00514738" w:rsidRPr="00515A3E" w:rsidRDefault="00514738" w:rsidP="00514738">
      <w:pPr>
        <w:pStyle w:val="BodyText"/>
        <w:rPr>
          <w:rFonts w:cs="Arial"/>
        </w:rPr>
      </w:pPr>
    </w:p>
    <w:p w:rsidR="00514738" w:rsidRPr="00515A3E" w:rsidRDefault="00514738" w:rsidP="00514738">
      <w:pPr>
        <w:pStyle w:val="BodyText"/>
        <w:rPr>
          <w:rFonts w:cs="Arial"/>
        </w:rPr>
      </w:pPr>
      <w:r w:rsidRPr="00515A3E">
        <w:t>Im Berichtszeitraum (vom 1. Januar bis 1. September 2015) wurden 61 Sortenschutztitel erteilt. Insgesamt sind in Polen 1 154 Sorten geschützt (zum 1. September 2015).</w:t>
      </w:r>
    </w:p>
    <w:p w:rsidR="00514738" w:rsidRPr="00347219" w:rsidRDefault="00514738" w:rsidP="00514738">
      <w:pPr>
        <w:pStyle w:val="BodyText"/>
        <w:rPr>
          <w:rFonts w:cs="Arial"/>
        </w:rPr>
      </w:pPr>
    </w:p>
    <w:p w:rsidR="00514738" w:rsidRPr="00515A3E" w:rsidRDefault="00514738" w:rsidP="00514738">
      <w:pPr>
        <w:pStyle w:val="BodyText"/>
        <w:rPr>
          <w:rFonts w:cs="Arial"/>
        </w:rPr>
      </w:pPr>
      <w:r w:rsidRPr="00515A3E">
        <w:t>Die Einzelheiten der Statistik sind in der nachstehenden Tabelle angegeben.</w:t>
      </w:r>
    </w:p>
    <w:p w:rsidR="00514738" w:rsidRPr="00347219" w:rsidRDefault="00514738" w:rsidP="00514738">
      <w:pPr>
        <w:pStyle w:val="BodyText"/>
        <w:rPr>
          <w:rFonts w:cs="Arial"/>
        </w:rPr>
      </w:pPr>
    </w:p>
    <w:p w:rsidR="00514738" w:rsidRPr="00515A3E" w:rsidRDefault="00514738" w:rsidP="00514738">
      <w:pPr>
        <w:pStyle w:val="BodyText2"/>
        <w:jc w:val="both"/>
        <w:rPr>
          <w:rFonts w:ascii="Arial" w:hAnsi="Arial" w:cs="Arial"/>
          <w:sz w:val="20"/>
          <w:lang w:val="de-DE"/>
        </w:rPr>
      </w:pPr>
      <w:r w:rsidRPr="00515A3E">
        <w:rPr>
          <w:rFonts w:ascii="Arial" w:hAnsi="Arial"/>
          <w:sz w:val="20"/>
          <w:lang w:val="de-DE"/>
        </w:rPr>
        <w:t>In der Spalte „Erloschene Schutztitel“ sind auch 12 Sorten eingeschlossen, für die im Berichtszeitraum die nationalen Züchterrechte abgelaufen sind.</w:t>
      </w:r>
    </w:p>
    <w:p w:rsidR="00514738" w:rsidRPr="00515A3E" w:rsidRDefault="00514738" w:rsidP="00514738">
      <w:pPr>
        <w:pStyle w:val="BodyText2"/>
        <w:jc w:val="both"/>
        <w:rPr>
          <w:rFonts w:ascii="Arial" w:hAnsi="Arial" w:cs="Arial"/>
          <w:sz w:val="20"/>
          <w:lang w:val="de-DE"/>
        </w:rPr>
      </w:pPr>
    </w:p>
    <w:p w:rsidR="00514738" w:rsidRPr="00515A3E" w:rsidRDefault="00514738" w:rsidP="00514738">
      <w:pPr>
        <w:pStyle w:val="BodyText2"/>
        <w:jc w:val="both"/>
        <w:rPr>
          <w:rFonts w:ascii="Arial" w:hAnsi="Arial" w:cs="Arial"/>
          <w:sz w:val="20"/>
          <w:lang w:val="de-DE"/>
        </w:rPr>
      </w:pPr>
    </w:p>
    <w:tbl>
      <w:tblPr>
        <w:tblW w:w="9600" w:type="dxa"/>
        <w:tblInd w:w="70" w:type="dxa"/>
        <w:tblLayout w:type="fixed"/>
        <w:tblCellMar>
          <w:left w:w="70" w:type="dxa"/>
          <w:right w:w="70" w:type="dxa"/>
        </w:tblCellMar>
        <w:tblLook w:val="0000" w:firstRow="0" w:lastRow="0" w:firstColumn="0" w:lastColumn="0" w:noHBand="0" w:noVBand="0"/>
      </w:tblPr>
      <w:tblGrid>
        <w:gridCol w:w="1630"/>
        <w:gridCol w:w="1052"/>
        <w:gridCol w:w="894"/>
        <w:gridCol w:w="894"/>
        <w:gridCol w:w="1052"/>
        <w:gridCol w:w="894"/>
        <w:gridCol w:w="894"/>
        <w:gridCol w:w="894"/>
        <w:gridCol w:w="1396"/>
      </w:tblGrid>
      <w:tr w:rsidR="00514738" w:rsidRPr="00515A3E" w:rsidTr="00AF7FF3">
        <w:tc>
          <w:tcPr>
            <w:tcW w:w="1630" w:type="dxa"/>
            <w:tcBorders>
              <w:top w:val="single" w:sz="4" w:space="0" w:color="auto"/>
              <w:left w:val="single" w:sz="6" w:space="0" w:color="auto"/>
            </w:tcBorders>
          </w:tcPr>
          <w:p w:rsidR="00514738" w:rsidRPr="00515A3E" w:rsidRDefault="00514738" w:rsidP="00AF7FF3">
            <w:pPr>
              <w:jc w:val="center"/>
              <w:rPr>
                <w:rFonts w:cs="Arial"/>
              </w:rPr>
            </w:pPr>
          </w:p>
          <w:p w:rsidR="00514738" w:rsidRPr="00515A3E" w:rsidRDefault="00514738" w:rsidP="00AF7FF3">
            <w:pPr>
              <w:jc w:val="center"/>
              <w:rPr>
                <w:rFonts w:cs="Arial"/>
              </w:rPr>
            </w:pPr>
            <w:r w:rsidRPr="00515A3E">
              <w:t>Pflanze</w:t>
            </w:r>
          </w:p>
          <w:p w:rsidR="00514738" w:rsidRPr="00515A3E" w:rsidRDefault="00514738" w:rsidP="00AF7FF3">
            <w:pPr>
              <w:jc w:val="center"/>
              <w:rPr>
                <w:rFonts w:cs="Arial"/>
              </w:rPr>
            </w:pPr>
            <w:r w:rsidRPr="00515A3E">
              <w:t>Arten</w:t>
            </w:r>
          </w:p>
        </w:tc>
        <w:tc>
          <w:tcPr>
            <w:tcW w:w="2840" w:type="dxa"/>
            <w:gridSpan w:val="3"/>
            <w:tcBorders>
              <w:top w:val="single" w:sz="4" w:space="0" w:color="auto"/>
              <w:left w:val="single" w:sz="12" w:space="0" w:color="auto"/>
              <w:right w:val="single" w:sz="12" w:space="0" w:color="auto"/>
            </w:tcBorders>
          </w:tcPr>
          <w:p w:rsidR="00514738" w:rsidRPr="00515A3E" w:rsidRDefault="00514738" w:rsidP="00AF7FF3">
            <w:pPr>
              <w:jc w:val="center"/>
              <w:rPr>
                <w:rFonts w:cs="Arial"/>
              </w:rPr>
            </w:pPr>
            <w:r w:rsidRPr="00515A3E">
              <w:t>Beantragte Züchterrechte</w:t>
            </w:r>
            <w:r w:rsidRPr="00515A3E">
              <w:br/>
            </w:r>
          </w:p>
          <w:p w:rsidR="00514738" w:rsidRPr="00515A3E" w:rsidRDefault="00514738" w:rsidP="00AF7FF3">
            <w:pPr>
              <w:jc w:val="center"/>
              <w:rPr>
                <w:rFonts w:cs="Arial"/>
              </w:rPr>
            </w:pPr>
            <w:r w:rsidRPr="00515A3E">
              <w:t>1.01. – 1.09.2015</w:t>
            </w:r>
          </w:p>
        </w:tc>
        <w:tc>
          <w:tcPr>
            <w:tcW w:w="2840" w:type="dxa"/>
            <w:gridSpan w:val="3"/>
            <w:tcBorders>
              <w:top w:val="single" w:sz="4" w:space="0" w:color="auto"/>
              <w:left w:val="nil"/>
              <w:right w:val="single" w:sz="12" w:space="0" w:color="auto"/>
            </w:tcBorders>
            <w:shd w:val="clear" w:color="auto" w:fill="FFFFFF"/>
          </w:tcPr>
          <w:p w:rsidR="00514738" w:rsidRPr="00515A3E" w:rsidRDefault="00514738" w:rsidP="00AF7FF3">
            <w:pPr>
              <w:shd w:val="clear" w:color="auto" w:fill="FFFFFF"/>
              <w:jc w:val="center"/>
              <w:rPr>
                <w:rFonts w:cs="Arial"/>
              </w:rPr>
            </w:pPr>
            <w:r w:rsidRPr="00515A3E">
              <w:t>Erteilte Züchterrechte</w:t>
            </w:r>
            <w:r w:rsidRPr="00515A3E">
              <w:br/>
            </w:r>
          </w:p>
          <w:p w:rsidR="00514738" w:rsidRPr="00515A3E" w:rsidRDefault="00514738" w:rsidP="00AF7FF3">
            <w:pPr>
              <w:shd w:val="clear" w:color="auto" w:fill="FFFFFF"/>
              <w:jc w:val="center"/>
              <w:rPr>
                <w:rFonts w:cs="Arial"/>
              </w:rPr>
            </w:pPr>
            <w:r w:rsidRPr="00515A3E">
              <w:t>1.01. – 1.09.2015</w:t>
            </w:r>
          </w:p>
        </w:tc>
        <w:tc>
          <w:tcPr>
            <w:tcW w:w="894" w:type="dxa"/>
            <w:tcBorders>
              <w:top w:val="single" w:sz="4" w:space="0" w:color="auto"/>
              <w:left w:val="nil"/>
              <w:right w:val="single" w:sz="12" w:space="0" w:color="auto"/>
            </w:tcBorders>
          </w:tcPr>
          <w:p w:rsidR="00514738" w:rsidRPr="00515A3E" w:rsidRDefault="00514738" w:rsidP="00AF7FF3">
            <w:pPr>
              <w:jc w:val="center"/>
              <w:rPr>
                <w:rFonts w:cs="Arial"/>
              </w:rPr>
            </w:pPr>
            <w:r w:rsidRPr="00515A3E">
              <w:t>Erlo-</w:t>
            </w:r>
            <w:proofErr w:type="spellStart"/>
            <w:r w:rsidRPr="00515A3E">
              <w:t>schene</w:t>
            </w:r>
            <w:proofErr w:type="spellEnd"/>
          </w:p>
          <w:p w:rsidR="00514738" w:rsidRPr="00515A3E" w:rsidRDefault="00514738" w:rsidP="00AF7FF3">
            <w:pPr>
              <w:jc w:val="center"/>
              <w:rPr>
                <w:rFonts w:cs="Arial"/>
              </w:rPr>
            </w:pPr>
            <w:r w:rsidRPr="00515A3E">
              <w:t>Schutz-titel</w:t>
            </w:r>
          </w:p>
        </w:tc>
        <w:tc>
          <w:tcPr>
            <w:tcW w:w="1396" w:type="dxa"/>
            <w:tcBorders>
              <w:top w:val="single" w:sz="4" w:space="0" w:color="auto"/>
              <w:left w:val="nil"/>
              <w:right w:val="single" w:sz="6" w:space="0" w:color="auto"/>
            </w:tcBorders>
            <w:shd w:val="clear" w:color="auto" w:fill="FFFFFF"/>
          </w:tcPr>
          <w:p w:rsidR="00514738" w:rsidRPr="00515A3E" w:rsidRDefault="00514738" w:rsidP="00AF7FF3">
            <w:pPr>
              <w:ind w:right="-6"/>
              <w:jc w:val="center"/>
              <w:rPr>
                <w:rFonts w:cs="Arial"/>
              </w:rPr>
            </w:pPr>
            <w:r w:rsidRPr="00515A3E">
              <w:t>Zum 1.9.2015 gültige Schutztitel</w:t>
            </w:r>
          </w:p>
        </w:tc>
      </w:tr>
      <w:tr w:rsidR="00514738" w:rsidRPr="00515A3E" w:rsidTr="00AF7FF3">
        <w:tc>
          <w:tcPr>
            <w:tcW w:w="1630" w:type="dxa"/>
            <w:tcBorders>
              <w:left w:val="single" w:sz="6" w:space="0" w:color="auto"/>
              <w:right w:val="single" w:sz="12" w:space="0" w:color="auto"/>
            </w:tcBorders>
          </w:tcPr>
          <w:p w:rsidR="00514738" w:rsidRPr="00515A3E" w:rsidRDefault="00514738" w:rsidP="00AF7FF3">
            <w:pPr>
              <w:rPr>
                <w:rFonts w:cs="Arial"/>
              </w:rPr>
            </w:pPr>
          </w:p>
        </w:tc>
        <w:tc>
          <w:tcPr>
            <w:tcW w:w="1052" w:type="dxa"/>
            <w:tcBorders>
              <w:top w:val="single" w:sz="6" w:space="0" w:color="auto"/>
              <w:left w:val="nil"/>
              <w:right w:val="single" w:sz="6" w:space="0" w:color="auto"/>
            </w:tcBorders>
          </w:tcPr>
          <w:p w:rsidR="00514738" w:rsidRPr="00515A3E" w:rsidRDefault="00514738" w:rsidP="00AF7FF3">
            <w:pPr>
              <w:jc w:val="center"/>
              <w:rPr>
                <w:rFonts w:cs="Arial"/>
              </w:rPr>
            </w:pPr>
            <w:r w:rsidRPr="00515A3E">
              <w:t>Inland</w:t>
            </w:r>
          </w:p>
        </w:tc>
        <w:tc>
          <w:tcPr>
            <w:tcW w:w="894" w:type="dxa"/>
            <w:tcBorders>
              <w:top w:val="single" w:sz="6" w:space="0" w:color="auto"/>
              <w:left w:val="nil"/>
              <w:right w:val="single" w:sz="6" w:space="0" w:color="auto"/>
            </w:tcBorders>
          </w:tcPr>
          <w:p w:rsidR="00514738" w:rsidRPr="00515A3E" w:rsidRDefault="00514738" w:rsidP="00AF7FF3">
            <w:pPr>
              <w:jc w:val="center"/>
              <w:rPr>
                <w:rFonts w:cs="Arial"/>
              </w:rPr>
            </w:pPr>
            <w:r w:rsidRPr="00515A3E">
              <w:t>Ausland</w:t>
            </w:r>
          </w:p>
        </w:tc>
        <w:tc>
          <w:tcPr>
            <w:tcW w:w="894" w:type="dxa"/>
            <w:tcBorders>
              <w:top w:val="single" w:sz="6" w:space="0" w:color="auto"/>
              <w:left w:val="nil"/>
              <w:right w:val="single" w:sz="12" w:space="0" w:color="auto"/>
            </w:tcBorders>
          </w:tcPr>
          <w:p w:rsidR="00514738" w:rsidRPr="00515A3E" w:rsidRDefault="00514738" w:rsidP="00AF7FF3">
            <w:pPr>
              <w:jc w:val="center"/>
              <w:rPr>
                <w:rFonts w:cs="Arial"/>
              </w:rPr>
            </w:pPr>
            <w:proofErr w:type="spellStart"/>
            <w:r w:rsidRPr="00515A3E">
              <w:t>Insge</w:t>
            </w:r>
            <w:proofErr w:type="spellEnd"/>
            <w:r w:rsidRPr="00515A3E">
              <w:t>-samt</w:t>
            </w:r>
          </w:p>
        </w:tc>
        <w:tc>
          <w:tcPr>
            <w:tcW w:w="1052" w:type="dxa"/>
            <w:tcBorders>
              <w:top w:val="single" w:sz="6" w:space="0" w:color="auto"/>
              <w:left w:val="nil"/>
              <w:right w:val="single" w:sz="6" w:space="0" w:color="auto"/>
            </w:tcBorders>
          </w:tcPr>
          <w:p w:rsidR="00514738" w:rsidRPr="00515A3E" w:rsidRDefault="00514738" w:rsidP="00AF7FF3">
            <w:pPr>
              <w:jc w:val="center"/>
              <w:rPr>
                <w:rFonts w:cs="Arial"/>
              </w:rPr>
            </w:pPr>
            <w:r w:rsidRPr="00515A3E">
              <w:t>Inland</w:t>
            </w:r>
          </w:p>
        </w:tc>
        <w:tc>
          <w:tcPr>
            <w:tcW w:w="894" w:type="dxa"/>
            <w:tcBorders>
              <w:top w:val="single" w:sz="6" w:space="0" w:color="auto"/>
              <w:left w:val="nil"/>
              <w:right w:val="single" w:sz="6" w:space="0" w:color="auto"/>
            </w:tcBorders>
          </w:tcPr>
          <w:p w:rsidR="00514738" w:rsidRPr="00515A3E" w:rsidRDefault="00514738" w:rsidP="00AF7FF3">
            <w:pPr>
              <w:jc w:val="center"/>
              <w:rPr>
                <w:rFonts w:cs="Arial"/>
              </w:rPr>
            </w:pPr>
            <w:r w:rsidRPr="00515A3E">
              <w:t>Ausland</w:t>
            </w:r>
          </w:p>
        </w:tc>
        <w:tc>
          <w:tcPr>
            <w:tcW w:w="894" w:type="dxa"/>
            <w:tcBorders>
              <w:top w:val="single" w:sz="6" w:space="0" w:color="auto"/>
              <w:left w:val="nil"/>
              <w:right w:val="single" w:sz="12" w:space="0" w:color="auto"/>
            </w:tcBorders>
          </w:tcPr>
          <w:p w:rsidR="00514738" w:rsidRPr="00515A3E" w:rsidRDefault="00514738" w:rsidP="00AF7FF3">
            <w:pPr>
              <w:jc w:val="center"/>
              <w:rPr>
                <w:rFonts w:cs="Arial"/>
              </w:rPr>
            </w:pPr>
            <w:proofErr w:type="spellStart"/>
            <w:r w:rsidRPr="00515A3E">
              <w:t>Insge</w:t>
            </w:r>
            <w:proofErr w:type="spellEnd"/>
            <w:r w:rsidRPr="00515A3E">
              <w:t>-samt</w:t>
            </w:r>
          </w:p>
        </w:tc>
        <w:tc>
          <w:tcPr>
            <w:tcW w:w="894" w:type="dxa"/>
            <w:tcBorders>
              <w:left w:val="nil"/>
              <w:right w:val="single" w:sz="12" w:space="0" w:color="auto"/>
            </w:tcBorders>
          </w:tcPr>
          <w:p w:rsidR="00514738" w:rsidRPr="00515A3E" w:rsidRDefault="00514738" w:rsidP="00AF7FF3">
            <w:pPr>
              <w:jc w:val="center"/>
              <w:rPr>
                <w:rFonts w:cs="Arial"/>
              </w:rPr>
            </w:pPr>
          </w:p>
        </w:tc>
        <w:tc>
          <w:tcPr>
            <w:tcW w:w="1396" w:type="dxa"/>
            <w:tcBorders>
              <w:left w:val="nil"/>
              <w:right w:val="single" w:sz="6" w:space="0" w:color="auto"/>
            </w:tcBorders>
            <w:shd w:val="clear" w:color="auto" w:fill="FFFFFF"/>
          </w:tcPr>
          <w:p w:rsidR="00514738" w:rsidRPr="00515A3E" w:rsidRDefault="00514738" w:rsidP="00AF7FF3">
            <w:pPr>
              <w:jc w:val="center"/>
              <w:rPr>
                <w:rFonts w:cs="Arial"/>
              </w:rPr>
            </w:pPr>
          </w:p>
        </w:tc>
      </w:tr>
      <w:tr w:rsidR="00514738" w:rsidRPr="00515A3E" w:rsidTr="00AF7FF3">
        <w:tc>
          <w:tcPr>
            <w:tcW w:w="1630" w:type="dxa"/>
            <w:tcBorders>
              <w:top w:val="single" w:sz="12" w:space="0" w:color="auto"/>
              <w:left w:val="single" w:sz="6" w:space="0" w:color="auto"/>
              <w:bottom w:val="single" w:sz="6" w:space="0" w:color="auto"/>
              <w:right w:val="single" w:sz="12" w:space="0" w:color="auto"/>
            </w:tcBorders>
          </w:tcPr>
          <w:p w:rsidR="00514738" w:rsidRPr="00515A3E" w:rsidRDefault="00514738" w:rsidP="00AF7FF3">
            <w:pPr>
              <w:spacing w:before="120"/>
              <w:jc w:val="center"/>
              <w:rPr>
                <w:rFonts w:cs="Arial"/>
              </w:rPr>
            </w:pPr>
            <w:r w:rsidRPr="00515A3E">
              <w:t>Landwirtschaft-</w:t>
            </w:r>
            <w:proofErr w:type="spellStart"/>
            <w:r w:rsidRPr="00515A3E">
              <w:t>liche</w:t>
            </w:r>
            <w:proofErr w:type="spellEnd"/>
            <w:r w:rsidRPr="00515A3E">
              <w:t xml:space="preserve"> Arten</w:t>
            </w:r>
          </w:p>
        </w:tc>
        <w:tc>
          <w:tcPr>
            <w:tcW w:w="1052" w:type="dxa"/>
            <w:tcBorders>
              <w:top w:val="single" w:sz="12" w:space="0" w:color="auto"/>
              <w:left w:val="nil"/>
              <w:bottom w:val="single" w:sz="6" w:space="0" w:color="auto"/>
              <w:right w:val="single" w:sz="6" w:space="0" w:color="auto"/>
            </w:tcBorders>
          </w:tcPr>
          <w:p w:rsidR="00514738" w:rsidRPr="00515A3E" w:rsidRDefault="00514738" w:rsidP="00AF7FF3">
            <w:pPr>
              <w:spacing w:before="120"/>
              <w:jc w:val="center"/>
              <w:rPr>
                <w:rFonts w:cs="Arial"/>
              </w:rPr>
            </w:pPr>
            <w:r w:rsidRPr="00515A3E">
              <w:t>23</w:t>
            </w:r>
          </w:p>
        </w:tc>
        <w:tc>
          <w:tcPr>
            <w:tcW w:w="894" w:type="dxa"/>
            <w:tcBorders>
              <w:top w:val="single" w:sz="12" w:space="0" w:color="auto"/>
              <w:left w:val="single" w:sz="6" w:space="0" w:color="auto"/>
              <w:bottom w:val="single" w:sz="6" w:space="0" w:color="auto"/>
              <w:right w:val="single" w:sz="6" w:space="0" w:color="auto"/>
            </w:tcBorders>
          </w:tcPr>
          <w:p w:rsidR="00514738" w:rsidRPr="00515A3E" w:rsidRDefault="00514738" w:rsidP="00AF7FF3">
            <w:pPr>
              <w:spacing w:before="120"/>
              <w:jc w:val="center"/>
              <w:rPr>
                <w:rFonts w:cs="Arial"/>
              </w:rPr>
            </w:pPr>
            <w:r w:rsidRPr="00515A3E">
              <w:t>3</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514738" w:rsidRPr="00515A3E" w:rsidRDefault="00514738" w:rsidP="00AF7FF3">
            <w:pPr>
              <w:spacing w:before="120"/>
              <w:jc w:val="center"/>
              <w:rPr>
                <w:rFonts w:cs="Arial"/>
              </w:rPr>
            </w:pPr>
            <w:r w:rsidRPr="00515A3E">
              <w:t>26</w:t>
            </w:r>
          </w:p>
        </w:tc>
        <w:tc>
          <w:tcPr>
            <w:tcW w:w="1052" w:type="dxa"/>
            <w:tcBorders>
              <w:top w:val="single" w:sz="12" w:space="0" w:color="auto"/>
              <w:left w:val="nil"/>
              <w:bottom w:val="single" w:sz="6" w:space="0" w:color="auto"/>
              <w:right w:val="single" w:sz="6" w:space="0" w:color="auto"/>
            </w:tcBorders>
          </w:tcPr>
          <w:p w:rsidR="00514738" w:rsidRPr="00515A3E" w:rsidRDefault="00514738" w:rsidP="00AF7FF3">
            <w:pPr>
              <w:spacing w:before="120"/>
              <w:jc w:val="center"/>
              <w:rPr>
                <w:rFonts w:cs="Arial"/>
              </w:rPr>
            </w:pPr>
            <w:r w:rsidRPr="00515A3E">
              <w:t>29</w:t>
            </w:r>
          </w:p>
        </w:tc>
        <w:tc>
          <w:tcPr>
            <w:tcW w:w="894" w:type="dxa"/>
            <w:tcBorders>
              <w:top w:val="single" w:sz="12" w:space="0" w:color="auto"/>
              <w:left w:val="single" w:sz="6" w:space="0" w:color="auto"/>
              <w:bottom w:val="single" w:sz="6" w:space="0" w:color="auto"/>
              <w:right w:val="single" w:sz="6" w:space="0" w:color="auto"/>
            </w:tcBorders>
          </w:tcPr>
          <w:p w:rsidR="00514738" w:rsidRPr="00515A3E" w:rsidRDefault="00514738" w:rsidP="00AF7FF3">
            <w:pPr>
              <w:spacing w:before="120"/>
              <w:jc w:val="center"/>
              <w:rPr>
                <w:rFonts w:cs="Arial"/>
              </w:rPr>
            </w:pPr>
            <w:r w:rsidRPr="00515A3E">
              <w:t>-</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514738" w:rsidRPr="00515A3E" w:rsidRDefault="00514738" w:rsidP="00AF7FF3">
            <w:pPr>
              <w:spacing w:before="120"/>
              <w:jc w:val="center"/>
              <w:rPr>
                <w:rFonts w:cs="Arial"/>
              </w:rPr>
            </w:pPr>
            <w:r w:rsidRPr="00515A3E">
              <w:t>29</w:t>
            </w:r>
          </w:p>
        </w:tc>
        <w:tc>
          <w:tcPr>
            <w:tcW w:w="894" w:type="dxa"/>
            <w:tcBorders>
              <w:top w:val="single" w:sz="12" w:space="0" w:color="auto"/>
              <w:left w:val="nil"/>
              <w:bottom w:val="single" w:sz="6" w:space="0" w:color="auto"/>
              <w:right w:val="single" w:sz="12" w:space="0" w:color="auto"/>
            </w:tcBorders>
          </w:tcPr>
          <w:p w:rsidR="00514738" w:rsidRPr="00515A3E" w:rsidRDefault="00514738" w:rsidP="00AF7FF3">
            <w:pPr>
              <w:spacing w:before="120"/>
              <w:jc w:val="center"/>
              <w:rPr>
                <w:rFonts w:cs="Arial"/>
              </w:rPr>
            </w:pPr>
            <w:r w:rsidRPr="00515A3E">
              <w:t>21</w:t>
            </w:r>
          </w:p>
        </w:tc>
        <w:tc>
          <w:tcPr>
            <w:tcW w:w="1396" w:type="dxa"/>
            <w:tcBorders>
              <w:top w:val="single" w:sz="12" w:space="0" w:color="auto"/>
              <w:left w:val="nil"/>
              <w:bottom w:val="single" w:sz="6" w:space="0" w:color="auto"/>
              <w:right w:val="single" w:sz="6" w:space="0" w:color="auto"/>
            </w:tcBorders>
            <w:shd w:val="clear" w:color="auto" w:fill="D9D9D9"/>
          </w:tcPr>
          <w:p w:rsidR="00514738" w:rsidRPr="00515A3E" w:rsidRDefault="00514738" w:rsidP="00AF7FF3">
            <w:pPr>
              <w:spacing w:before="120"/>
              <w:jc w:val="center"/>
              <w:rPr>
                <w:rFonts w:cs="Arial"/>
              </w:rPr>
            </w:pPr>
            <w:r w:rsidRPr="00515A3E">
              <w:t>624</w:t>
            </w:r>
          </w:p>
        </w:tc>
      </w:tr>
      <w:tr w:rsidR="00514738" w:rsidRPr="00515A3E" w:rsidTr="00AF7FF3">
        <w:tc>
          <w:tcPr>
            <w:tcW w:w="1630" w:type="dxa"/>
            <w:tcBorders>
              <w:top w:val="single" w:sz="6" w:space="0" w:color="auto"/>
              <w:left w:val="single" w:sz="6" w:space="0" w:color="auto"/>
              <w:bottom w:val="single" w:sz="6" w:space="0" w:color="auto"/>
              <w:right w:val="single" w:sz="12" w:space="0" w:color="auto"/>
            </w:tcBorders>
          </w:tcPr>
          <w:p w:rsidR="00514738" w:rsidRPr="00515A3E" w:rsidRDefault="00514738" w:rsidP="00AF7FF3">
            <w:pPr>
              <w:spacing w:before="120"/>
              <w:jc w:val="center"/>
              <w:rPr>
                <w:rFonts w:cs="Arial"/>
              </w:rPr>
            </w:pPr>
            <w:r w:rsidRPr="00515A3E">
              <w:t>Gemüsearten</w:t>
            </w:r>
          </w:p>
        </w:tc>
        <w:tc>
          <w:tcPr>
            <w:tcW w:w="1052" w:type="dxa"/>
            <w:tcBorders>
              <w:top w:val="single" w:sz="6" w:space="0" w:color="auto"/>
              <w:left w:val="nil"/>
              <w:bottom w:val="single" w:sz="6" w:space="0" w:color="auto"/>
              <w:right w:val="single" w:sz="6" w:space="0" w:color="auto"/>
            </w:tcBorders>
          </w:tcPr>
          <w:p w:rsidR="00514738" w:rsidRPr="00515A3E" w:rsidRDefault="00514738" w:rsidP="00AF7FF3">
            <w:pPr>
              <w:spacing w:before="120"/>
              <w:jc w:val="center"/>
              <w:rPr>
                <w:rFonts w:cs="Arial"/>
              </w:rPr>
            </w:pPr>
            <w:r w:rsidRPr="00515A3E">
              <w:t>-</w:t>
            </w:r>
          </w:p>
        </w:tc>
        <w:tc>
          <w:tcPr>
            <w:tcW w:w="894" w:type="dxa"/>
            <w:tcBorders>
              <w:top w:val="single" w:sz="6" w:space="0" w:color="auto"/>
              <w:left w:val="single" w:sz="6" w:space="0" w:color="auto"/>
              <w:bottom w:val="single" w:sz="6" w:space="0" w:color="auto"/>
              <w:right w:val="single" w:sz="6" w:space="0" w:color="auto"/>
            </w:tcBorders>
          </w:tcPr>
          <w:p w:rsidR="00514738" w:rsidRPr="00515A3E" w:rsidRDefault="00514738" w:rsidP="00AF7FF3">
            <w:pPr>
              <w:spacing w:before="120"/>
              <w:jc w:val="center"/>
              <w:rPr>
                <w:rFonts w:cs="Arial"/>
              </w:rPr>
            </w:pPr>
            <w:r w:rsidRPr="00515A3E">
              <w:t>1</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514738" w:rsidRPr="00515A3E" w:rsidRDefault="00514738" w:rsidP="00AF7FF3">
            <w:pPr>
              <w:spacing w:before="120"/>
              <w:jc w:val="center"/>
              <w:rPr>
                <w:rFonts w:cs="Arial"/>
              </w:rPr>
            </w:pPr>
            <w:r w:rsidRPr="00515A3E">
              <w:t>1</w:t>
            </w:r>
          </w:p>
        </w:tc>
        <w:tc>
          <w:tcPr>
            <w:tcW w:w="1052" w:type="dxa"/>
            <w:tcBorders>
              <w:top w:val="single" w:sz="6" w:space="0" w:color="auto"/>
              <w:left w:val="nil"/>
              <w:bottom w:val="single" w:sz="6" w:space="0" w:color="auto"/>
              <w:right w:val="single" w:sz="6" w:space="0" w:color="auto"/>
            </w:tcBorders>
          </w:tcPr>
          <w:p w:rsidR="00514738" w:rsidRPr="00515A3E" w:rsidRDefault="00514738" w:rsidP="00AF7FF3">
            <w:pPr>
              <w:spacing w:before="120"/>
              <w:jc w:val="center"/>
              <w:rPr>
                <w:rFonts w:cs="Arial"/>
              </w:rPr>
            </w:pPr>
            <w:r w:rsidRPr="00515A3E">
              <w:t>3</w:t>
            </w:r>
          </w:p>
        </w:tc>
        <w:tc>
          <w:tcPr>
            <w:tcW w:w="894" w:type="dxa"/>
            <w:tcBorders>
              <w:top w:val="single" w:sz="6" w:space="0" w:color="auto"/>
              <w:left w:val="single" w:sz="6" w:space="0" w:color="auto"/>
              <w:bottom w:val="single" w:sz="6" w:space="0" w:color="auto"/>
              <w:right w:val="single" w:sz="6" w:space="0" w:color="auto"/>
            </w:tcBorders>
          </w:tcPr>
          <w:p w:rsidR="00514738" w:rsidRPr="00515A3E" w:rsidRDefault="00514738" w:rsidP="00AF7FF3">
            <w:pPr>
              <w:spacing w:before="120"/>
              <w:jc w:val="center"/>
              <w:rPr>
                <w:rFonts w:cs="Arial"/>
              </w:rPr>
            </w:pPr>
            <w:r w:rsidRPr="00515A3E">
              <w:t>-</w:t>
            </w:r>
          </w:p>
        </w:tc>
        <w:tc>
          <w:tcPr>
            <w:tcW w:w="894" w:type="dxa"/>
            <w:tcBorders>
              <w:top w:val="single" w:sz="6" w:space="0" w:color="auto"/>
              <w:left w:val="single" w:sz="6" w:space="0" w:color="auto"/>
              <w:bottom w:val="single" w:sz="6" w:space="0" w:color="auto"/>
              <w:right w:val="single" w:sz="12" w:space="0" w:color="auto"/>
            </w:tcBorders>
            <w:shd w:val="clear" w:color="auto" w:fill="D9D9D9"/>
          </w:tcPr>
          <w:p w:rsidR="00514738" w:rsidRPr="00515A3E" w:rsidRDefault="00514738" w:rsidP="00AF7FF3">
            <w:pPr>
              <w:spacing w:before="120"/>
              <w:jc w:val="center"/>
              <w:rPr>
                <w:rFonts w:cs="Arial"/>
              </w:rPr>
            </w:pPr>
            <w:r w:rsidRPr="00515A3E">
              <w:t>3</w:t>
            </w:r>
          </w:p>
        </w:tc>
        <w:tc>
          <w:tcPr>
            <w:tcW w:w="894" w:type="dxa"/>
            <w:tcBorders>
              <w:top w:val="single" w:sz="6" w:space="0" w:color="auto"/>
              <w:left w:val="nil"/>
              <w:bottom w:val="single" w:sz="6" w:space="0" w:color="auto"/>
              <w:right w:val="single" w:sz="12" w:space="0" w:color="auto"/>
            </w:tcBorders>
          </w:tcPr>
          <w:p w:rsidR="00514738" w:rsidRPr="00515A3E" w:rsidRDefault="00514738" w:rsidP="00AF7FF3">
            <w:pPr>
              <w:spacing w:before="120"/>
              <w:jc w:val="center"/>
              <w:rPr>
                <w:rFonts w:cs="Arial"/>
              </w:rPr>
            </w:pPr>
            <w:r w:rsidRPr="00515A3E">
              <w:t>13</w:t>
            </w:r>
          </w:p>
        </w:tc>
        <w:tc>
          <w:tcPr>
            <w:tcW w:w="1396" w:type="dxa"/>
            <w:tcBorders>
              <w:top w:val="single" w:sz="6" w:space="0" w:color="auto"/>
              <w:left w:val="nil"/>
              <w:bottom w:val="single" w:sz="6" w:space="0" w:color="auto"/>
              <w:right w:val="single" w:sz="6" w:space="0" w:color="auto"/>
            </w:tcBorders>
            <w:shd w:val="clear" w:color="auto" w:fill="D9D9D9"/>
          </w:tcPr>
          <w:p w:rsidR="00514738" w:rsidRPr="00515A3E" w:rsidRDefault="00514738" w:rsidP="00AF7FF3">
            <w:pPr>
              <w:spacing w:before="120"/>
              <w:jc w:val="center"/>
              <w:rPr>
                <w:rFonts w:cs="Arial"/>
              </w:rPr>
            </w:pPr>
            <w:r w:rsidRPr="00515A3E">
              <w:t>207</w:t>
            </w:r>
          </w:p>
        </w:tc>
      </w:tr>
      <w:tr w:rsidR="00514738" w:rsidRPr="00515A3E" w:rsidTr="00AF7FF3">
        <w:tc>
          <w:tcPr>
            <w:tcW w:w="1630" w:type="dxa"/>
            <w:tcBorders>
              <w:top w:val="single" w:sz="6" w:space="0" w:color="auto"/>
              <w:left w:val="single" w:sz="6" w:space="0" w:color="auto"/>
              <w:right w:val="single" w:sz="12" w:space="0" w:color="auto"/>
            </w:tcBorders>
          </w:tcPr>
          <w:p w:rsidR="00514738" w:rsidRPr="00515A3E" w:rsidRDefault="00514738" w:rsidP="00AF7FF3">
            <w:pPr>
              <w:spacing w:before="120"/>
              <w:jc w:val="center"/>
              <w:rPr>
                <w:rFonts w:cs="Arial"/>
              </w:rPr>
            </w:pPr>
            <w:r w:rsidRPr="00515A3E">
              <w:t>Zierarten</w:t>
            </w:r>
          </w:p>
        </w:tc>
        <w:tc>
          <w:tcPr>
            <w:tcW w:w="1052" w:type="dxa"/>
            <w:tcBorders>
              <w:top w:val="single" w:sz="6" w:space="0" w:color="auto"/>
              <w:left w:val="nil"/>
              <w:right w:val="single" w:sz="6" w:space="0" w:color="auto"/>
            </w:tcBorders>
          </w:tcPr>
          <w:p w:rsidR="00514738" w:rsidRPr="00515A3E" w:rsidRDefault="00514738" w:rsidP="00AF7FF3">
            <w:pPr>
              <w:spacing w:before="120"/>
              <w:jc w:val="center"/>
              <w:rPr>
                <w:rFonts w:cs="Arial"/>
              </w:rPr>
            </w:pPr>
            <w:r w:rsidRPr="00515A3E">
              <w:t>13</w:t>
            </w:r>
          </w:p>
        </w:tc>
        <w:tc>
          <w:tcPr>
            <w:tcW w:w="894" w:type="dxa"/>
            <w:tcBorders>
              <w:top w:val="single" w:sz="6" w:space="0" w:color="auto"/>
              <w:left w:val="single" w:sz="6" w:space="0" w:color="auto"/>
              <w:right w:val="single" w:sz="6" w:space="0" w:color="auto"/>
            </w:tcBorders>
          </w:tcPr>
          <w:p w:rsidR="00514738" w:rsidRPr="00515A3E" w:rsidRDefault="00514738" w:rsidP="00AF7FF3">
            <w:pPr>
              <w:spacing w:before="120"/>
              <w:jc w:val="center"/>
              <w:rPr>
                <w:rFonts w:cs="Arial"/>
              </w:rPr>
            </w:pPr>
            <w:r w:rsidRPr="00515A3E">
              <w:t>25</w:t>
            </w:r>
          </w:p>
        </w:tc>
        <w:tc>
          <w:tcPr>
            <w:tcW w:w="894" w:type="dxa"/>
            <w:tcBorders>
              <w:top w:val="single" w:sz="6" w:space="0" w:color="auto"/>
              <w:left w:val="single" w:sz="6" w:space="0" w:color="auto"/>
              <w:right w:val="single" w:sz="12" w:space="0" w:color="auto"/>
            </w:tcBorders>
            <w:shd w:val="clear" w:color="auto" w:fill="D9D9D9"/>
          </w:tcPr>
          <w:p w:rsidR="00514738" w:rsidRPr="00515A3E" w:rsidRDefault="00514738" w:rsidP="00AF7FF3">
            <w:pPr>
              <w:spacing w:before="120"/>
              <w:jc w:val="center"/>
              <w:rPr>
                <w:rFonts w:cs="Arial"/>
              </w:rPr>
            </w:pPr>
            <w:r w:rsidRPr="00515A3E">
              <w:t>38</w:t>
            </w:r>
          </w:p>
        </w:tc>
        <w:tc>
          <w:tcPr>
            <w:tcW w:w="1052" w:type="dxa"/>
            <w:tcBorders>
              <w:top w:val="single" w:sz="6" w:space="0" w:color="auto"/>
              <w:left w:val="nil"/>
              <w:right w:val="single" w:sz="6" w:space="0" w:color="auto"/>
            </w:tcBorders>
          </w:tcPr>
          <w:p w:rsidR="00514738" w:rsidRPr="00515A3E" w:rsidRDefault="00514738" w:rsidP="00AF7FF3">
            <w:pPr>
              <w:spacing w:before="120"/>
              <w:jc w:val="center"/>
              <w:rPr>
                <w:rFonts w:cs="Arial"/>
              </w:rPr>
            </w:pPr>
            <w:r w:rsidRPr="00515A3E">
              <w:t>15</w:t>
            </w:r>
          </w:p>
        </w:tc>
        <w:tc>
          <w:tcPr>
            <w:tcW w:w="894" w:type="dxa"/>
            <w:tcBorders>
              <w:top w:val="single" w:sz="6" w:space="0" w:color="auto"/>
              <w:left w:val="single" w:sz="6" w:space="0" w:color="auto"/>
              <w:right w:val="single" w:sz="6" w:space="0" w:color="auto"/>
            </w:tcBorders>
          </w:tcPr>
          <w:p w:rsidR="00514738" w:rsidRPr="00515A3E" w:rsidRDefault="00514738" w:rsidP="00AF7FF3">
            <w:pPr>
              <w:spacing w:before="120"/>
              <w:jc w:val="center"/>
              <w:rPr>
                <w:rFonts w:cs="Arial"/>
              </w:rPr>
            </w:pPr>
            <w:r w:rsidRPr="00515A3E">
              <w:t>10</w:t>
            </w:r>
          </w:p>
        </w:tc>
        <w:tc>
          <w:tcPr>
            <w:tcW w:w="894" w:type="dxa"/>
            <w:tcBorders>
              <w:top w:val="single" w:sz="6" w:space="0" w:color="auto"/>
              <w:left w:val="single" w:sz="6" w:space="0" w:color="auto"/>
              <w:right w:val="single" w:sz="12" w:space="0" w:color="auto"/>
            </w:tcBorders>
            <w:shd w:val="clear" w:color="auto" w:fill="D9D9D9"/>
          </w:tcPr>
          <w:p w:rsidR="00514738" w:rsidRPr="00515A3E" w:rsidRDefault="00514738" w:rsidP="00AF7FF3">
            <w:pPr>
              <w:spacing w:before="120"/>
              <w:jc w:val="center"/>
              <w:rPr>
                <w:rFonts w:cs="Arial"/>
              </w:rPr>
            </w:pPr>
            <w:r w:rsidRPr="00515A3E">
              <w:t>25</w:t>
            </w:r>
          </w:p>
        </w:tc>
        <w:tc>
          <w:tcPr>
            <w:tcW w:w="894" w:type="dxa"/>
            <w:tcBorders>
              <w:top w:val="single" w:sz="6" w:space="0" w:color="auto"/>
              <w:left w:val="nil"/>
              <w:right w:val="single" w:sz="12" w:space="0" w:color="auto"/>
            </w:tcBorders>
          </w:tcPr>
          <w:p w:rsidR="00514738" w:rsidRPr="00515A3E" w:rsidRDefault="00514738" w:rsidP="00AF7FF3">
            <w:pPr>
              <w:spacing w:before="120"/>
              <w:jc w:val="center"/>
              <w:rPr>
                <w:rFonts w:cs="Arial"/>
              </w:rPr>
            </w:pPr>
            <w:r w:rsidRPr="00515A3E">
              <w:t>16</w:t>
            </w:r>
          </w:p>
        </w:tc>
        <w:tc>
          <w:tcPr>
            <w:tcW w:w="1396" w:type="dxa"/>
            <w:tcBorders>
              <w:top w:val="single" w:sz="6" w:space="0" w:color="auto"/>
              <w:left w:val="nil"/>
              <w:right w:val="single" w:sz="6" w:space="0" w:color="auto"/>
            </w:tcBorders>
            <w:shd w:val="clear" w:color="auto" w:fill="D9D9D9"/>
          </w:tcPr>
          <w:p w:rsidR="00514738" w:rsidRPr="00515A3E" w:rsidRDefault="00514738" w:rsidP="00AF7FF3">
            <w:pPr>
              <w:spacing w:before="120"/>
              <w:jc w:val="center"/>
              <w:rPr>
                <w:rFonts w:cs="Arial"/>
              </w:rPr>
            </w:pPr>
            <w:r w:rsidRPr="00515A3E">
              <w:t>207</w:t>
            </w:r>
          </w:p>
        </w:tc>
      </w:tr>
      <w:tr w:rsidR="00514738" w:rsidRPr="00515A3E" w:rsidTr="00AF7FF3">
        <w:tc>
          <w:tcPr>
            <w:tcW w:w="1630" w:type="dxa"/>
            <w:tcBorders>
              <w:top w:val="single" w:sz="6" w:space="0" w:color="auto"/>
              <w:left w:val="single" w:sz="6" w:space="0" w:color="auto"/>
              <w:right w:val="single" w:sz="12" w:space="0" w:color="auto"/>
            </w:tcBorders>
          </w:tcPr>
          <w:p w:rsidR="00514738" w:rsidRPr="00515A3E" w:rsidRDefault="00514738" w:rsidP="00AF7FF3">
            <w:pPr>
              <w:spacing w:before="120"/>
              <w:jc w:val="center"/>
              <w:rPr>
                <w:rFonts w:cs="Arial"/>
              </w:rPr>
            </w:pPr>
            <w:r w:rsidRPr="00515A3E">
              <w:t>Obstarten</w:t>
            </w:r>
          </w:p>
        </w:tc>
        <w:tc>
          <w:tcPr>
            <w:tcW w:w="1052" w:type="dxa"/>
            <w:tcBorders>
              <w:top w:val="single" w:sz="6" w:space="0" w:color="auto"/>
              <w:left w:val="nil"/>
              <w:right w:val="single" w:sz="6" w:space="0" w:color="auto"/>
            </w:tcBorders>
          </w:tcPr>
          <w:p w:rsidR="00514738" w:rsidRPr="00515A3E" w:rsidRDefault="00514738" w:rsidP="00AF7FF3">
            <w:pPr>
              <w:spacing w:before="120"/>
              <w:jc w:val="center"/>
              <w:rPr>
                <w:rFonts w:cs="Arial"/>
              </w:rPr>
            </w:pPr>
            <w:r w:rsidRPr="00515A3E">
              <w:t>3</w:t>
            </w:r>
          </w:p>
        </w:tc>
        <w:tc>
          <w:tcPr>
            <w:tcW w:w="894" w:type="dxa"/>
            <w:tcBorders>
              <w:top w:val="single" w:sz="6" w:space="0" w:color="auto"/>
              <w:left w:val="single" w:sz="6" w:space="0" w:color="auto"/>
              <w:right w:val="single" w:sz="6" w:space="0" w:color="auto"/>
            </w:tcBorders>
          </w:tcPr>
          <w:p w:rsidR="00514738" w:rsidRPr="00515A3E" w:rsidRDefault="00514738" w:rsidP="00AF7FF3">
            <w:pPr>
              <w:spacing w:before="120"/>
              <w:jc w:val="center"/>
              <w:rPr>
                <w:rFonts w:cs="Arial"/>
              </w:rPr>
            </w:pPr>
            <w:r w:rsidRPr="00515A3E">
              <w:t>-</w:t>
            </w:r>
          </w:p>
        </w:tc>
        <w:tc>
          <w:tcPr>
            <w:tcW w:w="894" w:type="dxa"/>
            <w:tcBorders>
              <w:top w:val="single" w:sz="6" w:space="0" w:color="auto"/>
              <w:left w:val="single" w:sz="6" w:space="0" w:color="auto"/>
              <w:right w:val="single" w:sz="12" w:space="0" w:color="auto"/>
            </w:tcBorders>
            <w:shd w:val="clear" w:color="auto" w:fill="D9D9D9"/>
          </w:tcPr>
          <w:p w:rsidR="00514738" w:rsidRPr="00515A3E" w:rsidRDefault="00514738" w:rsidP="00AF7FF3">
            <w:pPr>
              <w:spacing w:before="120"/>
              <w:jc w:val="center"/>
              <w:rPr>
                <w:rFonts w:cs="Arial"/>
              </w:rPr>
            </w:pPr>
            <w:r w:rsidRPr="00515A3E">
              <w:t>3</w:t>
            </w:r>
          </w:p>
        </w:tc>
        <w:tc>
          <w:tcPr>
            <w:tcW w:w="1052" w:type="dxa"/>
            <w:tcBorders>
              <w:top w:val="single" w:sz="6" w:space="0" w:color="auto"/>
              <w:left w:val="nil"/>
              <w:right w:val="single" w:sz="6" w:space="0" w:color="auto"/>
            </w:tcBorders>
          </w:tcPr>
          <w:p w:rsidR="00514738" w:rsidRPr="00515A3E" w:rsidRDefault="00514738" w:rsidP="00AF7FF3">
            <w:pPr>
              <w:pStyle w:val="Footer"/>
              <w:spacing w:before="120"/>
              <w:jc w:val="center"/>
              <w:rPr>
                <w:rFonts w:cs="Arial"/>
                <w:sz w:val="20"/>
                <w:lang w:val="de-DE"/>
              </w:rPr>
            </w:pPr>
            <w:r w:rsidRPr="00515A3E">
              <w:rPr>
                <w:sz w:val="20"/>
                <w:lang w:val="de-DE"/>
              </w:rPr>
              <w:t>3</w:t>
            </w:r>
          </w:p>
        </w:tc>
        <w:tc>
          <w:tcPr>
            <w:tcW w:w="894" w:type="dxa"/>
            <w:tcBorders>
              <w:top w:val="single" w:sz="6" w:space="0" w:color="auto"/>
              <w:left w:val="single" w:sz="6" w:space="0" w:color="auto"/>
              <w:right w:val="single" w:sz="6" w:space="0" w:color="auto"/>
            </w:tcBorders>
          </w:tcPr>
          <w:p w:rsidR="00514738" w:rsidRPr="00515A3E" w:rsidRDefault="00514738" w:rsidP="00AF7FF3">
            <w:pPr>
              <w:spacing w:before="120"/>
              <w:jc w:val="center"/>
              <w:rPr>
                <w:rFonts w:cs="Arial"/>
              </w:rPr>
            </w:pPr>
            <w:r w:rsidRPr="00515A3E">
              <w:t>1</w:t>
            </w:r>
          </w:p>
        </w:tc>
        <w:tc>
          <w:tcPr>
            <w:tcW w:w="894" w:type="dxa"/>
            <w:tcBorders>
              <w:top w:val="single" w:sz="6" w:space="0" w:color="auto"/>
              <w:left w:val="single" w:sz="6" w:space="0" w:color="auto"/>
              <w:right w:val="single" w:sz="12" w:space="0" w:color="auto"/>
            </w:tcBorders>
            <w:shd w:val="clear" w:color="auto" w:fill="D9D9D9"/>
          </w:tcPr>
          <w:p w:rsidR="00514738" w:rsidRPr="00515A3E" w:rsidRDefault="00514738" w:rsidP="00AF7FF3">
            <w:pPr>
              <w:spacing w:before="120"/>
              <w:jc w:val="center"/>
              <w:rPr>
                <w:rFonts w:cs="Arial"/>
              </w:rPr>
            </w:pPr>
            <w:r w:rsidRPr="00515A3E">
              <w:t>4</w:t>
            </w:r>
          </w:p>
        </w:tc>
        <w:tc>
          <w:tcPr>
            <w:tcW w:w="894" w:type="dxa"/>
            <w:tcBorders>
              <w:top w:val="single" w:sz="6" w:space="0" w:color="auto"/>
              <w:left w:val="nil"/>
              <w:right w:val="single" w:sz="12" w:space="0" w:color="auto"/>
            </w:tcBorders>
          </w:tcPr>
          <w:p w:rsidR="00514738" w:rsidRPr="00515A3E" w:rsidRDefault="00514738" w:rsidP="00AF7FF3">
            <w:pPr>
              <w:spacing w:before="120"/>
              <w:jc w:val="center"/>
              <w:rPr>
                <w:rFonts w:cs="Arial"/>
              </w:rPr>
            </w:pPr>
            <w:r w:rsidRPr="00515A3E">
              <w:t>4</w:t>
            </w:r>
          </w:p>
        </w:tc>
        <w:tc>
          <w:tcPr>
            <w:tcW w:w="1396" w:type="dxa"/>
            <w:tcBorders>
              <w:top w:val="single" w:sz="6" w:space="0" w:color="auto"/>
              <w:left w:val="nil"/>
              <w:right w:val="single" w:sz="6" w:space="0" w:color="auto"/>
            </w:tcBorders>
            <w:shd w:val="clear" w:color="auto" w:fill="D9D9D9"/>
          </w:tcPr>
          <w:p w:rsidR="00514738" w:rsidRPr="00515A3E" w:rsidRDefault="00514738" w:rsidP="00AF7FF3">
            <w:pPr>
              <w:spacing w:before="120"/>
              <w:jc w:val="center"/>
              <w:rPr>
                <w:rFonts w:cs="Arial"/>
              </w:rPr>
            </w:pPr>
            <w:r w:rsidRPr="00515A3E">
              <w:t>116</w:t>
            </w:r>
          </w:p>
        </w:tc>
      </w:tr>
      <w:tr w:rsidR="00514738" w:rsidRPr="00515A3E" w:rsidTr="00AF7FF3">
        <w:tc>
          <w:tcPr>
            <w:tcW w:w="1630" w:type="dxa"/>
            <w:tcBorders>
              <w:top w:val="single" w:sz="12" w:space="0" w:color="auto"/>
              <w:left w:val="single" w:sz="6" w:space="0" w:color="auto"/>
              <w:bottom w:val="single" w:sz="6" w:space="0" w:color="auto"/>
              <w:right w:val="single" w:sz="12" w:space="0" w:color="auto"/>
            </w:tcBorders>
            <w:shd w:val="clear" w:color="auto" w:fill="FFFFFF"/>
          </w:tcPr>
          <w:p w:rsidR="00514738" w:rsidRPr="00515A3E" w:rsidRDefault="00514738" w:rsidP="00AF7FF3">
            <w:pPr>
              <w:spacing w:before="120"/>
              <w:jc w:val="center"/>
              <w:rPr>
                <w:rFonts w:cs="Arial"/>
              </w:rPr>
            </w:pPr>
            <w:r w:rsidRPr="00515A3E">
              <w:rPr>
                <w:b/>
              </w:rPr>
              <w:t>Insgesamt</w:t>
            </w:r>
          </w:p>
        </w:tc>
        <w:tc>
          <w:tcPr>
            <w:tcW w:w="1052" w:type="dxa"/>
            <w:tcBorders>
              <w:top w:val="single" w:sz="12" w:space="0" w:color="auto"/>
              <w:left w:val="nil"/>
              <w:bottom w:val="single" w:sz="6" w:space="0" w:color="auto"/>
              <w:right w:val="single" w:sz="6" w:space="0" w:color="auto"/>
            </w:tcBorders>
            <w:shd w:val="clear" w:color="auto" w:fill="D9D9D9"/>
          </w:tcPr>
          <w:p w:rsidR="00514738" w:rsidRPr="00515A3E" w:rsidRDefault="00514738" w:rsidP="00AF7FF3">
            <w:pPr>
              <w:spacing w:before="120"/>
              <w:jc w:val="center"/>
              <w:rPr>
                <w:rFonts w:cs="Arial"/>
                <w:b/>
              </w:rPr>
            </w:pPr>
            <w:r w:rsidRPr="00515A3E">
              <w:rPr>
                <w:b/>
              </w:rPr>
              <w:t>39</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514738" w:rsidRPr="00515A3E" w:rsidRDefault="00514738" w:rsidP="00AF7FF3">
            <w:pPr>
              <w:spacing w:before="120"/>
              <w:jc w:val="center"/>
              <w:rPr>
                <w:rFonts w:cs="Arial"/>
                <w:b/>
              </w:rPr>
            </w:pPr>
            <w:r w:rsidRPr="00515A3E">
              <w:rPr>
                <w:b/>
              </w:rPr>
              <w:t>29</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514738" w:rsidRPr="00515A3E" w:rsidRDefault="00514738" w:rsidP="00AF7FF3">
            <w:pPr>
              <w:spacing w:before="120"/>
              <w:jc w:val="center"/>
              <w:rPr>
                <w:rFonts w:cs="Arial"/>
                <w:b/>
              </w:rPr>
            </w:pPr>
            <w:r w:rsidRPr="00515A3E">
              <w:rPr>
                <w:b/>
              </w:rPr>
              <w:t>68</w:t>
            </w:r>
          </w:p>
        </w:tc>
        <w:tc>
          <w:tcPr>
            <w:tcW w:w="1052" w:type="dxa"/>
            <w:tcBorders>
              <w:top w:val="single" w:sz="12" w:space="0" w:color="auto"/>
              <w:left w:val="nil"/>
              <w:bottom w:val="single" w:sz="6" w:space="0" w:color="auto"/>
              <w:right w:val="single" w:sz="6" w:space="0" w:color="auto"/>
            </w:tcBorders>
            <w:shd w:val="clear" w:color="auto" w:fill="D9D9D9"/>
          </w:tcPr>
          <w:p w:rsidR="00514738" w:rsidRPr="00515A3E" w:rsidRDefault="00514738" w:rsidP="00AF7FF3">
            <w:pPr>
              <w:spacing w:before="120"/>
              <w:jc w:val="center"/>
              <w:rPr>
                <w:rFonts w:cs="Arial"/>
                <w:b/>
              </w:rPr>
            </w:pPr>
            <w:r w:rsidRPr="00515A3E">
              <w:rPr>
                <w:b/>
              </w:rPr>
              <w:t>50</w:t>
            </w:r>
          </w:p>
        </w:tc>
        <w:tc>
          <w:tcPr>
            <w:tcW w:w="894" w:type="dxa"/>
            <w:tcBorders>
              <w:top w:val="single" w:sz="12" w:space="0" w:color="auto"/>
              <w:left w:val="single" w:sz="6" w:space="0" w:color="auto"/>
              <w:bottom w:val="single" w:sz="6" w:space="0" w:color="auto"/>
              <w:right w:val="single" w:sz="6" w:space="0" w:color="auto"/>
            </w:tcBorders>
            <w:shd w:val="clear" w:color="auto" w:fill="D9D9D9"/>
          </w:tcPr>
          <w:p w:rsidR="00514738" w:rsidRPr="00515A3E" w:rsidRDefault="00514738" w:rsidP="00AF7FF3">
            <w:pPr>
              <w:spacing w:before="120"/>
              <w:jc w:val="center"/>
              <w:rPr>
                <w:rFonts w:cs="Arial"/>
                <w:b/>
              </w:rPr>
            </w:pPr>
            <w:r w:rsidRPr="00515A3E">
              <w:rPr>
                <w:b/>
              </w:rPr>
              <w:t>11</w:t>
            </w:r>
          </w:p>
        </w:tc>
        <w:tc>
          <w:tcPr>
            <w:tcW w:w="894" w:type="dxa"/>
            <w:tcBorders>
              <w:top w:val="single" w:sz="12" w:space="0" w:color="auto"/>
              <w:left w:val="single" w:sz="6" w:space="0" w:color="auto"/>
              <w:bottom w:val="single" w:sz="6" w:space="0" w:color="auto"/>
              <w:right w:val="single" w:sz="12" w:space="0" w:color="auto"/>
            </w:tcBorders>
            <w:shd w:val="clear" w:color="auto" w:fill="D9D9D9"/>
          </w:tcPr>
          <w:p w:rsidR="00514738" w:rsidRPr="00515A3E" w:rsidRDefault="00514738" w:rsidP="00AF7FF3">
            <w:pPr>
              <w:spacing w:before="120"/>
              <w:jc w:val="center"/>
              <w:rPr>
                <w:rFonts w:cs="Arial"/>
                <w:b/>
              </w:rPr>
            </w:pPr>
            <w:r w:rsidRPr="00515A3E">
              <w:rPr>
                <w:b/>
              </w:rPr>
              <w:t>61</w:t>
            </w:r>
          </w:p>
        </w:tc>
        <w:tc>
          <w:tcPr>
            <w:tcW w:w="894" w:type="dxa"/>
            <w:tcBorders>
              <w:top w:val="single" w:sz="12" w:space="0" w:color="auto"/>
              <w:left w:val="nil"/>
              <w:bottom w:val="single" w:sz="6" w:space="0" w:color="auto"/>
              <w:right w:val="single" w:sz="12" w:space="0" w:color="auto"/>
            </w:tcBorders>
            <w:shd w:val="clear" w:color="auto" w:fill="D9D9D9"/>
          </w:tcPr>
          <w:p w:rsidR="00514738" w:rsidRPr="00515A3E" w:rsidRDefault="00514738" w:rsidP="00AF7FF3">
            <w:pPr>
              <w:spacing w:before="120"/>
              <w:jc w:val="center"/>
              <w:rPr>
                <w:rFonts w:cs="Arial"/>
                <w:b/>
              </w:rPr>
            </w:pPr>
            <w:r w:rsidRPr="00515A3E">
              <w:rPr>
                <w:b/>
              </w:rPr>
              <w:t>54</w:t>
            </w:r>
          </w:p>
        </w:tc>
        <w:tc>
          <w:tcPr>
            <w:tcW w:w="1396" w:type="dxa"/>
            <w:tcBorders>
              <w:top w:val="single" w:sz="12" w:space="0" w:color="auto"/>
              <w:left w:val="nil"/>
              <w:bottom w:val="single" w:sz="6" w:space="0" w:color="auto"/>
              <w:right w:val="single" w:sz="6" w:space="0" w:color="auto"/>
            </w:tcBorders>
            <w:shd w:val="clear" w:color="auto" w:fill="D9D9D9"/>
          </w:tcPr>
          <w:p w:rsidR="00514738" w:rsidRPr="00515A3E" w:rsidRDefault="00514738" w:rsidP="00AF7FF3">
            <w:pPr>
              <w:spacing w:before="120"/>
              <w:jc w:val="center"/>
              <w:rPr>
                <w:rFonts w:cs="Arial"/>
                <w:b/>
              </w:rPr>
            </w:pPr>
            <w:r w:rsidRPr="00515A3E">
              <w:rPr>
                <w:b/>
              </w:rPr>
              <w:t>1154</w:t>
            </w:r>
          </w:p>
        </w:tc>
      </w:tr>
    </w:tbl>
    <w:p w:rsidR="00514738" w:rsidRPr="00515A3E" w:rsidRDefault="00514738" w:rsidP="00514738">
      <w:pPr>
        <w:rPr>
          <w:rFonts w:cs="Arial"/>
        </w:rPr>
      </w:pPr>
    </w:p>
    <w:p w:rsidR="00514738" w:rsidRPr="00515A3E" w:rsidRDefault="00514738" w:rsidP="00514738">
      <w:pPr>
        <w:tabs>
          <w:tab w:val="left" w:pos="4962"/>
        </w:tabs>
        <w:rPr>
          <w:rFonts w:cs="Arial"/>
          <w:u w:val="single"/>
        </w:rPr>
      </w:pPr>
    </w:p>
    <w:p w:rsidR="00514738" w:rsidRPr="00515A3E" w:rsidRDefault="00514738" w:rsidP="00514738">
      <w:pPr>
        <w:tabs>
          <w:tab w:val="left" w:pos="567"/>
          <w:tab w:val="left" w:pos="4962"/>
        </w:tabs>
        <w:rPr>
          <w:rFonts w:cs="Arial"/>
          <w:u w:val="single"/>
        </w:rPr>
      </w:pPr>
      <w:r w:rsidRPr="00515A3E">
        <w:t>5.</w:t>
      </w:r>
      <w:r w:rsidRPr="00515A3E">
        <w:tab/>
      </w:r>
      <w:r w:rsidRPr="00515A3E">
        <w:rPr>
          <w:u w:val="single"/>
        </w:rPr>
        <w:t>Tätigkeiten zur Förderung des Sortenschutzes</w:t>
      </w:r>
    </w:p>
    <w:p w:rsidR="00514738" w:rsidRPr="00515A3E" w:rsidRDefault="00514738" w:rsidP="00514738">
      <w:pPr>
        <w:tabs>
          <w:tab w:val="left" w:pos="567"/>
          <w:tab w:val="left" w:pos="4962"/>
        </w:tabs>
        <w:rPr>
          <w:rFonts w:cs="Arial"/>
          <w:u w:val="single"/>
        </w:rPr>
      </w:pPr>
    </w:p>
    <w:p w:rsidR="00514738" w:rsidRPr="00515A3E" w:rsidRDefault="00514738" w:rsidP="00514738">
      <w:pPr>
        <w:pStyle w:val="BodyText"/>
        <w:rPr>
          <w:rFonts w:cs="Arial"/>
        </w:rPr>
      </w:pPr>
      <w:r w:rsidRPr="00515A3E">
        <w:t xml:space="preserve">Vertreter aus Polen nehmen regelmäßig an den Tagungen der UPOV-Organe und an den technischen Arbeitsgruppen der UPOV teil. </w:t>
      </w:r>
    </w:p>
    <w:p w:rsidR="00514738" w:rsidRPr="00515A3E" w:rsidRDefault="00514738" w:rsidP="00514738">
      <w:pPr>
        <w:pStyle w:val="BodyText"/>
        <w:rPr>
          <w:rFonts w:cs="Arial"/>
        </w:rPr>
      </w:pPr>
    </w:p>
    <w:p w:rsidR="00514738" w:rsidRPr="00515A3E" w:rsidRDefault="00514738" w:rsidP="00514738">
      <w:pPr>
        <w:pStyle w:val="BodyText"/>
        <w:rPr>
          <w:rFonts w:cs="Arial"/>
        </w:rPr>
      </w:pPr>
      <w:r w:rsidRPr="00515A3E">
        <w:t>Ferner nehmen polnische Vertreter an den Tagungen des Ständigen Ausschusses für CPVR DG</w:t>
      </w:r>
      <w:r w:rsidRPr="00515A3E">
        <w:noBreakHyphen/>
        <w:t>SANCO, Brüssel, sowie an den Tagungen des CPVO-Verwaltungsrates teil.</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rPr>
      </w:pPr>
      <w:r w:rsidRPr="00515A3E">
        <w:t>Drei Spezialisten von COBORU haben mit Erfolg den neuen UPOV-Fernlehrgang „Prüfung von Anträgen auf Erteilung von Züchterrechten“ (DL-305B) abgeschlossen.</w:t>
      </w:r>
    </w:p>
    <w:p w:rsidR="00514738" w:rsidRPr="00515A3E" w:rsidRDefault="00514738" w:rsidP="00514738">
      <w:pPr>
        <w:tabs>
          <w:tab w:val="left" w:pos="4962"/>
        </w:tabs>
        <w:rPr>
          <w:rFonts w:cs="Arial"/>
        </w:rPr>
      </w:pPr>
    </w:p>
    <w:p w:rsidR="00514738" w:rsidRPr="00515A3E" w:rsidRDefault="00514738" w:rsidP="00514738">
      <w:pPr>
        <w:pStyle w:val="BodyText"/>
        <w:tabs>
          <w:tab w:val="left" w:pos="567"/>
        </w:tabs>
        <w:rPr>
          <w:rFonts w:cs="Arial"/>
          <w:i/>
          <w:iCs/>
        </w:rPr>
      </w:pPr>
      <w:r w:rsidRPr="00515A3E">
        <w:rPr>
          <w:i/>
        </w:rPr>
        <w:t>Veröffentlichungen</w:t>
      </w:r>
    </w:p>
    <w:p w:rsidR="00514738" w:rsidRPr="00515A3E" w:rsidRDefault="00514738" w:rsidP="00514738">
      <w:pPr>
        <w:pStyle w:val="BodyText"/>
        <w:rPr>
          <w:rFonts w:cs="Arial"/>
          <w:u w:val="single"/>
        </w:rPr>
      </w:pPr>
    </w:p>
    <w:p w:rsidR="00514738" w:rsidRPr="00515A3E" w:rsidRDefault="00514738" w:rsidP="00514738">
      <w:pPr>
        <w:pStyle w:val="BodyText"/>
        <w:rPr>
          <w:rFonts w:cs="Arial"/>
        </w:rPr>
      </w:pPr>
      <w:r w:rsidRPr="00515A3E">
        <w:t xml:space="preserve">Das COBORU gibt alle zwei Monate das </w:t>
      </w:r>
      <w:r w:rsidRPr="00515A3E">
        <w:rPr>
          <w:i/>
        </w:rPr>
        <w:t xml:space="preserve">Polnische Amtsblatt für Züchterrechte und die Nationale Liste </w:t>
      </w:r>
      <w:r w:rsidRPr="00515A3E">
        <w:t>(</w:t>
      </w:r>
      <w:proofErr w:type="spellStart"/>
      <w:r w:rsidRPr="00515A3E">
        <w:t>Diariusz</w:t>
      </w:r>
      <w:proofErr w:type="spellEnd"/>
      <w:r w:rsidRPr="00515A3E">
        <w:t xml:space="preserve">) heraus, das Einzelheiten über den Züchterrechtsschutz und die Nationale Liste enthält. </w:t>
      </w:r>
    </w:p>
    <w:p w:rsidR="00514738" w:rsidRPr="00515A3E" w:rsidRDefault="00514738" w:rsidP="00514738">
      <w:pPr>
        <w:pStyle w:val="BodyText"/>
        <w:rPr>
          <w:rFonts w:cs="Arial"/>
        </w:rPr>
      </w:pPr>
    </w:p>
    <w:p w:rsidR="00514738" w:rsidRPr="00515A3E" w:rsidRDefault="00514738" w:rsidP="00514738">
      <w:pPr>
        <w:pStyle w:val="BodyText"/>
        <w:rPr>
          <w:rFonts w:cs="Arial"/>
        </w:rPr>
      </w:pPr>
      <w:r w:rsidRPr="00515A3E">
        <w:t xml:space="preserve">Die Liste der durch nationale Züchterrechte geschützten Sorten (einschließlich vorläufiger Züchterrechte), die zum 30. Juni 2015 in Kraft waren, wurde in der dritten Ausgabe des </w:t>
      </w:r>
      <w:r w:rsidRPr="00515A3E">
        <w:rPr>
          <w:i/>
        </w:rPr>
        <w:t xml:space="preserve">polnischen Amtsblattes für Züchterrechte und die Nationale Liste </w:t>
      </w:r>
      <w:r w:rsidRPr="00515A3E">
        <w:t>(Nr. 3(128)2015) veröffentlicht.</w:t>
      </w:r>
    </w:p>
    <w:p w:rsidR="00514738" w:rsidRPr="00515A3E" w:rsidRDefault="00514738" w:rsidP="00514738">
      <w:pPr>
        <w:pStyle w:val="BodyText"/>
        <w:rPr>
          <w:rFonts w:cs="Arial"/>
        </w:rPr>
      </w:pPr>
    </w:p>
    <w:p w:rsidR="00514738" w:rsidRPr="00515A3E" w:rsidRDefault="00514738" w:rsidP="00514738">
      <w:pPr>
        <w:pStyle w:val="BodyText"/>
        <w:rPr>
          <w:rFonts w:cs="Arial"/>
        </w:rPr>
      </w:pPr>
      <w:r w:rsidRPr="00515A3E">
        <w:t xml:space="preserve">Das polnische Amtsblatt wird zudem auf unserer Website veröffentlicht, und zwar im Bereich: </w:t>
      </w:r>
      <w:r w:rsidRPr="00515A3E">
        <w:rPr>
          <w:i/>
        </w:rPr>
        <w:t>Veröffentlichungen</w:t>
      </w:r>
      <w:r w:rsidRPr="00515A3E">
        <w:t>.</w:t>
      </w:r>
    </w:p>
    <w:p w:rsidR="00514738" w:rsidRPr="00515A3E" w:rsidRDefault="00514738" w:rsidP="00514738">
      <w:pPr>
        <w:pStyle w:val="BodyText"/>
        <w:rPr>
          <w:rFonts w:cs="Arial"/>
        </w:rPr>
      </w:pPr>
    </w:p>
    <w:p w:rsidR="00514738" w:rsidRPr="00515A3E" w:rsidRDefault="00514738" w:rsidP="00514738">
      <w:pPr>
        <w:pStyle w:val="BodyText"/>
        <w:rPr>
          <w:rFonts w:cs="Arial"/>
        </w:rPr>
      </w:pPr>
      <w:r w:rsidRPr="00515A3E">
        <w:t xml:space="preserve">Außerdem unterhält das Forschungszentrum für Zuchtsortenprüfung eine Homepage, </w:t>
      </w:r>
      <w:hyperlink r:id="rId30">
        <w:r w:rsidRPr="00515A3E">
          <w:rPr>
            <w:rStyle w:val="Hyperlink"/>
          </w:rPr>
          <w:t>www.coboru.pl</w:t>
        </w:r>
      </w:hyperlink>
      <w:r w:rsidRPr="00515A3E">
        <w:t>, die systematisch aktualisiert wird und amtliche Informationen über Sortenschutzangelegenheiten in Polen enthält.</w:t>
      </w:r>
    </w:p>
    <w:p w:rsidR="00514738" w:rsidRPr="00515A3E" w:rsidRDefault="00514738" w:rsidP="00514738">
      <w:pPr>
        <w:tabs>
          <w:tab w:val="left" w:pos="4962"/>
        </w:tabs>
        <w:rPr>
          <w:rFonts w:cs="Arial"/>
        </w:rPr>
      </w:pPr>
    </w:p>
    <w:p w:rsidR="00514738" w:rsidRPr="00515A3E" w:rsidRDefault="00514738" w:rsidP="00514738">
      <w:pPr>
        <w:tabs>
          <w:tab w:val="left" w:pos="4962"/>
        </w:tabs>
        <w:rPr>
          <w:rFonts w:cs="Arial"/>
        </w:rPr>
      </w:pPr>
      <w:r w:rsidRPr="00515A3E">
        <w:t>Im Berichtszeitraum war das COBORU an folgenden Förderungstätigkeiten beteiligt:</w:t>
      </w:r>
    </w:p>
    <w:p w:rsidR="00514738" w:rsidRPr="00515A3E" w:rsidRDefault="00514738" w:rsidP="00514738">
      <w:pPr>
        <w:tabs>
          <w:tab w:val="left" w:pos="4962"/>
        </w:tabs>
        <w:rPr>
          <w:rFonts w:cs="Arial"/>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6"/>
        <w:gridCol w:w="1133"/>
        <w:gridCol w:w="1277"/>
        <w:gridCol w:w="1438"/>
        <w:gridCol w:w="1984"/>
        <w:gridCol w:w="1701"/>
        <w:gridCol w:w="427"/>
      </w:tblGrid>
      <w:tr w:rsidR="00514738" w:rsidRPr="00515A3E" w:rsidTr="00AF7FF3">
        <w:trPr>
          <w:cantSplit/>
          <w:trHeight w:val="1134"/>
          <w:tblHeader/>
        </w:trPr>
        <w:tc>
          <w:tcPr>
            <w:tcW w:w="1706" w:type="dxa"/>
            <w:tcBorders>
              <w:top w:val="single" w:sz="4" w:space="0" w:color="auto"/>
              <w:left w:val="single" w:sz="4" w:space="0" w:color="auto"/>
              <w:bottom w:val="single" w:sz="4" w:space="0" w:color="auto"/>
              <w:right w:val="single" w:sz="4" w:space="0" w:color="auto"/>
            </w:tcBorders>
            <w:hideMark/>
          </w:tcPr>
          <w:p w:rsidR="00514738" w:rsidRPr="00515A3E" w:rsidRDefault="00514738" w:rsidP="00AF7FF3">
            <w:pPr>
              <w:jc w:val="left"/>
              <w:rPr>
                <w:rFonts w:cs="Arial"/>
                <w:color w:val="000000"/>
                <w:sz w:val="18"/>
              </w:rPr>
            </w:pPr>
            <w:r w:rsidRPr="00515A3E">
              <w:rPr>
                <w:color w:val="000000"/>
                <w:sz w:val="18"/>
              </w:rPr>
              <w:t>Art der Tätigkeit</w:t>
            </w:r>
          </w:p>
        </w:tc>
        <w:tc>
          <w:tcPr>
            <w:tcW w:w="1133" w:type="dxa"/>
            <w:tcBorders>
              <w:top w:val="single" w:sz="4" w:space="0" w:color="auto"/>
              <w:left w:val="single" w:sz="4" w:space="0" w:color="auto"/>
              <w:bottom w:val="single" w:sz="4" w:space="0" w:color="auto"/>
              <w:right w:val="single" w:sz="4" w:space="0" w:color="auto"/>
            </w:tcBorders>
            <w:hideMark/>
          </w:tcPr>
          <w:p w:rsidR="00514738" w:rsidRPr="00515A3E" w:rsidRDefault="00514738" w:rsidP="00AF7FF3">
            <w:pPr>
              <w:jc w:val="left"/>
              <w:rPr>
                <w:rFonts w:cs="Arial"/>
                <w:color w:val="000000"/>
                <w:sz w:val="18"/>
              </w:rPr>
            </w:pPr>
            <w:r w:rsidRPr="00515A3E">
              <w:rPr>
                <w:color w:val="000000"/>
                <w:sz w:val="18"/>
              </w:rPr>
              <w:t>Datum</w:t>
            </w:r>
          </w:p>
        </w:tc>
        <w:tc>
          <w:tcPr>
            <w:tcW w:w="1277" w:type="dxa"/>
            <w:tcBorders>
              <w:top w:val="single" w:sz="4" w:space="0" w:color="auto"/>
              <w:left w:val="single" w:sz="4" w:space="0" w:color="auto"/>
              <w:bottom w:val="single" w:sz="4" w:space="0" w:color="auto"/>
              <w:right w:val="single" w:sz="4" w:space="0" w:color="auto"/>
            </w:tcBorders>
            <w:hideMark/>
          </w:tcPr>
          <w:p w:rsidR="00514738" w:rsidRPr="00515A3E" w:rsidRDefault="00514738" w:rsidP="00AF7FF3">
            <w:pPr>
              <w:jc w:val="left"/>
              <w:rPr>
                <w:rFonts w:cs="Arial"/>
                <w:color w:val="000000"/>
                <w:sz w:val="18"/>
              </w:rPr>
            </w:pPr>
            <w:r w:rsidRPr="00515A3E">
              <w:rPr>
                <w:color w:val="000000"/>
                <w:sz w:val="18"/>
              </w:rPr>
              <w:t>Ort</w:t>
            </w:r>
          </w:p>
        </w:tc>
        <w:tc>
          <w:tcPr>
            <w:tcW w:w="1438" w:type="dxa"/>
            <w:tcBorders>
              <w:top w:val="single" w:sz="4" w:space="0" w:color="auto"/>
              <w:left w:val="single" w:sz="4" w:space="0" w:color="auto"/>
              <w:bottom w:val="single" w:sz="4" w:space="0" w:color="auto"/>
              <w:right w:val="single" w:sz="4" w:space="0" w:color="auto"/>
            </w:tcBorders>
            <w:hideMark/>
          </w:tcPr>
          <w:p w:rsidR="00514738" w:rsidRPr="00515A3E" w:rsidRDefault="00514738" w:rsidP="00AF7FF3">
            <w:pPr>
              <w:jc w:val="left"/>
              <w:rPr>
                <w:rFonts w:cs="Arial"/>
                <w:color w:val="000000"/>
                <w:sz w:val="18"/>
              </w:rPr>
            </w:pPr>
            <w:r w:rsidRPr="00515A3E">
              <w:rPr>
                <w:color w:val="000000"/>
                <w:sz w:val="18"/>
              </w:rPr>
              <w:t>Organisator(en)</w:t>
            </w:r>
          </w:p>
        </w:tc>
        <w:tc>
          <w:tcPr>
            <w:tcW w:w="1984" w:type="dxa"/>
            <w:tcBorders>
              <w:top w:val="single" w:sz="4" w:space="0" w:color="auto"/>
              <w:left w:val="single" w:sz="4" w:space="0" w:color="auto"/>
              <w:bottom w:val="single" w:sz="4" w:space="0" w:color="auto"/>
              <w:right w:val="single" w:sz="4" w:space="0" w:color="auto"/>
            </w:tcBorders>
            <w:hideMark/>
          </w:tcPr>
          <w:p w:rsidR="00514738" w:rsidRPr="00515A3E" w:rsidRDefault="00514738" w:rsidP="00AF7FF3">
            <w:pPr>
              <w:jc w:val="left"/>
              <w:rPr>
                <w:rFonts w:cs="Arial"/>
                <w:color w:val="000000"/>
                <w:sz w:val="18"/>
              </w:rPr>
            </w:pPr>
            <w:r w:rsidRPr="00515A3E">
              <w:rPr>
                <w:color w:val="000000"/>
                <w:sz w:val="18"/>
              </w:rPr>
              <w:t>Zweck der Tätigkeit</w:t>
            </w:r>
          </w:p>
        </w:tc>
        <w:tc>
          <w:tcPr>
            <w:tcW w:w="1701" w:type="dxa"/>
            <w:tcBorders>
              <w:top w:val="single" w:sz="4" w:space="0" w:color="auto"/>
              <w:left w:val="single" w:sz="4" w:space="0" w:color="auto"/>
              <w:bottom w:val="single" w:sz="4" w:space="0" w:color="auto"/>
              <w:right w:val="single" w:sz="4" w:space="0" w:color="auto"/>
            </w:tcBorders>
            <w:hideMark/>
          </w:tcPr>
          <w:p w:rsidR="00514738" w:rsidRPr="00515A3E" w:rsidRDefault="00514738" w:rsidP="00AF7FF3">
            <w:pPr>
              <w:jc w:val="left"/>
              <w:rPr>
                <w:rFonts w:cs="Arial"/>
                <w:color w:val="000000"/>
                <w:sz w:val="18"/>
              </w:rPr>
            </w:pPr>
            <w:r w:rsidRPr="00515A3E">
              <w:rPr>
                <w:color w:val="000000"/>
                <w:sz w:val="18"/>
              </w:rPr>
              <w:t>Teilnehmende Staaten/ Organisationen (Zahl der Teilnehmer pro Staat/Organisation)</w:t>
            </w:r>
          </w:p>
        </w:tc>
        <w:tc>
          <w:tcPr>
            <w:tcW w:w="427" w:type="dxa"/>
            <w:tcBorders>
              <w:top w:val="single" w:sz="4" w:space="0" w:color="auto"/>
              <w:left w:val="single" w:sz="4" w:space="0" w:color="auto"/>
              <w:bottom w:val="single" w:sz="4" w:space="0" w:color="auto"/>
              <w:right w:val="single" w:sz="4" w:space="0" w:color="auto"/>
            </w:tcBorders>
            <w:textDirection w:val="btLr"/>
            <w:vAlign w:val="center"/>
            <w:hideMark/>
          </w:tcPr>
          <w:p w:rsidR="00514738" w:rsidRPr="00515A3E" w:rsidRDefault="00514738" w:rsidP="00AF7FF3">
            <w:pPr>
              <w:ind w:left="113" w:right="113"/>
              <w:jc w:val="left"/>
              <w:rPr>
                <w:rFonts w:cs="Arial"/>
                <w:color w:val="000000"/>
                <w:sz w:val="18"/>
              </w:rPr>
            </w:pPr>
            <w:proofErr w:type="spellStart"/>
            <w:r w:rsidRPr="00515A3E">
              <w:rPr>
                <w:color w:val="000000"/>
                <w:sz w:val="18"/>
              </w:rPr>
              <w:t>Bemer-kungen</w:t>
            </w:r>
            <w:proofErr w:type="spellEnd"/>
          </w:p>
        </w:tc>
      </w:tr>
      <w:tr w:rsidR="00514738" w:rsidRPr="00515A3E" w:rsidTr="00AF7FF3">
        <w:trPr>
          <w:cantSplit/>
        </w:trPr>
        <w:tc>
          <w:tcPr>
            <w:tcW w:w="1706" w:type="dxa"/>
            <w:tcBorders>
              <w:top w:val="single" w:sz="4" w:space="0" w:color="auto"/>
              <w:left w:val="single" w:sz="4" w:space="0" w:color="auto"/>
              <w:bottom w:val="single" w:sz="4" w:space="0" w:color="auto"/>
              <w:right w:val="single" w:sz="4" w:space="0" w:color="auto"/>
            </w:tcBorders>
            <w:hideMark/>
          </w:tcPr>
          <w:p w:rsidR="00514738" w:rsidRPr="00515A3E" w:rsidRDefault="00514738" w:rsidP="00AF7FF3">
            <w:pPr>
              <w:jc w:val="left"/>
              <w:rPr>
                <w:rFonts w:cs="Arial"/>
                <w:color w:val="000000"/>
                <w:sz w:val="18"/>
              </w:rPr>
            </w:pPr>
            <w:r w:rsidRPr="00515A3E">
              <w:rPr>
                <w:color w:val="000000"/>
                <w:sz w:val="18"/>
              </w:rPr>
              <w:t xml:space="preserve">1. Sitzung der Abteilung der ESA für Öl- und Faserpflanzen </w:t>
            </w:r>
          </w:p>
        </w:tc>
        <w:tc>
          <w:tcPr>
            <w:tcW w:w="1133"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16. April 2015</w:t>
            </w:r>
          </w:p>
        </w:tc>
        <w:tc>
          <w:tcPr>
            <w:tcW w:w="1277"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 xml:space="preserve">Polen, </w:t>
            </w:r>
            <w:proofErr w:type="spellStart"/>
            <w:r w:rsidRPr="00515A3E">
              <w:rPr>
                <w:color w:val="000000"/>
                <w:sz w:val="18"/>
              </w:rPr>
              <w:t>Słupia</w:t>
            </w:r>
            <w:proofErr w:type="spellEnd"/>
            <w:r w:rsidRPr="00515A3E">
              <w:rPr>
                <w:color w:val="000000"/>
                <w:sz w:val="18"/>
              </w:rPr>
              <w:t> </w:t>
            </w:r>
            <w:proofErr w:type="spellStart"/>
            <w:r w:rsidRPr="00515A3E">
              <w:rPr>
                <w:color w:val="000000"/>
                <w:sz w:val="18"/>
              </w:rPr>
              <w:t>Wielka</w:t>
            </w:r>
            <w:proofErr w:type="spellEnd"/>
          </w:p>
        </w:tc>
        <w:tc>
          <w:tcPr>
            <w:tcW w:w="1438"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 xml:space="preserve">Institut für Züchtung und Akklimatisierung, </w:t>
            </w:r>
            <w:proofErr w:type="spellStart"/>
            <w:r w:rsidRPr="00515A3E">
              <w:rPr>
                <w:color w:val="000000"/>
                <w:sz w:val="18"/>
              </w:rPr>
              <w:t>Radzików</w:t>
            </w:r>
            <w:proofErr w:type="spellEnd"/>
          </w:p>
        </w:tc>
        <w:tc>
          <w:tcPr>
            <w:tcW w:w="1984"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Präsentation der Organisation und der Tätigkeiten des COBORU zum Betrieb nationaler Sortenschutzsysteme und Sortenlisten und Empfehlung von Sorten.</w:t>
            </w:r>
          </w:p>
        </w:tc>
        <w:tc>
          <w:tcPr>
            <w:tcW w:w="1701"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ESA - 17</w:t>
            </w:r>
          </w:p>
          <w:p w:rsidR="00514738" w:rsidRPr="00515A3E" w:rsidRDefault="00514738" w:rsidP="00AF7FF3">
            <w:pPr>
              <w:jc w:val="left"/>
              <w:rPr>
                <w:rFonts w:cs="Arial"/>
                <w:color w:val="000000"/>
                <w:sz w:val="18"/>
              </w:rPr>
            </w:pPr>
            <w:r w:rsidRPr="00515A3E">
              <w:rPr>
                <w:color w:val="000000"/>
                <w:sz w:val="18"/>
              </w:rPr>
              <w:t>Polen - 8</w:t>
            </w:r>
          </w:p>
        </w:tc>
        <w:tc>
          <w:tcPr>
            <w:tcW w:w="427"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p>
        </w:tc>
      </w:tr>
      <w:tr w:rsidR="00514738" w:rsidRPr="00515A3E" w:rsidTr="00AF7FF3">
        <w:trPr>
          <w:cantSplit/>
        </w:trPr>
        <w:tc>
          <w:tcPr>
            <w:tcW w:w="1706" w:type="dxa"/>
            <w:tcBorders>
              <w:top w:val="single" w:sz="4" w:space="0" w:color="auto"/>
              <w:left w:val="single" w:sz="4" w:space="0" w:color="auto"/>
              <w:bottom w:val="single" w:sz="4" w:space="0" w:color="auto"/>
              <w:right w:val="single" w:sz="4" w:space="0" w:color="auto"/>
            </w:tcBorders>
            <w:hideMark/>
          </w:tcPr>
          <w:p w:rsidR="00514738" w:rsidRPr="00515A3E" w:rsidRDefault="00514738" w:rsidP="00AF7FF3">
            <w:pPr>
              <w:jc w:val="left"/>
              <w:rPr>
                <w:rFonts w:cs="Arial"/>
                <w:color w:val="000000"/>
                <w:sz w:val="18"/>
              </w:rPr>
            </w:pPr>
            <w:r w:rsidRPr="00515A3E">
              <w:rPr>
                <w:color w:val="000000"/>
                <w:sz w:val="18"/>
              </w:rPr>
              <w:t>2. Besuch des Präsidenten und des Stellvertretenden Präsidenten des CPVO</w:t>
            </w:r>
          </w:p>
        </w:tc>
        <w:tc>
          <w:tcPr>
            <w:tcW w:w="1133"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4.-6. Mai 2015</w:t>
            </w:r>
          </w:p>
        </w:tc>
        <w:tc>
          <w:tcPr>
            <w:tcW w:w="1277"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 xml:space="preserve">Polen, </w:t>
            </w:r>
            <w:proofErr w:type="spellStart"/>
            <w:r w:rsidRPr="00515A3E">
              <w:rPr>
                <w:color w:val="000000"/>
                <w:sz w:val="18"/>
              </w:rPr>
              <w:t>Słupia</w:t>
            </w:r>
            <w:proofErr w:type="spellEnd"/>
            <w:r w:rsidRPr="00515A3E">
              <w:rPr>
                <w:color w:val="000000"/>
                <w:sz w:val="18"/>
              </w:rPr>
              <w:t> </w:t>
            </w:r>
            <w:proofErr w:type="spellStart"/>
            <w:r w:rsidRPr="00515A3E">
              <w:rPr>
                <w:color w:val="000000"/>
                <w:sz w:val="18"/>
              </w:rPr>
              <w:t>Wielka</w:t>
            </w:r>
            <w:proofErr w:type="spellEnd"/>
            <w:r w:rsidRPr="00515A3E">
              <w:rPr>
                <w:color w:val="000000"/>
                <w:sz w:val="18"/>
              </w:rPr>
              <w:t xml:space="preserve">, Versuchs-einrichtung </w:t>
            </w:r>
            <w:proofErr w:type="spellStart"/>
            <w:r w:rsidRPr="00515A3E">
              <w:rPr>
                <w:color w:val="000000"/>
                <w:sz w:val="18"/>
              </w:rPr>
              <w:t>Zybiszów</w:t>
            </w:r>
            <w:proofErr w:type="spellEnd"/>
            <w:r w:rsidRPr="00515A3E">
              <w:rPr>
                <w:color w:val="000000"/>
                <w:sz w:val="18"/>
              </w:rPr>
              <w:t xml:space="preserve"> </w:t>
            </w:r>
          </w:p>
        </w:tc>
        <w:tc>
          <w:tcPr>
            <w:tcW w:w="1438"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Gedankenaustausch zum Funktionieren von Sortenschutzsystemen, Erörterungen zu multilateraler Zusammenarbeit, Präsentation der Tätigkeiten des COBORU</w:t>
            </w:r>
          </w:p>
        </w:tc>
        <w:tc>
          <w:tcPr>
            <w:tcW w:w="1701"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CPVO - 2</w:t>
            </w:r>
          </w:p>
          <w:p w:rsidR="00514738" w:rsidRPr="00515A3E" w:rsidRDefault="00514738" w:rsidP="00AF7FF3">
            <w:pPr>
              <w:jc w:val="left"/>
              <w:rPr>
                <w:rFonts w:cs="Arial"/>
                <w:color w:val="000000"/>
                <w:sz w:val="18"/>
              </w:rPr>
            </w:pPr>
            <w:r w:rsidRPr="00515A3E">
              <w:rPr>
                <w:color w:val="000000"/>
                <w:sz w:val="18"/>
              </w:rPr>
              <w:t>Polen - 8</w:t>
            </w:r>
          </w:p>
        </w:tc>
        <w:tc>
          <w:tcPr>
            <w:tcW w:w="427"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p>
        </w:tc>
      </w:tr>
      <w:tr w:rsidR="00514738" w:rsidRPr="00515A3E" w:rsidTr="00AF7FF3">
        <w:trPr>
          <w:cantSplit/>
        </w:trPr>
        <w:tc>
          <w:tcPr>
            <w:tcW w:w="1706" w:type="dxa"/>
            <w:tcBorders>
              <w:top w:val="single" w:sz="4" w:space="0" w:color="auto"/>
              <w:left w:val="single" w:sz="4" w:space="0" w:color="auto"/>
              <w:bottom w:val="single" w:sz="4" w:space="0" w:color="auto"/>
              <w:right w:val="single" w:sz="4" w:space="0" w:color="auto"/>
            </w:tcBorders>
            <w:hideMark/>
          </w:tcPr>
          <w:p w:rsidR="00514738" w:rsidRPr="00515A3E" w:rsidRDefault="00514738" w:rsidP="00AF7FF3">
            <w:pPr>
              <w:jc w:val="left"/>
              <w:rPr>
                <w:rFonts w:cs="Arial"/>
                <w:color w:val="000000"/>
                <w:sz w:val="18"/>
              </w:rPr>
            </w:pPr>
            <w:r w:rsidRPr="00515A3E">
              <w:rPr>
                <w:color w:val="000000"/>
                <w:sz w:val="18"/>
              </w:rPr>
              <w:t>3. Besuch von Sachverständigen des BSA, Deutschland</w:t>
            </w:r>
          </w:p>
        </w:tc>
        <w:tc>
          <w:tcPr>
            <w:tcW w:w="1133"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22.-23. Juni 2015</w:t>
            </w:r>
          </w:p>
        </w:tc>
        <w:tc>
          <w:tcPr>
            <w:tcW w:w="1277"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highlight w:val="yellow"/>
              </w:rPr>
            </w:pPr>
            <w:r w:rsidRPr="00515A3E">
              <w:rPr>
                <w:color w:val="000000"/>
                <w:sz w:val="18"/>
              </w:rPr>
              <w:t xml:space="preserve">Polen, </w:t>
            </w:r>
            <w:proofErr w:type="spellStart"/>
            <w:r w:rsidRPr="00515A3E">
              <w:rPr>
                <w:color w:val="000000"/>
                <w:sz w:val="18"/>
              </w:rPr>
              <w:t>Słupia</w:t>
            </w:r>
            <w:proofErr w:type="spellEnd"/>
            <w:r w:rsidRPr="00515A3E">
              <w:rPr>
                <w:color w:val="000000"/>
                <w:sz w:val="18"/>
              </w:rPr>
              <w:t> </w:t>
            </w:r>
            <w:proofErr w:type="spellStart"/>
            <w:r w:rsidRPr="00515A3E">
              <w:rPr>
                <w:color w:val="000000"/>
                <w:sz w:val="18"/>
              </w:rPr>
              <w:t>Wielka</w:t>
            </w:r>
            <w:proofErr w:type="spellEnd"/>
            <w:r w:rsidRPr="00515A3E">
              <w:rPr>
                <w:color w:val="000000"/>
                <w:sz w:val="18"/>
              </w:rPr>
              <w:t xml:space="preserve"> </w:t>
            </w:r>
          </w:p>
        </w:tc>
        <w:tc>
          <w:tcPr>
            <w:tcW w:w="1438"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highlight w:val="yellow"/>
              </w:rPr>
            </w:pPr>
            <w:r w:rsidRPr="00515A3E">
              <w:rPr>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highlight w:val="yellow"/>
              </w:rPr>
            </w:pPr>
            <w:r w:rsidRPr="00515A3E">
              <w:rPr>
                <w:color w:val="000000"/>
                <w:sz w:val="18"/>
              </w:rPr>
              <w:t xml:space="preserve">Erfahrungsaustausch und Bemerkungen zur Durchführung von Messungen und Erfassungen von Merkmalen aus technischen Protokollen für Roggensorten, Betrieb nationaler Sortenschutzsysteme in PF und DE, Erörterungen über mögliche Linien für gegenseitige Kooperation </w:t>
            </w:r>
          </w:p>
        </w:tc>
        <w:tc>
          <w:tcPr>
            <w:tcW w:w="1701"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BSA - 4</w:t>
            </w:r>
          </w:p>
          <w:p w:rsidR="00514738" w:rsidRPr="00515A3E" w:rsidRDefault="00514738" w:rsidP="00AF7FF3">
            <w:pPr>
              <w:jc w:val="left"/>
              <w:rPr>
                <w:rFonts w:cs="Arial"/>
                <w:color w:val="000000"/>
                <w:sz w:val="18"/>
                <w:highlight w:val="yellow"/>
              </w:rPr>
            </w:pPr>
            <w:r w:rsidRPr="00515A3E">
              <w:rPr>
                <w:color w:val="000000"/>
                <w:sz w:val="18"/>
              </w:rPr>
              <w:t>Polen - 10</w:t>
            </w:r>
          </w:p>
        </w:tc>
        <w:tc>
          <w:tcPr>
            <w:tcW w:w="427"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p>
        </w:tc>
      </w:tr>
      <w:tr w:rsidR="00514738" w:rsidRPr="00515A3E" w:rsidTr="00AF7FF3">
        <w:trPr>
          <w:cantSplit/>
        </w:trPr>
        <w:tc>
          <w:tcPr>
            <w:tcW w:w="1706" w:type="dxa"/>
            <w:tcBorders>
              <w:top w:val="single" w:sz="4" w:space="0" w:color="auto"/>
              <w:left w:val="single" w:sz="4" w:space="0" w:color="auto"/>
              <w:bottom w:val="single" w:sz="4" w:space="0" w:color="auto"/>
              <w:right w:val="single" w:sz="4" w:space="0" w:color="auto"/>
            </w:tcBorders>
            <w:hideMark/>
          </w:tcPr>
          <w:p w:rsidR="00514738" w:rsidRPr="00515A3E" w:rsidRDefault="00514738" w:rsidP="00AF7FF3">
            <w:pPr>
              <w:jc w:val="left"/>
              <w:rPr>
                <w:rFonts w:cs="Arial"/>
                <w:color w:val="000000"/>
                <w:sz w:val="18"/>
              </w:rPr>
            </w:pPr>
            <w:r w:rsidRPr="00515A3E">
              <w:rPr>
                <w:color w:val="000000"/>
                <w:sz w:val="18"/>
              </w:rPr>
              <w:t>4. Besuch der tschechischen Delegation vom UKZUZ</w:t>
            </w:r>
          </w:p>
        </w:tc>
        <w:tc>
          <w:tcPr>
            <w:tcW w:w="1133"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1. Juli 2015</w:t>
            </w:r>
          </w:p>
        </w:tc>
        <w:tc>
          <w:tcPr>
            <w:tcW w:w="1277"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 xml:space="preserve">Polen, </w:t>
            </w:r>
            <w:proofErr w:type="spellStart"/>
            <w:r w:rsidRPr="00515A3E">
              <w:rPr>
                <w:color w:val="000000"/>
                <w:sz w:val="18"/>
              </w:rPr>
              <w:t>Słupia</w:t>
            </w:r>
            <w:proofErr w:type="spellEnd"/>
            <w:r w:rsidRPr="00515A3E">
              <w:rPr>
                <w:color w:val="000000"/>
                <w:sz w:val="18"/>
              </w:rPr>
              <w:t> </w:t>
            </w:r>
            <w:proofErr w:type="spellStart"/>
            <w:r w:rsidRPr="00515A3E">
              <w:rPr>
                <w:color w:val="000000"/>
                <w:sz w:val="18"/>
              </w:rPr>
              <w:t>Wielka</w:t>
            </w:r>
            <w:proofErr w:type="spellEnd"/>
          </w:p>
        </w:tc>
        <w:tc>
          <w:tcPr>
            <w:tcW w:w="1438"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highlight w:val="yellow"/>
              </w:rPr>
            </w:pPr>
            <w:r w:rsidRPr="00515A3E">
              <w:rPr>
                <w:color w:val="000000"/>
                <w:sz w:val="18"/>
              </w:rPr>
              <w:t xml:space="preserve">Erfahrungsaustausch und Bemerkungen zur Durchführung von DUS-Prüfungen; Feldbesichtigung </w:t>
            </w:r>
          </w:p>
        </w:tc>
        <w:tc>
          <w:tcPr>
            <w:tcW w:w="1701"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Tschechische Republik - 1</w:t>
            </w:r>
          </w:p>
          <w:p w:rsidR="00514738" w:rsidRPr="00515A3E" w:rsidRDefault="00514738" w:rsidP="00AF7FF3">
            <w:pPr>
              <w:jc w:val="left"/>
              <w:rPr>
                <w:rFonts w:cs="Arial"/>
                <w:color w:val="000000"/>
                <w:sz w:val="18"/>
                <w:highlight w:val="yellow"/>
              </w:rPr>
            </w:pPr>
            <w:r w:rsidRPr="00515A3E">
              <w:rPr>
                <w:color w:val="000000"/>
                <w:sz w:val="18"/>
              </w:rPr>
              <w:t>Polen - 5</w:t>
            </w:r>
          </w:p>
        </w:tc>
        <w:tc>
          <w:tcPr>
            <w:tcW w:w="427"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p>
        </w:tc>
      </w:tr>
      <w:tr w:rsidR="00514738" w:rsidRPr="00515A3E" w:rsidTr="00AF7FF3">
        <w:trPr>
          <w:cantSplit/>
        </w:trPr>
        <w:tc>
          <w:tcPr>
            <w:tcW w:w="1706" w:type="dxa"/>
            <w:tcBorders>
              <w:top w:val="single" w:sz="4" w:space="0" w:color="auto"/>
              <w:left w:val="single" w:sz="4" w:space="0" w:color="auto"/>
              <w:bottom w:val="single" w:sz="4" w:space="0" w:color="auto"/>
              <w:right w:val="single" w:sz="4" w:space="0" w:color="auto"/>
            </w:tcBorders>
            <w:hideMark/>
          </w:tcPr>
          <w:p w:rsidR="00514738" w:rsidRPr="00515A3E" w:rsidRDefault="00514738" w:rsidP="00AF7FF3">
            <w:pPr>
              <w:jc w:val="left"/>
              <w:rPr>
                <w:rFonts w:cs="Arial"/>
                <w:color w:val="000000"/>
                <w:sz w:val="18"/>
                <w:highlight w:val="yellow"/>
              </w:rPr>
            </w:pPr>
            <w:r w:rsidRPr="00515A3E">
              <w:rPr>
                <w:color w:val="000000"/>
                <w:sz w:val="18"/>
              </w:rPr>
              <w:t>5. Besuch der ungarischen Delegation vom NEBIH (Nationales Amt für Lebensmittelsicher-</w:t>
            </w:r>
            <w:proofErr w:type="spellStart"/>
            <w:r w:rsidRPr="00515A3E">
              <w:rPr>
                <w:color w:val="000000"/>
                <w:sz w:val="18"/>
              </w:rPr>
              <w:t>heit</w:t>
            </w:r>
            <w:proofErr w:type="spellEnd"/>
            <w:r w:rsidRPr="00515A3E">
              <w:rPr>
                <w:color w:val="000000"/>
                <w:sz w:val="18"/>
              </w:rPr>
              <w:t>) und von einem Züchtungsunter-nehmen</w:t>
            </w:r>
          </w:p>
        </w:tc>
        <w:tc>
          <w:tcPr>
            <w:tcW w:w="1133"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13. - 15. Juli 2015</w:t>
            </w:r>
          </w:p>
        </w:tc>
        <w:tc>
          <w:tcPr>
            <w:tcW w:w="1277"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 xml:space="preserve">Polen, </w:t>
            </w:r>
            <w:proofErr w:type="spellStart"/>
            <w:r w:rsidRPr="00515A3E">
              <w:rPr>
                <w:color w:val="000000"/>
                <w:sz w:val="18"/>
              </w:rPr>
              <w:t>Słupia</w:t>
            </w:r>
            <w:proofErr w:type="spellEnd"/>
            <w:r w:rsidRPr="00515A3E">
              <w:rPr>
                <w:color w:val="000000"/>
                <w:sz w:val="18"/>
              </w:rPr>
              <w:t> </w:t>
            </w:r>
            <w:proofErr w:type="spellStart"/>
            <w:r w:rsidRPr="00515A3E">
              <w:rPr>
                <w:color w:val="000000"/>
                <w:sz w:val="18"/>
              </w:rPr>
              <w:t>Wielka</w:t>
            </w:r>
            <w:proofErr w:type="spellEnd"/>
            <w:r w:rsidRPr="00515A3E">
              <w:rPr>
                <w:color w:val="000000"/>
                <w:sz w:val="18"/>
              </w:rPr>
              <w:t xml:space="preserve"> </w:t>
            </w:r>
          </w:p>
          <w:p w:rsidR="00514738" w:rsidRPr="00515A3E" w:rsidRDefault="00514738" w:rsidP="00AF7FF3">
            <w:pPr>
              <w:jc w:val="left"/>
              <w:rPr>
                <w:rFonts w:cs="Arial"/>
                <w:color w:val="000000"/>
                <w:sz w:val="18"/>
              </w:rPr>
            </w:pPr>
            <w:r w:rsidRPr="00515A3E">
              <w:rPr>
                <w:color w:val="000000"/>
                <w:sz w:val="18"/>
              </w:rPr>
              <w:t xml:space="preserve">Versuchs-einrichtungen: </w:t>
            </w:r>
            <w:proofErr w:type="spellStart"/>
            <w:r w:rsidRPr="00515A3E">
              <w:rPr>
                <w:color w:val="000000"/>
                <w:sz w:val="18"/>
              </w:rPr>
              <w:t>Bobrowniki</w:t>
            </w:r>
            <w:proofErr w:type="spellEnd"/>
            <w:r w:rsidRPr="00515A3E">
              <w:rPr>
                <w:color w:val="000000"/>
                <w:sz w:val="18"/>
              </w:rPr>
              <w:t xml:space="preserve">, </w:t>
            </w:r>
            <w:proofErr w:type="spellStart"/>
            <w:r w:rsidRPr="00515A3E">
              <w:rPr>
                <w:color w:val="000000"/>
                <w:sz w:val="18"/>
              </w:rPr>
              <w:t>Śrem</w:t>
            </w:r>
            <w:proofErr w:type="spellEnd"/>
            <w:r w:rsidRPr="00515A3E">
              <w:rPr>
                <w:color w:val="000000"/>
                <w:sz w:val="18"/>
              </w:rPr>
              <w:t xml:space="preserve">, </w:t>
            </w:r>
            <w:proofErr w:type="spellStart"/>
            <w:r w:rsidRPr="00515A3E">
              <w:rPr>
                <w:color w:val="000000"/>
                <w:sz w:val="18"/>
              </w:rPr>
              <w:t>Słupia</w:t>
            </w:r>
            <w:proofErr w:type="spellEnd"/>
            <w:r w:rsidRPr="00515A3E">
              <w:rPr>
                <w:color w:val="000000"/>
                <w:sz w:val="18"/>
              </w:rPr>
              <w:t> </w:t>
            </w:r>
            <w:proofErr w:type="spellStart"/>
            <w:r w:rsidRPr="00515A3E">
              <w:rPr>
                <w:color w:val="000000"/>
                <w:sz w:val="18"/>
              </w:rPr>
              <w:t>Wielka</w:t>
            </w:r>
            <w:proofErr w:type="spellEnd"/>
          </w:p>
        </w:tc>
        <w:tc>
          <w:tcPr>
            <w:tcW w:w="1438"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highlight w:val="yellow"/>
              </w:rPr>
            </w:pPr>
            <w:r w:rsidRPr="00515A3E">
              <w:rPr>
                <w:color w:val="000000"/>
                <w:sz w:val="18"/>
              </w:rPr>
              <w:t xml:space="preserve">DUS-Prüfung für California </w:t>
            </w:r>
            <w:proofErr w:type="spellStart"/>
            <w:r w:rsidRPr="00515A3E">
              <w:rPr>
                <w:color w:val="000000"/>
                <w:sz w:val="18"/>
              </w:rPr>
              <w:t>Bluebell</w:t>
            </w:r>
            <w:proofErr w:type="spellEnd"/>
            <w:r w:rsidRPr="00515A3E">
              <w:rPr>
                <w:color w:val="000000"/>
                <w:sz w:val="18"/>
              </w:rPr>
              <w:t>, Gräser, Zuckerrübe, Lupine</w:t>
            </w:r>
          </w:p>
        </w:tc>
        <w:tc>
          <w:tcPr>
            <w:tcW w:w="1701"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r w:rsidRPr="00515A3E">
              <w:rPr>
                <w:color w:val="000000"/>
                <w:sz w:val="18"/>
              </w:rPr>
              <w:t>Ungarn - 4, einschl.</w:t>
            </w:r>
          </w:p>
          <w:p w:rsidR="00514738" w:rsidRPr="00515A3E" w:rsidRDefault="00514738" w:rsidP="00AF7FF3">
            <w:pPr>
              <w:jc w:val="left"/>
              <w:rPr>
                <w:rFonts w:cs="Arial"/>
                <w:color w:val="000000"/>
                <w:sz w:val="18"/>
              </w:rPr>
            </w:pPr>
            <w:r w:rsidRPr="00515A3E">
              <w:rPr>
                <w:color w:val="000000"/>
                <w:sz w:val="18"/>
              </w:rPr>
              <w:t xml:space="preserve">NEBIH - 1, </w:t>
            </w:r>
            <w:proofErr w:type="spellStart"/>
            <w:r w:rsidRPr="00515A3E">
              <w:rPr>
                <w:color w:val="000000"/>
                <w:sz w:val="18"/>
              </w:rPr>
              <w:t>Lajtamag</w:t>
            </w:r>
            <w:proofErr w:type="spellEnd"/>
            <w:r w:rsidRPr="00515A3E">
              <w:rPr>
                <w:color w:val="000000"/>
                <w:sz w:val="18"/>
              </w:rPr>
              <w:t xml:space="preserve"> </w:t>
            </w:r>
            <w:proofErr w:type="spellStart"/>
            <w:r w:rsidRPr="00515A3E">
              <w:rPr>
                <w:color w:val="000000"/>
                <w:sz w:val="18"/>
              </w:rPr>
              <w:t>Kft</w:t>
            </w:r>
            <w:proofErr w:type="spellEnd"/>
            <w:r w:rsidRPr="00515A3E">
              <w:rPr>
                <w:color w:val="000000"/>
                <w:sz w:val="18"/>
              </w:rPr>
              <w:t>. - 3</w:t>
            </w:r>
          </w:p>
          <w:p w:rsidR="00514738" w:rsidRPr="00515A3E" w:rsidRDefault="00514738" w:rsidP="00AF7FF3">
            <w:pPr>
              <w:jc w:val="left"/>
              <w:rPr>
                <w:rFonts w:cs="Arial"/>
                <w:color w:val="000000"/>
                <w:sz w:val="18"/>
                <w:highlight w:val="yellow"/>
              </w:rPr>
            </w:pPr>
            <w:r w:rsidRPr="00515A3E">
              <w:rPr>
                <w:color w:val="000000"/>
                <w:sz w:val="18"/>
              </w:rPr>
              <w:t>Polen - 10</w:t>
            </w:r>
          </w:p>
        </w:tc>
        <w:tc>
          <w:tcPr>
            <w:tcW w:w="427" w:type="dxa"/>
            <w:tcBorders>
              <w:top w:val="single" w:sz="4" w:space="0" w:color="auto"/>
              <w:left w:val="single" w:sz="4" w:space="0" w:color="auto"/>
              <w:bottom w:val="single" w:sz="4" w:space="0" w:color="auto"/>
              <w:right w:val="single" w:sz="4" w:space="0" w:color="auto"/>
            </w:tcBorders>
          </w:tcPr>
          <w:p w:rsidR="00514738" w:rsidRPr="00515A3E" w:rsidRDefault="00514738" w:rsidP="00AF7FF3">
            <w:pPr>
              <w:jc w:val="left"/>
              <w:rPr>
                <w:rFonts w:cs="Arial"/>
                <w:color w:val="000000"/>
                <w:sz w:val="18"/>
              </w:rPr>
            </w:pPr>
          </w:p>
        </w:tc>
      </w:tr>
    </w:tbl>
    <w:p w:rsidR="00514738" w:rsidRPr="00515A3E" w:rsidRDefault="00514738" w:rsidP="00514738">
      <w:pPr>
        <w:tabs>
          <w:tab w:val="left" w:pos="567"/>
          <w:tab w:val="left" w:pos="4962"/>
        </w:tabs>
        <w:rPr>
          <w:rFonts w:cs="Arial"/>
          <w:color w:val="000000"/>
        </w:rPr>
      </w:pPr>
    </w:p>
    <w:p w:rsidR="00514738" w:rsidRPr="00515A3E" w:rsidRDefault="00514738" w:rsidP="00514738">
      <w:pPr>
        <w:tabs>
          <w:tab w:val="left" w:pos="567"/>
          <w:tab w:val="left" w:pos="4962"/>
        </w:tabs>
        <w:rPr>
          <w:rFonts w:cs="Arial"/>
          <w:color w:val="000000"/>
        </w:rPr>
      </w:pPr>
    </w:p>
    <w:p w:rsidR="00514738" w:rsidRPr="00BC1873" w:rsidRDefault="00BC1873" w:rsidP="00BC1873">
      <w:r>
        <w:t>II.</w:t>
      </w:r>
      <w:r>
        <w:tab/>
      </w:r>
      <w:r w:rsidR="00514738" w:rsidRPr="00BC1873">
        <w:t>ANDERE ENTWICKLUNGEN VON INTERESSE FÜR DIE UPOV</w:t>
      </w:r>
    </w:p>
    <w:p w:rsidR="00514738" w:rsidRPr="00515A3E" w:rsidRDefault="00514738" w:rsidP="00514738">
      <w:pPr>
        <w:rPr>
          <w:rFonts w:cs="Arial"/>
        </w:rPr>
      </w:pPr>
    </w:p>
    <w:p w:rsidR="00514738" w:rsidRPr="00515A3E" w:rsidRDefault="00514738" w:rsidP="00514738">
      <w:pPr>
        <w:pStyle w:val="BodyText"/>
        <w:rPr>
          <w:rFonts w:cs="Arial"/>
        </w:rPr>
      </w:pPr>
      <w:r w:rsidRPr="00515A3E">
        <w:t xml:space="preserve">Die </w:t>
      </w:r>
      <w:r w:rsidRPr="00515A3E">
        <w:rPr>
          <w:i/>
        </w:rPr>
        <w:t>Polnische Nationale Liste der Sorten landwirtschaftlicher Pflanzen</w:t>
      </w:r>
      <w:r w:rsidRPr="00515A3E">
        <w:t xml:space="preserve"> und die</w:t>
      </w:r>
      <w:r w:rsidRPr="00515A3E">
        <w:rPr>
          <w:i/>
        </w:rPr>
        <w:t xml:space="preserve"> Polnische Nationale Liste der Sorten von Gemüsepflanzen</w:t>
      </w:r>
      <w:r w:rsidRPr="00515A3E">
        <w:t xml:space="preserve"> sowie die </w:t>
      </w:r>
      <w:r w:rsidR="00BC1873" w:rsidRPr="00515A3E">
        <w:rPr>
          <w:i/>
        </w:rPr>
        <w:t xml:space="preserve">Polnische </w:t>
      </w:r>
      <w:r w:rsidRPr="00515A3E">
        <w:rPr>
          <w:i/>
        </w:rPr>
        <w:t xml:space="preserve">Nationale Liste der Sorten von Obstpflanzen </w:t>
      </w:r>
      <w:r w:rsidRPr="00515A3E">
        <w:t xml:space="preserve">wurden im April bzw. im Mai 2015 herausgegeben. Diese offiziellen Listen sowie aktualisierte Sortenlisten sind ebenfalls abrufbar unter </w:t>
      </w:r>
      <w:hyperlink r:id="rId31">
        <w:r w:rsidRPr="00515A3E">
          <w:rPr>
            <w:rStyle w:val="Hyperlink"/>
          </w:rPr>
          <w:t>www.coboru.pl</w:t>
        </w:r>
      </w:hyperlink>
      <w:r w:rsidRPr="00515A3E">
        <w:t xml:space="preserve">. </w:t>
      </w:r>
    </w:p>
    <w:p w:rsidR="00514738" w:rsidRPr="00515A3E" w:rsidRDefault="00514738" w:rsidP="00514738">
      <w:pPr>
        <w:pStyle w:val="BodyText"/>
        <w:rPr>
          <w:rFonts w:cs="Arial"/>
        </w:rPr>
      </w:pPr>
    </w:p>
    <w:p w:rsidR="00C517EE" w:rsidRPr="005917C2" w:rsidRDefault="00C517EE" w:rsidP="00C517EE">
      <w:pPr>
        <w:jc w:val="left"/>
      </w:pPr>
    </w:p>
    <w:p w:rsidR="00C517EE" w:rsidRPr="005917C2" w:rsidRDefault="00C517EE" w:rsidP="00C517EE">
      <w:pPr>
        <w:jc w:val="left"/>
      </w:pPr>
    </w:p>
    <w:p w:rsidR="00C517EE" w:rsidRPr="0075031D" w:rsidRDefault="00DB5AC1" w:rsidP="00C517EE">
      <w:pPr>
        <w:jc w:val="right"/>
      </w:pPr>
      <w:r>
        <w:t>[Anlage</w:t>
      </w:r>
      <w:r w:rsidR="00C517EE" w:rsidRPr="0075031D">
        <w:t xml:space="preserve"> </w:t>
      </w:r>
      <w:r w:rsidR="00C517EE">
        <w:t>X</w:t>
      </w:r>
      <w:r w:rsidR="00C517EE" w:rsidRPr="0075031D">
        <w:t xml:space="preserve">I </w:t>
      </w:r>
      <w:r>
        <w:t>folgt]</w:t>
      </w:r>
    </w:p>
    <w:p w:rsidR="00C517EE" w:rsidRPr="0075031D" w:rsidRDefault="00C517EE" w:rsidP="00C517EE">
      <w:pPr>
        <w:jc w:val="left"/>
      </w:pPr>
    </w:p>
    <w:p w:rsidR="00C517EE" w:rsidRDefault="00C517EE" w:rsidP="00C517EE">
      <w:pPr>
        <w:jc w:val="left"/>
        <w:sectPr w:rsidR="00C517EE" w:rsidSect="00BC1873">
          <w:headerReference w:type="default" r:id="rId32"/>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w:t>
      </w:r>
      <w:r w:rsidR="00C517EE">
        <w:t>X</w:t>
      </w:r>
      <w:r w:rsidR="00C517EE" w:rsidRPr="0075031D">
        <w:t>I</w:t>
      </w:r>
    </w:p>
    <w:p w:rsidR="00C517EE" w:rsidRPr="0075031D" w:rsidRDefault="00C517EE" w:rsidP="00C517EE">
      <w:pPr>
        <w:jc w:val="center"/>
      </w:pPr>
    </w:p>
    <w:p w:rsidR="00C517EE" w:rsidRDefault="00C517EE" w:rsidP="00C517EE">
      <w:pPr>
        <w:jc w:val="center"/>
      </w:pPr>
    </w:p>
    <w:p w:rsidR="00C517EE" w:rsidRPr="0075031D" w:rsidRDefault="00C517EE" w:rsidP="00C517EE">
      <w:pPr>
        <w:jc w:val="center"/>
      </w:pPr>
      <w:r>
        <w:t>REPUBLI</w:t>
      </w:r>
      <w:r w:rsidR="00DB5AC1">
        <w:t xml:space="preserve">K </w:t>
      </w:r>
      <w:r>
        <w:t>KOREA</w:t>
      </w:r>
    </w:p>
    <w:p w:rsidR="00C517EE" w:rsidRDefault="00C517EE" w:rsidP="00C517EE">
      <w:pPr>
        <w:jc w:val="left"/>
      </w:pPr>
    </w:p>
    <w:p w:rsidR="00C517EE" w:rsidRDefault="00C517EE" w:rsidP="00C517EE">
      <w:pPr>
        <w:jc w:val="left"/>
      </w:pPr>
    </w:p>
    <w:p w:rsidR="00BC1873" w:rsidRPr="00515A3E" w:rsidRDefault="00BC1873" w:rsidP="00BC1873">
      <w:r w:rsidRPr="00515A3E">
        <w:t>SORTENSCHUTZ</w:t>
      </w:r>
    </w:p>
    <w:p w:rsidR="00BC1873" w:rsidRPr="00515A3E" w:rsidRDefault="00BC1873" w:rsidP="00BC1873"/>
    <w:p w:rsidR="00BC1873" w:rsidRPr="00515A3E" w:rsidRDefault="00BC1873" w:rsidP="00BC1873">
      <w:pPr>
        <w:rPr>
          <w:u w:val="single"/>
        </w:rPr>
      </w:pPr>
      <w:r w:rsidRPr="00515A3E">
        <w:rPr>
          <w:u w:val="single"/>
        </w:rPr>
        <w:t>Tätigkeiten zur Förderung des Sortenschutzes</w:t>
      </w:r>
    </w:p>
    <w:p w:rsidR="00BC1873" w:rsidRPr="00515A3E" w:rsidRDefault="00BC1873" w:rsidP="00BC1873"/>
    <w:tbl>
      <w:tblPr>
        <w:tblStyle w:val="TableGrid"/>
        <w:tblW w:w="9800" w:type="dxa"/>
        <w:tblLayout w:type="fixed"/>
        <w:tblLook w:val="01E0" w:firstRow="1" w:lastRow="1" w:firstColumn="1" w:lastColumn="1" w:noHBand="0" w:noVBand="0"/>
      </w:tblPr>
      <w:tblGrid>
        <w:gridCol w:w="1242"/>
        <w:gridCol w:w="821"/>
        <w:gridCol w:w="1164"/>
        <w:gridCol w:w="1559"/>
        <w:gridCol w:w="1985"/>
        <w:gridCol w:w="2126"/>
        <w:gridCol w:w="903"/>
      </w:tblGrid>
      <w:tr w:rsidR="00BC1873" w:rsidRPr="00515A3E" w:rsidTr="00AF7FF3">
        <w:tc>
          <w:tcPr>
            <w:tcW w:w="1242" w:type="dxa"/>
          </w:tcPr>
          <w:p w:rsidR="00BC1873" w:rsidRPr="00515A3E" w:rsidRDefault="00BC1873" w:rsidP="00AF7FF3">
            <w:pPr>
              <w:keepNext/>
              <w:jc w:val="left"/>
              <w:rPr>
                <w:sz w:val="18"/>
              </w:rPr>
            </w:pPr>
            <w:r w:rsidRPr="00515A3E">
              <w:rPr>
                <w:sz w:val="18"/>
              </w:rPr>
              <w:t>Art der Tätigkeit</w:t>
            </w:r>
          </w:p>
        </w:tc>
        <w:tc>
          <w:tcPr>
            <w:tcW w:w="821" w:type="dxa"/>
          </w:tcPr>
          <w:p w:rsidR="00BC1873" w:rsidRPr="00515A3E" w:rsidRDefault="00BC1873" w:rsidP="00AF7FF3">
            <w:pPr>
              <w:keepNext/>
              <w:jc w:val="left"/>
              <w:rPr>
                <w:sz w:val="18"/>
              </w:rPr>
            </w:pPr>
            <w:r w:rsidRPr="00515A3E">
              <w:rPr>
                <w:sz w:val="18"/>
              </w:rPr>
              <w:t>Datum</w:t>
            </w:r>
          </w:p>
        </w:tc>
        <w:tc>
          <w:tcPr>
            <w:tcW w:w="1164" w:type="dxa"/>
          </w:tcPr>
          <w:p w:rsidR="00BC1873" w:rsidRPr="00515A3E" w:rsidRDefault="00BC1873" w:rsidP="00AF7FF3">
            <w:pPr>
              <w:keepNext/>
              <w:jc w:val="left"/>
              <w:rPr>
                <w:sz w:val="18"/>
              </w:rPr>
            </w:pPr>
            <w:r w:rsidRPr="00515A3E">
              <w:rPr>
                <w:sz w:val="18"/>
              </w:rPr>
              <w:t>Ort</w:t>
            </w:r>
          </w:p>
        </w:tc>
        <w:tc>
          <w:tcPr>
            <w:tcW w:w="1559" w:type="dxa"/>
          </w:tcPr>
          <w:p w:rsidR="00BC1873" w:rsidRPr="00515A3E" w:rsidRDefault="00BC1873" w:rsidP="00AF7FF3">
            <w:pPr>
              <w:keepNext/>
              <w:jc w:val="left"/>
              <w:rPr>
                <w:sz w:val="18"/>
              </w:rPr>
            </w:pPr>
            <w:r w:rsidRPr="00515A3E">
              <w:rPr>
                <w:sz w:val="18"/>
              </w:rPr>
              <w:t>Organisator(en)</w:t>
            </w:r>
          </w:p>
        </w:tc>
        <w:tc>
          <w:tcPr>
            <w:tcW w:w="1985" w:type="dxa"/>
          </w:tcPr>
          <w:p w:rsidR="00BC1873" w:rsidRPr="00515A3E" w:rsidRDefault="00BC1873" w:rsidP="00AF7FF3">
            <w:pPr>
              <w:keepNext/>
              <w:jc w:val="left"/>
              <w:rPr>
                <w:sz w:val="18"/>
              </w:rPr>
            </w:pPr>
            <w:r w:rsidRPr="00515A3E">
              <w:rPr>
                <w:sz w:val="18"/>
              </w:rPr>
              <w:t>Zweck der Tätigkeit</w:t>
            </w:r>
          </w:p>
        </w:tc>
        <w:tc>
          <w:tcPr>
            <w:tcW w:w="2126" w:type="dxa"/>
          </w:tcPr>
          <w:p w:rsidR="00BC1873" w:rsidRPr="00515A3E" w:rsidRDefault="00BC1873" w:rsidP="00AF7FF3">
            <w:pPr>
              <w:keepNext/>
              <w:jc w:val="left"/>
              <w:rPr>
                <w:sz w:val="18"/>
              </w:rPr>
            </w:pPr>
            <w:r w:rsidRPr="00515A3E">
              <w:rPr>
                <w:sz w:val="18"/>
              </w:rPr>
              <w:t>Teilnehmende Staaten/ Organisationen (Zahl der Teilnehmer pro Staat/Organisation)</w:t>
            </w:r>
          </w:p>
        </w:tc>
        <w:tc>
          <w:tcPr>
            <w:tcW w:w="903" w:type="dxa"/>
          </w:tcPr>
          <w:p w:rsidR="00BC1873" w:rsidRPr="00515A3E" w:rsidRDefault="00BC1873" w:rsidP="00AF7FF3">
            <w:pPr>
              <w:keepNext/>
              <w:jc w:val="left"/>
              <w:rPr>
                <w:sz w:val="18"/>
              </w:rPr>
            </w:pPr>
            <w:proofErr w:type="spellStart"/>
            <w:r w:rsidRPr="00515A3E">
              <w:rPr>
                <w:sz w:val="18"/>
              </w:rPr>
              <w:t>Bemer-kungen</w:t>
            </w:r>
            <w:proofErr w:type="spellEnd"/>
          </w:p>
        </w:tc>
      </w:tr>
      <w:tr w:rsidR="00BC1873" w:rsidRPr="00515A3E" w:rsidTr="00AF7FF3">
        <w:tc>
          <w:tcPr>
            <w:tcW w:w="1242" w:type="dxa"/>
          </w:tcPr>
          <w:p w:rsidR="00BC1873" w:rsidRPr="00515A3E" w:rsidRDefault="00BC1873" w:rsidP="00AF7FF3">
            <w:pPr>
              <w:keepNext/>
              <w:jc w:val="left"/>
              <w:rPr>
                <w:sz w:val="18"/>
              </w:rPr>
            </w:pPr>
            <w:r w:rsidRPr="00515A3E">
              <w:rPr>
                <w:sz w:val="18"/>
              </w:rPr>
              <w:t>KOICA Sorten-schutz und DUS-Prüfung</w:t>
            </w:r>
          </w:p>
        </w:tc>
        <w:tc>
          <w:tcPr>
            <w:tcW w:w="821" w:type="dxa"/>
          </w:tcPr>
          <w:p w:rsidR="00BC1873" w:rsidRPr="00515A3E" w:rsidRDefault="00BC1873" w:rsidP="00AF7FF3">
            <w:pPr>
              <w:keepNext/>
              <w:jc w:val="left"/>
              <w:rPr>
                <w:sz w:val="18"/>
              </w:rPr>
            </w:pPr>
            <w:r w:rsidRPr="00515A3E">
              <w:rPr>
                <w:sz w:val="18"/>
              </w:rPr>
              <w:t>18. Mai bis 7. Juni</w:t>
            </w:r>
          </w:p>
        </w:tc>
        <w:tc>
          <w:tcPr>
            <w:tcW w:w="1164" w:type="dxa"/>
          </w:tcPr>
          <w:p w:rsidR="00BC1873" w:rsidRPr="00515A3E" w:rsidRDefault="00BC1873" w:rsidP="00AF7FF3">
            <w:pPr>
              <w:keepNext/>
              <w:jc w:val="left"/>
              <w:rPr>
                <w:sz w:val="18"/>
              </w:rPr>
            </w:pPr>
            <w:proofErr w:type="spellStart"/>
            <w:r w:rsidRPr="00515A3E">
              <w:rPr>
                <w:sz w:val="18"/>
              </w:rPr>
              <w:t>Gimcheon</w:t>
            </w:r>
            <w:proofErr w:type="spellEnd"/>
            <w:r w:rsidRPr="00515A3E">
              <w:rPr>
                <w:sz w:val="18"/>
              </w:rPr>
              <w:t>, Korea</w:t>
            </w:r>
          </w:p>
        </w:tc>
        <w:tc>
          <w:tcPr>
            <w:tcW w:w="1559" w:type="dxa"/>
          </w:tcPr>
          <w:p w:rsidR="00BC1873" w:rsidRPr="00515A3E" w:rsidRDefault="00BC1873" w:rsidP="00AF7FF3">
            <w:pPr>
              <w:keepNext/>
              <w:jc w:val="left"/>
              <w:rPr>
                <w:sz w:val="18"/>
              </w:rPr>
            </w:pPr>
            <w:r w:rsidRPr="00515A3E">
              <w:rPr>
                <w:sz w:val="18"/>
              </w:rPr>
              <w:t>Koreanisches Amt für Saatgut und Sorten</w:t>
            </w:r>
          </w:p>
        </w:tc>
        <w:tc>
          <w:tcPr>
            <w:tcW w:w="1985" w:type="dxa"/>
          </w:tcPr>
          <w:p w:rsidR="00BC1873" w:rsidRPr="00515A3E" w:rsidRDefault="00BC1873" w:rsidP="00AF7FF3">
            <w:pPr>
              <w:keepNext/>
              <w:jc w:val="left"/>
              <w:rPr>
                <w:sz w:val="18"/>
              </w:rPr>
            </w:pPr>
            <w:r w:rsidRPr="00515A3E">
              <w:rPr>
                <w:sz w:val="18"/>
              </w:rPr>
              <w:t>Austausch der Erfahrungen Koreas</w:t>
            </w:r>
            <w:r w:rsidRPr="00515A3E">
              <w:t xml:space="preserve"> </w:t>
            </w:r>
            <w:r w:rsidRPr="00515A3E">
              <w:rPr>
                <w:sz w:val="18"/>
              </w:rPr>
              <w:t>beim Betrieb von Sortenschutz-systemen mit Entwicklungsländern</w:t>
            </w:r>
          </w:p>
        </w:tc>
        <w:tc>
          <w:tcPr>
            <w:tcW w:w="2126" w:type="dxa"/>
          </w:tcPr>
          <w:p w:rsidR="00BC1873" w:rsidRPr="00515A3E" w:rsidRDefault="00BC1873" w:rsidP="00AF7FF3">
            <w:pPr>
              <w:keepNext/>
              <w:jc w:val="left"/>
              <w:rPr>
                <w:sz w:val="18"/>
              </w:rPr>
            </w:pPr>
            <w:r w:rsidRPr="00515A3E">
              <w:rPr>
                <w:sz w:val="18"/>
              </w:rPr>
              <w:t xml:space="preserve">Kambodscha, Indonesien, Myanmar, Philippinen, Ägypten, </w:t>
            </w:r>
            <w:proofErr w:type="spellStart"/>
            <w:r w:rsidRPr="00515A3E">
              <w:rPr>
                <w:sz w:val="18"/>
              </w:rPr>
              <w:t>Kenia,Tansania</w:t>
            </w:r>
            <w:proofErr w:type="spellEnd"/>
            <w:r w:rsidRPr="00515A3E">
              <w:rPr>
                <w:sz w:val="18"/>
              </w:rPr>
              <w:t>, Sansibar und Uganda</w:t>
            </w:r>
          </w:p>
          <w:p w:rsidR="00BC1873" w:rsidRPr="00515A3E" w:rsidRDefault="00BC1873" w:rsidP="00AF7FF3">
            <w:pPr>
              <w:keepNext/>
              <w:jc w:val="left"/>
              <w:rPr>
                <w:sz w:val="18"/>
              </w:rPr>
            </w:pPr>
            <w:r w:rsidRPr="00515A3E">
              <w:rPr>
                <w:sz w:val="18"/>
              </w:rPr>
              <w:t>(15)</w:t>
            </w:r>
          </w:p>
        </w:tc>
        <w:tc>
          <w:tcPr>
            <w:tcW w:w="903" w:type="dxa"/>
          </w:tcPr>
          <w:p w:rsidR="00BC1873" w:rsidRPr="00515A3E" w:rsidRDefault="00BC1873" w:rsidP="00AF7FF3">
            <w:pPr>
              <w:keepNext/>
              <w:jc w:val="left"/>
              <w:rPr>
                <w:sz w:val="18"/>
              </w:rPr>
            </w:pPr>
          </w:p>
        </w:tc>
      </w:tr>
      <w:tr w:rsidR="00BC1873" w:rsidRPr="00515A3E" w:rsidTr="00AF7FF3">
        <w:tc>
          <w:tcPr>
            <w:tcW w:w="1242" w:type="dxa"/>
          </w:tcPr>
          <w:p w:rsidR="00BC1873" w:rsidRPr="00515A3E" w:rsidRDefault="00BC1873" w:rsidP="00AF7FF3">
            <w:pPr>
              <w:keepNext/>
              <w:jc w:val="left"/>
              <w:rPr>
                <w:sz w:val="18"/>
              </w:rPr>
            </w:pPr>
            <w:r w:rsidRPr="00515A3E">
              <w:rPr>
                <w:sz w:val="18"/>
              </w:rPr>
              <w:t>Ostasien-forum über den Sorten-schutz</w:t>
            </w:r>
          </w:p>
        </w:tc>
        <w:tc>
          <w:tcPr>
            <w:tcW w:w="821" w:type="dxa"/>
          </w:tcPr>
          <w:p w:rsidR="00BC1873" w:rsidRPr="00515A3E" w:rsidRDefault="00BC1873" w:rsidP="00AF7FF3">
            <w:pPr>
              <w:keepNext/>
              <w:jc w:val="left"/>
              <w:rPr>
                <w:sz w:val="18"/>
              </w:rPr>
            </w:pPr>
            <w:r w:rsidRPr="00515A3E">
              <w:rPr>
                <w:sz w:val="18"/>
              </w:rPr>
              <w:t>2. - 4.</w:t>
            </w:r>
            <w:r w:rsidRPr="00515A3E">
              <w:t xml:space="preserve"> </w:t>
            </w:r>
            <w:r w:rsidRPr="00515A3E">
              <w:rPr>
                <w:sz w:val="18"/>
              </w:rPr>
              <w:t>Sep.</w:t>
            </w:r>
          </w:p>
        </w:tc>
        <w:tc>
          <w:tcPr>
            <w:tcW w:w="1164" w:type="dxa"/>
          </w:tcPr>
          <w:p w:rsidR="00BC1873" w:rsidRPr="00515A3E" w:rsidRDefault="00BC1873" w:rsidP="00AF7FF3">
            <w:pPr>
              <w:keepNext/>
              <w:jc w:val="left"/>
              <w:rPr>
                <w:sz w:val="18"/>
              </w:rPr>
            </w:pPr>
            <w:r w:rsidRPr="00515A3E">
              <w:rPr>
                <w:sz w:val="18"/>
              </w:rPr>
              <w:t>Seoul, Korea</w:t>
            </w:r>
          </w:p>
        </w:tc>
        <w:tc>
          <w:tcPr>
            <w:tcW w:w="1559" w:type="dxa"/>
          </w:tcPr>
          <w:p w:rsidR="00BC1873" w:rsidRPr="00515A3E" w:rsidRDefault="00BC1873" w:rsidP="00AF7FF3">
            <w:pPr>
              <w:keepNext/>
              <w:jc w:val="left"/>
              <w:rPr>
                <w:sz w:val="18"/>
              </w:rPr>
            </w:pPr>
            <w:r w:rsidRPr="00515A3E">
              <w:rPr>
                <w:sz w:val="18"/>
              </w:rPr>
              <w:t>Koreanisches Amt für Saatgut und Sorten,</w:t>
            </w:r>
          </w:p>
          <w:p w:rsidR="00BC1873" w:rsidRPr="00515A3E" w:rsidRDefault="00BC1873" w:rsidP="00AF7FF3">
            <w:pPr>
              <w:keepNext/>
              <w:jc w:val="left"/>
              <w:rPr>
                <w:sz w:val="18"/>
              </w:rPr>
            </w:pPr>
            <w:r w:rsidRPr="00515A3E">
              <w:rPr>
                <w:sz w:val="18"/>
              </w:rPr>
              <w:t>JATAFF, UPOV</w:t>
            </w:r>
          </w:p>
        </w:tc>
        <w:tc>
          <w:tcPr>
            <w:tcW w:w="1985" w:type="dxa"/>
          </w:tcPr>
          <w:p w:rsidR="00BC1873" w:rsidRPr="00515A3E" w:rsidRDefault="00BC1873" w:rsidP="00AF7FF3">
            <w:pPr>
              <w:keepNext/>
              <w:jc w:val="left"/>
              <w:rPr>
                <w:sz w:val="18"/>
              </w:rPr>
            </w:pPr>
            <w:r w:rsidRPr="00515A3E">
              <w:rPr>
                <w:sz w:val="18"/>
              </w:rPr>
              <w:t xml:space="preserve">Förderung der Sortenschutzsysteme der </w:t>
            </w:r>
            <w:proofErr w:type="spellStart"/>
            <w:r w:rsidRPr="00515A3E">
              <w:rPr>
                <w:sz w:val="18"/>
              </w:rPr>
              <w:t>Forummitglieds</w:t>
            </w:r>
            <w:proofErr w:type="spellEnd"/>
            <w:r w:rsidRPr="00515A3E">
              <w:rPr>
                <w:sz w:val="18"/>
              </w:rPr>
              <w:t>-staaten</w:t>
            </w:r>
          </w:p>
        </w:tc>
        <w:tc>
          <w:tcPr>
            <w:tcW w:w="2126" w:type="dxa"/>
          </w:tcPr>
          <w:p w:rsidR="00BC1873" w:rsidRPr="00515A3E" w:rsidRDefault="00BC1873" w:rsidP="00AF7FF3">
            <w:pPr>
              <w:keepNext/>
              <w:jc w:val="left"/>
              <w:rPr>
                <w:sz w:val="18"/>
              </w:rPr>
            </w:pPr>
            <w:r w:rsidRPr="00515A3E">
              <w:rPr>
                <w:sz w:val="18"/>
              </w:rPr>
              <w:t>Korea, Japan, China, südostasiatischer Staatenbund und UPOV (43)</w:t>
            </w:r>
          </w:p>
          <w:p w:rsidR="00BC1873" w:rsidRPr="00515A3E" w:rsidRDefault="00BC1873" w:rsidP="00AF7FF3">
            <w:pPr>
              <w:keepNext/>
              <w:jc w:val="left"/>
              <w:rPr>
                <w:sz w:val="18"/>
              </w:rPr>
            </w:pPr>
          </w:p>
        </w:tc>
        <w:tc>
          <w:tcPr>
            <w:tcW w:w="903" w:type="dxa"/>
          </w:tcPr>
          <w:p w:rsidR="00BC1873" w:rsidRPr="00515A3E" w:rsidRDefault="00BC1873" w:rsidP="00AF7FF3">
            <w:pPr>
              <w:keepNext/>
              <w:jc w:val="left"/>
              <w:rPr>
                <w:sz w:val="18"/>
              </w:rPr>
            </w:pPr>
          </w:p>
        </w:tc>
      </w:tr>
      <w:tr w:rsidR="00BC1873" w:rsidRPr="00515A3E" w:rsidTr="00AF7FF3">
        <w:tc>
          <w:tcPr>
            <w:tcW w:w="1242" w:type="dxa"/>
          </w:tcPr>
          <w:p w:rsidR="00BC1873" w:rsidRPr="00515A3E" w:rsidRDefault="00BC1873" w:rsidP="00AF7FF3">
            <w:pPr>
              <w:keepNext/>
              <w:jc w:val="left"/>
              <w:rPr>
                <w:sz w:val="18"/>
              </w:rPr>
            </w:pPr>
            <w:r w:rsidRPr="00515A3E">
              <w:rPr>
                <w:sz w:val="18"/>
              </w:rPr>
              <w:t xml:space="preserve">Sorten-schutz-symposium über </w:t>
            </w:r>
            <w:proofErr w:type="spellStart"/>
            <w:r w:rsidRPr="00515A3E">
              <w:rPr>
                <w:sz w:val="18"/>
              </w:rPr>
              <w:t>ausländi-sche</w:t>
            </w:r>
            <w:proofErr w:type="spellEnd"/>
            <w:r w:rsidRPr="00515A3E">
              <w:rPr>
                <w:sz w:val="18"/>
              </w:rPr>
              <w:t xml:space="preserve"> Antrags-verfahren</w:t>
            </w:r>
          </w:p>
        </w:tc>
        <w:tc>
          <w:tcPr>
            <w:tcW w:w="821" w:type="dxa"/>
          </w:tcPr>
          <w:p w:rsidR="00BC1873" w:rsidRPr="00515A3E" w:rsidRDefault="00BC1873" w:rsidP="00AF7FF3">
            <w:pPr>
              <w:keepNext/>
              <w:jc w:val="left"/>
              <w:rPr>
                <w:sz w:val="18"/>
              </w:rPr>
            </w:pPr>
            <w:r w:rsidRPr="00515A3E">
              <w:rPr>
                <w:sz w:val="18"/>
              </w:rPr>
              <w:t>3. Sep.</w:t>
            </w:r>
          </w:p>
        </w:tc>
        <w:tc>
          <w:tcPr>
            <w:tcW w:w="1164" w:type="dxa"/>
          </w:tcPr>
          <w:p w:rsidR="00BC1873" w:rsidRPr="00515A3E" w:rsidRDefault="00BC1873" w:rsidP="00AF7FF3">
            <w:pPr>
              <w:keepNext/>
              <w:jc w:val="left"/>
              <w:rPr>
                <w:sz w:val="18"/>
              </w:rPr>
            </w:pPr>
            <w:r w:rsidRPr="00515A3E">
              <w:rPr>
                <w:sz w:val="18"/>
              </w:rPr>
              <w:t>Seoul, Korea</w:t>
            </w:r>
          </w:p>
        </w:tc>
        <w:tc>
          <w:tcPr>
            <w:tcW w:w="1559" w:type="dxa"/>
          </w:tcPr>
          <w:p w:rsidR="00BC1873" w:rsidRPr="00515A3E" w:rsidRDefault="00BC1873" w:rsidP="00AF7FF3">
            <w:pPr>
              <w:keepNext/>
              <w:jc w:val="left"/>
              <w:rPr>
                <w:sz w:val="18"/>
              </w:rPr>
            </w:pPr>
            <w:r w:rsidRPr="00515A3E">
              <w:rPr>
                <w:sz w:val="18"/>
              </w:rPr>
              <w:t>Koreanisches Amt für Saatgut und Sorten</w:t>
            </w:r>
          </w:p>
        </w:tc>
        <w:tc>
          <w:tcPr>
            <w:tcW w:w="1985" w:type="dxa"/>
          </w:tcPr>
          <w:p w:rsidR="00BC1873" w:rsidRPr="00515A3E" w:rsidRDefault="00BC1873" w:rsidP="00AF7FF3">
            <w:pPr>
              <w:keepNext/>
              <w:jc w:val="left"/>
              <w:rPr>
                <w:sz w:val="18"/>
              </w:rPr>
            </w:pPr>
            <w:r w:rsidRPr="00515A3E">
              <w:rPr>
                <w:sz w:val="18"/>
              </w:rPr>
              <w:t>Zum Verständnis von ausländischen Antragsverfahren und der Weise, in der Pflanzenmaterial zu übermitteln ist</w:t>
            </w:r>
          </w:p>
        </w:tc>
        <w:tc>
          <w:tcPr>
            <w:tcW w:w="2126" w:type="dxa"/>
          </w:tcPr>
          <w:p w:rsidR="00BC1873" w:rsidRPr="00515A3E" w:rsidRDefault="00BC1873" w:rsidP="00AF7FF3">
            <w:pPr>
              <w:keepNext/>
              <w:jc w:val="left"/>
              <w:rPr>
                <w:sz w:val="18"/>
              </w:rPr>
            </w:pPr>
            <w:r w:rsidRPr="00515A3E">
              <w:rPr>
                <w:sz w:val="18"/>
              </w:rPr>
              <w:t>Lokale Züchter, ASEAN-Länder, Japan, China, die Niederlande und UPOV</w:t>
            </w:r>
          </w:p>
          <w:p w:rsidR="00BC1873" w:rsidRPr="00515A3E" w:rsidRDefault="00BC1873" w:rsidP="00AF7FF3">
            <w:pPr>
              <w:keepNext/>
              <w:jc w:val="left"/>
              <w:rPr>
                <w:sz w:val="18"/>
              </w:rPr>
            </w:pPr>
            <w:r w:rsidRPr="00515A3E">
              <w:rPr>
                <w:sz w:val="18"/>
              </w:rPr>
              <w:t>(160)</w:t>
            </w:r>
          </w:p>
        </w:tc>
        <w:tc>
          <w:tcPr>
            <w:tcW w:w="903" w:type="dxa"/>
          </w:tcPr>
          <w:p w:rsidR="00BC1873" w:rsidRPr="00515A3E" w:rsidRDefault="00BC1873" w:rsidP="00AF7FF3">
            <w:pPr>
              <w:keepNext/>
              <w:jc w:val="left"/>
              <w:rPr>
                <w:sz w:val="18"/>
              </w:rPr>
            </w:pPr>
          </w:p>
        </w:tc>
      </w:tr>
    </w:tbl>
    <w:p w:rsidR="00BC1873" w:rsidRPr="00515A3E" w:rsidRDefault="00BC1873" w:rsidP="00BC1873"/>
    <w:p w:rsidR="00C517EE" w:rsidRPr="005917C2" w:rsidRDefault="00C517EE" w:rsidP="00C517EE">
      <w:pPr>
        <w:rPr>
          <w:rFonts w:cs="Arial"/>
        </w:rPr>
      </w:pPr>
    </w:p>
    <w:p w:rsidR="00C517EE" w:rsidRPr="005917C2" w:rsidRDefault="00C517EE" w:rsidP="00C517EE">
      <w:pPr>
        <w:rPr>
          <w:rFonts w:cs="Arial"/>
        </w:rPr>
      </w:pPr>
    </w:p>
    <w:p w:rsidR="00C517EE" w:rsidRPr="0075031D" w:rsidRDefault="00DB5AC1" w:rsidP="00C517EE">
      <w:pPr>
        <w:jc w:val="right"/>
      </w:pPr>
      <w:r>
        <w:t>[Anlage</w:t>
      </w:r>
      <w:r w:rsidR="00C517EE" w:rsidRPr="0075031D">
        <w:t xml:space="preserve"> </w:t>
      </w:r>
      <w:r w:rsidR="00C517EE">
        <w:t>X</w:t>
      </w:r>
      <w:r w:rsidR="00C517EE" w:rsidRPr="0075031D">
        <w:t xml:space="preserve">II </w:t>
      </w:r>
      <w:r>
        <w:t>folgt]</w:t>
      </w:r>
    </w:p>
    <w:p w:rsidR="00C517EE" w:rsidRPr="0075031D" w:rsidRDefault="00C517EE" w:rsidP="00C517EE">
      <w:pPr>
        <w:jc w:val="left"/>
      </w:pPr>
    </w:p>
    <w:p w:rsidR="00C517EE" w:rsidRDefault="00C517EE" w:rsidP="00C517EE">
      <w:pPr>
        <w:jc w:val="left"/>
        <w:sectPr w:rsidR="00C517EE" w:rsidSect="00906DDC">
          <w:pgSz w:w="11907" w:h="16840" w:code="9"/>
          <w:pgMar w:top="510" w:right="1134" w:bottom="1134" w:left="1134" w:header="510" w:footer="680" w:gutter="0"/>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w:t>
      </w:r>
      <w:r w:rsidR="00C517EE">
        <w:t>XI</w:t>
      </w:r>
      <w:r w:rsidR="00C517EE" w:rsidRPr="0075031D">
        <w:t>I</w:t>
      </w:r>
    </w:p>
    <w:p w:rsidR="00C517EE" w:rsidRPr="0075031D" w:rsidRDefault="00C517EE" w:rsidP="00C517EE">
      <w:pPr>
        <w:jc w:val="center"/>
      </w:pPr>
    </w:p>
    <w:p w:rsidR="00C517EE" w:rsidRDefault="00C517EE" w:rsidP="00C517EE">
      <w:pPr>
        <w:jc w:val="center"/>
      </w:pPr>
    </w:p>
    <w:p w:rsidR="00C517EE" w:rsidRPr="0075031D" w:rsidRDefault="00C517EE" w:rsidP="00C517EE">
      <w:pPr>
        <w:jc w:val="center"/>
      </w:pPr>
      <w:r>
        <w:t>REPUBLI</w:t>
      </w:r>
      <w:r w:rsidR="00DB5AC1">
        <w:t>K</w:t>
      </w:r>
      <w:r>
        <w:t xml:space="preserve"> </w:t>
      </w:r>
      <w:r w:rsidR="00DB5AC1">
        <w:t>MOLDAU</w:t>
      </w:r>
    </w:p>
    <w:p w:rsidR="00C517EE" w:rsidRPr="00B912AA" w:rsidRDefault="00C517EE" w:rsidP="00C517EE">
      <w:pPr>
        <w:jc w:val="center"/>
      </w:pPr>
      <w:r w:rsidRPr="00B912AA">
        <w:t>(2014)</w:t>
      </w:r>
    </w:p>
    <w:p w:rsidR="00C517EE" w:rsidRPr="00B912AA" w:rsidRDefault="00C517EE" w:rsidP="00C517EE"/>
    <w:p w:rsidR="00C517EE" w:rsidRPr="00B912AA" w:rsidRDefault="00C517EE" w:rsidP="00C517EE"/>
    <w:p w:rsidR="00BC1873" w:rsidRPr="00515A3E" w:rsidRDefault="00BC1873" w:rsidP="00BC1873">
      <w:r w:rsidRPr="00515A3E">
        <w:t>SORTENSCHUTZ</w:t>
      </w:r>
    </w:p>
    <w:p w:rsidR="00BC1873" w:rsidRPr="00515A3E" w:rsidRDefault="00BC1873" w:rsidP="00BC1873"/>
    <w:p w:rsidR="00BC1873" w:rsidRPr="00515A3E" w:rsidRDefault="00BC1873" w:rsidP="00BC1873">
      <w:pPr>
        <w:rPr>
          <w:u w:val="single"/>
        </w:rPr>
      </w:pPr>
      <w:r w:rsidRPr="00515A3E">
        <w:t>1.</w:t>
      </w:r>
      <w:r w:rsidRPr="00515A3E">
        <w:tab/>
      </w:r>
      <w:r w:rsidRPr="00515A3E">
        <w:rPr>
          <w:u w:val="single"/>
        </w:rPr>
        <w:t>Lage auf dem Gebiet der Gesetzgebung</w:t>
      </w:r>
    </w:p>
    <w:p w:rsidR="00BC1873" w:rsidRPr="00515A3E" w:rsidRDefault="00BC1873" w:rsidP="00BC1873"/>
    <w:p w:rsidR="00BC1873" w:rsidRPr="00515A3E" w:rsidRDefault="00BC1873" w:rsidP="00BC1873">
      <w:r w:rsidRPr="00515A3E">
        <w:t>1.1</w:t>
      </w:r>
      <w:r w:rsidRPr="00515A3E">
        <w:tab/>
        <w:t>Änderungen des Gesetzes und der Ausführungsvorschriften</w:t>
      </w:r>
    </w:p>
    <w:p w:rsidR="00BC1873" w:rsidRPr="00515A3E" w:rsidRDefault="00BC1873" w:rsidP="00BC1873"/>
    <w:p w:rsidR="00BC1873" w:rsidRPr="00515A3E" w:rsidRDefault="00BC1873" w:rsidP="00BC1873">
      <w:r w:rsidRPr="00515A3E">
        <w:t>Keine Änderungen.</w:t>
      </w:r>
    </w:p>
    <w:p w:rsidR="00BC1873" w:rsidRPr="00515A3E" w:rsidRDefault="00BC1873" w:rsidP="00BC1873"/>
    <w:p w:rsidR="00BC1873" w:rsidRPr="00515A3E" w:rsidRDefault="00BC1873" w:rsidP="00BC1873">
      <w:r w:rsidRPr="00515A3E">
        <w:t>1.2</w:t>
      </w:r>
      <w:r w:rsidRPr="00515A3E">
        <w:tab/>
        <w:t>Erstreckung des Schutzes auf weitere Gattungen und Arten (geschehen oder geplant)</w:t>
      </w:r>
    </w:p>
    <w:p w:rsidR="00BC1873" w:rsidRPr="00515A3E" w:rsidRDefault="00BC1873" w:rsidP="00BC1873"/>
    <w:p w:rsidR="00BC1873" w:rsidRPr="00515A3E" w:rsidRDefault="00BC1873" w:rsidP="00BC1873">
      <w:r w:rsidRPr="00515A3E">
        <w:t xml:space="preserve">Gemäß Gesetz </w:t>
      </w:r>
      <w:proofErr w:type="spellStart"/>
      <w:r w:rsidRPr="00515A3E">
        <w:t>Nr</w:t>
      </w:r>
      <w:proofErr w:type="spellEnd"/>
      <w:r w:rsidRPr="00515A3E">
        <w:t xml:space="preserve"> 39-XVI/2008 über Sortenschutz erstreckt sich die Schutzfähigkeit auf Sorten aller botanischen Gattungen und Arten, einschließlich Hybride zwischen Gattungen und Arten.</w:t>
      </w:r>
    </w:p>
    <w:p w:rsidR="00BC1873" w:rsidRPr="00515A3E" w:rsidRDefault="00BC1873" w:rsidP="00BC1873"/>
    <w:p w:rsidR="00BC1873" w:rsidRPr="00515A3E" w:rsidRDefault="00BC1873" w:rsidP="00BC1873">
      <w:r w:rsidRPr="00515A3E">
        <w:t>1.3</w:t>
      </w:r>
      <w:r w:rsidRPr="00515A3E">
        <w:tab/>
        <w:t>Rechtsprechung</w:t>
      </w:r>
    </w:p>
    <w:p w:rsidR="00BC1873" w:rsidRPr="00515A3E" w:rsidRDefault="00BC1873" w:rsidP="00BC1873"/>
    <w:p w:rsidR="00BC1873" w:rsidRPr="00515A3E" w:rsidRDefault="00BC1873" w:rsidP="00BC1873">
      <w:r w:rsidRPr="00515A3E">
        <w:t>Hinsichtlich des Züchterrechtsschutzes gibt es keine Präzedenzfälle.</w:t>
      </w:r>
    </w:p>
    <w:p w:rsidR="00BC1873" w:rsidRPr="00515A3E" w:rsidRDefault="00BC1873" w:rsidP="00BC1873"/>
    <w:p w:rsidR="00BC1873" w:rsidRPr="00515A3E" w:rsidRDefault="00BC1873" w:rsidP="00BC1873"/>
    <w:p w:rsidR="00BC1873" w:rsidRPr="00515A3E" w:rsidRDefault="00BC1873" w:rsidP="00BC1873">
      <w:r w:rsidRPr="00515A3E">
        <w:t>2.</w:t>
      </w:r>
      <w:r w:rsidRPr="00515A3E">
        <w:tab/>
      </w:r>
      <w:r w:rsidRPr="00515A3E">
        <w:rPr>
          <w:u w:val="single"/>
        </w:rPr>
        <w:t>Zusammenarbeit bei der Prüfung</w:t>
      </w:r>
    </w:p>
    <w:p w:rsidR="00BC1873" w:rsidRPr="00515A3E" w:rsidRDefault="00BC1873" w:rsidP="00BC1873"/>
    <w:p w:rsidR="00BC1873" w:rsidRPr="00515A3E" w:rsidRDefault="00BC1873" w:rsidP="00BC1873">
      <w:r w:rsidRPr="00515A3E">
        <w:t>Es sind keine bilateralen Vereinbarungen über die Zusammenarbeit bei der Sortenprüfung vorhanden.</w:t>
      </w:r>
    </w:p>
    <w:p w:rsidR="00BC1873" w:rsidRPr="00515A3E" w:rsidRDefault="00BC1873" w:rsidP="00BC1873"/>
    <w:p w:rsidR="00BC1873" w:rsidRPr="00515A3E" w:rsidRDefault="00BC1873" w:rsidP="00BC1873"/>
    <w:p w:rsidR="00BC1873" w:rsidRPr="00515A3E" w:rsidRDefault="00BC1873" w:rsidP="00BC1873">
      <w:r w:rsidRPr="00515A3E">
        <w:t>3.</w:t>
      </w:r>
      <w:r w:rsidRPr="00515A3E">
        <w:tab/>
      </w:r>
      <w:r w:rsidRPr="00515A3E">
        <w:rPr>
          <w:u w:val="single"/>
        </w:rPr>
        <w:t>Lage auf dem Gebiet der Verwaltung</w:t>
      </w:r>
    </w:p>
    <w:p w:rsidR="00BC1873" w:rsidRPr="00515A3E" w:rsidRDefault="00BC1873" w:rsidP="00BC1873"/>
    <w:p w:rsidR="00BC1873" w:rsidRPr="00515A3E" w:rsidRDefault="00BC1873" w:rsidP="00BC1873">
      <w:r w:rsidRPr="00515A3E">
        <w:t>Keine Änderungen.</w:t>
      </w:r>
    </w:p>
    <w:p w:rsidR="00BC1873" w:rsidRPr="00515A3E" w:rsidRDefault="00BC1873" w:rsidP="00BC1873"/>
    <w:p w:rsidR="00BC1873" w:rsidRPr="00515A3E" w:rsidRDefault="00BC1873" w:rsidP="00BC1873">
      <w:pPr>
        <w:rPr>
          <w:i/>
        </w:rPr>
      </w:pPr>
      <w:r w:rsidRPr="00515A3E">
        <w:rPr>
          <w:i/>
        </w:rPr>
        <w:t>Änderungen in den Verfahren und Systemen</w:t>
      </w:r>
    </w:p>
    <w:p w:rsidR="00BC1873" w:rsidRPr="00515A3E" w:rsidRDefault="00BC1873" w:rsidP="00BC1873"/>
    <w:p w:rsidR="00BC1873" w:rsidRPr="00515A3E" w:rsidRDefault="00BC1873" w:rsidP="00BC1873">
      <w:r w:rsidRPr="00515A3E">
        <w:t xml:space="preserve">Zwei nationale Prüfungsrichtlinien wurden erstellt für </w:t>
      </w:r>
    </w:p>
    <w:p w:rsidR="00BC1873" w:rsidRPr="00515A3E" w:rsidRDefault="00BC1873" w:rsidP="00BC1873">
      <w:r w:rsidRPr="00515A3E">
        <w:t>-</w:t>
      </w:r>
      <w:r w:rsidRPr="00515A3E">
        <w:tab/>
      </w:r>
      <w:proofErr w:type="spellStart"/>
      <w:r w:rsidRPr="00515A3E">
        <w:t>Aronia</w:t>
      </w:r>
      <w:proofErr w:type="spellEnd"/>
      <w:r w:rsidRPr="00515A3E">
        <w:t xml:space="preserve"> - </w:t>
      </w:r>
      <w:proofErr w:type="spellStart"/>
      <w:r w:rsidRPr="00515A3E">
        <w:t>Aronia</w:t>
      </w:r>
      <w:proofErr w:type="spellEnd"/>
      <w:r w:rsidRPr="00515A3E">
        <w:t xml:space="preserve"> </w:t>
      </w:r>
      <w:proofErr w:type="spellStart"/>
      <w:r w:rsidRPr="00515A3E">
        <w:t>melanocarpa</w:t>
      </w:r>
      <w:proofErr w:type="spellEnd"/>
    </w:p>
    <w:p w:rsidR="00BC1873" w:rsidRPr="00515A3E" w:rsidRDefault="00BC1873" w:rsidP="00BC1873">
      <w:r w:rsidRPr="00515A3E">
        <w:t>-</w:t>
      </w:r>
      <w:r w:rsidRPr="00515A3E">
        <w:tab/>
      </w:r>
      <w:proofErr w:type="spellStart"/>
      <w:r w:rsidRPr="00515A3E">
        <w:t>Swedish</w:t>
      </w:r>
      <w:proofErr w:type="spellEnd"/>
      <w:r w:rsidRPr="00515A3E">
        <w:t xml:space="preserve"> service </w:t>
      </w:r>
      <w:proofErr w:type="spellStart"/>
      <w:r w:rsidRPr="00515A3E">
        <w:t>tree</w:t>
      </w:r>
      <w:proofErr w:type="spellEnd"/>
      <w:r w:rsidRPr="00515A3E">
        <w:t xml:space="preserve"> - </w:t>
      </w:r>
      <w:proofErr w:type="spellStart"/>
      <w:r w:rsidRPr="00515A3E">
        <w:t>Sorbus</w:t>
      </w:r>
      <w:proofErr w:type="spellEnd"/>
      <w:r w:rsidRPr="00515A3E">
        <w:t xml:space="preserve"> </w:t>
      </w:r>
      <w:proofErr w:type="spellStart"/>
      <w:r w:rsidRPr="00515A3E">
        <w:t>hybrida</w:t>
      </w:r>
      <w:proofErr w:type="spellEnd"/>
      <w:r w:rsidRPr="00515A3E">
        <w:t xml:space="preserve"> L.</w:t>
      </w:r>
    </w:p>
    <w:p w:rsidR="00BC1873" w:rsidRPr="00515A3E" w:rsidRDefault="00BC1873" w:rsidP="00BC1873"/>
    <w:p w:rsidR="00BC1873" w:rsidRPr="00515A3E" w:rsidRDefault="00BC1873" w:rsidP="00BC1873">
      <w:pPr>
        <w:rPr>
          <w:i/>
        </w:rPr>
      </w:pPr>
      <w:r w:rsidRPr="00515A3E">
        <w:rPr>
          <w:i/>
        </w:rPr>
        <w:t>Statistik</w:t>
      </w:r>
    </w:p>
    <w:p w:rsidR="00BC1873" w:rsidRPr="00515A3E" w:rsidRDefault="00BC1873" w:rsidP="00BC1873"/>
    <w:p w:rsidR="00BC1873" w:rsidRPr="00515A3E" w:rsidRDefault="00BC1873" w:rsidP="00BC1873">
      <w:r w:rsidRPr="00515A3E">
        <w:t>Im Zeitraum vom 1. Januar 2014 bis 31. Dezember 2014:</w:t>
      </w:r>
    </w:p>
    <w:p w:rsidR="00BC1873" w:rsidRPr="00515A3E" w:rsidRDefault="00BC1873" w:rsidP="00BC1873"/>
    <w:p w:rsidR="00BC1873" w:rsidRPr="00515A3E" w:rsidRDefault="00BC1873" w:rsidP="00BC1873">
      <w:r w:rsidRPr="00515A3E">
        <w:t xml:space="preserve">- wurden 34 Anträge wie folgt eingereicht (28 nationale Anträge und 6 ausländische): </w:t>
      </w:r>
    </w:p>
    <w:p w:rsidR="00BC1873" w:rsidRPr="00515A3E" w:rsidRDefault="00BC1873" w:rsidP="00BC1873"/>
    <w:p w:rsidR="00BC1873" w:rsidRPr="00347219" w:rsidRDefault="00BC1873" w:rsidP="00BC1873">
      <w:pPr>
        <w:rPr>
          <w:lang w:val="es-ES_tradnl"/>
        </w:rPr>
      </w:pPr>
      <w:proofErr w:type="spellStart"/>
      <w:r w:rsidRPr="00347219">
        <w:rPr>
          <w:lang w:val="es-ES_tradnl"/>
        </w:rPr>
        <w:t>Mais</w:t>
      </w:r>
      <w:proofErr w:type="spellEnd"/>
      <w:r w:rsidRPr="00347219">
        <w:rPr>
          <w:lang w:val="es-ES_tradnl"/>
        </w:rPr>
        <w:t xml:space="preserve"> (Zea </w:t>
      </w:r>
      <w:proofErr w:type="spellStart"/>
      <w:r w:rsidRPr="00347219">
        <w:rPr>
          <w:lang w:val="es-ES_tradnl"/>
        </w:rPr>
        <w:t>mays</w:t>
      </w:r>
      <w:proofErr w:type="spellEnd"/>
      <w:r w:rsidRPr="00347219">
        <w:rPr>
          <w:lang w:val="es-ES_tradnl"/>
        </w:rPr>
        <w:t xml:space="preserve"> L.) - 11</w:t>
      </w:r>
    </w:p>
    <w:p w:rsidR="00BC1873" w:rsidRPr="00347219" w:rsidRDefault="00BC1873" w:rsidP="00BC1873">
      <w:pPr>
        <w:rPr>
          <w:lang w:val="es-ES_tradnl"/>
        </w:rPr>
      </w:pPr>
      <w:r w:rsidRPr="00347219">
        <w:rPr>
          <w:lang w:val="es-ES_tradnl"/>
        </w:rPr>
        <w:t xml:space="preserve">Zea </w:t>
      </w:r>
      <w:proofErr w:type="spellStart"/>
      <w:r w:rsidRPr="00347219">
        <w:rPr>
          <w:lang w:val="es-ES_tradnl"/>
        </w:rPr>
        <w:t>mays</w:t>
      </w:r>
      <w:proofErr w:type="spellEnd"/>
      <w:r w:rsidRPr="00347219">
        <w:rPr>
          <w:lang w:val="es-ES_tradnl"/>
        </w:rPr>
        <w:t xml:space="preserve"> L. </w:t>
      </w:r>
      <w:proofErr w:type="spellStart"/>
      <w:r w:rsidRPr="00347219">
        <w:rPr>
          <w:lang w:val="es-ES_tradnl"/>
        </w:rPr>
        <w:t>ssp</w:t>
      </w:r>
      <w:proofErr w:type="spellEnd"/>
      <w:r w:rsidRPr="00347219">
        <w:rPr>
          <w:lang w:val="es-ES_tradnl"/>
        </w:rPr>
        <w:t xml:space="preserve">. </w:t>
      </w:r>
      <w:proofErr w:type="spellStart"/>
      <w:r w:rsidRPr="00347219">
        <w:rPr>
          <w:lang w:val="es-ES_tradnl"/>
        </w:rPr>
        <w:t>saccharata</w:t>
      </w:r>
      <w:proofErr w:type="spellEnd"/>
      <w:r w:rsidRPr="00347219">
        <w:rPr>
          <w:lang w:val="es-ES_tradnl"/>
        </w:rPr>
        <w:t xml:space="preserve"> - 1</w:t>
      </w:r>
    </w:p>
    <w:p w:rsidR="00BC1873" w:rsidRPr="00347219" w:rsidRDefault="00BC1873" w:rsidP="00BC1873">
      <w:pPr>
        <w:rPr>
          <w:lang w:val="es-ES_tradnl"/>
        </w:rPr>
      </w:pPr>
      <w:r w:rsidRPr="00347219">
        <w:rPr>
          <w:lang w:val="es-ES_tradnl"/>
        </w:rPr>
        <w:t xml:space="preserve">Zea </w:t>
      </w:r>
      <w:proofErr w:type="spellStart"/>
      <w:r w:rsidRPr="00347219">
        <w:rPr>
          <w:lang w:val="es-ES_tradnl"/>
        </w:rPr>
        <w:t>mays</w:t>
      </w:r>
      <w:proofErr w:type="spellEnd"/>
      <w:r w:rsidRPr="00347219">
        <w:rPr>
          <w:lang w:val="es-ES_tradnl"/>
        </w:rPr>
        <w:t xml:space="preserve"> </w:t>
      </w:r>
      <w:proofErr w:type="spellStart"/>
      <w:r w:rsidRPr="00347219">
        <w:rPr>
          <w:lang w:val="es-ES_tradnl"/>
        </w:rPr>
        <w:t>var</w:t>
      </w:r>
      <w:proofErr w:type="spellEnd"/>
      <w:r w:rsidRPr="00347219">
        <w:rPr>
          <w:lang w:val="es-ES_tradnl"/>
        </w:rPr>
        <w:t xml:space="preserve">. </w:t>
      </w:r>
      <w:proofErr w:type="spellStart"/>
      <w:r w:rsidRPr="00347219">
        <w:rPr>
          <w:lang w:val="es-ES_tradnl"/>
        </w:rPr>
        <w:t>indurata</w:t>
      </w:r>
      <w:proofErr w:type="spellEnd"/>
      <w:r w:rsidRPr="00347219">
        <w:rPr>
          <w:lang w:val="es-ES_tradnl"/>
        </w:rPr>
        <w:t xml:space="preserve"> - 1</w:t>
      </w:r>
    </w:p>
    <w:p w:rsidR="00BC1873" w:rsidRPr="00515A3E" w:rsidRDefault="00BC1873" w:rsidP="00BC1873">
      <w:r w:rsidRPr="00515A3E">
        <w:t>Sojabohne (</w:t>
      </w:r>
      <w:proofErr w:type="spellStart"/>
      <w:r w:rsidRPr="00515A3E">
        <w:t>Glycine</w:t>
      </w:r>
      <w:proofErr w:type="spellEnd"/>
      <w:r w:rsidRPr="00515A3E">
        <w:t xml:space="preserve"> </w:t>
      </w:r>
      <w:proofErr w:type="spellStart"/>
      <w:r w:rsidRPr="00515A3E">
        <w:t>max</w:t>
      </w:r>
      <w:proofErr w:type="spellEnd"/>
      <w:r w:rsidRPr="00515A3E">
        <w:t xml:space="preserve"> (L.) Merrill) - 2</w:t>
      </w:r>
    </w:p>
    <w:p w:rsidR="00BC1873" w:rsidRPr="00515A3E" w:rsidRDefault="00BC1873" w:rsidP="00BC1873">
      <w:r w:rsidRPr="00515A3E">
        <w:t>Weizen (</w:t>
      </w:r>
      <w:proofErr w:type="spellStart"/>
      <w:r w:rsidRPr="00515A3E">
        <w:t>Triticum</w:t>
      </w:r>
      <w:proofErr w:type="spellEnd"/>
      <w:r w:rsidRPr="00515A3E">
        <w:t xml:space="preserve"> </w:t>
      </w:r>
      <w:proofErr w:type="spellStart"/>
      <w:r w:rsidRPr="00515A3E">
        <w:t>aestivum</w:t>
      </w:r>
      <w:proofErr w:type="spellEnd"/>
      <w:r w:rsidRPr="00515A3E">
        <w:t xml:space="preserve"> L.) - 1</w:t>
      </w:r>
    </w:p>
    <w:p w:rsidR="00BC1873" w:rsidRPr="00515A3E" w:rsidRDefault="00BC1873" w:rsidP="00BC1873">
      <w:r w:rsidRPr="00515A3E">
        <w:t xml:space="preserve">Sonnenblume (Helianthus </w:t>
      </w:r>
      <w:proofErr w:type="spellStart"/>
      <w:r w:rsidRPr="00515A3E">
        <w:t>annuus</w:t>
      </w:r>
      <w:proofErr w:type="spellEnd"/>
      <w:r w:rsidRPr="00515A3E">
        <w:t xml:space="preserve"> L.) - 1</w:t>
      </w:r>
    </w:p>
    <w:p w:rsidR="00BC1873" w:rsidRPr="00515A3E" w:rsidRDefault="00BC1873" w:rsidP="00BC1873">
      <w:r w:rsidRPr="00515A3E">
        <w:t xml:space="preserve">Rübe (Beta </w:t>
      </w:r>
      <w:proofErr w:type="spellStart"/>
      <w:r w:rsidRPr="00515A3E">
        <w:t>vulgaris</w:t>
      </w:r>
      <w:proofErr w:type="spellEnd"/>
      <w:r w:rsidRPr="00515A3E">
        <w:t xml:space="preserve"> </w:t>
      </w:r>
      <w:proofErr w:type="spellStart"/>
      <w:r w:rsidRPr="00515A3E">
        <w:t>ssp</w:t>
      </w:r>
      <w:proofErr w:type="spellEnd"/>
      <w:r w:rsidRPr="00515A3E">
        <w:t xml:space="preserve">. </w:t>
      </w:r>
      <w:proofErr w:type="spellStart"/>
      <w:r w:rsidRPr="00515A3E">
        <w:t>vulgaris</w:t>
      </w:r>
      <w:proofErr w:type="spellEnd"/>
      <w:r w:rsidRPr="00515A3E">
        <w:t>) - 2</w:t>
      </w:r>
    </w:p>
    <w:p w:rsidR="00BC1873" w:rsidRPr="00347219" w:rsidRDefault="00BC1873" w:rsidP="00BC1873">
      <w:pPr>
        <w:rPr>
          <w:lang w:val="es-ES_tradnl"/>
        </w:rPr>
      </w:pPr>
      <w:proofErr w:type="spellStart"/>
      <w:r w:rsidRPr="00347219">
        <w:rPr>
          <w:lang w:val="es-ES_tradnl"/>
        </w:rPr>
        <w:t>Apfel</w:t>
      </w:r>
      <w:proofErr w:type="spellEnd"/>
      <w:r w:rsidRPr="00347219">
        <w:rPr>
          <w:lang w:val="es-ES_tradnl"/>
        </w:rPr>
        <w:t xml:space="preserve"> (</w:t>
      </w:r>
      <w:proofErr w:type="spellStart"/>
      <w:r w:rsidRPr="00347219">
        <w:rPr>
          <w:lang w:val="es-ES_tradnl"/>
        </w:rPr>
        <w:t>Malus</w:t>
      </w:r>
      <w:proofErr w:type="spellEnd"/>
      <w:r w:rsidRPr="00347219">
        <w:rPr>
          <w:lang w:val="es-ES_tradnl"/>
        </w:rPr>
        <w:t xml:space="preserve"> domestica </w:t>
      </w:r>
      <w:proofErr w:type="spellStart"/>
      <w:r w:rsidRPr="00347219">
        <w:rPr>
          <w:lang w:val="es-ES_tradnl"/>
        </w:rPr>
        <w:t>Borkh</w:t>
      </w:r>
      <w:proofErr w:type="spellEnd"/>
      <w:r w:rsidRPr="00347219">
        <w:rPr>
          <w:lang w:val="es-ES_tradnl"/>
        </w:rPr>
        <w:t>.). - 1</w:t>
      </w:r>
    </w:p>
    <w:p w:rsidR="00BC1873" w:rsidRPr="00347219" w:rsidRDefault="00BC1873" w:rsidP="00BC1873">
      <w:pPr>
        <w:rPr>
          <w:lang w:val="es-ES_tradnl"/>
        </w:rPr>
      </w:pPr>
      <w:proofErr w:type="spellStart"/>
      <w:r w:rsidRPr="00347219">
        <w:rPr>
          <w:lang w:val="es-ES_tradnl"/>
        </w:rPr>
        <w:t>Erdbeere</w:t>
      </w:r>
      <w:proofErr w:type="spellEnd"/>
      <w:r w:rsidRPr="00347219">
        <w:rPr>
          <w:lang w:val="es-ES_tradnl"/>
        </w:rPr>
        <w:t xml:space="preserve"> (Fragaria L.)- 4</w:t>
      </w:r>
    </w:p>
    <w:p w:rsidR="00BC1873" w:rsidRPr="00347219" w:rsidRDefault="00BC1873" w:rsidP="00BC1873">
      <w:pPr>
        <w:rPr>
          <w:lang w:val="fr-FR"/>
        </w:rPr>
      </w:pPr>
      <w:proofErr w:type="spellStart"/>
      <w:r w:rsidRPr="00347219">
        <w:rPr>
          <w:lang w:val="fr-FR"/>
        </w:rPr>
        <w:t>Pflaume</w:t>
      </w:r>
      <w:proofErr w:type="spellEnd"/>
      <w:r w:rsidRPr="00347219">
        <w:rPr>
          <w:lang w:val="fr-FR"/>
        </w:rPr>
        <w:t xml:space="preserve"> (Prunus </w:t>
      </w:r>
      <w:proofErr w:type="spellStart"/>
      <w:r w:rsidRPr="00347219">
        <w:rPr>
          <w:lang w:val="fr-FR"/>
        </w:rPr>
        <w:t>domestica</w:t>
      </w:r>
      <w:proofErr w:type="spellEnd"/>
      <w:r w:rsidRPr="00347219">
        <w:rPr>
          <w:lang w:val="fr-FR"/>
        </w:rPr>
        <w:t>) - 1</w:t>
      </w:r>
    </w:p>
    <w:p w:rsidR="00BC1873" w:rsidRPr="00347219" w:rsidRDefault="00BC1873" w:rsidP="00BC1873">
      <w:pPr>
        <w:rPr>
          <w:lang w:val="fr-FR"/>
        </w:rPr>
      </w:pPr>
      <w:proofErr w:type="spellStart"/>
      <w:r w:rsidRPr="00347219">
        <w:rPr>
          <w:lang w:val="fr-FR"/>
        </w:rPr>
        <w:t>Chrysantheme</w:t>
      </w:r>
      <w:proofErr w:type="spellEnd"/>
      <w:r w:rsidRPr="00347219">
        <w:rPr>
          <w:lang w:val="fr-FR"/>
        </w:rPr>
        <w:t xml:space="preserve"> (</w:t>
      </w:r>
      <w:proofErr w:type="spellStart"/>
      <w:r w:rsidRPr="00347219">
        <w:rPr>
          <w:lang w:val="fr-FR"/>
        </w:rPr>
        <w:t>Chrysanthemum</w:t>
      </w:r>
      <w:proofErr w:type="spellEnd"/>
      <w:r w:rsidRPr="00347219">
        <w:rPr>
          <w:lang w:val="fr-FR"/>
        </w:rPr>
        <w:t xml:space="preserve"> </w:t>
      </w:r>
      <w:proofErr w:type="spellStart"/>
      <w:r w:rsidRPr="00347219">
        <w:rPr>
          <w:lang w:val="fr-FR"/>
        </w:rPr>
        <w:t>indicum</w:t>
      </w:r>
      <w:proofErr w:type="spellEnd"/>
      <w:r w:rsidRPr="00347219">
        <w:rPr>
          <w:lang w:val="fr-FR"/>
        </w:rPr>
        <w:t xml:space="preserve"> L.) - 2</w:t>
      </w:r>
    </w:p>
    <w:p w:rsidR="00BC1873" w:rsidRPr="00347219" w:rsidRDefault="00BC1873" w:rsidP="00BC1873">
      <w:pPr>
        <w:rPr>
          <w:lang w:val="fr-FR"/>
        </w:rPr>
      </w:pPr>
      <w:proofErr w:type="spellStart"/>
      <w:r w:rsidRPr="00347219">
        <w:rPr>
          <w:lang w:val="fr-FR"/>
        </w:rPr>
        <w:t>Taglilie</w:t>
      </w:r>
      <w:proofErr w:type="spellEnd"/>
      <w:r w:rsidRPr="00347219">
        <w:rPr>
          <w:lang w:val="fr-FR"/>
        </w:rPr>
        <w:t xml:space="preserve"> (</w:t>
      </w:r>
      <w:proofErr w:type="spellStart"/>
      <w:r w:rsidRPr="00347219">
        <w:rPr>
          <w:lang w:val="fr-FR"/>
        </w:rPr>
        <w:t>Hemerocallis</w:t>
      </w:r>
      <w:proofErr w:type="spellEnd"/>
      <w:r w:rsidRPr="00347219">
        <w:rPr>
          <w:lang w:val="fr-FR"/>
        </w:rPr>
        <w:t xml:space="preserve"> x hybrida </w:t>
      </w:r>
      <w:proofErr w:type="spellStart"/>
      <w:r w:rsidRPr="00347219">
        <w:rPr>
          <w:lang w:val="fr-FR"/>
        </w:rPr>
        <w:t>hort</w:t>
      </w:r>
      <w:proofErr w:type="spellEnd"/>
      <w:r w:rsidRPr="00347219">
        <w:rPr>
          <w:lang w:val="fr-FR"/>
        </w:rPr>
        <w:t>.) - 2</w:t>
      </w:r>
    </w:p>
    <w:p w:rsidR="00BC1873" w:rsidRPr="00347219" w:rsidRDefault="00BC1873" w:rsidP="00BC1873">
      <w:pPr>
        <w:rPr>
          <w:lang w:val="fr-FR"/>
        </w:rPr>
      </w:pPr>
      <w:proofErr w:type="spellStart"/>
      <w:r w:rsidRPr="00347219">
        <w:rPr>
          <w:lang w:val="fr-FR"/>
        </w:rPr>
        <w:t>Chinesische</w:t>
      </w:r>
      <w:proofErr w:type="spellEnd"/>
      <w:r w:rsidRPr="00347219">
        <w:rPr>
          <w:lang w:val="fr-FR"/>
        </w:rPr>
        <w:t xml:space="preserve"> </w:t>
      </w:r>
      <w:proofErr w:type="spellStart"/>
      <w:r w:rsidRPr="00347219">
        <w:rPr>
          <w:lang w:val="fr-FR"/>
        </w:rPr>
        <w:t>Päonie</w:t>
      </w:r>
      <w:proofErr w:type="spellEnd"/>
      <w:r w:rsidRPr="00347219">
        <w:rPr>
          <w:lang w:val="fr-FR"/>
        </w:rPr>
        <w:t xml:space="preserve"> (</w:t>
      </w:r>
      <w:proofErr w:type="spellStart"/>
      <w:r w:rsidRPr="00347219">
        <w:rPr>
          <w:lang w:val="fr-FR"/>
        </w:rPr>
        <w:t>Paeonia</w:t>
      </w:r>
      <w:proofErr w:type="spellEnd"/>
      <w:r w:rsidRPr="00347219">
        <w:rPr>
          <w:lang w:val="fr-FR"/>
        </w:rPr>
        <w:t xml:space="preserve"> </w:t>
      </w:r>
      <w:proofErr w:type="spellStart"/>
      <w:r w:rsidRPr="00347219">
        <w:rPr>
          <w:lang w:val="fr-FR"/>
        </w:rPr>
        <w:t>lactiflora</w:t>
      </w:r>
      <w:proofErr w:type="spellEnd"/>
      <w:r w:rsidRPr="00347219">
        <w:rPr>
          <w:lang w:val="fr-FR"/>
        </w:rPr>
        <w:t xml:space="preserve"> </w:t>
      </w:r>
      <w:proofErr w:type="spellStart"/>
      <w:r w:rsidRPr="00347219">
        <w:rPr>
          <w:lang w:val="fr-FR"/>
        </w:rPr>
        <w:t>Pall</w:t>
      </w:r>
      <w:proofErr w:type="spellEnd"/>
      <w:r w:rsidRPr="00347219">
        <w:rPr>
          <w:lang w:val="fr-FR"/>
        </w:rPr>
        <w:t>.) - 2</w:t>
      </w:r>
    </w:p>
    <w:p w:rsidR="00BC1873" w:rsidRPr="00515A3E" w:rsidRDefault="00BC1873" w:rsidP="00BC1873">
      <w:r w:rsidRPr="00347219">
        <w:rPr>
          <w:lang w:val="fr-FR"/>
        </w:rPr>
        <w:t xml:space="preserve">Paulownia (Paulownia </w:t>
      </w:r>
      <w:proofErr w:type="spellStart"/>
      <w:r w:rsidRPr="00347219">
        <w:rPr>
          <w:lang w:val="fr-FR"/>
        </w:rPr>
        <w:t>Elongata</w:t>
      </w:r>
      <w:proofErr w:type="spellEnd"/>
      <w:r w:rsidRPr="00347219">
        <w:rPr>
          <w:lang w:val="fr-FR"/>
        </w:rPr>
        <w:t xml:space="preserve"> S.Y. Hu x Paulownia </w:t>
      </w:r>
      <w:proofErr w:type="spellStart"/>
      <w:r w:rsidRPr="00347219">
        <w:rPr>
          <w:lang w:val="fr-FR"/>
        </w:rPr>
        <w:t>Fortunei</w:t>
      </w:r>
      <w:proofErr w:type="spellEnd"/>
      <w:r w:rsidRPr="00347219">
        <w:rPr>
          <w:lang w:val="fr-FR"/>
        </w:rPr>
        <w:t xml:space="preserve"> (</w:t>
      </w:r>
      <w:proofErr w:type="spellStart"/>
      <w:r w:rsidRPr="00347219">
        <w:rPr>
          <w:lang w:val="fr-FR"/>
        </w:rPr>
        <w:t>Seem</w:t>
      </w:r>
      <w:proofErr w:type="spellEnd"/>
      <w:r w:rsidRPr="00347219">
        <w:rPr>
          <w:lang w:val="fr-FR"/>
        </w:rPr>
        <w:t xml:space="preserve">.) </w:t>
      </w:r>
      <w:proofErr w:type="spellStart"/>
      <w:r w:rsidRPr="00515A3E">
        <w:t>Hemsl</w:t>
      </w:r>
      <w:proofErr w:type="spellEnd"/>
      <w:r w:rsidRPr="00515A3E">
        <w:t>.) - 1</w:t>
      </w:r>
    </w:p>
    <w:p w:rsidR="00BC1873" w:rsidRPr="00515A3E" w:rsidRDefault="00BC1873" w:rsidP="00BC1873">
      <w:r w:rsidRPr="00515A3E">
        <w:t xml:space="preserve">Tomate (Solanum </w:t>
      </w:r>
      <w:proofErr w:type="spellStart"/>
      <w:r w:rsidRPr="00515A3E">
        <w:t>lycopersicum</w:t>
      </w:r>
      <w:proofErr w:type="spellEnd"/>
      <w:r w:rsidRPr="00515A3E">
        <w:t xml:space="preserve"> L.) - 2</w:t>
      </w:r>
    </w:p>
    <w:p w:rsidR="00BC1873" w:rsidRPr="00515A3E" w:rsidRDefault="00BC1873" w:rsidP="00BC1873"/>
    <w:p w:rsidR="00BC1873" w:rsidRPr="00515A3E" w:rsidRDefault="00BC1873" w:rsidP="00BC1873">
      <w:pPr>
        <w:keepNext/>
      </w:pPr>
      <w:r w:rsidRPr="00515A3E">
        <w:t xml:space="preserve">- 29 Schutztitel wurden für folgende Pflanzensorten erteilt (26 nationale Titel): </w:t>
      </w:r>
    </w:p>
    <w:p w:rsidR="00BC1873" w:rsidRPr="00515A3E" w:rsidRDefault="00BC1873" w:rsidP="00BC1873">
      <w:pPr>
        <w:keepNext/>
      </w:pPr>
    </w:p>
    <w:p w:rsidR="00BC1873" w:rsidRPr="00515A3E" w:rsidRDefault="00BC1873" w:rsidP="00BC1873">
      <w:pPr>
        <w:keepNext/>
      </w:pPr>
      <w:r w:rsidRPr="00515A3E">
        <w:t>Weide (</w:t>
      </w:r>
      <w:proofErr w:type="spellStart"/>
      <w:r w:rsidRPr="00515A3E">
        <w:t>Salix</w:t>
      </w:r>
      <w:proofErr w:type="spellEnd"/>
      <w:r w:rsidRPr="00515A3E">
        <w:t xml:space="preserve"> L.) - 3</w:t>
      </w:r>
    </w:p>
    <w:p w:rsidR="00BC1873" w:rsidRPr="00515A3E" w:rsidRDefault="00BC1873" w:rsidP="00BC1873">
      <w:pPr>
        <w:keepNext/>
      </w:pPr>
      <w:r w:rsidRPr="00515A3E">
        <w:t>Bohne (</w:t>
      </w:r>
      <w:proofErr w:type="spellStart"/>
      <w:r w:rsidRPr="00515A3E">
        <w:t>Phaseolus</w:t>
      </w:r>
      <w:proofErr w:type="spellEnd"/>
      <w:r w:rsidRPr="00515A3E">
        <w:t xml:space="preserve"> </w:t>
      </w:r>
      <w:proofErr w:type="spellStart"/>
      <w:r w:rsidRPr="00515A3E">
        <w:t>vulgaris</w:t>
      </w:r>
      <w:proofErr w:type="spellEnd"/>
      <w:r w:rsidRPr="00515A3E">
        <w:t xml:space="preserve"> L. </w:t>
      </w:r>
      <w:proofErr w:type="spellStart"/>
      <w:r w:rsidRPr="00515A3E">
        <w:t>var</w:t>
      </w:r>
      <w:proofErr w:type="spellEnd"/>
      <w:r w:rsidRPr="00515A3E">
        <w:t xml:space="preserve">. </w:t>
      </w:r>
      <w:proofErr w:type="spellStart"/>
      <w:r w:rsidRPr="00515A3E">
        <w:t>ellipticus</w:t>
      </w:r>
      <w:proofErr w:type="spellEnd"/>
      <w:r w:rsidRPr="00515A3E">
        <w:t xml:space="preserve"> </w:t>
      </w:r>
      <w:proofErr w:type="spellStart"/>
      <w:r w:rsidRPr="00515A3E">
        <w:t>albus</w:t>
      </w:r>
      <w:proofErr w:type="spellEnd"/>
      <w:r w:rsidRPr="00515A3E">
        <w:t>) - 1</w:t>
      </w:r>
    </w:p>
    <w:p w:rsidR="00BC1873" w:rsidRPr="00347219" w:rsidRDefault="00BC1873" w:rsidP="00BC1873">
      <w:pPr>
        <w:keepNext/>
        <w:rPr>
          <w:lang w:val="es-ES_tradnl"/>
        </w:rPr>
      </w:pPr>
      <w:r w:rsidRPr="00515A3E">
        <w:t>Sojabohne (</w:t>
      </w:r>
      <w:proofErr w:type="spellStart"/>
      <w:r w:rsidRPr="00515A3E">
        <w:t>Glycine</w:t>
      </w:r>
      <w:proofErr w:type="spellEnd"/>
      <w:r w:rsidRPr="00515A3E">
        <w:t xml:space="preserve"> </w:t>
      </w:r>
      <w:proofErr w:type="spellStart"/>
      <w:r w:rsidRPr="00515A3E">
        <w:t>max</w:t>
      </w:r>
      <w:proofErr w:type="spellEnd"/>
      <w:r w:rsidRPr="00515A3E">
        <w:t xml:space="preserve"> (L.) </w:t>
      </w:r>
      <w:r w:rsidRPr="00347219">
        <w:rPr>
          <w:lang w:val="es-ES_tradnl"/>
        </w:rPr>
        <w:t>Merrill) - 1</w:t>
      </w:r>
    </w:p>
    <w:p w:rsidR="00BC1873" w:rsidRPr="00347219" w:rsidRDefault="00BC1873" w:rsidP="00BC1873">
      <w:pPr>
        <w:rPr>
          <w:lang w:val="es-ES_tradnl"/>
        </w:rPr>
      </w:pPr>
      <w:proofErr w:type="spellStart"/>
      <w:r w:rsidRPr="00347219">
        <w:rPr>
          <w:lang w:val="es-ES_tradnl"/>
        </w:rPr>
        <w:t>Mariendistel</w:t>
      </w:r>
      <w:proofErr w:type="spellEnd"/>
      <w:r w:rsidRPr="00347219">
        <w:rPr>
          <w:lang w:val="es-ES_tradnl"/>
        </w:rPr>
        <w:t xml:space="preserve"> (</w:t>
      </w:r>
      <w:proofErr w:type="spellStart"/>
      <w:r w:rsidRPr="00347219">
        <w:rPr>
          <w:lang w:val="es-ES_tradnl"/>
        </w:rPr>
        <w:t>Silybum</w:t>
      </w:r>
      <w:proofErr w:type="spellEnd"/>
      <w:r w:rsidRPr="00347219">
        <w:rPr>
          <w:lang w:val="es-ES_tradnl"/>
        </w:rPr>
        <w:t xml:space="preserve"> </w:t>
      </w:r>
      <w:proofErr w:type="spellStart"/>
      <w:r w:rsidRPr="00347219">
        <w:rPr>
          <w:lang w:val="es-ES_tradnl"/>
        </w:rPr>
        <w:t>marianum</w:t>
      </w:r>
      <w:proofErr w:type="spellEnd"/>
      <w:r w:rsidRPr="00347219">
        <w:rPr>
          <w:lang w:val="es-ES_tradnl"/>
        </w:rPr>
        <w:t xml:space="preserve"> L.) - 1</w:t>
      </w:r>
    </w:p>
    <w:p w:rsidR="00BC1873" w:rsidRPr="00347219" w:rsidRDefault="00BC1873" w:rsidP="00BC1873">
      <w:pPr>
        <w:rPr>
          <w:lang w:val="es-ES_tradnl"/>
        </w:rPr>
      </w:pPr>
      <w:proofErr w:type="spellStart"/>
      <w:r w:rsidRPr="00347219">
        <w:rPr>
          <w:lang w:val="es-ES_tradnl"/>
        </w:rPr>
        <w:t>Salbei</w:t>
      </w:r>
      <w:proofErr w:type="spellEnd"/>
      <w:r w:rsidRPr="00347219">
        <w:rPr>
          <w:lang w:val="es-ES_tradnl"/>
        </w:rPr>
        <w:t xml:space="preserve"> (Salvia </w:t>
      </w:r>
      <w:proofErr w:type="spellStart"/>
      <w:r w:rsidRPr="00347219">
        <w:rPr>
          <w:lang w:val="es-ES_tradnl"/>
        </w:rPr>
        <w:t>sclarea</w:t>
      </w:r>
      <w:proofErr w:type="spellEnd"/>
      <w:r w:rsidRPr="00347219">
        <w:rPr>
          <w:lang w:val="es-ES_tradnl"/>
        </w:rPr>
        <w:t xml:space="preserve"> L.) - 1</w:t>
      </w:r>
    </w:p>
    <w:p w:rsidR="00BC1873" w:rsidRPr="00347219" w:rsidRDefault="00BC1873" w:rsidP="00BC1873">
      <w:pPr>
        <w:rPr>
          <w:lang w:val="es-ES_tradnl"/>
        </w:rPr>
      </w:pPr>
      <w:proofErr w:type="spellStart"/>
      <w:r w:rsidRPr="00347219">
        <w:rPr>
          <w:lang w:val="es-ES_tradnl"/>
        </w:rPr>
        <w:t>Mais</w:t>
      </w:r>
      <w:proofErr w:type="spellEnd"/>
      <w:r w:rsidRPr="00347219">
        <w:rPr>
          <w:lang w:val="es-ES_tradnl"/>
        </w:rPr>
        <w:t xml:space="preserve"> (Zea </w:t>
      </w:r>
      <w:proofErr w:type="spellStart"/>
      <w:r w:rsidRPr="00347219">
        <w:rPr>
          <w:lang w:val="es-ES_tradnl"/>
        </w:rPr>
        <w:t>mays</w:t>
      </w:r>
      <w:proofErr w:type="spellEnd"/>
      <w:r w:rsidRPr="00347219">
        <w:rPr>
          <w:lang w:val="es-ES_tradnl"/>
        </w:rPr>
        <w:t xml:space="preserve"> L. </w:t>
      </w:r>
      <w:proofErr w:type="spellStart"/>
      <w:r w:rsidRPr="00347219">
        <w:rPr>
          <w:lang w:val="es-ES_tradnl"/>
        </w:rPr>
        <w:t>ssp</w:t>
      </w:r>
      <w:proofErr w:type="spellEnd"/>
      <w:r w:rsidRPr="00347219">
        <w:rPr>
          <w:lang w:val="es-ES_tradnl"/>
        </w:rPr>
        <w:t xml:space="preserve">. </w:t>
      </w:r>
      <w:proofErr w:type="spellStart"/>
      <w:r w:rsidRPr="00347219">
        <w:rPr>
          <w:lang w:val="es-ES_tradnl"/>
        </w:rPr>
        <w:t>indurata</w:t>
      </w:r>
      <w:proofErr w:type="spellEnd"/>
      <w:r w:rsidRPr="00347219">
        <w:rPr>
          <w:lang w:val="es-ES_tradnl"/>
        </w:rPr>
        <w:t>) - 2</w:t>
      </w:r>
    </w:p>
    <w:p w:rsidR="00BC1873" w:rsidRPr="00347219" w:rsidRDefault="00BC1873" w:rsidP="00BC1873">
      <w:pPr>
        <w:rPr>
          <w:lang w:val="fr-FR"/>
        </w:rPr>
      </w:pPr>
      <w:r w:rsidRPr="00347219">
        <w:rPr>
          <w:lang w:val="fr-FR"/>
        </w:rPr>
        <w:t>Mais (</w:t>
      </w:r>
      <w:proofErr w:type="spellStart"/>
      <w:r w:rsidRPr="00347219">
        <w:rPr>
          <w:lang w:val="fr-FR"/>
        </w:rPr>
        <w:t>Zea</w:t>
      </w:r>
      <w:proofErr w:type="spellEnd"/>
      <w:r w:rsidRPr="00347219">
        <w:rPr>
          <w:lang w:val="fr-FR"/>
        </w:rPr>
        <w:t xml:space="preserve"> </w:t>
      </w:r>
      <w:proofErr w:type="spellStart"/>
      <w:r w:rsidRPr="00347219">
        <w:rPr>
          <w:lang w:val="fr-FR"/>
        </w:rPr>
        <w:t>mays</w:t>
      </w:r>
      <w:proofErr w:type="spellEnd"/>
      <w:r w:rsidRPr="00347219">
        <w:rPr>
          <w:lang w:val="fr-FR"/>
        </w:rPr>
        <w:t xml:space="preserve"> L.) - 6</w:t>
      </w:r>
    </w:p>
    <w:p w:rsidR="00BC1873" w:rsidRPr="00347219" w:rsidRDefault="00BC1873" w:rsidP="00BC1873">
      <w:pPr>
        <w:rPr>
          <w:lang w:val="es-ES_tradnl"/>
        </w:rPr>
      </w:pPr>
      <w:r w:rsidRPr="00347219">
        <w:rPr>
          <w:lang w:val="fr-FR"/>
        </w:rPr>
        <w:t xml:space="preserve">Tomate. </w:t>
      </w:r>
      <w:r w:rsidRPr="00347219">
        <w:rPr>
          <w:lang w:val="es-ES_tradnl"/>
        </w:rPr>
        <w:t>(</w:t>
      </w:r>
      <w:proofErr w:type="spellStart"/>
      <w:r w:rsidRPr="00347219">
        <w:rPr>
          <w:lang w:val="es-ES_tradnl"/>
        </w:rPr>
        <w:t>Solanum</w:t>
      </w:r>
      <w:proofErr w:type="spellEnd"/>
      <w:r w:rsidRPr="00347219">
        <w:rPr>
          <w:lang w:val="es-ES_tradnl"/>
        </w:rPr>
        <w:t xml:space="preserve"> </w:t>
      </w:r>
      <w:proofErr w:type="spellStart"/>
      <w:r w:rsidRPr="00347219">
        <w:rPr>
          <w:lang w:val="es-ES_tradnl"/>
        </w:rPr>
        <w:t>lycopersicum</w:t>
      </w:r>
      <w:proofErr w:type="spellEnd"/>
      <w:r w:rsidRPr="00347219">
        <w:rPr>
          <w:lang w:val="es-ES_tradnl"/>
        </w:rPr>
        <w:t xml:space="preserve"> L.) - 5</w:t>
      </w:r>
    </w:p>
    <w:p w:rsidR="00BC1873" w:rsidRPr="00347219" w:rsidRDefault="00BC1873" w:rsidP="00BC1873">
      <w:pPr>
        <w:rPr>
          <w:lang w:val="es-ES_tradnl"/>
        </w:rPr>
      </w:pPr>
      <w:proofErr w:type="spellStart"/>
      <w:r w:rsidRPr="00347219">
        <w:rPr>
          <w:lang w:val="es-ES_tradnl"/>
        </w:rPr>
        <w:t>Apfel</w:t>
      </w:r>
      <w:proofErr w:type="spellEnd"/>
      <w:r w:rsidRPr="00347219">
        <w:rPr>
          <w:lang w:val="es-ES_tradnl"/>
        </w:rPr>
        <w:t xml:space="preserve"> (</w:t>
      </w:r>
      <w:proofErr w:type="spellStart"/>
      <w:r w:rsidRPr="00347219">
        <w:rPr>
          <w:lang w:val="es-ES_tradnl"/>
        </w:rPr>
        <w:t>Malus</w:t>
      </w:r>
      <w:proofErr w:type="spellEnd"/>
      <w:r w:rsidRPr="00347219">
        <w:rPr>
          <w:lang w:val="es-ES_tradnl"/>
        </w:rPr>
        <w:t xml:space="preserve"> domestica </w:t>
      </w:r>
      <w:proofErr w:type="spellStart"/>
      <w:r w:rsidRPr="00347219">
        <w:rPr>
          <w:lang w:val="es-ES_tradnl"/>
        </w:rPr>
        <w:t>Borkh</w:t>
      </w:r>
      <w:proofErr w:type="spellEnd"/>
      <w:r w:rsidRPr="00347219">
        <w:rPr>
          <w:lang w:val="es-ES_tradnl"/>
        </w:rPr>
        <w:t>.). - 7</w:t>
      </w:r>
    </w:p>
    <w:p w:rsidR="00BC1873" w:rsidRPr="00347219" w:rsidRDefault="00BC1873" w:rsidP="00BC1873">
      <w:pPr>
        <w:rPr>
          <w:lang w:val="es-ES_tradnl"/>
        </w:rPr>
      </w:pPr>
      <w:proofErr w:type="spellStart"/>
      <w:r w:rsidRPr="00347219">
        <w:rPr>
          <w:lang w:val="es-ES_tradnl"/>
        </w:rPr>
        <w:t>Dicke</w:t>
      </w:r>
      <w:proofErr w:type="spellEnd"/>
      <w:r w:rsidRPr="00347219">
        <w:rPr>
          <w:lang w:val="es-ES_tradnl"/>
        </w:rPr>
        <w:t xml:space="preserve"> </w:t>
      </w:r>
      <w:proofErr w:type="spellStart"/>
      <w:r w:rsidRPr="00347219">
        <w:rPr>
          <w:lang w:val="es-ES_tradnl"/>
        </w:rPr>
        <w:t>Bohne</w:t>
      </w:r>
      <w:proofErr w:type="spellEnd"/>
      <w:r w:rsidRPr="00347219">
        <w:rPr>
          <w:lang w:val="es-ES_tradnl"/>
        </w:rPr>
        <w:t xml:space="preserve"> (Vicia faba L.) - 1</w:t>
      </w:r>
    </w:p>
    <w:p w:rsidR="00BC1873" w:rsidRPr="00515A3E" w:rsidRDefault="00BC1873" w:rsidP="00BC1873">
      <w:r w:rsidRPr="00515A3E">
        <w:t xml:space="preserve">Sonnenblume (Helianthus </w:t>
      </w:r>
      <w:proofErr w:type="spellStart"/>
      <w:r w:rsidRPr="00515A3E">
        <w:t>annuus</w:t>
      </w:r>
      <w:proofErr w:type="spellEnd"/>
      <w:r w:rsidRPr="00515A3E">
        <w:t xml:space="preserve"> L.) - 1</w:t>
      </w:r>
    </w:p>
    <w:p w:rsidR="00BC1873" w:rsidRPr="00515A3E" w:rsidRDefault="00BC1873" w:rsidP="00BC1873"/>
    <w:p w:rsidR="00BC1873" w:rsidRPr="00515A3E" w:rsidRDefault="00BC1873" w:rsidP="00BC1873">
      <w:r w:rsidRPr="00515A3E">
        <w:t xml:space="preserve">Am 31.12.2014 bestanden 131 </w:t>
      </w:r>
      <w:proofErr w:type="spellStart"/>
      <w:r w:rsidRPr="00515A3E">
        <w:t>gütlige</w:t>
      </w:r>
      <w:proofErr w:type="spellEnd"/>
      <w:r w:rsidRPr="00515A3E">
        <w:t xml:space="preserve"> Sortenschutztitel.</w:t>
      </w:r>
    </w:p>
    <w:p w:rsidR="00BC1873" w:rsidRPr="00515A3E" w:rsidRDefault="00BC1873" w:rsidP="00BC1873"/>
    <w:p w:rsidR="00BC1873" w:rsidRPr="00515A3E" w:rsidRDefault="00BC1873" w:rsidP="00BC1873"/>
    <w:p w:rsidR="00BC1873" w:rsidRPr="00515A3E" w:rsidRDefault="00BC1873" w:rsidP="00BC1873">
      <w:r w:rsidRPr="00515A3E">
        <w:t>4.</w:t>
      </w:r>
      <w:r w:rsidRPr="00515A3E">
        <w:tab/>
      </w:r>
      <w:r w:rsidRPr="00515A3E">
        <w:rPr>
          <w:u w:val="single"/>
        </w:rPr>
        <w:t>Lage auf dem Gebiet der Technik</w:t>
      </w:r>
    </w:p>
    <w:p w:rsidR="00BC1873" w:rsidRPr="00515A3E" w:rsidRDefault="00BC1873" w:rsidP="00BC1873"/>
    <w:p w:rsidR="00BC1873" w:rsidRPr="00515A3E" w:rsidRDefault="00BC1873" w:rsidP="00BC1873">
      <w:r w:rsidRPr="00515A3E">
        <w:t>Keine Änderungen.</w:t>
      </w:r>
    </w:p>
    <w:p w:rsidR="00BC1873" w:rsidRPr="00515A3E" w:rsidRDefault="00BC1873" w:rsidP="00BC1873"/>
    <w:p w:rsidR="00BC1873" w:rsidRPr="00515A3E" w:rsidRDefault="00BC1873" w:rsidP="00BC1873"/>
    <w:p w:rsidR="00BC1873" w:rsidRPr="00515A3E" w:rsidRDefault="00BC1873" w:rsidP="00BC1873">
      <w:pPr>
        <w:rPr>
          <w:u w:val="single"/>
        </w:rPr>
      </w:pPr>
      <w:r w:rsidRPr="00515A3E">
        <w:t>5.</w:t>
      </w:r>
      <w:r w:rsidRPr="00515A3E">
        <w:tab/>
      </w:r>
      <w:r w:rsidRPr="00515A3E">
        <w:rPr>
          <w:u w:val="single"/>
        </w:rPr>
        <w:t>Tätigkeiten zur Förderung des Sortenschutzes</w:t>
      </w:r>
    </w:p>
    <w:p w:rsidR="00BC1873" w:rsidRPr="00515A3E" w:rsidRDefault="00BC1873" w:rsidP="00BC1873"/>
    <w:p w:rsidR="00BC1873" w:rsidRPr="00515A3E" w:rsidRDefault="00BC1873" w:rsidP="00BC1873">
      <w:pPr>
        <w:rPr>
          <w:i/>
        </w:rPr>
      </w:pPr>
      <w:r w:rsidRPr="00515A3E">
        <w:rPr>
          <w:i/>
        </w:rPr>
        <w:t>Sitzungen, Seminare</w:t>
      </w:r>
    </w:p>
    <w:p w:rsidR="00BC1873" w:rsidRPr="00515A3E" w:rsidRDefault="00BC1873" w:rsidP="00BC1873"/>
    <w:p w:rsidR="00BC1873" w:rsidRPr="00515A3E" w:rsidRDefault="00BC1873" w:rsidP="00BC1873">
      <w:r w:rsidRPr="00515A3E">
        <w:t>Fünf Seminare wurden für Vertreter aus dem Bereich gewerbliches Eigentum, interessierte Personen einschließlich Studenten, Wissenschaftler und Züchter abgehalten über: „Sortenschutzsystem auf nationaler und internationaler Ebene“.</w:t>
      </w:r>
    </w:p>
    <w:p w:rsidR="00BC1873" w:rsidRPr="00515A3E" w:rsidRDefault="00BC1873" w:rsidP="00BC1873"/>
    <w:p w:rsidR="00BC1873" w:rsidRPr="00515A3E" w:rsidRDefault="00BC1873" w:rsidP="00BC1873">
      <w:pPr>
        <w:rPr>
          <w:i/>
        </w:rPr>
      </w:pPr>
      <w:r w:rsidRPr="00515A3E">
        <w:rPr>
          <w:i/>
        </w:rPr>
        <w:t>Veröffentlichungen</w:t>
      </w:r>
    </w:p>
    <w:p w:rsidR="00BC1873" w:rsidRPr="00515A3E" w:rsidRDefault="00BC1873" w:rsidP="00BC1873"/>
    <w:p w:rsidR="00BC1873" w:rsidRPr="00515A3E" w:rsidRDefault="00BC1873" w:rsidP="00BC1873">
      <w:r w:rsidRPr="00515A3E">
        <w:t xml:space="preserve">Das AGEPI unterhält und aktualisiert laufend die Website </w:t>
      </w:r>
      <w:hyperlink r:id="rId33">
        <w:r w:rsidRPr="00515A3E">
          <w:rPr>
            <w:rStyle w:val="Hyperlink"/>
          </w:rPr>
          <w:t>www.agepi.gov.md</w:t>
        </w:r>
      </w:hyperlink>
      <w:r w:rsidRPr="00515A3E">
        <w:t>, die die einzelstaatlichen Rechtsvorschriften auf dem Gebiet des Sortenschutzes, das Antragsformblatt für die Erteilung eines Sortenpatents sowie zweckdienliche Informationen für Antragsteller und Züchter in Englisch, Rumänisch und Russisch enthält.</w:t>
      </w:r>
    </w:p>
    <w:p w:rsidR="00BC1873" w:rsidRPr="00515A3E" w:rsidRDefault="00BC1873" w:rsidP="00BC1873"/>
    <w:p w:rsidR="00C517EE" w:rsidRPr="00BC1873" w:rsidRDefault="00C517EE" w:rsidP="00BC1873"/>
    <w:p w:rsidR="00C517EE" w:rsidRPr="00BC1873" w:rsidRDefault="00C517EE" w:rsidP="00BC1873"/>
    <w:p w:rsidR="00C517EE" w:rsidRPr="0075031D" w:rsidRDefault="00DB5AC1" w:rsidP="00C517EE">
      <w:pPr>
        <w:jc w:val="right"/>
      </w:pPr>
      <w:r>
        <w:t>[Anlage</w:t>
      </w:r>
      <w:r w:rsidR="00C517EE" w:rsidRPr="0075031D">
        <w:t xml:space="preserve"> </w:t>
      </w:r>
      <w:r w:rsidR="00C517EE">
        <w:t>XI</w:t>
      </w:r>
      <w:r w:rsidR="00C517EE" w:rsidRPr="0075031D">
        <w:t xml:space="preserve">II </w:t>
      </w:r>
      <w:r>
        <w:t>folgt]</w:t>
      </w:r>
    </w:p>
    <w:p w:rsidR="00C517EE" w:rsidRPr="0075031D" w:rsidRDefault="00C517EE" w:rsidP="00C517EE">
      <w:pPr>
        <w:jc w:val="left"/>
      </w:pPr>
    </w:p>
    <w:p w:rsidR="00C517EE" w:rsidRDefault="00C517EE" w:rsidP="00C517EE">
      <w:pPr>
        <w:jc w:val="left"/>
        <w:sectPr w:rsidR="00C517EE" w:rsidSect="00371832">
          <w:headerReference w:type="default" r:id="rId34"/>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w:t>
      </w:r>
      <w:r w:rsidR="00C517EE">
        <w:t>XIII</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rsidRPr="00DB5AC1">
        <w:t>TSCHECHISCHE REPUBLIK</w:t>
      </w:r>
    </w:p>
    <w:p w:rsidR="00C517EE" w:rsidRDefault="00C517EE" w:rsidP="00C517EE">
      <w:pPr>
        <w:jc w:val="left"/>
      </w:pPr>
    </w:p>
    <w:p w:rsidR="00C517EE" w:rsidRDefault="00C517EE" w:rsidP="00C517EE">
      <w:pPr>
        <w:jc w:val="left"/>
      </w:pPr>
    </w:p>
    <w:p w:rsidR="00BC1873" w:rsidRPr="00515A3E" w:rsidRDefault="00BC1873" w:rsidP="00BC1873">
      <w:r>
        <w:t>I.</w:t>
      </w:r>
      <w:r>
        <w:tab/>
      </w:r>
      <w:r w:rsidRPr="00515A3E">
        <w:t>SORTENSCHUTZ</w:t>
      </w:r>
    </w:p>
    <w:p w:rsidR="00BC1873" w:rsidRPr="00515A3E" w:rsidRDefault="00BC1873" w:rsidP="00BC1873"/>
    <w:p w:rsidR="00BC1873" w:rsidRPr="00515A3E" w:rsidRDefault="00BC1873" w:rsidP="00BC1873">
      <w:pPr>
        <w:rPr>
          <w:u w:val="single"/>
        </w:rPr>
      </w:pPr>
      <w:r w:rsidRPr="00515A3E">
        <w:t>1.</w:t>
      </w:r>
      <w:r w:rsidRPr="00515A3E">
        <w:tab/>
      </w:r>
      <w:r w:rsidRPr="00515A3E">
        <w:rPr>
          <w:u w:val="single"/>
        </w:rPr>
        <w:t>Lage auf dem Gebiet der Gesetzgebung</w:t>
      </w:r>
    </w:p>
    <w:p w:rsidR="00BC1873" w:rsidRPr="00515A3E" w:rsidRDefault="00BC1873" w:rsidP="00BC1873"/>
    <w:p w:rsidR="00BC1873" w:rsidRPr="00515A3E" w:rsidRDefault="00BC1873" w:rsidP="00BC1873">
      <w:r w:rsidRPr="00515A3E">
        <w:t>Keine Anmerkungen.</w:t>
      </w:r>
    </w:p>
    <w:p w:rsidR="00BC1873" w:rsidRPr="00515A3E" w:rsidRDefault="00BC1873" w:rsidP="00BC1873">
      <w:pPr>
        <w:rPr>
          <w:rFonts w:cs="Arial"/>
        </w:rPr>
      </w:pPr>
    </w:p>
    <w:p w:rsidR="00BC1873" w:rsidRPr="00515A3E" w:rsidRDefault="00BC1873" w:rsidP="00BC1873">
      <w:pPr>
        <w:rPr>
          <w:rFonts w:cs="Arial"/>
        </w:rPr>
      </w:pPr>
    </w:p>
    <w:p w:rsidR="00BC1873" w:rsidRPr="00515A3E" w:rsidRDefault="00BC1873" w:rsidP="00BC1873">
      <w:pPr>
        <w:rPr>
          <w:rFonts w:cs="Arial"/>
        </w:rPr>
      </w:pPr>
      <w:r w:rsidRPr="00515A3E">
        <w:t>2.</w:t>
      </w:r>
      <w:r w:rsidRPr="00515A3E">
        <w:tab/>
      </w:r>
      <w:r w:rsidRPr="00515A3E">
        <w:rPr>
          <w:u w:val="single"/>
        </w:rPr>
        <w:t>Zusammenarbeit bei der Prüfung</w:t>
      </w:r>
    </w:p>
    <w:p w:rsidR="00BC1873" w:rsidRPr="00515A3E" w:rsidRDefault="00BC1873" w:rsidP="00BC1873"/>
    <w:p w:rsidR="00BC1873" w:rsidRPr="00515A3E" w:rsidRDefault="00BC1873" w:rsidP="00BC1873">
      <w:r w:rsidRPr="00515A3E">
        <w:t xml:space="preserve">Die bilateralen Vereinbarungen für die Zusammenarbeit bei der Prüfung mit Dänemark, den Niederlanden, Österreich, Polen, Rumänien, der Slowakei, </w:t>
      </w:r>
      <w:proofErr w:type="spellStart"/>
      <w:r w:rsidRPr="00515A3E">
        <w:t>Slovenien</w:t>
      </w:r>
      <w:proofErr w:type="spellEnd"/>
      <w:r w:rsidRPr="00515A3E">
        <w:t xml:space="preserve"> und Ungarn bleiben unverändert bestehen.</w:t>
      </w:r>
    </w:p>
    <w:p w:rsidR="00BC1873" w:rsidRPr="00515A3E" w:rsidRDefault="00BC1873" w:rsidP="00BC1873">
      <w:pPr>
        <w:rPr>
          <w:b/>
        </w:rPr>
      </w:pPr>
    </w:p>
    <w:p w:rsidR="00BC1873" w:rsidRPr="00515A3E" w:rsidRDefault="00BC1873" w:rsidP="00BC1873">
      <w:r w:rsidRPr="00515A3E">
        <w:t xml:space="preserve">Die Verwaltungsvereinbarung mit dem Gemeinschaftlichen Sortenamt wurde um folgende weitere Arten erweitert: </w:t>
      </w:r>
      <w:proofErr w:type="spellStart"/>
      <w:r w:rsidRPr="00515A3E">
        <w:t>Lonicera</w:t>
      </w:r>
      <w:proofErr w:type="spellEnd"/>
      <w:r w:rsidRPr="00515A3E">
        <w:t xml:space="preserve"> </w:t>
      </w:r>
      <w:proofErr w:type="spellStart"/>
      <w:r w:rsidRPr="00515A3E">
        <w:t>caerulea</w:t>
      </w:r>
      <w:proofErr w:type="spellEnd"/>
      <w:r w:rsidRPr="00515A3E">
        <w:t xml:space="preserve"> L. </w:t>
      </w:r>
      <w:proofErr w:type="spellStart"/>
      <w:r w:rsidRPr="00515A3E">
        <w:t>var</w:t>
      </w:r>
      <w:proofErr w:type="spellEnd"/>
      <w:r w:rsidRPr="00515A3E">
        <w:t xml:space="preserve">. </w:t>
      </w:r>
      <w:proofErr w:type="spellStart"/>
      <w:r w:rsidRPr="00515A3E">
        <w:t>kamtschatica</w:t>
      </w:r>
      <w:proofErr w:type="spellEnd"/>
      <w:r w:rsidRPr="00515A3E">
        <w:t xml:space="preserve"> </w:t>
      </w:r>
      <w:proofErr w:type="spellStart"/>
      <w:r w:rsidRPr="00515A3E">
        <w:t>Sevast</w:t>
      </w:r>
      <w:proofErr w:type="spellEnd"/>
      <w:r w:rsidRPr="00515A3E">
        <w:t xml:space="preserve">., </w:t>
      </w:r>
      <w:proofErr w:type="spellStart"/>
      <w:r w:rsidRPr="00515A3E">
        <w:t>Lolium</w:t>
      </w:r>
      <w:proofErr w:type="spellEnd"/>
      <w:r w:rsidRPr="00515A3E">
        <w:t xml:space="preserve"> </w:t>
      </w:r>
      <w:proofErr w:type="spellStart"/>
      <w:r w:rsidRPr="00515A3E">
        <w:t>multiflorum</w:t>
      </w:r>
      <w:proofErr w:type="spellEnd"/>
      <w:r w:rsidRPr="00515A3E">
        <w:t xml:space="preserve"> Lam. </w:t>
      </w:r>
      <w:proofErr w:type="spellStart"/>
      <w:r w:rsidRPr="00515A3E">
        <w:t>Lolium</w:t>
      </w:r>
      <w:proofErr w:type="spellEnd"/>
      <w:r w:rsidRPr="00515A3E">
        <w:t xml:space="preserve"> </w:t>
      </w:r>
      <w:proofErr w:type="spellStart"/>
      <w:r w:rsidRPr="00515A3E">
        <w:t>multiflorum</w:t>
      </w:r>
      <w:proofErr w:type="spellEnd"/>
      <w:r w:rsidRPr="00515A3E">
        <w:t xml:space="preserve"> Lam. </w:t>
      </w:r>
      <w:proofErr w:type="spellStart"/>
      <w:r w:rsidRPr="00515A3E">
        <w:t>var</w:t>
      </w:r>
      <w:proofErr w:type="spellEnd"/>
      <w:r w:rsidRPr="00515A3E">
        <w:t xml:space="preserve">. </w:t>
      </w:r>
      <w:proofErr w:type="spellStart"/>
      <w:r w:rsidRPr="00515A3E">
        <w:t>westerwoldicum</w:t>
      </w:r>
      <w:proofErr w:type="spellEnd"/>
      <w:r w:rsidRPr="00515A3E">
        <w:t xml:space="preserve"> </w:t>
      </w:r>
      <w:proofErr w:type="spellStart"/>
      <w:r w:rsidRPr="00515A3E">
        <w:t>Wittm</w:t>
      </w:r>
      <w:proofErr w:type="spellEnd"/>
      <w:r w:rsidRPr="00515A3E">
        <w:t xml:space="preserve">. </w:t>
      </w:r>
      <w:proofErr w:type="spellStart"/>
      <w:r w:rsidRPr="00515A3E">
        <w:t>and</w:t>
      </w:r>
      <w:proofErr w:type="spellEnd"/>
      <w:r w:rsidRPr="00515A3E">
        <w:t xml:space="preserve"> </w:t>
      </w:r>
      <w:proofErr w:type="spellStart"/>
      <w:r w:rsidRPr="00515A3E">
        <w:t>subsp</w:t>
      </w:r>
      <w:proofErr w:type="spellEnd"/>
      <w:r w:rsidRPr="00515A3E">
        <w:t xml:space="preserve">. </w:t>
      </w:r>
      <w:proofErr w:type="spellStart"/>
      <w:r w:rsidRPr="00515A3E">
        <w:t>Italicum</w:t>
      </w:r>
      <w:proofErr w:type="spellEnd"/>
      <w:r w:rsidRPr="00515A3E">
        <w:t xml:space="preserve"> (A. Br.) </w:t>
      </w:r>
      <w:proofErr w:type="spellStart"/>
      <w:r w:rsidRPr="00515A3E">
        <w:t>Volkart</w:t>
      </w:r>
      <w:proofErr w:type="spellEnd"/>
      <w:r w:rsidRPr="00515A3E">
        <w:t xml:space="preserve">, </w:t>
      </w:r>
      <w:proofErr w:type="spellStart"/>
      <w:r w:rsidRPr="00515A3E">
        <w:t>Phacelia</w:t>
      </w:r>
      <w:proofErr w:type="spellEnd"/>
      <w:r w:rsidRPr="00515A3E">
        <w:t xml:space="preserve"> </w:t>
      </w:r>
      <w:proofErr w:type="spellStart"/>
      <w:r w:rsidRPr="00515A3E">
        <w:t>tanacetifolia</w:t>
      </w:r>
      <w:proofErr w:type="spellEnd"/>
      <w:r w:rsidRPr="00515A3E">
        <w:t xml:space="preserve"> </w:t>
      </w:r>
      <w:proofErr w:type="spellStart"/>
      <w:r w:rsidRPr="00515A3E">
        <w:t>Benth</w:t>
      </w:r>
      <w:proofErr w:type="spellEnd"/>
      <w:r w:rsidRPr="00515A3E">
        <w:t xml:space="preserve">., </w:t>
      </w:r>
      <w:proofErr w:type="spellStart"/>
      <w:r w:rsidRPr="00515A3E">
        <w:t>Carum</w:t>
      </w:r>
      <w:proofErr w:type="spellEnd"/>
      <w:r w:rsidRPr="00515A3E">
        <w:t xml:space="preserve"> </w:t>
      </w:r>
      <w:proofErr w:type="spellStart"/>
      <w:r w:rsidRPr="00515A3E">
        <w:t>carvi</w:t>
      </w:r>
      <w:proofErr w:type="spellEnd"/>
      <w:r w:rsidRPr="00515A3E">
        <w:t xml:space="preserve"> L.</w:t>
      </w:r>
    </w:p>
    <w:p w:rsidR="00BC1873" w:rsidRPr="00515A3E" w:rsidRDefault="00BC1873" w:rsidP="00BC1873">
      <w:pPr>
        <w:rPr>
          <w:rFonts w:cs="Arial"/>
        </w:rPr>
      </w:pPr>
    </w:p>
    <w:p w:rsidR="00BC1873" w:rsidRPr="00515A3E" w:rsidRDefault="00BC1873" w:rsidP="00BC1873">
      <w:pPr>
        <w:rPr>
          <w:rFonts w:cs="Arial"/>
        </w:rPr>
      </w:pPr>
    </w:p>
    <w:p w:rsidR="00BC1873" w:rsidRPr="00515A3E" w:rsidRDefault="00BC1873" w:rsidP="00BC1873">
      <w:pPr>
        <w:rPr>
          <w:u w:val="single"/>
        </w:rPr>
      </w:pPr>
      <w:r w:rsidRPr="00515A3E">
        <w:t>2.</w:t>
      </w:r>
      <w:r w:rsidRPr="00515A3E">
        <w:tab/>
      </w:r>
      <w:r w:rsidRPr="00515A3E">
        <w:rPr>
          <w:u w:val="single"/>
        </w:rPr>
        <w:t>Lage auf dem Gebiet der Verwaltung</w:t>
      </w:r>
    </w:p>
    <w:p w:rsidR="00BC1873" w:rsidRPr="00515A3E" w:rsidRDefault="00BC1873" w:rsidP="00BC1873"/>
    <w:p w:rsidR="00BC1873" w:rsidRPr="00515A3E" w:rsidRDefault="00BC1873" w:rsidP="00BC1873">
      <w:pPr>
        <w:rPr>
          <w:u w:val="single"/>
        </w:rPr>
      </w:pPr>
      <w:r w:rsidRPr="00515A3E">
        <w:t>Keine Anmerkungen.</w:t>
      </w:r>
    </w:p>
    <w:p w:rsidR="00BC1873" w:rsidRPr="00515A3E" w:rsidRDefault="00BC1873" w:rsidP="00BC1873"/>
    <w:p w:rsidR="00BC1873" w:rsidRPr="00515A3E" w:rsidRDefault="00BC1873" w:rsidP="00BC1873"/>
    <w:p w:rsidR="00BC1873" w:rsidRPr="00515A3E" w:rsidRDefault="00BC1873" w:rsidP="00BC1873">
      <w:pPr>
        <w:rPr>
          <w:u w:val="single"/>
        </w:rPr>
      </w:pPr>
      <w:r w:rsidRPr="00515A3E">
        <w:t>3.</w:t>
      </w:r>
      <w:r w:rsidRPr="00515A3E">
        <w:tab/>
      </w:r>
      <w:r w:rsidRPr="00515A3E">
        <w:rPr>
          <w:u w:val="single"/>
        </w:rPr>
        <w:t>Lage auf dem Gebiet der Technik</w:t>
      </w:r>
    </w:p>
    <w:p w:rsidR="00BC1873" w:rsidRPr="00515A3E" w:rsidRDefault="00BC1873" w:rsidP="00BC1873"/>
    <w:p w:rsidR="00BC1873" w:rsidRPr="00515A3E" w:rsidRDefault="00BC1873" w:rsidP="00BC1873">
      <w:r w:rsidRPr="00515A3E">
        <w:t>Im Zeitraum zwischen dem 1. September 2014 bis zum 20. August 2015 gingen 85 Anträge ein und 62 Schutztitel wurden erteilt. Zum letzteren Datum waren 728 Schutztitel in Kraft und 213 Anträge anhängig.</w:t>
      </w:r>
    </w:p>
    <w:p w:rsidR="00BC1873" w:rsidRPr="00515A3E" w:rsidRDefault="00BC1873" w:rsidP="00BC1873">
      <w:pPr>
        <w:rPr>
          <w:rFonts w:cs="Arial"/>
        </w:rPr>
      </w:pPr>
    </w:p>
    <w:p w:rsidR="00BC1873" w:rsidRPr="00515A3E" w:rsidRDefault="00BC1873" w:rsidP="00BC1873">
      <w:pPr>
        <w:rPr>
          <w:u w:val="single"/>
        </w:rPr>
      </w:pPr>
      <w:r w:rsidRPr="00515A3E">
        <w:t>4.</w:t>
      </w:r>
      <w:r w:rsidRPr="00515A3E">
        <w:tab/>
      </w:r>
      <w:r w:rsidRPr="00515A3E">
        <w:rPr>
          <w:u w:val="single"/>
        </w:rPr>
        <w:t>Tätigkeiten zur Förderung des Sortenschutzes</w:t>
      </w:r>
    </w:p>
    <w:p w:rsidR="00BC1873" w:rsidRPr="00515A3E" w:rsidRDefault="00BC1873" w:rsidP="00BC1873"/>
    <w:p w:rsidR="00BC1873" w:rsidRPr="00515A3E" w:rsidRDefault="00BC1873" w:rsidP="00BC1873">
      <w:r w:rsidRPr="00515A3E">
        <w:t>Arbeitstagung zur Einführung und Sensibilisierung für Sortenschutz, veranstaltet von UPOV mit Unterstützung des gemeinschaftlichen Sortenamts (CPVO) und des Multi-</w:t>
      </w:r>
      <w:proofErr w:type="spellStart"/>
      <w:r w:rsidRPr="00515A3E">
        <w:t>Beneficiary</w:t>
      </w:r>
      <w:proofErr w:type="spellEnd"/>
      <w:r w:rsidRPr="00515A3E">
        <w:t xml:space="preserve"> Programms der Europäischen Union, 29. - 30. Oktober 2014 in Skopje, Ehemalige Jugoslawischen Republik Mazedonien. Aktive tschechische Beteiligung - Präsentation: „Einführung des Sortenschutzes in der Tschechischen Republik“ und „Vorteile des Sortenschutzsystems“</w:t>
      </w:r>
    </w:p>
    <w:p w:rsidR="00BC1873" w:rsidRPr="00515A3E" w:rsidRDefault="00BC1873" w:rsidP="00BC1873">
      <w:pPr>
        <w:rPr>
          <w:rFonts w:cs="Arial"/>
        </w:rPr>
      </w:pPr>
    </w:p>
    <w:p w:rsidR="00BC1873" w:rsidRPr="00515A3E" w:rsidRDefault="00BC1873" w:rsidP="00BC1873">
      <w:pPr>
        <w:rPr>
          <w:rFonts w:cs="Arial"/>
        </w:rPr>
      </w:pPr>
    </w:p>
    <w:p w:rsidR="00BC1873" w:rsidRPr="00BC1873" w:rsidRDefault="00BC1873" w:rsidP="00BC1873">
      <w:pPr>
        <w:rPr>
          <w:rFonts w:cs="Arial"/>
        </w:rPr>
      </w:pPr>
      <w:r w:rsidRPr="00BC1873">
        <w:t>II.</w:t>
      </w:r>
      <w:r w:rsidRPr="00BC1873">
        <w:tab/>
        <w:t>ANDERE ENTWICKLUNGEN VON INTERESSE FÜR DIE UPOV</w:t>
      </w:r>
    </w:p>
    <w:p w:rsidR="00BC1873" w:rsidRPr="00515A3E" w:rsidRDefault="00BC1873" w:rsidP="00BC1873">
      <w:pPr>
        <w:rPr>
          <w:rFonts w:cs="Arial"/>
        </w:rPr>
      </w:pPr>
    </w:p>
    <w:p w:rsidR="00BC1873" w:rsidRPr="00515A3E" w:rsidRDefault="00BC1873" w:rsidP="00BC1873">
      <w:pPr>
        <w:rPr>
          <w:rFonts w:cs="Arial"/>
        </w:rPr>
      </w:pPr>
      <w:r w:rsidRPr="00515A3E">
        <w:t>Acht Sachverständige absolvierten erfolgreich den UPOV-Fernlehrgang DL-305, ein Sachverständiger DL</w:t>
      </w:r>
      <w:r w:rsidRPr="00515A3E">
        <w:noBreakHyphen/>
        <w:t>305</w:t>
      </w:r>
      <w:r>
        <w:t>A</w:t>
      </w:r>
      <w:r w:rsidRPr="00515A3E">
        <w:t>.</w:t>
      </w:r>
    </w:p>
    <w:p w:rsidR="00C517EE" w:rsidRDefault="00C517EE" w:rsidP="00C517EE">
      <w:pPr>
        <w:jc w:val="left"/>
        <w:rPr>
          <w:rFonts w:cs="Arial"/>
        </w:rPr>
      </w:pPr>
    </w:p>
    <w:p w:rsidR="00C517EE" w:rsidRDefault="00C517EE" w:rsidP="00C517EE">
      <w:pPr>
        <w:jc w:val="left"/>
        <w:rPr>
          <w:rFonts w:cs="Arial"/>
        </w:rPr>
      </w:pPr>
    </w:p>
    <w:p w:rsidR="00BC1873" w:rsidRPr="0087603D" w:rsidRDefault="00BC1873" w:rsidP="00C517EE">
      <w:pPr>
        <w:jc w:val="left"/>
        <w:rPr>
          <w:rFonts w:cs="Arial"/>
        </w:rPr>
      </w:pPr>
    </w:p>
    <w:p w:rsidR="00C517EE" w:rsidRPr="0075031D" w:rsidRDefault="00DB5AC1" w:rsidP="00C517EE">
      <w:pPr>
        <w:jc w:val="right"/>
      </w:pPr>
      <w:r>
        <w:t>[Anlage</w:t>
      </w:r>
      <w:r w:rsidR="00C517EE" w:rsidRPr="0075031D">
        <w:t xml:space="preserve"> </w:t>
      </w:r>
      <w:r w:rsidR="00C517EE">
        <w:t>X</w:t>
      </w:r>
      <w:r w:rsidR="00C517EE" w:rsidRPr="0075031D">
        <w:t>I</w:t>
      </w:r>
      <w:r w:rsidR="00C517EE">
        <w:t>V</w:t>
      </w:r>
      <w:r w:rsidR="00C517EE" w:rsidRPr="0075031D">
        <w:t xml:space="preserve"> </w:t>
      </w:r>
      <w:r>
        <w:t>folgt]</w:t>
      </w:r>
    </w:p>
    <w:p w:rsidR="00C517EE" w:rsidRPr="0075031D" w:rsidRDefault="00C517EE" w:rsidP="00C517EE">
      <w:pPr>
        <w:jc w:val="left"/>
      </w:pPr>
    </w:p>
    <w:p w:rsidR="00C517EE" w:rsidRDefault="00C517EE" w:rsidP="00C517EE">
      <w:pPr>
        <w:jc w:val="left"/>
        <w:sectPr w:rsidR="00C517EE" w:rsidSect="00906DDC">
          <w:pgSz w:w="11907" w:h="16840" w:code="9"/>
          <w:pgMar w:top="510" w:right="1134" w:bottom="1134" w:left="1134" w:header="510" w:footer="680" w:gutter="0"/>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w:t>
      </w:r>
      <w:r w:rsidR="00C517EE">
        <w:t>XIV</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t>SERBIEN</w:t>
      </w:r>
    </w:p>
    <w:p w:rsidR="00C517EE" w:rsidRPr="00B912AA" w:rsidRDefault="00C517EE" w:rsidP="00C517EE">
      <w:pPr>
        <w:jc w:val="center"/>
      </w:pPr>
      <w:r w:rsidRPr="00B912AA">
        <w:t>(September 2014 - September 2015)</w:t>
      </w:r>
    </w:p>
    <w:p w:rsidR="00C517EE" w:rsidRPr="00B912AA" w:rsidRDefault="00C517EE" w:rsidP="00C517EE">
      <w:pPr>
        <w:rPr>
          <w:rFonts w:cs="Arial"/>
        </w:rPr>
      </w:pPr>
    </w:p>
    <w:p w:rsidR="00C517EE" w:rsidRPr="00B912AA" w:rsidRDefault="00C517EE" w:rsidP="00C517EE">
      <w:pPr>
        <w:rPr>
          <w:rFonts w:cs="Arial"/>
        </w:rPr>
      </w:pPr>
    </w:p>
    <w:p w:rsidR="00BC1873" w:rsidRPr="00515A3E" w:rsidRDefault="00BC1873" w:rsidP="00BC1873">
      <w:r w:rsidRPr="00515A3E">
        <w:t>I.</w:t>
      </w:r>
      <w:r w:rsidRPr="00515A3E">
        <w:tab/>
        <w:t>SORTENSCHUTZ</w:t>
      </w:r>
    </w:p>
    <w:p w:rsidR="00BC1873" w:rsidRPr="00515A3E" w:rsidRDefault="00BC1873" w:rsidP="00BC1873">
      <w:pPr>
        <w:rPr>
          <w:rFonts w:cs="Arial"/>
        </w:rPr>
      </w:pPr>
    </w:p>
    <w:p w:rsidR="00BC1873" w:rsidRPr="00515A3E" w:rsidRDefault="00BC1873" w:rsidP="00BC1873">
      <w:pPr>
        <w:rPr>
          <w:rFonts w:cs="Arial"/>
        </w:rPr>
      </w:pPr>
      <w:r w:rsidRPr="00515A3E">
        <w:t>1.</w:t>
      </w:r>
      <w:r w:rsidRPr="00515A3E">
        <w:tab/>
      </w:r>
      <w:r w:rsidRPr="00515A3E">
        <w:rPr>
          <w:u w:val="single"/>
        </w:rPr>
        <w:t>Lage auf dem Gebiet der Gesetzgebung</w:t>
      </w:r>
    </w:p>
    <w:p w:rsidR="00BC1873" w:rsidRPr="00515A3E" w:rsidRDefault="00BC1873" w:rsidP="00BC1873">
      <w:pPr>
        <w:rPr>
          <w:rFonts w:cs="Arial"/>
        </w:rPr>
      </w:pPr>
    </w:p>
    <w:p w:rsidR="00BC1873" w:rsidRPr="00515A3E" w:rsidRDefault="00BC1873" w:rsidP="00BC1873">
      <w:pPr>
        <w:rPr>
          <w:rFonts w:cs="Arial"/>
        </w:rPr>
      </w:pPr>
      <w:r w:rsidRPr="00515A3E">
        <w:t>Gemäß dem derzeitigen Gesetz zum Schutz von Züchterrechten („Offizielles Amtsblatt der RS“, Nr. 41/09 und 88/11) stehen alle Pflanzengattungen und -arten unter Schutz.</w:t>
      </w:r>
    </w:p>
    <w:p w:rsidR="00BC1873" w:rsidRPr="00515A3E" w:rsidRDefault="00BC1873" w:rsidP="00BC1873"/>
    <w:p w:rsidR="00BC1873" w:rsidRPr="00515A3E" w:rsidRDefault="00BC1873" w:rsidP="00BC1873"/>
    <w:p w:rsidR="00BC1873" w:rsidRPr="00515A3E" w:rsidRDefault="00BC1873" w:rsidP="00BC1873">
      <w:pPr>
        <w:rPr>
          <w:rFonts w:cs="Arial"/>
          <w:u w:val="single"/>
        </w:rPr>
      </w:pPr>
      <w:r w:rsidRPr="00515A3E">
        <w:t>2.</w:t>
      </w:r>
      <w:r w:rsidRPr="00515A3E">
        <w:tab/>
      </w:r>
      <w:r w:rsidRPr="00515A3E">
        <w:rPr>
          <w:u w:val="single"/>
        </w:rPr>
        <w:t>Lage auf dem Gebiet der Verwaltung</w:t>
      </w:r>
    </w:p>
    <w:p w:rsidR="00BC1873" w:rsidRPr="00515A3E" w:rsidRDefault="00BC1873" w:rsidP="00BC1873">
      <w:pPr>
        <w:rPr>
          <w:rFonts w:cs="Arial"/>
        </w:rPr>
      </w:pPr>
    </w:p>
    <w:p w:rsidR="00BC1873" w:rsidRPr="00BC1873" w:rsidRDefault="00BC1873" w:rsidP="00BC1873">
      <w:r w:rsidRPr="00BC1873">
        <w:t>Das Ministerium für Landwirtschaft und Umweltschutz (MAEP) - Pflanzenschutzdirektorat (PPD) ist die für den Schutz von Züchterrechten in der Republik Serbien benannte Behörde. Das Pflanzenschutzdirektorat führt als Verwaltungsbehörde innerhalb des MAEP folgende Aufgaben aus: Schutz von Pflanzen vor Schadorganismen; Genehmigung und Kontrolle von Pflanzenschutzprodukten und Pflanzenernährungsprodukten; Eintragung von Pflanzensorten; Sortenschutz; biologische Sicherheit (genetisch veränderte Organismen); Pflanzengesundheitskontrolle und andere damit im Zusammenhang stehende Aufgaben. Innerhalb des PPD führt die Gruppe für Sortenschutz und Biosicherheit administrative Verfahren im Zusammenhang mit den Bestimmungen des Gesetzes zum Schutz von Züchterrechten und mit der Erteilung von Züchterrechten sowie auch Aufgaben im Zusammenhang mit GVO durch.</w:t>
      </w:r>
    </w:p>
    <w:p w:rsidR="00BC1873" w:rsidRPr="00BC1873" w:rsidRDefault="00BC1873" w:rsidP="00BC1873"/>
    <w:p w:rsidR="00BC1873" w:rsidRPr="00515A3E" w:rsidRDefault="00BC1873" w:rsidP="00BC1873">
      <w:pPr>
        <w:rPr>
          <w:rFonts w:cs="Arial"/>
        </w:rPr>
      </w:pPr>
    </w:p>
    <w:p w:rsidR="00BC1873" w:rsidRPr="00515A3E" w:rsidRDefault="00BC1873" w:rsidP="00BC1873">
      <w:pPr>
        <w:rPr>
          <w:rFonts w:cs="Arial"/>
          <w:u w:val="single"/>
        </w:rPr>
      </w:pPr>
      <w:r w:rsidRPr="00515A3E">
        <w:t>3.</w:t>
      </w:r>
      <w:r w:rsidRPr="00515A3E">
        <w:tab/>
      </w:r>
      <w:r w:rsidRPr="00515A3E">
        <w:rPr>
          <w:u w:val="single"/>
        </w:rPr>
        <w:t>Lage auf dem Gebiet der Technik</w:t>
      </w:r>
    </w:p>
    <w:p w:rsidR="00BC1873" w:rsidRPr="00515A3E" w:rsidRDefault="00BC1873" w:rsidP="00BC1873">
      <w:pPr>
        <w:rPr>
          <w:rFonts w:cs="Arial"/>
        </w:rPr>
      </w:pPr>
    </w:p>
    <w:p w:rsidR="00BC1873" w:rsidRPr="00515A3E" w:rsidRDefault="00BC1873" w:rsidP="00BC1873">
      <w:r w:rsidRPr="00515A3E">
        <w:t>Auf der Grundlage der Ergebnisse von Pflanzenprüfungen und auf Vorschlag des Sachverständigenrates für den Schutz von Züchterrechten als besonderem Sachverständigengremium des MAEP-PPD wurden von September 2014 bis September 2015 Züchterrechte für 41 Sorten erteilt.</w:t>
      </w:r>
    </w:p>
    <w:p w:rsidR="00BC1873" w:rsidRPr="00515A3E" w:rsidRDefault="00BC1873" w:rsidP="00BC1873"/>
    <w:p w:rsidR="00BC1873" w:rsidRPr="00515A3E" w:rsidRDefault="00BC1873" w:rsidP="00BC1873">
      <w:pPr>
        <w:rPr>
          <w:rFonts w:cs="Arial"/>
        </w:rPr>
      </w:pPr>
    </w:p>
    <w:p w:rsidR="00BC1873" w:rsidRPr="00515A3E" w:rsidRDefault="00BC1873" w:rsidP="00BC1873">
      <w:pPr>
        <w:rPr>
          <w:rFonts w:cs="Arial"/>
          <w:u w:val="single"/>
        </w:rPr>
      </w:pPr>
      <w:r w:rsidRPr="00515A3E">
        <w:t>4.</w:t>
      </w:r>
      <w:r w:rsidRPr="00515A3E">
        <w:tab/>
      </w:r>
      <w:r w:rsidRPr="00515A3E">
        <w:rPr>
          <w:u w:val="single"/>
        </w:rPr>
        <w:t>Tätigkeiten zur Förderung des Sortenschutzes</w:t>
      </w:r>
    </w:p>
    <w:p w:rsidR="00BC1873" w:rsidRPr="00515A3E" w:rsidRDefault="00BC1873" w:rsidP="00BC1873">
      <w:pPr>
        <w:rPr>
          <w:rFonts w:cs="Arial"/>
        </w:rPr>
      </w:pPr>
    </w:p>
    <w:p w:rsidR="00BC1873" w:rsidRPr="00515A3E" w:rsidRDefault="00BC1873" w:rsidP="00BC1873">
      <w:r w:rsidRPr="00515A3E">
        <w:t>Im Rahmen des Multi-</w:t>
      </w:r>
      <w:proofErr w:type="spellStart"/>
      <w:r w:rsidRPr="00515A3E">
        <w:t>Beneficiary</w:t>
      </w:r>
      <w:proofErr w:type="spellEnd"/>
      <w:r w:rsidRPr="00515A3E">
        <w:t xml:space="preserve"> Programm des Gemeinschaftlichen Sortenamts (CPVO) im Hinblick auf die Anpassung des serbischen Züchterrechtssystems an das gemeinschaftliche Sortenrechtssystem und an administrative Verfahren im Hinblick auf den Sortenschutz in der EU beteiligten sich Sachverständige aus Serbien an verschiedenen Jahrestagungen von Sachverständigen, die vom CPVO für Prüfungsämter am Hauptsitz des CPVO in Angers, Frankreich abgehalten wurden (Zierarten vom 23.</w:t>
      </w:r>
      <w:r w:rsidRPr="00515A3E">
        <w:noBreakHyphen/>
        <w:t>24. September 2014, Obstarten vom 30. September - 1. Oktober 2014, landwirtschaftliche Arten 7.</w:t>
      </w:r>
      <w:r w:rsidRPr="00515A3E">
        <w:noBreakHyphen/>
        <w:t>8. Oktober 2014 und Gemüsearten vom 21. bis 23. Oktober 2014).</w:t>
      </w:r>
    </w:p>
    <w:p w:rsidR="00BC1873" w:rsidRPr="00515A3E" w:rsidRDefault="00BC1873" w:rsidP="00BC1873">
      <w:pPr>
        <w:rPr>
          <w:rFonts w:cs="Arial"/>
        </w:rPr>
      </w:pPr>
    </w:p>
    <w:p w:rsidR="00BC1873" w:rsidRPr="00515A3E" w:rsidRDefault="00BC1873" w:rsidP="00BC1873">
      <w:r w:rsidRPr="00515A3E">
        <w:t>Teilnahme des MAEP-PPD Vertreters am Schulungslehrgang „Sortenschutz nach dem UPOV</w:t>
      </w:r>
      <w:r w:rsidRPr="00515A3E">
        <w:noBreakHyphen/>
        <w:t>Übereinkommen“, das vom Internationalen Verband für Pflanzenzüchtungen (UPOV) in Zusammenarbeit mit dem Patent- und Markenamt der Vereinigten Staaten von Amerika (USPTO) angeboten wird mit dem Ziel, Einzelpersonen („Ausbilder“) auszubilden, die andere Personen im Sortenschutz nach dem UPOV-Übereinkommen ausbilden. Der UPOV/USPTO Ausbildungslehrgang fand vom 4. bis 8. Mai 2015 am UPOV-WIPO-Hauptsitz in Genf, Schweiz statt.</w:t>
      </w:r>
    </w:p>
    <w:p w:rsidR="00BC1873" w:rsidRPr="00515A3E" w:rsidRDefault="00BC1873" w:rsidP="00BC1873"/>
    <w:p w:rsidR="00BC1873" w:rsidRPr="00515A3E" w:rsidRDefault="00BC1873" w:rsidP="00BC1873">
      <w:r w:rsidRPr="00515A3E">
        <w:t>Arbeitstagungen und Seminare über Züchterrechte wurden in Serbien veranstaltet, um die Kenntnisse von Züchtern, Erzeugern von Saatgut und Vermehrungsmaterial, Vertreter von Saatgutunternehmen und andere Interessensvertretern über Themen betreffend rechtliche, administrative und technische Aspekte des Sortenschutzes zu verbessern.</w:t>
      </w:r>
    </w:p>
    <w:p w:rsidR="00BC1873" w:rsidRPr="00515A3E" w:rsidRDefault="00BC1873" w:rsidP="00BC1873"/>
    <w:p w:rsidR="00BC1873" w:rsidRPr="00515A3E" w:rsidRDefault="00BC1873" w:rsidP="00BC1873">
      <w:pPr>
        <w:rPr>
          <w:rFonts w:cs="Arial"/>
        </w:rPr>
      </w:pPr>
      <w:r w:rsidRPr="00515A3E">
        <w:t>Seminar über „Entwicklungsmöglichkeiten der Saatgutproduktion in der Republik Serbien“, das vom Saatgutverband Serbiens und MAEP-PPD im Rahmen der 82. International</w:t>
      </w:r>
      <w:r>
        <w:t>en Landwirtschaftsmesse in Novi </w:t>
      </w:r>
      <w:proofErr w:type="spellStart"/>
      <w:r w:rsidRPr="00515A3E">
        <w:t>Sad</w:t>
      </w:r>
      <w:proofErr w:type="spellEnd"/>
      <w:r w:rsidRPr="00515A3E">
        <w:t xml:space="preserve"> am 13. Mai 2015 veranstaltet wurde.</w:t>
      </w:r>
    </w:p>
    <w:p w:rsidR="00BC1873" w:rsidRPr="00515A3E" w:rsidRDefault="00BC1873" w:rsidP="00BC1873">
      <w:pPr>
        <w:rPr>
          <w:rFonts w:cs="Arial"/>
        </w:rPr>
      </w:pPr>
    </w:p>
    <w:p w:rsidR="00BC1873" w:rsidRPr="00515A3E" w:rsidRDefault="00BC1873" w:rsidP="00BC1873">
      <w:pPr>
        <w:rPr>
          <w:rFonts w:cs="Arial"/>
        </w:rPr>
      </w:pPr>
      <w:r w:rsidRPr="00515A3E">
        <w:t>„Achte wissenschaftliche Konferenz auf dem Gebiet der Pflanzenzüchtung und der Saatgutwissenschaft“, veranstaltet von der Gesellschaft für Züchter und Saatguterzeuger der Republik Serbien und der Handelskammer Serbiens in Belgrad am 28. Mai 2015.</w:t>
      </w:r>
    </w:p>
    <w:p w:rsidR="00BC1873" w:rsidRPr="00515A3E" w:rsidRDefault="00BC1873" w:rsidP="00BC1873">
      <w:pPr>
        <w:rPr>
          <w:rFonts w:cs="Arial"/>
        </w:rPr>
      </w:pPr>
    </w:p>
    <w:p w:rsidR="00BC1873" w:rsidRPr="00515A3E" w:rsidRDefault="00BC1873" w:rsidP="00BC1873">
      <w:r w:rsidRPr="00515A3E">
        <w:t xml:space="preserve">Ein Vertreter des MAEP-PPD </w:t>
      </w:r>
      <w:proofErr w:type="spellStart"/>
      <w:r w:rsidRPr="00515A3E">
        <w:t>schloß</w:t>
      </w:r>
      <w:proofErr w:type="spellEnd"/>
      <w:r w:rsidRPr="00515A3E">
        <w:t xml:space="preserve"> mit Erfolg den in Zusammenarbeit mit der WIPO-Akademie durchgeführten UPOV-Fernlehrgang DL-305 ab: </w:t>
      </w:r>
    </w:p>
    <w:p w:rsidR="00BC1873" w:rsidRPr="00515A3E" w:rsidRDefault="00BC1873" w:rsidP="00BC1873">
      <w:pPr>
        <w:rPr>
          <w:rFonts w:cs="Arial"/>
          <w:bCs/>
          <w:iCs/>
        </w:rPr>
      </w:pPr>
    </w:p>
    <w:p w:rsidR="00BC1873" w:rsidRPr="00515A3E" w:rsidRDefault="00BC1873" w:rsidP="00BC1873">
      <w:pPr>
        <w:rPr>
          <w:rFonts w:cs="Arial"/>
        </w:rPr>
      </w:pPr>
      <w:r w:rsidRPr="00515A3E">
        <w:t>Verwaltung von Züchterrechten (Teil 1 des DL-305 Kurses: Prüfung von Anträgen auf Erteilung von Züchterrechten vom 16. Februar bis 22. März 2015);</w:t>
      </w:r>
    </w:p>
    <w:p w:rsidR="00BC1873" w:rsidRPr="00515A3E" w:rsidRDefault="00BC1873" w:rsidP="00BC1873">
      <w:pPr>
        <w:rPr>
          <w:rFonts w:cs="Arial"/>
          <w:bCs/>
          <w:iCs/>
        </w:rPr>
      </w:pPr>
    </w:p>
    <w:p w:rsidR="00BC1873" w:rsidRPr="00515A3E" w:rsidRDefault="00BC1873" w:rsidP="00BC1873">
      <w:pPr>
        <w:rPr>
          <w:rFonts w:cs="Arial"/>
        </w:rPr>
      </w:pPr>
      <w:r w:rsidRPr="00515A3E">
        <w:t>DUS-Prüfung (Teil 2 von Lehrgang DL-305: Prüfung von Anträgen auf Erteilung von Züchterrechten, vom 20. April bis 24. Mai 2015).</w:t>
      </w:r>
    </w:p>
    <w:p w:rsidR="00BC1873" w:rsidRPr="00515A3E" w:rsidRDefault="00BC1873" w:rsidP="00BC1873">
      <w:pPr>
        <w:rPr>
          <w:rFonts w:cs="Arial"/>
        </w:rPr>
      </w:pPr>
    </w:p>
    <w:p w:rsidR="00BC1873" w:rsidRPr="00515A3E" w:rsidRDefault="00BC1873" w:rsidP="00BC1873">
      <w:pPr>
        <w:rPr>
          <w:rFonts w:cs="Arial"/>
        </w:rPr>
      </w:pPr>
      <w:r w:rsidRPr="00515A3E">
        <w:t>Im Rahmen des Integrationsprozesses der Republik Serbien in die EU nahmen Vertreter des Ministeriums für Landwirtschaft und Umweltschutz - PPD an einer bilateralen Bewertung für Kapitel 12: Lebensmittelsicherheit, Tier- und Pflanzengesundheit, vom 20.-24. Oktober in DG SANCO der Europäischen Kommission in Brüssel, Belgien, teil.</w:t>
      </w:r>
    </w:p>
    <w:p w:rsidR="00BC1873" w:rsidRPr="00515A3E" w:rsidRDefault="00BC1873" w:rsidP="00BC1873">
      <w:pPr>
        <w:rPr>
          <w:rFonts w:cs="Arial"/>
        </w:rPr>
      </w:pPr>
    </w:p>
    <w:p w:rsidR="00BC1873" w:rsidRPr="00515A3E" w:rsidRDefault="00BC1873" w:rsidP="00BC1873">
      <w:pPr>
        <w:rPr>
          <w:rFonts w:cs="Arial"/>
        </w:rPr>
      </w:pPr>
    </w:p>
    <w:p w:rsidR="00BC1873" w:rsidRPr="00BC1873" w:rsidRDefault="00BC1873" w:rsidP="00BC1873">
      <w:pPr>
        <w:rPr>
          <w:rFonts w:cs="Arial"/>
        </w:rPr>
      </w:pPr>
      <w:r w:rsidRPr="00BC1873">
        <w:t>II.</w:t>
      </w:r>
      <w:r w:rsidRPr="00BC1873">
        <w:tab/>
        <w:t>ANDERE ENTWICKLUNGEN VON INTERESSE FÜR DIE UPOV</w:t>
      </w:r>
    </w:p>
    <w:p w:rsidR="00BC1873" w:rsidRPr="00515A3E" w:rsidRDefault="00BC1873" w:rsidP="00BC1873">
      <w:pPr>
        <w:rPr>
          <w:rFonts w:cs="Arial"/>
        </w:rPr>
      </w:pPr>
    </w:p>
    <w:p w:rsidR="00BC1873" w:rsidRPr="00515A3E" w:rsidRDefault="00BC1873" w:rsidP="00BC1873">
      <w:pPr>
        <w:rPr>
          <w:rFonts w:cs="Arial"/>
        </w:rPr>
      </w:pPr>
      <w:r w:rsidRPr="00515A3E">
        <w:t xml:space="preserve">Informationen zu den Züchterrechten wie das Register der Sortenschutzanträge, das Register der geschützten Sorten und andere Informationen in Verbindung mit dem Sortenschutz sowie der Nationale Sortenkatalog der Republik Serbien (Nationale Liste) sind auf der Webseite des Ministeriums für Landwirtschaft und Umweltschutz - Pflanzenschutzdirektorat verfügbar: </w:t>
      </w:r>
    </w:p>
    <w:p w:rsidR="00BC1873" w:rsidRPr="00515A3E" w:rsidRDefault="004D195E" w:rsidP="00BC1873">
      <w:pPr>
        <w:rPr>
          <w:rFonts w:cs="Arial"/>
        </w:rPr>
      </w:pPr>
      <w:hyperlink r:id="rId35">
        <w:r w:rsidR="00BC1873" w:rsidRPr="00515A3E">
          <w:rPr>
            <w:rStyle w:val="Hyperlink"/>
          </w:rPr>
          <w:t>www.uzb.minpolj.gov.rs/index.php?lang=en</w:t>
        </w:r>
      </w:hyperlink>
    </w:p>
    <w:p w:rsidR="00BC1873" w:rsidRPr="00515A3E" w:rsidRDefault="004D195E" w:rsidP="00BC1873">
      <w:pPr>
        <w:rPr>
          <w:rFonts w:cs="Arial"/>
        </w:rPr>
      </w:pPr>
      <w:hyperlink r:id="rId36">
        <w:r w:rsidR="00BC1873" w:rsidRPr="00515A3E">
          <w:rPr>
            <w:rStyle w:val="Hyperlink"/>
          </w:rPr>
          <w:t>www.uzb.minpolj.gov.rs/index.php?option=com_content&amp;view=article&amp;id=61&amp;Itemid=14&amp;lang=en</w:t>
        </w:r>
      </w:hyperlink>
    </w:p>
    <w:p w:rsidR="00BC1873" w:rsidRPr="00515A3E" w:rsidRDefault="00BC1873" w:rsidP="00BC1873"/>
    <w:p w:rsidR="00C517EE" w:rsidRPr="000155A2" w:rsidRDefault="00C517EE" w:rsidP="00C517EE">
      <w:pPr>
        <w:rPr>
          <w:rFonts w:cs="Arial"/>
        </w:rPr>
      </w:pPr>
    </w:p>
    <w:p w:rsidR="00C517EE" w:rsidRPr="000155A2" w:rsidRDefault="00C517EE" w:rsidP="00C517EE">
      <w:pPr>
        <w:rPr>
          <w:rFonts w:cs="Arial"/>
        </w:rPr>
      </w:pPr>
    </w:p>
    <w:p w:rsidR="00C517EE" w:rsidRPr="0075031D" w:rsidRDefault="00DB5AC1" w:rsidP="00C517EE">
      <w:pPr>
        <w:jc w:val="right"/>
      </w:pPr>
      <w:r>
        <w:t>[Anlage</w:t>
      </w:r>
      <w:r w:rsidR="00C517EE" w:rsidRPr="0075031D">
        <w:t xml:space="preserve"> </w:t>
      </w:r>
      <w:r w:rsidR="00C517EE">
        <w:t>XV</w:t>
      </w:r>
      <w:r w:rsidR="00C517EE" w:rsidRPr="0075031D">
        <w:t xml:space="preserve"> </w:t>
      </w:r>
      <w:r>
        <w:t>folgt]</w:t>
      </w:r>
    </w:p>
    <w:p w:rsidR="00C517EE" w:rsidRPr="0075031D" w:rsidRDefault="00C517EE" w:rsidP="00C517EE">
      <w:pPr>
        <w:jc w:val="left"/>
      </w:pPr>
    </w:p>
    <w:p w:rsidR="00C517EE" w:rsidRDefault="00C517EE" w:rsidP="00C517EE">
      <w:pPr>
        <w:jc w:val="left"/>
        <w:sectPr w:rsidR="00C517EE" w:rsidSect="00371832">
          <w:headerReference w:type="default" r:id="rId37"/>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w:t>
      </w:r>
      <w:r w:rsidR="00C517EE">
        <w:t>XV</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t>SCHWEIZ</w:t>
      </w:r>
    </w:p>
    <w:p w:rsidR="00C517EE" w:rsidRDefault="00C517EE" w:rsidP="00C517EE">
      <w:pPr>
        <w:jc w:val="left"/>
      </w:pPr>
    </w:p>
    <w:p w:rsidR="00C517EE" w:rsidRDefault="00C517EE" w:rsidP="00C517EE">
      <w:pPr>
        <w:jc w:val="left"/>
      </w:pPr>
    </w:p>
    <w:p w:rsidR="005967A4" w:rsidRPr="00DF7A98" w:rsidRDefault="005967A4" w:rsidP="005967A4">
      <w:r w:rsidRPr="00DF7A98">
        <w:t>I.</w:t>
      </w:r>
      <w:r w:rsidRPr="00DF7A98">
        <w:tab/>
        <w:t>SORTENSCHUTZ</w:t>
      </w:r>
    </w:p>
    <w:p w:rsidR="005967A4" w:rsidRDefault="005967A4" w:rsidP="005967A4"/>
    <w:p w:rsidR="005967A4" w:rsidRPr="00DF7A98" w:rsidRDefault="005967A4" w:rsidP="005967A4">
      <w:pPr>
        <w:rPr>
          <w:u w:val="single"/>
        </w:rPr>
      </w:pPr>
      <w:r w:rsidRPr="00DF7A98">
        <w:t>1.</w:t>
      </w:r>
      <w:r w:rsidRPr="00DF7A98">
        <w:tab/>
      </w:r>
      <w:r w:rsidRPr="00DF7A98">
        <w:rPr>
          <w:u w:val="single"/>
        </w:rPr>
        <w:t>Lage auf dem Gebiet der Gesetzgebung</w:t>
      </w:r>
    </w:p>
    <w:p w:rsidR="005967A4" w:rsidRPr="00DF7A98" w:rsidRDefault="005967A4" w:rsidP="005967A4"/>
    <w:p w:rsidR="005967A4" w:rsidRDefault="005967A4" w:rsidP="005967A4">
      <w:r>
        <w:t>1.1</w:t>
      </w:r>
      <w:r>
        <w:tab/>
        <w:t>Änderungen des Gesetzes und der Ausführungsvorschriften</w:t>
      </w:r>
    </w:p>
    <w:p w:rsidR="005967A4" w:rsidRDefault="005967A4" w:rsidP="005967A4"/>
    <w:p w:rsidR="005967A4" w:rsidRDefault="005967A4" w:rsidP="005967A4">
      <w:r>
        <w:t xml:space="preserve">Im vergangenen Jahr hat es im Bereich Sortenschutz keine Änderung der Rechtsgrundlagen gegeben. </w:t>
      </w:r>
    </w:p>
    <w:p w:rsidR="005967A4" w:rsidRDefault="005967A4" w:rsidP="005967A4"/>
    <w:p w:rsidR="005967A4" w:rsidRDefault="005967A4" w:rsidP="005967A4">
      <w:r>
        <w:t>1.2</w:t>
      </w:r>
      <w:r>
        <w:tab/>
        <w:t>Erstreckung des Schutzes auf weitere Gattungen und Arten</w:t>
      </w:r>
    </w:p>
    <w:p w:rsidR="005967A4" w:rsidRDefault="005967A4" w:rsidP="005967A4"/>
    <w:p w:rsidR="005967A4" w:rsidRDefault="005967A4" w:rsidP="005967A4">
      <w:r>
        <w:t xml:space="preserve">In der Schweiz können Sorten aller Gattungen und Arten geschützt werden. </w:t>
      </w:r>
    </w:p>
    <w:p w:rsidR="005967A4" w:rsidRDefault="005967A4" w:rsidP="005967A4"/>
    <w:p w:rsidR="005967A4" w:rsidRDefault="005967A4" w:rsidP="005967A4">
      <w:r>
        <w:t>1.3</w:t>
      </w:r>
      <w:r>
        <w:tab/>
        <w:t>Rechtsprechung</w:t>
      </w:r>
    </w:p>
    <w:p w:rsidR="005967A4" w:rsidRDefault="005967A4" w:rsidP="005967A4"/>
    <w:p w:rsidR="005967A4" w:rsidRDefault="005967A4" w:rsidP="005967A4">
      <w:r>
        <w:t>Unseres Wissens sind im vergangenen Jahr keine Urteile betreffend den Sortenschutz ergangen.</w:t>
      </w:r>
    </w:p>
    <w:p w:rsidR="005967A4" w:rsidRDefault="005967A4" w:rsidP="005967A4"/>
    <w:p w:rsidR="005967A4" w:rsidRDefault="005967A4" w:rsidP="005967A4"/>
    <w:p w:rsidR="005967A4" w:rsidRPr="00DF7A98" w:rsidRDefault="005967A4" w:rsidP="005967A4">
      <w:r w:rsidRPr="00DF7A98">
        <w:t>2.</w:t>
      </w:r>
      <w:r w:rsidRPr="00DF7A98">
        <w:tab/>
      </w:r>
      <w:r w:rsidRPr="00DF7A98">
        <w:rPr>
          <w:u w:val="single"/>
        </w:rPr>
        <w:t>Zusammenarbeit bei der Prüfung</w:t>
      </w:r>
    </w:p>
    <w:p w:rsidR="005967A4" w:rsidRPr="00DF7A98" w:rsidRDefault="005967A4" w:rsidP="005967A4"/>
    <w:p w:rsidR="005967A4" w:rsidRPr="00DF7A98" w:rsidRDefault="005967A4" w:rsidP="005967A4">
      <w:r w:rsidRPr="00501147">
        <w:t>Keine Änderungen. In der Schweiz werden keine Prüfungen durchgeführt, diese werden immer im Ausland in Auftrag gegeben bzw. vorhandene Prüfungsberichte übernommen.</w:t>
      </w:r>
    </w:p>
    <w:p w:rsidR="005967A4" w:rsidRDefault="005967A4" w:rsidP="005967A4"/>
    <w:p w:rsidR="005967A4" w:rsidRDefault="005967A4" w:rsidP="005967A4"/>
    <w:p w:rsidR="005967A4" w:rsidRPr="00DF7A98" w:rsidRDefault="005967A4" w:rsidP="005967A4">
      <w:pPr>
        <w:rPr>
          <w:u w:val="single"/>
        </w:rPr>
      </w:pPr>
      <w:r w:rsidRPr="00DF7A98">
        <w:t>3.</w:t>
      </w:r>
      <w:r w:rsidRPr="00DF7A98">
        <w:tab/>
      </w:r>
      <w:r w:rsidRPr="00DF7A98">
        <w:rPr>
          <w:u w:val="single"/>
        </w:rPr>
        <w:t>Lage auf dem Gebiet der Verwaltung</w:t>
      </w:r>
    </w:p>
    <w:p w:rsidR="005967A4" w:rsidRPr="00DF7A98" w:rsidRDefault="005967A4" w:rsidP="005967A4"/>
    <w:p w:rsidR="005967A4" w:rsidRDefault="005967A4" w:rsidP="005967A4">
      <w:r w:rsidRPr="00501147">
        <w:t>Keine Neuigkeiten</w:t>
      </w:r>
      <w:r>
        <w:t>.</w:t>
      </w:r>
    </w:p>
    <w:p w:rsidR="005967A4" w:rsidRDefault="005967A4" w:rsidP="005967A4"/>
    <w:p w:rsidR="005967A4" w:rsidRPr="00DF7A98" w:rsidRDefault="005967A4" w:rsidP="005967A4"/>
    <w:p w:rsidR="005967A4" w:rsidRPr="00DF7A98" w:rsidRDefault="005967A4" w:rsidP="005967A4">
      <w:pPr>
        <w:rPr>
          <w:u w:val="single"/>
        </w:rPr>
      </w:pPr>
      <w:r w:rsidRPr="00DF7A98">
        <w:t>4.</w:t>
      </w:r>
      <w:r w:rsidRPr="00DF7A98">
        <w:tab/>
      </w:r>
      <w:r w:rsidRPr="00DF7A98">
        <w:rPr>
          <w:u w:val="single"/>
        </w:rPr>
        <w:t>Lage auf dem Gebiet der Technik</w:t>
      </w:r>
    </w:p>
    <w:p w:rsidR="005967A4" w:rsidRPr="00DF7A98" w:rsidRDefault="005967A4" w:rsidP="005967A4"/>
    <w:p w:rsidR="005967A4" w:rsidRDefault="005967A4" w:rsidP="005967A4">
      <w:r w:rsidRPr="00DF7A98">
        <w:t>Keine Bemerkungen, da in der Schweiz keine Prüfungen durchgeführt werden.</w:t>
      </w:r>
    </w:p>
    <w:p w:rsidR="005967A4" w:rsidRDefault="005967A4" w:rsidP="005967A4"/>
    <w:p w:rsidR="005967A4" w:rsidRPr="00DF7A98" w:rsidRDefault="005967A4" w:rsidP="005967A4"/>
    <w:p w:rsidR="005967A4" w:rsidRPr="00DF7A98" w:rsidRDefault="005967A4" w:rsidP="005967A4">
      <w:r w:rsidRPr="00DF7A98">
        <w:t>5.</w:t>
      </w:r>
      <w:r w:rsidRPr="00DF7A98">
        <w:tab/>
      </w:r>
      <w:r w:rsidRPr="00DF7A98">
        <w:rPr>
          <w:u w:val="single"/>
        </w:rPr>
        <w:t>Tätigkeiten zur Förderung des Sortenschutzes</w:t>
      </w:r>
    </w:p>
    <w:p w:rsidR="005967A4" w:rsidRPr="00DF7A98" w:rsidRDefault="005967A4" w:rsidP="005967A4"/>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1"/>
        <w:gridCol w:w="679"/>
        <w:gridCol w:w="1021"/>
        <w:gridCol w:w="1558"/>
        <w:gridCol w:w="2077"/>
        <w:gridCol w:w="1843"/>
        <w:gridCol w:w="1559"/>
      </w:tblGrid>
      <w:tr w:rsidR="005967A4" w:rsidTr="00AF7FF3">
        <w:tc>
          <w:tcPr>
            <w:tcW w:w="1101" w:type="dxa"/>
            <w:tcBorders>
              <w:top w:val="single" w:sz="4" w:space="0" w:color="auto"/>
              <w:left w:val="single" w:sz="4" w:space="0" w:color="auto"/>
              <w:bottom w:val="single" w:sz="4" w:space="0" w:color="auto"/>
              <w:right w:val="single" w:sz="4" w:space="0" w:color="auto"/>
            </w:tcBorders>
            <w:hideMark/>
          </w:tcPr>
          <w:p w:rsidR="005967A4" w:rsidRDefault="005967A4" w:rsidP="00AF7FF3">
            <w:pPr>
              <w:jc w:val="left"/>
              <w:rPr>
                <w:sz w:val="18"/>
                <w:szCs w:val="26"/>
                <w:lang w:val="en-US"/>
              </w:rPr>
            </w:pPr>
            <w:r>
              <w:rPr>
                <w:sz w:val="18"/>
              </w:rPr>
              <w:t>Art der Tätigkeit</w:t>
            </w:r>
          </w:p>
        </w:tc>
        <w:tc>
          <w:tcPr>
            <w:tcW w:w="679" w:type="dxa"/>
            <w:tcBorders>
              <w:top w:val="single" w:sz="4" w:space="0" w:color="auto"/>
              <w:left w:val="single" w:sz="4" w:space="0" w:color="auto"/>
              <w:bottom w:val="single" w:sz="4" w:space="0" w:color="auto"/>
              <w:right w:val="single" w:sz="4" w:space="0" w:color="auto"/>
            </w:tcBorders>
            <w:hideMark/>
          </w:tcPr>
          <w:p w:rsidR="005967A4" w:rsidRDefault="005967A4" w:rsidP="00AF7FF3">
            <w:pPr>
              <w:jc w:val="left"/>
              <w:rPr>
                <w:sz w:val="18"/>
              </w:rPr>
            </w:pPr>
            <w:r>
              <w:rPr>
                <w:sz w:val="18"/>
              </w:rPr>
              <w:t>Datum</w:t>
            </w:r>
          </w:p>
        </w:tc>
        <w:tc>
          <w:tcPr>
            <w:tcW w:w="1021" w:type="dxa"/>
            <w:tcBorders>
              <w:top w:val="single" w:sz="4" w:space="0" w:color="auto"/>
              <w:left w:val="single" w:sz="4" w:space="0" w:color="auto"/>
              <w:bottom w:val="single" w:sz="4" w:space="0" w:color="auto"/>
              <w:right w:val="single" w:sz="4" w:space="0" w:color="auto"/>
            </w:tcBorders>
            <w:hideMark/>
          </w:tcPr>
          <w:p w:rsidR="005967A4" w:rsidRDefault="005967A4" w:rsidP="00AF7FF3">
            <w:pPr>
              <w:jc w:val="left"/>
              <w:rPr>
                <w:sz w:val="18"/>
              </w:rPr>
            </w:pPr>
            <w:r>
              <w:rPr>
                <w:sz w:val="18"/>
              </w:rPr>
              <w:t>Ort</w:t>
            </w:r>
          </w:p>
        </w:tc>
        <w:tc>
          <w:tcPr>
            <w:tcW w:w="1558" w:type="dxa"/>
            <w:tcBorders>
              <w:top w:val="single" w:sz="4" w:space="0" w:color="auto"/>
              <w:left w:val="single" w:sz="4" w:space="0" w:color="auto"/>
              <w:bottom w:val="single" w:sz="4" w:space="0" w:color="auto"/>
              <w:right w:val="single" w:sz="4" w:space="0" w:color="auto"/>
            </w:tcBorders>
            <w:hideMark/>
          </w:tcPr>
          <w:p w:rsidR="005967A4" w:rsidRDefault="005967A4" w:rsidP="00AF7FF3">
            <w:pPr>
              <w:jc w:val="left"/>
              <w:rPr>
                <w:sz w:val="18"/>
              </w:rPr>
            </w:pPr>
            <w:r>
              <w:rPr>
                <w:sz w:val="18"/>
              </w:rPr>
              <w:t>Organisator(en)</w:t>
            </w:r>
          </w:p>
        </w:tc>
        <w:tc>
          <w:tcPr>
            <w:tcW w:w="2077" w:type="dxa"/>
            <w:tcBorders>
              <w:top w:val="single" w:sz="4" w:space="0" w:color="auto"/>
              <w:left w:val="single" w:sz="4" w:space="0" w:color="auto"/>
              <w:bottom w:val="single" w:sz="4" w:space="0" w:color="auto"/>
              <w:right w:val="single" w:sz="4" w:space="0" w:color="auto"/>
            </w:tcBorders>
            <w:hideMark/>
          </w:tcPr>
          <w:p w:rsidR="005967A4" w:rsidRDefault="005967A4" w:rsidP="00AF7FF3">
            <w:pPr>
              <w:jc w:val="left"/>
              <w:rPr>
                <w:sz w:val="18"/>
              </w:rPr>
            </w:pPr>
            <w:r>
              <w:rPr>
                <w:sz w:val="18"/>
              </w:rPr>
              <w:t>Zweck der Tätigkeit</w:t>
            </w:r>
          </w:p>
        </w:tc>
        <w:tc>
          <w:tcPr>
            <w:tcW w:w="1843" w:type="dxa"/>
            <w:tcBorders>
              <w:top w:val="single" w:sz="4" w:space="0" w:color="auto"/>
              <w:left w:val="single" w:sz="4" w:space="0" w:color="auto"/>
              <w:bottom w:val="single" w:sz="4" w:space="0" w:color="auto"/>
              <w:right w:val="single" w:sz="4" w:space="0" w:color="auto"/>
            </w:tcBorders>
            <w:hideMark/>
          </w:tcPr>
          <w:p w:rsidR="005967A4" w:rsidRDefault="005967A4" w:rsidP="00AF7FF3">
            <w:pPr>
              <w:jc w:val="left"/>
              <w:rPr>
                <w:sz w:val="18"/>
              </w:rPr>
            </w:pPr>
            <w:r>
              <w:rPr>
                <w:sz w:val="18"/>
              </w:rPr>
              <w:t>Teilnehmende Staaten/ Organisationen (Zahl der Teilnehmer pro Staat/Organisation)</w:t>
            </w:r>
          </w:p>
        </w:tc>
        <w:tc>
          <w:tcPr>
            <w:tcW w:w="1559" w:type="dxa"/>
            <w:tcBorders>
              <w:top w:val="single" w:sz="4" w:space="0" w:color="auto"/>
              <w:left w:val="single" w:sz="4" w:space="0" w:color="auto"/>
              <w:bottom w:val="single" w:sz="4" w:space="0" w:color="auto"/>
              <w:right w:val="single" w:sz="4" w:space="0" w:color="auto"/>
            </w:tcBorders>
            <w:hideMark/>
          </w:tcPr>
          <w:p w:rsidR="005967A4" w:rsidRDefault="005967A4" w:rsidP="00AF7FF3">
            <w:pPr>
              <w:jc w:val="left"/>
              <w:rPr>
                <w:sz w:val="18"/>
                <w:lang w:val="en-US"/>
              </w:rPr>
            </w:pPr>
            <w:r>
              <w:rPr>
                <w:sz w:val="18"/>
              </w:rPr>
              <w:t>Kommentare</w:t>
            </w:r>
          </w:p>
        </w:tc>
      </w:tr>
      <w:tr w:rsidR="005967A4" w:rsidTr="00AF7FF3">
        <w:tc>
          <w:tcPr>
            <w:tcW w:w="1101" w:type="dxa"/>
            <w:tcBorders>
              <w:top w:val="single" w:sz="4" w:space="0" w:color="auto"/>
              <w:left w:val="single" w:sz="4" w:space="0" w:color="auto"/>
              <w:bottom w:val="single" w:sz="4" w:space="0" w:color="auto"/>
              <w:right w:val="single" w:sz="4" w:space="0" w:color="auto"/>
            </w:tcBorders>
          </w:tcPr>
          <w:p w:rsidR="005967A4" w:rsidRPr="004A42C6" w:rsidRDefault="005967A4" w:rsidP="00AF7FF3">
            <w:pPr>
              <w:jc w:val="left"/>
              <w:rPr>
                <w:sz w:val="18"/>
                <w:szCs w:val="18"/>
              </w:rPr>
            </w:pPr>
            <w:r w:rsidRPr="004A42C6">
              <w:rPr>
                <w:sz w:val="18"/>
                <w:szCs w:val="18"/>
              </w:rPr>
              <w:t>1.</w:t>
            </w:r>
          </w:p>
          <w:p w:rsidR="005967A4" w:rsidRPr="004A42C6" w:rsidRDefault="005967A4" w:rsidP="00AF7FF3">
            <w:pPr>
              <w:jc w:val="left"/>
              <w:rPr>
                <w:sz w:val="18"/>
                <w:szCs w:val="18"/>
              </w:rPr>
            </w:pPr>
          </w:p>
        </w:tc>
        <w:tc>
          <w:tcPr>
            <w:tcW w:w="679" w:type="dxa"/>
            <w:tcBorders>
              <w:top w:val="single" w:sz="4" w:space="0" w:color="auto"/>
              <w:left w:val="single" w:sz="4" w:space="0" w:color="auto"/>
              <w:bottom w:val="single" w:sz="4" w:space="0" w:color="auto"/>
              <w:right w:val="single" w:sz="4" w:space="0" w:color="auto"/>
            </w:tcBorders>
          </w:tcPr>
          <w:p w:rsidR="005967A4" w:rsidRPr="004A42C6" w:rsidRDefault="005967A4" w:rsidP="00AF7FF3">
            <w:pPr>
              <w:jc w:val="left"/>
              <w:rPr>
                <w:sz w:val="18"/>
                <w:szCs w:val="18"/>
              </w:rPr>
            </w:pPr>
            <w:r w:rsidRPr="004A42C6">
              <w:rPr>
                <w:sz w:val="18"/>
                <w:szCs w:val="18"/>
              </w:rPr>
              <w:t>2015</w:t>
            </w:r>
          </w:p>
        </w:tc>
        <w:tc>
          <w:tcPr>
            <w:tcW w:w="1021" w:type="dxa"/>
            <w:tcBorders>
              <w:top w:val="single" w:sz="4" w:space="0" w:color="auto"/>
              <w:left w:val="single" w:sz="4" w:space="0" w:color="auto"/>
              <w:bottom w:val="single" w:sz="4" w:space="0" w:color="auto"/>
              <w:right w:val="single" w:sz="4" w:space="0" w:color="auto"/>
            </w:tcBorders>
          </w:tcPr>
          <w:p w:rsidR="005967A4" w:rsidRPr="004A42C6" w:rsidRDefault="005967A4" w:rsidP="00AF7FF3">
            <w:pPr>
              <w:jc w:val="left"/>
              <w:rPr>
                <w:sz w:val="18"/>
                <w:szCs w:val="18"/>
              </w:rPr>
            </w:pPr>
            <w:r w:rsidRPr="004A42C6">
              <w:rPr>
                <w:sz w:val="18"/>
                <w:szCs w:val="18"/>
              </w:rPr>
              <w:t>Bern</w:t>
            </w:r>
          </w:p>
        </w:tc>
        <w:tc>
          <w:tcPr>
            <w:tcW w:w="1558" w:type="dxa"/>
            <w:tcBorders>
              <w:top w:val="single" w:sz="4" w:space="0" w:color="auto"/>
              <w:left w:val="single" w:sz="4" w:space="0" w:color="auto"/>
              <w:bottom w:val="single" w:sz="4" w:space="0" w:color="auto"/>
              <w:right w:val="single" w:sz="4" w:space="0" w:color="auto"/>
            </w:tcBorders>
          </w:tcPr>
          <w:p w:rsidR="005967A4" w:rsidRPr="004A42C6" w:rsidRDefault="005967A4" w:rsidP="00AF7FF3">
            <w:pPr>
              <w:jc w:val="left"/>
              <w:rPr>
                <w:sz w:val="18"/>
                <w:szCs w:val="18"/>
              </w:rPr>
            </w:pPr>
            <w:r w:rsidRPr="004A42C6">
              <w:rPr>
                <w:sz w:val="18"/>
                <w:szCs w:val="18"/>
              </w:rPr>
              <w:t>BLW</w:t>
            </w:r>
          </w:p>
        </w:tc>
        <w:tc>
          <w:tcPr>
            <w:tcW w:w="2077" w:type="dxa"/>
            <w:tcBorders>
              <w:top w:val="single" w:sz="4" w:space="0" w:color="auto"/>
              <w:left w:val="single" w:sz="4" w:space="0" w:color="auto"/>
              <w:bottom w:val="single" w:sz="4" w:space="0" w:color="auto"/>
              <w:right w:val="single" w:sz="4" w:space="0" w:color="auto"/>
            </w:tcBorders>
          </w:tcPr>
          <w:p w:rsidR="005967A4" w:rsidRPr="00347219" w:rsidRDefault="005967A4" w:rsidP="00AF7FF3">
            <w:pPr>
              <w:pStyle w:val="Default"/>
              <w:rPr>
                <w:sz w:val="18"/>
                <w:szCs w:val="18"/>
                <w:lang w:val="de-DE"/>
              </w:rPr>
            </w:pPr>
            <w:r w:rsidRPr="00347219">
              <w:rPr>
                <w:bCs/>
                <w:sz w:val="18"/>
                <w:szCs w:val="18"/>
                <w:lang w:val="de-DE"/>
              </w:rPr>
              <w:t xml:space="preserve">Langfristig stabile Rahmenbedingungen für die Pflanzenzüchtung schaffen: </w:t>
            </w:r>
            <w:r w:rsidRPr="00347219">
              <w:rPr>
                <w:sz w:val="18"/>
                <w:szCs w:val="18"/>
                <w:lang w:val="de-DE"/>
              </w:rPr>
              <w:t xml:space="preserve">Sicherstellung der Abgeltung züchterischer Leistungen. </w:t>
            </w:r>
          </w:p>
        </w:tc>
        <w:tc>
          <w:tcPr>
            <w:tcW w:w="1843" w:type="dxa"/>
            <w:tcBorders>
              <w:top w:val="single" w:sz="4" w:space="0" w:color="auto"/>
              <w:left w:val="single" w:sz="4" w:space="0" w:color="auto"/>
              <w:bottom w:val="single" w:sz="4" w:space="0" w:color="auto"/>
              <w:right w:val="single" w:sz="4" w:space="0" w:color="auto"/>
            </w:tcBorders>
          </w:tcPr>
          <w:p w:rsidR="005967A4" w:rsidRPr="004A42C6" w:rsidRDefault="005967A4" w:rsidP="00AF7FF3">
            <w:pPr>
              <w:jc w:val="left"/>
              <w:rPr>
                <w:sz w:val="18"/>
                <w:szCs w:val="18"/>
              </w:rPr>
            </w:pPr>
            <w:r w:rsidRPr="004A42C6">
              <w:rPr>
                <w:sz w:val="18"/>
                <w:szCs w:val="18"/>
              </w:rPr>
              <w:t>Wichtige Anspruchsgruppen in der Schweiz, die mit der Pflanzenzüchtung zu tun haben.</w:t>
            </w:r>
          </w:p>
        </w:tc>
        <w:tc>
          <w:tcPr>
            <w:tcW w:w="1559" w:type="dxa"/>
            <w:tcBorders>
              <w:top w:val="single" w:sz="4" w:space="0" w:color="auto"/>
              <w:left w:val="single" w:sz="4" w:space="0" w:color="auto"/>
              <w:bottom w:val="single" w:sz="4" w:space="0" w:color="auto"/>
              <w:right w:val="single" w:sz="4" w:space="0" w:color="auto"/>
            </w:tcBorders>
          </w:tcPr>
          <w:p w:rsidR="005967A4" w:rsidRPr="004A42C6" w:rsidRDefault="005967A4" w:rsidP="00AF7FF3">
            <w:pPr>
              <w:jc w:val="left"/>
              <w:rPr>
                <w:sz w:val="18"/>
                <w:szCs w:val="18"/>
              </w:rPr>
            </w:pPr>
            <w:r>
              <w:rPr>
                <w:sz w:val="18"/>
                <w:szCs w:val="18"/>
              </w:rPr>
              <w:t xml:space="preserve">Strategische </w:t>
            </w:r>
            <w:proofErr w:type="spellStart"/>
            <w:r>
              <w:rPr>
                <w:sz w:val="18"/>
                <w:szCs w:val="18"/>
              </w:rPr>
              <w:t>Stossrichtung</w:t>
            </w:r>
            <w:proofErr w:type="spellEnd"/>
            <w:r>
              <w:rPr>
                <w:sz w:val="18"/>
                <w:szCs w:val="18"/>
              </w:rPr>
              <w:t xml:space="preserve"> im Kontext</w:t>
            </w:r>
            <w:r w:rsidRPr="004A42C6">
              <w:rPr>
                <w:sz w:val="18"/>
                <w:szCs w:val="18"/>
              </w:rPr>
              <w:t xml:space="preserve"> der Entwicklung einer Pflanzenzüchtungsstrategie Schweiz</w:t>
            </w:r>
          </w:p>
        </w:tc>
      </w:tr>
      <w:tr w:rsidR="005967A4" w:rsidTr="00AF7FF3">
        <w:tc>
          <w:tcPr>
            <w:tcW w:w="1101" w:type="dxa"/>
            <w:tcBorders>
              <w:top w:val="single" w:sz="4" w:space="0" w:color="auto"/>
              <w:left w:val="single" w:sz="4" w:space="0" w:color="auto"/>
              <w:bottom w:val="single" w:sz="4" w:space="0" w:color="auto"/>
              <w:right w:val="single" w:sz="4" w:space="0" w:color="auto"/>
            </w:tcBorders>
          </w:tcPr>
          <w:p w:rsidR="005967A4" w:rsidRDefault="005967A4" w:rsidP="00AF7FF3">
            <w:pPr>
              <w:jc w:val="left"/>
              <w:rPr>
                <w:sz w:val="18"/>
              </w:rPr>
            </w:pPr>
            <w:r>
              <w:rPr>
                <w:sz w:val="18"/>
              </w:rPr>
              <w:t>2.</w:t>
            </w:r>
          </w:p>
          <w:p w:rsidR="005967A4" w:rsidRDefault="005967A4" w:rsidP="00AF7FF3">
            <w:pPr>
              <w:jc w:val="left"/>
              <w:rPr>
                <w:sz w:val="18"/>
              </w:rPr>
            </w:pPr>
          </w:p>
        </w:tc>
        <w:tc>
          <w:tcPr>
            <w:tcW w:w="679" w:type="dxa"/>
            <w:tcBorders>
              <w:top w:val="single" w:sz="4" w:space="0" w:color="auto"/>
              <w:left w:val="single" w:sz="4" w:space="0" w:color="auto"/>
              <w:bottom w:val="single" w:sz="4" w:space="0" w:color="auto"/>
              <w:right w:val="single" w:sz="4" w:space="0" w:color="auto"/>
            </w:tcBorders>
          </w:tcPr>
          <w:p w:rsidR="005967A4" w:rsidRDefault="005967A4" w:rsidP="00AF7FF3">
            <w:pPr>
              <w:jc w:val="left"/>
              <w:rPr>
                <w:sz w:val="18"/>
              </w:rPr>
            </w:pPr>
            <w:r>
              <w:rPr>
                <w:sz w:val="18"/>
              </w:rPr>
              <w:t>30.03.2015</w:t>
            </w:r>
          </w:p>
        </w:tc>
        <w:tc>
          <w:tcPr>
            <w:tcW w:w="1021" w:type="dxa"/>
            <w:tcBorders>
              <w:top w:val="single" w:sz="4" w:space="0" w:color="auto"/>
              <w:left w:val="single" w:sz="4" w:space="0" w:color="auto"/>
              <w:bottom w:val="single" w:sz="4" w:space="0" w:color="auto"/>
              <w:right w:val="single" w:sz="4" w:space="0" w:color="auto"/>
            </w:tcBorders>
          </w:tcPr>
          <w:p w:rsidR="005967A4" w:rsidRDefault="005967A4" w:rsidP="00AF7FF3">
            <w:pPr>
              <w:jc w:val="left"/>
              <w:rPr>
                <w:sz w:val="18"/>
              </w:rPr>
            </w:pPr>
            <w:r>
              <w:rPr>
                <w:sz w:val="18"/>
              </w:rPr>
              <w:t>Bern</w:t>
            </w:r>
          </w:p>
        </w:tc>
        <w:tc>
          <w:tcPr>
            <w:tcW w:w="1558" w:type="dxa"/>
            <w:tcBorders>
              <w:top w:val="single" w:sz="4" w:space="0" w:color="auto"/>
              <w:left w:val="single" w:sz="4" w:space="0" w:color="auto"/>
              <w:bottom w:val="single" w:sz="4" w:space="0" w:color="auto"/>
              <w:right w:val="single" w:sz="4" w:space="0" w:color="auto"/>
            </w:tcBorders>
          </w:tcPr>
          <w:p w:rsidR="005967A4" w:rsidRDefault="005967A4" w:rsidP="00AF7FF3">
            <w:pPr>
              <w:jc w:val="left"/>
              <w:rPr>
                <w:sz w:val="18"/>
              </w:rPr>
            </w:pPr>
            <w:r>
              <w:rPr>
                <w:sz w:val="18"/>
              </w:rPr>
              <w:t>BLW</w:t>
            </w:r>
          </w:p>
        </w:tc>
        <w:tc>
          <w:tcPr>
            <w:tcW w:w="2077" w:type="dxa"/>
            <w:tcBorders>
              <w:top w:val="single" w:sz="4" w:space="0" w:color="auto"/>
              <w:left w:val="single" w:sz="4" w:space="0" w:color="auto"/>
              <w:bottom w:val="single" w:sz="4" w:space="0" w:color="auto"/>
              <w:right w:val="single" w:sz="4" w:space="0" w:color="auto"/>
            </w:tcBorders>
          </w:tcPr>
          <w:p w:rsidR="005967A4" w:rsidRDefault="005967A4" w:rsidP="00AF7FF3">
            <w:pPr>
              <w:jc w:val="left"/>
              <w:rPr>
                <w:sz w:val="18"/>
              </w:rPr>
            </w:pPr>
            <w:r>
              <w:rPr>
                <w:sz w:val="18"/>
              </w:rPr>
              <w:t>Informieren, wie die Administration des Sortenschutzes in der CH funktioniert.</w:t>
            </w:r>
          </w:p>
        </w:tc>
        <w:tc>
          <w:tcPr>
            <w:tcW w:w="1843" w:type="dxa"/>
            <w:tcBorders>
              <w:top w:val="single" w:sz="4" w:space="0" w:color="auto"/>
              <w:left w:val="single" w:sz="4" w:space="0" w:color="auto"/>
              <w:bottom w:val="single" w:sz="4" w:space="0" w:color="auto"/>
              <w:right w:val="single" w:sz="4" w:space="0" w:color="auto"/>
            </w:tcBorders>
          </w:tcPr>
          <w:p w:rsidR="005967A4" w:rsidRDefault="005967A4" w:rsidP="00AF7FF3">
            <w:pPr>
              <w:jc w:val="left"/>
              <w:rPr>
                <w:sz w:val="18"/>
              </w:rPr>
            </w:pPr>
            <w:r>
              <w:rPr>
                <w:sz w:val="18"/>
              </w:rPr>
              <w:t>OAPI, 2 Personen</w:t>
            </w:r>
            <w:r>
              <w:rPr>
                <w:sz w:val="18"/>
              </w:rPr>
              <w:br/>
              <w:t>UPOV, 1 Person</w:t>
            </w:r>
          </w:p>
          <w:p w:rsidR="005967A4" w:rsidRDefault="005967A4" w:rsidP="00AF7FF3">
            <w:pPr>
              <w:jc w:val="left"/>
              <w:rPr>
                <w:sz w:val="18"/>
              </w:rPr>
            </w:pPr>
          </w:p>
        </w:tc>
        <w:tc>
          <w:tcPr>
            <w:tcW w:w="1559" w:type="dxa"/>
            <w:tcBorders>
              <w:top w:val="single" w:sz="4" w:space="0" w:color="auto"/>
              <w:left w:val="single" w:sz="4" w:space="0" w:color="auto"/>
              <w:bottom w:val="single" w:sz="4" w:space="0" w:color="auto"/>
              <w:right w:val="single" w:sz="4" w:space="0" w:color="auto"/>
            </w:tcBorders>
          </w:tcPr>
          <w:p w:rsidR="005967A4" w:rsidRDefault="005967A4" w:rsidP="00AF7FF3">
            <w:pPr>
              <w:jc w:val="left"/>
              <w:rPr>
                <w:sz w:val="18"/>
              </w:rPr>
            </w:pPr>
          </w:p>
        </w:tc>
      </w:tr>
    </w:tbl>
    <w:p w:rsidR="005967A4" w:rsidRDefault="005967A4" w:rsidP="005967A4"/>
    <w:p w:rsidR="005967A4" w:rsidRPr="00DF7A98" w:rsidRDefault="005967A4" w:rsidP="005967A4"/>
    <w:p w:rsidR="005967A4" w:rsidRDefault="005967A4" w:rsidP="005967A4">
      <w:pPr>
        <w:jc w:val="left"/>
      </w:pPr>
      <w:r>
        <w:br w:type="page"/>
      </w:r>
    </w:p>
    <w:p w:rsidR="005967A4" w:rsidRPr="00DF7A98" w:rsidRDefault="005967A4" w:rsidP="005967A4">
      <w:r w:rsidRPr="00DF7A98">
        <w:t>II.</w:t>
      </w:r>
      <w:r w:rsidRPr="00DF7A98">
        <w:tab/>
        <w:t>ANDERE ENTWICKLUNGEN VON INTERESSE FÜR DIE UPOV</w:t>
      </w:r>
    </w:p>
    <w:p w:rsidR="005967A4" w:rsidRDefault="005967A4" w:rsidP="005967A4"/>
    <w:p w:rsidR="005967A4" w:rsidRDefault="005967A4" w:rsidP="005967A4">
      <w:r>
        <w:t>In der Schweiz wird an zwei Verordnungen gearbeitet, die für die UPOV von Interesse sein könnten:</w:t>
      </w:r>
    </w:p>
    <w:p w:rsidR="005967A4" w:rsidRDefault="005967A4" w:rsidP="005967A4"/>
    <w:p w:rsidR="005967A4" w:rsidRDefault="005967A4" w:rsidP="005967A4">
      <w:pPr>
        <w:ind w:left="567" w:hanging="567"/>
      </w:pPr>
      <w:r>
        <w:t>•</w:t>
      </w:r>
      <w:r>
        <w:tab/>
        <w:t>Verordnung über die Erhaltung und die nachhaltige Nutzung von pflanzengenetischen Ressourcen für Ernährung und Landwirtschaft (Federführung Bundesamt für Landwirtschaft)</w:t>
      </w:r>
    </w:p>
    <w:p w:rsidR="005967A4" w:rsidRDefault="005967A4" w:rsidP="005967A4">
      <w:pPr>
        <w:ind w:left="567" w:hanging="567"/>
      </w:pPr>
    </w:p>
    <w:p w:rsidR="005967A4" w:rsidRDefault="005967A4" w:rsidP="005967A4">
      <w:pPr>
        <w:ind w:left="567" w:hanging="567"/>
      </w:pPr>
      <w:r>
        <w:t>•</w:t>
      </w:r>
      <w:r>
        <w:tab/>
        <w:t>Nagoya-Verordnung (Federführung Bundesamt für Umwelt)</w:t>
      </w:r>
    </w:p>
    <w:p w:rsidR="005967A4" w:rsidRDefault="005967A4" w:rsidP="005967A4"/>
    <w:p w:rsidR="00C517EE" w:rsidRPr="005917C2" w:rsidRDefault="00C517EE" w:rsidP="00C517EE"/>
    <w:p w:rsidR="00C517EE" w:rsidRPr="005917C2" w:rsidRDefault="00C517EE" w:rsidP="00C517EE"/>
    <w:p w:rsidR="00C517EE" w:rsidRPr="0075031D" w:rsidRDefault="00DB5AC1" w:rsidP="00C517EE">
      <w:pPr>
        <w:jc w:val="right"/>
      </w:pPr>
      <w:r>
        <w:t>[Anlage</w:t>
      </w:r>
      <w:r w:rsidR="00C517EE" w:rsidRPr="0075031D">
        <w:t xml:space="preserve"> </w:t>
      </w:r>
      <w:r w:rsidR="00C517EE">
        <w:t>XVI</w:t>
      </w:r>
      <w:r w:rsidR="00C517EE" w:rsidRPr="0075031D">
        <w:t xml:space="preserve"> </w:t>
      </w:r>
      <w:r>
        <w:t>folgt]</w:t>
      </w:r>
    </w:p>
    <w:p w:rsidR="00C517EE" w:rsidRPr="0075031D" w:rsidRDefault="00C517EE" w:rsidP="00C517EE">
      <w:pPr>
        <w:jc w:val="left"/>
      </w:pPr>
    </w:p>
    <w:p w:rsidR="00C517EE" w:rsidRDefault="00C517EE" w:rsidP="00C517EE">
      <w:pPr>
        <w:jc w:val="left"/>
        <w:sectPr w:rsidR="00C517EE" w:rsidSect="00371832">
          <w:headerReference w:type="default" r:id="rId38"/>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w:t>
      </w:r>
      <w:r w:rsidR="00C517EE">
        <w:t>XVI</w:t>
      </w:r>
    </w:p>
    <w:p w:rsidR="00C517EE" w:rsidRPr="0075031D" w:rsidRDefault="00C517EE" w:rsidP="00C517EE">
      <w:pPr>
        <w:jc w:val="center"/>
      </w:pPr>
    </w:p>
    <w:p w:rsidR="00C517EE" w:rsidRDefault="00C517EE" w:rsidP="00C517EE">
      <w:pPr>
        <w:jc w:val="center"/>
      </w:pPr>
    </w:p>
    <w:p w:rsidR="00C517EE" w:rsidRPr="0075031D" w:rsidRDefault="00DB5AC1" w:rsidP="00C517EE">
      <w:pPr>
        <w:jc w:val="center"/>
      </w:pPr>
      <w:r>
        <w:t>TUNESIEN</w:t>
      </w:r>
    </w:p>
    <w:p w:rsidR="00C517EE" w:rsidRDefault="00C517EE" w:rsidP="00C517EE">
      <w:pPr>
        <w:jc w:val="left"/>
      </w:pPr>
    </w:p>
    <w:p w:rsidR="00C517EE" w:rsidRPr="005917C2" w:rsidRDefault="00C517EE" w:rsidP="00C517EE"/>
    <w:p w:rsidR="005967A4" w:rsidRPr="00DF7A98" w:rsidRDefault="005967A4" w:rsidP="005967A4">
      <w:r w:rsidRPr="00DF7A98">
        <w:t>I.</w:t>
      </w:r>
      <w:r w:rsidRPr="00DF7A98">
        <w:tab/>
        <w:t>SORTENSCHUTZ</w:t>
      </w:r>
    </w:p>
    <w:p w:rsidR="005967A4" w:rsidRDefault="005967A4" w:rsidP="005967A4"/>
    <w:p w:rsidR="005967A4" w:rsidRPr="00A67586" w:rsidRDefault="005967A4" w:rsidP="005967A4">
      <w:r>
        <w:t>1.</w:t>
      </w:r>
      <w:r>
        <w:tab/>
      </w:r>
      <w:r>
        <w:rPr>
          <w:u w:val="single"/>
        </w:rPr>
        <w:t>Lage auf dem Gebiet der Gesetzgebung</w:t>
      </w:r>
    </w:p>
    <w:p w:rsidR="005967A4" w:rsidRPr="00A67586" w:rsidRDefault="005967A4" w:rsidP="005967A4"/>
    <w:p w:rsidR="005967A4" w:rsidRPr="00A67586" w:rsidRDefault="005967A4" w:rsidP="005967A4">
      <w:r>
        <w:t>1.1</w:t>
      </w:r>
      <w:r>
        <w:tab/>
        <w:t>Änderungen des Gesetzes und der Ausführungsvorschriften:</w:t>
      </w:r>
    </w:p>
    <w:p w:rsidR="005967A4" w:rsidRDefault="005967A4" w:rsidP="005967A4">
      <w:pPr>
        <w:ind w:left="567" w:hanging="567"/>
      </w:pPr>
    </w:p>
    <w:p w:rsidR="005967A4" w:rsidRDefault="005967A4" w:rsidP="005967A4">
      <w:pPr>
        <w:ind w:left="567" w:hanging="567"/>
      </w:pPr>
      <w:r>
        <w:t>-</w:t>
      </w:r>
      <w:r>
        <w:tab/>
        <w:t>Annahme der Akte von 1991 des Übereinkommens:</w:t>
      </w:r>
      <w:r>
        <w:rPr>
          <w:sz w:val="32"/>
        </w:rPr>
        <w:t xml:space="preserve"> </w:t>
      </w:r>
      <w:r>
        <w:t>Das Gesetz Nr. 99-42 vom 10. Mai 1999 über Saat- und Pflanzgut und Pflanzenzüchtungen, insbesondere Artikel 26, wurde durch das Gesetz Nr. 2000-66 vom 3. Juli 2000 über Saat- und Pflanzgut und Pflanzenzüchtungen geändert.</w:t>
      </w:r>
    </w:p>
    <w:p w:rsidR="005967A4" w:rsidRDefault="005967A4" w:rsidP="005967A4">
      <w:pPr>
        <w:ind w:left="567" w:hanging="567"/>
      </w:pPr>
    </w:p>
    <w:p w:rsidR="005967A4" w:rsidRDefault="005967A4" w:rsidP="005967A4">
      <w:pPr>
        <w:ind w:left="567" w:hanging="567"/>
      </w:pPr>
      <w:r>
        <w:t>-</w:t>
      </w:r>
      <w:r>
        <w:tab/>
        <w:t xml:space="preserve">andere Änderungen, auch in </w:t>
      </w:r>
      <w:proofErr w:type="spellStart"/>
      <w:r>
        <w:t>bezug</w:t>
      </w:r>
      <w:proofErr w:type="spellEnd"/>
      <w:r>
        <w:t xml:space="preserve"> auf die Gebühren: seit </w:t>
      </w:r>
      <w:proofErr w:type="spellStart"/>
      <w:r>
        <w:t>Erlaß</w:t>
      </w:r>
      <w:proofErr w:type="spellEnd"/>
      <w:r>
        <w:t xml:space="preserve"> der Verordnung Nr. 1802-2001 vom 7. August 2001, mit der die Beträge und die Verfahren zur Erhebung sowie die Verwendung der Gebühren für die Eintragung von Sorten, Saat- und Pflanzgut sowie die Zulassung der Erzeugung und Vermehrung, die Erfassung der Anträge und die Sortenschutztitel in die entsprechenden Kataloge, die jährliche Gebühr für die Sortenschutztitel nach der Eintragung festlegt, erfolgten keine Änderungen am Betrag der Jahresgebühren.  </w:t>
      </w:r>
    </w:p>
    <w:p w:rsidR="005967A4" w:rsidRDefault="005967A4" w:rsidP="005967A4"/>
    <w:p w:rsidR="005967A4" w:rsidRDefault="005967A4" w:rsidP="005967A4">
      <w:r>
        <w:t>1.2</w:t>
      </w:r>
      <w:r>
        <w:tab/>
        <w:t>Erstreckung des Schutzes auf weitere Gattungen und Arten (geschehen oder geplant):</w:t>
      </w:r>
    </w:p>
    <w:p w:rsidR="005967A4" w:rsidRDefault="005967A4" w:rsidP="005967A4"/>
    <w:p w:rsidR="005967A4" w:rsidRDefault="005967A4" w:rsidP="005967A4">
      <w:pPr>
        <w:ind w:left="567" w:hanging="567"/>
      </w:pPr>
      <w:r>
        <w:t>-</w:t>
      </w:r>
      <w:r>
        <w:tab/>
      </w:r>
      <w:proofErr w:type="spellStart"/>
      <w:r>
        <w:t>Erlaß</w:t>
      </w:r>
      <w:proofErr w:type="spellEnd"/>
      <w:r>
        <w:t xml:space="preserve"> vom 24. Juni 2000 zur Aufstellung der Liste der schutzfähigen Pflanzen, der Angaben und des Verfahrens zur Eintragung der Anträge und der Pflanzenzüchtungszertifikate in den nationalen Katalog der Pflanzenzüchtungen </w:t>
      </w:r>
    </w:p>
    <w:p w:rsidR="005967A4" w:rsidRDefault="005967A4" w:rsidP="005967A4">
      <w:pPr>
        <w:ind w:left="567" w:hanging="567"/>
      </w:pPr>
    </w:p>
    <w:p w:rsidR="005967A4" w:rsidRDefault="005967A4" w:rsidP="005967A4">
      <w:pPr>
        <w:ind w:left="567" w:hanging="567"/>
      </w:pPr>
      <w:r>
        <w:t xml:space="preserve">- </w:t>
      </w:r>
      <w:r>
        <w:tab/>
      </w:r>
      <w:proofErr w:type="spellStart"/>
      <w:r>
        <w:t>Erlaß</w:t>
      </w:r>
      <w:proofErr w:type="spellEnd"/>
      <w:r>
        <w:t xml:space="preserve"> vom 9. September 2004 (Ausdehnung des Schutzes auf die Arten Artischocke (</w:t>
      </w:r>
      <w:proofErr w:type="spellStart"/>
      <w:r>
        <w:rPr>
          <w:i/>
        </w:rPr>
        <w:t>Cynara</w:t>
      </w:r>
      <w:proofErr w:type="spellEnd"/>
      <w:r>
        <w:rPr>
          <w:i/>
        </w:rPr>
        <w:t xml:space="preserve"> </w:t>
      </w:r>
      <w:proofErr w:type="spellStart"/>
      <w:r>
        <w:rPr>
          <w:i/>
        </w:rPr>
        <w:t>scolymus</w:t>
      </w:r>
      <w:proofErr w:type="spellEnd"/>
      <w:r>
        <w:t>) und Knoblauch (</w:t>
      </w:r>
      <w:proofErr w:type="spellStart"/>
      <w:r>
        <w:rPr>
          <w:i/>
        </w:rPr>
        <w:t>Allium</w:t>
      </w:r>
      <w:proofErr w:type="spellEnd"/>
      <w:r>
        <w:rPr>
          <w:i/>
        </w:rPr>
        <w:t xml:space="preserve"> </w:t>
      </w:r>
      <w:proofErr w:type="spellStart"/>
      <w:r>
        <w:rPr>
          <w:i/>
        </w:rPr>
        <w:t>Sativum</w:t>
      </w:r>
      <w:proofErr w:type="spellEnd"/>
      <w:r>
        <w:t xml:space="preserve"> L.)</w:t>
      </w:r>
    </w:p>
    <w:p w:rsidR="005967A4" w:rsidRDefault="005967A4" w:rsidP="005967A4">
      <w:pPr>
        <w:ind w:left="567" w:hanging="567"/>
      </w:pPr>
    </w:p>
    <w:p w:rsidR="005967A4" w:rsidRPr="006758DD" w:rsidRDefault="005967A4" w:rsidP="005967A4">
      <w:pPr>
        <w:ind w:left="567" w:hanging="567"/>
      </w:pPr>
      <w:r>
        <w:t xml:space="preserve">- </w:t>
      </w:r>
      <w:r>
        <w:tab/>
      </w:r>
      <w:proofErr w:type="spellStart"/>
      <w:r>
        <w:t>Erlaß</w:t>
      </w:r>
      <w:proofErr w:type="spellEnd"/>
      <w:r>
        <w:t xml:space="preserve"> vom 1. Mai 2010 (Ausdehnung des Schutzes auf die Arten Avocado (</w:t>
      </w:r>
      <w:proofErr w:type="spellStart"/>
      <w:r>
        <w:rPr>
          <w:i/>
        </w:rPr>
        <w:t>Persea</w:t>
      </w:r>
      <w:proofErr w:type="spellEnd"/>
      <w:r>
        <w:rPr>
          <w:i/>
        </w:rPr>
        <w:t xml:space="preserve"> </w:t>
      </w:r>
      <w:proofErr w:type="spellStart"/>
      <w:r>
        <w:rPr>
          <w:i/>
        </w:rPr>
        <w:t>americana</w:t>
      </w:r>
      <w:proofErr w:type="spellEnd"/>
      <w:r>
        <w:t xml:space="preserve"> Mill.) und Himbeere (</w:t>
      </w:r>
      <w:proofErr w:type="spellStart"/>
      <w:r>
        <w:rPr>
          <w:i/>
        </w:rPr>
        <w:t>Rubus</w:t>
      </w:r>
      <w:proofErr w:type="spellEnd"/>
      <w:r>
        <w:rPr>
          <w:i/>
        </w:rPr>
        <w:t xml:space="preserve"> </w:t>
      </w:r>
      <w:proofErr w:type="spellStart"/>
      <w:r>
        <w:rPr>
          <w:i/>
        </w:rPr>
        <w:t>idaeus</w:t>
      </w:r>
      <w:proofErr w:type="spellEnd"/>
      <w:r>
        <w:t xml:space="preserve"> L.).</w:t>
      </w:r>
    </w:p>
    <w:p w:rsidR="005967A4" w:rsidRDefault="005967A4" w:rsidP="005967A4"/>
    <w:p w:rsidR="005967A4" w:rsidRDefault="005967A4" w:rsidP="005967A4">
      <w:r>
        <w:t>1.3</w:t>
      </w:r>
      <w:r>
        <w:tab/>
        <w:t xml:space="preserve">Rechtsprechung: </w:t>
      </w:r>
    </w:p>
    <w:p w:rsidR="005967A4" w:rsidRDefault="005967A4" w:rsidP="005967A4"/>
    <w:p w:rsidR="005967A4" w:rsidRPr="00552B2C" w:rsidRDefault="005967A4" w:rsidP="005967A4">
      <w:r>
        <w:t xml:space="preserve">Derzeit liegt keine </w:t>
      </w:r>
      <w:r>
        <w:rPr>
          <w:rStyle w:val="ht"/>
        </w:rPr>
        <w:t>Gerichtsurteile oder Verwaltungsentscheide vor, die als Jurisprudenz gelten könnten.</w:t>
      </w:r>
    </w:p>
    <w:p w:rsidR="005967A4" w:rsidRPr="00A67586" w:rsidRDefault="005967A4" w:rsidP="005967A4"/>
    <w:p w:rsidR="005967A4" w:rsidRPr="00A67586" w:rsidRDefault="005967A4" w:rsidP="005967A4">
      <w:pPr>
        <w:rPr>
          <w:u w:val="single"/>
        </w:rPr>
      </w:pPr>
      <w:r>
        <w:t>2.</w:t>
      </w:r>
      <w:r>
        <w:tab/>
      </w:r>
      <w:r>
        <w:rPr>
          <w:u w:val="single"/>
        </w:rPr>
        <w:t>Zusammenarbeit bei der Prüfung</w:t>
      </w:r>
    </w:p>
    <w:p w:rsidR="005967A4" w:rsidRPr="00A67586" w:rsidRDefault="005967A4" w:rsidP="005967A4">
      <w:pPr>
        <w:rPr>
          <w:u w:val="single"/>
        </w:rPr>
      </w:pPr>
    </w:p>
    <w:p w:rsidR="005967A4" w:rsidRPr="00A67586" w:rsidRDefault="005967A4" w:rsidP="005967A4">
      <w:r>
        <w:t>Es wurden keine Vereinbarungen zur Zusammenarbeit bei der Prüfung geschlossen oder geändert. Die für den Sortenschutz zuständigen Behörden Tunesiens erhalten weiterhin Anträge auf Sortenschutz mittels Erwerb von DUS-Berichten. Der Erwerb von Berichten erfolgt über das Gemeinschaftliche Sortenamt (CPVO) und die Gebührenabrechnung wird zwischen dem Antragsteller und dem CPVO abgewickelt.</w:t>
      </w:r>
    </w:p>
    <w:p w:rsidR="005967A4" w:rsidRPr="00A67586" w:rsidRDefault="005967A4" w:rsidP="005967A4"/>
    <w:p w:rsidR="005967A4" w:rsidRPr="00A67586" w:rsidRDefault="005967A4" w:rsidP="005967A4">
      <w:pPr>
        <w:rPr>
          <w:u w:val="single"/>
        </w:rPr>
      </w:pPr>
      <w:r>
        <w:t>3.</w:t>
      </w:r>
      <w:r>
        <w:tab/>
      </w:r>
      <w:r>
        <w:rPr>
          <w:u w:val="single"/>
        </w:rPr>
        <w:t>Lage auf dem Gebiet der Verwaltung</w:t>
      </w:r>
    </w:p>
    <w:p w:rsidR="005967A4" w:rsidRPr="00623692" w:rsidRDefault="005967A4" w:rsidP="005967A4"/>
    <w:p w:rsidR="005967A4" w:rsidRPr="00A67586" w:rsidRDefault="005967A4" w:rsidP="005967A4">
      <w:r>
        <w:t>Keine Änderungen in der Verwaltungsstruktur oder in den Verfahren und Systemen.</w:t>
      </w:r>
    </w:p>
    <w:p w:rsidR="005967A4" w:rsidRPr="00A67586" w:rsidRDefault="005967A4" w:rsidP="005967A4"/>
    <w:p w:rsidR="005967A4" w:rsidRDefault="005967A4" w:rsidP="005967A4">
      <w:pPr>
        <w:rPr>
          <w:u w:val="single"/>
        </w:rPr>
      </w:pPr>
      <w:r>
        <w:t>4.</w:t>
      </w:r>
      <w:r>
        <w:tab/>
      </w:r>
      <w:r>
        <w:rPr>
          <w:u w:val="single"/>
        </w:rPr>
        <w:t>Lage auf dem Gebiet der Technik</w:t>
      </w:r>
    </w:p>
    <w:p w:rsidR="005967A4" w:rsidRPr="00A67586" w:rsidRDefault="005967A4" w:rsidP="005967A4"/>
    <w:p w:rsidR="005967A4" w:rsidRPr="00A67586" w:rsidRDefault="005967A4" w:rsidP="005967A4">
      <w:r>
        <w:t>Auf technischer Ebene folgt die Abwicklung der DUS-Prüfungen den im UPOV-System vorgenommenen Entwicklungen und Änderungen.</w:t>
      </w:r>
    </w:p>
    <w:p w:rsidR="005967A4" w:rsidRPr="00A67586" w:rsidRDefault="005967A4" w:rsidP="005967A4"/>
    <w:p w:rsidR="005967A4" w:rsidRPr="00A67586" w:rsidRDefault="005967A4" w:rsidP="005967A4">
      <w:pPr>
        <w:rPr>
          <w:u w:val="single"/>
        </w:rPr>
      </w:pPr>
      <w:r>
        <w:t>5.</w:t>
      </w:r>
      <w:r>
        <w:tab/>
      </w:r>
      <w:r>
        <w:rPr>
          <w:u w:val="single"/>
        </w:rPr>
        <w:t>Tätigkeiten zur Förderung des Sortenschutzes</w:t>
      </w:r>
    </w:p>
    <w:p w:rsidR="005967A4" w:rsidRPr="00A67586" w:rsidRDefault="005967A4" w:rsidP="005967A4"/>
    <w:p w:rsidR="005967A4" w:rsidRDefault="005967A4" w:rsidP="005967A4">
      <w:r>
        <w:t>Keine Tätigkeiten</w:t>
      </w:r>
    </w:p>
    <w:p w:rsidR="005967A4" w:rsidRPr="00A67586" w:rsidRDefault="005967A4" w:rsidP="005967A4"/>
    <w:p w:rsidR="005967A4" w:rsidRPr="005967A4" w:rsidRDefault="005967A4" w:rsidP="005967A4">
      <w:r w:rsidRPr="005967A4">
        <w:t>II.</w:t>
      </w:r>
      <w:r w:rsidRPr="005967A4">
        <w:tab/>
        <w:t>ANDERE ENTWICKLUNGEN VON INTERESSE FÜR DIE UPOV </w:t>
      </w:r>
    </w:p>
    <w:p w:rsidR="005967A4" w:rsidRDefault="005967A4" w:rsidP="005967A4">
      <w:pPr>
        <w:rPr>
          <w:b/>
        </w:rPr>
      </w:pPr>
    </w:p>
    <w:p w:rsidR="005967A4" w:rsidRPr="00A67586" w:rsidRDefault="005967A4" w:rsidP="005967A4">
      <w:r>
        <w:t xml:space="preserve">Es liegen derzeit keine neuen Elemente von Interesse für die UPOV vor. </w:t>
      </w:r>
    </w:p>
    <w:p w:rsidR="00C517EE" w:rsidRPr="005917C2" w:rsidRDefault="00C517EE" w:rsidP="00C517EE"/>
    <w:p w:rsidR="00C517EE" w:rsidRPr="0075031D" w:rsidRDefault="00DB5AC1" w:rsidP="005967A4">
      <w:pPr>
        <w:jc w:val="right"/>
      </w:pPr>
      <w:r>
        <w:t>[Anlage</w:t>
      </w:r>
      <w:r w:rsidR="00C517EE" w:rsidRPr="0075031D">
        <w:t xml:space="preserve"> </w:t>
      </w:r>
      <w:r w:rsidR="00C517EE">
        <w:t>XVII</w:t>
      </w:r>
      <w:r w:rsidR="00C517EE" w:rsidRPr="0075031D">
        <w:t xml:space="preserve"> </w:t>
      </w:r>
      <w:r>
        <w:t>folgt]</w:t>
      </w:r>
    </w:p>
    <w:p w:rsidR="00C517EE" w:rsidRDefault="00C517EE" w:rsidP="00C517EE">
      <w:pPr>
        <w:jc w:val="left"/>
        <w:sectPr w:rsidR="00C517EE" w:rsidSect="00371832">
          <w:headerReference w:type="default" r:id="rId39"/>
          <w:pgSz w:w="11907" w:h="16840" w:code="9"/>
          <w:pgMar w:top="510" w:right="1134" w:bottom="1134"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w:t>
      </w:r>
      <w:r w:rsidR="00C517EE">
        <w:t>XVII</w:t>
      </w:r>
    </w:p>
    <w:p w:rsidR="00C517EE" w:rsidRPr="0075031D" w:rsidRDefault="00C517EE" w:rsidP="00C517EE">
      <w:pPr>
        <w:jc w:val="center"/>
      </w:pPr>
    </w:p>
    <w:p w:rsidR="00C517EE" w:rsidRDefault="00C517EE" w:rsidP="00C517EE">
      <w:pPr>
        <w:jc w:val="center"/>
      </w:pPr>
    </w:p>
    <w:p w:rsidR="00C517EE" w:rsidRDefault="00C517EE" w:rsidP="00C517EE">
      <w:pPr>
        <w:jc w:val="center"/>
      </w:pPr>
      <w:r>
        <w:t>EUROP</w:t>
      </w:r>
      <w:r w:rsidR="00DB5AC1">
        <w:t>ÄISCHE</w:t>
      </w:r>
      <w:r>
        <w:t xml:space="preserve"> UNION</w:t>
      </w:r>
    </w:p>
    <w:p w:rsidR="00C517EE" w:rsidRPr="005917C2" w:rsidRDefault="00C517EE" w:rsidP="00C517EE">
      <w:pPr>
        <w:jc w:val="center"/>
      </w:pPr>
    </w:p>
    <w:p w:rsidR="00AF7FF3" w:rsidRPr="000C40CC" w:rsidRDefault="00AF7FF3" w:rsidP="00AF7FF3">
      <w:pPr>
        <w:jc w:val="center"/>
      </w:pPr>
      <w:r w:rsidRPr="000C40CC">
        <w:t>Zeitraum: Oktober 2014 - Oktober 2015</w:t>
      </w:r>
    </w:p>
    <w:p w:rsidR="00AF7FF3" w:rsidRPr="000C40CC" w:rsidRDefault="00AF7FF3" w:rsidP="00AF7FF3"/>
    <w:p w:rsidR="00AF7FF3" w:rsidRPr="000C40CC" w:rsidRDefault="00AF7FF3" w:rsidP="00AF7FF3">
      <w:pPr>
        <w:jc w:val="center"/>
      </w:pPr>
      <w:r>
        <w:t>(v</w:t>
      </w:r>
      <w:r w:rsidRPr="000C40CC">
        <w:t xml:space="preserve">on der EU-Kommission in enger Zusammenarbeit mit dem </w:t>
      </w:r>
    </w:p>
    <w:p w:rsidR="00AF7FF3" w:rsidRPr="000C40CC" w:rsidRDefault="00AF7FF3" w:rsidP="00AF7FF3">
      <w:pPr>
        <w:jc w:val="center"/>
      </w:pPr>
      <w:r w:rsidRPr="000C40CC">
        <w:t>Gemeinschaftlichen Sortenamt (CPVO) erstellter Bericht)</w:t>
      </w:r>
      <w:r w:rsidR="008929C0" w:rsidRPr="008929C0">
        <w:rPr>
          <w:rStyle w:val="EndnoteReference"/>
          <w:rFonts w:cs="Arial"/>
        </w:rPr>
        <w:t xml:space="preserve"> </w:t>
      </w:r>
      <w:r w:rsidR="008929C0">
        <w:rPr>
          <w:rStyle w:val="EndnoteReference"/>
          <w:rFonts w:cs="Arial"/>
        </w:rPr>
        <w:endnoteReference w:id="2"/>
      </w:r>
    </w:p>
    <w:p w:rsidR="00AF7FF3" w:rsidRPr="000C40CC" w:rsidRDefault="00AF7FF3" w:rsidP="00AF7FF3"/>
    <w:p w:rsidR="00AF7FF3" w:rsidRPr="000C40CC" w:rsidRDefault="00AF7FF3" w:rsidP="00AF7FF3"/>
    <w:p w:rsidR="00AF7FF3" w:rsidRPr="000C40CC" w:rsidRDefault="00AF7FF3" w:rsidP="00AF7FF3">
      <w:pPr>
        <w:pStyle w:val="ListBullet"/>
        <w:numPr>
          <w:ilvl w:val="0"/>
          <w:numId w:val="0"/>
        </w:numPr>
        <w:tabs>
          <w:tab w:val="left" w:pos="720"/>
        </w:tabs>
        <w:ind w:left="283" w:hanging="283"/>
        <w:rPr>
          <w:rFonts w:cs="Arial"/>
          <w:b/>
          <w:u w:val="single"/>
          <w:lang w:val="de-DE"/>
        </w:rPr>
      </w:pPr>
      <w:r w:rsidRPr="000C40CC">
        <w:rPr>
          <w:rFonts w:cs="Arial"/>
          <w:b/>
          <w:u w:val="single"/>
          <w:lang w:val="de-DE"/>
        </w:rPr>
        <w:t xml:space="preserve">SORTENSCHUTZ </w:t>
      </w:r>
    </w:p>
    <w:p w:rsidR="00AF7FF3" w:rsidRPr="000C40CC" w:rsidRDefault="00AF7FF3" w:rsidP="00AF7FF3">
      <w:pPr>
        <w:spacing w:after="240"/>
        <w:rPr>
          <w:rFonts w:cs="Arial"/>
          <w:b/>
          <w:u w:val="single"/>
        </w:rPr>
      </w:pPr>
      <w:r w:rsidRPr="000C40CC">
        <w:rPr>
          <w:rFonts w:cs="Arial"/>
          <w:b/>
        </w:rPr>
        <w:t xml:space="preserve">1) </w:t>
      </w:r>
      <w:r w:rsidRPr="000C40CC">
        <w:rPr>
          <w:rFonts w:cs="Arial"/>
          <w:b/>
          <w:u w:val="single"/>
        </w:rPr>
        <w:t>Lage auf dem Gebiet der Gesetzgebung</w:t>
      </w:r>
    </w:p>
    <w:p w:rsidR="00AF7FF3" w:rsidRPr="000C40CC" w:rsidRDefault="00AF7FF3" w:rsidP="00AF7FF3">
      <w:pPr>
        <w:pStyle w:val="ListBullet"/>
        <w:numPr>
          <w:ilvl w:val="0"/>
          <w:numId w:val="0"/>
        </w:numPr>
        <w:tabs>
          <w:tab w:val="left" w:pos="720"/>
        </w:tabs>
        <w:ind w:left="283" w:hanging="283"/>
        <w:rPr>
          <w:rFonts w:cs="Arial"/>
          <w:b/>
          <w:i/>
          <w:u w:val="single"/>
          <w:lang w:val="de-DE"/>
        </w:rPr>
      </w:pPr>
      <w:r w:rsidRPr="000C40CC">
        <w:rPr>
          <w:rFonts w:cs="Arial"/>
          <w:i/>
          <w:u w:val="single"/>
          <w:lang w:val="de-DE"/>
        </w:rPr>
        <w:t>1.0 Allgemein</w:t>
      </w:r>
      <w:r w:rsidRPr="000C40CC">
        <w:rPr>
          <w:rFonts w:cs="Arial"/>
          <w:b/>
          <w:i/>
          <w:u w:val="single"/>
          <w:lang w:val="de-DE"/>
        </w:rPr>
        <w:t xml:space="preserve"> </w:t>
      </w:r>
    </w:p>
    <w:p w:rsidR="00AF7FF3" w:rsidRPr="000C40CC" w:rsidRDefault="00AF7FF3" w:rsidP="00AF7FF3">
      <w:pPr>
        <w:spacing w:after="240"/>
        <w:rPr>
          <w:rFonts w:cs="Arial"/>
        </w:rPr>
      </w:pPr>
      <w:r w:rsidRPr="000C40CC">
        <w:rPr>
          <w:rFonts w:cs="Arial"/>
        </w:rPr>
        <w:t xml:space="preserve">Den Vorsitz </w:t>
      </w:r>
      <w:r>
        <w:rPr>
          <w:rFonts w:cs="Arial"/>
        </w:rPr>
        <w:t xml:space="preserve">der </w:t>
      </w:r>
      <w:r w:rsidRPr="000C40CC">
        <w:rPr>
          <w:rFonts w:cs="Arial"/>
        </w:rPr>
        <w:t>Europäischen Union (EU) führte vom 1. Juli bis 31. Dezember 2014 Italien, vom 1. Januar bis 30. Juni 2015 Lettland und vom 1. Juli bis 31. Dezember 2015 Luxemburg.</w:t>
      </w:r>
    </w:p>
    <w:p w:rsidR="00AF7FF3" w:rsidRPr="000C40CC" w:rsidRDefault="00AF7FF3" w:rsidP="00AF7FF3">
      <w:pPr>
        <w:spacing w:after="240"/>
        <w:rPr>
          <w:rFonts w:cs="Arial"/>
          <w:i/>
          <w:u w:val="single"/>
        </w:rPr>
      </w:pPr>
      <w:r w:rsidRPr="000C40CC">
        <w:rPr>
          <w:rFonts w:cs="Arial"/>
          <w:i/>
          <w:u w:val="single"/>
        </w:rPr>
        <w:t>1.1 Änderungen des Gesetzes und der Ausführungsvorschriften</w:t>
      </w:r>
    </w:p>
    <w:p w:rsidR="00AF7FF3" w:rsidRPr="000C40CC" w:rsidRDefault="00AF7FF3" w:rsidP="00AF7FF3">
      <w:pPr>
        <w:spacing w:after="240"/>
        <w:rPr>
          <w:rFonts w:cs="Arial"/>
          <w:i/>
        </w:rPr>
      </w:pPr>
      <w:r w:rsidRPr="000C40CC">
        <w:rPr>
          <w:rFonts w:cs="Arial"/>
          <w:i/>
        </w:rPr>
        <w:t>Durchführungsverordnung (EU) Nr. 1294/2014 der Kommission vom 4. Dezember 2014, die die Verordnung</w:t>
      </w:r>
      <w:r>
        <w:rPr>
          <w:rFonts w:cs="Arial"/>
          <w:i/>
        </w:rPr>
        <w:t xml:space="preserve"> (EC) Nr.</w:t>
      </w:r>
      <w:r w:rsidRPr="000C40CC">
        <w:rPr>
          <w:rFonts w:cs="Arial"/>
          <w:i/>
        </w:rPr>
        <w:t xml:space="preserve"> 1238/95 </w:t>
      </w:r>
      <w:r>
        <w:rPr>
          <w:rFonts w:cs="Arial"/>
          <w:i/>
        </w:rPr>
        <w:t>bezüglich</w:t>
      </w:r>
      <w:r w:rsidRPr="000C40CC">
        <w:rPr>
          <w:rFonts w:cs="Arial"/>
          <w:i/>
        </w:rPr>
        <w:t xml:space="preserve"> der Höhe der an das </w:t>
      </w:r>
      <w:r>
        <w:rPr>
          <w:rFonts w:cs="Arial"/>
          <w:i/>
        </w:rPr>
        <w:t>CPVO</w:t>
      </w:r>
      <w:r w:rsidRPr="000C40CC">
        <w:rPr>
          <w:rFonts w:cs="Arial"/>
          <w:i/>
        </w:rPr>
        <w:t xml:space="preserve"> zu entrichtenden </w:t>
      </w:r>
      <w:r>
        <w:rPr>
          <w:rFonts w:cs="Arial"/>
          <w:i/>
        </w:rPr>
        <w:t>Anmelde- und Prüfungsg</w:t>
      </w:r>
      <w:r w:rsidRPr="000C40CC">
        <w:rPr>
          <w:rFonts w:cs="Arial"/>
          <w:i/>
        </w:rPr>
        <w:t xml:space="preserve">ebühren ändert. </w:t>
      </w:r>
    </w:p>
    <w:p w:rsidR="00AF7FF3" w:rsidRPr="000C40CC" w:rsidRDefault="00AF7FF3" w:rsidP="00AF7FF3">
      <w:pPr>
        <w:spacing w:after="240"/>
        <w:rPr>
          <w:rFonts w:cs="Arial"/>
        </w:rPr>
      </w:pPr>
      <w:r w:rsidRPr="000C40CC">
        <w:rPr>
          <w:rFonts w:cs="Arial"/>
        </w:rPr>
        <w:t xml:space="preserve">Artikel 7 Absatz 7 wurde </w:t>
      </w:r>
      <w:r>
        <w:rPr>
          <w:rFonts w:cs="Arial"/>
        </w:rPr>
        <w:t>bezüglich</w:t>
      </w:r>
      <w:r w:rsidRPr="000C40CC">
        <w:rPr>
          <w:rFonts w:cs="Arial"/>
        </w:rPr>
        <w:t xml:space="preserve"> des Betrages der Anmeldegebühr</w:t>
      </w:r>
      <w:r>
        <w:rPr>
          <w:rFonts w:cs="Arial"/>
        </w:rPr>
        <w:t xml:space="preserve"> </w:t>
      </w:r>
      <w:r w:rsidRPr="000C40CC">
        <w:rPr>
          <w:rFonts w:cs="Arial"/>
        </w:rPr>
        <w:t xml:space="preserve">geändert, der für die Bearbeitung von Anträgen auf die Erteilung gemeinschaftlicher Sortenrechte einbehalten wird, die als ungültig befunden werden. Dieser wurde von € 300 auf € 200 gesenkt. </w:t>
      </w:r>
    </w:p>
    <w:p w:rsidR="00AF7FF3" w:rsidRPr="000C40CC" w:rsidRDefault="00AF7FF3" w:rsidP="00AF7FF3">
      <w:pPr>
        <w:spacing w:after="240"/>
        <w:rPr>
          <w:rFonts w:cs="Arial"/>
        </w:rPr>
      </w:pPr>
      <w:r w:rsidRPr="000C40CC">
        <w:rPr>
          <w:rFonts w:cs="Arial"/>
        </w:rPr>
        <w:t xml:space="preserve">Die Gebühren </w:t>
      </w:r>
      <w:r>
        <w:rPr>
          <w:rFonts w:cs="Arial"/>
        </w:rPr>
        <w:t>im Zusammenhang mit der</w:t>
      </w:r>
      <w:r w:rsidRPr="000C40CC">
        <w:rPr>
          <w:rFonts w:cs="Arial"/>
        </w:rPr>
        <w:t xml:space="preserve"> technische</w:t>
      </w:r>
      <w:r>
        <w:rPr>
          <w:rFonts w:cs="Arial"/>
        </w:rPr>
        <w:t>n</w:t>
      </w:r>
      <w:r w:rsidRPr="000C40CC">
        <w:rPr>
          <w:rFonts w:cs="Arial"/>
        </w:rPr>
        <w:t xml:space="preserve"> Prüfung, wie in Artikel 8 festgelegt, wurde</w:t>
      </w:r>
      <w:r>
        <w:rPr>
          <w:rFonts w:cs="Arial"/>
        </w:rPr>
        <w:t>n</w:t>
      </w:r>
      <w:r w:rsidRPr="000C40CC">
        <w:rPr>
          <w:rFonts w:cs="Arial"/>
        </w:rPr>
        <w:t xml:space="preserve"> für alle Kostengruppen</w:t>
      </w:r>
      <w:r>
        <w:rPr>
          <w:rFonts w:cs="Arial"/>
        </w:rPr>
        <w:t xml:space="preserve"> </w:t>
      </w:r>
      <w:r w:rsidRPr="000C40CC">
        <w:rPr>
          <w:rFonts w:cs="Arial"/>
        </w:rPr>
        <w:t>aktualisiert. Die neuen Kostengruppen werden auf der Website des CPVO</w:t>
      </w:r>
      <w:r>
        <w:rPr>
          <w:rFonts w:cs="Arial"/>
        </w:rPr>
        <w:t xml:space="preserve"> </w:t>
      </w:r>
      <w:r w:rsidRPr="000C40CC">
        <w:rPr>
          <w:rFonts w:cs="Arial"/>
        </w:rPr>
        <w:t>veröffentlicht. (</w:t>
      </w:r>
      <w:hyperlink r:id="rId40" w:history="1">
        <w:r w:rsidRPr="008B6DEE">
          <w:rPr>
            <w:rStyle w:val="Hyperlink"/>
            <w:rFonts w:cs="Arial"/>
          </w:rPr>
          <w:t>http://www.cpvo.europa.eu/main/de/home/methods-of-payment/applicable-fees/examination-fees</w:t>
        </w:r>
      </w:hyperlink>
      <w:r w:rsidRPr="000C40CC">
        <w:rPr>
          <w:rFonts w:cs="Arial"/>
        </w:rPr>
        <w:t>)</w:t>
      </w:r>
    </w:p>
    <w:p w:rsidR="00AF7FF3" w:rsidRPr="000C40CC" w:rsidRDefault="00AF7FF3" w:rsidP="00AF7FF3">
      <w:pPr>
        <w:spacing w:after="240"/>
        <w:rPr>
          <w:rFonts w:cs="Arial"/>
          <w:i/>
          <w:u w:val="single"/>
        </w:rPr>
      </w:pPr>
      <w:r w:rsidRPr="000C40CC">
        <w:rPr>
          <w:rFonts w:cs="Arial"/>
          <w:i/>
          <w:u w:val="single"/>
        </w:rPr>
        <w:t xml:space="preserve">1.2 </w:t>
      </w:r>
      <w:r w:rsidRPr="000C40CC">
        <w:rPr>
          <w:i/>
          <w:u w:val="single"/>
        </w:rPr>
        <w:t>Rechtsprechung</w:t>
      </w:r>
      <w:r w:rsidRPr="000C40CC">
        <w:rPr>
          <w:rFonts w:cs="Arial"/>
          <w:i/>
          <w:u w:val="single"/>
        </w:rPr>
        <w:t xml:space="preserve"> </w:t>
      </w:r>
    </w:p>
    <w:p w:rsidR="00AF7FF3" w:rsidRPr="00950A2A" w:rsidRDefault="00AF7FF3" w:rsidP="00AF7FF3">
      <w:pPr>
        <w:spacing w:after="240"/>
        <w:ind w:left="720"/>
        <w:rPr>
          <w:rFonts w:cs="Arial"/>
          <w:i/>
        </w:rPr>
      </w:pPr>
      <w:r w:rsidRPr="00950A2A">
        <w:rPr>
          <w:rFonts w:cs="Arial"/>
          <w:i/>
        </w:rPr>
        <w:t xml:space="preserve">a) Das Urteil des Gerichtshofes der Europäischen Union vom 21. Mai 2015 im Fall C-546/12P, Ralf Schräder gegen CPVO und </w:t>
      </w:r>
      <w:proofErr w:type="spellStart"/>
      <w:r>
        <w:rPr>
          <w:rFonts w:cs="Arial"/>
          <w:i/>
        </w:rPr>
        <w:t>Jørn</w:t>
      </w:r>
      <w:proofErr w:type="spellEnd"/>
      <w:r>
        <w:rPr>
          <w:rFonts w:cs="Arial"/>
          <w:i/>
        </w:rPr>
        <w:t xml:space="preserve"> Hansson (‘Lemon</w:t>
      </w:r>
      <w:r w:rsidRPr="00950A2A">
        <w:rPr>
          <w:rFonts w:cs="Arial"/>
          <w:i/>
        </w:rPr>
        <w:t xml:space="preserve"> </w:t>
      </w:r>
      <w:proofErr w:type="spellStart"/>
      <w:r w:rsidRPr="00950A2A">
        <w:rPr>
          <w:rFonts w:cs="Arial"/>
          <w:i/>
        </w:rPr>
        <w:t>Symphony</w:t>
      </w:r>
      <w:proofErr w:type="spellEnd"/>
      <w:r w:rsidRPr="00950A2A">
        <w:rPr>
          <w:rFonts w:cs="Arial"/>
          <w:i/>
        </w:rPr>
        <w:t>’)</w:t>
      </w:r>
      <w:r>
        <w:rPr>
          <w:rFonts w:cs="Arial"/>
          <w:i/>
        </w:rPr>
        <w:t>,</w:t>
      </w:r>
      <w:r w:rsidRPr="00950A2A">
        <w:rPr>
          <w:rFonts w:cs="Arial"/>
          <w:i/>
        </w:rPr>
        <w:t xml:space="preserve"> bezüglich einer Beschwerde, die gegen das Urteil des Gerichtes in den verbundenen Rechtssachen T-133/08, T-134/08, T-177/08 und T-242/09 eingelegt wurde, in de</w:t>
      </w:r>
      <w:r>
        <w:rPr>
          <w:rFonts w:cs="Arial"/>
          <w:i/>
        </w:rPr>
        <w:t>m</w:t>
      </w:r>
      <w:r w:rsidRPr="00950A2A">
        <w:rPr>
          <w:rFonts w:cs="Arial"/>
          <w:i/>
        </w:rPr>
        <w:t xml:space="preserve"> das Gericht die </w:t>
      </w:r>
      <w:r w:rsidRPr="00950A2A">
        <w:rPr>
          <w:bCs/>
          <w:i/>
        </w:rPr>
        <w:t>Klage gegen die Entscheidung der B</w:t>
      </w:r>
      <w:r w:rsidRPr="00950A2A">
        <w:rPr>
          <w:i/>
        </w:rPr>
        <w:t xml:space="preserve">eschwerdekammer des Amtes vom </w:t>
      </w:r>
      <w:r w:rsidRPr="00950A2A">
        <w:rPr>
          <w:rFonts w:cs="Arial"/>
          <w:i/>
        </w:rPr>
        <w:t xml:space="preserve">23. Januar 2009 (Fall A010/2007) betreffend einen Antrag auf Nichtigkeit eines gemeinschaftlichen </w:t>
      </w:r>
      <w:r>
        <w:rPr>
          <w:rFonts w:cs="Arial"/>
          <w:i/>
        </w:rPr>
        <w:t xml:space="preserve">Sortenrechtes </w:t>
      </w:r>
      <w:r w:rsidRPr="00950A2A">
        <w:rPr>
          <w:rFonts w:cs="Arial"/>
          <w:i/>
        </w:rPr>
        <w:t xml:space="preserve">für die Sorte ‘Lemon </w:t>
      </w:r>
      <w:proofErr w:type="spellStart"/>
      <w:r w:rsidRPr="00950A2A">
        <w:rPr>
          <w:rFonts w:cs="Arial"/>
          <w:i/>
        </w:rPr>
        <w:t>Symphony</w:t>
      </w:r>
      <w:proofErr w:type="spellEnd"/>
      <w:r w:rsidRPr="00950A2A">
        <w:rPr>
          <w:rFonts w:cs="Arial"/>
          <w:i/>
        </w:rPr>
        <w:t xml:space="preserve">’ zurückgewiesen hatte. </w:t>
      </w:r>
    </w:p>
    <w:p w:rsidR="00AF7FF3" w:rsidRPr="000C40CC" w:rsidRDefault="00AF7FF3" w:rsidP="00AF7FF3">
      <w:pPr>
        <w:spacing w:after="240"/>
        <w:rPr>
          <w:rFonts w:cs="Arial"/>
        </w:rPr>
      </w:pPr>
      <w:r w:rsidRPr="000C40CC">
        <w:rPr>
          <w:rFonts w:cs="Arial"/>
        </w:rPr>
        <w:t>Der Gerichtshof wies die Beschwerde</w:t>
      </w:r>
      <w:r>
        <w:rPr>
          <w:rFonts w:cs="Arial"/>
        </w:rPr>
        <w:t xml:space="preserve"> als</w:t>
      </w:r>
      <w:r w:rsidRPr="000C40CC">
        <w:rPr>
          <w:rFonts w:cs="Arial"/>
        </w:rPr>
        <w:t xml:space="preserve"> unbegründet zurück und erlegte dem Antragsteller die Übernahme der Kosten auf. In dieser Sache hat der Gerichtshof bestätigt, </w:t>
      </w:r>
      <w:proofErr w:type="spellStart"/>
      <w:r w:rsidRPr="000C40CC">
        <w:rPr>
          <w:rFonts w:cs="Arial"/>
        </w:rPr>
        <w:t>daß</w:t>
      </w:r>
      <w:proofErr w:type="spellEnd"/>
      <w:r w:rsidRPr="000C40CC">
        <w:rPr>
          <w:rFonts w:cs="Arial"/>
        </w:rPr>
        <w:t xml:space="preserve"> die Bestimmung über die </w:t>
      </w:r>
      <w:r>
        <w:rPr>
          <w:rFonts w:cs="Arial"/>
        </w:rPr>
        <w:t>Prüfung</w:t>
      </w:r>
      <w:r w:rsidRPr="000C40CC">
        <w:t xml:space="preserve"> d</w:t>
      </w:r>
      <w:r w:rsidRPr="000C40CC">
        <w:rPr>
          <w:bCs/>
        </w:rPr>
        <w:t>es Sachverhalt</w:t>
      </w:r>
      <w:r>
        <w:rPr>
          <w:bCs/>
        </w:rPr>
        <w:t>e</w:t>
      </w:r>
      <w:r w:rsidRPr="000C40CC">
        <w:rPr>
          <w:bCs/>
        </w:rPr>
        <w:t>s von Amt</w:t>
      </w:r>
      <w:r w:rsidRPr="000C40CC">
        <w:t>s wegen</w:t>
      </w:r>
      <w:r w:rsidRPr="000C40CC">
        <w:rPr>
          <w:rFonts w:cs="Arial"/>
        </w:rPr>
        <w:t xml:space="preserve"> durch das CPVO </w:t>
      </w:r>
      <w:r>
        <w:rPr>
          <w:rFonts w:cs="Arial"/>
        </w:rPr>
        <w:t>bezüglich</w:t>
      </w:r>
      <w:r w:rsidRPr="000C40CC">
        <w:rPr>
          <w:rFonts w:cs="Arial"/>
        </w:rPr>
        <w:t xml:space="preserve"> der sachlichen als auch der technischen Prüfung auch für </w:t>
      </w:r>
      <w:r w:rsidRPr="000C40CC">
        <w:rPr>
          <w:bCs/>
        </w:rPr>
        <w:t>Verfahren vor der Beschwerdekammer gilt</w:t>
      </w:r>
      <w:r w:rsidRPr="000C40CC">
        <w:rPr>
          <w:rFonts w:cs="Arial"/>
        </w:rPr>
        <w:t xml:space="preserve">. </w:t>
      </w:r>
    </w:p>
    <w:p w:rsidR="00AF7FF3" w:rsidRPr="000C40CC" w:rsidRDefault="00AF7FF3" w:rsidP="00AF7FF3">
      <w:pPr>
        <w:spacing w:after="240"/>
        <w:rPr>
          <w:rFonts w:cs="Arial"/>
        </w:rPr>
      </w:pPr>
      <w:r>
        <w:rPr>
          <w:rFonts w:cs="Arial"/>
        </w:rPr>
        <w:t>Bezüglich</w:t>
      </w:r>
      <w:r w:rsidRPr="000C40CC">
        <w:rPr>
          <w:rFonts w:cs="Arial"/>
        </w:rPr>
        <w:t xml:space="preserve"> Nichtigkeitsverfahren gemäß Artikel 20 Absatz 1 der Grundverordnung, hat das CPVO ein Gemeinschaftliches Sortenrecht (CPVR) als nichtig zu erklären, wenn es zu dem </w:t>
      </w:r>
      <w:proofErr w:type="spellStart"/>
      <w:r w:rsidRPr="000C40CC">
        <w:rPr>
          <w:rFonts w:cs="Arial"/>
        </w:rPr>
        <w:t>Schluß</w:t>
      </w:r>
      <w:proofErr w:type="spellEnd"/>
      <w:r w:rsidRPr="000C40CC">
        <w:rPr>
          <w:rFonts w:cs="Arial"/>
        </w:rPr>
        <w:t xml:space="preserve"> gekommen ist, </w:t>
      </w:r>
      <w:proofErr w:type="spellStart"/>
      <w:r w:rsidRPr="000C40CC">
        <w:rPr>
          <w:rFonts w:cs="Arial"/>
        </w:rPr>
        <w:t>daß</w:t>
      </w:r>
      <w:proofErr w:type="spellEnd"/>
      <w:r w:rsidRPr="000C40CC">
        <w:rPr>
          <w:rFonts w:cs="Arial"/>
        </w:rPr>
        <w:t xml:space="preserve"> Unterscheidbarkeit und Neuheit zum Zeitpunkt der Erteilung des Rechtes nicht gegeben waren. Diese Anforderungen sind eine Voraussetzung für die Erteilung eines gemeinschaftlichen Sortenrechtes und somit ist bei Nichterfüllung dieser Bedingungen das erteilte Recht nicht rechtmäßig und</w:t>
      </w:r>
      <w:r>
        <w:rPr>
          <w:rFonts w:cs="Arial"/>
        </w:rPr>
        <w:t xml:space="preserve"> liegt es im öffentlichen</w:t>
      </w:r>
      <w:r w:rsidRPr="000C40CC">
        <w:rPr>
          <w:rFonts w:cs="Arial"/>
        </w:rPr>
        <w:t xml:space="preserve"> Interesse, es als nichtig zu erklären. Eine Nichtigkeitserklärung eines gemeinschaftlichen Sortenrechtes kann auch im Interesse einer dritten Partei geschehen. Dies rechtfertigt jedoch nicht, es einer dritten Partei zu gestatten, die Nichtigkeit</w:t>
      </w:r>
      <w:r>
        <w:rPr>
          <w:rFonts w:cs="Arial"/>
        </w:rPr>
        <w:t>serklärung</w:t>
      </w:r>
      <w:r w:rsidRPr="000C40CC">
        <w:rPr>
          <w:rFonts w:cs="Arial"/>
        </w:rPr>
        <w:t xml:space="preserve"> eines gemeinschaftlichen </w:t>
      </w:r>
      <w:r>
        <w:rPr>
          <w:rFonts w:cs="Arial"/>
        </w:rPr>
        <w:t xml:space="preserve">Sortenrechtes </w:t>
      </w:r>
      <w:r w:rsidRPr="000C40CC">
        <w:rPr>
          <w:rFonts w:cs="Arial"/>
        </w:rPr>
        <w:t xml:space="preserve">unter allen Umständen und ohne besonderen Grund zu beantragen. Die Erteilung eines gemeinschaftlichen Sortenrechtes erfolgt </w:t>
      </w:r>
      <w:r>
        <w:rPr>
          <w:rFonts w:cs="Arial"/>
        </w:rPr>
        <w:t xml:space="preserve">nach </w:t>
      </w:r>
      <w:r w:rsidRPr="000C40CC">
        <w:rPr>
          <w:rFonts w:cs="Arial"/>
        </w:rPr>
        <w:t>eine</w:t>
      </w:r>
      <w:r>
        <w:rPr>
          <w:rFonts w:cs="Arial"/>
        </w:rPr>
        <w:t>r</w:t>
      </w:r>
      <w:r w:rsidRPr="000C40CC">
        <w:rPr>
          <w:rFonts w:cs="Arial"/>
        </w:rPr>
        <w:t xml:space="preserve"> lange</w:t>
      </w:r>
      <w:r>
        <w:rPr>
          <w:rFonts w:cs="Arial"/>
        </w:rPr>
        <w:t>n</w:t>
      </w:r>
      <w:r w:rsidRPr="000C40CC">
        <w:rPr>
          <w:rFonts w:cs="Arial"/>
        </w:rPr>
        <w:t xml:space="preserve"> und umfangreiche</w:t>
      </w:r>
      <w:r>
        <w:rPr>
          <w:rFonts w:cs="Arial"/>
        </w:rPr>
        <w:t>n</w:t>
      </w:r>
      <w:r w:rsidRPr="000C40CC">
        <w:rPr>
          <w:rFonts w:cs="Arial"/>
        </w:rPr>
        <w:t xml:space="preserve"> Prüfung. Aus diesem Grund verfügt das CPVO über ein </w:t>
      </w:r>
      <w:r>
        <w:rPr>
          <w:rFonts w:cs="Arial"/>
        </w:rPr>
        <w:t>breites</w:t>
      </w:r>
      <w:r w:rsidRPr="000C40CC">
        <w:rPr>
          <w:rFonts w:cs="Arial"/>
        </w:rPr>
        <w:t xml:space="preserve"> Ermessen betreffend die Nichtigkeitserklärung eines erteilten gemeinschaftlichen Sortenrechtes</w:t>
      </w:r>
      <w:r>
        <w:rPr>
          <w:rFonts w:cs="Arial"/>
        </w:rPr>
        <w:t>,</w:t>
      </w:r>
      <w:r w:rsidRPr="000C40CC">
        <w:rPr>
          <w:rFonts w:cs="Arial"/>
        </w:rPr>
        <w:t xml:space="preserve"> so</w:t>
      </w:r>
      <w:r>
        <w:rPr>
          <w:rFonts w:cs="Arial"/>
        </w:rPr>
        <w:t>lange</w:t>
      </w:r>
      <w:r w:rsidRPr="000C40CC">
        <w:rPr>
          <w:rFonts w:cs="Arial"/>
        </w:rPr>
        <w:t xml:space="preserve"> die geschützte Sorte der sachlichen und technischen Prüfung unterzogen wurde. Somit ist eine erneute Prüfung mittels eines Nichtigkeitsverfahrens nur im Fall von ernsthaften Zweifeln daran, </w:t>
      </w:r>
      <w:proofErr w:type="spellStart"/>
      <w:r w:rsidRPr="000C40CC">
        <w:rPr>
          <w:rFonts w:cs="Arial"/>
        </w:rPr>
        <w:t>daß</w:t>
      </w:r>
      <w:proofErr w:type="spellEnd"/>
      <w:r w:rsidRPr="000C40CC">
        <w:rPr>
          <w:rFonts w:cs="Arial"/>
        </w:rPr>
        <w:t xml:space="preserve"> die Bedingungen für die Erteilung eines gemeinschaftlichen </w:t>
      </w:r>
      <w:r>
        <w:rPr>
          <w:rFonts w:cs="Arial"/>
        </w:rPr>
        <w:t xml:space="preserve">Sortenrechtes </w:t>
      </w:r>
      <w:r w:rsidRPr="000C40CC">
        <w:rPr>
          <w:rFonts w:cs="Arial"/>
        </w:rPr>
        <w:t>nicht erfüllt wurden, gerechtfertigt. Aus diesem Grund</w:t>
      </w:r>
      <w:r>
        <w:rPr>
          <w:rFonts w:cs="Arial"/>
        </w:rPr>
        <w:t xml:space="preserve"> </w:t>
      </w:r>
      <w:proofErr w:type="spellStart"/>
      <w:r>
        <w:rPr>
          <w:rFonts w:cs="Arial"/>
        </w:rPr>
        <w:t>muß</w:t>
      </w:r>
      <w:proofErr w:type="spellEnd"/>
      <w:r>
        <w:rPr>
          <w:rFonts w:cs="Arial"/>
        </w:rPr>
        <w:t xml:space="preserve"> </w:t>
      </w:r>
      <w:r w:rsidRPr="000C40CC">
        <w:rPr>
          <w:rFonts w:cs="Arial"/>
        </w:rPr>
        <w:t>eine dritte Partei, die eine Nichtigkeitserklärung eines gemeinschaftlichen Sortenrechtes anstrebt, Beweise und Fakten mit ausreichender Substanz</w:t>
      </w:r>
      <w:r w:rsidRPr="00950A2A">
        <w:rPr>
          <w:rFonts w:cs="Arial"/>
        </w:rPr>
        <w:t xml:space="preserve"> </w:t>
      </w:r>
      <w:r w:rsidRPr="000C40CC">
        <w:rPr>
          <w:rFonts w:cs="Arial"/>
        </w:rPr>
        <w:t>vorlegen, um ernstha</w:t>
      </w:r>
      <w:r>
        <w:rPr>
          <w:rFonts w:cs="Arial"/>
        </w:rPr>
        <w:t>fte Zweifel bezüglich der Recht</w:t>
      </w:r>
      <w:r w:rsidRPr="000C40CC">
        <w:rPr>
          <w:rFonts w:cs="Arial"/>
        </w:rPr>
        <w:t xml:space="preserve">mäßigkeit der </w:t>
      </w:r>
      <w:r>
        <w:rPr>
          <w:rFonts w:cs="Arial"/>
        </w:rPr>
        <w:t>E</w:t>
      </w:r>
      <w:r w:rsidRPr="000C40CC">
        <w:rPr>
          <w:rFonts w:cs="Arial"/>
        </w:rPr>
        <w:t xml:space="preserve">rteilung eines gemeinschaftlichen Sortenrechtes aufzuwerfen. Dementsprechend oblag der dritten Partei in dieser Hinsicht die Beweislast. </w:t>
      </w:r>
    </w:p>
    <w:p w:rsidR="00AF7FF3" w:rsidRPr="000C40CC" w:rsidRDefault="00AF7FF3" w:rsidP="00AF7FF3">
      <w:pPr>
        <w:keepLines/>
        <w:spacing w:after="240"/>
        <w:ind w:left="720"/>
        <w:rPr>
          <w:rFonts w:cs="Arial"/>
          <w:i/>
          <w:lang w:eastAsia="en-GB"/>
        </w:rPr>
      </w:pPr>
      <w:r w:rsidRPr="000C40CC">
        <w:rPr>
          <w:rFonts w:cs="Arial"/>
          <w:i/>
          <w:lang w:eastAsia="en-GB"/>
        </w:rPr>
        <w:t>b) Urteil des Gerichtes (Zweite Kammer) vom 25. Juni 2015 im Fall C-242/14. Verweis auf eine Vorabentscheidung: Landgericht Mannheim - Deutschland. Saatgut-</w:t>
      </w:r>
      <w:proofErr w:type="spellStart"/>
      <w:r w:rsidRPr="000C40CC">
        <w:rPr>
          <w:rFonts w:cs="Arial"/>
          <w:i/>
          <w:lang w:eastAsia="en-GB"/>
        </w:rPr>
        <w:t>Treuhandverwaltungs</w:t>
      </w:r>
      <w:proofErr w:type="spellEnd"/>
      <w:r w:rsidRPr="000C40CC">
        <w:rPr>
          <w:rFonts w:cs="Arial"/>
          <w:i/>
          <w:lang w:eastAsia="en-GB"/>
        </w:rPr>
        <w:t xml:space="preserve"> GmbH gegen Gerhard und Jürgen Vogel GbR und </w:t>
      </w:r>
      <w:r>
        <w:rPr>
          <w:rFonts w:cs="Arial"/>
          <w:i/>
          <w:lang w:eastAsia="en-GB"/>
        </w:rPr>
        <w:t>a</w:t>
      </w:r>
      <w:r w:rsidRPr="000C40CC">
        <w:rPr>
          <w:rFonts w:cs="Arial"/>
          <w:i/>
          <w:lang w:eastAsia="en-GB"/>
        </w:rPr>
        <w:t xml:space="preserve">ndere. Verordnung (EG) Nr. 2100/94 über den gemeinschaftlichen Sortenschutz </w:t>
      </w:r>
      <w:r>
        <w:rPr>
          <w:rFonts w:cs="Arial"/>
          <w:i/>
          <w:lang w:eastAsia="en-GB"/>
        </w:rPr>
        <w:t>-</w:t>
      </w:r>
      <w:r w:rsidRPr="000C40CC">
        <w:rPr>
          <w:rFonts w:cs="Arial"/>
          <w:i/>
          <w:lang w:eastAsia="en-GB"/>
        </w:rPr>
        <w:t xml:space="preserve"> Ausnahmeregelung in Artikel 14 - </w:t>
      </w:r>
      <w:r w:rsidRPr="000C40CC">
        <w:rPr>
          <w:bCs/>
          <w:i/>
        </w:rPr>
        <w:t>Nutzung des Ernteerzeugnisses durch die Landwirte</w:t>
      </w:r>
      <w:r w:rsidRPr="000C40CC">
        <w:rPr>
          <w:rFonts w:cs="Arial"/>
          <w:i/>
          <w:lang w:eastAsia="en-GB"/>
        </w:rPr>
        <w:t xml:space="preserve"> </w:t>
      </w:r>
      <w:r w:rsidRPr="000C40CC">
        <w:rPr>
          <w:bCs/>
          <w:i/>
        </w:rPr>
        <w:t>zu Vermehrungszwecken</w:t>
      </w:r>
      <w:r w:rsidRPr="000C40CC">
        <w:rPr>
          <w:rFonts w:cs="Arial"/>
          <w:i/>
          <w:lang w:eastAsia="en-GB"/>
        </w:rPr>
        <w:t xml:space="preserve"> </w:t>
      </w:r>
      <w:r w:rsidRPr="000C40CC">
        <w:rPr>
          <w:bCs/>
          <w:i/>
        </w:rPr>
        <w:t>ohne Zustimmung des Re</w:t>
      </w:r>
      <w:r w:rsidRPr="000C40CC">
        <w:rPr>
          <w:i/>
        </w:rPr>
        <w:t>chtsinhabers</w:t>
      </w:r>
      <w:r w:rsidRPr="000C40CC">
        <w:rPr>
          <w:rFonts w:cs="Arial"/>
          <w:i/>
          <w:lang w:eastAsia="en-GB"/>
        </w:rPr>
        <w:t xml:space="preserve"> </w:t>
      </w:r>
      <w:r>
        <w:rPr>
          <w:rFonts w:cs="Arial"/>
          <w:i/>
          <w:lang w:eastAsia="en-GB"/>
        </w:rPr>
        <w:t>-</w:t>
      </w:r>
      <w:r w:rsidRPr="000C40CC">
        <w:rPr>
          <w:rFonts w:cs="Arial"/>
          <w:i/>
          <w:lang w:eastAsia="en-GB"/>
        </w:rPr>
        <w:t xml:space="preserve"> Verpflichtung der Landwirte zur Zahlung einer angemessenen Entschädigung für eine solche Nutzung </w:t>
      </w:r>
      <w:r>
        <w:rPr>
          <w:rFonts w:cs="Arial"/>
          <w:i/>
          <w:lang w:eastAsia="en-GB"/>
        </w:rPr>
        <w:t>-</w:t>
      </w:r>
      <w:r w:rsidRPr="000C40CC">
        <w:rPr>
          <w:rFonts w:cs="Arial"/>
          <w:i/>
          <w:lang w:eastAsia="en-GB"/>
        </w:rPr>
        <w:t xml:space="preserve"> Zeitraum, innerhalb dessen diese Entschädigung zu zahlen ist, um die Ausnahmeregelung nutzen zu können  - ob der Rechtsinhaber Artikel 94 in Anspruch nehmen kann - Verletzung. </w:t>
      </w:r>
    </w:p>
    <w:p w:rsidR="00AF7FF3" w:rsidRPr="00AE1AD0" w:rsidRDefault="00AF7FF3" w:rsidP="00AF7FF3">
      <w:pPr>
        <w:spacing w:after="240"/>
        <w:rPr>
          <w:rFonts w:cs="Arial"/>
          <w:lang w:eastAsia="en-GB"/>
        </w:rPr>
      </w:pPr>
      <w:r w:rsidRPr="000C40CC">
        <w:rPr>
          <w:rFonts w:cs="Arial"/>
          <w:bCs/>
        </w:rPr>
        <w:t>Um die Ausnahme</w:t>
      </w:r>
      <w:r>
        <w:rPr>
          <w:rFonts w:cs="Arial"/>
          <w:bCs/>
        </w:rPr>
        <w:t xml:space="preserve"> </w:t>
      </w:r>
      <w:r w:rsidRPr="000C40CC">
        <w:rPr>
          <w:rFonts w:cs="Arial"/>
          <w:bCs/>
        </w:rPr>
        <w:t xml:space="preserve">von der Verpflichtung, die Zustimmung des Rechtsinhabers des betroffenen Sortenrechtes </w:t>
      </w:r>
      <w:r>
        <w:rPr>
          <w:rFonts w:cs="Arial"/>
          <w:bCs/>
        </w:rPr>
        <w:t xml:space="preserve">einzuholen, die </w:t>
      </w:r>
      <w:r w:rsidRPr="000C40CC">
        <w:rPr>
          <w:rFonts w:cs="Arial"/>
          <w:bCs/>
        </w:rPr>
        <w:t>in Artikel 14 der Verordnung (EG) Nr. 2100/94 des Rates vom 27. Juli 1994 über den gemeinschaftlichen Sortenschutz (die Grundverordnung)</w:t>
      </w:r>
      <w:r>
        <w:rPr>
          <w:rFonts w:cs="Arial"/>
          <w:bCs/>
        </w:rPr>
        <w:t xml:space="preserve"> festgelegt ist,</w:t>
      </w:r>
      <w:r w:rsidRPr="000C40CC">
        <w:rPr>
          <w:rFonts w:cs="Arial"/>
          <w:bCs/>
        </w:rPr>
        <w:t xml:space="preserve"> nutzen zu können, ist ein Landwirt, der </w:t>
      </w:r>
      <w:r w:rsidRPr="00AE1AD0">
        <w:rPr>
          <w:rFonts w:cs="Arial"/>
          <w:bCs/>
        </w:rPr>
        <w:t xml:space="preserve">Vermehrungsmaterial angebaut hat, das er von einer geschützten Sorte (Nachbausaatgut) ohne </w:t>
      </w:r>
      <w:proofErr w:type="spellStart"/>
      <w:r w:rsidRPr="00AE1AD0">
        <w:rPr>
          <w:rFonts w:cs="Arial"/>
          <w:bCs/>
        </w:rPr>
        <w:t>Abschluß</w:t>
      </w:r>
      <w:proofErr w:type="spellEnd"/>
      <w:r w:rsidRPr="00AE1AD0">
        <w:rPr>
          <w:rFonts w:cs="Arial"/>
          <w:bCs/>
        </w:rPr>
        <w:t xml:space="preserve"> eines entsprechenden Vertrages mit dem Rechtsinhaber erlangt hat, verpflichtet, die </w:t>
      </w:r>
      <w:r w:rsidRPr="00AE1AD0">
        <w:rPr>
          <w:rFonts w:cs="Arial"/>
          <w:lang w:eastAsia="en-GB"/>
        </w:rPr>
        <w:t>angemessene Entschädigung gemäß der vierten</w:t>
      </w:r>
      <w:r w:rsidRPr="00AE1AD0">
        <w:rPr>
          <w:rFonts w:cs="Arial"/>
          <w:bCs/>
        </w:rPr>
        <w:t xml:space="preserve"> Zeile von Artikel 14 Absatz 3 dieser Verordnung innerhalb des Zeitraums </w:t>
      </w:r>
      <w:r w:rsidRPr="00AE1AD0">
        <w:rPr>
          <w:rFonts w:cs="Arial"/>
          <w:lang w:eastAsia="en-GB"/>
        </w:rPr>
        <w:t>zu zahlen</w:t>
      </w:r>
      <w:r w:rsidRPr="00AE1AD0">
        <w:rPr>
          <w:rFonts w:cs="Arial"/>
          <w:bCs/>
        </w:rPr>
        <w:t xml:space="preserve">, der </w:t>
      </w:r>
      <w:r w:rsidRPr="00AE1AD0">
        <w:rPr>
          <w:bCs/>
        </w:rPr>
        <w:t>am Ende des Wirtschaftsjahres</w:t>
      </w:r>
      <w:r w:rsidRPr="00AE1AD0">
        <w:rPr>
          <w:rFonts w:cs="Arial"/>
          <w:bCs/>
        </w:rPr>
        <w:t xml:space="preserve"> abläuft, in dem er das Saatgut angepflanzt hat, d.h. bis spätestens 30. Juni nach dem Zeitpunkt der </w:t>
      </w:r>
      <w:proofErr w:type="spellStart"/>
      <w:r w:rsidRPr="00AE1AD0">
        <w:rPr>
          <w:rFonts w:cs="Arial"/>
          <w:bCs/>
        </w:rPr>
        <w:t>Nachsaat</w:t>
      </w:r>
      <w:proofErr w:type="spellEnd"/>
      <w:r w:rsidRPr="00AE1AD0">
        <w:rPr>
          <w:rFonts w:cs="Arial"/>
          <w:bCs/>
        </w:rPr>
        <w:t>.</w:t>
      </w:r>
    </w:p>
    <w:p w:rsidR="00AF7FF3" w:rsidRPr="000C40CC" w:rsidRDefault="00AF7FF3" w:rsidP="00AF7FF3">
      <w:pPr>
        <w:spacing w:after="240"/>
        <w:rPr>
          <w:rFonts w:cs="Arial"/>
          <w:b/>
          <w:u w:val="single"/>
        </w:rPr>
      </w:pPr>
      <w:r w:rsidRPr="000C40CC">
        <w:rPr>
          <w:rFonts w:cs="Arial"/>
          <w:b/>
          <w:u w:val="single"/>
        </w:rPr>
        <w:t>2) Zusammenarbeit bei der Prüfung</w:t>
      </w:r>
    </w:p>
    <w:p w:rsidR="00AF7FF3" w:rsidRPr="00AF7FF3" w:rsidRDefault="00AF7FF3" w:rsidP="00AF7FF3">
      <w:pPr>
        <w:spacing w:after="240"/>
        <w:rPr>
          <w:rFonts w:cs="Arial"/>
        </w:rPr>
      </w:pPr>
      <w:r w:rsidRPr="000C40CC">
        <w:rPr>
          <w:rFonts w:cs="Arial"/>
          <w:i/>
          <w:u w:val="single"/>
        </w:rPr>
        <w:t>2.1 Schließung neuer Vereinbarungen</w:t>
      </w:r>
      <w:r w:rsidRPr="00AF7FF3">
        <w:rPr>
          <w:rFonts w:cs="Arial"/>
          <w:i/>
        </w:rPr>
        <w:t xml:space="preserve">: </w:t>
      </w:r>
      <w:r w:rsidRPr="00AF7FF3">
        <w:rPr>
          <w:rFonts w:cs="Arial"/>
        </w:rPr>
        <w:t>Keine.</w:t>
      </w:r>
    </w:p>
    <w:p w:rsidR="00AF7FF3" w:rsidRPr="000C40CC" w:rsidRDefault="00AF7FF3" w:rsidP="00AF7FF3">
      <w:pPr>
        <w:spacing w:after="240"/>
        <w:rPr>
          <w:rFonts w:cs="Arial"/>
          <w:i/>
          <w:u w:val="single"/>
        </w:rPr>
      </w:pPr>
      <w:r w:rsidRPr="000C40CC">
        <w:rPr>
          <w:rFonts w:cs="Arial"/>
          <w:i/>
          <w:u w:val="single"/>
        </w:rPr>
        <w:t>2.2 Änderung bestehender Vereinbarungen</w:t>
      </w:r>
      <w:r w:rsidRPr="00AF7FF3">
        <w:rPr>
          <w:rFonts w:cs="Arial"/>
          <w:i/>
        </w:rPr>
        <w:t xml:space="preserve">: </w:t>
      </w:r>
      <w:r w:rsidRPr="00AF7FF3">
        <w:rPr>
          <w:rFonts w:cs="Arial"/>
        </w:rPr>
        <w:t>Keine.</w:t>
      </w:r>
    </w:p>
    <w:p w:rsidR="00AF7FF3" w:rsidRPr="000C40CC" w:rsidRDefault="00AF7FF3" w:rsidP="00AF7FF3">
      <w:pPr>
        <w:spacing w:after="240"/>
        <w:rPr>
          <w:rFonts w:cs="Arial"/>
          <w:i/>
        </w:rPr>
      </w:pPr>
      <w:r w:rsidRPr="000C40CC">
        <w:rPr>
          <w:rFonts w:cs="Arial"/>
          <w:i/>
          <w:u w:val="single"/>
        </w:rPr>
        <w:t xml:space="preserve">2.3 Absichtserklärung (Memorandum </w:t>
      </w:r>
      <w:proofErr w:type="spellStart"/>
      <w:r w:rsidRPr="000C40CC">
        <w:rPr>
          <w:rFonts w:cs="Arial"/>
          <w:i/>
          <w:u w:val="single"/>
        </w:rPr>
        <w:t>of</w:t>
      </w:r>
      <w:proofErr w:type="spellEnd"/>
      <w:r w:rsidRPr="000C40CC">
        <w:rPr>
          <w:rFonts w:cs="Arial"/>
          <w:i/>
          <w:u w:val="single"/>
        </w:rPr>
        <w:t xml:space="preserve"> Understanding) mit Drittländern</w:t>
      </w:r>
      <w:r w:rsidRPr="00AF7FF3">
        <w:rPr>
          <w:rFonts w:cs="Arial"/>
          <w:i/>
        </w:rPr>
        <w:t xml:space="preserve">: </w:t>
      </w:r>
      <w:r w:rsidRPr="00AF7FF3">
        <w:rPr>
          <w:rFonts w:cs="Arial"/>
        </w:rPr>
        <w:t>Keine.</w:t>
      </w:r>
    </w:p>
    <w:p w:rsidR="00AF7FF3" w:rsidRPr="000C40CC" w:rsidRDefault="00AF7FF3" w:rsidP="00AF7FF3">
      <w:pPr>
        <w:spacing w:after="240"/>
        <w:rPr>
          <w:rFonts w:cs="Arial"/>
          <w:b/>
          <w:u w:val="single"/>
        </w:rPr>
      </w:pPr>
      <w:r w:rsidRPr="000C40CC">
        <w:rPr>
          <w:rFonts w:cs="Arial"/>
          <w:b/>
          <w:u w:val="single"/>
        </w:rPr>
        <w:t>3) Lage auf dem Gebiet der Verwaltung</w:t>
      </w:r>
    </w:p>
    <w:p w:rsidR="00AF7FF3" w:rsidRPr="000C40CC" w:rsidRDefault="00AF7FF3" w:rsidP="00AF7FF3">
      <w:pPr>
        <w:spacing w:after="240"/>
        <w:rPr>
          <w:rFonts w:cs="Arial"/>
          <w:i/>
          <w:u w:val="single"/>
        </w:rPr>
      </w:pPr>
      <w:r w:rsidRPr="000C40CC">
        <w:rPr>
          <w:rFonts w:cs="Arial"/>
          <w:i/>
          <w:u w:val="single"/>
        </w:rPr>
        <w:t>Aktualisierung der CPVO-Verwaltungsstruktur</w:t>
      </w:r>
      <w:r w:rsidRPr="00AF7FF3">
        <w:rPr>
          <w:rFonts w:cs="Arial"/>
          <w:i/>
        </w:rPr>
        <w:t>:</w:t>
      </w:r>
      <w:r w:rsidRPr="000C40CC">
        <w:rPr>
          <w:rFonts w:cs="Arial"/>
          <w:i/>
        </w:rPr>
        <w:t xml:space="preserve"> </w:t>
      </w:r>
      <w:r w:rsidRPr="00AF7FF3">
        <w:rPr>
          <w:rFonts w:cs="Arial"/>
        </w:rPr>
        <w:t>Keine.</w:t>
      </w:r>
    </w:p>
    <w:p w:rsidR="00AF7FF3" w:rsidRPr="000C40CC" w:rsidRDefault="00AF7FF3" w:rsidP="00AF7FF3">
      <w:pPr>
        <w:spacing w:after="240"/>
        <w:rPr>
          <w:rFonts w:cs="Arial"/>
          <w:b/>
          <w:u w:val="single"/>
        </w:rPr>
      </w:pPr>
      <w:r w:rsidRPr="000C40CC">
        <w:rPr>
          <w:rFonts w:cs="Arial"/>
          <w:b/>
          <w:u w:val="single"/>
        </w:rPr>
        <w:t xml:space="preserve">4) </w:t>
      </w:r>
      <w:r w:rsidRPr="000C40CC">
        <w:rPr>
          <w:b/>
          <w:u w:val="single"/>
        </w:rPr>
        <w:t>Lage auf dem Gebiet der Technik</w:t>
      </w:r>
    </w:p>
    <w:p w:rsidR="00AF7FF3" w:rsidRPr="000C40CC" w:rsidRDefault="00AF7FF3" w:rsidP="00AF7FF3">
      <w:pPr>
        <w:spacing w:after="240"/>
        <w:ind w:right="43"/>
        <w:rPr>
          <w:rFonts w:cs="Arial"/>
          <w:i/>
          <w:u w:val="single"/>
        </w:rPr>
      </w:pPr>
      <w:r w:rsidRPr="000C40CC">
        <w:rPr>
          <w:rFonts w:cs="Arial"/>
          <w:i/>
          <w:u w:val="single"/>
        </w:rPr>
        <w:t>4.1 Informationen über die Funktionsweise des gemeinschaftlichen Sortenschutzes der EU</w:t>
      </w:r>
    </w:p>
    <w:p w:rsidR="00AF7FF3" w:rsidRPr="000C40CC" w:rsidRDefault="00AF7FF3" w:rsidP="00AF7FF3">
      <w:pPr>
        <w:spacing w:after="240"/>
        <w:ind w:right="43" w:firstLine="567"/>
        <w:rPr>
          <w:rFonts w:cs="Arial"/>
          <w:i/>
        </w:rPr>
      </w:pPr>
      <w:r w:rsidRPr="000C40CC">
        <w:rPr>
          <w:rFonts w:cs="Arial"/>
          <w:i/>
        </w:rPr>
        <w:t xml:space="preserve">a.  Beziehungen zu den Prüfungsämtern </w:t>
      </w:r>
    </w:p>
    <w:p w:rsidR="00AF7FF3" w:rsidRPr="000C40CC" w:rsidRDefault="00AF7FF3" w:rsidP="00AF7FF3">
      <w:pPr>
        <w:spacing w:after="240"/>
        <w:ind w:right="43"/>
        <w:rPr>
          <w:rFonts w:cs="Arial"/>
        </w:rPr>
      </w:pPr>
      <w:r w:rsidRPr="000C40CC">
        <w:rPr>
          <w:rFonts w:cs="Arial"/>
        </w:rPr>
        <w:t xml:space="preserve">Im Jahr 2014 hielt das CPVO seine 18. </w:t>
      </w:r>
      <w:r>
        <w:rPr>
          <w:rFonts w:cs="Arial"/>
        </w:rPr>
        <w:t>Jahrest</w:t>
      </w:r>
      <w:r w:rsidRPr="000C40CC">
        <w:rPr>
          <w:rFonts w:cs="Arial"/>
        </w:rPr>
        <w:t>agung mit den Prüfungsämtern ab, an der auch Vertreter von dem Büro der UPOV</w:t>
      </w:r>
      <w:r>
        <w:rPr>
          <w:rFonts w:cs="Arial"/>
        </w:rPr>
        <w:t xml:space="preserve"> und den </w:t>
      </w:r>
      <w:r w:rsidRPr="000C40CC">
        <w:rPr>
          <w:rFonts w:cs="Arial"/>
        </w:rPr>
        <w:t>Züchter</w:t>
      </w:r>
      <w:r>
        <w:rPr>
          <w:rFonts w:cs="Arial"/>
        </w:rPr>
        <w:t>o</w:t>
      </w:r>
      <w:r w:rsidRPr="000C40CC">
        <w:rPr>
          <w:rFonts w:cs="Arial"/>
        </w:rPr>
        <w:t xml:space="preserve">rganisationen (ESA, CIOPORA und </w:t>
      </w:r>
      <w:proofErr w:type="spellStart"/>
      <w:r w:rsidRPr="000C40CC">
        <w:rPr>
          <w:rFonts w:cs="Arial"/>
        </w:rPr>
        <w:t>Plantum</w:t>
      </w:r>
      <w:proofErr w:type="spellEnd"/>
      <w:r w:rsidRPr="000C40CC">
        <w:rPr>
          <w:rFonts w:cs="Arial"/>
        </w:rPr>
        <w:t>) und ein Vertreter aus Norwegen teilnahmen. Die wichtigsten Diskussionsthemen waren:</w:t>
      </w:r>
    </w:p>
    <w:p w:rsidR="00AF7FF3" w:rsidRPr="000C40CC" w:rsidRDefault="00AF7FF3" w:rsidP="00AF7FF3">
      <w:pPr>
        <w:numPr>
          <w:ilvl w:val="0"/>
          <w:numId w:val="41"/>
        </w:numPr>
        <w:autoSpaceDE w:val="0"/>
        <w:autoSpaceDN w:val="0"/>
        <w:adjustRightInd w:val="0"/>
        <w:spacing w:after="100"/>
        <w:ind w:left="641" w:hanging="357"/>
        <w:rPr>
          <w:rFonts w:cs="Arial"/>
        </w:rPr>
      </w:pPr>
      <w:r w:rsidRPr="000C40CC">
        <w:rPr>
          <w:rFonts w:cs="Arial"/>
        </w:rPr>
        <w:t>Netzwerk der technischen Verbindungsbeamten: Vorstellung eines neuen Aufbaus;</w:t>
      </w:r>
    </w:p>
    <w:p w:rsidR="00AF7FF3" w:rsidRPr="00F0556D" w:rsidRDefault="00AF7FF3" w:rsidP="00AF7FF3">
      <w:pPr>
        <w:numPr>
          <w:ilvl w:val="0"/>
          <w:numId w:val="41"/>
        </w:numPr>
        <w:autoSpaceDE w:val="0"/>
        <w:autoSpaceDN w:val="0"/>
        <w:adjustRightInd w:val="0"/>
        <w:spacing w:after="100"/>
        <w:ind w:left="641" w:hanging="357"/>
        <w:rPr>
          <w:rFonts w:cs="Arial"/>
        </w:rPr>
      </w:pPr>
      <w:r w:rsidRPr="000C40CC">
        <w:rPr>
          <w:rFonts w:cs="Arial"/>
        </w:rPr>
        <w:t xml:space="preserve">Abweichungen zwischen </w:t>
      </w:r>
      <w:r>
        <w:rPr>
          <w:rFonts w:cs="Arial"/>
        </w:rPr>
        <w:t xml:space="preserve">den </w:t>
      </w:r>
      <w:r w:rsidRPr="000C40CC">
        <w:rPr>
          <w:rFonts w:cs="Arial"/>
        </w:rPr>
        <w:t xml:space="preserve">in dem Technischen Fragebogen (TQ) enthaltenen Informationen und </w:t>
      </w:r>
      <w:r>
        <w:rPr>
          <w:rFonts w:cs="Arial"/>
        </w:rPr>
        <w:t xml:space="preserve">dem </w:t>
      </w:r>
      <w:r w:rsidRPr="000C40CC">
        <w:rPr>
          <w:rFonts w:cs="Arial"/>
        </w:rPr>
        <w:t xml:space="preserve">Erscheinungsbild der </w:t>
      </w:r>
      <w:r w:rsidRPr="00F0556D">
        <w:rPr>
          <w:rFonts w:cs="Arial"/>
        </w:rPr>
        <w:t>Pflanzen in der DUS-Anbauprüfung;</w:t>
      </w:r>
    </w:p>
    <w:p w:rsidR="00AF7FF3" w:rsidRPr="00F0556D" w:rsidRDefault="00AF7FF3" w:rsidP="00AF7FF3">
      <w:pPr>
        <w:numPr>
          <w:ilvl w:val="0"/>
          <w:numId w:val="41"/>
        </w:numPr>
        <w:autoSpaceDE w:val="0"/>
        <w:autoSpaceDN w:val="0"/>
        <w:adjustRightInd w:val="0"/>
        <w:spacing w:after="100"/>
        <w:ind w:left="641" w:hanging="357"/>
        <w:rPr>
          <w:rFonts w:cs="Arial"/>
        </w:rPr>
      </w:pPr>
      <w:r w:rsidRPr="00F0556D">
        <w:rPr>
          <w:rFonts w:cs="Arial"/>
        </w:rPr>
        <w:t xml:space="preserve">Überprüfung des </w:t>
      </w:r>
      <w:r w:rsidRPr="00F0556D">
        <w:rPr>
          <w:bCs/>
        </w:rPr>
        <w:t>Verfahrens für zusätzliche Merkmale</w:t>
      </w:r>
      <w:r w:rsidRPr="00F0556D">
        <w:rPr>
          <w:rFonts w:cs="Arial"/>
        </w:rPr>
        <w:t xml:space="preserve">, falls </w:t>
      </w:r>
      <w:r>
        <w:rPr>
          <w:rFonts w:cs="Arial"/>
        </w:rPr>
        <w:t>der</w:t>
      </w:r>
      <w:r w:rsidRPr="00F0556D">
        <w:rPr>
          <w:rFonts w:cs="Arial"/>
        </w:rPr>
        <w:t xml:space="preserve"> Schritt </w:t>
      </w:r>
      <w:r>
        <w:rPr>
          <w:rFonts w:cs="Arial"/>
        </w:rPr>
        <w:t>einer</w:t>
      </w:r>
      <w:r w:rsidRPr="00F0556D">
        <w:rPr>
          <w:rFonts w:cs="Arial"/>
        </w:rPr>
        <w:t xml:space="preserve"> technischen Untersuchung für die Erfassung des Merkmals erforderlich ist;</w:t>
      </w:r>
    </w:p>
    <w:p w:rsidR="00AF7FF3" w:rsidRPr="000C40CC" w:rsidRDefault="00AF7FF3" w:rsidP="00AF7FF3">
      <w:pPr>
        <w:numPr>
          <w:ilvl w:val="0"/>
          <w:numId w:val="41"/>
        </w:numPr>
        <w:autoSpaceDE w:val="0"/>
        <w:autoSpaceDN w:val="0"/>
        <w:adjustRightInd w:val="0"/>
        <w:spacing w:after="100"/>
        <w:ind w:left="641" w:hanging="357"/>
        <w:rPr>
          <w:rFonts w:cs="Arial"/>
        </w:rPr>
      </w:pPr>
      <w:r>
        <w:rPr>
          <w:rFonts w:cs="Arial"/>
        </w:rPr>
        <w:t>Zentralisierung für kleine Ziera</w:t>
      </w:r>
      <w:r w:rsidRPr="000C40CC">
        <w:rPr>
          <w:rFonts w:cs="Arial"/>
        </w:rPr>
        <w:t xml:space="preserve">rten, </w:t>
      </w:r>
      <w:r>
        <w:rPr>
          <w:rFonts w:cs="Arial"/>
        </w:rPr>
        <w:t>Situation</w:t>
      </w:r>
      <w:r w:rsidRPr="000C40CC">
        <w:rPr>
          <w:rFonts w:cs="Arial"/>
        </w:rPr>
        <w:t>;</w:t>
      </w:r>
    </w:p>
    <w:p w:rsidR="00AF7FF3" w:rsidRPr="000C40CC" w:rsidRDefault="00AF7FF3" w:rsidP="00AF7FF3">
      <w:pPr>
        <w:numPr>
          <w:ilvl w:val="0"/>
          <w:numId w:val="41"/>
        </w:numPr>
        <w:autoSpaceDE w:val="0"/>
        <w:autoSpaceDN w:val="0"/>
        <w:adjustRightInd w:val="0"/>
        <w:spacing w:after="100"/>
        <w:ind w:left="641" w:hanging="357"/>
        <w:rPr>
          <w:rFonts w:cs="Arial"/>
        </w:rPr>
      </w:pPr>
      <w:r w:rsidRPr="000C40CC">
        <w:rPr>
          <w:rFonts w:cs="Arial"/>
        </w:rPr>
        <w:t>Möglichkeiten der Zusammenarbeit von Nicht-EU-</w:t>
      </w:r>
      <w:r>
        <w:rPr>
          <w:rFonts w:cs="Arial"/>
        </w:rPr>
        <w:t>Mitgliedstaat</w:t>
      </w:r>
      <w:r w:rsidRPr="000C40CC">
        <w:rPr>
          <w:rFonts w:cs="Arial"/>
        </w:rPr>
        <w:t>en mit UPOV-Behörden beim Austausch von technischen Prüfungsberichten;</w:t>
      </w:r>
    </w:p>
    <w:p w:rsidR="00AF7FF3" w:rsidRPr="000C40CC" w:rsidRDefault="00AF7FF3" w:rsidP="00AF7FF3">
      <w:pPr>
        <w:numPr>
          <w:ilvl w:val="0"/>
          <w:numId w:val="41"/>
        </w:numPr>
        <w:autoSpaceDE w:val="0"/>
        <w:autoSpaceDN w:val="0"/>
        <w:adjustRightInd w:val="0"/>
        <w:spacing w:after="100"/>
        <w:ind w:left="641" w:hanging="357"/>
        <w:rPr>
          <w:rFonts w:cs="Arial"/>
        </w:rPr>
      </w:pPr>
      <w:r w:rsidRPr="000C40CC">
        <w:rPr>
          <w:rFonts w:cs="Arial"/>
        </w:rPr>
        <w:t>Aktualisierung von Sortenbeschreibungen;</w:t>
      </w:r>
    </w:p>
    <w:p w:rsidR="00AF7FF3" w:rsidRPr="000C40CC" w:rsidRDefault="00AF7FF3" w:rsidP="00AF7FF3">
      <w:pPr>
        <w:numPr>
          <w:ilvl w:val="0"/>
          <w:numId w:val="41"/>
        </w:numPr>
        <w:autoSpaceDE w:val="0"/>
        <w:autoSpaceDN w:val="0"/>
        <w:adjustRightInd w:val="0"/>
        <w:spacing w:after="100"/>
        <w:ind w:left="641" w:hanging="357"/>
        <w:rPr>
          <w:rFonts w:cs="Arial"/>
        </w:rPr>
      </w:pPr>
      <w:r w:rsidRPr="000C40CC">
        <w:rPr>
          <w:rFonts w:cs="Arial"/>
        </w:rPr>
        <w:t xml:space="preserve">Aspekte im Zusammenhang mit dem </w:t>
      </w:r>
      <w:r w:rsidRPr="000C40CC">
        <w:rPr>
          <w:rFonts w:cs="Arial"/>
          <w:iCs/>
        </w:rPr>
        <w:t>Grundsatz „Ein Schlüssel – mehrere Türen</w:t>
      </w:r>
      <w:r>
        <w:rPr>
          <w:rFonts w:cs="Arial"/>
          <w:iCs/>
        </w:rPr>
        <w:t>“</w:t>
      </w:r>
      <w:r w:rsidRPr="000C40CC">
        <w:rPr>
          <w:rFonts w:cs="Arial"/>
        </w:rPr>
        <w:t>;</w:t>
      </w:r>
    </w:p>
    <w:p w:rsidR="00AF7FF3" w:rsidRPr="000C40CC" w:rsidRDefault="00AF7FF3" w:rsidP="00AF7FF3">
      <w:pPr>
        <w:numPr>
          <w:ilvl w:val="0"/>
          <w:numId w:val="41"/>
        </w:numPr>
        <w:autoSpaceDE w:val="0"/>
        <w:autoSpaceDN w:val="0"/>
        <w:adjustRightInd w:val="0"/>
        <w:spacing w:after="100"/>
        <w:ind w:left="641" w:hanging="357"/>
        <w:rPr>
          <w:rFonts w:cs="Arial"/>
        </w:rPr>
      </w:pPr>
      <w:r w:rsidRPr="000C40CC">
        <w:rPr>
          <w:rFonts w:cs="Arial"/>
        </w:rPr>
        <w:t>Rolle der Prüfungsämter bei der Bereitstellung von Informationen über Neuheit, Sortenbezeichnungen, Berechtigung (andere Aspekte als DUS);</w:t>
      </w:r>
    </w:p>
    <w:p w:rsidR="00AF7FF3" w:rsidRPr="000C40CC" w:rsidRDefault="00AF7FF3" w:rsidP="00AF7FF3">
      <w:pPr>
        <w:numPr>
          <w:ilvl w:val="0"/>
          <w:numId w:val="41"/>
        </w:numPr>
        <w:autoSpaceDE w:val="0"/>
        <w:autoSpaceDN w:val="0"/>
        <w:adjustRightInd w:val="0"/>
        <w:spacing w:after="100"/>
        <w:ind w:left="641" w:hanging="357"/>
        <w:rPr>
          <w:rFonts w:cs="Arial"/>
        </w:rPr>
      </w:pPr>
      <w:r w:rsidRPr="000C40CC">
        <w:rPr>
          <w:rFonts w:cs="Arial"/>
        </w:rPr>
        <w:t>Vorschlag für eine Überarbeitung der von einem Prüfungsamt zu erfüllenden</w:t>
      </w:r>
      <w:r>
        <w:rPr>
          <w:rFonts w:cs="Arial"/>
        </w:rPr>
        <w:t xml:space="preserve"> </w:t>
      </w:r>
      <w:r w:rsidRPr="000C40CC">
        <w:rPr>
          <w:rFonts w:cs="Arial"/>
        </w:rPr>
        <w:t>Beauftragungsanforderungen;</w:t>
      </w:r>
    </w:p>
    <w:p w:rsidR="00AF7FF3" w:rsidRPr="000C40CC" w:rsidRDefault="00AF7FF3" w:rsidP="00AF7FF3">
      <w:pPr>
        <w:numPr>
          <w:ilvl w:val="0"/>
          <w:numId w:val="41"/>
        </w:numPr>
        <w:autoSpaceDE w:val="0"/>
        <w:autoSpaceDN w:val="0"/>
        <w:adjustRightInd w:val="0"/>
        <w:spacing w:after="100"/>
        <w:ind w:left="641" w:hanging="357"/>
        <w:rPr>
          <w:rFonts w:cs="Arial"/>
        </w:rPr>
      </w:pPr>
      <w:r w:rsidRPr="000C40CC">
        <w:rPr>
          <w:rFonts w:cs="Arial"/>
        </w:rPr>
        <w:t>Einführung von Gemeinschaftsmarken i</w:t>
      </w:r>
      <w:r>
        <w:rPr>
          <w:rFonts w:cs="Arial"/>
        </w:rPr>
        <w:t>m</w:t>
      </w:r>
      <w:r w:rsidRPr="000C40CC">
        <w:rPr>
          <w:rFonts w:cs="Arial"/>
        </w:rPr>
        <w:t xml:space="preserve"> </w:t>
      </w:r>
      <w:proofErr w:type="spellStart"/>
      <w:r w:rsidRPr="000C40CC">
        <w:rPr>
          <w:rFonts w:cs="Arial"/>
        </w:rPr>
        <w:t>VarietyFinder</w:t>
      </w:r>
      <w:proofErr w:type="spellEnd"/>
      <w:r w:rsidRPr="000C40CC">
        <w:rPr>
          <w:rFonts w:cs="Arial"/>
        </w:rPr>
        <w:t xml:space="preserve"> und Rückmeldungen von den Prüfungsämtern;</w:t>
      </w:r>
    </w:p>
    <w:p w:rsidR="00AF7FF3" w:rsidRPr="000C40CC" w:rsidRDefault="00AF7FF3" w:rsidP="00AF7FF3">
      <w:pPr>
        <w:numPr>
          <w:ilvl w:val="0"/>
          <w:numId w:val="41"/>
        </w:numPr>
        <w:autoSpaceDE w:val="0"/>
        <w:autoSpaceDN w:val="0"/>
        <w:adjustRightInd w:val="0"/>
        <w:spacing w:after="240"/>
        <w:rPr>
          <w:rFonts w:cs="Arial"/>
        </w:rPr>
      </w:pPr>
      <w:r w:rsidRPr="000C40CC">
        <w:rPr>
          <w:rFonts w:cs="Arial"/>
        </w:rPr>
        <w:t>Informationen über den Stand der Dinge der Forschungs- und Entwicklungsstrategie des CPVO.</w:t>
      </w:r>
    </w:p>
    <w:p w:rsidR="00AF7FF3" w:rsidRPr="000C40CC" w:rsidRDefault="00AF7FF3" w:rsidP="00AF7FF3">
      <w:pPr>
        <w:spacing w:after="240"/>
        <w:ind w:right="43" w:firstLine="567"/>
        <w:rPr>
          <w:rFonts w:cs="Arial"/>
          <w:i/>
        </w:rPr>
      </w:pPr>
      <w:r w:rsidRPr="000C40CC">
        <w:rPr>
          <w:rFonts w:cs="Arial"/>
          <w:i/>
        </w:rPr>
        <w:t>b.  Ausarbeitung von CPVO-Protokollen</w:t>
      </w:r>
    </w:p>
    <w:p w:rsidR="00AF7FF3" w:rsidRPr="00F0556D" w:rsidRDefault="00AF7FF3" w:rsidP="00AF7FF3">
      <w:pPr>
        <w:spacing w:after="240"/>
        <w:ind w:right="43"/>
        <w:rPr>
          <w:rFonts w:cs="Arial"/>
        </w:rPr>
      </w:pPr>
      <w:r w:rsidRPr="00F0556D">
        <w:rPr>
          <w:rFonts w:cs="Arial"/>
        </w:rPr>
        <w:t>Im Jahre 2014 wurden Sachverständige von Prüfungsämtern der Mitgliedstaaten zur Teilnahme an der Ausarbeitung oder Überprüfung technischer Protokolle für die DUS-Prüfung, die anschließend entweder vom Verwaltungsrat gebilligt wurden oder voraussichtlich im Jahr 2015 gebilligt werden, eingeladen. Folgende Sachverständigentagungen zur Erörterung</w:t>
      </w:r>
      <w:r>
        <w:rPr>
          <w:rFonts w:cs="Arial"/>
        </w:rPr>
        <w:t xml:space="preserve"> folgender</w:t>
      </w:r>
      <w:r w:rsidRPr="00F0556D">
        <w:rPr>
          <w:rFonts w:cs="Arial"/>
        </w:rPr>
        <w:t xml:space="preserve"> technischer Protokolle wurden abgehalten:</w:t>
      </w:r>
    </w:p>
    <w:p w:rsidR="00AF7FF3" w:rsidRPr="000C40CC" w:rsidRDefault="00AF7FF3" w:rsidP="00AF7FF3">
      <w:pPr>
        <w:numPr>
          <w:ilvl w:val="0"/>
          <w:numId w:val="42"/>
        </w:numPr>
        <w:autoSpaceDE w:val="0"/>
        <w:autoSpaceDN w:val="0"/>
        <w:adjustRightInd w:val="0"/>
        <w:spacing w:after="100"/>
        <w:ind w:left="641" w:hanging="357"/>
        <w:rPr>
          <w:rFonts w:cs="Arial"/>
        </w:rPr>
      </w:pPr>
      <w:r w:rsidRPr="000C40CC">
        <w:rPr>
          <w:rFonts w:cs="Arial"/>
        </w:rPr>
        <w:t xml:space="preserve">für </w:t>
      </w:r>
      <w:r>
        <w:rPr>
          <w:rFonts w:cs="Arial"/>
        </w:rPr>
        <w:t>l</w:t>
      </w:r>
      <w:r w:rsidRPr="000C40CC">
        <w:rPr>
          <w:rFonts w:cs="Arial"/>
        </w:rPr>
        <w:t xml:space="preserve">andwirtschaftliche Arten technische Protokolle für Gerste, Hafer, Sojabohne, Baumwolle, Rohrschwingel &amp; Wiesenschwingel, Ackerbohne und Saatwicke; </w:t>
      </w:r>
    </w:p>
    <w:p w:rsidR="00AF7FF3" w:rsidRPr="000C40CC" w:rsidRDefault="00AF7FF3" w:rsidP="00AF7FF3">
      <w:pPr>
        <w:numPr>
          <w:ilvl w:val="0"/>
          <w:numId w:val="42"/>
        </w:numPr>
        <w:autoSpaceDE w:val="0"/>
        <w:autoSpaceDN w:val="0"/>
        <w:adjustRightInd w:val="0"/>
        <w:spacing w:after="100"/>
        <w:ind w:left="641" w:hanging="357"/>
        <w:rPr>
          <w:rFonts w:cs="Arial"/>
        </w:rPr>
      </w:pPr>
      <w:r w:rsidRPr="000C40CC">
        <w:rPr>
          <w:rFonts w:cs="Arial"/>
        </w:rPr>
        <w:t>für Gemüsearten technische Protokolle für Mangold, Kohlrübe, Kürbis, Schwarzwurzel, Schnittlauch und Erbse;</w:t>
      </w:r>
    </w:p>
    <w:p w:rsidR="00AF7FF3" w:rsidRPr="000C40CC" w:rsidRDefault="00AF7FF3" w:rsidP="00AF7FF3">
      <w:pPr>
        <w:numPr>
          <w:ilvl w:val="0"/>
          <w:numId w:val="42"/>
        </w:numPr>
        <w:autoSpaceDE w:val="0"/>
        <w:autoSpaceDN w:val="0"/>
        <w:adjustRightInd w:val="0"/>
        <w:spacing w:after="100"/>
        <w:ind w:left="641" w:hanging="357"/>
        <w:rPr>
          <w:rFonts w:cs="Arial"/>
        </w:rPr>
      </w:pPr>
      <w:r w:rsidRPr="000C40CC">
        <w:rPr>
          <w:rFonts w:cs="Arial"/>
        </w:rPr>
        <w:t xml:space="preserve">für Zierarten technische Protokolle für Blumenrohr, </w:t>
      </w:r>
      <w:proofErr w:type="spellStart"/>
      <w:r w:rsidRPr="000C40CC">
        <w:rPr>
          <w:rFonts w:cs="Arial"/>
        </w:rPr>
        <w:t>Vriesea</w:t>
      </w:r>
      <w:proofErr w:type="spellEnd"/>
      <w:r w:rsidRPr="000C40CC">
        <w:rPr>
          <w:rFonts w:cs="Arial"/>
        </w:rPr>
        <w:t xml:space="preserve">, </w:t>
      </w:r>
      <w:proofErr w:type="spellStart"/>
      <w:r w:rsidRPr="000C40CC">
        <w:rPr>
          <w:rFonts w:cs="Arial"/>
        </w:rPr>
        <w:t>Mandevilla</w:t>
      </w:r>
      <w:proofErr w:type="spellEnd"/>
      <w:r w:rsidRPr="000C40CC">
        <w:rPr>
          <w:rFonts w:cs="Arial"/>
        </w:rPr>
        <w:t xml:space="preserve"> und Funkie; </w:t>
      </w:r>
    </w:p>
    <w:p w:rsidR="00AF7FF3" w:rsidRPr="000C40CC" w:rsidRDefault="00AF7FF3" w:rsidP="00AF7FF3">
      <w:pPr>
        <w:numPr>
          <w:ilvl w:val="0"/>
          <w:numId w:val="42"/>
        </w:numPr>
        <w:spacing w:after="240"/>
        <w:jc w:val="left"/>
        <w:rPr>
          <w:rFonts w:cs="Arial"/>
        </w:rPr>
      </w:pPr>
      <w:r w:rsidRPr="000C40CC">
        <w:rPr>
          <w:rFonts w:cs="Arial"/>
        </w:rPr>
        <w:t xml:space="preserve">für Obstpflanzen technische Protokolle für Pfirsich und </w:t>
      </w:r>
      <w:proofErr w:type="spellStart"/>
      <w:r w:rsidRPr="000C40CC">
        <w:rPr>
          <w:rFonts w:cs="Arial"/>
        </w:rPr>
        <w:t>Prunus</w:t>
      </w:r>
      <w:proofErr w:type="spellEnd"/>
      <w:r w:rsidRPr="000C40CC">
        <w:rPr>
          <w:rFonts w:cs="Arial"/>
        </w:rPr>
        <w:t>-Unterlage.</w:t>
      </w:r>
    </w:p>
    <w:p w:rsidR="00AF7FF3" w:rsidRPr="000C40CC" w:rsidRDefault="00AF7FF3" w:rsidP="00AF7FF3">
      <w:pPr>
        <w:spacing w:after="240"/>
        <w:ind w:firstLine="567"/>
        <w:rPr>
          <w:rFonts w:cs="Arial"/>
          <w:i/>
        </w:rPr>
      </w:pPr>
      <w:r w:rsidRPr="000C40CC">
        <w:rPr>
          <w:rFonts w:cs="Arial"/>
          <w:i/>
        </w:rPr>
        <w:t xml:space="preserve">c.  Weiterentwicklung des CPVO </w:t>
      </w:r>
      <w:proofErr w:type="spellStart"/>
      <w:r w:rsidRPr="000C40CC">
        <w:rPr>
          <w:rFonts w:cs="Arial"/>
          <w:i/>
        </w:rPr>
        <w:t>VarietyFinder</w:t>
      </w:r>
      <w:r>
        <w:rPr>
          <w:rFonts w:cs="Arial"/>
          <w:i/>
        </w:rPr>
        <w:t>s</w:t>
      </w:r>
      <w:proofErr w:type="spellEnd"/>
    </w:p>
    <w:p w:rsidR="00AF7FF3" w:rsidRPr="000C40CC" w:rsidRDefault="00AF7FF3" w:rsidP="00AF7FF3">
      <w:pPr>
        <w:tabs>
          <w:tab w:val="left" w:pos="142"/>
        </w:tabs>
        <w:spacing w:after="240"/>
        <w:rPr>
          <w:rFonts w:cs="Arial"/>
        </w:rPr>
      </w:pPr>
      <w:r w:rsidRPr="000C40CC">
        <w:rPr>
          <w:rFonts w:cs="Arial"/>
        </w:rPr>
        <w:t xml:space="preserve">Der CPVO </w:t>
      </w:r>
      <w:proofErr w:type="spellStart"/>
      <w:r w:rsidRPr="000C40CC">
        <w:rPr>
          <w:rFonts w:cs="Arial"/>
        </w:rPr>
        <w:t>VarietyFinder</w:t>
      </w:r>
      <w:proofErr w:type="spellEnd"/>
      <w:r w:rsidRPr="000C40CC">
        <w:rPr>
          <w:rFonts w:cs="Arial"/>
        </w:rPr>
        <w:t xml:space="preserve"> ist eine webbasierte Datenbank, die im Jahr 2005 vom </w:t>
      </w:r>
      <w:r>
        <w:rPr>
          <w:rFonts w:cs="Arial"/>
        </w:rPr>
        <w:t>CPVO</w:t>
      </w:r>
      <w:r w:rsidRPr="000C40CC">
        <w:rPr>
          <w:rFonts w:cs="Arial"/>
        </w:rPr>
        <w:t xml:space="preserve"> zum Zweck der Prüfung von Vorschlägen für Sortenbezeichnungen im Verfahren zur Beurteilung deren Eignung entwickelt wurde. </w:t>
      </w:r>
      <w:r>
        <w:rPr>
          <w:rFonts w:cs="Arial"/>
        </w:rPr>
        <w:t>Diese</w:t>
      </w:r>
      <w:r w:rsidRPr="000C40CC">
        <w:rPr>
          <w:rFonts w:cs="Arial"/>
        </w:rPr>
        <w:t xml:space="preserve"> enthält </w:t>
      </w:r>
      <w:r>
        <w:rPr>
          <w:rFonts w:cs="Arial"/>
        </w:rPr>
        <w:t>national</w:t>
      </w:r>
      <w:r w:rsidRPr="000C40CC">
        <w:rPr>
          <w:rFonts w:cs="Arial"/>
        </w:rPr>
        <w:t>e Daten über Sorten, für die ein Antrag gestellt wurde, über erteilte Sortenrechte, nationale Listen landwirtschaftlicher Arten und Gemüsearten und einige Handels</w:t>
      </w:r>
      <w:r>
        <w:rPr>
          <w:rFonts w:cs="Arial"/>
        </w:rPr>
        <w:t>register</w:t>
      </w:r>
      <w:r w:rsidRPr="000C40CC">
        <w:rPr>
          <w:rFonts w:cs="Arial"/>
        </w:rPr>
        <w:t xml:space="preserve">. Die Datenbank ist unter der Rubrik </w:t>
      </w:r>
      <w:r>
        <w:rPr>
          <w:rFonts w:cs="Arial"/>
        </w:rPr>
        <w:t>‚Datenbanken‘</w:t>
      </w:r>
      <w:r w:rsidRPr="000C40CC">
        <w:rPr>
          <w:rFonts w:cs="Arial"/>
        </w:rPr>
        <w:t xml:space="preserve"> der CPVO-Website frei zugänglich, erfordert allerdings eine Identifikation.</w:t>
      </w:r>
    </w:p>
    <w:p w:rsidR="00AF7FF3" w:rsidRPr="000C40CC" w:rsidRDefault="00AF7FF3" w:rsidP="00AF7FF3">
      <w:pPr>
        <w:autoSpaceDE w:val="0"/>
        <w:autoSpaceDN w:val="0"/>
        <w:spacing w:after="240"/>
        <w:rPr>
          <w:rFonts w:cs="Arial"/>
        </w:rPr>
      </w:pPr>
      <w:r w:rsidRPr="000C40CC">
        <w:rPr>
          <w:rFonts w:cs="Arial"/>
        </w:rPr>
        <w:t xml:space="preserve">Seit Mai 2014 </w:t>
      </w:r>
      <w:r>
        <w:rPr>
          <w:rFonts w:cs="Arial"/>
        </w:rPr>
        <w:t>werden</w:t>
      </w:r>
      <w:r w:rsidRPr="000C40CC">
        <w:rPr>
          <w:rFonts w:cs="Arial"/>
        </w:rPr>
        <w:t xml:space="preserve"> beim Harmonisierungsamt für den Binnenmarkt (HABM) </w:t>
      </w:r>
      <w:r>
        <w:rPr>
          <w:rFonts w:cs="Arial"/>
        </w:rPr>
        <w:t xml:space="preserve">eingetragene </w:t>
      </w:r>
      <w:r w:rsidRPr="000C40CC">
        <w:rPr>
          <w:rFonts w:cs="Arial"/>
        </w:rPr>
        <w:t xml:space="preserve">Gemeinschaftsmarken in </w:t>
      </w:r>
      <w:r>
        <w:rPr>
          <w:rFonts w:cs="Arial"/>
        </w:rPr>
        <w:t>die</w:t>
      </w:r>
      <w:r w:rsidRPr="000C40CC">
        <w:rPr>
          <w:rFonts w:cs="Arial"/>
        </w:rPr>
        <w:t xml:space="preserve"> </w:t>
      </w:r>
      <w:proofErr w:type="spellStart"/>
      <w:r w:rsidRPr="000C40CC">
        <w:rPr>
          <w:rFonts w:cs="Arial"/>
        </w:rPr>
        <w:t>VarietyFinder</w:t>
      </w:r>
      <w:proofErr w:type="spellEnd"/>
      <w:r w:rsidRPr="000C40CC">
        <w:rPr>
          <w:rFonts w:cs="Arial"/>
        </w:rPr>
        <w:t xml:space="preserve">-Datenbank aufgenommen und täglich aktualisiert. Diese Marken werden in Klasse 31 des </w:t>
      </w:r>
      <w:r>
        <w:rPr>
          <w:rFonts w:cs="Arial"/>
        </w:rPr>
        <w:t xml:space="preserve">„Abkommens von Nizza“ </w:t>
      </w:r>
      <w:r w:rsidRPr="000C40CC">
        <w:rPr>
          <w:rFonts w:cs="Arial"/>
        </w:rPr>
        <w:t xml:space="preserve">betreffend die internationale Klassifikation von Waren und Dienstleistungen zum Zweck der Eintragung von Marken, </w:t>
      </w:r>
      <w:r>
        <w:rPr>
          <w:rFonts w:cs="Arial"/>
        </w:rPr>
        <w:t>die lebende Pflanzen umfassen, eingetragen</w:t>
      </w:r>
      <w:r w:rsidRPr="000C40CC">
        <w:rPr>
          <w:rFonts w:cs="Arial"/>
        </w:rPr>
        <w:t xml:space="preserve">. Wenn </w:t>
      </w:r>
      <w:r>
        <w:rPr>
          <w:rFonts w:cs="Arial"/>
        </w:rPr>
        <w:t xml:space="preserve">ein </w:t>
      </w:r>
      <w:r w:rsidRPr="000C40CC">
        <w:rPr>
          <w:rFonts w:cs="Arial"/>
        </w:rPr>
        <w:t xml:space="preserve">Nutzer einen Vorschlag für eine Sortenbezeichnung </w:t>
      </w:r>
      <w:r>
        <w:rPr>
          <w:rFonts w:cs="Arial"/>
        </w:rPr>
        <w:t>testet</w:t>
      </w:r>
      <w:r w:rsidRPr="000C40CC">
        <w:rPr>
          <w:rFonts w:cs="Arial"/>
        </w:rPr>
        <w:t xml:space="preserve">, werden die Gemeinschaftsmarken in den in dem </w:t>
      </w:r>
      <w:proofErr w:type="spellStart"/>
      <w:r w:rsidRPr="000C40CC">
        <w:rPr>
          <w:rFonts w:cs="Arial"/>
        </w:rPr>
        <w:t>VarietyFinder</w:t>
      </w:r>
      <w:proofErr w:type="spellEnd"/>
      <w:r w:rsidRPr="000C40CC">
        <w:rPr>
          <w:rFonts w:cs="Arial"/>
        </w:rPr>
        <w:t xml:space="preserve"> durchgeführten</w:t>
      </w:r>
      <w:r>
        <w:rPr>
          <w:rFonts w:cs="Arial"/>
        </w:rPr>
        <w:t xml:space="preserve"> </w:t>
      </w:r>
      <w:r w:rsidRPr="000C40CC">
        <w:rPr>
          <w:rFonts w:cs="Arial"/>
        </w:rPr>
        <w:t>Bezeichnungsprüfungsergebnissen angezeigt.</w:t>
      </w:r>
    </w:p>
    <w:p w:rsidR="00AF7FF3" w:rsidRPr="000C40CC" w:rsidRDefault="00AF7FF3" w:rsidP="00AF7FF3">
      <w:pPr>
        <w:tabs>
          <w:tab w:val="left" w:pos="142"/>
        </w:tabs>
        <w:spacing w:after="240"/>
        <w:rPr>
          <w:rFonts w:cs="Arial"/>
        </w:rPr>
      </w:pPr>
      <w:r w:rsidRPr="000C40CC">
        <w:rPr>
          <w:rFonts w:cs="Arial"/>
        </w:rPr>
        <w:t>Bisher wurden insgesamt über 940.000 Bezeichnungen aus der EU und UPOV-Mitgliedstaaten aufgenommen. Untenstehende Graphik gibt einen Überblick über den Inhalt der Datenbank mit der Anzahl von Einträgen pro Eintragungstyp.</w:t>
      </w:r>
    </w:p>
    <w:p w:rsidR="00AF7FF3" w:rsidRPr="000C40CC" w:rsidRDefault="00AF7FF3" w:rsidP="00AF7FF3">
      <w:pPr>
        <w:tabs>
          <w:tab w:val="left" w:pos="142"/>
        </w:tabs>
        <w:spacing w:after="240"/>
        <w:jc w:val="center"/>
        <w:rPr>
          <w:rFonts w:cs="Arial"/>
        </w:rPr>
      </w:pPr>
      <w:r w:rsidRPr="000C40CC">
        <w:rPr>
          <w:rFonts w:cs="Arial"/>
          <w:noProof/>
          <w:lang w:val="en-US"/>
        </w:rPr>
        <w:drawing>
          <wp:inline distT="0" distB="0" distL="0" distR="0" wp14:anchorId="3EE2E35F" wp14:editId="21399A51">
            <wp:extent cx="5467350" cy="3333750"/>
            <wp:effectExtent l="0" t="0" r="19050" b="19050"/>
            <wp:docPr id="12"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AF7FF3" w:rsidRPr="000C40CC" w:rsidRDefault="00AF7FF3" w:rsidP="00AF7FF3">
      <w:pPr>
        <w:tabs>
          <w:tab w:val="left" w:pos="142"/>
        </w:tabs>
        <w:spacing w:after="240"/>
        <w:rPr>
          <w:rFonts w:cs="Arial"/>
        </w:rPr>
      </w:pPr>
      <w:r w:rsidRPr="000C40CC">
        <w:rPr>
          <w:rFonts w:cs="Arial"/>
        </w:rPr>
        <w:t xml:space="preserve">Das System beinhaltet eine Suchmaschine, die von Nutzern aus 62 unterschiedlichen Ländern weltweit genutzt wird. </w:t>
      </w:r>
      <w:r>
        <w:rPr>
          <w:rFonts w:cs="Arial"/>
        </w:rPr>
        <w:t>I</w:t>
      </w:r>
      <w:r w:rsidRPr="000C40CC">
        <w:rPr>
          <w:rFonts w:cs="Arial"/>
        </w:rPr>
        <w:t>m Jahr 2014 nutz</w:t>
      </w:r>
      <w:r>
        <w:rPr>
          <w:rFonts w:cs="Arial"/>
        </w:rPr>
        <w:t>t</w:t>
      </w:r>
      <w:r w:rsidRPr="000C40CC">
        <w:rPr>
          <w:rFonts w:cs="Arial"/>
        </w:rPr>
        <w:t>en im Vergleich zum vorherigen Jahr</w:t>
      </w:r>
      <w:r>
        <w:rPr>
          <w:rFonts w:cs="Arial"/>
        </w:rPr>
        <w:t xml:space="preserve"> m</w:t>
      </w:r>
      <w:r w:rsidRPr="000C40CC">
        <w:rPr>
          <w:rFonts w:cs="Arial"/>
        </w:rPr>
        <w:t xml:space="preserve">ehr CPVO-Kunden die Suchmaschine (+11%). </w:t>
      </w:r>
    </w:p>
    <w:p w:rsidR="00AF7FF3" w:rsidRPr="000C40CC" w:rsidRDefault="00AF7FF3" w:rsidP="00AF7FF3">
      <w:pPr>
        <w:tabs>
          <w:tab w:val="left" w:pos="142"/>
        </w:tabs>
        <w:spacing w:after="240"/>
        <w:rPr>
          <w:rFonts w:cs="Arial"/>
        </w:rPr>
      </w:pPr>
      <w:r>
        <w:rPr>
          <w:rFonts w:cs="Arial"/>
        </w:rPr>
        <w:t xml:space="preserve">Die untenstehende </w:t>
      </w:r>
      <w:r w:rsidRPr="000C40CC">
        <w:rPr>
          <w:rFonts w:cs="Arial"/>
        </w:rPr>
        <w:t xml:space="preserve">Graphik </w:t>
      </w:r>
      <w:r>
        <w:rPr>
          <w:rFonts w:cs="Arial"/>
        </w:rPr>
        <w:t xml:space="preserve">über Ähnlichkeit </w:t>
      </w:r>
      <w:r w:rsidRPr="000C40CC">
        <w:rPr>
          <w:rFonts w:cs="Arial"/>
        </w:rPr>
        <w:t xml:space="preserve">zeigt die Anzahl von Prüfungen auf Ähnlichkeit, die von nationalen </w:t>
      </w:r>
      <w:r>
        <w:rPr>
          <w:rFonts w:cs="Arial"/>
        </w:rPr>
        <w:t>oder</w:t>
      </w:r>
      <w:r w:rsidRPr="000C40CC">
        <w:rPr>
          <w:rFonts w:cs="Arial"/>
        </w:rPr>
        <w:t xml:space="preserve"> internationalen Behörden</w:t>
      </w:r>
      <w:r>
        <w:rPr>
          <w:rFonts w:cs="Arial"/>
        </w:rPr>
        <w:t xml:space="preserve">, </w:t>
      </w:r>
      <w:r w:rsidRPr="000C40CC">
        <w:rPr>
          <w:rFonts w:cs="Arial"/>
        </w:rPr>
        <w:t>CPVO-Kunden</w:t>
      </w:r>
      <w:r>
        <w:rPr>
          <w:rFonts w:cs="Arial"/>
        </w:rPr>
        <w:t xml:space="preserve"> und sonstigen Kontakten</w:t>
      </w:r>
      <w:r w:rsidRPr="000C40CC">
        <w:rPr>
          <w:rFonts w:cs="Arial"/>
        </w:rPr>
        <w:t xml:space="preserve"> in den letzten drei Jahren in der Datenbank durchgeführt wurden: 201</w:t>
      </w:r>
      <w:r>
        <w:rPr>
          <w:rFonts w:cs="Arial"/>
        </w:rPr>
        <w:t>4</w:t>
      </w:r>
      <w:r w:rsidRPr="000C40CC">
        <w:rPr>
          <w:rFonts w:cs="Arial"/>
        </w:rPr>
        <w:t xml:space="preserve"> wurden über 8</w:t>
      </w:r>
      <w:r>
        <w:rPr>
          <w:rFonts w:cs="Arial"/>
        </w:rPr>
        <w:t>0</w:t>
      </w:r>
      <w:r w:rsidRPr="000C40CC">
        <w:rPr>
          <w:rFonts w:cs="Arial"/>
        </w:rPr>
        <w:t xml:space="preserve">.000 Prüfungen lanciert. </w:t>
      </w:r>
    </w:p>
    <w:p w:rsidR="00AF7FF3" w:rsidRPr="000C40CC" w:rsidRDefault="00AF7FF3" w:rsidP="00AF7FF3">
      <w:pPr>
        <w:keepNext/>
        <w:tabs>
          <w:tab w:val="left" w:pos="142"/>
        </w:tabs>
        <w:spacing w:after="240"/>
        <w:rPr>
          <w:rFonts w:cs="Arial"/>
        </w:rPr>
      </w:pPr>
      <w:r w:rsidRPr="000C40CC">
        <w:rPr>
          <w:rFonts w:cs="Arial"/>
        </w:rPr>
        <w:t xml:space="preserve">Zahl der im </w:t>
      </w:r>
      <w:proofErr w:type="spellStart"/>
      <w:r w:rsidRPr="000C40CC">
        <w:rPr>
          <w:rFonts w:cs="Arial"/>
        </w:rPr>
        <w:t>VarietyFinder</w:t>
      </w:r>
      <w:proofErr w:type="spellEnd"/>
      <w:r w:rsidRPr="000C40CC">
        <w:rPr>
          <w:rFonts w:cs="Arial"/>
        </w:rPr>
        <w:t xml:space="preserve"> lancierten Ähnlichkeitsprüfungen </w:t>
      </w:r>
    </w:p>
    <w:p w:rsidR="00AF7FF3" w:rsidRPr="000C40CC" w:rsidRDefault="00AF7FF3" w:rsidP="00AF7FF3">
      <w:pPr>
        <w:tabs>
          <w:tab w:val="left" w:pos="142"/>
        </w:tabs>
        <w:spacing w:after="240"/>
        <w:rPr>
          <w:rFonts w:cs="Arial"/>
        </w:rPr>
      </w:pPr>
      <w:r>
        <w:rPr>
          <w:noProof/>
          <w:lang w:val="en-US"/>
        </w:rPr>
        <w:drawing>
          <wp:inline distT="0" distB="0" distL="0" distR="0" wp14:anchorId="3DB92024" wp14:editId="0212D0C3">
            <wp:extent cx="5762625" cy="4495800"/>
            <wp:effectExtent l="0" t="0" r="9525" b="0"/>
            <wp:docPr id="1" name="Diagram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AF7FF3" w:rsidRPr="000C40CC" w:rsidRDefault="00AF7FF3" w:rsidP="00AF7FF3">
      <w:pPr>
        <w:pStyle w:val="Default"/>
        <w:spacing w:after="240"/>
        <w:jc w:val="both"/>
        <w:rPr>
          <w:color w:val="auto"/>
          <w:sz w:val="20"/>
          <w:szCs w:val="20"/>
          <w:lang w:val="de-DE"/>
        </w:rPr>
      </w:pPr>
      <w:r w:rsidRPr="000C40CC">
        <w:rPr>
          <w:color w:val="auto"/>
          <w:sz w:val="20"/>
          <w:szCs w:val="20"/>
          <w:lang w:val="de-DE"/>
        </w:rPr>
        <w:t>Ein Recherche-Tool ermöglicht allgemeinere Suchanfragen zu Einzelheiten von in der Datenbank befindlichen Sorten oder Arten und die neue Möglichkeit, auf einige Statistiken über den Inhalt der Datenbank nach verschiedenen Suchkriterien</w:t>
      </w:r>
      <w:r>
        <w:rPr>
          <w:color w:val="auto"/>
          <w:sz w:val="20"/>
          <w:szCs w:val="20"/>
          <w:lang w:val="de-DE"/>
        </w:rPr>
        <w:t xml:space="preserve"> zuzugreifen</w:t>
      </w:r>
      <w:r w:rsidRPr="000C40CC">
        <w:rPr>
          <w:color w:val="auto"/>
          <w:sz w:val="20"/>
          <w:szCs w:val="20"/>
          <w:lang w:val="de-DE"/>
        </w:rPr>
        <w:t>.</w:t>
      </w:r>
    </w:p>
    <w:p w:rsidR="00AF7FF3" w:rsidRPr="000C40CC" w:rsidRDefault="00AF7FF3" w:rsidP="00AF7FF3">
      <w:pPr>
        <w:pStyle w:val="Default"/>
        <w:spacing w:after="240"/>
        <w:jc w:val="both"/>
        <w:rPr>
          <w:color w:val="auto"/>
          <w:sz w:val="20"/>
          <w:szCs w:val="20"/>
          <w:lang w:val="de-DE"/>
        </w:rPr>
      </w:pPr>
      <w:r w:rsidRPr="000C40CC">
        <w:rPr>
          <w:color w:val="auto"/>
          <w:sz w:val="20"/>
          <w:szCs w:val="20"/>
          <w:lang w:val="de-DE"/>
        </w:rPr>
        <w:t xml:space="preserve">Dieses Recherche-Tool mit der Bezeichnung </w:t>
      </w:r>
      <w:r>
        <w:rPr>
          <w:color w:val="auto"/>
          <w:sz w:val="20"/>
          <w:szCs w:val="20"/>
          <w:lang w:val="de-DE"/>
        </w:rPr>
        <w:t>‚</w:t>
      </w:r>
      <w:r w:rsidRPr="000C40CC">
        <w:rPr>
          <w:color w:val="auto"/>
          <w:sz w:val="20"/>
          <w:szCs w:val="20"/>
          <w:lang w:val="de-DE"/>
        </w:rPr>
        <w:t>Sorten suchen</w:t>
      </w:r>
      <w:r>
        <w:rPr>
          <w:color w:val="auto"/>
          <w:sz w:val="20"/>
          <w:szCs w:val="20"/>
          <w:lang w:val="de-DE"/>
        </w:rPr>
        <w:t>‘</w:t>
      </w:r>
      <w:r w:rsidRPr="000C40CC">
        <w:rPr>
          <w:color w:val="auto"/>
          <w:sz w:val="20"/>
          <w:szCs w:val="20"/>
          <w:lang w:val="de-DE"/>
        </w:rPr>
        <w:t xml:space="preserve"> wurde im September 2014 mit mehr verfügbaren Suchkriterien und vermehrten Exportfunktionen</w:t>
      </w:r>
      <w:r>
        <w:rPr>
          <w:color w:val="auto"/>
          <w:sz w:val="20"/>
          <w:szCs w:val="20"/>
          <w:lang w:val="de-DE"/>
        </w:rPr>
        <w:t xml:space="preserve"> </w:t>
      </w:r>
      <w:r w:rsidRPr="000C40CC">
        <w:rPr>
          <w:color w:val="auto"/>
          <w:sz w:val="20"/>
          <w:szCs w:val="20"/>
          <w:lang w:val="de-DE"/>
        </w:rPr>
        <w:t xml:space="preserve">weiterentwickelt, was sich im Laufe der letzten Monate im Jahr 2014 direkt auf </w:t>
      </w:r>
      <w:r>
        <w:rPr>
          <w:color w:val="auto"/>
          <w:sz w:val="20"/>
          <w:szCs w:val="20"/>
          <w:lang w:val="de-DE"/>
        </w:rPr>
        <w:t>dessen</w:t>
      </w:r>
      <w:r w:rsidRPr="000C40CC">
        <w:rPr>
          <w:color w:val="auto"/>
          <w:sz w:val="20"/>
          <w:szCs w:val="20"/>
          <w:lang w:val="de-DE"/>
        </w:rPr>
        <w:t xml:space="preserve"> Nutzung ausgewirkt hat, wie von </w:t>
      </w:r>
      <w:r>
        <w:rPr>
          <w:color w:val="auto"/>
          <w:sz w:val="20"/>
          <w:szCs w:val="20"/>
          <w:lang w:val="de-DE"/>
        </w:rPr>
        <w:t>untenstehend</w:t>
      </w:r>
      <w:r w:rsidRPr="000C40CC">
        <w:rPr>
          <w:color w:val="auto"/>
          <w:sz w:val="20"/>
          <w:szCs w:val="20"/>
          <w:lang w:val="de-DE"/>
        </w:rPr>
        <w:t xml:space="preserve">er Graphik dargestellt: </w:t>
      </w:r>
    </w:p>
    <w:p w:rsidR="00AF7FF3" w:rsidRPr="000C40CC" w:rsidRDefault="00B25AE6" w:rsidP="00AF7FF3">
      <w:pPr>
        <w:pStyle w:val="Default"/>
        <w:spacing w:after="240"/>
        <w:jc w:val="both"/>
        <w:rPr>
          <w:sz w:val="20"/>
          <w:szCs w:val="20"/>
          <w:lang w:val="de-DE"/>
        </w:rPr>
      </w:pPr>
      <w:r w:rsidRPr="007B072A">
        <w:rPr>
          <w:noProof/>
        </w:rPr>
        <mc:AlternateContent>
          <mc:Choice Requires="wps">
            <w:drawing>
              <wp:anchor distT="45720" distB="45720" distL="114300" distR="114300" simplePos="0" relativeHeight="251661312" behindDoc="0" locked="0" layoutInCell="1" allowOverlap="1" wp14:anchorId="435E2A8E" wp14:editId="0E936D18">
                <wp:simplePos x="0" y="0"/>
                <wp:positionH relativeFrom="column">
                  <wp:posOffset>127635</wp:posOffset>
                </wp:positionH>
                <wp:positionV relativeFrom="paragraph">
                  <wp:posOffset>2495550</wp:posOffset>
                </wp:positionV>
                <wp:extent cx="5153025" cy="1404620"/>
                <wp:effectExtent l="0" t="0" r="28575" b="14605"/>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6350">
                          <a:solidFill>
                            <a:schemeClr val="bg1">
                              <a:lumMod val="50000"/>
                            </a:schemeClr>
                          </a:solidFill>
                          <a:miter lim="800000"/>
                          <a:headEnd/>
                          <a:tailEnd/>
                        </a:ln>
                      </wps:spPr>
                      <wps:txbx>
                        <w:txbxContent>
                          <w:p w:rsidR="00B25AE6" w:rsidRPr="0001628C" w:rsidRDefault="00B25AE6" w:rsidP="00B25AE6">
                            <w:pPr>
                              <w:rPr>
                                <w:sz w:val="18"/>
                                <w:szCs w:val="18"/>
                              </w:rPr>
                            </w:pPr>
                            <w:r>
                              <w:rPr>
                                <w:sz w:val="18"/>
                                <w:szCs w:val="18"/>
                              </w:rPr>
                              <w:t xml:space="preserve"> </w:t>
                            </w:r>
                            <w:r w:rsidRPr="0001628C">
                              <w:rPr>
                                <w:sz w:val="18"/>
                                <w:szCs w:val="18"/>
                              </w:rPr>
                              <w:t>Jan-14</w:t>
                            </w:r>
                            <w:r>
                              <w:rPr>
                                <w:sz w:val="18"/>
                                <w:szCs w:val="18"/>
                              </w:rPr>
                              <w:t xml:space="preserve">  </w:t>
                            </w:r>
                            <w:r w:rsidRPr="0001628C">
                              <w:rPr>
                                <w:sz w:val="18"/>
                                <w:szCs w:val="18"/>
                              </w:rPr>
                              <w:t>Feb-14</w:t>
                            </w:r>
                            <w:r>
                              <w:rPr>
                                <w:sz w:val="18"/>
                                <w:szCs w:val="18"/>
                              </w:rPr>
                              <w:t xml:space="preserve">  </w:t>
                            </w:r>
                            <w:r w:rsidRPr="0001628C">
                              <w:rPr>
                                <w:sz w:val="18"/>
                                <w:szCs w:val="18"/>
                              </w:rPr>
                              <w:t>Mär-14</w:t>
                            </w:r>
                            <w:r>
                              <w:rPr>
                                <w:sz w:val="18"/>
                                <w:szCs w:val="18"/>
                              </w:rPr>
                              <w:t xml:space="preserve">  </w:t>
                            </w:r>
                            <w:r w:rsidRPr="0001628C">
                              <w:rPr>
                                <w:sz w:val="18"/>
                                <w:szCs w:val="18"/>
                              </w:rPr>
                              <w:t>Apr-14</w:t>
                            </w:r>
                            <w:r>
                              <w:rPr>
                                <w:sz w:val="18"/>
                                <w:szCs w:val="18"/>
                              </w:rPr>
                              <w:t xml:space="preserve">  M</w:t>
                            </w:r>
                            <w:r w:rsidRPr="0001628C">
                              <w:rPr>
                                <w:sz w:val="18"/>
                                <w:szCs w:val="18"/>
                              </w:rPr>
                              <w:t>ai-14</w:t>
                            </w:r>
                            <w:r>
                              <w:rPr>
                                <w:sz w:val="18"/>
                                <w:szCs w:val="18"/>
                              </w:rPr>
                              <w:t xml:space="preserve">  </w:t>
                            </w:r>
                            <w:r w:rsidRPr="0001628C">
                              <w:rPr>
                                <w:sz w:val="18"/>
                                <w:szCs w:val="18"/>
                              </w:rPr>
                              <w:t>Jun-14</w:t>
                            </w:r>
                            <w:r>
                              <w:rPr>
                                <w:sz w:val="18"/>
                                <w:szCs w:val="18"/>
                              </w:rPr>
                              <w:t xml:space="preserve">  </w:t>
                            </w:r>
                            <w:r w:rsidRPr="0001628C">
                              <w:rPr>
                                <w:sz w:val="18"/>
                                <w:szCs w:val="18"/>
                              </w:rPr>
                              <w:t>Jul-14</w:t>
                            </w:r>
                            <w:r>
                              <w:rPr>
                                <w:sz w:val="18"/>
                                <w:szCs w:val="18"/>
                              </w:rPr>
                              <w:t xml:space="preserve">  </w:t>
                            </w:r>
                            <w:r w:rsidRPr="0001628C">
                              <w:rPr>
                                <w:sz w:val="18"/>
                                <w:szCs w:val="18"/>
                              </w:rPr>
                              <w:t>Aug-14</w:t>
                            </w:r>
                            <w:r>
                              <w:rPr>
                                <w:sz w:val="18"/>
                                <w:szCs w:val="18"/>
                              </w:rPr>
                              <w:t xml:space="preserve">  </w:t>
                            </w:r>
                            <w:r w:rsidRPr="0001628C">
                              <w:rPr>
                                <w:sz w:val="18"/>
                                <w:szCs w:val="18"/>
                              </w:rPr>
                              <w:t>Sep-14</w:t>
                            </w:r>
                            <w:r>
                              <w:rPr>
                                <w:sz w:val="18"/>
                                <w:szCs w:val="18"/>
                              </w:rPr>
                              <w:t xml:space="preserve">  </w:t>
                            </w:r>
                            <w:r w:rsidRPr="0001628C">
                              <w:rPr>
                                <w:sz w:val="18"/>
                                <w:szCs w:val="18"/>
                              </w:rPr>
                              <w:t>Okt-14</w:t>
                            </w:r>
                            <w:r>
                              <w:rPr>
                                <w:sz w:val="18"/>
                                <w:szCs w:val="18"/>
                              </w:rPr>
                              <w:t xml:space="preserve">  </w:t>
                            </w:r>
                            <w:r w:rsidRPr="0001628C">
                              <w:rPr>
                                <w:sz w:val="18"/>
                                <w:szCs w:val="18"/>
                              </w:rPr>
                              <w:t>Nov-14</w:t>
                            </w:r>
                            <w:r>
                              <w:rPr>
                                <w:sz w:val="18"/>
                                <w:szCs w:val="18"/>
                              </w:rPr>
                              <w:t xml:space="preserve">  </w:t>
                            </w:r>
                            <w:r w:rsidRPr="0001628C">
                              <w:rPr>
                                <w:sz w:val="18"/>
                                <w:szCs w:val="18"/>
                              </w:rPr>
                              <w:t>Dez-14</w:t>
                            </w: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0.05pt;margin-top:196.5pt;width:405.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" strokecolor="#7f7f7f [1612]" strokeweight=".5pt">
                <v:textbox style="mso-fit-shape-to-text:t" inset="0,0,0,0">
                  <w:txbxContent>
                    <w:p w:rsidR="00B25AE6" w:rsidRPr="0001628C" w:rsidRDefault="00B25AE6" w:rsidP="00B25AE6">
                      <w:pPr>
                        <w:rPr>
                          <w:sz w:val="18"/>
                          <w:szCs w:val="18"/>
                        </w:rPr>
                      </w:pPr>
                      <w:r>
                        <w:rPr>
                          <w:sz w:val="18"/>
                          <w:szCs w:val="18"/>
                        </w:rPr>
                        <w:t xml:space="preserve"> </w:t>
                      </w:r>
                      <w:r w:rsidRPr="0001628C">
                        <w:rPr>
                          <w:sz w:val="18"/>
                          <w:szCs w:val="18"/>
                        </w:rPr>
                        <w:t>Jan-14</w:t>
                      </w:r>
                      <w:r>
                        <w:rPr>
                          <w:sz w:val="18"/>
                          <w:szCs w:val="18"/>
                        </w:rPr>
                        <w:t xml:space="preserve">  </w:t>
                      </w:r>
                      <w:r w:rsidRPr="0001628C">
                        <w:rPr>
                          <w:sz w:val="18"/>
                          <w:szCs w:val="18"/>
                        </w:rPr>
                        <w:t>Feb-14</w:t>
                      </w:r>
                      <w:r>
                        <w:rPr>
                          <w:sz w:val="18"/>
                          <w:szCs w:val="18"/>
                        </w:rPr>
                        <w:t xml:space="preserve">  </w:t>
                      </w:r>
                      <w:r w:rsidRPr="0001628C">
                        <w:rPr>
                          <w:sz w:val="18"/>
                          <w:szCs w:val="18"/>
                        </w:rPr>
                        <w:t>Mär-14</w:t>
                      </w:r>
                      <w:r>
                        <w:rPr>
                          <w:sz w:val="18"/>
                          <w:szCs w:val="18"/>
                        </w:rPr>
                        <w:t xml:space="preserve">  </w:t>
                      </w:r>
                      <w:r w:rsidRPr="0001628C">
                        <w:rPr>
                          <w:sz w:val="18"/>
                          <w:szCs w:val="18"/>
                        </w:rPr>
                        <w:t>Apr-14</w:t>
                      </w:r>
                      <w:r>
                        <w:rPr>
                          <w:sz w:val="18"/>
                          <w:szCs w:val="18"/>
                        </w:rPr>
                        <w:t xml:space="preserve">  M</w:t>
                      </w:r>
                      <w:r w:rsidRPr="0001628C">
                        <w:rPr>
                          <w:sz w:val="18"/>
                          <w:szCs w:val="18"/>
                        </w:rPr>
                        <w:t>ai-14</w:t>
                      </w:r>
                      <w:r>
                        <w:rPr>
                          <w:sz w:val="18"/>
                          <w:szCs w:val="18"/>
                        </w:rPr>
                        <w:t xml:space="preserve">  </w:t>
                      </w:r>
                      <w:r w:rsidRPr="0001628C">
                        <w:rPr>
                          <w:sz w:val="18"/>
                          <w:szCs w:val="18"/>
                        </w:rPr>
                        <w:t>Jun-14</w:t>
                      </w:r>
                      <w:r>
                        <w:rPr>
                          <w:sz w:val="18"/>
                          <w:szCs w:val="18"/>
                        </w:rPr>
                        <w:t xml:space="preserve">  </w:t>
                      </w:r>
                      <w:r w:rsidRPr="0001628C">
                        <w:rPr>
                          <w:sz w:val="18"/>
                          <w:szCs w:val="18"/>
                        </w:rPr>
                        <w:t>Jul-14</w:t>
                      </w:r>
                      <w:r>
                        <w:rPr>
                          <w:sz w:val="18"/>
                          <w:szCs w:val="18"/>
                        </w:rPr>
                        <w:t xml:space="preserve">  </w:t>
                      </w:r>
                      <w:r w:rsidRPr="0001628C">
                        <w:rPr>
                          <w:sz w:val="18"/>
                          <w:szCs w:val="18"/>
                        </w:rPr>
                        <w:t>Aug-14</w:t>
                      </w:r>
                      <w:r>
                        <w:rPr>
                          <w:sz w:val="18"/>
                          <w:szCs w:val="18"/>
                        </w:rPr>
                        <w:t xml:space="preserve">  </w:t>
                      </w:r>
                      <w:r w:rsidRPr="0001628C">
                        <w:rPr>
                          <w:sz w:val="18"/>
                          <w:szCs w:val="18"/>
                        </w:rPr>
                        <w:t>Sep-14</w:t>
                      </w:r>
                      <w:r>
                        <w:rPr>
                          <w:sz w:val="18"/>
                          <w:szCs w:val="18"/>
                        </w:rPr>
                        <w:t xml:space="preserve">  </w:t>
                      </w:r>
                      <w:r w:rsidRPr="0001628C">
                        <w:rPr>
                          <w:sz w:val="18"/>
                          <w:szCs w:val="18"/>
                        </w:rPr>
                        <w:t>Okt-14</w:t>
                      </w:r>
                      <w:r>
                        <w:rPr>
                          <w:sz w:val="18"/>
                          <w:szCs w:val="18"/>
                        </w:rPr>
                        <w:t xml:space="preserve">  </w:t>
                      </w:r>
                      <w:r w:rsidRPr="0001628C">
                        <w:rPr>
                          <w:sz w:val="18"/>
                          <w:szCs w:val="18"/>
                        </w:rPr>
                        <w:t>Nov-14</w:t>
                      </w:r>
                      <w:r>
                        <w:rPr>
                          <w:sz w:val="18"/>
                          <w:szCs w:val="18"/>
                        </w:rPr>
                        <w:t xml:space="preserve">  </w:t>
                      </w:r>
                      <w:r w:rsidRPr="0001628C">
                        <w:rPr>
                          <w:sz w:val="18"/>
                          <w:szCs w:val="18"/>
                        </w:rPr>
                        <w:t>Dez-14</w:t>
                      </w:r>
                    </w:p>
                  </w:txbxContent>
                </v:textbox>
              </v:shape>
            </w:pict>
          </mc:Fallback>
        </mc:AlternateContent>
      </w:r>
      <w:r w:rsidRPr="000C40CC">
        <w:rPr>
          <w:noProof/>
          <w:color w:val="auto"/>
          <w:sz w:val="20"/>
          <w:szCs w:val="20"/>
        </w:rPr>
        <w:drawing>
          <wp:inline distT="0" distB="0" distL="0" distR="0" wp14:anchorId="7784DE68" wp14:editId="3F553850">
            <wp:extent cx="5324475" cy="2700655"/>
            <wp:effectExtent l="0" t="0" r="9525" b="23495"/>
            <wp:docPr id="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AF7FF3" w:rsidRPr="000C40CC" w:rsidRDefault="00AF7FF3" w:rsidP="00AF7FF3">
      <w:pPr>
        <w:tabs>
          <w:tab w:val="left" w:pos="142"/>
        </w:tabs>
        <w:spacing w:after="240"/>
        <w:rPr>
          <w:rFonts w:cs="Arial"/>
        </w:rPr>
      </w:pPr>
      <w:r w:rsidRPr="000C40CC">
        <w:rPr>
          <w:rFonts w:cs="Arial"/>
        </w:rPr>
        <w:t xml:space="preserve">Das </w:t>
      </w:r>
      <w:r>
        <w:rPr>
          <w:rFonts w:cs="Arial"/>
        </w:rPr>
        <w:t>CPVO</w:t>
      </w:r>
      <w:r w:rsidRPr="000C40CC">
        <w:rPr>
          <w:rFonts w:cs="Arial"/>
        </w:rPr>
        <w:t xml:space="preserve"> erhält von EU-Ländern direkt Beiträge bezüglich amtliche</w:t>
      </w:r>
      <w:r>
        <w:rPr>
          <w:rFonts w:cs="Arial"/>
        </w:rPr>
        <w:t>r</w:t>
      </w:r>
      <w:r w:rsidRPr="000C40CC">
        <w:rPr>
          <w:rFonts w:cs="Arial"/>
        </w:rPr>
        <w:t xml:space="preserve"> Register und Handel</w:t>
      </w:r>
      <w:r>
        <w:rPr>
          <w:rFonts w:cs="Arial"/>
        </w:rPr>
        <w:t>sregister</w:t>
      </w:r>
      <w:r w:rsidRPr="000C40CC">
        <w:rPr>
          <w:rFonts w:cs="Arial"/>
        </w:rPr>
        <w:t xml:space="preserve"> und über die UPOV auch Beiträge von den meisten Nicht-EU-Ländern. 54 Organisationen aus 48 Ländern leisteten Beiträge zum </w:t>
      </w:r>
      <w:proofErr w:type="spellStart"/>
      <w:r w:rsidRPr="000C40CC">
        <w:rPr>
          <w:rFonts w:cs="Arial"/>
        </w:rPr>
        <w:t>Variety</w:t>
      </w:r>
      <w:proofErr w:type="spellEnd"/>
      <w:r w:rsidR="00B25AE6">
        <w:rPr>
          <w:rFonts w:cs="Arial"/>
        </w:rPr>
        <w:t xml:space="preserve"> </w:t>
      </w:r>
      <w:r w:rsidRPr="000C40CC">
        <w:rPr>
          <w:rFonts w:cs="Arial"/>
        </w:rPr>
        <w:t xml:space="preserve">Finder, was 351 Beiträge für das Jahr 2014 bedeutet. </w:t>
      </w:r>
    </w:p>
    <w:p w:rsidR="00AF7FF3" w:rsidRPr="000C40CC" w:rsidRDefault="00AF7FF3" w:rsidP="00AF7FF3">
      <w:pPr>
        <w:tabs>
          <w:tab w:val="left" w:pos="142"/>
        </w:tabs>
        <w:spacing w:after="240"/>
        <w:rPr>
          <w:rFonts w:cs="Arial"/>
        </w:rPr>
      </w:pPr>
      <w:r>
        <w:rPr>
          <w:noProof/>
          <w:lang w:val="en-US"/>
        </w:rPr>
        <w:drawing>
          <wp:inline distT="0" distB="0" distL="0" distR="0" wp14:anchorId="36258152" wp14:editId="57DEED4C">
            <wp:extent cx="6076950" cy="3811904"/>
            <wp:effectExtent l="0" t="0" r="0" b="0"/>
            <wp:docPr id="7" name="Diagram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AF7FF3" w:rsidRPr="000C40CC" w:rsidRDefault="00AF7FF3" w:rsidP="00AF7FF3">
      <w:pPr>
        <w:tabs>
          <w:tab w:val="left" w:pos="426"/>
        </w:tabs>
        <w:spacing w:after="240"/>
        <w:jc w:val="left"/>
        <w:rPr>
          <w:rFonts w:cs="Arial"/>
        </w:rPr>
      </w:pPr>
      <w:r w:rsidRPr="000C40CC">
        <w:rPr>
          <w:rFonts w:cs="Arial"/>
        </w:rPr>
        <w:t>Das Büro ist sehr darum bemüht, die Datenbank so aktuell wie möglich zu halten: 9</w:t>
      </w:r>
      <w:r>
        <w:rPr>
          <w:rFonts w:cs="Arial"/>
        </w:rPr>
        <w:t>6</w:t>
      </w:r>
      <w:r w:rsidRPr="000C40CC">
        <w:rPr>
          <w:rFonts w:cs="Arial"/>
        </w:rPr>
        <w:t xml:space="preserve">% der </w:t>
      </w:r>
      <w:r>
        <w:rPr>
          <w:rFonts w:cs="Arial"/>
        </w:rPr>
        <w:t>Beiträge, die 2014</w:t>
      </w:r>
      <w:r w:rsidRPr="000C40CC">
        <w:rPr>
          <w:rFonts w:cs="Arial"/>
        </w:rPr>
        <w:t xml:space="preserve"> eingingen, wurden innerhalb von 5 Tagen bearbeitet.</w:t>
      </w:r>
    </w:p>
    <w:p w:rsidR="00AF7FF3" w:rsidRPr="000C40CC" w:rsidRDefault="00AF7FF3" w:rsidP="00B25AE6">
      <w:pPr>
        <w:keepNext/>
        <w:spacing w:after="240"/>
        <w:ind w:left="851" w:hanging="284"/>
        <w:rPr>
          <w:rFonts w:cs="Arial"/>
          <w:i/>
        </w:rPr>
      </w:pPr>
      <w:r w:rsidRPr="000C40CC">
        <w:rPr>
          <w:rFonts w:cs="Arial"/>
          <w:i/>
        </w:rPr>
        <w:t xml:space="preserve">d. </w:t>
      </w:r>
      <w:r w:rsidRPr="000C40CC">
        <w:rPr>
          <w:rFonts w:cs="Arial"/>
          <w:i/>
        </w:rPr>
        <w:tab/>
        <w:t>Zusammenarbeit bei der Prüfung von Bezeichnungen mit EU-Mitgliedstaaten</w:t>
      </w:r>
    </w:p>
    <w:p w:rsidR="00AF7FF3" w:rsidRPr="000C40CC" w:rsidRDefault="00AF7FF3" w:rsidP="00AF7FF3">
      <w:pPr>
        <w:tabs>
          <w:tab w:val="left" w:pos="142"/>
        </w:tabs>
        <w:autoSpaceDE w:val="0"/>
        <w:autoSpaceDN w:val="0"/>
        <w:adjustRightInd w:val="0"/>
        <w:spacing w:after="240"/>
        <w:rPr>
          <w:rFonts w:cs="Arial"/>
        </w:rPr>
      </w:pPr>
      <w:r w:rsidRPr="000C40CC">
        <w:rPr>
          <w:rFonts w:cs="Arial"/>
        </w:rPr>
        <w:t xml:space="preserve">Fünf Jahre nach dem Beginn der Zusammenarbeit beim Programm zum Prüfen von Bezeichnungen war das Jahr 2014 für diese Dienstleistung mit über 6600 </w:t>
      </w:r>
      <w:r>
        <w:rPr>
          <w:rFonts w:cs="Arial"/>
        </w:rPr>
        <w:t xml:space="preserve">Anfragen bezüglich </w:t>
      </w:r>
      <w:r w:rsidRPr="000C40CC">
        <w:rPr>
          <w:rFonts w:cs="Arial"/>
        </w:rPr>
        <w:t>Stellungnahme</w:t>
      </w:r>
      <w:r>
        <w:rPr>
          <w:rFonts w:cs="Arial"/>
        </w:rPr>
        <w:t xml:space="preserve"> </w:t>
      </w:r>
      <w:r w:rsidRPr="000C40CC">
        <w:rPr>
          <w:rFonts w:cs="Arial"/>
        </w:rPr>
        <w:t>ein weiteres Rekordjahr. Dies bestätigt den Erfolg dieses Projekt</w:t>
      </w:r>
      <w:r>
        <w:rPr>
          <w:rFonts w:cs="Arial"/>
        </w:rPr>
        <w:t>e</w:t>
      </w:r>
      <w:r w:rsidRPr="000C40CC">
        <w:rPr>
          <w:rFonts w:cs="Arial"/>
        </w:rPr>
        <w:t xml:space="preserve">s, wie in untenstehender Graphik dargestellt. </w:t>
      </w:r>
    </w:p>
    <w:p w:rsidR="00AF7FF3" w:rsidRPr="000C40CC" w:rsidRDefault="00AF7FF3" w:rsidP="00AF7FF3">
      <w:pPr>
        <w:tabs>
          <w:tab w:val="left" w:pos="142"/>
        </w:tabs>
        <w:autoSpaceDE w:val="0"/>
        <w:autoSpaceDN w:val="0"/>
        <w:adjustRightInd w:val="0"/>
        <w:spacing w:after="240"/>
        <w:rPr>
          <w:rFonts w:cs="Arial"/>
        </w:rPr>
      </w:pPr>
      <w:r>
        <w:rPr>
          <w:noProof/>
          <w:lang w:val="en-US"/>
        </w:rPr>
        <w:drawing>
          <wp:inline distT="0" distB="0" distL="0" distR="0" wp14:anchorId="05D8401F" wp14:editId="5420A374">
            <wp:extent cx="5657850" cy="4621529"/>
            <wp:effectExtent l="0" t="0" r="0" b="8255"/>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AF7FF3" w:rsidRPr="000C40CC" w:rsidRDefault="00AF7FF3" w:rsidP="00AF7FF3">
      <w:pPr>
        <w:tabs>
          <w:tab w:val="left" w:pos="142"/>
        </w:tabs>
        <w:autoSpaceDE w:val="0"/>
        <w:autoSpaceDN w:val="0"/>
        <w:adjustRightInd w:val="0"/>
        <w:spacing w:after="240"/>
        <w:rPr>
          <w:rFonts w:eastAsia="MyriadPro-Light" w:cs="Arial"/>
        </w:rPr>
      </w:pPr>
      <w:r w:rsidRPr="000C40CC">
        <w:rPr>
          <w:rFonts w:cs="Arial"/>
        </w:rPr>
        <w:t>Einige der EU-</w:t>
      </w:r>
      <w:r>
        <w:rPr>
          <w:rFonts w:cs="Arial"/>
        </w:rPr>
        <w:t>Mitgliedstaat</w:t>
      </w:r>
      <w:r w:rsidRPr="000C40CC">
        <w:rPr>
          <w:rFonts w:cs="Arial"/>
        </w:rPr>
        <w:t xml:space="preserve">en, die bereits im Jahr 2013 begonnen hatten, regelmäßiger Beiträge zu leisten, verstärkten ihr Engagement im Laufe des Jahres, indem sie die Initiative </w:t>
      </w:r>
      <w:r>
        <w:rPr>
          <w:rFonts w:cs="Arial"/>
        </w:rPr>
        <w:t xml:space="preserve">zur </w:t>
      </w:r>
      <w:r w:rsidRPr="000C40CC">
        <w:rPr>
          <w:rFonts w:cs="Arial"/>
        </w:rPr>
        <w:t>Erörterung über die Bezeichnungsregeln und deren Auslegung ergriffen.</w:t>
      </w:r>
      <w:r w:rsidRPr="000C40CC">
        <w:rPr>
          <w:rFonts w:eastAsia="MyriadPro-Light" w:cs="Arial"/>
        </w:rPr>
        <w:t xml:space="preserve"> </w:t>
      </w:r>
    </w:p>
    <w:p w:rsidR="00AF7FF3" w:rsidRPr="000C40CC" w:rsidRDefault="00AF7FF3" w:rsidP="00AF7FF3">
      <w:pPr>
        <w:tabs>
          <w:tab w:val="left" w:pos="142"/>
        </w:tabs>
        <w:autoSpaceDE w:val="0"/>
        <w:autoSpaceDN w:val="0"/>
        <w:adjustRightInd w:val="0"/>
        <w:spacing w:after="240"/>
        <w:rPr>
          <w:rFonts w:cs="Arial"/>
        </w:rPr>
      </w:pPr>
      <w:r w:rsidRPr="000C40CC">
        <w:rPr>
          <w:rFonts w:cs="Arial"/>
        </w:rPr>
        <w:t>Dieses Engagement von EU-</w:t>
      </w:r>
      <w:r>
        <w:rPr>
          <w:rFonts w:cs="Arial"/>
        </w:rPr>
        <w:t>Mitgliedstaat</w:t>
      </w:r>
      <w:r w:rsidRPr="000C40CC">
        <w:rPr>
          <w:rFonts w:cs="Arial"/>
        </w:rPr>
        <w:t>en ist ein positiver Beitrag zu der Harmonisierung der Regeln innerhalb der EU.</w:t>
      </w:r>
    </w:p>
    <w:p w:rsidR="00AF7FF3" w:rsidRPr="000C40CC" w:rsidRDefault="00B25AE6" w:rsidP="00B25AE6">
      <w:pPr>
        <w:spacing w:after="240"/>
        <w:ind w:left="851" w:hanging="284"/>
        <w:rPr>
          <w:rFonts w:cs="Arial"/>
          <w:i/>
        </w:rPr>
      </w:pPr>
      <w:r>
        <w:rPr>
          <w:rFonts w:cs="Arial"/>
          <w:i/>
        </w:rPr>
        <w:t>e.</w:t>
      </w:r>
      <w:r>
        <w:rPr>
          <w:rFonts w:cs="Arial"/>
          <w:i/>
        </w:rPr>
        <w:tab/>
      </w:r>
      <w:r w:rsidR="00AF7FF3" w:rsidRPr="000C40CC">
        <w:rPr>
          <w:rFonts w:cs="Arial"/>
          <w:i/>
        </w:rPr>
        <w:t xml:space="preserve">Pilotprojekt für eine verbesserte Zusammenarbeit bei der Bezeichnungsprüfung mit der Königlichen Allgemeinen Züchtervereinigung (Royal General </w:t>
      </w:r>
      <w:proofErr w:type="spellStart"/>
      <w:r w:rsidR="00AF7FF3" w:rsidRPr="000C40CC">
        <w:rPr>
          <w:rFonts w:cs="Arial"/>
          <w:i/>
        </w:rPr>
        <w:t>Grower's</w:t>
      </w:r>
      <w:proofErr w:type="spellEnd"/>
      <w:r w:rsidR="00AF7FF3" w:rsidRPr="000C40CC">
        <w:rPr>
          <w:rFonts w:cs="Arial"/>
          <w:i/>
        </w:rPr>
        <w:t xml:space="preserve"> </w:t>
      </w:r>
      <w:proofErr w:type="spellStart"/>
      <w:r w:rsidR="00AF7FF3" w:rsidRPr="000C40CC">
        <w:rPr>
          <w:rFonts w:cs="Arial"/>
          <w:i/>
        </w:rPr>
        <w:t>Association</w:t>
      </w:r>
      <w:proofErr w:type="spellEnd"/>
      <w:r w:rsidR="00AF7FF3" w:rsidRPr="000C40CC">
        <w:rPr>
          <w:rFonts w:cs="Arial"/>
          <w:i/>
        </w:rPr>
        <w:t xml:space="preserve"> (KAVB)</w:t>
      </w:r>
      <w:r w:rsidR="00AF7FF3">
        <w:rPr>
          <w:rFonts w:cs="Arial"/>
          <w:i/>
        </w:rPr>
        <w:t>)</w:t>
      </w:r>
      <w:r w:rsidR="00AF7FF3" w:rsidRPr="000C40CC">
        <w:rPr>
          <w:rFonts w:cs="Arial"/>
          <w:i/>
        </w:rPr>
        <w:t xml:space="preserve"> </w:t>
      </w:r>
    </w:p>
    <w:p w:rsidR="00AF7FF3" w:rsidRPr="000C40CC" w:rsidRDefault="00AF7FF3" w:rsidP="00AF7FF3">
      <w:pPr>
        <w:tabs>
          <w:tab w:val="left" w:pos="142"/>
        </w:tabs>
        <w:autoSpaceDE w:val="0"/>
        <w:autoSpaceDN w:val="0"/>
        <w:adjustRightInd w:val="0"/>
        <w:spacing w:after="240"/>
        <w:rPr>
          <w:rFonts w:cs="Arial"/>
        </w:rPr>
      </w:pPr>
      <w:r w:rsidRPr="000C40CC">
        <w:rPr>
          <w:rFonts w:cs="Arial"/>
        </w:rPr>
        <w:t xml:space="preserve">Auf seiner Tagung am 2. Oktober 2013 stimmte der Verwaltungsrat des CPVO dem Grundsatz zu, </w:t>
      </w:r>
      <w:proofErr w:type="spellStart"/>
      <w:r w:rsidRPr="000C40CC">
        <w:rPr>
          <w:rFonts w:cs="Arial"/>
        </w:rPr>
        <w:t>daß</w:t>
      </w:r>
      <w:proofErr w:type="spellEnd"/>
      <w:r w:rsidRPr="000C40CC">
        <w:rPr>
          <w:rFonts w:cs="Arial"/>
        </w:rPr>
        <w:t xml:space="preserve"> die KAVB für einen Probezeitraum von einem Jahr an der verbesserten Zusammenarbeit bei der Bezeichnungsprüfung teil</w:t>
      </w:r>
      <w:r>
        <w:rPr>
          <w:rFonts w:cs="Arial"/>
        </w:rPr>
        <w:t>nehmen solle,</w:t>
      </w:r>
      <w:r w:rsidRPr="000C40CC">
        <w:rPr>
          <w:rFonts w:cs="Arial"/>
        </w:rPr>
        <w:t xml:space="preserve"> um den Nutzen und die Folgen einer verstärkten Zusammenarbeit zu bewerten, womit auf eine weniger formelle Weise bereits vor Jahren begonnen wurde.</w:t>
      </w:r>
    </w:p>
    <w:p w:rsidR="00AF7FF3" w:rsidRPr="000C40CC" w:rsidRDefault="00AF7FF3" w:rsidP="00AF7FF3">
      <w:pPr>
        <w:tabs>
          <w:tab w:val="left" w:pos="142"/>
        </w:tabs>
        <w:autoSpaceDE w:val="0"/>
        <w:autoSpaceDN w:val="0"/>
        <w:adjustRightInd w:val="0"/>
        <w:spacing w:after="240"/>
        <w:rPr>
          <w:rFonts w:eastAsia="MyriadPro-Light" w:cs="Arial"/>
        </w:rPr>
      </w:pPr>
      <w:r w:rsidRPr="000C40CC">
        <w:rPr>
          <w:rFonts w:cs="Arial"/>
        </w:rPr>
        <w:t xml:space="preserve">Im Jahr 2014 reichte die KAVB über 500 </w:t>
      </w:r>
      <w:r>
        <w:rPr>
          <w:rFonts w:cs="Arial"/>
        </w:rPr>
        <w:t xml:space="preserve">Vorschläge für </w:t>
      </w:r>
      <w:r w:rsidRPr="000C40CC">
        <w:rPr>
          <w:rFonts w:cs="Arial"/>
        </w:rPr>
        <w:t>Bezeichnung</w:t>
      </w:r>
      <w:r>
        <w:rPr>
          <w:rFonts w:cs="Arial"/>
        </w:rPr>
        <w:t>en ein</w:t>
      </w:r>
      <w:r w:rsidRPr="000C40CC">
        <w:rPr>
          <w:rFonts w:cs="Arial"/>
        </w:rPr>
        <w:t xml:space="preserve">. Diese zusätzlichen Anfragen haben sich nicht auf die Gesamtbearbeitungszeit ausgewirkt: </w:t>
      </w:r>
      <w:r>
        <w:rPr>
          <w:rFonts w:cs="Arial"/>
        </w:rPr>
        <w:t>Vielmehr</w:t>
      </w:r>
      <w:r w:rsidRPr="000C40CC">
        <w:rPr>
          <w:rFonts w:cs="Arial"/>
        </w:rPr>
        <w:t xml:space="preserve"> wurden fast 89 % der Anfragen innerhalb von 24 Stunden bearbeitet, was im Vergleich zum Jahr 2013 eine leichte Verbesserung darstellt. </w:t>
      </w:r>
    </w:p>
    <w:p w:rsidR="00AF7FF3" w:rsidRPr="000C40CC" w:rsidRDefault="00AF7FF3" w:rsidP="00AF7FF3">
      <w:pPr>
        <w:spacing w:after="240"/>
        <w:rPr>
          <w:rFonts w:cs="Arial"/>
        </w:rPr>
      </w:pPr>
      <w:r w:rsidRPr="000C40CC">
        <w:rPr>
          <w:rFonts w:cs="Arial"/>
        </w:rPr>
        <w:t>Die Zusammenarbeit mit der KAVB wurde vom CPVO als sehr positiv empfunden. Die Kollegen der KAVB haben sich regelmäßig über die Auslegung der Richtlinien für die Bezeichnungen ausgetauscht, wodurch das CPVO seine Argumentation verbessern konnte. Die Kenntnisse der KAVB über den Zwiebelmarkt war</w:t>
      </w:r>
      <w:r>
        <w:rPr>
          <w:rFonts w:cs="Arial"/>
        </w:rPr>
        <w:t>en</w:t>
      </w:r>
      <w:r w:rsidRPr="000C40CC">
        <w:rPr>
          <w:rFonts w:cs="Arial"/>
        </w:rPr>
        <w:t xml:space="preserve"> auch sehr wertvoll bei</w:t>
      </w:r>
      <w:r>
        <w:rPr>
          <w:rFonts w:cs="Arial"/>
        </w:rPr>
        <w:t>m</w:t>
      </w:r>
      <w:r w:rsidRPr="000C40CC">
        <w:rPr>
          <w:rFonts w:cs="Arial"/>
        </w:rPr>
        <w:t xml:space="preserve"> Vermeid</w:t>
      </w:r>
      <w:r>
        <w:rPr>
          <w:rFonts w:cs="Arial"/>
        </w:rPr>
        <w:t>en</w:t>
      </w:r>
      <w:r w:rsidRPr="000C40CC">
        <w:rPr>
          <w:rFonts w:cs="Arial"/>
        </w:rPr>
        <w:t xml:space="preserve"> einer großen Menge von Bemerkungen zu Vorschlägen für Sortenbezeichnung</w:t>
      </w:r>
      <w:r>
        <w:rPr>
          <w:rFonts w:cs="Arial"/>
        </w:rPr>
        <w:t>en</w:t>
      </w:r>
      <w:r w:rsidRPr="000C40CC">
        <w:rPr>
          <w:rFonts w:cs="Arial"/>
        </w:rPr>
        <w:t>, die zwecks Beratung von anderen Behörden oder in CPVO-Verfahren eingereicht wurden. Diese konstruktive Zusammenarbeit spiegelt sich in dem niedrigeren Prozentsatz von Vorschlägen von der KAVB, zu denen Bemerkungen abgegeben wurden (20,4 %)</w:t>
      </w:r>
      <w:r>
        <w:rPr>
          <w:rFonts w:cs="Arial"/>
        </w:rPr>
        <w:t>,</w:t>
      </w:r>
      <w:r w:rsidRPr="000C40CC">
        <w:rPr>
          <w:rFonts w:cs="Arial"/>
        </w:rPr>
        <w:t xml:space="preserve"> im Vergleich zu den Zahlen in der gesamten EU (24%)</w:t>
      </w:r>
      <w:r>
        <w:rPr>
          <w:rFonts w:cs="Arial"/>
        </w:rPr>
        <w:t xml:space="preserve"> </w:t>
      </w:r>
      <w:r w:rsidRPr="000C40CC">
        <w:rPr>
          <w:rFonts w:cs="Arial"/>
        </w:rPr>
        <w:t>wider.</w:t>
      </w:r>
    </w:p>
    <w:p w:rsidR="00AF7FF3" w:rsidRPr="000C40CC" w:rsidRDefault="00AF7FF3" w:rsidP="00AF7FF3">
      <w:pPr>
        <w:tabs>
          <w:tab w:val="left" w:pos="142"/>
        </w:tabs>
        <w:spacing w:after="240"/>
        <w:rPr>
          <w:rFonts w:cs="Arial"/>
        </w:rPr>
      </w:pPr>
      <w:r w:rsidRPr="000C40CC">
        <w:rPr>
          <w:rFonts w:cs="Arial"/>
        </w:rPr>
        <w:t>Der Verwaltungsrat be</w:t>
      </w:r>
      <w:r>
        <w:rPr>
          <w:rFonts w:cs="Arial"/>
        </w:rPr>
        <w:t xml:space="preserve">fand </w:t>
      </w:r>
      <w:r w:rsidRPr="000C40CC">
        <w:rPr>
          <w:rFonts w:cs="Arial"/>
        </w:rPr>
        <w:t xml:space="preserve">die Zusammenarbeit mit der KAVB als einen Mehrwert </w:t>
      </w:r>
      <w:r>
        <w:rPr>
          <w:rFonts w:cs="Arial"/>
        </w:rPr>
        <w:t>hinsichtlich</w:t>
      </w:r>
      <w:r w:rsidRPr="000C40CC">
        <w:rPr>
          <w:rFonts w:cs="Arial"/>
        </w:rPr>
        <w:t xml:space="preserve"> des gegenseitigen Austauschs von Informationen </w:t>
      </w:r>
      <w:r>
        <w:rPr>
          <w:rFonts w:cs="Arial"/>
        </w:rPr>
        <w:t xml:space="preserve">sowie des Austauschs </w:t>
      </w:r>
      <w:r w:rsidRPr="000C40CC">
        <w:rPr>
          <w:rFonts w:cs="Arial"/>
        </w:rPr>
        <w:t xml:space="preserve">über die Auslegung der Regelungen für Sortenbezeichnungen und hat im März 2015 </w:t>
      </w:r>
      <w:r>
        <w:rPr>
          <w:rFonts w:cs="Arial"/>
        </w:rPr>
        <w:t xml:space="preserve">gemäß </w:t>
      </w:r>
      <w:r w:rsidRPr="000C40CC">
        <w:rPr>
          <w:rFonts w:cs="Arial"/>
        </w:rPr>
        <w:t>dem Vorschlag des CPVO vereinbart, die Dauer der Zusammenarbeit bei Sortenbezeichnungen für einen unbegrenzten Zeitraum zu verlängern.</w:t>
      </w:r>
    </w:p>
    <w:p w:rsidR="00AF7FF3" w:rsidRPr="000C40CC" w:rsidRDefault="00AF7FF3" w:rsidP="00AF7FF3">
      <w:pPr>
        <w:spacing w:after="240"/>
        <w:ind w:left="720" w:hanging="720"/>
        <w:rPr>
          <w:rFonts w:cs="Arial"/>
          <w:i/>
          <w:u w:val="single"/>
        </w:rPr>
      </w:pPr>
      <w:r w:rsidRPr="000C40CC">
        <w:rPr>
          <w:rFonts w:cs="Arial"/>
          <w:i/>
          <w:u w:val="single"/>
        </w:rPr>
        <w:t>4.2 Tagung</w:t>
      </w:r>
      <w:r>
        <w:rPr>
          <w:rFonts w:cs="Arial"/>
          <w:i/>
          <w:u w:val="single"/>
        </w:rPr>
        <w:t>en</w:t>
      </w:r>
      <w:r w:rsidRPr="000C40CC">
        <w:rPr>
          <w:rFonts w:cs="Arial"/>
          <w:i/>
          <w:u w:val="single"/>
        </w:rPr>
        <w:t xml:space="preserve"> mit Pflanzensachverständigen </w:t>
      </w:r>
    </w:p>
    <w:p w:rsidR="00AF7FF3" w:rsidRPr="000C40CC" w:rsidRDefault="00AF7FF3" w:rsidP="00AF7FF3">
      <w:pPr>
        <w:autoSpaceDE w:val="0"/>
        <w:autoSpaceDN w:val="0"/>
        <w:adjustRightInd w:val="0"/>
        <w:spacing w:after="240"/>
        <w:ind w:left="360"/>
        <w:rPr>
          <w:rFonts w:cs="Arial"/>
          <w:i/>
          <w:color w:val="000000"/>
          <w:lang w:eastAsia="en-GB"/>
        </w:rPr>
      </w:pPr>
      <w:r w:rsidRPr="000C40CC">
        <w:rPr>
          <w:rFonts w:cs="Arial"/>
          <w:i/>
          <w:color w:val="000000"/>
          <w:lang w:eastAsia="en-GB"/>
        </w:rPr>
        <w:t xml:space="preserve">a. Tagung mit </w:t>
      </w:r>
      <w:r>
        <w:rPr>
          <w:rFonts w:cs="Arial"/>
          <w:i/>
          <w:color w:val="000000"/>
          <w:lang w:eastAsia="en-GB"/>
        </w:rPr>
        <w:t>Sachverständigen für Gemüsearten</w:t>
      </w:r>
    </w:p>
    <w:p w:rsidR="00AF7FF3" w:rsidRPr="000C40CC" w:rsidRDefault="00AF7FF3" w:rsidP="00AF7FF3">
      <w:pPr>
        <w:autoSpaceDE w:val="0"/>
        <w:autoSpaceDN w:val="0"/>
        <w:adjustRightInd w:val="0"/>
        <w:spacing w:after="240"/>
        <w:rPr>
          <w:rFonts w:cs="Arial"/>
          <w:color w:val="000000"/>
          <w:lang w:eastAsia="en-GB"/>
        </w:rPr>
      </w:pPr>
      <w:r w:rsidRPr="000C40CC">
        <w:rPr>
          <w:rFonts w:cs="Arial"/>
          <w:color w:val="000000"/>
          <w:lang w:eastAsia="en-GB"/>
        </w:rPr>
        <w:t xml:space="preserve">Am 22. und 23. Oktober 2014 wurde eine Tagung mit </w:t>
      </w:r>
      <w:r>
        <w:rPr>
          <w:rFonts w:cs="Arial"/>
          <w:color w:val="000000"/>
          <w:lang w:eastAsia="en-GB"/>
        </w:rPr>
        <w:t>Sachverständigen für Gemüsearten</w:t>
      </w:r>
      <w:r w:rsidRPr="000C40CC">
        <w:rPr>
          <w:rFonts w:cs="Arial"/>
          <w:color w:val="000000"/>
          <w:lang w:eastAsia="en-GB"/>
        </w:rPr>
        <w:t xml:space="preserve"> abgehalten, um folgende Angelegenheiten zu erörtern:</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Überarbeitungen mehrerer technischer Protokolle;</w:t>
      </w:r>
    </w:p>
    <w:p w:rsidR="00AF7FF3" w:rsidRPr="00B25AE6" w:rsidRDefault="00AF7FF3" w:rsidP="00B25AE6">
      <w:pPr>
        <w:numPr>
          <w:ilvl w:val="0"/>
          <w:numId w:val="42"/>
        </w:numPr>
        <w:autoSpaceDE w:val="0"/>
        <w:autoSpaceDN w:val="0"/>
        <w:adjustRightInd w:val="0"/>
        <w:spacing w:after="100"/>
        <w:ind w:left="641" w:hanging="357"/>
        <w:rPr>
          <w:rFonts w:cs="Arial"/>
        </w:rPr>
      </w:pPr>
      <w:r w:rsidRPr="000C40CC">
        <w:rPr>
          <w:rFonts w:cs="Arial"/>
        </w:rPr>
        <w:t xml:space="preserve">endgültige Arbeitsbestimmungen für </w:t>
      </w:r>
      <w:r>
        <w:rPr>
          <w:rFonts w:cs="Arial"/>
        </w:rPr>
        <w:t xml:space="preserve">die </w:t>
      </w:r>
      <w:r w:rsidRPr="000C40CC">
        <w:rPr>
          <w:rFonts w:cs="Arial"/>
        </w:rPr>
        <w:t>analoge DUS-Prüfung von Gemüsesorten an zwei getrennten P</w:t>
      </w:r>
      <w:r>
        <w:rPr>
          <w:rFonts w:cs="Arial"/>
        </w:rPr>
        <w:t>r</w:t>
      </w:r>
      <w:r w:rsidRPr="000C40CC">
        <w:rPr>
          <w:rFonts w:cs="Arial"/>
        </w:rPr>
        <w:t>üfungsorten;</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mögliche Überarbeitung eines gemeinsamen Formats für Punkt 4.1 in Technischen Fragebögen für Gemüsearten;</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 xml:space="preserve"> den Grundsatz „Ein Schlüssel – mehrere Türen”, Bericht über den Stand der Dinge;</w:t>
      </w:r>
    </w:p>
    <w:p w:rsidR="00AF7FF3" w:rsidRPr="00B25AE6" w:rsidRDefault="00AF7FF3" w:rsidP="00B25AE6">
      <w:pPr>
        <w:numPr>
          <w:ilvl w:val="0"/>
          <w:numId w:val="42"/>
        </w:numPr>
        <w:autoSpaceDE w:val="0"/>
        <w:autoSpaceDN w:val="0"/>
        <w:adjustRightInd w:val="0"/>
        <w:spacing w:after="100"/>
        <w:ind w:left="641" w:hanging="357"/>
        <w:rPr>
          <w:rFonts w:cs="Arial"/>
        </w:rPr>
      </w:pPr>
      <w:r w:rsidRPr="000C40CC">
        <w:rPr>
          <w:rFonts w:cs="Arial"/>
        </w:rPr>
        <w:t>verstärkte Zusammenarbeit zwischen beauftrag</w:t>
      </w:r>
      <w:r>
        <w:rPr>
          <w:rFonts w:cs="Arial"/>
        </w:rPr>
        <w:t>t</w:t>
      </w:r>
      <w:r w:rsidRPr="000C40CC">
        <w:rPr>
          <w:rFonts w:cs="Arial"/>
        </w:rPr>
        <w:t>en Prüfungsämtern für Gemüse</w:t>
      </w:r>
      <w:r>
        <w:rPr>
          <w:rFonts w:cs="Arial"/>
        </w:rPr>
        <w:t>arten</w:t>
      </w:r>
      <w:r w:rsidRPr="000C40CC">
        <w:rPr>
          <w:rFonts w:cs="Arial"/>
        </w:rPr>
        <w:t>, einschließlich einer möglichen Zentralisierung einiger „</w:t>
      </w:r>
      <w:r>
        <w:rPr>
          <w:rFonts w:cs="Arial"/>
        </w:rPr>
        <w:t xml:space="preserve">unbedeutenderer </w:t>
      </w:r>
      <w:r w:rsidRPr="000C40CC">
        <w:rPr>
          <w:rFonts w:cs="Arial"/>
        </w:rPr>
        <w:t>Arten”;</w:t>
      </w:r>
    </w:p>
    <w:p w:rsidR="00AF7FF3" w:rsidRPr="00B25AE6" w:rsidRDefault="00AF7FF3" w:rsidP="00B25AE6">
      <w:pPr>
        <w:numPr>
          <w:ilvl w:val="0"/>
          <w:numId w:val="42"/>
        </w:numPr>
        <w:autoSpaceDE w:val="0"/>
        <w:autoSpaceDN w:val="0"/>
        <w:adjustRightInd w:val="0"/>
        <w:spacing w:after="100"/>
        <w:ind w:left="641" w:hanging="357"/>
        <w:rPr>
          <w:rFonts w:cs="Arial"/>
        </w:rPr>
      </w:pPr>
      <w:r w:rsidRPr="000C40CC">
        <w:rPr>
          <w:rFonts w:cs="Arial"/>
        </w:rPr>
        <w:t>Erweiterung von UPOV-Codes, um Informationen über Pflanzentypen bereitzustellen;</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laufende Erörterung von Fragen zur Prüfung von Krankheitsresistenzen:</w:t>
      </w:r>
    </w:p>
    <w:p w:rsidR="00AF7FF3" w:rsidRPr="000C40CC" w:rsidRDefault="00AF7FF3" w:rsidP="00B25AE6">
      <w:pPr>
        <w:numPr>
          <w:ilvl w:val="1"/>
          <w:numId w:val="16"/>
        </w:numPr>
        <w:autoSpaceDE w:val="0"/>
        <w:autoSpaceDN w:val="0"/>
        <w:adjustRightInd w:val="0"/>
        <w:spacing w:after="120"/>
        <w:ind w:left="1434" w:hanging="357"/>
        <w:rPr>
          <w:rFonts w:cs="Arial"/>
          <w:color w:val="000000"/>
          <w:lang w:eastAsia="en-GB"/>
        </w:rPr>
      </w:pPr>
      <w:r w:rsidRPr="000C40CC">
        <w:rPr>
          <w:rFonts w:cs="Arial"/>
          <w:color w:val="000000"/>
          <w:lang w:eastAsia="en-GB"/>
        </w:rPr>
        <w:t>verstärkte Entwicklung einer verzögerten Umsetzung von Krankheitsresistenzmerkmale</w:t>
      </w:r>
      <w:r>
        <w:rPr>
          <w:rFonts w:cs="Arial"/>
          <w:color w:val="000000"/>
          <w:lang w:eastAsia="en-GB"/>
        </w:rPr>
        <w:t>n</w:t>
      </w:r>
      <w:r w:rsidRPr="000C40CC">
        <w:rPr>
          <w:rFonts w:cs="Arial"/>
          <w:color w:val="000000"/>
          <w:lang w:eastAsia="en-GB"/>
        </w:rPr>
        <w:t xml:space="preserve"> mit Sternchen;</w:t>
      </w:r>
    </w:p>
    <w:p w:rsidR="00AF7FF3" w:rsidRPr="000C40CC" w:rsidRDefault="00AF7FF3" w:rsidP="00B25AE6">
      <w:pPr>
        <w:numPr>
          <w:ilvl w:val="1"/>
          <w:numId w:val="16"/>
        </w:numPr>
        <w:autoSpaceDE w:val="0"/>
        <w:autoSpaceDN w:val="0"/>
        <w:adjustRightInd w:val="0"/>
        <w:spacing w:after="120"/>
        <w:ind w:left="1434" w:hanging="357"/>
        <w:rPr>
          <w:rFonts w:cs="Arial"/>
          <w:color w:val="000000"/>
          <w:lang w:eastAsia="en-GB"/>
        </w:rPr>
      </w:pPr>
      <w:r w:rsidRPr="000C40CC">
        <w:rPr>
          <w:rFonts w:cs="Arial"/>
          <w:color w:val="000000"/>
          <w:lang w:eastAsia="en-GB"/>
        </w:rPr>
        <w:t>verstärkte Analyse von tatsächlichen Krankheitsresistenzmerkmalen mit Sternchen;</w:t>
      </w:r>
    </w:p>
    <w:p w:rsidR="00AF7FF3" w:rsidRPr="000C40CC" w:rsidRDefault="00AF7FF3" w:rsidP="00B25AE6">
      <w:pPr>
        <w:numPr>
          <w:ilvl w:val="0"/>
          <w:numId w:val="42"/>
        </w:numPr>
        <w:autoSpaceDE w:val="0"/>
        <w:autoSpaceDN w:val="0"/>
        <w:adjustRightInd w:val="0"/>
        <w:spacing w:after="240"/>
        <w:ind w:left="641" w:hanging="357"/>
        <w:rPr>
          <w:rFonts w:cs="Arial"/>
          <w:color w:val="000000"/>
          <w:lang w:eastAsia="en-GB"/>
        </w:rPr>
      </w:pPr>
      <w:r w:rsidRPr="000C40CC">
        <w:rPr>
          <w:rFonts w:cs="Arial"/>
          <w:color w:val="000000"/>
          <w:lang w:eastAsia="en-GB"/>
        </w:rPr>
        <w:t>Lage bezüglich laufender und künftiger Forschungs- und Entwicklungsprojekte für Gemüse.</w:t>
      </w:r>
    </w:p>
    <w:p w:rsidR="00AF7FF3" w:rsidRPr="000C40CC" w:rsidRDefault="00AF7FF3" w:rsidP="00AF7FF3">
      <w:pPr>
        <w:autoSpaceDE w:val="0"/>
        <w:autoSpaceDN w:val="0"/>
        <w:adjustRightInd w:val="0"/>
        <w:spacing w:after="240"/>
        <w:ind w:left="360"/>
        <w:rPr>
          <w:rFonts w:cs="Arial"/>
          <w:i/>
          <w:color w:val="000000"/>
          <w:lang w:eastAsia="en-GB"/>
        </w:rPr>
      </w:pPr>
      <w:r w:rsidRPr="000C40CC">
        <w:rPr>
          <w:rFonts w:cs="Arial"/>
          <w:i/>
          <w:color w:val="000000"/>
          <w:lang w:eastAsia="en-GB"/>
        </w:rPr>
        <w:t xml:space="preserve">b. Tagung mit </w:t>
      </w:r>
      <w:r>
        <w:rPr>
          <w:rFonts w:cs="Arial"/>
          <w:i/>
          <w:color w:val="000000"/>
          <w:lang w:eastAsia="en-GB"/>
        </w:rPr>
        <w:t>Sachverständigen für landwirtschaftliche Arten</w:t>
      </w:r>
    </w:p>
    <w:p w:rsidR="00AF7FF3" w:rsidRPr="000C40CC" w:rsidRDefault="00AF7FF3" w:rsidP="00AF7FF3">
      <w:pPr>
        <w:autoSpaceDE w:val="0"/>
        <w:autoSpaceDN w:val="0"/>
        <w:adjustRightInd w:val="0"/>
        <w:spacing w:after="240"/>
        <w:rPr>
          <w:rFonts w:cs="Arial"/>
          <w:color w:val="000000"/>
          <w:lang w:eastAsia="en-GB"/>
        </w:rPr>
      </w:pPr>
      <w:r w:rsidRPr="000C40CC">
        <w:rPr>
          <w:rFonts w:cs="Arial"/>
          <w:color w:val="000000"/>
          <w:lang w:eastAsia="en-GB"/>
        </w:rPr>
        <w:t xml:space="preserve">Am 7. und 8. Oktober 2014 wurde eine Tagung mit </w:t>
      </w:r>
      <w:r>
        <w:rPr>
          <w:rFonts w:cs="Arial"/>
          <w:color w:val="000000"/>
          <w:lang w:eastAsia="en-GB"/>
        </w:rPr>
        <w:t>Sachverständigen für landwirtschaftliche Arten</w:t>
      </w:r>
      <w:r w:rsidRPr="000C40CC">
        <w:rPr>
          <w:rFonts w:cs="Arial"/>
          <w:color w:val="000000"/>
          <w:lang w:eastAsia="en-GB"/>
        </w:rPr>
        <w:t xml:space="preserve"> abgehalten, um folgende Angelegenheiten zu erörtern:</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 xml:space="preserve">Überarbeitung mehrerer technischer Protokolle; </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 xml:space="preserve">Aufspaltung von Merkmalen bei Hybridsorten; </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Getreidearten: Verhältnis von Schwelle für die Neuvorlage und Ablehnung;</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 xml:space="preserve">Bericht über technische Überprüfungen, die erforderlich werden, wenn kein Saatgut eingereicht wird; </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Grundsatz „Ein Schlüssel – mehrere Türen”;</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Datenbank für Kartoffel;</w:t>
      </w:r>
    </w:p>
    <w:p w:rsidR="00AF7FF3" w:rsidRPr="000C40CC" w:rsidRDefault="00AF7FF3" w:rsidP="00B25AE6">
      <w:pPr>
        <w:numPr>
          <w:ilvl w:val="0"/>
          <w:numId w:val="42"/>
        </w:numPr>
        <w:autoSpaceDE w:val="0"/>
        <w:autoSpaceDN w:val="0"/>
        <w:adjustRightInd w:val="0"/>
        <w:spacing w:after="240"/>
        <w:ind w:left="641" w:hanging="357"/>
        <w:rPr>
          <w:rFonts w:cs="Arial"/>
          <w:color w:val="000000"/>
          <w:lang w:eastAsia="en-GB"/>
        </w:rPr>
      </w:pPr>
      <w:r w:rsidRPr="00B25AE6">
        <w:rPr>
          <w:rFonts w:cs="Arial"/>
        </w:rPr>
        <w:t>die Lage bezüglich laufender und künftiger Forschungs- und Entwicklungsprojekte auf dem</w:t>
      </w:r>
      <w:r w:rsidRPr="000C40CC">
        <w:rPr>
          <w:rFonts w:cs="Arial"/>
          <w:color w:val="000000"/>
          <w:lang w:eastAsia="en-GB"/>
        </w:rPr>
        <w:t xml:space="preserve"> Landwirtschaftssektor.</w:t>
      </w:r>
    </w:p>
    <w:p w:rsidR="00AF7FF3" w:rsidRPr="000C40CC" w:rsidRDefault="00AF7FF3" w:rsidP="00AF7FF3">
      <w:pPr>
        <w:autoSpaceDE w:val="0"/>
        <w:autoSpaceDN w:val="0"/>
        <w:adjustRightInd w:val="0"/>
        <w:spacing w:after="240"/>
        <w:ind w:left="425"/>
        <w:rPr>
          <w:rFonts w:cs="Arial"/>
          <w:i/>
          <w:color w:val="000000"/>
          <w:lang w:eastAsia="en-GB"/>
        </w:rPr>
      </w:pPr>
      <w:r w:rsidRPr="000C40CC">
        <w:rPr>
          <w:rFonts w:cs="Arial"/>
          <w:i/>
          <w:color w:val="000000"/>
          <w:lang w:eastAsia="en-GB"/>
        </w:rPr>
        <w:t xml:space="preserve">c. Tagung mit </w:t>
      </w:r>
      <w:r>
        <w:rPr>
          <w:rFonts w:cs="Arial"/>
          <w:i/>
          <w:color w:val="000000"/>
          <w:lang w:eastAsia="en-GB"/>
        </w:rPr>
        <w:t>Sachverständigen für Obstarten</w:t>
      </w:r>
    </w:p>
    <w:p w:rsidR="00AF7FF3" w:rsidRPr="000C40CC" w:rsidRDefault="00AF7FF3" w:rsidP="00AF7FF3">
      <w:pPr>
        <w:autoSpaceDE w:val="0"/>
        <w:autoSpaceDN w:val="0"/>
        <w:adjustRightInd w:val="0"/>
        <w:spacing w:after="240"/>
        <w:rPr>
          <w:rFonts w:cs="Arial"/>
          <w:color w:val="000000"/>
          <w:lang w:eastAsia="en-GB"/>
        </w:rPr>
      </w:pPr>
      <w:r w:rsidRPr="000C40CC">
        <w:rPr>
          <w:rFonts w:cs="Arial"/>
          <w:color w:val="000000"/>
          <w:lang w:eastAsia="en-GB"/>
        </w:rPr>
        <w:t xml:space="preserve">Am 30. September und 1. Oktober 2014 wurde eine Tagung mit </w:t>
      </w:r>
      <w:r>
        <w:rPr>
          <w:rFonts w:cs="Arial"/>
          <w:color w:val="000000"/>
          <w:lang w:eastAsia="en-GB"/>
        </w:rPr>
        <w:t>Sachverständigen für Obstarten</w:t>
      </w:r>
      <w:r w:rsidRPr="000C40CC">
        <w:rPr>
          <w:rFonts w:cs="Arial"/>
          <w:color w:val="000000"/>
          <w:lang w:eastAsia="en-GB"/>
        </w:rPr>
        <w:t xml:space="preserve"> abgehalten, um folgende Angelegenheiten zu erörtern:</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Zwischenberichte – Informationen unter den Anmerkungen;</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 xml:space="preserve">Bericht über den Tag der offenen Tür für Apfel am 18. Dezember 2013 und Vorschlag für Folgemaßnahmen; </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 xml:space="preserve">Probe für die Prüfung der Homogenität; </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 xml:space="preserve">Möglichkeiten der Zusammenarbeit mit UPOV-Behörden im Ausland beim Austausch von technischen Prüfungsberichten; </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 xml:space="preserve">Notwendigkeit einer lebenden Sammlung für kleine Arten auf dem Obstsektor; </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 xml:space="preserve">Prüfung auf dem Gelände des Züchters; </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 xml:space="preserve">Austausch von Ansichten über die Notwendigkeit einer Teilüberarbeitung des CPVO-Mandarinenprotokolls unter Berücksichtigung der jüngsten Entwicklungen in der TWF der UPOV; </w:t>
      </w:r>
    </w:p>
    <w:p w:rsidR="00AF7FF3" w:rsidRPr="00B25AE6" w:rsidRDefault="00AF7FF3" w:rsidP="00B25AE6">
      <w:pPr>
        <w:numPr>
          <w:ilvl w:val="0"/>
          <w:numId w:val="42"/>
        </w:numPr>
        <w:autoSpaceDE w:val="0"/>
        <w:autoSpaceDN w:val="0"/>
        <w:adjustRightInd w:val="0"/>
        <w:spacing w:after="100"/>
        <w:ind w:left="641" w:hanging="357"/>
        <w:rPr>
          <w:rFonts w:cs="Arial"/>
        </w:rPr>
      </w:pPr>
      <w:r w:rsidRPr="00B25AE6">
        <w:rPr>
          <w:rFonts w:cs="Arial"/>
        </w:rPr>
        <w:t xml:space="preserve">Alter von Pflanzen und Seite-an-Seite-Vergleich in Bezug auf die technische Prüfung von Obstsorten; </w:t>
      </w:r>
    </w:p>
    <w:p w:rsidR="00AF7FF3" w:rsidRPr="00B25AE6" w:rsidRDefault="00AF7FF3" w:rsidP="00B25AE6">
      <w:pPr>
        <w:numPr>
          <w:ilvl w:val="0"/>
          <w:numId w:val="42"/>
        </w:numPr>
        <w:autoSpaceDE w:val="0"/>
        <w:autoSpaceDN w:val="0"/>
        <w:adjustRightInd w:val="0"/>
        <w:spacing w:after="100"/>
        <w:ind w:left="641" w:hanging="357"/>
        <w:rPr>
          <w:rFonts w:cs="Arial"/>
        </w:rPr>
      </w:pPr>
      <w:proofErr w:type="spellStart"/>
      <w:r w:rsidRPr="00B25AE6">
        <w:rPr>
          <w:rFonts w:cs="Arial"/>
        </w:rPr>
        <w:t>phytosanitäre</w:t>
      </w:r>
      <w:proofErr w:type="spellEnd"/>
      <w:r w:rsidRPr="00B25AE6">
        <w:rPr>
          <w:rFonts w:cs="Arial"/>
        </w:rPr>
        <w:t xml:space="preserve"> Anforderungen;</w:t>
      </w:r>
    </w:p>
    <w:p w:rsidR="00AF7FF3" w:rsidRPr="00B25AE6" w:rsidRDefault="00AF7FF3" w:rsidP="00B25AE6">
      <w:pPr>
        <w:numPr>
          <w:ilvl w:val="0"/>
          <w:numId w:val="42"/>
        </w:numPr>
        <w:autoSpaceDE w:val="0"/>
        <w:autoSpaceDN w:val="0"/>
        <w:adjustRightInd w:val="0"/>
        <w:spacing w:after="240"/>
        <w:ind w:left="641" w:hanging="357"/>
        <w:rPr>
          <w:rFonts w:cs="Arial"/>
        </w:rPr>
      </w:pPr>
      <w:r w:rsidRPr="00B25AE6">
        <w:rPr>
          <w:rFonts w:cs="Arial"/>
        </w:rPr>
        <w:t>Folgemaßnahmen des Forschungs- und Entwicklungsprojektes „Reduzierung der Anzahl von obligatorischen Beobachtungsperioden in der DUS-Prüfung für Kandidatensorten auf dem Obstsektor”.</w:t>
      </w:r>
    </w:p>
    <w:p w:rsidR="00AF7FF3" w:rsidRPr="000C40CC" w:rsidRDefault="00AF7FF3" w:rsidP="00AF7FF3">
      <w:pPr>
        <w:autoSpaceDE w:val="0"/>
        <w:autoSpaceDN w:val="0"/>
        <w:adjustRightInd w:val="0"/>
        <w:spacing w:after="240"/>
        <w:ind w:left="425"/>
        <w:rPr>
          <w:rFonts w:cs="Arial"/>
          <w:i/>
          <w:color w:val="000000"/>
          <w:lang w:eastAsia="en-GB"/>
        </w:rPr>
      </w:pPr>
      <w:r w:rsidRPr="000C40CC">
        <w:rPr>
          <w:rFonts w:cs="Arial"/>
          <w:i/>
          <w:color w:val="000000"/>
          <w:lang w:eastAsia="en-GB"/>
        </w:rPr>
        <w:t xml:space="preserve">d. Tagung mit </w:t>
      </w:r>
      <w:r>
        <w:rPr>
          <w:rFonts w:cs="Arial"/>
          <w:i/>
          <w:color w:val="000000"/>
          <w:lang w:eastAsia="en-GB"/>
        </w:rPr>
        <w:t>Sachverständigen für Zierpflanzen</w:t>
      </w:r>
    </w:p>
    <w:p w:rsidR="00AF7FF3" w:rsidRPr="000C40CC" w:rsidRDefault="00AF7FF3" w:rsidP="00B25AE6">
      <w:pPr>
        <w:autoSpaceDE w:val="0"/>
        <w:autoSpaceDN w:val="0"/>
        <w:adjustRightInd w:val="0"/>
        <w:spacing w:after="240"/>
        <w:rPr>
          <w:rFonts w:cs="Arial"/>
          <w:color w:val="000000"/>
          <w:lang w:eastAsia="en-GB"/>
        </w:rPr>
      </w:pPr>
      <w:r>
        <w:rPr>
          <w:rFonts w:cs="Arial"/>
          <w:color w:val="000000"/>
          <w:lang w:eastAsia="en-GB"/>
        </w:rPr>
        <w:t>Am 23. u</w:t>
      </w:r>
      <w:r w:rsidRPr="000C40CC">
        <w:rPr>
          <w:rFonts w:cs="Arial"/>
          <w:color w:val="000000"/>
          <w:lang w:eastAsia="en-GB"/>
        </w:rPr>
        <w:t xml:space="preserve">nd 24. September 2014 wurde eine Tagung mit </w:t>
      </w:r>
      <w:r>
        <w:rPr>
          <w:rFonts w:cs="Arial"/>
          <w:color w:val="000000"/>
          <w:lang w:eastAsia="en-GB"/>
        </w:rPr>
        <w:t>Sachverständigen für Zierpflanzen</w:t>
      </w:r>
      <w:r w:rsidRPr="000C40CC">
        <w:rPr>
          <w:rFonts w:cs="Arial"/>
          <w:color w:val="000000"/>
          <w:lang w:eastAsia="en-GB"/>
        </w:rPr>
        <w:t xml:space="preserve"> abgehalten, um folgende Angelegenheiten zu erörtern:</w:t>
      </w:r>
    </w:p>
    <w:p w:rsidR="00AF7FF3" w:rsidRPr="00EF3858" w:rsidRDefault="00AF7FF3" w:rsidP="00EF3858">
      <w:pPr>
        <w:numPr>
          <w:ilvl w:val="0"/>
          <w:numId w:val="42"/>
        </w:numPr>
        <w:autoSpaceDE w:val="0"/>
        <w:autoSpaceDN w:val="0"/>
        <w:adjustRightInd w:val="0"/>
        <w:spacing w:after="100"/>
        <w:ind w:left="641" w:hanging="357"/>
        <w:rPr>
          <w:rFonts w:cs="Arial"/>
        </w:rPr>
      </w:pPr>
      <w:r w:rsidRPr="00EF3858">
        <w:rPr>
          <w:rFonts w:cs="Arial"/>
        </w:rPr>
        <w:t>Zentralisierung kleiner Arten;</w:t>
      </w:r>
    </w:p>
    <w:p w:rsidR="00AF7FF3" w:rsidRPr="00EF3858" w:rsidRDefault="00AF7FF3" w:rsidP="00EF3858">
      <w:pPr>
        <w:numPr>
          <w:ilvl w:val="0"/>
          <w:numId w:val="42"/>
        </w:numPr>
        <w:autoSpaceDE w:val="0"/>
        <w:autoSpaceDN w:val="0"/>
        <w:adjustRightInd w:val="0"/>
        <w:spacing w:after="100"/>
        <w:ind w:left="641" w:hanging="357"/>
        <w:rPr>
          <w:rFonts w:cs="Arial"/>
        </w:rPr>
      </w:pPr>
      <w:r w:rsidRPr="00EF3858">
        <w:rPr>
          <w:rFonts w:cs="Arial"/>
        </w:rPr>
        <w:t>Vorschlag zur Anpassung der allgemeinen Hinweise über die Einreichung von Proben für Anträge für Zierpflanzen;</w:t>
      </w:r>
    </w:p>
    <w:p w:rsidR="00AF7FF3" w:rsidRPr="00EF3858" w:rsidRDefault="00AF7FF3" w:rsidP="00EF3858">
      <w:pPr>
        <w:numPr>
          <w:ilvl w:val="0"/>
          <w:numId w:val="42"/>
        </w:numPr>
        <w:autoSpaceDE w:val="0"/>
        <w:autoSpaceDN w:val="0"/>
        <w:adjustRightInd w:val="0"/>
        <w:spacing w:after="100"/>
        <w:ind w:left="641" w:hanging="357"/>
        <w:rPr>
          <w:rFonts w:cs="Arial"/>
        </w:rPr>
      </w:pPr>
      <w:r w:rsidRPr="00EF3858">
        <w:rPr>
          <w:rFonts w:cs="Arial"/>
        </w:rPr>
        <w:t>Probleme bei der Einreichung von Pflanzenmaterial aus nicht EU-Ländern, Austausch von Erfahrung, Notwendigkeit der Aktualisierung der allgemeinen Anforderungen für die Einreichung;</w:t>
      </w:r>
    </w:p>
    <w:p w:rsidR="00AF7FF3" w:rsidRPr="00EF3858" w:rsidRDefault="00AF7FF3" w:rsidP="00EF3858">
      <w:pPr>
        <w:numPr>
          <w:ilvl w:val="0"/>
          <w:numId w:val="42"/>
        </w:numPr>
        <w:autoSpaceDE w:val="0"/>
        <w:autoSpaceDN w:val="0"/>
        <w:adjustRightInd w:val="0"/>
        <w:spacing w:after="100"/>
        <w:ind w:left="641" w:hanging="357"/>
        <w:rPr>
          <w:rFonts w:cs="Arial"/>
        </w:rPr>
      </w:pPr>
      <w:r w:rsidRPr="00EF3858">
        <w:rPr>
          <w:rFonts w:cs="Arial"/>
        </w:rPr>
        <w:t>Bericht über zusätzliche Merkmale, die in jüngster Zeit in den Zierpflanzensektor aufgenommen wurden, Stand der Dinge;</w:t>
      </w:r>
    </w:p>
    <w:p w:rsidR="00AF7FF3" w:rsidRPr="00EF3858" w:rsidRDefault="00AF7FF3" w:rsidP="00EF3858">
      <w:pPr>
        <w:numPr>
          <w:ilvl w:val="0"/>
          <w:numId w:val="42"/>
        </w:numPr>
        <w:autoSpaceDE w:val="0"/>
        <w:autoSpaceDN w:val="0"/>
        <w:adjustRightInd w:val="0"/>
        <w:spacing w:after="100"/>
        <w:ind w:left="641" w:hanging="357"/>
        <w:rPr>
          <w:rFonts w:cs="Arial"/>
        </w:rPr>
      </w:pPr>
      <w:r w:rsidRPr="00EF3858">
        <w:rPr>
          <w:rFonts w:cs="Arial"/>
        </w:rPr>
        <w:t xml:space="preserve">Darstellung der Computerisierung des Verfahrens für neue Arten und Rückmeldungen von den Prüfungsämtern nach dem ersten Verfahren; </w:t>
      </w:r>
    </w:p>
    <w:p w:rsidR="00AF7FF3" w:rsidRPr="00EF3858" w:rsidRDefault="00AF7FF3" w:rsidP="00EF3858">
      <w:pPr>
        <w:numPr>
          <w:ilvl w:val="0"/>
          <w:numId w:val="42"/>
        </w:numPr>
        <w:autoSpaceDE w:val="0"/>
        <w:autoSpaceDN w:val="0"/>
        <w:adjustRightInd w:val="0"/>
        <w:spacing w:after="240"/>
        <w:ind w:left="641" w:hanging="357"/>
        <w:rPr>
          <w:rFonts w:cs="Arial"/>
        </w:rPr>
      </w:pPr>
      <w:r w:rsidRPr="00EF3858">
        <w:rPr>
          <w:rFonts w:cs="Arial"/>
        </w:rPr>
        <w:t>Lesbarkeit des Technischen Fragebogens online und Antragsformular aus Prüfersicht.</w:t>
      </w:r>
    </w:p>
    <w:p w:rsidR="00AF7FF3" w:rsidRPr="000C40CC" w:rsidRDefault="00AF7FF3" w:rsidP="00AF7FF3">
      <w:pPr>
        <w:autoSpaceDE w:val="0"/>
        <w:autoSpaceDN w:val="0"/>
        <w:adjustRightInd w:val="0"/>
        <w:spacing w:after="240"/>
        <w:rPr>
          <w:rFonts w:cs="Arial"/>
          <w:color w:val="000000"/>
          <w:lang w:eastAsia="en-GB"/>
        </w:rPr>
      </w:pPr>
      <w:r w:rsidRPr="000C40CC">
        <w:rPr>
          <w:rFonts w:cs="Arial"/>
          <w:color w:val="000000"/>
          <w:lang w:eastAsia="en-GB"/>
        </w:rPr>
        <w:t xml:space="preserve">Das CPVO richtete </w:t>
      </w:r>
      <w:r w:rsidRPr="000C40CC">
        <w:rPr>
          <w:rFonts w:cs="Arial"/>
        </w:rPr>
        <w:t xml:space="preserve">vom 15. bis 19. Juni 2015 </w:t>
      </w:r>
      <w:r w:rsidRPr="000C40CC">
        <w:rPr>
          <w:rFonts w:cs="Arial"/>
          <w:color w:val="000000"/>
          <w:lang w:eastAsia="en-GB"/>
        </w:rPr>
        <w:t xml:space="preserve">in Angers die 49. Tagung der </w:t>
      </w:r>
      <w:r w:rsidRPr="000C40CC">
        <w:rPr>
          <w:rFonts w:cs="Arial"/>
        </w:rPr>
        <w:t xml:space="preserve">Technischen Arbeitsgruppe für Gemüsearten (TWV/49) der </w:t>
      </w:r>
      <w:r w:rsidRPr="000C40CC">
        <w:rPr>
          <w:rFonts w:cs="Arial"/>
          <w:color w:val="000000"/>
          <w:lang w:eastAsia="en-GB"/>
        </w:rPr>
        <w:t>UPOV</w:t>
      </w:r>
      <w:r w:rsidRPr="000C40CC">
        <w:rPr>
          <w:rFonts w:cs="Arial"/>
        </w:rPr>
        <w:t xml:space="preserve"> aus. An der Veranstaltung nahmen mehr als 60 Sachverständige aus </w:t>
      </w:r>
      <w:r>
        <w:rPr>
          <w:rFonts w:cs="Arial"/>
        </w:rPr>
        <w:t>verschiedenen</w:t>
      </w:r>
      <w:r w:rsidRPr="000C40CC">
        <w:rPr>
          <w:rFonts w:cs="Arial"/>
        </w:rPr>
        <w:t xml:space="preserve"> Ländern teil.</w:t>
      </w:r>
    </w:p>
    <w:p w:rsidR="00AF7FF3" w:rsidRPr="000C40CC" w:rsidRDefault="00AF7FF3" w:rsidP="00AF7FF3">
      <w:pPr>
        <w:spacing w:after="240"/>
        <w:rPr>
          <w:rFonts w:cs="Arial"/>
          <w:i/>
          <w:u w:val="single"/>
        </w:rPr>
      </w:pPr>
      <w:r w:rsidRPr="000C40CC">
        <w:rPr>
          <w:rFonts w:cs="Arial"/>
          <w:i/>
          <w:u w:val="single"/>
        </w:rPr>
        <w:t>4.3 Qualitäts-</w:t>
      </w:r>
      <w:r>
        <w:rPr>
          <w:rFonts w:cs="Arial"/>
          <w:i/>
          <w:u w:val="single"/>
        </w:rPr>
        <w:t>Audit</w:t>
      </w:r>
      <w:r w:rsidRPr="000C40CC">
        <w:rPr>
          <w:rFonts w:cs="Arial"/>
          <w:i/>
          <w:u w:val="single"/>
        </w:rPr>
        <w:t xml:space="preserve"> Service</w:t>
      </w:r>
    </w:p>
    <w:p w:rsidR="00AF7FF3" w:rsidRPr="000C40CC" w:rsidRDefault="00AF7FF3" w:rsidP="00AF7FF3">
      <w:pPr>
        <w:spacing w:after="240"/>
        <w:rPr>
          <w:rFonts w:cs="Arial"/>
        </w:rPr>
      </w:pPr>
      <w:r w:rsidRPr="000C40CC">
        <w:rPr>
          <w:rFonts w:cs="Arial"/>
        </w:rPr>
        <w:t xml:space="preserve">Im Rahmen des CPVO-Bewertungsprogramms wurden 12 </w:t>
      </w:r>
      <w:r>
        <w:rPr>
          <w:rFonts w:cs="Arial"/>
        </w:rPr>
        <w:t>Audits</w:t>
      </w:r>
      <w:r w:rsidRPr="000C40CC">
        <w:rPr>
          <w:rFonts w:cs="Arial"/>
        </w:rPr>
        <w:t xml:space="preserve"> beauftragter Prüfungsämter durchgeführt. Diese </w:t>
      </w:r>
      <w:proofErr w:type="spellStart"/>
      <w:r w:rsidRPr="000C40CC">
        <w:rPr>
          <w:rFonts w:cs="Arial"/>
        </w:rPr>
        <w:t>umfaßten</w:t>
      </w:r>
      <w:proofErr w:type="spellEnd"/>
      <w:r w:rsidRPr="000C40CC">
        <w:rPr>
          <w:rFonts w:cs="Arial"/>
        </w:rPr>
        <w:t xml:space="preserve"> regelmäßige dreijährige </w:t>
      </w:r>
      <w:r>
        <w:rPr>
          <w:rFonts w:cs="Arial"/>
        </w:rPr>
        <w:t>Audit</w:t>
      </w:r>
      <w:r w:rsidRPr="000C40CC">
        <w:rPr>
          <w:rFonts w:cs="Arial"/>
        </w:rPr>
        <w:t xml:space="preserve">besuche sowie auch Bewertungen in Reaktion auf Anfragen zur Ausweitung des Einsatzbereichs. </w:t>
      </w:r>
      <w:r>
        <w:rPr>
          <w:rFonts w:cs="Arial"/>
        </w:rPr>
        <w:t xml:space="preserve">Diese Bewertungen schlossen den zweiten vollständigen Auditzyklus seit der Einführung des Programms im Jahr 2010 ab. </w:t>
      </w:r>
      <w:r w:rsidRPr="000C40CC">
        <w:rPr>
          <w:rFonts w:cs="Arial"/>
        </w:rPr>
        <w:t>Der Verwaltungsrat des CPVO nahm die Beauftragungsempfehlungen, die bei den Tagungen des Verwaltungsrates im Oktober 201</w:t>
      </w:r>
      <w:r>
        <w:rPr>
          <w:rFonts w:cs="Arial"/>
        </w:rPr>
        <w:t>4</w:t>
      </w:r>
      <w:r w:rsidRPr="000C40CC">
        <w:rPr>
          <w:rFonts w:cs="Arial"/>
        </w:rPr>
        <w:t xml:space="preserve"> und im März 201</w:t>
      </w:r>
      <w:r>
        <w:rPr>
          <w:rFonts w:cs="Arial"/>
        </w:rPr>
        <w:t>5</w:t>
      </w:r>
      <w:r w:rsidRPr="000C40CC">
        <w:rPr>
          <w:rFonts w:cs="Arial"/>
        </w:rPr>
        <w:t xml:space="preserve"> abgegeben wurden, an. </w:t>
      </w:r>
    </w:p>
    <w:p w:rsidR="00AF7FF3" w:rsidRPr="000C40CC" w:rsidRDefault="00AF7FF3" w:rsidP="00AF7FF3">
      <w:pPr>
        <w:spacing w:after="240"/>
        <w:rPr>
          <w:rFonts w:cs="Arial"/>
        </w:rPr>
      </w:pPr>
      <w:r w:rsidRPr="000C40CC">
        <w:rPr>
          <w:rFonts w:cs="Arial"/>
        </w:rPr>
        <w:t>Der Verwaltungsrat ernannte außerdem 30 an den Bewertungen mitwirkende technische Sachverständige, um den derzeitigen Bestand von Sachverständigen zu erneuern und zu ergänzen.</w:t>
      </w:r>
    </w:p>
    <w:p w:rsidR="00AF7FF3" w:rsidRPr="000C40CC" w:rsidRDefault="00AF7FF3" w:rsidP="00AF7FF3">
      <w:pPr>
        <w:spacing w:after="240"/>
        <w:rPr>
          <w:rFonts w:cs="Arial"/>
        </w:rPr>
      </w:pPr>
      <w:r w:rsidRPr="000C40CC">
        <w:rPr>
          <w:rFonts w:cs="Arial"/>
        </w:rPr>
        <w:t xml:space="preserve">In Verbindung mit der Durchführung der Kostenkalkulation wurde die Kostenteilung für die </w:t>
      </w:r>
      <w:r>
        <w:rPr>
          <w:rFonts w:cs="Arial"/>
        </w:rPr>
        <w:t>Audits</w:t>
      </w:r>
      <w:r w:rsidRPr="000C40CC">
        <w:rPr>
          <w:rFonts w:cs="Arial"/>
        </w:rPr>
        <w:t xml:space="preserve"> zwischen dem CPVO und seinen Prüfungsämter lanciert. Eine Schätzung der individuellen </w:t>
      </w:r>
      <w:r>
        <w:rPr>
          <w:rFonts w:cs="Arial"/>
        </w:rPr>
        <w:t>Audit</w:t>
      </w:r>
      <w:r w:rsidRPr="000C40CC">
        <w:rPr>
          <w:rFonts w:cs="Arial"/>
        </w:rPr>
        <w:t xml:space="preserve">gebühren wurde den Prüfungsämtern mitgeteilt. Mit dem Beginn des dritten </w:t>
      </w:r>
      <w:r>
        <w:rPr>
          <w:rFonts w:cs="Arial"/>
        </w:rPr>
        <w:t>Audit</w:t>
      </w:r>
      <w:r w:rsidRPr="000C40CC">
        <w:rPr>
          <w:rFonts w:cs="Arial"/>
        </w:rPr>
        <w:t xml:space="preserve">zyklus im Jahr 2016 werden 50 % der Kosten für die </w:t>
      </w:r>
      <w:r>
        <w:rPr>
          <w:rFonts w:cs="Arial"/>
        </w:rPr>
        <w:t>Audits</w:t>
      </w:r>
      <w:r w:rsidRPr="000C40CC">
        <w:rPr>
          <w:rFonts w:cs="Arial"/>
        </w:rPr>
        <w:t xml:space="preserve"> von den Prüfungsämtern getragen werden.</w:t>
      </w:r>
    </w:p>
    <w:p w:rsidR="00AF7FF3" w:rsidRPr="000C40CC" w:rsidRDefault="00AF7FF3" w:rsidP="00AF7FF3">
      <w:pPr>
        <w:spacing w:after="240"/>
        <w:rPr>
          <w:rFonts w:cs="Arial"/>
          <w:b/>
          <w:u w:val="single"/>
        </w:rPr>
      </w:pPr>
      <w:r w:rsidRPr="000C40CC">
        <w:rPr>
          <w:rFonts w:cs="Arial"/>
          <w:b/>
          <w:u w:val="single"/>
        </w:rPr>
        <w:t xml:space="preserve">5) </w:t>
      </w:r>
      <w:r w:rsidRPr="000C40CC">
        <w:rPr>
          <w:b/>
          <w:u w:val="single"/>
        </w:rPr>
        <w:t>Tätigkeiten zur Förderung des Sortenschutzes</w:t>
      </w:r>
      <w:r w:rsidRPr="000C40CC">
        <w:rPr>
          <w:rFonts w:cs="Arial"/>
          <w:b/>
          <w:u w:val="single"/>
        </w:rPr>
        <w:t xml:space="preserve">: </w:t>
      </w:r>
    </w:p>
    <w:p w:rsidR="00AF7FF3" w:rsidRPr="000C40CC" w:rsidRDefault="00AF7FF3" w:rsidP="00AF7FF3">
      <w:pPr>
        <w:spacing w:after="240"/>
        <w:rPr>
          <w:rFonts w:cs="Arial"/>
          <w:i/>
          <w:u w:val="single"/>
        </w:rPr>
      </w:pPr>
      <w:r w:rsidRPr="000C40CC">
        <w:rPr>
          <w:rFonts w:cs="Arial"/>
          <w:i/>
          <w:u w:val="single"/>
        </w:rPr>
        <w:t>5.1 Internationale Sitzungen, Seminare</w:t>
      </w:r>
    </w:p>
    <w:p w:rsidR="00AF7FF3" w:rsidRPr="000C40CC" w:rsidRDefault="00AF7FF3" w:rsidP="00AF7FF3">
      <w:pPr>
        <w:spacing w:after="240"/>
        <w:ind w:left="720"/>
        <w:rPr>
          <w:rFonts w:cs="Arial"/>
          <w:i/>
        </w:rPr>
      </w:pPr>
      <w:r w:rsidRPr="000C40CC">
        <w:rPr>
          <w:rFonts w:cs="Arial"/>
          <w:i/>
        </w:rPr>
        <w:t>a. EXPO IN MAILAND 2015</w:t>
      </w:r>
    </w:p>
    <w:p w:rsidR="00AF7FF3" w:rsidRPr="000C40CC" w:rsidRDefault="00AF7FF3" w:rsidP="00AF7FF3">
      <w:pPr>
        <w:spacing w:after="240"/>
        <w:rPr>
          <w:rFonts w:cs="Arial"/>
        </w:rPr>
      </w:pPr>
      <w:r w:rsidRPr="000C40CC">
        <w:rPr>
          <w:rFonts w:cs="Arial"/>
        </w:rPr>
        <w:t xml:space="preserve">Am 14. Juli 2015 organisierte DG SANTE eine Konferenz über ‘Klimawandel und </w:t>
      </w:r>
      <w:r>
        <w:rPr>
          <w:rFonts w:cs="Arial"/>
        </w:rPr>
        <w:t>Nahrungsmittelsicherheit</w:t>
      </w:r>
      <w:r w:rsidRPr="000C40CC">
        <w:rPr>
          <w:rFonts w:cs="Arial"/>
        </w:rPr>
        <w:t xml:space="preserve">: Herausforderungen für Pflanzengesundheit, Pflanzenzüchtung und genetische Ressourcen'. Die Konferenz ist Teil einer Reihe von Veranstaltungen zur Förderung der langfristigen Nachhaltigkeit der Lebensmittelkette zur Nahrungsmittelsicherung. </w:t>
      </w:r>
    </w:p>
    <w:p w:rsidR="00AF7FF3" w:rsidRPr="000C40CC" w:rsidRDefault="00AF7FF3" w:rsidP="00AF7FF3">
      <w:pPr>
        <w:shd w:val="clear" w:color="auto" w:fill="FFFFFF"/>
        <w:spacing w:after="240"/>
        <w:rPr>
          <w:rFonts w:cs="Arial"/>
          <w:lang w:eastAsia="en-GB"/>
        </w:rPr>
      </w:pPr>
      <w:r w:rsidRPr="000C40CC">
        <w:rPr>
          <w:rFonts w:cs="Arial"/>
        </w:rPr>
        <w:t xml:space="preserve">Sachverständige aus </w:t>
      </w:r>
      <w:r w:rsidRPr="000C40CC">
        <w:rPr>
          <w:rFonts w:cs="Arial"/>
          <w:lang w:eastAsia="en-GB"/>
        </w:rPr>
        <w:t>EU-</w:t>
      </w:r>
      <w:r>
        <w:rPr>
          <w:rFonts w:cs="Arial"/>
          <w:lang w:eastAsia="en-GB"/>
        </w:rPr>
        <w:t>Mitgliedstaat</w:t>
      </w:r>
      <w:r w:rsidRPr="000C40CC">
        <w:rPr>
          <w:rFonts w:cs="Arial"/>
          <w:lang w:eastAsia="en-GB"/>
        </w:rPr>
        <w:t xml:space="preserve">en, Interessenvertreter, </w:t>
      </w:r>
      <w:r w:rsidRPr="000C40CC">
        <w:rPr>
          <w:rFonts w:cs="Arial"/>
        </w:rPr>
        <w:t>akademische Mitglieder und internationale Organisationen</w:t>
      </w:r>
      <w:r w:rsidRPr="000C40CC">
        <w:rPr>
          <w:rFonts w:cs="Arial"/>
          <w:lang w:eastAsia="en-GB"/>
        </w:rPr>
        <w:t xml:space="preserve"> debattierten auf der Expo in Mailand über die Auswirkungen des Klimawandel</w:t>
      </w:r>
      <w:r>
        <w:rPr>
          <w:rFonts w:cs="Arial"/>
          <w:lang w:eastAsia="en-GB"/>
        </w:rPr>
        <w:t>s</w:t>
      </w:r>
      <w:r w:rsidRPr="000C40CC">
        <w:rPr>
          <w:rFonts w:cs="Arial"/>
          <w:lang w:eastAsia="en-GB"/>
        </w:rPr>
        <w:t xml:space="preserve"> auf Nahrungsmittelsicherheit und </w:t>
      </w:r>
      <w:r w:rsidRPr="000C40CC">
        <w:rPr>
          <w:rFonts w:cs="Arial"/>
        </w:rPr>
        <w:t>Nahrungsmittelsicherung</w:t>
      </w:r>
      <w:r w:rsidRPr="000C40CC">
        <w:rPr>
          <w:rFonts w:cs="Arial"/>
          <w:lang w:eastAsia="en-GB"/>
        </w:rPr>
        <w:t xml:space="preserve"> und die damit einhergehend entstehenden Risiken für die Gesundheit und Qualität von Pflanzen und Saatgut. Der Stellvertretende Generalsekretär der UPOV hielt vor den Zuhörern ein Referat über den Schutz von Innovationen </w:t>
      </w:r>
      <w:r>
        <w:rPr>
          <w:rFonts w:cs="Arial"/>
          <w:lang w:eastAsia="en-GB"/>
        </w:rPr>
        <w:t xml:space="preserve">auf dem </w:t>
      </w:r>
      <w:r w:rsidRPr="000C40CC">
        <w:rPr>
          <w:rFonts w:cs="Arial"/>
          <w:lang w:eastAsia="en-GB"/>
        </w:rPr>
        <w:t>Pflanzenzüchtung</w:t>
      </w:r>
      <w:r>
        <w:rPr>
          <w:rFonts w:cs="Arial"/>
          <w:lang w:eastAsia="en-GB"/>
        </w:rPr>
        <w:t>ssektor</w:t>
      </w:r>
      <w:r w:rsidRPr="000C40CC">
        <w:rPr>
          <w:rFonts w:cs="Arial"/>
          <w:lang w:eastAsia="en-GB"/>
        </w:rPr>
        <w:t>.</w:t>
      </w:r>
    </w:p>
    <w:p w:rsidR="00AF7FF3" w:rsidRPr="000C40CC" w:rsidRDefault="00AF7FF3" w:rsidP="00AF7FF3">
      <w:pPr>
        <w:spacing w:after="240"/>
        <w:ind w:left="720"/>
        <w:rPr>
          <w:rFonts w:cs="Arial"/>
          <w:i/>
        </w:rPr>
      </w:pPr>
      <w:r w:rsidRPr="000C40CC">
        <w:rPr>
          <w:rFonts w:cs="Arial"/>
          <w:i/>
        </w:rPr>
        <w:t>b. CPVO</w:t>
      </w:r>
    </w:p>
    <w:p w:rsidR="00AF7FF3" w:rsidRPr="000C40CC" w:rsidRDefault="00AF7FF3" w:rsidP="00AF7FF3">
      <w:pPr>
        <w:spacing w:after="240"/>
        <w:rPr>
          <w:rFonts w:cs="Arial"/>
        </w:rPr>
      </w:pPr>
      <w:r w:rsidRPr="000C40CC">
        <w:rPr>
          <w:rFonts w:cs="Arial"/>
        </w:rPr>
        <w:t>Der Präsident des CPVO nahm an einer von der Afrikanischen Organisation für geistiges Eigentum</w:t>
      </w:r>
      <w:r>
        <w:rPr>
          <w:rFonts w:cs="Arial"/>
        </w:rPr>
        <w:t xml:space="preserve"> </w:t>
      </w:r>
      <w:r w:rsidRPr="000C40CC">
        <w:rPr>
          <w:rFonts w:cs="Arial"/>
        </w:rPr>
        <w:t>(ARIPO) organisiert</w:t>
      </w:r>
      <w:r>
        <w:rPr>
          <w:rFonts w:cs="Arial"/>
        </w:rPr>
        <w:t xml:space="preserve">en </w:t>
      </w:r>
      <w:r w:rsidRPr="000C40CC">
        <w:rPr>
          <w:rFonts w:cs="Arial"/>
        </w:rPr>
        <w:t>Arbeitstagung in Simbabwe vom 26. Oktober bis 2. November 2014</w:t>
      </w:r>
      <w:r>
        <w:rPr>
          <w:rFonts w:cs="Arial"/>
        </w:rPr>
        <w:t xml:space="preserve"> </w:t>
      </w:r>
      <w:r w:rsidRPr="000C40CC">
        <w:rPr>
          <w:rFonts w:cs="Arial"/>
        </w:rPr>
        <w:t xml:space="preserve">teil, auf der er die ARIPO bei der Entwicklung </w:t>
      </w:r>
      <w:r>
        <w:rPr>
          <w:rFonts w:cs="Arial"/>
        </w:rPr>
        <w:t xml:space="preserve">von </w:t>
      </w:r>
      <w:r w:rsidRPr="000C40CC">
        <w:rPr>
          <w:rFonts w:cs="Arial"/>
        </w:rPr>
        <w:t>deren System von regionalem Sortenrecht unterstützte und die Kenntnisse des CPVO über das regionale Sortenrechtsystem teilte. Er nahm an einer Tagung mit ARIPO</w:t>
      </w:r>
      <w:r>
        <w:rPr>
          <w:rFonts w:cs="Arial"/>
        </w:rPr>
        <w:t>-</w:t>
      </w:r>
      <w:r w:rsidRPr="000C40CC">
        <w:rPr>
          <w:rFonts w:cs="Arial"/>
        </w:rPr>
        <w:t>Sachverständigen</w:t>
      </w:r>
      <w:r w:rsidRPr="006A0B4E">
        <w:rPr>
          <w:rFonts w:cs="Arial"/>
        </w:rPr>
        <w:t xml:space="preserve"> </w:t>
      </w:r>
      <w:r w:rsidRPr="000C40CC">
        <w:rPr>
          <w:rFonts w:cs="Arial"/>
        </w:rPr>
        <w:t xml:space="preserve">vom 29. Juni bis 1. Juli 2015 in </w:t>
      </w:r>
      <w:proofErr w:type="spellStart"/>
      <w:r w:rsidRPr="000C40CC">
        <w:rPr>
          <w:rFonts w:cs="Arial"/>
        </w:rPr>
        <w:t>Arusha</w:t>
      </w:r>
      <w:proofErr w:type="spellEnd"/>
      <w:r w:rsidRPr="000C40CC">
        <w:rPr>
          <w:rFonts w:cs="Arial"/>
        </w:rPr>
        <w:t xml:space="preserve"> (TZ) teil, um ein Protokoll für den Schutz neuer Pflanzensorten (neue Züchterrechte) auszuarbeiten. Er nahm vom 2. </w:t>
      </w:r>
      <w:r>
        <w:rPr>
          <w:rFonts w:cs="Arial"/>
        </w:rPr>
        <w:t>und</w:t>
      </w:r>
      <w:r w:rsidRPr="000C40CC">
        <w:rPr>
          <w:rFonts w:cs="Arial"/>
        </w:rPr>
        <w:t xml:space="preserve"> 3. Juli 2015 an der 9. außerordentlichen Tagung des ARIPO-Verwaltungsrates in </w:t>
      </w:r>
      <w:proofErr w:type="spellStart"/>
      <w:r w:rsidRPr="000C40CC">
        <w:rPr>
          <w:rFonts w:cs="Arial"/>
        </w:rPr>
        <w:t>Arusha</w:t>
      </w:r>
      <w:proofErr w:type="spellEnd"/>
      <w:r w:rsidRPr="000C40CC">
        <w:rPr>
          <w:rFonts w:cs="Arial"/>
        </w:rPr>
        <w:t xml:space="preserve"> teil.</w:t>
      </w:r>
    </w:p>
    <w:p w:rsidR="00AF7FF3" w:rsidRPr="000C40CC" w:rsidRDefault="00AF7FF3" w:rsidP="00AF7FF3">
      <w:pPr>
        <w:spacing w:after="240"/>
        <w:rPr>
          <w:rFonts w:cs="Arial"/>
        </w:rPr>
      </w:pPr>
      <w:r w:rsidRPr="000C40CC">
        <w:rPr>
          <w:rFonts w:cs="Arial"/>
        </w:rPr>
        <w:t>Der Präsident des CPVO nahm vom 27. November bis 2. Dezember 2014</w:t>
      </w:r>
      <w:r>
        <w:rPr>
          <w:rFonts w:cs="Arial"/>
        </w:rPr>
        <w:t xml:space="preserve"> </w:t>
      </w:r>
      <w:r w:rsidRPr="000C40CC">
        <w:rPr>
          <w:rFonts w:cs="Arial"/>
        </w:rPr>
        <w:t xml:space="preserve">an einer Schulung über Züchterrechte in </w:t>
      </w:r>
      <w:proofErr w:type="spellStart"/>
      <w:r w:rsidRPr="000C40CC">
        <w:rPr>
          <w:rFonts w:cs="Arial"/>
        </w:rPr>
        <w:t>Arusha</w:t>
      </w:r>
      <w:proofErr w:type="spellEnd"/>
      <w:r w:rsidRPr="000C40CC">
        <w:rPr>
          <w:rFonts w:cs="Arial"/>
        </w:rPr>
        <w:t xml:space="preserve"> (TZ) teil. Der Lehrgang wurde von UPOV, GEVES (FR) und </w:t>
      </w:r>
      <w:proofErr w:type="spellStart"/>
      <w:r w:rsidRPr="000C40CC">
        <w:rPr>
          <w:rFonts w:cs="Arial"/>
        </w:rPr>
        <w:t>Naktuinbouw</w:t>
      </w:r>
      <w:proofErr w:type="spellEnd"/>
      <w:r w:rsidRPr="000C40CC">
        <w:rPr>
          <w:rFonts w:cs="Arial"/>
        </w:rPr>
        <w:t xml:space="preserve"> (NL)</w:t>
      </w:r>
      <w:r>
        <w:rPr>
          <w:rFonts w:cs="Arial"/>
        </w:rPr>
        <w:t xml:space="preserve"> </w:t>
      </w:r>
      <w:r w:rsidRPr="000C40CC">
        <w:rPr>
          <w:rFonts w:cs="Arial"/>
        </w:rPr>
        <w:t xml:space="preserve">organisiert. Er nahm vom 23. bis 27. April an einem von der UPOV und </w:t>
      </w:r>
      <w:proofErr w:type="spellStart"/>
      <w:r w:rsidRPr="000C40CC">
        <w:rPr>
          <w:rFonts w:cs="Arial"/>
        </w:rPr>
        <w:t>Naktuinbouw</w:t>
      </w:r>
      <w:proofErr w:type="spellEnd"/>
      <w:r w:rsidRPr="000C40CC">
        <w:rPr>
          <w:rFonts w:cs="Arial"/>
        </w:rPr>
        <w:t xml:space="preserve"> organisierte</w:t>
      </w:r>
      <w:r>
        <w:rPr>
          <w:rFonts w:cs="Arial"/>
        </w:rPr>
        <w:t>n</w:t>
      </w:r>
      <w:r w:rsidRPr="000C40CC">
        <w:rPr>
          <w:rFonts w:cs="Arial"/>
        </w:rPr>
        <w:t xml:space="preserve"> zweiten Ausbildungslehrgang </w:t>
      </w:r>
      <w:r>
        <w:rPr>
          <w:rFonts w:cs="Arial"/>
        </w:rPr>
        <w:t>über</w:t>
      </w:r>
      <w:r w:rsidRPr="000C40CC">
        <w:rPr>
          <w:rFonts w:cs="Arial"/>
        </w:rPr>
        <w:t xml:space="preserve"> Sorte</w:t>
      </w:r>
      <w:r>
        <w:rPr>
          <w:rFonts w:cs="Arial"/>
        </w:rPr>
        <w:t>ns</w:t>
      </w:r>
      <w:r w:rsidRPr="000C40CC">
        <w:rPr>
          <w:rFonts w:cs="Arial"/>
        </w:rPr>
        <w:t xml:space="preserve">chutz in </w:t>
      </w:r>
      <w:proofErr w:type="spellStart"/>
      <w:r w:rsidRPr="000C40CC">
        <w:rPr>
          <w:rFonts w:cs="Arial"/>
        </w:rPr>
        <w:t>Arusha</w:t>
      </w:r>
      <w:proofErr w:type="spellEnd"/>
      <w:r w:rsidRPr="000C40CC">
        <w:rPr>
          <w:rFonts w:cs="Arial"/>
        </w:rPr>
        <w:t xml:space="preserve"> teil.  </w:t>
      </w:r>
    </w:p>
    <w:p w:rsidR="00AF7FF3" w:rsidRPr="000C40CC" w:rsidRDefault="00AF7FF3" w:rsidP="00AF7FF3">
      <w:pPr>
        <w:spacing w:after="240"/>
        <w:rPr>
          <w:rFonts w:cs="Arial"/>
        </w:rPr>
      </w:pPr>
      <w:r w:rsidRPr="000C40CC">
        <w:rPr>
          <w:rFonts w:cs="Arial"/>
        </w:rPr>
        <w:t>Der Präsident des CPVO nahm im Dezember 2014 in Chicago (USA)</w:t>
      </w:r>
      <w:r>
        <w:rPr>
          <w:rFonts w:cs="Arial"/>
        </w:rPr>
        <w:t xml:space="preserve"> </w:t>
      </w:r>
      <w:r w:rsidRPr="000C40CC">
        <w:rPr>
          <w:rFonts w:cs="Arial"/>
        </w:rPr>
        <w:t xml:space="preserve">an der Jahrestagung des Sortenschutzrates des </w:t>
      </w:r>
      <w:r w:rsidRPr="000C40CC">
        <w:rPr>
          <w:bCs/>
        </w:rPr>
        <w:t>Landwirtschaftsministeriums der Vereinigten Staaten</w:t>
      </w:r>
      <w:r w:rsidRPr="000C40CC">
        <w:rPr>
          <w:rFonts w:cs="Arial"/>
        </w:rPr>
        <w:t xml:space="preserve"> (USDA)</w:t>
      </w:r>
      <w:r>
        <w:rPr>
          <w:rFonts w:cs="Arial"/>
        </w:rPr>
        <w:t xml:space="preserve"> teil</w:t>
      </w:r>
      <w:r w:rsidRPr="000C40CC">
        <w:rPr>
          <w:rFonts w:cs="Arial"/>
        </w:rPr>
        <w:t>, wo er das EU-System des Gemeinschaftliche</w:t>
      </w:r>
      <w:r>
        <w:rPr>
          <w:rFonts w:cs="Arial"/>
        </w:rPr>
        <w:t>n</w:t>
      </w:r>
      <w:r w:rsidRPr="000C40CC">
        <w:rPr>
          <w:rFonts w:cs="Arial"/>
        </w:rPr>
        <w:t xml:space="preserve"> </w:t>
      </w:r>
      <w:r>
        <w:rPr>
          <w:rFonts w:cs="Arial"/>
        </w:rPr>
        <w:t xml:space="preserve">Sortenrechtes </w:t>
      </w:r>
      <w:r w:rsidRPr="000C40CC">
        <w:rPr>
          <w:rFonts w:cs="Arial"/>
        </w:rPr>
        <w:t>vorstellt</w:t>
      </w:r>
      <w:r>
        <w:rPr>
          <w:rFonts w:cs="Arial"/>
        </w:rPr>
        <w:t>e</w:t>
      </w:r>
      <w:r w:rsidRPr="000C40CC">
        <w:rPr>
          <w:rFonts w:cs="Arial"/>
        </w:rPr>
        <w:t xml:space="preserve"> und dabei die Vorteile des Systems</w:t>
      </w:r>
      <w:r>
        <w:rPr>
          <w:rFonts w:cs="Arial"/>
        </w:rPr>
        <w:t>,</w:t>
      </w:r>
      <w:r w:rsidRPr="000C40CC">
        <w:rPr>
          <w:rFonts w:cs="Arial"/>
        </w:rPr>
        <w:t xml:space="preserve"> wie</w:t>
      </w:r>
      <w:r>
        <w:rPr>
          <w:rFonts w:cs="Arial"/>
        </w:rPr>
        <w:t xml:space="preserve"> beispielsweise</w:t>
      </w:r>
      <w:r w:rsidRPr="000C40CC">
        <w:rPr>
          <w:rFonts w:cs="Arial"/>
        </w:rPr>
        <w:t xml:space="preserve"> die </w:t>
      </w:r>
      <w:r>
        <w:rPr>
          <w:rFonts w:cs="Arial"/>
        </w:rPr>
        <w:t>Prüfung</w:t>
      </w:r>
      <w:r w:rsidRPr="000C40CC">
        <w:rPr>
          <w:rFonts w:cs="Arial"/>
        </w:rPr>
        <w:t xml:space="preserve"> von Anträgen, das Online-System für die Einreichung von Anträgen und die </w:t>
      </w:r>
      <w:proofErr w:type="spellStart"/>
      <w:r w:rsidRPr="000C40CC">
        <w:rPr>
          <w:rFonts w:cs="Arial"/>
        </w:rPr>
        <w:t>VarietyFinder</w:t>
      </w:r>
      <w:proofErr w:type="spellEnd"/>
      <w:r w:rsidRPr="000C40CC">
        <w:rPr>
          <w:rFonts w:cs="Arial"/>
        </w:rPr>
        <w:t>-Datenbank</w:t>
      </w:r>
      <w:r>
        <w:rPr>
          <w:rFonts w:cs="Arial"/>
        </w:rPr>
        <w:t xml:space="preserve">, </w:t>
      </w:r>
      <w:r w:rsidRPr="000C40CC">
        <w:rPr>
          <w:rFonts w:cs="Arial"/>
        </w:rPr>
        <w:t xml:space="preserve">hervorhob. Der Austausch von Ansichten zeigte, </w:t>
      </w:r>
      <w:proofErr w:type="spellStart"/>
      <w:r w:rsidRPr="000C40CC">
        <w:rPr>
          <w:rFonts w:cs="Arial"/>
        </w:rPr>
        <w:t>daß</w:t>
      </w:r>
      <w:proofErr w:type="spellEnd"/>
      <w:r w:rsidRPr="000C40CC">
        <w:rPr>
          <w:rFonts w:cs="Arial"/>
        </w:rPr>
        <w:t xml:space="preserve"> das EU- und das US-System zwar unterschiedlich funktionieren, es jedoch </w:t>
      </w:r>
      <w:r>
        <w:rPr>
          <w:rFonts w:cs="Arial"/>
        </w:rPr>
        <w:t>gemeinsame Prinzipien gibt</w:t>
      </w:r>
      <w:r w:rsidRPr="000C40CC">
        <w:rPr>
          <w:rFonts w:cs="Arial"/>
        </w:rPr>
        <w:t>. Er hielt auch einen Vortrag</w:t>
      </w:r>
      <w:r>
        <w:rPr>
          <w:rFonts w:cs="Arial"/>
        </w:rPr>
        <w:t xml:space="preserve"> zusammen</w:t>
      </w:r>
      <w:r w:rsidRPr="000C40CC">
        <w:rPr>
          <w:rFonts w:cs="Arial"/>
        </w:rPr>
        <w:t xml:space="preserve"> mit Dr. Paul </w:t>
      </w:r>
      <w:proofErr w:type="spellStart"/>
      <w:r w:rsidRPr="000C40CC">
        <w:rPr>
          <w:rFonts w:cs="Arial"/>
        </w:rPr>
        <w:t>Zankowski</w:t>
      </w:r>
      <w:proofErr w:type="spellEnd"/>
      <w:r>
        <w:rPr>
          <w:rFonts w:cs="Arial"/>
        </w:rPr>
        <w:t xml:space="preserve"> vom USDA vor dem Amerikanischen</w:t>
      </w:r>
      <w:r w:rsidRPr="000C40CC">
        <w:rPr>
          <w:rFonts w:cs="Arial"/>
        </w:rPr>
        <w:t xml:space="preserve"> Saatguthandelsverband (ASTA). </w:t>
      </w:r>
      <w:r>
        <w:rPr>
          <w:rFonts w:cs="Arial"/>
        </w:rPr>
        <w:t>E</w:t>
      </w:r>
      <w:r w:rsidRPr="000C40CC">
        <w:rPr>
          <w:rFonts w:cs="Arial"/>
        </w:rPr>
        <w:t xml:space="preserve">s </w:t>
      </w:r>
      <w:r>
        <w:rPr>
          <w:rFonts w:cs="Arial"/>
        </w:rPr>
        <w:t xml:space="preserve">ist </w:t>
      </w:r>
      <w:r w:rsidRPr="000C40CC">
        <w:rPr>
          <w:rFonts w:cs="Arial"/>
        </w:rPr>
        <w:t xml:space="preserve">wichtig, </w:t>
      </w:r>
      <w:proofErr w:type="spellStart"/>
      <w:r w:rsidRPr="000C40CC">
        <w:rPr>
          <w:rFonts w:cs="Arial"/>
        </w:rPr>
        <w:t>daß</w:t>
      </w:r>
      <w:proofErr w:type="spellEnd"/>
      <w:r w:rsidRPr="000C40CC">
        <w:rPr>
          <w:rFonts w:cs="Arial"/>
        </w:rPr>
        <w:t xml:space="preserve"> die EU und die USA </w:t>
      </w:r>
      <w:r>
        <w:rPr>
          <w:rFonts w:cs="Arial"/>
        </w:rPr>
        <w:t>a</w:t>
      </w:r>
      <w:r w:rsidRPr="000C40CC">
        <w:rPr>
          <w:rFonts w:cs="Arial"/>
        </w:rPr>
        <w:t>l</w:t>
      </w:r>
      <w:r>
        <w:rPr>
          <w:rFonts w:cs="Arial"/>
        </w:rPr>
        <w:t>s UPOV-</w:t>
      </w:r>
      <w:r w:rsidRPr="000C40CC">
        <w:rPr>
          <w:rFonts w:cs="Arial"/>
        </w:rPr>
        <w:t>Mitglieder zusammenarbeiten, um dadurch letztendlich den administrativen Aufwand für die Züchter zu reduzieren. Das CPVO sieht der Zusammenarbeit mit seinen US</w:t>
      </w:r>
      <w:r>
        <w:rPr>
          <w:rFonts w:cs="Arial"/>
        </w:rPr>
        <w:t>-Kollegen positiv</w:t>
      </w:r>
      <w:r w:rsidRPr="000C40CC">
        <w:rPr>
          <w:rFonts w:cs="Arial"/>
        </w:rPr>
        <w:t xml:space="preserve"> entgegen, um Sortenrechte weiterhin zu unterstützen und schützen zu können, so </w:t>
      </w:r>
      <w:proofErr w:type="spellStart"/>
      <w:r w:rsidRPr="000C40CC">
        <w:rPr>
          <w:rFonts w:cs="Arial"/>
        </w:rPr>
        <w:t>daß</w:t>
      </w:r>
      <w:proofErr w:type="spellEnd"/>
      <w:r w:rsidRPr="000C40CC">
        <w:rPr>
          <w:rFonts w:cs="Arial"/>
        </w:rPr>
        <w:t xml:space="preserve"> Züchter weiterhin neue Sorten erforschen und entwickeln können.</w:t>
      </w:r>
    </w:p>
    <w:p w:rsidR="00AF7FF3" w:rsidRPr="000C40CC" w:rsidRDefault="00AF7FF3" w:rsidP="00AF7FF3">
      <w:pPr>
        <w:spacing w:after="240"/>
        <w:rPr>
          <w:rFonts w:cs="Arial"/>
        </w:rPr>
      </w:pPr>
      <w:r w:rsidRPr="00830F3A">
        <w:rPr>
          <w:rFonts w:cs="Arial"/>
        </w:rPr>
        <w:t xml:space="preserve">Der Präsident des CPVO kam am 7. Juli in Paris mit dem </w:t>
      </w:r>
      <w:r w:rsidR="00347219" w:rsidRPr="00830F3A">
        <w:rPr>
          <w:rFonts w:cs="Arial"/>
        </w:rPr>
        <w:t>‚</w:t>
      </w:r>
      <w:r w:rsidRPr="00830F3A">
        <w:rPr>
          <w:rFonts w:cs="Arial"/>
        </w:rPr>
        <w:t>Landwirtschaftsminister</w:t>
      </w:r>
      <w:r w:rsidR="00347219" w:rsidRPr="00830F3A">
        <w:rPr>
          <w:rFonts w:cs="Arial"/>
        </w:rPr>
        <w:t>‘</w:t>
      </w:r>
      <w:r w:rsidRPr="00830F3A">
        <w:rPr>
          <w:rFonts w:cs="Arial"/>
        </w:rPr>
        <w:t xml:space="preserve"> Bao-Ji Chen </w:t>
      </w:r>
      <w:r w:rsidR="00347219" w:rsidRPr="00830F3A">
        <w:rPr>
          <w:rFonts w:cs="Arial"/>
        </w:rPr>
        <w:t xml:space="preserve">aus </w:t>
      </w:r>
      <w:r w:rsidR="00830F3A" w:rsidRPr="00830F3A">
        <w:rPr>
          <w:rFonts w:cs="Arial"/>
        </w:rPr>
        <w:t xml:space="preserve">der chinesischen Provinz </w:t>
      </w:r>
      <w:r w:rsidR="00347219" w:rsidRPr="00830F3A">
        <w:rPr>
          <w:rFonts w:cs="Arial"/>
        </w:rPr>
        <w:t xml:space="preserve">Taiwan </w:t>
      </w:r>
      <w:r w:rsidRPr="00830F3A">
        <w:rPr>
          <w:rFonts w:cs="Arial"/>
        </w:rPr>
        <w:t xml:space="preserve">zusammen, um </w:t>
      </w:r>
      <w:r w:rsidR="00347219" w:rsidRPr="00830F3A">
        <w:rPr>
          <w:rFonts w:cs="Arial"/>
        </w:rPr>
        <w:t xml:space="preserve">Sortenschutz </w:t>
      </w:r>
      <w:r w:rsidRPr="00830F3A">
        <w:rPr>
          <w:rFonts w:cs="Arial"/>
        </w:rPr>
        <w:t>zu erörtern.</w:t>
      </w:r>
    </w:p>
    <w:p w:rsidR="00AF7FF3" w:rsidRPr="000C40CC" w:rsidRDefault="00AF7FF3" w:rsidP="00AF7FF3">
      <w:pPr>
        <w:spacing w:after="240"/>
        <w:rPr>
          <w:rFonts w:cs="Arial"/>
        </w:rPr>
      </w:pPr>
      <w:r w:rsidRPr="000C40CC">
        <w:rPr>
          <w:rFonts w:cs="Arial"/>
        </w:rPr>
        <w:t xml:space="preserve">Der Präsident des CPVO nahm am 14. Juli 2015 </w:t>
      </w:r>
      <w:r>
        <w:rPr>
          <w:rFonts w:cs="Arial"/>
        </w:rPr>
        <w:t>auf</w:t>
      </w:r>
      <w:r w:rsidRPr="000C40CC">
        <w:rPr>
          <w:rFonts w:cs="Arial"/>
        </w:rPr>
        <w:t xml:space="preserve"> der Expo in Mailand an der von DG SANTE der Europäischen Kommission organisierten Veranstaltung über das Thema „Klimawandel und Nahrungsmittelsicherheit: Herausforderungen für Pflanzengesundheit, Pflanzenzüchtung und genetische Ressourcen</w:t>
      </w:r>
      <w:r>
        <w:rPr>
          <w:rFonts w:cs="Arial"/>
        </w:rPr>
        <w:t xml:space="preserve">“ </w:t>
      </w:r>
      <w:r w:rsidRPr="000C40CC">
        <w:rPr>
          <w:rFonts w:cs="Arial"/>
        </w:rPr>
        <w:t xml:space="preserve">teil. </w:t>
      </w:r>
    </w:p>
    <w:p w:rsidR="00AF7FF3" w:rsidRPr="000C40CC" w:rsidRDefault="00AF7FF3" w:rsidP="00AF7FF3">
      <w:pPr>
        <w:spacing w:after="240"/>
        <w:rPr>
          <w:rFonts w:cs="Arial"/>
        </w:rPr>
      </w:pPr>
      <w:r w:rsidRPr="000C40CC">
        <w:rPr>
          <w:rFonts w:cs="Arial"/>
        </w:rPr>
        <w:t>Der Stellvertretende Präsident des CPVO nahm teil an und trug mit Vorträgen bei zu dem ersten</w:t>
      </w:r>
      <w:r>
        <w:rPr>
          <w:rFonts w:cs="Arial"/>
        </w:rPr>
        <w:t xml:space="preserve"> Durchgang des</w:t>
      </w:r>
      <w:r w:rsidRPr="000C40CC">
        <w:rPr>
          <w:rFonts w:cs="Arial"/>
        </w:rPr>
        <w:t xml:space="preserve"> UPOV-Lehrgang</w:t>
      </w:r>
      <w:r>
        <w:rPr>
          <w:rFonts w:cs="Arial"/>
        </w:rPr>
        <w:t>s</w:t>
      </w:r>
      <w:r w:rsidRPr="000C40CC">
        <w:rPr>
          <w:rFonts w:cs="Arial"/>
        </w:rPr>
        <w:t xml:space="preserve"> </w:t>
      </w:r>
      <w:r>
        <w:rPr>
          <w:rFonts w:cs="Arial"/>
        </w:rPr>
        <w:t>„</w:t>
      </w:r>
      <w:r w:rsidRPr="000C40CC">
        <w:rPr>
          <w:rFonts w:cs="Arial"/>
          <w:snapToGrid w:val="0"/>
        </w:rPr>
        <w:t>Ausbildung von Ausbildern</w:t>
      </w:r>
      <w:r>
        <w:rPr>
          <w:rFonts w:cs="Arial"/>
          <w:snapToGrid w:val="0"/>
        </w:rPr>
        <w:t>“</w:t>
      </w:r>
      <w:r w:rsidRPr="000C40CC">
        <w:rPr>
          <w:rFonts w:cs="Arial"/>
          <w:snapToGrid w:val="0"/>
        </w:rPr>
        <w:t xml:space="preserve"> für iberoamerikanische Länder</w:t>
      </w:r>
      <w:r w:rsidRPr="000C40CC">
        <w:rPr>
          <w:rFonts w:cs="Arial"/>
        </w:rPr>
        <w:t xml:space="preserve">, </w:t>
      </w:r>
      <w:r>
        <w:rPr>
          <w:rFonts w:cs="Arial"/>
        </w:rPr>
        <w:t xml:space="preserve">der </w:t>
      </w:r>
      <w:r w:rsidRPr="000C40CC">
        <w:rPr>
          <w:rFonts w:cs="Arial"/>
        </w:rPr>
        <w:t>von der UPOV, der Weltorganisation für geistiges Eigentum (WIPO) und den spanischen Behörden im Dezember 2014</w:t>
      </w:r>
      <w:r>
        <w:rPr>
          <w:rFonts w:cs="Arial"/>
        </w:rPr>
        <w:t xml:space="preserve"> </w:t>
      </w:r>
      <w:r w:rsidRPr="000C40CC">
        <w:rPr>
          <w:rFonts w:cs="Arial"/>
        </w:rPr>
        <w:t>in Montevideo (Uruguay) organisiert</w:t>
      </w:r>
      <w:r>
        <w:rPr>
          <w:rFonts w:cs="Arial"/>
        </w:rPr>
        <w:t xml:space="preserve"> wurde</w:t>
      </w:r>
      <w:r w:rsidRPr="000C40CC">
        <w:rPr>
          <w:rFonts w:cs="Arial"/>
        </w:rPr>
        <w:t>.</w:t>
      </w:r>
    </w:p>
    <w:p w:rsidR="00AF7FF3" w:rsidRPr="000C40CC" w:rsidRDefault="00AF7FF3" w:rsidP="00AF7FF3">
      <w:pPr>
        <w:spacing w:after="240"/>
        <w:rPr>
          <w:rFonts w:cs="Arial"/>
        </w:rPr>
      </w:pPr>
      <w:r w:rsidRPr="000C40CC">
        <w:rPr>
          <w:rFonts w:cs="Arial"/>
        </w:rPr>
        <w:t>Der Stellvertretende Präsident des CPVO nahm im Oktober 2014 an dem 5. Internationalen Seminar über Züchterrechte</w:t>
      </w:r>
      <w:r>
        <w:rPr>
          <w:rFonts w:cs="Arial"/>
        </w:rPr>
        <w:t xml:space="preserve"> </w:t>
      </w:r>
      <w:r w:rsidRPr="000C40CC">
        <w:rPr>
          <w:rFonts w:cs="Arial"/>
        </w:rPr>
        <w:t>teil</w:t>
      </w:r>
      <w:r>
        <w:rPr>
          <w:rFonts w:cs="Arial"/>
        </w:rPr>
        <w:t>, das</w:t>
      </w:r>
      <w:r w:rsidRPr="000C40CC">
        <w:rPr>
          <w:rFonts w:cs="Arial"/>
        </w:rPr>
        <w:t xml:space="preserve"> vom IEPI (</w:t>
      </w:r>
      <w:proofErr w:type="spellStart"/>
      <w:r w:rsidRPr="000C40CC">
        <w:rPr>
          <w:rFonts w:cs="Arial"/>
        </w:rPr>
        <w:t>Instituto</w:t>
      </w:r>
      <w:proofErr w:type="spellEnd"/>
      <w:r w:rsidRPr="000C40CC">
        <w:rPr>
          <w:rFonts w:cs="Arial"/>
        </w:rPr>
        <w:t xml:space="preserve"> </w:t>
      </w:r>
      <w:proofErr w:type="spellStart"/>
      <w:r w:rsidRPr="000C40CC">
        <w:rPr>
          <w:rFonts w:cs="Arial"/>
        </w:rPr>
        <w:t>Ecuatoriano</w:t>
      </w:r>
      <w:proofErr w:type="spellEnd"/>
      <w:r w:rsidRPr="000C40CC">
        <w:rPr>
          <w:rFonts w:cs="Arial"/>
        </w:rPr>
        <w:t xml:space="preserve"> de la </w:t>
      </w:r>
      <w:proofErr w:type="spellStart"/>
      <w:r w:rsidRPr="000C40CC">
        <w:rPr>
          <w:rFonts w:cs="Arial"/>
        </w:rPr>
        <w:t>Propiedad</w:t>
      </w:r>
      <w:proofErr w:type="spellEnd"/>
      <w:r w:rsidRPr="000C40CC">
        <w:rPr>
          <w:rFonts w:cs="Arial"/>
        </w:rPr>
        <w:t xml:space="preserve"> </w:t>
      </w:r>
      <w:proofErr w:type="spellStart"/>
      <w:r w:rsidRPr="000C40CC">
        <w:rPr>
          <w:rFonts w:cs="Arial"/>
        </w:rPr>
        <w:t>Intelectual</w:t>
      </w:r>
      <w:proofErr w:type="spellEnd"/>
      <w:r w:rsidRPr="000C40CC">
        <w:rPr>
          <w:rFonts w:cs="Arial"/>
        </w:rPr>
        <w:t>) in Zusammenarbeit mit der UPOV und dem INIAP (</w:t>
      </w:r>
      <w:proofErr w:type="spellStart"/>
      <w:r w:rsidRPr="000C40CC">
        <w:rPr>
          <w:rFonts w:cs="Arial"/>
        </w:rPr>
        <w:t>Instituto</w:t>
      </w:r>
      <w:proofErr w:type="spellEnd"/>
      <w:r w:rsidRPr="000C40CC">
        <w:rPr>
          <w:rFonts w:cs="Arial"/>
        </w:rPr>
        <w:t xml:space="preserve"> </w:t>
      </w:r>
      <w:proofErr w:type="spellStart"/>
      <w:r w:rsidRPr="000C40CC">
        <w:rPr>
          <w:rFonts w:cs="Arial"/>
        </w:rPr>
        <w:t>Nacional</w:t>
      </w:r>
      <w:proofErr w:type="spellEnd"/>
      <w:r w:rsidRPr="000C40CC">
        <w:rPr>
          <w:rFonts w:cs="Arial"/>
        </w:rPr>
        <w:t xml:space="preserve"> de </w:t>
      </w:r>
      <w:proofErr w:type="spellStart"/>
      <w:r w:rsidRPr="000C40CC">
        <w:rPr>
          <w:rFonts w:cs="Arial"/>
        </w:rPr>
        <w:t>Investigaciones</w:t>
      </w:r>
      <w:proofErr w:type="spellEnd"/>
      <w:r w:rsidRPr="000C40CC">
        <w:rPr>
          <w:rFonts w:cs="Arial"/>
        </w:rPr>
        <w:t xml:space="preserve"> </w:t>
      </w:r>
      <w:proofErr w:type="spellStart"/>
      <w:r w:rsidRPr="000C40CC">
        <w:rPr>
          <w:rFonts w:cs="Arial"/>
        </w:rPr>
        <w:t>Agropecuarias</w:t>
      </w:r>
      <w:proofErr w:type="spellEnd"/>
      <w:r w:rsidRPr="000C40CC">
        <w:rPr>
          <w:rFonts w:cs="Arial"/>
        </w:rPr>
        <w:t xml:space="preserve">) in Quevedo (Ecuador) organisiert </w:t>
      </w:r>
      <w:r>
        <w:rPr>
          <w:rFonts w:cs="Arial"/>
        </w:rPr>
        <w:t>wurde</w:t>
      </w:r>
      <w:r w:rsidRPr="000C40CC">
        <w:rPr>
          <w:rFonts w:cs="Arial"/>
        </w:rPr>
        <w:t xml:space="preserve">. Er hielt </w:t>
      </w:r>
      <w:r>
        <w:rPr>
          <w:rFonts w:cs="Arial"/>
        </w:rPr>
        <w:t>Referate</w:t>
      </w:r>
      <w:r w:rsidRPr="000C40CC">
        <w:rPr>
          <w:rFonts w:cs="Arial"/>
        </w:rPr>
        <w:t xml:space="preserve"> über das EU-Sortenrechtsystem und die Organisation der DUS-Prüfung in der EU. Bei dieser Gelegenheit wurde eine parallel veranstaltete Tagung mit dem IEPI</w:t>
      </w:r>
      <w:r>
        <w:rPr>
          <w:rFonts w:cs="Arial"/>
        </w:rPr>
        <w:t xml:space="preserve"> </w:t>
      </w:r>
      <w:r w:rsidRPr="000C40CC">
        <w:rPr>
          <w:rFonts w:cs="Arial"/>
        </w:rPr>
        <w:t>organisiert, um die weitere Zusammenarbeit mit dem CPVO und seinen Prüfungsämtern</w:t>
      </w:r>
      <w:r>
        <w:rPr>
          <w:rFonts w:cs="Arial"/>
        </w:rPr>
        <w:t xml:space="preserve"> </w:t>
      </w:r>
      <w:r w:rsidRPr="000C40CC">
        <w:rPr>
          <w:rFonts w:cs="Arial"/>
        </w:rPr>
        <w:t>zu erörtern.</w:t>
      </w:r>
    </w:p>
    <w:p w:rsidR="00AF7FF3" w:rsidRPr="000C40CC" w:rsidRDefault="00AF7FF3" w:rsidP="00AF7FF3">
      <w:pPr>
        <w:spacing w:after="240"/>
        <w:rPr>
          <w:rFonts w:cs="Arial"/>
        </w:rPr>
      </w:pPr>
      <w:r w:rsidRPr="000C40CC">
        <w:rPr>
          <w:rFonts w:cs="Arial"/>
        </w:rPr>
        <w:t xml:space="preserve">Der Stellvertretende Präsident nahm auch teil </w:t>
      </w:r>
      <w:r>
        <w:rPr>
          <w:rFonts w:cs="Arial"/>
        </w:rPr>
        <w:t xml:space="preserve">an </w:t>
      </w:r>
      <w:r w:rsidRPr="000C40CC">
        <w:rPr>
          <w:rFonts w:cs="Arial"/>
        </w:rPr>
        <w:t>und hielt ein Referat auf einer ‚Arbeitstagung über Rechte geistigen Eigentums</w:t>
      </w:r>
      <w:r>
        <w:rPr>
          <w:rFonts w:cs="Arial"/>
        </w:rPr>
        <w:t xml:space="preserve">’, die </w:t>
      </w:r>
      <w:r w:rsidRPr="000C40CC">
        <w:rPr>
          <w:rFonts w:cs="Arial"/>
        </w:rPr>
        <w:t xml:space="preserve">von der Saatgutvereinigung für Asien und den Pazifik (APSA) am 18. </w:t>
      </w:r>
      <w:r>
        <w:rPr>
          <w:rFonts w:cs="Arial"/>
        </w:rPr>
        <w:t>und</w:t>
      </w:r>
      <w:r w:rsidRPr="000C40CC">
        <w:rPr>
          <w:rFonts w:cs="Arial"/>
        </w:rPr>
        <w:t xml:space="preserve"> 19. Mai 2015 in Bangkok (Thailand)</w:t>
      </w:r>
      <w:r>
        <w:rPr>
          <w:rFonts w:cs="Arial"/>
        </w:rPr>
        <w:t xml:space="preserve"> </w:t>
      </w:r>
      <w:r w:rsidRPr="000C40CC">
        <w:rPr>
          <w:rFonts w:cs="Arial"/>
        </w:rPr>
        <w:t>organisiert</w:t>
      </w:r>
      <w:r>
        <w:rPr>
          <w:rFonts w:cs="Arial"/>
        </w:rPr>
        <w:t xml:space="preserve"> wurde</w:t>
      </w:r>
      <w:r w:rsidRPr="000C40CC">
        <w:rPr>
          <w:rFonts w:cs="Arial"/>
        </w:rPr>
        <w:t xml:space="preserve">. Die Arbeitstagung </w:t>
      </w:r>
      <w:r>
        <w:rPr>
          <w:rFonts w:cs="Arial"/>
        </w:rPr>
        <w:t>richtete sich an die n</w:t>
      </w:r>
      <w:r w:rsidRPr="000C40CC">
        <w:rPr>
          <w:rFonts w:cs="Arial"/>
        </w:rPr>
        <w:t>ationalen Saatgutverbände</w:t>
      </w:r>
      <w:r>
        <w:rPr>
          <w:rFonts w:cs="Arial"/>
        </w:rPr>
        <w:t xml:space="preserve">, die </w:t>
      </w:r>
      <w:r w:rsidRPr="000C40CC">
        <w:rPr>
          <w:rFonts w:cs="Arial"/>
        </w:rPr>
        <w:t>Mitglieder der APSA</w:t>
      </w:r>
      <w:r>
        <w:rPr>
          <w:rFonts w:cs="Arial"/>
        </w:rPr>
        <w:t xml:space="preserve"> sind,</w:t>
      </w:r>
      <w:r w:rsidRPr="000C40CC">
        <w:rPr>
          <w:rFonts w:cs="Arial"/>
        </w:rPr>
        <w:t xml:space="preserve"> und im Mittelpunkt standen der Vortrag und die Erörterung des </w:t>
      </w:r>
      <w:r>
        <w:rPr>
          <w:rFonts w:cs="Arial"/>
        </w:rPr>
        <w:t>‚</w:t>
      </w:r>
      <w:r w:rsidRPr="000C40CC">
        <w:rPr>
          <w:rFonts w:cs="Arial"/>
        </w:rPr>
        <w:t>Positionspapier</w:t>
      </w:r>
      <w:r>
        <w:rPr>
          <w:rFonts w:cs="Arial"/>
        </w:rPr>
        <w:t>s</w:t>
      </w:r>
      <w:r w:rsidRPr="000C40CC">
        <w:rPr>
          <w:rFonts w:cs="Arial"/>
        </w:rPr>
        <w:t xml:space="preserve"> über Rechte geistigen Eigentums’</w:t>
      </w:r>
      <w:r>
        <w:rPr>
          <w:rFonts w:cs="Arial"/>
        </w:rPr>
        <w:t xml:space="preserve"> </w:t>
      </w:r>
      <w:r w:rsidRPr="000C40CC">
        <w:rPr>
          <w:rFonts w:cs="Arial"/>
        </w:rPr>
        <w:t xml:space="preserve">der APSA. </w:t>
      </w:r>
    </w:p>
    <w:p w:rsidR="00AF7FF3" w:rsidRPr="000C40CC" w:rsidRDefault="00AF7FF3" w:rsidP="00AF7FF3">
      <w:pPr>
        <w:spacing w:after="240"/>
        <w:rPr>
          <w:rFonts w:cs="Arial"/>
        </w:rPr>
      </w:pPr>
      <w:r w:rsidRPr="000C40CC">
        <w:rPr>
          <w:rFonts w:cs="Arial"/>
        </w:rPr>
        <w:t xml:space="preserve">Der Leiter der Rechtsabteilung nahm am 13. </w:t>
      </w:r>
      <w:r>
        <w:rPr>
          <w:rFonts w:cs="Arial"/>
        </w:rPr>
        <w:t>und</w:t>
      </w:r>
      <w:r w:rsidRPr="000C40CC">
        <w:rPr>
          <w:rFonts w:cs="Arial"/>
        </w:rPr>
        <w:t xml:space="preserve"> 14. November 2014 teil an und trug </w:t>
      </w:r>
      <w:r>
        <w:rPr>
          <w:rFonts w:cs="Arial"/>
        </w:rPr>
        <w:t xml:space="preserve">mit einem Referat bei zu dem </w:t>
      </w:r>
      <w:r w:rsidRPr="000C40CC">
        <w:t xml:space="preserve">Intensivmodul Sortenrecht, Mastergrad (Magister </w:t>
      </w:r>
      <w:proofErr w:type="spellStart"/>
      <w:r w:rsidRPr="000C40CC">
        <w:t>Lvcentinvs</w:t>
      </w:r>
      <w:proofErr w:type="spellEnd"/>
      <w:r w:rsidRPr="000C40CC">
        <w:t xml:space="preserve">) in geistigem und gewerblichem Eigentum der Universität Alicante </w:t>
      </w:r>
      <w:r w:rsidRPr="000C40CC">
        <w:rPr>
          <w:rFonts w:cs="Arial"/>
        </w:rPr>
        <w:t>(CPVO-UPOV-OEVV) (Spanien).</w:t>
      </w:r>
    </w:p>
    <w:p w:rsidR="00AF7FF3" w:rsidRPr="000C40CC" w:rsidRDefault="00AF7FF3" w:rsidP="00AF7FF3">
      <w:pPr>
        <w:spacing w:after="240"/>
        <w:rPr>
          <w:rFonts w:cs="Arial"/>
        </w:rPr>
      </w:pPr>
      <w:r w:rsidRPr="000C40CC">
        <w:rPr>
          <w:rFonts w:cs="Arial"/>
        </w:rPr>
        <w:t xml:space="preserve">Der Leiter der Rechtsabteilung </w:t>
      </w:r>
      <w:r>
        <w:rPr>
          <w:rFonts w:cs="Arial"/>
        </w:rPr>
        <w:t>hielt beim 18</w:t>
      </w:r>
      <w:r w:rsidRPr="000C40CC">
        <w:rPr>
          <w:rFonts w:cs="Arial"/>
        </w:rPr>
        <w:t xml:space="preserve">. von </w:t>
      </w:r>
      <w:proofErr w:type="spellStart"/>
      <w:r w:rsidRPr="000C40CC">
        <w:rPr>
          <w:rFonts w:cs="Arial"/>
        </w:rPr>
        <w:t>Naktuinbouw</w:t>
      </w:r>
      <w:proofErr w:type="spellEnd"/>
      <w:r w:rsidRPr="000C40CC">
        <w:rPr>
          <w:rFonts w:cs="Arial"/>
        </w:rPr>
        <w:t xml:space="preserve"> organisierten Sortenschutzlehrgang am 2</w:t>
      </w:r>
      <w:r>
        <w:rPr>
          <w:rFonts w:cs="Arial"/>
        </w:rPr>
        <w:t>2</w:t>
      </w:r>
      <w:r w:rsidR="00EF3858">
        <w:rPr>
          <w:rFonts w:cs="Arial"/>
        </w:rPr>
        <w:t>. </w:t>
      </w:r>
      <w:r w:rsidRPr="000C40CC">
        <w:rPr>
          <w:rFonts w:cs="Arial"/>
        </w:rPr>
        <w:t xml:space="preserve">Juni 2013 in </w:t>
      </w:r>
      <w:proofErr w:type="spellStart"/>
      <w:r w:rsidRPr="000C40CC">
        <w:rPr>
          <w:rFonts w:cs="Arial"/>
        </w:rPr>
        <w:t>Wageningen</w:t>
      </w:r>
      <w:proofErr w:type="spellEnd"/>
      <w:r w:rsidRPr="000C40CC">
        <w:rPr>
          <w:rFonts w:cs="Arial"/>
        </w:rPr>
        <w:t xml:space="preserve"> ein Referat über das Sortenschutzsystem der EU. </w:t>
      </w:r>
    </w:p>
    <w:p w:rsidR="00AF7FF3" w:rsidRPr="000C40CC" w:rsidRDefault="00AF7FF3" w:rsidP="00EF3858">
      <w:pPr>
        <w:rPr>
          <w:rFonts w:cs="Arial"/>
        </w:rPr>
      </w:pPr>
      <w:r w:rsidRPr="000C40CC">
        <w:rPr>
          <w:rFonts w:cs="Arial"/>
        </w:rPr>
        <w:t>Der Leiter der Rechtsabteilung nahm</w:t>
      </w:r>
      <w:r w:rsidRPr="00AE1AD0">
        <w:rPr>
          <w:rFonts w:cs="Arial"/>
        </w:rPr>
        <w:t xml:space="preserve"> </w:t>
      </w:r>
      <w:r w:rsidRPr="000C40CC">
        <w:rPr>
          <w:rFonts w:cs="Arial"/>
        </w:rPr>
        <w:t xml:space="preserve">am 11. Juni 2015 in Madrid teil an und trug </w:t>
      </w:r>
      <w:r>
        <w:rPr>
          <w:rFonts w:cs="Arial"/>
        </w:rPr>
        <w:t>mit einem Referat bei</w:t>
      </w:r>
      <w:r w:rsidRPr="000C40CC">
        <w:rPr>
          <w:rFonts w:cs="Arial"/>
        </w:rPr>
        <w:t xml:space="preserve"> </w:t>
      </w:r>
      <w:r>
        <w:rPr>
          <w:rFonts w:cs="Arial"/>
        </w:rPr>
        <w:t>zu</w:t>
      </w:r>
      <w:r w:rsidRPr="000C40CC">
        <w:rPr>
          <w:rFonts w:cs="Arial"/>
        </w:rPr>
        <w:t xml:space="preserve"> dem Seminar über Sortenrechte und andere Rechte geistigen Eigentums in der Entwicklung der Landwirtschaft (</w:t>
      </w:r>
      <w:proofErr w:type="spellStart"/>
      <w:r w:rsidRPr="000C40CC">
        <w:rPr>
          <w:rFonts w:cs="Arial"/>
        </w:rPr>
        <w:t>Jornada</w:t>
      </w:r>
      <w:proofErr w:type="spellEnd"/>
      <w:r w:rsidRPr="000C40CC">
        <w:rPr>
          <w:rFonts w:cs="Arial"/>
        </w:rPr>
        <w:t xml:space="preserve"> ‘La </w:t>
      </w:r>
      <w:proofErr w:type="spellStart"/>
      <w:r w:rsidRPr="000C40CC">
        <w:rPr>
          <w:rFonts w:cs="Arial"/>
        </w:rPr>
        <w:t>proteccion</w:t>
      </w:r>
      <w:proofErr w:type="spellEnd"/>
      <w:r w:rsidRPr="000C40CC">
        <w:rPr>
          <w:rFonts w:cs="Arial"/>
        </w:rPr>
        <w:t xml:space="preserve"> de las </w:t>
      </w:r>
      <w:proofErr w:type="spellStart"/>
      <w:r w:rsidRPr="000C40CC">
        <w:rPr>
          <w:rFonts w:cs="Arial"/>
        </w:rPr>
        <w:t>variedades</w:t>
      </w:r>
      <w:proofErr w:type="spellEnd"/>
      <w:r w:rsidRPr="000C40CC">
        <w:rPr>
          <w:rFonts w:cs="Arial"/>
        </w:rPr>
        <w:t xml:space="preserve"> </w:t>
      </w:r>
      <w:proofErr w:type="spellStart"/>
      <w:r w:rsidRPr="000C40CC">
        <w:rPr>
          <w:rFonts w:cs="Arial"/>
        </w:rPr>
        <w:t>vegetales</w:t>
      </w:r>
      <w:proofErr w:type="spellEnd"/>
      <w:r w:rsidRPr="000C40CC">
        <w:rPr>
          <w:rFonts w:cs="Arial"/>
        </w:rPr>
        <w:t xml:space="preserve"> y </w:t>
      </w:r>
      <w:proofErr w:type="spellStart"/>
      <w:r w:rsidRPr="000C40CC">
        <w:rPr>
          <w:rFonts w:cs="Arial"/>
        </w:rPr>
        <w:t>otros</w:t>
      </w:r>
      <w:proofErr w:type="spellEnd"/>
      <w:r w:rsidRPr="000C40CC">
        <w:rPr>
          <w:rFonts w:cs="Arial"/>
        </w:rPr>
        <w:t xml:space="preserve"> </w:t>
      </w:r>
      <w:proofErr w:type="spellStart"/>
      <w:r w:rsidRPr="000C40CC">
        <w:rPr>
          <w:rFonts w:cs="Arial"/>
        </w:rPr>
        <w:t>derechos</w:t>
      </w:r>
      <w:proofErr w:type="spellEnd"/>
      <w:r w:rsidRPr="000C40CC">
        <w:rPr>
          <w:rFonts w:cs="Arial"/>
        </w:rPr>
        <w:t xml:space="preserve"> de </w:t>
      </w:r>
      <w:proofErr w:type="spellStart"/>
      <w:r w:rsidRPr="000C40CC">
        <w:rPr>
          <w:rFonts w:cs="Arial"/>
        </w:rPr>
        <w:t>propriedad</w:t>
      </w:r>
      <w:proofErr w:type="spellEnd"/>
      <w:r w:rsidRPr="000C40CC">
        <w:rPr>
          <w:rFonts w:cs="Arial"/>
        </w:rPr>
        <w:t xml:space="preserve"> </w:t>
      </w:r>
      <w:proofErr w:type="spellStart"/>
      <w:r w:rsidRPr="000C40CC">
        <w:rPr>
          <w:rFonts w:cs="Arial"/>
        </w:rPr>
        <w:t>intelectual</w:t>
      </w:r>
      <w:proofErr w:type="spellEnd"/>
      <w:r w:rsidRPr="000C40CC">
        <w:rPr>
          <w:rFonts w:cs="Arial"/>
        </w:rPr>
        <w:t xml:space="preserve"> en </w:t>
      </w:r>
      <w:proofErr w:type="spellStart"/>
      <w:r w:rsidRPr="000C40CC">
        <w:rPr>
          <w:rFonts w:cs="Arial"/>
        </w:rPr>
        <w:t>el</w:t>
      </w:r>
      <w:proofErr w:type="spellEnd"/>
      <w:r w:rsidRPr="000C40CC">
        <w:rPr>
          <w:rFonts w:cs="Arial"/>
        </w:rPr>
        <w:t xml:space="preserve"> </w:t>
      </w:r>
      <w:proofErr w:type="spellStart"/>
      <w:r w:rsidRPr="000C40CC">
        <w:rPr>
          <w:rFonts w:cs="Arial"/>
        </w:rPr>
        <w:t>desarollo</w:t>
      </w:r>
      <w:proofErr w:type="spellEnd"/>
      <w:r w:rsidRPr="000C40CC">
        <w:rPr>
          <w:rFonts w:cs="Arial"/>
        </w:rPr>
        <w:t xml:space="preserve"> de la </w:t>
      </w:r>
      <w:proofErr w:type="spellStart"/>
      <w:r w:rsidRPr="000C40CC">
        <w:rPr>
          <w:rFonts w:cs="Arial"/>
        </w:rPr>
        <w:t>agricultura</w:t>
      </w:r>
      <w:proofErr w:type="spellEnd"/>
      <w:r w:rsidRPr="000C40CC">
        <w:rPr>
          <w:rFonts w:cs="Arial"/>
        </w:rPr>
        <w:t xml:space="preserve">) (OEPM – </w:t>
      </w:r>
      <w:r>
        <w:rPr>
          <w:rFonts w:cs="Arial"/>
          <w:lang w:eastAsia="de-DE"/>
        </w:rPr>
        <w:t>S</w:t>
      </w:r>
      <w:r w:rsidRPr="000C40CC">
        <w:rPr>
          <w:rFonts w:cs="Arial"/>
          <w:lang w:eastAsia="de-DE"/>
        </w:rPr>
        <w:t>panische</w:t>
      </w:r>
      <w:r>
        <w:rPr>
          <w:rFonts w:cs="Arial"/>
          <w:lang w:eastAsia="de-DE"/>
        </w:rPr>
        <w:t>s</w:t>
      </w:r>
      <w:r w:rsidRPr="000C40CC">
        <w:rPr>
          <w:rFonts w:cs="Arial"/>
          <w:lang w:eastAsia="de-DE"/>
        </w:rPr>
        <w:t xml:space="preserve"> Patent- und Markena</w:t>
      </w:r>
      <w:r w:rsidRPr="000C40CC">
        <w:rPr>
          <w:rFonts w:cs="Arial"/>
          <w:bCs/>
          <w:lang w:eastAsia="de-DE"/>
        </w:rPr>
        <w:t>mt</w:t>
      </w:r>
      <w:r w:rsidRPr="000C40CC">
        <w:rPr>
          <w:rFonts w:cs="Arial"/>
        </w:rPr>
        <w:t>) (Spanien).</w:t>
      </w:r>
    </w:p>
    <w:p w:rsidR="00AF7FF3" w:rsidRPr="000C40CC" w:rsidRDefault="00AF7FF3" w:rsidP="00AF7FF3">
      <w:pPr>
        <w:jc w:val="left"/>
        <w:rPr>
          <w:rFonts w:cs="Arial"/>
        </w:rPr>
      </w:pPr>
    </w:p>
    <w:p w:rsidR="00AF7FF3" w:rsidRPr="000C40CC" w:rsidRDefault="00AF7FF3" w:rsidP="00AF7FF3">
      <w:pPr>
        <w:autoSpaceDE w:val="0"/>
        <w:autoSpaceDN w:val="0"/>
        <w:adjustRightInd w:val="0"/>
        <w:spacing w:after="240"/>
        <w:rPr>
          <w:rFonts w:cs="Arial"/>
        </w:rPr>
      </w:pPr>
      <w:r w:rsidRPr="000C40CC">
        <w:rPr>
          <w:rFonts w:cs="Arial"/>
        </w:rPr>
        <w:t xml:space="preserve">Der Leiter der Rechtsabteilung nahm teil an und trug </w:t>
      </w:r>
      <w:r>
        <w:rPr>
          <w:rFonts w:cs="Arial"/>
        </w:rPr>
        <w:t>mit einem Referat bei</w:t>
      </w:r>
      <w:r w:rsidRPr="000C40CC">
        <w:rPr>
          <w:rFonts w:cs="Arial"/>
        </w:rPr>
        <w:t xml:space="preserve"> </w:t>
      </w:r>
      <w:r>
        <w:rPr>
          <w:rFonts w:cs="Arial"/>
        </w:rPr>
        <w:t>zu</w:t>
      </w:r>
      <w:r w:rsidRPr="000C40CC">
        <w:rPr>
          <w:rFonts w:cs="Arial"/>
        </w:rPr>
        <w:t xml:space="preserve"> dem Seminar ‚Eine neue Vision für Züchterrechte an geschützten Sorten’,</w:t>
      </w:r>
      <w:r>
        <w:rPr>
          <w:rFonts w:cs="Arial"/>
        </w:rPr>
        <w:t xml:space="preserve"> das</w:t>
      </w:r>
      <w:r w:rsidRPr="000C40CC">
        <w:rPr>
          <w:rFonts w:cs="Arial"/>
        </w:rPr>
        <w:t xml:space="preserve"> von der ASOVAV (</w:t>
      </w:r>
      <w:proofErr w:type="spellStart"/>
      <w:r w:rsidRPr="000C40CC">
        <w:rPr>
          <w:rFonts w:cs="Arial"/>
        </w:rPr>
        <w:t>Association</w:t>
      </w:r>
      <w:proofErr w:type="spellEnd"/>
      <w:r w:rsidRPr="000C40CC">
        <w:rPr>
          <w:rFonts w:cs="Arial"/>
        </w:rPr>
        <w:t xml:space="preserve"> </w:t>
      </w:r>
      <w:proofErr w:type="spellStart"/>
      <w:r w:rsidRPr="000C40CC">
        <w:rPr>
          <w:rFonts w:cs="Arial"/>
        </w:rPr>
        <w:t>of</w:t>
      </w:r>
      <w:proofErr w:type="spellEnd"/>
      <w:r w:rsidRPr="000C40CC">
        <w:rPr>
          <w:rFonts w:cs="Arial"/>
        </w:rPr>
        <w:t xml:space="preserve"> </w:t>
      </w:r>
      <w:proofErr w:type="spellStart"/>
      <w:r w:rsidRPr="000C40CC">
        <w:rPr>
          <w:rFonts w:cs="Arial"/>
        </w:rPr>
        <w:t>operators</w:t>
      </w:r>
      <w:proofErr w:type="spellEnd"/>
      <w:r w:rsidRPr="000C40CC">
        <w:rPr>
          <w:rFonts w:cs="Arial"/>
        </w:rPr>
        <w:t xml:space="preserve"> </w:t>
      </w:r>
      <w:proofErr w:type="spellStart"/>
      <w:r w:rsidRPr="000C40CC">
        <w:rPr>
          <w:rFonts w:cs="Arial"/>
        </w:rPr>
        <w:t>of</w:t>
      </w:r>
      <w:proofErr w:type="spellEnd"/>
      <w:r w:rsidRPr="000C40CC">
        <w:rPr>
          <w:rFonts w:cs="Arial"/>
        </w:rPr>
        <w:t xml:space="preserve"> plant </w:t>
      </w:r>
      <w:proofErr w:type="spellStart"/>
      <w:r w:rsidRPr="000C40CC">
        <w:rPr>
          <w:rFonts w:cs="Arial"/>
        </w:rPr>
        <w:t>varieties</w:t>
      </w:r>
      <w:proofErr w:type="spellEnd"/>
      <w:r w:rsidRPr="000C40CC">
        <w:rPr>
          <w:rFonts w:cs="Arial"/>
        </w:rPr>
        <w:t xml:space="preserve">)  (IV </w:t>
      </w:r>
      <w:proofErr w:type="spellStart"/>
      <w:r w:rsidRPr="000C40CC">
        <w:rPr>
          <w:rFonts w:cs="Arial"/>
        </w:rPr>
        <w:t>Jornada</w:t>
      </w:r>
      <w:proofErr w:type="spellEnd"/>
      <w:r w:rsidRPr="000C40CC">
        <w:rPr>
          <w:rFonts w:cs="Arial"/>
        </w:rPr>
        <w:t xml:space="preserve"> de ASOVAV </w:t>
      </w:r>
      <w:proofErr w:type="spellStart"/>
      <w:r w:rsidRPr="000C40CC">
        <w:rPr>
          <w:rFonts w:cs="Arial"/>
        </w:rPr>
        <w:t>Nueva</w:t>
      </w:r>
      <w:proofErr w:type="spellEnd"/>
      <w:r w:rsidRPr="000C40CC">
        <w:rPr>
          <w:rFonts w:cs="Arial"/>
        </w:rPr>
        <w:t xml:space="preserve"> </w:t>
      </w:r>
      <w:proofErr w:type="spellStart"/>
      <w:r w:rsidRPr="000C40CC">
        <w:rPr>
          <w:rFonts w:cs="Arial"/>
        </w:rPr>
        <w:t>visión</w:t>
      </w:r>
      <w:proofErr w:type="spellEnd"/>
      <w:r w:rsidRPr="000C40CC">
        <w:rPr>
          <w:rFonts w:cs="Arial"/>
        </w:rPr>
        <w:t xml:space="preserve"> </w:t>
      </w:r>
      <w:proofErr w:type="spellStart"/>
      <w:r w:rsidRPr="000C40CC">
        <w:rPr>
          <w:rFonts w:cs="Arial"/>
        </w:rPr>
        <w:t>sobre</w:t>
      </w:r>
      <w:proofErr w:type="spellEnd"/>
      <w:r w:rsidRPr="000C40CC">
        <w:rPr>
          <w:rFonts w:cs="Arial"/>
        </w:rPr>
        <w:t xml:space="preserve"> los </w:t>
      </w:r>
      <w:proofErr w:type="spellStart"/>
      <w:r w:rsidRPr="000C40CC">
        <w:rPr>
          <w:rFonts w:cs="Arial"/>
        </w:rPr>
        <w:t>derechos</w:t>
      </w:r>
      <w:proofErr w:type="spellEnd"/>
      <w:r w:rsidRPr="000C40CC">
        <w:rPr>
          <w:rFonts w:cs="Arial"/>
        </w:rPr>
        <w:t xml:space="preserve"> del </w:t>
      </w:r>
      <w:proofErr w:type="spellStart"/>
      <w:r w:rsidRPr="000C40CC">
        <w:rPr>
          <w:rFonts w:cs="Arial"/>
        </w:rPr>
        <w:t>obtentor</w:t>
      </w:r>
      <w:proofErr w:type="spellEnd"/>
      <w:r w:rsidRPr="000C40CC">
        <w:rPr>
          <w:rFonts w:cs="Arial"/>
        </w:rPr>
        <w:t xml:space="preserve"> en las </w:t>
      </w:r>
      <w:proofErr w:type="spellStart"/>
      <w:r w:rsidRPr="000C40CC">
        <w:rPr>
          <w:rFonts w:cs="Arial"/>
        </w:rPr>
        <w:t>variedades</w:t>
      </w:r>
      <w:proofErr w:type="spellEnd"/>
      <w:r w:rsidRPr="000C40CC">
        <w:rPr>
          <w:rFonts w:cs="Arial"/>
        </w:rPr>
        <w:t xml:space="preserve"> </w:t>
      </w:r>
      <w:proofErr w:type="spellStart"/>
      <w:r w:rsidRPr="000C40CC">
        <w:rPr>
          <w:rFonts w:cs="Arial"/>
        </w:rPr>
        <w:t>protegidas</w:t>
      </w:r>
      <w:proofErr w:type="spellEnd"/>
      <w:r w:rsidRPr="000C40CC">
        <w:rPr>
          <w:rFonts w:cs="Arial"/>
        </w:rPr>
        <w:t>) in Valencia am 18. Juni 2015 (Spanien)</w:t>
      </w:r>
      <w:r>
        <w:rPr>
          <w:rFonts w:cs="Arial"/>
        </w:rPr>
        <w:t xml:space="preserve"> </w:t>
      </w:r>
      <w:r w:rsidRPr="000C40CC">
        <w:rPr>
          <w:rFonts w:cs="Arial"/>
        </w:rPr>
        <w:t>organisiert</w:t>
      </w:r>
      <w:r>
        <w:rPr>
          <w:rFonts w:cs="Arial"/>
        </w:rPr>
        <w:t xml:space="preserve"> wurde</w:t>
      </w:r>
      <w:r w:rsidRPr="000C40CC">
        <w:rPr>
          <w:rFonts w:cs="Arial"/>
        </w:rPr>
        <w:t>.</w:t>
      </w:r>
    </w:p>
    <w:p w:rsidR="00AF7FF3" w:rsidRPr="000C40CC" w:rsidRDefault="00AF7FF3" w:rsidP="00AF7FF3">
      <w:pPr>
        <w:autoSpaceDE w:val="0"/>
        <w:autoSpaceDN w:val="0"/>
        <w:adjustRightInd w:val="0"/>
        <w:spacing w:after="240"/>
        <w:rPr>
          <w:rFonts w:cs="Arial"/>
        </w:rPr>
      </w:pPr>
      <w:r w:rsidRPr="000C40CC">
        <w:rPr>
          <w:rFonts w:cs="Arial"/>
        </w:rPr>
        <w:t xml:space="preserve">Der Rechtsberater </w:t>
      </w:r>
      <w:r>
        <w:rPr>
          <w:rFonts w:cs="Arial"/>
        </w:rPr>
        <w:t>verfolgt</w:t>
      </w:r>
      <w:r w:rsidRPr="000C40CC">
        <w:rPr>
          <w:rFonts w:cs="Arial"/>
        </w:rPr>
        <w:t xml:space="preserve"> die Arbeit der Beobachtungsstelle des HABM für Verletzungen von Rechten geistigen Eigentums seit Februar 2013. Die Beobachtungsstelle lancierte im September 2014 ein Pilotprojekt für eine Datenbank für Rechtsprechung bezüglich der Wahrung sämtlicher Rechte geistigen Eigentums, die 800 Fälle umfassen würde (nationale Gerichtsbarkeiten, HABM, CPVO, Gerichtshof der EU) mit einigen Ämter</w:t>
      </w:r>
      <w:r>
        <w:rPr>
          <w:rFonts w:cs="Arial"/>
        </w:rPr>
        <w:t>n</w:t>
      </w:r>
      <w:r w:rsidRPr="000C40CC">
        <w:rPr>
          <w:rFonts w:cs="Arial"/>
        </w:rPr>
        <w:t xml:space="preserve"> für geistiges Eigentum einiger </w:t>
      </w:r>
      <w:r>
        <w:rPr>
          <w:rFonts w:cs="Arial"/>
        </w:rPr>
        <w:t>Mitgliedstaat</w:t>
      </w:r>
      <w:r w:rsidRPr="000C40CC">
        <w:rPr>
          <w:rFonts w:cs="Arial"/>
        </w:rPr>
        <w:t xml:space="preserve">en: Dänemark, Frankreich, Litauen, Rumänien, Slowenien, Spanien, Schweden </w:t>
      </w:r>
      <w:r>
        <w:rPr>
          <w:rFonts w:cs="Arial"/>
        </w:rPr>
        <w:t xml:space="preserve">und </w:t>
      </w:r>
      <w:r w:rsidRPr="000C40CC">
        <w:rPr>
          <w:rFonts w:cs="Arial"/>
        </w:rPr>
        <w:t>Vereinigtes Königreich. Diese</w:t>
      </w:r>
      <w:r>
        <w:rPr>
          <w:rFonts w:cs="Arial"/>
        </w:rPr>
        <w:t xml:space="preserve"> Phase</w:t>
      </w:r>
      <w:r w:rsidRPr="000C40CC">
        <w:rPr>
          <w:rFonts w:cs="Arial"/>
        </w:rPr>
        <w:t xml:space="preserve"> wurde im Mai 2015 mit dem von der Rechtsabteilung des CPVO ausgearbeiteten</w:t>
      </w:r>
      <w:r>
        <w:rPr>
          <w:rFonts w:cs="Arial"/>
        </w:rPr>
        <w:t xml:space="preserve"> </w:t>
      </w:r>
      <w:r w:rsidRPr="000C40CC">
        <w:rPr>
          <w:rFonts w:cs="Arial"/>
        </w:rPr>
        <w:t>Beitrag abgeschlossen. Vier zusätzliche Länder schließen sich im Jahr 2015 an: Österreich, Irland</w:t>
      </w:r>
      <w:r>
        <w:rPr>
          <w:rFonts w:cs="Arial"/>
        </w:rPr>
        <w:t xml:space="preserve">, </w:t>
      </w:r>
      <w:r w:rsidRPr="000C40CC">
        <w:rPr>
          <w:rFonts w:cs="Arial"/>
        </w:rPr>
        <w:t>Tschechische Republik</w:t>
      </w:r>
      <w:r>
        <w:rPr>
          <w:rFonts w:cs="Arial"/>
        </w:rPr>
        <w:t xml:space="preserve"> und</w:t>
      </w:r>
      <w:r w:rsidRPr="000C40CC">
        <w:rPr>
          <w:rFonts w:cs="Arial"/>
        </w:rPr>
        <w:t xml:space="preserve"> Ungarn. Die betroffenen Entscheidungen sind „Schlüssel“-Urteile im Zusammenhang mit der Wahrung von Rechten geistigen Eigentums („Schlüssel“ bedeutet, eine Entscheidung, die einen Präzedenzfall schaff</w:t>
      </w:r>
      <w:r>
        <w:rPr>
          <w:rFonts w:cs="Arial"/>
        </w:rPr>
        <w:t>t</w:t>
      </w:r>
      <w:r w:rsidRPr="000C40CC">
        <w:rPr>
          <w:rFonts w:cs="Arial"/>
        </w:rPr>
        <w:t xml:space="preserve"> oder die ständige Rechtsprechung aufhebt)</w:t>
      </w:r>
      <w:r>
        <w:rPr>
          <w:rFonts w:cs="Arial"/>
        </w:rPr>
        <w:t>, s</w:t>
      </w:r>
      <w:r w:rsidRPr="000C40CC">
        <w:rPr>
          <w:rFonts w:cs="Arial"/>
        </w:rPr>
        <w:t>owohl in Zivil- als auch</w:t>
      </w:r>
      <w:r>
        <w:rPr>
          <w:rFonts w:cs="Arial"/>
        </w:rPr>
        <w:t xml:space="preserve"> in</w:t>
      </w:r>
      <w:r w:rsidRPr="000C40CC">
        <w:rPr>
          <w:rFonts w:cs="Arial"/>
        </w:rPr>
        <w:t xml:space="preserve"> Strafrechtsprozessen, die zwischen 2006 und 2014 ergangen sind</w:t>
      </w:r>
      <w:r>
        <w:rPr>
          <w:rFonts w:cs="Arial"/>
        </w:rPr>
        <w:t>, die</w:t>
      </w:r>
      <w:r w:rsidRPr="000C40CC">
        <w:rPr>
          <w:rFonts w:cs="Arial"/>
        </w:rPr>
        <w:t xml:space="preserve"> alle Rechte geistigen Eigentums</w:t>
      </w:r>
      <w:r>
        <w:rPr>
          <w:rFonts w:cs="Arial"/>
        </w:rPr>
        <w:t xml:space="preserve"> betreffen</w:t>
      </w:r>
      <w:r w:rsidRPr="000C40CC">
        <w:rPr>
          <w:rFonts w:cs="Arial"/>
        </w:rPr>
        <w:t xml:space="preserve">. Nach </w:t>
      </w:r>
      <w:proofErr w:type="spellStart"/>
      <w:r w:rsidRPr="000C40CC">
        <w:rPr>
          <w:rFonts w:cs="Arial"/>
        </w:rPr>
        <w:t>Abschluß</w:t>
      </w:r>
      <w:proofErr w:type="spellEnd"/>
      <w:r w:rsidRPr="000C40CC">
        <w:rPr>
          <w:rFonts w:cs="Arial"/>
        </w:rPr>
        <w:t xml:space="preserve"> des Projektes wird </w:t>
      </w:r>
      <w:r>
        <w:rPr>
          <w:rFonts w:cs="Arial"/>
        </w:rPr>
        <w:t>die Aktualisierung</w:t>
      </w:r>
      <w:r w:rsidRPr="000C40CC">
        <w:rPr>
          <w:rFonts w:cs="Arial"/>
        </w:rPr>
        <w:t xml:space="preserve"> jährlich </w:t>
      </w:r>
      <w:r>
        <w:rPr>
          <w:rFonts w:cs="Arial"/>
        </w:rPr>
        <w:t>stattfinden</w:t>
      </w:r>
      <w:r w:rsidRPr="000C40CC">
        <w:rPr>
          <w:rFonts w:cs="Arial"/>
        </w:rPr>
        <w:t xml:space="preserve">. Der Rechtsberater wird an den Sitzungen der Beobachtungsstelle im September und Oktober, wo Mitglieder </w:t>
      </w:r>
      <w:r>
        <w:rPr>
          <w:rFonts w:cs="Arial"/>
        </w:rPr>
        <w:t>auf</w:t>
      </w:r>
      <w:r w:rsidRPr="000C40CC">
        <w:rPr>
          <w:rFonts w:cs="Arial"/>
        </w:rPr>
        <w:t xml:space="preserve"> den neuesten Stand </w:t>
      </w:r>
      <w:r>
        <w:rPr>
          <w:rFonts w:cs="Arial"/>
        </w:rPr>
        <w:t>über den</w:t>
      </w:r>
      <w:r w:rsidRPr="000C40CC">
        <w:rPr>
          <w:rFonts w:cs="Arial"/>
        </w:rPr>
        <w:t xml:space="preserve"> Fortschritt des Projektes gebracht werden, und anderen Sitzungen der Arbeitsgruppe</w:t>
      </w:r>
      <w:r>
        <w:rPr>
          <w:rFonts w:cs="Arial"/>
        </w:rPr>
        <w:t>n</w:t>
      </w:r>
      <w:r w:rsidRPr="000C40CC">
        <w:rPr>
          <w:rFonts w:cs="Arial"/>
        </w:rPr>
        <w:t xml:space="preserve"> für Recht und für</w:t>
      </w:r>
      <w:r>
        <w:rPr>
          <w:rFonts w:cs="Arial"/>
        </w:rPr>
        <w:t xml:space="preserve"> die</w:t>
      </w:r>
      <w:r w:rsidRPr="000C40CC">
        <w:rPr>
          <w:rFonts w:cs="Arial"/>
        </w:rPr>
        <w:t xml:space="preserve"> Wahrung von Rechten der HABM-Beobachtungsstelle</w:t>
      </w:r>
      <w:r>
        <w:rPr>
          <w:rFonts w:cs="Arial"/>
        </w:rPr>
        <w:t xml:space="preserve"> </w:t>
      </w:r>
      <w:r w:rsidRPr="000C40CC">
        <w:rPr>
          <w:rFonts w:cs="Arial"/>
        </w:rPr>
        <w:t>teilnehmen.</w:t>
      </w:r>
    </w:p>
    <w:p w:rsidR="00AF7FF3" w:rsidRPr="000C40CC" w:rsidRDefault="00AF7FF3" w:rsidP="00AF7FF3">
      <w:pPr>
        <w:autoSpaceDE w:val="0"/>
        <w:autoSpaceDN w:val="0"/>
        <w:adjustRightInd w:val="0"/>
        <w:spacing w:after="240"/>
        <w:rPr>
          <w:rFonts w:cs="Arial"/>
        </w:rPr>
      </w:pPr>
      <w:r w:rsidRPr="000C40CC">
        <w:rPr>
          <w:rFonts w:cs="Arial"/>
        </w:rPr>
        <w:t>Der Sachverständige für Obst- und Gemüsearten von der technischen Abteilung des CPVO nahm teil an und trug mit</w:t>
      </w:r>
      <w:r>
        <w:rPr>
          <w:rFonts w:cs="Arial"/>
        </w:rPr>
        <w:t xml:space="preserve"> Referaten</w:t>
      </w:r>
      <w:r w:rsidRPr="000C40CC">
        <w:rPr>
          <w:rFonts w:cs="Arial"/>
        </w:rPr>
        <w:t xml:space="preserve"> bei </w:t>
      </w:r>
      <w:r>
        <w:rPr>
          <w:rFonts w:cs="Arial"/>
        </w:rPr>
        <w:t>zu</w:t>
      </w:r>
      <w:r w:rsidRPr="000C40CC">
        <w:rPr>
          <w:rFonts w:cs="Arial"/>
        </w:rPr>
        <w:t xml:space="preserve"> dem von dem spanischen Prüfungsamt OEVV (</w:t>
      </w:r>
      <w:proofErr w:type="spellStart"/>
      <w:r w:rsidRPr="000C40CC">
        <w:rPr>
          <w:rFonts w:cs="Arial"/>
        </w:rPr>
        <w:t>Oficina</w:t>
      </w:r>
      <w:proofErr w:type="spellEnd"/>
      <w:r w:rsidRPr="000C40CC">
        <w:rPr>
          <w:rFonts w:cs="Arial"/>
        </w:rPr>
        <w:t xml:space="preserve"> </w:t>
      </w:r>
      <w:proofErr w:type="spellStart"/>
      <w:r w:rsidRPr="000C40CC">
        <w:rPr>
          <w:rFonts w:cs="Arial"/>
        </w:rPr>
        <w:t>Española</w:t>
      </w:r>
      <w:proofErr w:type="spellEnd"/>
      <w:r w:rsidRPr="000C40CC">
        <w:rPr>
          <w:rFonts w:cs="Arial"/>
        </w:rPr>
        <w:t xml:space="preserve"> de </w:t>
      </w:r>
      <w:proofErr w:type="spellStart"/>
      <w:r w:rsidRPr="000C40CC">
        <w:rPr>
          <w:rFonts w:cs="Arial"/>
        </w:rPr>
        <w:t>Variedades</w:t>
      </w:r>
      <w:proofErr w:type="spellEnd"/>
      <w:r w:rsidRPr="000C40CC">
        <w:rPr>
          <w:rFonts w:cs="Arial"/>
        </w:rPr>
        <w:t xml:space="preserve"> </w:t>
      </w:r>
      <w:proofErr w:type="spellStart"/>
      <w:r w:rsidRPr="000C40CC">
        <w:rPr>
          <w:rFonts w:cs="Arial"/>
        </w:rPr>
        <w:t>Vegetales</w:t>
      </w:r>
      <w:proofErr w:type="spellEnd"/>
      <w:r w:rsidRPr="000C40CC">
        <w:rPr>
          <w:rFonts w:cs="Arial"/>
        </w:rPr>
        <w:t>) organisiert</w:t>
      </w:r>
      <w:r>
        <w:rPr>
          <w:rFonts w:cs="Arial"/>
        </w:rPr>
        <w:t>en</w:t>
      </w:r>
      <w:r w:rsidRPr="000C40CC">
        <w:rPr>
          <w:rFonts w:cs="Arial"/>
        </w:rPr>
        <w:t xml:space="preserve"> Ausbildungslehrgang in San</w:t>
      </w:r>
      <w:r>
        <w:rPr>
          <w:rFonts w:cs="Arial"/>
        </w:rPr>
        <w:t xml:space="preserve"> Fernando de Henares (Spanien) vom </w:t>
      </w:r>
      <w:r w:rsidR="00EF3858">
        <w:rPr>
          <w:rFonts w:cs="Arial"/>
        </w:rPr>
        <w:t>24. bis 27. </w:t>
      </w:r>
      <w:r w:rsidRPr="000C40CC">
        <w:rPr>
          <w:rFonts w:cs="Arial"/>
        </w:rPr>
        <w:t>Februar 2014</w:t>
      </w:r>
      <w:r>
        <w:rPr>
          <w:rFonts w:cs="Arial"/>
        </w:rPr>
        <w:t xml:space="preserve"> </w:t>
      </w:r>
      <w:r w:rsidRPr="000C40CC">
        <w:rPr>
          <w:rFonts w:cs="Arial"/>
        </w:rPr>
        <w:t>über die Harmonisierung von DUS-Prüfungen, die von den vom CPVO akkreditierten spanischen Prüfungsämter</w:t>
      </w:r>
      <w:r>
        <w:rPr>
          <w:rFonts w:cs="Arial"/>
        </w:rPr>
        <w:t>n</w:t>
      </w:r>
      <w:r w:rsidRPr="000C40CC">
        <w:rPr>
          <w:rFonts w:cs="Arial"/>
        </w:rPr>
        <w:t xml:space="preserve"> im Einklang mit den Grundsätzen der UPOV und des CPVO </w:t>
      </w:r>
      <w:r>
        <w:rPr>
          <w:rFonts w:cs="Arial"/>
        </w:rPr>
        <w:t>durchgeführt werden</w:t>
      </w:r>
      <w:r w:rsidRPr="000C40CC">
        <w:rPr>
          <w:rFonts w:cs="Arial"/>
        </w:rPr>
        <w:t xml:space="preserve">. </w:t>
      </w:r>
    </w:p>
    <w:p w:rsidR="00AF7FF3" w:rsidRPr="000C40CC" w:rsidRDefault="00AF7FF3" w:rsidP="00AF7FF3">
      <w:pPr>
        <w:autoSpaceDE w:val="0"/>
        <w:autoSpaceDN w:val="0"/>
        <w:adjustRightInd w:val="0"/>
        <w:spacing w:after="240"/>
        <w:rPr>
          <w:rFonts w:cs="Arial"/>
        </w:rPr>
      </w:pPr>
      <w:r w:rsidRPr="000C40CC">
        <w:rPr>
          <w:rFonts w:cs="Arial"/>
        </w:rPr>
        <w:t>Das CPVO wurde vom Leiter de</w:t>
      </w:r>
      <w:r>
        <w:rPr>
          <w:rFonts w:cs="Arial"/>
        </w:rPr>
        <w:t>s</w:t>
      </w:r>
      <w:r w:rsidRPr="000C40CC">
        <w:rPr>
          <w:rFonts w:cs="Arial"/>
        </w:rPr>
        <w:t xml:space="preserve"> Qualitäts-Audit Service</w:t>
      </w:r>
      <w:r>
        <w:rPr>
          <w:rFonts w:cs="Arial"/>
        </w:rPr>
        <w:t>s</w:t>
      </w:r>
      <w:r w:rsidRPr="000C40CC">
        <w:rPr>
          <w:rFonts w:cs="Arial"/>
        </w:rPr>
        <w:t xml:space="preserve"> bei der Veranstaltung der OAPI (Afrikanische Organisation für geistiges Eigentum</w:t>
      </w:r>
      <w:r>
        <w:rPr>
          <w:rFonts w:cs="Arial"/>
        </w:rPr>
        <w:t>)</w:t>
      </w:r>
      <w:r w:rsidRPr="000C40CC">
        <w:rPr>
          <w:rFonts w:cs="Arial"/>
        </w:rPr>
        <w:t xml:space="preserve"> „</w:t>
      </w:r>
      <w:proofErr w:type="spellStart"/>
      <w:r w:rsidRPr="000C40CC">
        <w:rPr>
          <w:rFonts w:cs="Arial"/>
        </w:rPr>
        <w:t>Séminaire</w:t>
      </w:r>
      <w:proofErr w:type="spellEnd"/>
      <w:r w:rsidRPr="000C40CC">
        <w:rPr>
          <w:rFonts w:cs="Arial"/>
        </w:rPr>
        <w:t xml:space="preserve"> national </w:t>
      </w:r>
      <w:proofErr w:type="spellStart"/>
      <w:r w:rsidRPr="000C40CC">
        <w:rPr>
          <w:rFonts w:cs="Arial"/>
        </w:rPr>
        <w:t>d’information</w:t>
      </w:r>
      <w:proofErr w:type="spellEnd"/>
      <w:r w:rsidRPr="000C40CC">
        <w:rPr>
          <w:rFonts w:cs="Arial"/>
        </w:rPr>
        <w:t xml:space="preserve"> et de </w:t>
      </w:r>
      <w:proofErr w:type="spellStart"/>
      <w:r w:rsidRPr="000C40CC">
        <w:rPr>
          <w:rFonts w:cs="Arial"/>
        </w:rPr>
        <w:t>sensibilisation</w:t>
      </w:r>
      <w:proofErr w:type="spellEnd"/>
      <w:r w:rsidRPr="000C40CC">
        <w:rPr>
          <w:rFonts w:cs="Arial"/>
        </w:rPr>
        <w:t xml:space="preserve"> à </w:t>
      </w:r>
      <w:proofErr w:type="spellStart"/>
      <w:r w:rsidRPr="000C40CC">
        <w:rPr>
          <w:rFonts w:cs="Arial"/>
        </w:rPr>
        <w:t>l’intention</w:t>
      </w:r>
      <w:proofErr w:type="spellEnd"/>
      <w:r w:rsidRPr="000C40CC">
        <w:rPr>
          <w:rFonts w:cs="Arial"/>
        </w:rPr>
        <w:t xml:space="preserve"> des </w:t>
      </w:r>
      <w:proofErr w:type="spellStart"/>
      <w:r w:rsidRPr="000C40CC">
        <w:rPr>
          <w:rFonts w:cs="Arial"/>
        </w:rPr>
        <w:t>experts</w:t>
      </w:r>
      <w:proofErr w:type="spellEnd"/>
      <w:r w:rsidRPr="000C40CC">
        <w:rPr>
          <w:rFonts w:cs="Arial"/>
        </w:rPr>
        <w:t xml:space="preserve"> de</w:t>
      </w:r>
      <w:r>
        <w:rPr>
          <w:rFonts w:cs="Arial"/>
        </w:rPr>
        <w:t xml:space="preserve">s </w:t>
      </w:r>
      <w:proofErr w:type="spellStart"/>
      <w:r>
        <w:rPr>
          <w:rFonts w:cs="Arial"/>
        </w:rPr>
        <w:t>centres</w:t>
      </w:r>
      <w:proofErr w:type="spellEnd"/>
      <w:r>
        <w:rPr>
          <w:rFonts w:cs="Arial"/>
        </w:rPr>
        <w:t xml:space="preserve"> de </w:t>
      </w:r>
      <w:proofErr w:type="spellStart"/>
      <w:r>
        <w:rPr>
          <w:rFonts w:cs="Arial"/>
        </w:rPr>
        <w:t>recherche</w:t>
      </w:r>
      <w:proofErr w:type="spellEnd"/>
      <w:r>
        <w:rPr>
          <w:rFonts w:cs="Arial"/>
        </w:rPr>
        <w:t xml:space="preserve"> </w:t>
      </w:r>
      <w:proofErr w:type="spellStart"/>
      <w:r>
        <w:rPr>
          <w:rFonts w:cs="Arial"/>
        </w:rPr>
        <w:t>agricole</w:t>
      </w:r>
      <w:proofErr w:type="spellEnd"/>
      <w:r>
        <w:rPr>
          <w:rFonts w:cs="Arial"/>
        </w:rPr>
        <w:t>“</w:t>
      </w:r>
      <w:r w:rsidRPr="000C40CC">
        <w:rPr>
          <w:rFonts w:cs="Arial"/>
        </w:rPr>
        <w:t xml:space="preserve"> vom 27. bis Juli 2015</w:t>
      </w:r>
      <w:r>
        <w:rPr>
          <w:rFonts w:cs="Arial"/>
        </w:rPr>
        <w:t xml:space="preserve"> </w:t>
      </w:r>
      <w:r w:rsidRPr="000C40CC">
        <w:rPr>
          <w:rFonts w:cs="Arial"/>
        </w:rPr>
        <w:t xml:space="preserve">in Kamerun </w:t>
      </w:r>
      <w:r>
        <w:rPr>
          <w:rFonts w:cs="Arial"/>
        </w:rPr>
        <w:t>vertreten</w:t>
      </w:r>
      <w:r w:rsidRPr="000C40CC">
        <w:rPr>
          <w:rFonts w:cs="Arial"/>
        </w:rPr>
        <w:t xml:space="preserve">. </w:t>
      </w:r>
      <w:r>
        <w:rPr>
          <w:rFonts w:cs="Arial"/>
        </w:rPr>
        <w:t>A</w:t>
      </w:r>
      <w:r w:rsidRPr="000C40CC">
        <w:rPr>
          <w:rFonts w:cs="Arial"/>
        </w:rPr>
        <w:t>uf dem Seminar stellte</w:t>
      </w:r>
      <w:r>
        <w:rPr>
          <w:rFonts w:cs="Arial"/>
        </w:rPr>
        <w:t xml:space="preserve"> er</w:t>
      </w:r>
      <w:r w:rsidRPr="000C40CC">
        <w:rPr>
          <w:rFonts w:cs="Arial"/>
        </w:rPr>
        <w:t xml:space="preserve"> das CPVO-Sortenrechtsystem vor.</w:t>
      </w:r>
    </w:p>
    <w:p w:rsidR="00AF7FF3" w:rsidRPr="000C40CC" w:rsidRDefault="00AF7FF3" w:rsidP="00AF7FF3">
      <w:pPr>
        <w:spacing w:after="240"/>
        <w:rPr>
          <w:rFonts w:cs="Arial"/>
          <w:i/>
          <w:u w:val="single"/>
        </w:rPr>
      </w:pPr>
      <w:r w:rsidRPr="000C40CC">
        <w:rPr>
          <w:rFonts w:cs="Arial"/>
          <w:i/>
          <w:u w:val="single"/>
        </w:rPr>
        <w:t>5.2 Besuche in und aus Nichtmitgliedstaaten und Organisationen</w:t>
      </w:r>
    </w:p>
    <w:p w:rsidR="00AF7FF3" w:rsidRPr="000C40CC" w:rsidRDefault="00AF7FF3" w:rsidP="00AF7FF3">
      <w:pPr>
        <w:spacing w:after="240"/>
        <w:rPr>
          <w:rFonts w:cs="Arial"/>
        </w:rPr>
      </w:pPr>
      <w:r w:rsidRPr="000C40CC">
        <w:rPr>
          <w:rFonts w:cs="Arial"/>
        </w:rPr>
        <w:t>Im Berichtszeitraum wurde dem CPVO die Ehre zuteil, folgende hochrangige Besuche zu empfangen:</w:t>
      </w:r>
    </w:p>
    <w:p w:rsidR="00AF7FF3" w:rsidRPr="000C40CC" w:rsidRDefault="00AF7FF3" w:rsidP="00EF3858">
      <w:pPr>
        <w:numPr>
          <w:ilvl w:val="0"/>
          <w:numId w:val="42"/>
        </w:numPr>
        <w:autoSpaceDE w:val="0"/>
        <w:autoSpaceDN w:val="0"/>
        <w:adjustRightInd w:val="0"/>
        <w:spacing w:after="100"/>
        <w:ind w:left="641" w:hanging="357"/>
        <w:rPr>
          <w:rFonts w:cs="Arial"/>
        </w:rPr>
      </w:pPr>
      <w:r>
        <w:rPr>
          <w:rFonts w:cs="Arial"/>
        </w:rPr>
        <w:t xml:space="preserve">eine </w:t>
      </w:r>
      <w:r w:rsidRPr="000C40CC">
        <w:rPr>
          <w:rFonts w:cs="Arial"/>
        </w:rPr>
        <w:t>Delegation von der OAPI (</w:t>
      </w:r>
      <w:r>
        <w:rPr>
          <w:rFonts w:cs="Arial"/>
        </w:rPr>
        <w:t>Afrikanische</w:t>
      </w:r>
      <w:r w:rsidRPr="000C40CC">
        <w:rPr>
          <w:rFonts w:cs="Arial"/>
        </w:rPr>
        <w:t xml:space="preserve"> Organisation für geistiges Eigentum</w:t>
      </w:r>
      <w:r>
        <w:rPr>
          <w:rFonts w:cs="Arial"/>
        </w:rPr>
        <w:t>)</w:t>
      </w:r>
      <w:r w:rsidRPr="000C40CC">
        <w:rPr>
          <w:rFonts w:cs="Arial"/>
        </w:rPr>
        <w:t xml:space="preserve"> am 18. Juni 2015;</w:t>
      </w:r>
    </w:p>
    <w:p w:rsidR="00AF7FF3" w:rsidRPr="000C40CC" w:rsidRDefault="00AF7FF3" w:rsidP="00EF3858">
      <w:pPr>
        <w:numPr>
          <w:ilvl w:val="0"/>
          <w:numId w:val="42"/>
        </w:numPr>
        <w:autoSpaceDE w:val="0"/>
        <w:autoSpaceDN w:val="0"/>
        <w:adjustRightInd w:val="0"/>
        <w:spacing w:after="240"/>
        <w:ind w:left="641" w:hanging="357"/>
        <w:rPr>
          <w:rFonts w:cs="Arial"/>
        </w:rPr>
      </w:pPr>
      <w:r>
        <w:rPr>
          <w:rFonts w:cs="Arial"/>
        </w:rPr>
        <w:t xml:space="preserve">eine </w:t>
      </w:r>
      <w:r w:rsidRPr="000C40CC">
        <w:rPr>
          <w:rFonts w:cs="Arial"/>
        </w:rPr>
        <w:t>Delegation vom Japan</w:t>
      </w:r>
      <w:r>
        <w:rPr>
          <w:rFonts w:cs="Arial"/>
        </w:rPr>
        <w:t>ischen</w:t>
      </w:r>
      <w:r w:rsidRPr="000C40CC">
        <w:rPr>
          <w:rFonts w:cs="Arial"/>
        </w:rPr>
        <w:t xml:space="preserve"> </w:t>
      </w:r>
      <w:r w:rsidRPr="00EF3858">
        <w:rPr>
          <w:rFonts w:cs="Arial"/>
        </w:rPr>
        <w:t xml:space="preserve">NTT Data Institute </w:t>
      </w:r>
      <w:proofErr w:type="spellStart"/>
      <w:r w:rsidRPr="00EF3858">
        <w:rPr>
          <w:rFonts w:cs="Arial"/>
        </w:rPr>
        <w:t>of</w:t>
      </w:r>
      <w:proofErr w:type="spellEnd"/>
      <w:r w:rsidRPr="00EF3858">
        <w:rPr>
          <w:rFonts w:cs="Arial"/>
        </w:rPr>
        <w:t xml:space="preserve"> Management Consulting</w:t>
      </w:r>
      <w:r w:rsidRPr="000C40CC">
        <w:rPr>
          <w:rFonts w:cs="Arial"/>
        </w:rPr>
        <w:t xml:space="preserve"> am 14. Oktober 2014.</w:t>
      </w:r>
    </w:p>
    <w:p w:rsidR="00AF7FF3" w:rsidRPr="000C40CC" w:rsidRDefault="00AF7FF3" w:rsidP="00AF7FF3">
      <w:pPr>
        <w:spacing w:after="240"/>
        <w:rPr>
          <w:rFonts w:cs="Arial"/>
          <w:i/>
          <w:u w:val="single"/>
        </w:rPr>
      </w:pPr>
      <w:r w:rsidRPr="000C40CC">
        <w:rPr>
          <w:rFonts w:cs="Arial"/>
          <w:i/>
          <w:u w:val="single"/>
        </w:rPr>
        <w:t>5.3 Teilnahme an internationalen Messen und Tagen der offenen Tür</w:t>
      </w:r>
    </w:p>
    <w:p w:rsidR="00AF7FF3" w:rsidRPr="000C40CC" w:rsidRDefault="00AF7FF3" w:rsidP="00AF7FF3">
      <w:pPr>
        <w:pStyle w:val="ListParagraph"/>
        <w:spacing w:after="240"/>
        <w:ind w:left="0" w:firstLine="0"/>
        <w:jc w:val="both"/>
        <w:rPr>
          <w:rFonts w:cs="Arial"/>
          <w:szCs w:val="20"/>
          <w:lang w:val="de-DE"/>
        </w:rPr>
      </w:pPr>
      <w:r w:rsidRPr="000C40CC">
        <w:rPr>
          <w:rFonts w:cs="Arial"/>
          <w:szCs w:val="20"/>
          <w:lang w:val="de-DE"/>
        </w:rPr>
        <w:t>Das CPVO betrachtet seine Teilnahme an internationalen Messen und Tagen der offenen Tür bei Prüfungsämtern als nützliches Mittel zur Förderung des</w:t>
      </w:r>
      <w:r>
        <w:rPr>
          <w:rFonts w:cs="Arial"/>
          <w:szCs w:val="20"/>
          <w:lang w:val="de-DE"/>
        </w:rPr>
        <w:t xml:space="preserve"> Systems des</w:t>
      </w:r>
      <w:r w:rsidRPr="000C40CC">
        <w:rPr>
          <w:rFonts w:cs="Arial"/>
          <w:szCs w:val="20"/>
          <w:lang w:val="de-DE"/>
        </w:rPr>
        <w:t xml:space="preserve"> gemeinschaftlichen Sortenschutzes, um direkten Kontakt mit Antragstellern zu haben und um Züchter</w:t>
      </w:r>
      <w:r>
        <w:rPr>
          <w:rFonts w:cs="Arial"/>
          <w:szCs w:val="20"/>
          <w:lang w:val="de-DE"/>
        </w:rPr>
        <w:t>n Informationen zu liefern. 2015</w:t>
      </w:r>
      <w:r w:rsidRPr="000C40CC">
        <w:rPr>
          <w:rFonts w:cs="Arial"/>
          <w:szCs w:val="20"/>
          <w:lang w:val="de-DE"/>
        </w:rPr>
        <w:t xml:space="preserve"> nahm das Büro an zwei Messen teil.</w:t>
      </w:r>
    </w:p>
    <w:p w:rsidR="00AF7FF3" w:rsidRPr="000C40CC" w:rsidRDefault="00AF7FF3" w:rsidP="00EF3858">
      <w:pPr>
        <w:numPr>
          <w:ilvl w:val="0"/>
          <w:numId w:val="42"/>
        </w:numPr>
        <w:autoSpaceDE w:val="0"/>
        <w:autoSpaceDN w:val="0"/>
        <w:adjustRightInd w:val="0"/>
        <w:spacing w:after="100"/>
        <w:ind w:left="641" w:hanging="357"/>
        <w:rPr>
          <w:rFonts w:cs="Arial"/>
        </w:rPr>
      </w:pPr>
      <w:r w:rsidRPr="000C40CC">
        <w:rPr>
          <w:rFonts w:cs="Arial"/>
        </w:rPr>
        <w:t>Im Januar 201</w:t>
      </w:r>
      <w:r>
        <w:rPr>
          <w:rFonts w:cs="Arial"/>
        </w:rPr>
        <w:t>5</w:t>
      </w:r>
      <w:r w:rsidRPr="000C40CC">
        <w:rPr>
          <w:rFonts w:cs="Arial"/>
        </w:rPr>
        <w:t xml:space="preserve"> nahm das Büro an der „IPM” in Essen, Deutschland, teil. Der Messestand wurde mit den deutschen Kollegen vom Bundessortenamt </w:t>
      </w:r>
      <w:r w:rsidRPr="00EF3858">
        <w:rPr>
          <w:rFonts w:cs="Arial"/>
        </w:rPr>
        <w:t xml:space="preserve">(DE), </w:t>
      </w:r>
      <w:proofErr w:type="spellStart"/>
      <w:r w:rsidRPr="00EF3858">
        <w:rPr>
          <w:rFonts w:cs="Arial"/>
        </w:rPr>
        <w:t>Naktuinbouw</w:t>
      </w:r>
      <w:proofErr w:type="spellEnd"/>
      <w:r w:rsidRPr="00EF3858">
        <w:rPr>
          <w:rFonts w:cs="Arial"/>
        </w:rPr>
        <w:t xml:space="preserve"> (NL) und NIAB (UK) </w:t>
      </w:r>
      <w:r w:rsidRPr="000C40CC">
        <w:rPr>
          <w:rFonts w:cs="Arial"/>
        </w:rPr>
        <w:t>geteilt. Der Schwerpunkt l</w:t>
      </w:r>
      <w:r>
        <w:rPr>
          <w:rFonts w:cs="Arial"/>
        </w:rPr>
        <w:t>ag</w:t>
      </w:r>
      <w:r w:rsidRPr="000C40CC">
        <w:rPr>
          <w:rFonts w:cs="Arial"/>
        </w:rPr>
        <w:t xml:space="preserve"> auf Zierpflanzen.</w:t>
      </w:r>
    </w:p>
    <w:p w:rsidR="00AF7FF3" w:rsidRPr="000C40CC" w:rsidRDefault="00AF7FF3" w:rsidP="00EF3858">
      <w:pPr>
        <w:numPr>
          <w:ilvl w:val="0"/>
          <w:numId w:val="42"/>
        </w:numPr>
        <w:autoSpaceDE w:val="0"/>
        <w:autoSpaceDN w:val="0"/>
        <w:adjustRightInd w:val="0"/>
        <w:spacing w:after="240"/>
        <w:ind w:left="641" w:hanging="357"/>
        <w:rPr>
          <w:rFonts w:cs="Arial"/>
        </w:rPr>
      </w:pPr>
      <w:r w:rsidRPr="000C40CC">
        <w:rPr>
          <w:rFonts w:cs="Arial"/>
        </w:rPr>
        <w:t xml:space="preserve">Der „Salon du </w:t>
      </w:r>
      <w:proofErr w:type="spellStart"/>
      <w:r w:rsidRPr="000C40CC">
        <w:rPr>
          <w:rFonts w:cs="Arial"/>
        </w:rPr>
        <w:t>Végétal</w:t>
      </w:r>
      <w:proofErr w:type="spellEnd"/>
      <w:r w:rsidRPr="000C40CC">
        <w:rPr>
          <w:rFonts w:cs="Arial"/>
        </w:rPr>
        <w:t>” fand im Februar 201</w:t>
      </w:r>
      <w:r>
        <w:rPr>
          <w:rFonts w:cs="Arial"/>
        </w:rPr>
        <w:t xml:space="preserve">5 </w:t>
      </w:r>
      <w:r w:rsidRPr="000C40CC">
        <w:rPr>
          <w:rFonts w:cs="Arial"/>
        </w:rPr>
        <w:t>in Angers, Frankreich, statt. Das CPVO nimmt zusammen mit GEVES</w:t>
      </w:r>
      <w:r>
        <w:rPr>
          <w:rFonts w:cs="Arial"/>
        </w:rPr>
        <w:t xml:space="preserve"> (FR) </w:t>
      </w:r>
      <w:r w:rsidRPr="000C40CC">
        <w:rPr>
          <w:rFonts w:cs="Arial"/>
        </w:rPr>
        <w:t>regelmäßig an dieser in erster Linie für Zierpflanzenzüchter organisierten Messe teil.</w:t>
      </w:r>
    </w:p>
    <w:p w:rsidR="00AF7FF3" w:rsidRPr="000C40CC" w:rsidRDefault="00AF7FF3" w:rsidP="00AF7FF3">
      <w:pPr>
        <w:autoSpaceDE w:val="0"/>
        <w:autoSpaceDN w:val="0"/>
        <w:adjustRightInd w:val="0"/>
        <w:spacing w:after="240"/>
        <w:rPr>
          <w:rFonts w:cs="Arial"/>
        </w:rPr>
      </w:pPr>
      <w:r w:rsidRPr="00347219">
        <w:rPr>
          <w:rFonts w:cs="Arial"/>
          <w:lang w:val="es-ES_tradnl"/>
        </w:rPr>
        <w:t xml:space="preserve">Das CPVO </w:t>
      </w:r>
      <w:proofErr w:type="spellStart"/>
      <w:r w:rsidRPr="00347219">
        <w:rPr>
          <w:rFonts w:cs="Arial"/>
          <w:lang w:val="es-ES_tradnl"/>
        </w:rPr>
        <w:t>organisierte</w:t>
      </w:r>
      <w:proofErr w:type="spellEnd"/>
      <w:r w:rsidRPr="00347219">
        <w:rPr>
          <w:rFonts w:cs="Arial"/>
          <w:lang w:val="es-ES_tradnl"/>
        </w:rPr>
        <w:t xml:space="preserve"> in </w:t>
      </w:r>
      <w:proofErr w:type="spellStart"/>
      <w:r w:rsidRPr="00347219">
        <w:rPr>
          <w:rFonts w:cs="Arial"/>
          <w:lang w:val="es-ES_tradnl"/>
        </w:rPr>
        <w:t>Zusammenarbeit</w:t>
      </w:r>
      <w:proofErr w:type="spellEnd"/>
      <w:r w:rsidRPr="00347219">
        <w:rPr>
          <w:rFonts w:cs="Arial"/>
          <w:lang w:val="es-ES_tradnl"/>
        </w:rPr>
        <w:t xml:space="preserve"> </w:t>
      </w:r>
      <w:proofErr w:type="spellStart"/>
      <w:r w:rsidRPr="00347219">
        <w:rPr>
          <w:rFonts w:cs="Arial"/>
          <w:lang w:val="es-ES_tradnl"/>
        </w:rPr>
        <w:t>mit</w:t>
      </w:r>
      <w:proofErr w:type="spellEnd"/>
      <w:r w:rsidRPr="00347219">
        <w:rPr>
          <w:rFonts w:cs="Arial"/>
          <w:lang w:val="es-ES_tradnl"/>
        </w:rPr>
        <w:t xml:space="preserve"> </w:t>
      </w:r>
      <w:proofErr w:type="spellStart"/>
      <w:r w:rsidRPr="00347219">
        <w:rPr>
          <w:rFonts w:cs="Arial"/>
          <w:lang w:val="es-ES_tradnl"/>
        </w:rPr>
        <w:t>dem</w:t>
      </w:r>
      <w:proofErr w:type="spellEnd"/>
      <w:r w:rsidRPr="00347219">
        <w:rPr>
          <w:rFonts w:cs="Arial"/>
          <w:lang w:val="es-ES_tradnl"/>
        </w:rPr>
        <w:t xml:space="preserve"> OEVV (Oficina Española de Variedades Vegetales) </w:t>
      </w:r>
      <w:proofErr w:type="spellStart"/>
      <w:r w:rsidRPr="00347219">
        <w:rPr>
          <w:rFonts w:cs="Arial"/>
          <w:lang w:val="es-ES_tradnl"/>
        </w:rPr>
        <w:t>und</w:t>
      </w:r>
      <w:proofErr w:type="spellEnd"/>
      <w:r w:rsidRPr="00347219">
        <w:rPr>
          <w:rFonts w:cs="Arial"/>
          <w:lang w:val="es-ES_tradnl"/>
        </w:rPr>
        <w:t xml:space="preserve"> </w:t>
      </w:r>
      <w:proofErr w:type="spellStart"/>
      <w:r w:rsidRPr="00347219">
        <w:rPr>
          <w:rFonts w:cs="Arial"/>
          <w:lang w:val="es-ES_tradnl"/>
        </w:rPr>
        <w:t>dem</w:t>
      </w:r>
      <w:proofErr w:type="spellEnd"/>
      <w:r w:rsidRPr="00347219">
        <w:rPr>
          <w:rFonts w:cs="Arial"/>
          <w:lang w:val="es-ES_tradnl"/>
        </w:rPr>
        <w:t xml:space="preserve"> INIA (Instituto Nacional de Investigación y Tecnología Agraria y Alimentaria) am 21. </w:t>
      </w:r>
      <w:r w:rsidRPr="000C40CC">
        <w:rPr>
          <w:rFonts w:cs="Arial"/>
        </w:rPr>
        <w:t>Oktober 2014 in Valencia einen Tag</w:t>
      </w:r>
      <w:r>
        <w:rPr>
          <w:rFonts w:cs="Arial"/>
        </w:rPr>
        <w:t xml:space="preserve"> der offenen Tür</w:t>
      </w:r>
      <w:r w:rsidRPr="000C40CC">
        <w:rPr>
          <w:rFonts w:cs="Arial"/>
        </w:rPr>
        <w:t xml:space="preserve"> für Gemüsesorten. Es </w:t>
      </w:r>
      <w:r>
        <w:rPr>
          <w:rFonts w:cs="Arial"/>
        </w:rPr>
        <w:t>nahmen</w:t>
      </w:r>
      <w:r w:rsidRPr="000C40CC">
        <w:rPr>
          <w:rFonts w:cs="Arial"/>
        </w:rPr>
        <w:t xml:space="preserve"> Züchter, Antragsteller, Verfahrensvertreter, Nutzer oder Prüfer von </w:t>
      </w:r>
      <w:r>
        <w:rPr>
          <w:rFonts w:cs="Arial"/>
        </w:rPr>
        <w:t>Gemüsearten</w:t>
      </w:r>
      <w:r w:rsidRPr="000C40CC">
        <w:rPr>
          <w:rFonts w:cs="Arial"/>
        </w:rPr>
        <w:t xml:space="preserve">, die durch einen nationalen oder gemeinschaftlichen Sortentitel geschützt sind und/oder im offiziellen französischen Katalog für </w:t>
      </w:r>
      <w:r>
        <w:rPr>
          <w:rFonts w:cs="Arial"/>
        </w:rPr>
        <w:t>Gemüse</w:t>
      </w:r>
      <w:r w:rsidRPr="000C40CC">
        <w:rPr>
          <w:rFonts w:cs="Arial"/>
        </w:rPr>
        <w:t>sorten und -ar</w:t>
      </w:r>
      <w:r>
        <w:rPr>
          <w:rFonts w:cs="Arial"/>
        </w:rPr>
        <w:t>ten eingetragen sind, teil</w:t>
      </w:r>
      <w:r w:rsidRPr="000C40CC">
        <w:rPr>
          <w:rFonts w:cs="Arial"/>
        </w:rPr>
        <w:t>. Es fanden lebhafte Erörterungen um die acht von den ausrichtenden Organisationen und dem Europäischen Saatgutverband (ESA) gehaltenen Referaten statt, die den Schwerpunkt auf aktuelle Fragen bezüglich der DUS-Prüfung für Gemüsearten und Züchterrechte legten. Am Nachmittag fand ein Besuch von spanischen Prüfungseinrichtungen</w:t>
      </w:r>
      <w:r>
        <w:rPr>
          <w:rFonts w:cs="Arial"/>
        </w:rPr>
        <w:t xml:space="preserve"> für Gemüsearten</w:t>
      </w:r>
      <w:r w:rsidRPr="000C40CC">
        <w:rPr>
          <w:rFonts w:cs="Arial"/>
        </w:rPr>
        <w:t xml:space="preserve"> statt, wo Prüfer die Komplexität der DUS-Prüfung </w:t>
      </w:r>
      <w:r>
        <w:rPr>
          <w:rFonts w:cs="Arial"/>
        </w:rPr>
        <w:t>von Salatpflanzen unt</w:t>
      </w:r>
      <w:r w:rsidRPr="000C40CC">
        <w:rPr>
          <w:rFonts w:cs="Arial"/>
        </w:rPr>
        <w:t>er ihren lokalen Bedingungen</w:t>
      </w:r>
      <w:r>
        <w:rPr>
          <w:rFonts w:cs="Arial"/>
        </w:rPr>
        <w:t xml:space="preserve"> </w:t>
      </w:r>
      <w:r w:rsidRPr="000C40CC">
        <w:rPr>
          <w:rFonts w:cs="Arial"/>
        </w:rPr>
        <w:t xml:space="preserve">erläuterten. Am </w:t>
      </w:r>
      <w:proofErr w:type="spellStart"/>
      <w:r w:rsidRPr="000C40CC">
        <w:rPr>
          <w:rFonts w:cs="Arial"/>
        </w:rPr>
        <w:t>Schluß</w:t>
      </w:r>
      <w:proofErr w:type="spellEnd"/>
      <w:r w:rsidRPr="000C40CC">
        <w:rPr>
          <w:rFonts w:cs="Arial"/>
        </w:rPr>
        <w:t xml:space="preserve"> der Veranstaltung wurde ein Fazit </w:t>
      </w:r>
      <w:r>
        <w:rPr>
          <w:rFonts w:cs="Arial"/>
        </w:rPr>
        <w:t xml:space="preserve">darüber </w:t>
      </w:r>
      <w:r w:rsidRPr="000C40CC">
        <w:rPr>
          <w:rFonts w:cs="Arial"/>
        </w:rPr>
        <w:t xml:space="preserve">gezogen, wie auf dem Gemüsesektor künftig </w:t>
      </w:r>
      <w:r>
        <w:rPr>
          <w:rFonts w:cs="Arial"/>
        </w:rPr>
        <w:t xml:space="preserve">Verbesserungen </w:t>
      </w:r>
      <w:r w:rsidRPr="000C40CC">
        <w:rPr>
          <w:rFonts w:cs="Arial"/>
        </w:rPr>
        <w:t>erreich</w:t>
      </w:r>
      <w:r>
        <w:rPr>
          <w:rFonts w:cs="Arial"/>
        </w:rPr>
        <w:t>t</w:t>
      </w:r>
      <w:r w:rsidRPr="000C40CC">
        <w:rPr>
          <w:rFonts w:cs="Arial"/>
        </w:rPr>
        <w:t xml:space="preserve"> werden können.</w:t>
      </w:r>
    </w:p>
    <w:p w:rsidR="00AF7FF3" w:rsidRPr="000C40CC" w:rsidRDefault="00AF7FF3" w:rsidP="00AF7FF3">
      <w:pPr>
        <w:autoSpaceDE w:val="0"/>
        <w:autoSpaceDN w:val="0"/>
        <w:adjustRightInd w:val="0"/>
        <w:spacing w:after="240"/>
        <w:rPr>
          <w:rFonts w:cs="Arial"/>
        </w:rPr>
      </w:pPr>
      <w:r w:rsidRPr="000C40CC">
        <w:rPr>
          <w:rFonts w:cs="Arial"/>
        </w:rPr>
        <w:t>Am 15. Oktober 2014 nahm das CPVO an einem vom Bundessortenamt in Hannover (Deutschland) für Züchter von Besenheide-Sorten organisiert</w:t>
      </w:r>
      <w:r>
        <w:rPr>
          <w:rFonts w:cs="Arial"/>
        </w:rPr>
        <w:t>en</w:t>
      </w:r>
      <w:r w:rsidRPr="000C40CC">
        <w:rPr>
          <w:rFonts w:cs="Arial"/>
        </w:rPr>
        <w:t xml:space="preserve"> Tag der offenen Tür teil. Der Tag der offenen Tür bot Züchtern die Gelegenheit, sich mit der Durchführung der technischen Prüfung sowie auch mit dem Bundessortenamt und dem CPVO vertraut zu machen. Auf die Vorträge und Erörterungen folgte ein Besuch bei der Anbauprüfung. An der Veranstaltung nahmen etwa 30 Teilnehmer teil; die meisten von ihnen waren deutsche Züchter.</w:t>
      </w:r>
    </w:p>
    <w:p w:rsidR="00AF7FF3" w:rsidRPr="000C40CC" w:rsidRDefault="00AF7FF3" w:rsidP="00AF7FF3">
      <w:pPr>
        <w:spacing w:after="240"/>
        <w:rPr>
          <w:rFonts w:cs="Arial"/>
          <w:i/>
          <w:u w:val="single"/>
        </w:rPr>
      </w:pPr>
      <w:r w:rsidRPr="000C40CC">
        <w:rPr>
          <w:rFonts w:cs="Arial"/>
          <w:i/>
          <w:u w:val="single"/>
        </w:rPr>
        <w:t>5.4 Das Multi-</w:t>
      </w:r>
      <w:proofErr w:type="spellStart"/>
      <w:r w:rsidRPr="000C40CC">
        <w:rPr>
          <w:rFonts w:cs="Arial"/>
          <w:i/>
          <w:u w:val="single"/>
        </w:rPr>
        <w:t>Beneficiary</w:t>
      </w:r>
      <w:proofErr w:type="spellEnd"/>
      <w:r w:rsidRPr="000C40CC">
        <w:rPr>
          <w:rFonts w:cs="Arial"/>
          <w:i/>
          <w:u w:val="single"/>
        </w:rPr>
        <w:t xml:space="preserve">-Programm (Mehrempfängerprogramm) über die Teilnahme der EU-Beitrittskandidaten am gemeinschaftlichen Sortenrechtssystem der EU </w:t>
      </w:r>
    </w:p>
    <w:p w:rsidR="00AF7FF3" w:rsidRPr="00830F3A" w:rsidRDefault="00AF7FF3" w:rsidP="00AF7FF3">
      <w:pPr>
        <w:autoSpaceDE w:val="0"/>
        <w:autoSpaceDN w:val="0"/>
        <w:adjustRightInd w:val="0"/>
        <w:spacing w:after="240"/>
        <w:rPr>
          <w:rFonts w:cs="Arial"/>
        </w:rPr>
      </w:pPr>
      <w:r w:rsidRPr="000C40CC">
        <w:rPr>
          <w:rFonts w:cs="Arial"/>
        </w:rPr>
        <w:t>Seit 2006 nimmt das CPVO am sogenannten „Multi-</w:t>
      </w:r>
      <w:proofErr w:type="spellStart"/>
      <w:r w:rsidRPr="000C40CC">
        <w:rPr>
          <w:rFonts w:cs="Arial"/>
        </w:rPr>
        <w:t>Beneficiary</w:t>
      </w:r>
      <w:proofErr w:type="spellEnd"/>
      <w:r>
        <w:rPr>
          <w:rFonts w:cs="Arial"/>
        </w:rPr>
        <w:t>“-</w:t>
      </w:r>
      <w:r w:rsidRPr="000C40CC">
        <w:rPr>
          <w:rFonts w:cs="Arial"/>
        </w:rPr>
        <w:t>Program</w:t>
      </w:r>
      <w:r>
        <w:rPr>
          <w:rFonts w:cs="Arial"/>
        </w:rPr>
        <w:t>m</w:t>
      </w:r>
      <w:r w:rsidRPr="000C40CC">
        <w:rPr>
          <w:rFonts w:cs="Arial"/>
        </w:rPr>
        <w:t xml:space="preserve"> </w:t>
      </w:r>
      <w:r>
        <w:rPr>
          <w:rFonts w:cs="Arial"/>
        </w:rPr>
        <w:t xml:space="preserve">der EU </w:t>
      </w:r>
      <w:r w:rsidRPr="000C40CC">
        <w:rPr>
          <w:rFonts w:cs="Arial"/>
        </w:rPr>
        <w:t xml:space="preserve">teil, bei dem es um die Vorbereitung von Beitrittsländern auf den Beitritt zur Europäischen Union geht. Dieses Programm war ursprünglich für die Türkei und Kroatien eingerichtet worden. 2008 wurde es auf die </w:t>
      </w:r>
      <w:r>
        <w:rPr>
          <w:rFonts w:cs="Arial"/>
        </w:rPr>
        <w:t>E</w:t>
      </w:r>
      <w:r w:rsidRPr="000C40CC">
        <w:rPr>
          <w:rFonts w:cs="Arial"/>
        </w:rPr>
        <w:t xml:space="preserve">hemalige </w:t>
      </w:r>
      <w:r>
        <w:rPr>
          <w:rFonts w:cs="Arial"/>
        </w:rPr>
        <w:t>J</w:t>
      </w:r>
      <w:r w:rsidRPr="000C40CC">
        <w:rPr>
          <w:rFonts w:cs="Arial"/>
        </w:rPr>
        <w:t xml:space="preserve">ugoslawische Republik Mazedonien ausgeweitet und 2009 schließlich für alle Länder der westlichen Balkanregion geöffnet. Albanien und Serbien meldeten ihr Interesse an einer Teilnahme an den Tätigkeiten </w:t>
      </w:r>
      <w:r w:rsidRPr="00830F3A">
        <w:rPr>
          <w:rFonts w:cs="Arial"/>
        </w:rPr>
        <w:t xml:space="preserve">des Programms im Jahr 2009 an; Bosnien-Herzegowina im Jahr 2010. Der Kosovo meldete auch sein Interesse an einer Teilnahme nach der UNSC-Resolution 1244/99 im Jahr 2014. Im Rahmen dieses Programms wurden Vertreter der nationalen Sortenschutzbehörden zur Teilnahme an den regelmäßig beim CPVO stattfindenden Pflanzensachverständigentagungen eingeladen. Zudem wurden Sachverständige aus den Beitrittsländern bei den bereits im Auftrag des CPVO arbeitenden Prüfungsämtern geschult. Zusätzlich schulten EU-Sachverständige Mitarbeiter in den Beitrittsländern. </w:t>
      </w:r>
    </w:p>
    <w:p w:rsidR="00AF7FF3" w:rsidRPr="00830F3A" w:rsidRDefault="00AF7FF3" w:rsidP="00AF7FF3">
      <w:pPr>
        <w:autoSpaceDE w:val="0"/>
        <w:autoSpaceDN w:val="0"/>
        <w:adjustRightInd w:val="0"/>
        <w:spacing w:after="240"/>
        <w:rPr>
          <w:rFonts w:cs="Arial"/>
        </w:rPr>
      </w:pPr>
      <w:r w:rsidRPr="00830F3A">
        <w:rPr>
          <w:rFonts w:cs="Arial"/>
        </w:rPr>
        <w:t xml:space="preserve">Nur einige der durchgeführten Tätigkeiten fallen in den Berichtszeitraum: Am 2. Oktober 2014 veranstaltete das CPVO eine Arbeitstagung über Sortenbezeichnungen in Zagreb, an der technische und administrative Mitarbeiter der kroatischen Sortenrechtsbehörden teilnahmen. </w:t>
      </w:r>
    </w:p>
    <w:p w:rsidR="00AF7FF3" w:rsidRPr="000C40CC" w:rsidRDefault="00AF7FF3" w:rsidP="00AF7FF3">
      <w:pPr>
        <w:autoSpaceDE w:val="0"/>
        <w:autoSpaceDN w:val="0"/>
        <w:adjustRightInd w:val="0"/>
        <w:spacing w:after="240"/>
        <w:rPr>
          <w:rFonts w:cs="Arial"/>
        </w:rPr>
      </w:pPr>
      <w:r w:rsidRPr="00830F3A">
        <w:rPr>
          <w:rFonts w:cs="Arial"/>
        </w:rPr>
        <w:t>Im Oktober 2014 nahmen Teilnehmer aus Kroatien, der Ehemaligen Jugoslawischen Republik Mazedonien, Serbien und der Türkei an der Tagung von Sachverständigen für Landwirtschaft in Angers teil. Der Kosovo nahm auch daran teil. Im gleichen Monat hielten die Sachverständigen für Gemüsearten ihre Jahrestagung in Valencia ab, auf die ein Tag der offenen Tür in der spanischen Prüfungsstation folgte, an der Sachverständige aus Albanien, der Ehemaligen Jugoslawischen Republik Mazedonien, Serbien und der Türkei teilnahmen. Der Kosovo nahm auch daran teil.</w:t>
      </w:r>
    </w:p>
    <w:p w:rsidR="00AF7FF3" w:rsidRPr="000C40CC" w:rsidRDefault="00AF7FF3" w:rsidP="00AF7FF3">
      <w:pPr>
        <w:autoSpaceDE w:val="0"/>
        <w:autoSpaceDN w:val="0"/>
        <w:adjustRightInd w:val="0"/>
        <w:spacing w:after="240"/>
        <w:rPr>
          <w:rFonts w:cs="Arial"/>
        </w:rPr>
      </w:pPr>
      <w:r w:rsidRPr="000C40CC">
        <w:rPr>
          <w:rFonts w:cs="Arial"/>
        </w:rPr>
        <w:t xml:space="preserve">Ebenso im Oktober 2014 organisierte das CPVO in Zusammenarbeit mit dem Deutschen Bundessortenamt eine Arbeitstagung </w:t>
      </w:r>
      <w:r>
        <w:rPr>
          <w:rFonts w:cs="Arial"/>
        </w:rPr>
        <w:t>über die Zusammenarbeit des</w:t>
      </w:r>
      <w:r w:rsidRPr="000C40CC">
        <w:rPr>
          <w:rFonts w:cs="Arial"/>
        </w:rPr>
        <w:t xml:space="preserve"> CPVO mit Prüfungsämtern bei der Bearbeitung von Anträgen </w:t>
      </w:r>
      <w:r>
        <w:rPr>
          <w:rFonts w:cs="Arial"/>
        </w:rPr>
        <w:t>sowie</w:t>
      </w:r>
      <w:r w:rsidRPr="000C40CC">
        <w:rPr>
          <w:rFonts w:cs="Arial"/>
        </w:rPr>
        <w:t xml:space="preserve"> </w:t>
      </w:r>
      <w:r>
        <w:rPr>
          <w:rFonts w:cs="Arial"/>
        </w:rPr>
        <w:t>die</w:t>
      </w:r>
      <w:r w:rsidRPr="000C40CC">
        <w:rPr>
          <w:rFonts w:cs="Arial"/>
        </w:rPr>
        <w:t xml:space="preserve"> Pflichten und Strukturen eines Prüfungsamtes.</w:t>
      </w:r>
    </w:p>
    <w:p w:rsidR="00AF7FF3" w:rsidRPr="000C40CC" w:rsidRDefault="00AF7FF3" w:rsidP="00AF7FF3">
      <w:pPr>
        <w:autoSpaceDE w:val="0"/>
        <w:autoSpaceDN w:val="0"/>
        <w:adjustRightInd w:val="0"/>
        <w:spacing w:after="240"/>
        <w:rPr>
          <w:rFonts w:cs="Arial"/>
        </w:rPr>
      </w:pPr>
      <w:r w:rsidRPr="000C40CC">
        <w:rPr>
          <w:rFonts w:cs="Arial"/>
        </w:rPr>
        <w:t xml:space="preserve">Ende Oktober 2014 wurde eine zweitätige Arbeitstagung über die </w:t>
      </w:r>
      <w:r w:rsidRPr="000C40CC">
        <w:rPr>
          <w:szCs w:val="22"/>
        </w:rPr>
        <w:t>Umsetzung von und Sensibilisierung für Sortenschutz</w:t>
      </w:r>
      <w:r w:rsidRPr="000C40CC">
        <w:rPr>
          <w:rFonts w:cs="Arial"/>
        </w:rPr>
        <w:t xml:space="preserve"> in der Ehemaligen Jugoslawischen Republik Mazedonien abgehalten. Der Teil der Arbeitstagung</w:t>
      </w:r>
      <w:r>
        <w:rPr>
          <w:rFonts w:cs="Arial"/>
        </w:rPr>
        <w:t xml:space="preserve"> </w:t>
      </w:r>
      <w:r w:rsidRPr="000C40CC">
        <w:rPr>
          <w:rFonts w:cs="Arial"/>
        </w:rPr>
        <w:t>über Umsetzung wurde für die</w:t>
      </w:r>
      <w:r>
        <w:rPr>
          <w:rFonts w:cs="Arial"/>
        </w:rPr>
        <w:t xml:space="preserve"> m</w:t>
      </w:r>
      <w:r w:rsidRPr="000C40CC">
        <w:rPr>
          <w:rFonts w:cs="Arial"/>
        </w:rPr>
        <w:t xml:space="preserve">azedonischen Behörden abgehalten und der Teil über Sensibilisierung richtete sich an lokale Züchter und Produzenten. Die Arbeitstagung wurde in Zusammenarbeit mit </w:t>
      </w:r>
      <w:r>
        <w:rPr>
          <w:rFonts w:cs="Arial"/>
        </w:rPr>
        <w:t xml:space="preserve">der </w:t>
      </w:r>
      <w:r w:rsidRPr="000C40CC">
        <w:rPr>
          <w:rFonts w:cs="Arial"/>
        </w:rPr>
        <w:t>UPOV, den tschechischen und den deutschen Behörden für Sortenrecht</w:t>
      </w:r>
      <w:r>
        <w:rPr>
          <w:rFonts w:cs="Arial"/>
        </w:rPr>
        <w:t xml:space="preserve"> </w:t>
      </w:r>
      <w:r w:rsidRPr="000C40CC">
        <w:rPr>
          <w:rFonts w:cs="Arial"/>
        </w:rPr>
        <w:t xml:space="preserve">durchgeführt. </w:t>
      </w:r>
    </w:p>
    <w:p w:rsidR="00AF7FF3" w:rsidRPr="000C40CC" w:rsidRDefault="00AF7FF3" w:rsidP="00AF7FF3">
      <w:pPr>
        <w:autoSpaceDE w:val="0"/>
        <w:autoSpaceDN w:val="0"/>
        <w:adjustRightInd w:val="0"/>
        <w:spacing w:after="240"/>
        <w:rPr>
          <w:rFonts w:cs="Arial"/>
        </w:rPr>
      </w:pPr>
      <w:r w:rsidRPr="000C40CC">
        <w:rPr>
          <w:rFonts w:cs="Arial"/>
        </w:rPr>
        <w:t>Das Multi-</w:t>
      </w:r>
      <w:proofErr w:type="spellStart"/>
      <w:r w:rsidRPr="000C40CC">
        <w:rPr>
          <w:rFonts w:cs="Arial"/>
        </w:rPr>
        <w:t>Beneficiary</w:t>
      </w:r>
      <w:proofErr w:type="spellEnd"/>
      <w:r>
        <w:rPr>
          <w:rFonts w:cs="Arial"/>
        </w:rPr>
        <w:t>-</w:t>
      </w:r>
      <w:r w:rsidRPr="000C40CC">
        <w:rPr>
          <w:rFonts w:cs="Arial"/>
        </w:rPr>
        <w:t>Program</w:t>
      </w:r>
      <w:r>
        <w:rPr>
          <w:rFonts w:cs="Arial"/>
        </w:rPr>
        <w:t>m</w:t>
      </w:r>
      <w:r w:rsidRPr="000C40CC">
        <w:rPr>
          <w:rFonts w:cs="Arial"/>
        </w:rPr>
        <w:t xml:space="preserve"> endete im November 2014; derzeit ist kein neues Programm vorgesehen. </w:t>
      </w:r>
    </w:p>
    <w:p w:rsidR="00AF7FF3" w:rsidRPr="000C40CC" w:rsidRDefault="00AF7FF3" w:rsidP="00AF7FF3">
      <w:pPr>
        <w:spacing w:after="240"/>
        <w:rPr>
          <w:rFonts w:cs="Arial"/>
          <w:i/>
          <w:u w:val="single"/>
        </w:rPr>
      </w:pPr>
      <w:r w:rsidRPr="000C40CC">
        <w:rPr>
          <w:rFonts w:cs="Arial"/>
          <w:i/>
          <w:u w:val="single"/>
        </w:rPr>
        <w:t>5.5 IT-Entwicklungen</w:t>
      </w:r>
    </w:p>
    <w:p w:rsidR="00AF7FF3" w:rsidRPr="000C40CC" w:rsidRDefault="00AF7FF3" w:rsidP="00AF7FF3">
      <w:pPr>
        <w:autoSpaceDE w:val="0"/>
        <w:autoSpaceDN w:val="0"/>
        <w:adjustRightInd w:val="0"/>
        <w:spacing w:after="240"/>
        <w:rPr>
          <w:rFonts w:cs="Arial"/>
        </w:rPr>
      </w:pPr>
      <w:bookmarkStart w:id="5" w:name="content"/>
      <w:bookmarkEnd w:id="5"/>
      <w:r w:rsidRPr="000C40CC">
        <w:rPr>
          <w:rFonts w:cs="Arial"/>
        </w:rPr>
        <w:t>Das System</w:t>
      </w:r>
      <w:r w:rsidRPr="0021544B">
        <w:rPr>
          <w:rFonts w:cs="Arial"/>
        </w:rPr>
        <w:t xml:space="preserve"> </w:t>
      </w:r>
      <w:r w:rsidRPr="000C40CC">
        <w:rPr>
          <w:rFonts w:cs="Arial"/>
        </w:rPr>
        <w:t xml:space="preserve">des </w:t>
      </w:r>
      <w:r>
        <w:rPr>
          <w:rFonts w:cs="Arial"/>
        </w:rPr>
        <w:t>CPVO</w:t>
      </w:r>
      <w:r w:rsidRPr="000C40CC">
        <w:rPr>
          <w:rFonts w:cs="Arial"/>
        </w:rPr>
        <w:t xml:space="preserve"> für online-Antragstellung hat sich im Laufe der Zeit weiterentwickelt, wobei das Interesse </w:t>
      </w:r>
      <w:r>
        <w:rPr>
          <w:rFonts w:cs="Arial"/>
        </w:rPr>
        <w:t xml:space="preserve">seitens der Antragsteller </w:t>
      </w:r>
      <w:r w:rsidRPr="000C40CC">
        <w:rPr>
          <w:rFonts w:cs="Arial"/>
        </w:rPr>
        <w:t xml:space="preserve">infolge zahlreicher Werbemaßnahmen des </w:t>
      </w:r>
      <w:r>
        <w:rPr>
          <w:rFonts w:cs="Arial"/>
        </w:rPr>
        <w:t>CPVO</w:t>
      </w:r>
      <w:r w:rsidRPr="000C40CC">
        <w:rPr>
          <w:rFonts w:cs="Arial"/>
        </w:rPr>
        <w:t xml:space="preserve"> zunahm. Durch dieses System konnten Fehler von Antragstellern reduziert werden. Nahezu 80% der Anträge gehen nun online ein. Der Verwaltungsrat des CPVO billigte den Grundsatz einer reduzierten Anmeldegebühr für </w:t>
      </w:r>
      <w:r>
        <w:rPr>
          <w:rFonts w:cs="Arial"/>
        </w:rPr>
        <w:t>Antragsteller</w:t>
      </w:r>
      <w:r w:rsidRPr="000C40CC">
        <w:rPr>
          <w:rFonts w:cs="Arial"/>
        </w:rPr>
        <w:t>, die ihre Anträge online einreichen</w:t>
      </w:r>
      <w:r>
        <w:rPr>
          <w:rFonts w:cs="Arial"/>
        </w:rPr>
        <w:t>, ab</w:t>
      </w:r>
      <w:r w:rsidRPr="000C40CC">
        <w:rPr>
          <w:rFonts w:cs="Arial"/>
        </w:rPr>
        <w:t xml:space="preserve"> dem 1.1.2016.</w:t>
      </w:r>
    </w:p>
    <w:p w:rsidR="00AF7FF3" w:rsidRPr="000C40CC" w:rsidRDefault="00AF7FF3" w:rsidP="00AF7FF3">
      <w:pPr>
        <w:spacing w:after="240"/>
        <w:rPr>
          <w:rFonts w:cs="Arial"/>
        </w:rPr>
      </w:pPr>
      <w:r w:rsidRPr="000C40CC">
        <w:rPr>
          <w:rFonts w:cs="Arial"/>
        </w:rPr>
        <w:t>Die P</w:t>
      </w:r>
      <w:r>
        <w:rPr>
          <w:rFonts w:cs="Arial"/>
        </w:rPr>
        <w:t>ilot</w:t>
      </w:r>
      <w:r w:rsidRPr="000C40CC">
        <w:rPr>
          <w:rFonts w:cs="Arial"/>
        </w:rPr>
        <w:t>phase für das B2B-Pro</w:t>
      </w:r>
      <w:r>
        <w:rPr>
          <w:rFonts w:cs="Arial"/>
        </w:rPr>
        <w:t>jekt für den elektronischen B2B</w:t>
      </w:r>
      <w:r w:rsidRPr="000C40CC">
        <w:rPr>
          <w:rFonts w:cs="Arial"/>
        </w:rPr>
        <w:t>(business-</w:t>
      </w:r>
      <w:proofErr w:type="spellStart"/>
      <w:r w:rsidRPr="000C40CC">
        <w:rPr>
          <w:rFonts w:cs="Arial"/>
        </w:rPr>
        <w:t>to</w:t>
      </w:r>
      <w:proofErr w:type="spellEnd"/>
      <w:r w:rsidRPr="000C40CC">
        <w:rPr>
          <w:rFonts w:cs="Arial"/>
        </w:rPr>
        <w:t xml:space="preserve">-business)-Austausch von Dokumenten zwischen dem CPVO und </w:t>
      </w:r>
      <w:r>
        <w:rPr>
          <w:rFonts w:cs="Arial"/>
        </w:rPr>
        <w:t xml:space="preserve">seinen </w:t>
      </w:r>
      <w:r w:rsidRPr="000C40CC">
        <w:rPr>
          <w:rFonts w:cs="Arial"/>
        </w:rPr>
        <w:t xml:space="preserve">Prüfungsämtern ist erfolgreich verlaufen und wird nun von einer Reihe von Prüfungsämtern verwendet. </w:t>
      </w:r>
      <w:r>
        <w:rPr>
          <w:rFonts w:cs="Arial"/>
        </w:rPr>
        <w:t>Seit</w:t>
      </w:r>
      <w:r w:rsidRPr="000C40CC">
        <w:rPr>
          <w:rFonts w:cs="Arial"/>
        </w:rPr>
        <w:t xml:space="preserve"> Juli 2015 schickt das CPVO keine Korrespondenz auf Papier mehr an seine Prüfungsämter und verwendet seitdem ausschließlich Business-</w:t>
      </w:r>
      <w:proofErr w:type="spellStart"/>
      <w:r w:rsidRPr="000C40CC">
        <w:rPr>
          <w:rFonts w:cs="Arial"/>
        </w:rPr>
        <w:t>to</w:t>
      </w:r>
      <w:proofErr w:type="spellEnd"/>
      <w:r w:rsidRPr="000C40CC">
        <w:rPr>
          <w:rFonts w:cs="Arial"/>
        </w:rPr>
        <w:t>-Business-Lösungen.</w:t>
      </w:r>
    </w:p>
    <w:p w:rsidR="00AF7FF3" w:rsidRPr="000C40CC" w:rsidRDefault="00AF7FF3" w:rsidP="00EF3858">
      <w:pPr>
        <w:spacing w:after="360"/>
        <w:rPr>
          <w:rFonts w:cs="Arial"/>
          <w:u w:val="single"/>
        </w:rPr>
      </w:pPr>
      <w:r w:rsidRPr="000C40CC">
        <w:rPr>
          <w:rFonts w:cs="Arial"/>
        </w:rPr>
        <w:t xml:space="preserve">Das CPVO hat auch eine Studie zur Implementierung eines Systems, das eine vollständig webbasierte Interaktion mit Kunden für alle Mitteilungen ermöglichen wird, lanciert. </w:t>
      </w:r>
    </w:p>
    <w:p w:rsidR="00AF7FF3" w:rsidRPr="000C40CC" w:rsidRDefault="00AF7FF3" w:rsidP="00EF3858">
      <w:pPr>
        <w:pStyle w:val="ListBullet"/>
        <w:numPr>
          <w:ilvl w:val="0"/>
          <w:numId w:val="0"/>
        </w:numPr>
        <w:tabs>
          <w:tab w:val="left" w:pos="720"/>
        </w:tabs>
        <w:spacing w:before="240"/>
        <w:ind w:left="284" w:hanging="284"/>
        <w:rPr>
          <w:rFonts w:cs="Arial"/>
          <w:b/>
          <w:u w:val="single"/>
          <w:lang w:val="de-DE"/>
        </w:rPr>
      </w:pPr>
      <w:r w:rsidRPr="000C40CC">
        <w:rPr>
          <w:rFonts w:cs="Arial"/>
          <w:b/>
          <w:u w:val="single"/>
          <w:lang w:val="de-DE"/>
        </w:rPr>
        <w:t>WEITERE TÄTIGKEITSBEREICHE</w:t>
      </w:r>
    </w:p>
    <w:p w:rsidR="00AF7FF3" w:rsidRPr="000C40CC" w:rsidRDefault="00AF7FF3" w:rsidP="00AF7FF3">
      <w:pPr>
        <w:pStyle w:val="ListBullet"/>
        <w:numPr>
          <w:ilvl w:val="0"/>
          <w:numId w:val="0"/>
        </w:numPr>
        <w:tabs>
          <w:tab w:val="left" w:pos="720"/>
        </w:tabs>
        <w:ind w:left="283" w:hanging="283"/>
        <w:rPr>
          <w:rFonts w:cs="Arial"/>
          <w:b/>
          <w:u w:val="single"/>
          <w:lang w:val="de-DE"/>
        </w:rPr>
      </w:pPr>
      <w:r w:rsidRPr="000C40CC">
        <w:rPr>
          <w:rFonts w:cs="Arial"/>
          <w:b/>
          <w:u w:val="single"/>
          <w:lang w:val="de-DE"/>
        </w:rPr>
        <w:t>1) Inverkehrbringen von Saatgut und Pflanzenvermehrungsmaterial</w:t>
      </w:r>
    </w:p>
    <w:p w:rsidR="00AF7FF3" w:rsidRPr="000C40CC" w:rsidRDefault="00AF7FF3" w:rsidP="00AF7FF3">
      <w:pPr>
        <w:autoSpaceDE w:val="0"/>
        <w:autoSpaceDN w:val="0"/>
        <w:adjustRightInd w:val="0"/>
        <w:spacing w:after="240"/>
        <w:rPr>
          <w:rFonts w:cs="Arial"/>
        </w:rPr>
      </w:pPr>
      <w:r>
        <w:rPr>
          <w:rFonts w:cs="Arial"/>
        </w:rPr>
        <w:t>Im Jahr 2015</w:t>
      </w:r>
      <w:r w:rsidRPr="000C40CC">
        <w:rPr>
          <w:rFonts w:cs="Arial"/>
        </w:rPr>
        <w:t xml:space="preserve"> wurden die Gemeinschaftlichen Kataloge der Sorten von landwirtschaftl</w:t>
      </w:r>
      <w:r>
        <w:rPr>
          <w:rFonts w:cs="Arial"/>
        </w:rPr>
        <w:t>ichen Pflanzen und Gemüsearten 7</w:t>
      </w:r>
      <w:r w:rsidRPr="000C40CC">
        <w:rPr>
          <w:rFonts w:cs="Arial"/>
        </w:rPr>
        <w:t xml:space="preserve"> beziehungsweise 6 Mal aktualisiert. Ende Juli 2014 wurden über 22.</w:t>
      </w:r>
      <w:r>
        <w:rPr>
          <w:rFonts w:cs="Arial"/>
        </w:rPr>
        <w:t>700</w:t>
      </w:r>
      <w:r w:rsidRPr="000C40CC">
        <w:rPr>
          <w:rFonts w:cs="Arial"/>
        </w:rPr>
        <w:t xml:space="preserve"> Sorten landwirtschaftlicher Pflanzenarten und über </w:t>
      </w:r>
      <w:r>
        <w:rPr>
          <w:rFonts w:cs="Arial"/>
        </w:rPr>
        <w:t>19</w:t>
      </w:r>
      <w:r w:rsidRPr="000C40CC">
        <w:rPr>
          <w:rFonts w:cs="Arial"/>
        </w:rPr>
        <w:t>.</w:t>
      </w:r>
      <w:r>
        <w:rPr>
          <w:rFonts w:cs="Arial"/>
        </w:rPr>
        <w:t>1</w:t>
      </w:r>
      <w:r w:rsidRPr="000C40CC">
        <w:rPr>
          <w:rFonts w:cs="Arial"/>
        </w:rPr>
        <w:t>00 Gemüsesorten für das Inverkehrbringen in der EU akzeptiert.</w:t>
      </w:r>
      <w:r>
        <w:rPr>
          <w:rFonts w:cs="Arial"/>
        </w:rPr>
        <w:t xml:space="preserve"> Zusätzlich wurden in der EU 773 </w:t>
      </w:r>
      <w:r w:rsidRPr="00E4071C">
        <w:rPr>
          <w:rFonts w:cs="Arial"/>
        </w:rPr>
        <w:t>Erhaltungs-/Amateursorten</w:t>
      </w:r>
      <w:r>
        <w:rPr>
          <w:rFonts w:cs="Arial"/>
        </w:rPr>
        <w:t xml:space="preserve"> </w:t>
      </w:r>
      <w:r w:rsidRPr="00E4071C">
        <w:rPr>
          <w:rFonts w:cs="Arial"/>
        </w:rPr>
        <w:t>von Gemüsearten eingetragen</w:t>
      </w:r>
      <w:r>
        <w:rPr>
          <w:rFonts w:cs="Arial"/>
        </w:rPr>
        <w:t>.</w:t>
      </w:r>
    </w:p>
    <w:p w:rsidR="00AF7FF3" w:rsidRPr="000C40CC" w:rsidRDefault="00AF7FF3" w:rsidP="00AF7FF3">
      <w:pPr>
        <w:autoSpaceDE w:val="0"/>
        <w:autoSpaceDN w:val="0"/>
        <w:adjustRightInd w:val="0"/>
        <w:spacing w:after="240"/>
        <w:rPr>
          <w:rFonts w:cs="Arial"/>
          <w:b/>
          <w:u w:val="single"/>
        </w:rPr>
      </w:pPr>
      <w:r w:rsidRPr="000C40CC">
        <w:rPr>
          <w:rFonts w:cs="Arial"/>
          <w:lang w:eastAsia="en-GB"/>
        </w:rPr>
        <w:t xml:space="preserve">Der vorgeschlagene Entwurf für eine Verordnung des Europäischen Parlaments und des Rates über die Erzeugung und </w:t>
      </w:r>
      <w:r>
        <w:rPr>
          <w:rFonts w:cs="Arial"/>
          <w:lang w:eastAsia="en-GB"/>
        </w:rPr>
        <w:t xml:space="preserve">Vermarktung von </w:t>
      </w:r>
      <w:r w:rsidRPr="000C40CC">
        <w:rPr>
          <w:rFonts w:cs="Arial"/>
          <w:lang w:eastAsia="en-GB"/>
        </w:rPr>
        <w:t>Pflanzenvermehrungsmaterial (Pflanzenvermehrungsmaterialgesetz), mitgeteilt in G/SPS/N/EU/46 am 21. Mai 2013</w:t>
      </w:r>
      <w:r>
        <w:rPr>
          <w:rFonts w:cs="Arial"/>
          <w:lang w:eastAsia="en-GB"/>
        </w:rPr>
        <w:t>,</w:t>
      </w:r>
      <w:r w:rsidRPr="000C40CC">
        <w:rPr>
          <w:rFonts w:cs="Arial"/>
          <w:lang w:eastAsia="en-GB"/>
        </w:rPr>
        <w:t xml:space="preserve"> wurde von der Europäischen Kommission am 7. März 2015 zurückgezogen (OJ C 80, 7.3.2015, S. 17–23).</w:t>
      </w:r>
    </w:p>
    <w:p w:rsidR="00AF7FF3" w:rsidRPr="000C40CC" w:rsidRDefault="00AF7FF3" w:rsidP="00AF7FF3">
      <w:pPr>
        <w:pStyle w:val="ListBullet"/>
        <w:numPr>
          <w:ilvl w:val="0"/>
          <w:numId w:val="0"/>
        </w:numPr>
        <w:tabs>
          <w:tab w:val="left" w:pos="720"/>
        </w:tabs>
        <w:ind w:left="283" w:hanging="283"/>
        <w:rPr>
          <w:rFonts w:cs="Arial"/>
          <w:b/>
          <w:u w:val="single"/>
          <w:lang w:val="de-DE"/>
        </w:rPr>
      </w:pPr>
      <w:r w:rsidRPr="000C40CC">
        <w:rPr>
          <w:rFonts w:cs="Arial"/>
          <w:b/>
          <w:u w:val="single"/>
          <w:lang w:val="de-DE"/>
        </w:rPr>
        <w:t>2) Genetische Ressourcen</w:t>
      </w:r>
    </w:p>
    <w:p w:rsidR="00AF7FF3" w:rsidRPr="000C40CC" w:rsidRDefault="00AF7FF3" w:rsidP="00AF7FF3">
      <w:pPr>
        <w:pStyle w:val="ListBullet"/>
        <w:numPr>
          <w:ilvl w:val="0"/>
          <w:numId w:val="0"/>
        </w:numPr>
        <w:tabs>
          <w:tab w:val="left" w:pos="720"/>
        </w:tabs>
        <w:rPr>
          <w:rFonts w:cs="Arial"/>
          <w:lang w:val="de-DE"/>
        </w:rPr>
      </w:pPr>
      <w:r>
        <w:rPr>
          <w:rFonts w:cs="Arial"/>
          <w:lang w:val="de-DE"/>
        </w:rPr>
        <w:t xml:space="preserve">Im Rahmen der </w:t>
      </w:r>
      <w:r w:rsidRPr="000C40CC">
        <w:rPr>
          <w:rFonts w:cs="Arial"/>
          <w:lang w:val="de-DE"/>
        </w:rPr>
        <w:t xml:space="preserve">Politik der EU und ihrer Mitgliedstaaten über </w:t>
      </w:r>
      <w:r>
        <w:rPr>
          <w:rFonts w:cs="Arial"/>
          <w:lang w:val="de-DE"/>
        </w:rPr>
        <w:t xml:space="preserve">die </w:t>
      </w:r>
      <w:r w:rsidRPr="000C40CC">
        <w:rPr>
          <w:rFonts w:cs="Arial"/>
          <w:lang w:val="de-DE"/>
        </w:rPr>
        <w:t xml:space="preserve">Erhaltung pflanzengenetischer Ressourcen wurden </w:t>
      </w:r>
      <w:r>
        <w:rPr>
          <w:rFonts w:cs="Arial"/>
          <w:lang w:val="de-DE"/>
        </w:rPr>
        <w:t>2014 63</w:t>
      </w:r>
      <w:r w:rsidRPr="000C40CC">
        <w:rPr>
          <w:rFonts w:cs="Arial"/>
          <w:lang w:val="de-DE"/>
        </w:rPr>
        <w:t xml:space="preserve"> Erhaltungssorten von Gemüsearten und </w:t>
      </w:r>
      <w:r>
        <w:rPr>
          <w:rFonts w:cs="Arial"/>
          <w:lang w:val="de-DE"/>
        </w:rPr>
        <w:t>200</w:t>
      </w:r>
      <w:r w:rsidRPr="000C40CC">
        <w:rPr>
          <w:rFonts w:cs="Arial"/>
          <w:lang w:val="de-DE"/>
        </w:rPr>
        <w:t xml:space="preserve"> landwirtschaftliche Pflanzen für die kommerzielle Pflanzenproduktion nach bestimmten Bedingungen für das Inverkehrbringen in der EU gelistet.</w:t>
      </w:r>
    </w:p>
    <w:p w:rsidR="00AF7FF3" w:rsidRPr="000C40CC" w:rsidRDefault="00AF7FF3" w:rsidP="00AF7FF3">
      <w:pPr>
        <w:pStyle w:val="ListBullet"/>
        <w:numPr>
          <w:ilvl w:val="0"/>
          <w:numId w:val="0"/>
        </w:numPr>
        <w:tabs>
          <w:tab w:val="left" w:pos="720"/>
        </w:tabs>
        <w:ind w:left="283" w:hanging="283"/>
        <w:rPr>
          <w:rFonts w:cs="Arial"/>
          <w:b/>
          <w:u w:val="single"/>
          <w:lang w:val="de-DE"/>
        </w:rPr>
      </w:pPr>
      <w:r w:rsidRPr="000C40CC">
        <w:rPr>
          <w:rFonts w:cs="Arial"/>
          <w:b/>
          <w:u w:val="single"/>
          <w:lang w:val="de-DE"/>
        </w:rPr>
        <w:t>3) GVO</w:t>
      </w:r>
    </w:p>
    <w:p w:rsidR="00AF7FF3" w:rsidRPr="000C40CC" w:rsidRDefault="00AF7FF3" w:rsidP="00AF7FF3">
      <w:pPr>
        <w:spacing w:after="240"/>
        <w:rPr>
          <w:rFonts w:cs="Arial"/>
          <w:lang w:eastAsia="en-GB"/>
        </w:rPr>
      </w:pPr>
      <w:r w:rsidRPr="000C40CC">
        <w:rPr>
          <w:rFonts w:cs="Arial"/>
          <w:lang w:eastAsia="en-GB"/>
        </w:rPr>
        <w:t xml:space="preserve">Was den Anbau von GVO betrifft, so nahmen das Europäische Parlament und der Rat am </w:t>
      </w:r>
      <w:r w:rsidRPr="000C40CC">
        <w:rPr>
          <w:rFonts w:cs="Arial"/>
          <w:bCs/>
          <w:lang w:eastAsia="en-GB"/>
        </w:rPr>
        <w:t>11</w:t>
      </w:r>
      <w:r>
        <w:rPr>
          <w:rFonts w:cs="Arial"/>
          <w:bCs/>
          <w:lang w:eastAsia="en-GB"/>
        </w:rPr>
        <w:t>.</w:t>
      </w:r>
      <w:r w:rsidRPr="000C40CC">
        <w:rPr>
          <w:rFonts w:cs="Arial"/>
          <w:bCs/>
          <w:lang w:eastAsia="en-GB"/>
        </w:rPr>
        <w:t xml:space="preserve"> März 2015</w:t>
      </w:r>
      <w:r>
        <w:rPr>
          <w:rFonts w:cs="Arial"/>
          <w:bCs/>
          <w:lang w:eastAsia="en-GB"/>
        </w:rPr>
        <w:t xml:space="preserve"> die</w:t>
      </w:r>
      <w:r w:rsidRPr="000C40CC">
        <w:rPr>
          <w:rFonts w:cs="Arial"/>
          <w:bCs/>
          <w:lang w:eastAsia="en-GB"/>
        </w:rPr>
        <w:t xml:space="preserve"> Richtlinie (EU) 2015/412 </w:t>
      </w:r>
      <w:r>
        <w:rPr>
          <w:rFonts w:cs="Arial"/>
          <w:bCs/>
          <w:lang w:eastAsia="en-GB"/>
        </w:rPr>
        <w:t>des</w:t>
      </w:r>
      <w:r w:rsidRPr="000C40CC">
        <w:rPr>
          <w:rFonts w:cs="Arial"/>
          <w:lang w:eastAsia="en-GB"/>
        </w:rPr>
        <w:t xml:space="preserve"> Europäische</w:t>
      </w:r>
      <w:r>
        <w:rPr>
          <w:rFonts w:cs="Arial"/>
          <w:lang w:eastAsia="en-GB"/>
        </w:rPr>
        <w:t>n</w:t>
      </w:r>
      <w:r w:rsidRPr="000C40CC">
        <w:rPr>
          <w:rFonts w:cs="Arial"/>
          <w:lang w:eastAsia="en-GB"/>
        </w:rPr>
        <w:t xml:space="preserve"> Parlament</w:t>
      </w:r>
      <w:r>
        <w:rPr>
          <w:rFonts w:cs="Arial"/>
          <w:lang w:eastAsia="en-GB"/>
        </w:rPr>
        <w:t>s und des</w:t>
      </w:r>
      <w:r w:rsidRPr="000C40CC">
        <w:rPr>
          <w:rFonts w:cs="Arial"/>
          <w:lang w:eastAsia="en-GB"/>
        </w:rPr>
        <w:t xml:space="preserve"> Rat</w:t>
      </w:r>
      <w:r>
        <w:rPr>
          <w:rFonts w:cs="Arial"/>
          <w:lang w:eastAsia="en-GB"/>
        </w:rPr>
        <w:t>es</w:t>
      </w:r>
      <w:r w:rsidRPr="000C40CC">
        <w:rPr>
          <w:rFonts w:cs="Arial"/>
          <w:lang w:eastAsia="en-GB"/>
        </w:rPr>
        <w:t xml:space="preserve"> </w:t>
      </w:r>
      <w:r w:rsidRPr="000C40CC">
        <w:rPr>
          <w:rFonts w:cs="Arial"/>
          <w:bCs/>
          <w:lang w:eastAsia="en-GB"/>
        </w:rPr>
        <w:t>an, die die R</w:t>
      </w:r>
      <w:r w:rsidRPr="000C40CC">
        <w:rPr>
          <w:rFonts w:cs="Arial"/>
          <w:lang w:eastAsia="en-GB"/>
        </w:rPr>
        <w:t xml:space="preserve">ichtlinie 2001/18/EC </w:t>
      </w:r>
      <w:r>
        <w:rPr>
          <w:rFonts w:cs="Arial"/>
          <w:lang w:eastAsia="en-GB"/>
        </w:rPr>
        <w:t>hinsichtlich</w:t>
      </w:r>
      <w:r w:rsidRPr="000C40CC">
        <w:rPr>
          <w:rFonts w:cs="Arial"/>
          <w:lang w:eastAsia="en-GB"/>
        </w:rPr>
        <w:t xml:space="preserve"> der Möglichkeit für die Mitgliedstaaten, den Anbau von </w:t>
      </w:r>
      <w:r>
        <w:rPr>
          <w:rFonts w:cs="Arial"/>
          <w:lang w:eastAsia="en-GB"/>
        </w:rPr>
        <w:t>genetisch veränderten</w:t>
      </w:r>
      <w:r w:rsidRPr="00397BE5">
        <w:rPr>
          <w:rFonts w:cs="Arial"/>
          <w:lang w:eastAsia="en-GB"/>
        </w:rPr>
        <w:t xml:space="preserve"> Organismen </w:t>
      </w:r>
      <w:r>
        <w:rPr>
          <w:rFonts w:cs="Arial"/>
          <w:lang w:eastAsia="en-GB"/>
        </w:rPr>
        <w:t>(</w:t>
      </w:r>
      <w:r w:rsidRPr="000C40CC">
        <w:rPr>
          <w:rFonts w:cs="Arial"/>
          <w:lang w:eastAsia="en-GB"/>
        </w:rPr>
        <w:t>GVO</w:t>
      </w:r>
      <w:r>
        <w:rPr>
          <w:rFonts w:cs="Arial"/>
          <w:lang w:eastAsia="en-GB"/>
        </w:rPr>
        <w:t>)</w:t>
      </w:r>
      <w:r w:rsidRPr="000C40CC">
        <w:rPr>
          <w:rFonts w:cs="Arial"/>
          <w:lang w:eastAsia="en-GB"/>
        </w:rPr>
        <w:t xml:space="preserve"> einzuschränken oder zu verbieten</w:t>
      </w:r>
      <w:r>
        <w:rPr>
          <w:rFonts w:cs="Arial"/>
          <w:lang w:eastAsia="en-GB"/>
        </w:rPr>
        <w:t xml:space="preserve">, </w:t>
      </w:r>
      <w:r w:rsidRPr="000C40CC">
        <w:rPr>
          <w:rFonts w:cs="Arial"/>
          <w:lang w:eastAsia="en-GB"/>
        </w:rPr>
        <w:t>ändert.</w:t>
      </w:r>
    </w:p>
    <w:p w:rsidR="00AF7FF3" w:rsidRPr="000C40CC" w:rsidRDefault="00AF7FF3" w:rsidP="00AF7FF3">
      <w:pPr>
        <w:spacing w:after="240"/>
        <w:rPr>
          <w:rFonts w:cs="Arial"/>
          <w:lang w:eastAsia="en-GB"/>
        </w:rPr>
      </w:pPr>
      <w:r w:rsidRPr="000C40CC">
        <w:rPr>
          <w:rFonts w:cs="Arial"/>
          <w:lang w:eastAsia="en-GB"/>
        </w:rPr>
        <w:t>Im Einklang mit</w:t>
      </w:r>
      <w:r>
        <w:rPr>
          <w:rFonts w:cs="Arial"/>
          <w:lang w:eastAsia="en-GB"/>
        </w:rPr>
        <w:t xml:space="preserve"> dieser</w:t>
      </w:r>
      <w:r w:rsidRPr="000C40CC">
        <w:rPr>
          <w:rFonts w:cs="Arial"/>
          <w:lang w:eastAsia="en-GB"/>
        </w:rPr>
        <w:t xml:space="preserve"> neuen Richtlinie:</w:t>
      </w:r>
    </w:p>
    <w:p w:rsidR="00AF7FF3" w:rsidRPr="000C40CC" w:rsidRDefault="00AF7FF3" w:rsidP="00AF7FF3">
      <w:pPr>
        <w:numPr>
          <w:ilvl w:val="0"/>
          <w:numId w:val="24"/>
        </w:numPr>
        <w:spacing w:after="240"/>
        <w:ind w:left="720"/>
        <w:rPr>
          <w:rFonts w:cs="Arial"/>
          <w:lang w:eastAsia="en-GB"/>
        </w:rPr>
      </w:pPr>
      <w:r w:rsidRPr="000C40CC">
        <w:rPr>
          <w:rFonts w:cs="Arial"/>
          <w:lang w:eastAsia="en-GB"/>
        </w:rPr>
        <w:t xml:space="preserve">werden </w:t>
      </w:r>
      <w:r>
        <w:rPr>
          <w:rFonts w:cs="Arial"/>
          <w:lang w:eastAsia="en-GB"/>
        </w:rPr>
        <w:t>Mitgliedstaat</w:t>
      </w:r>
      <w:r w:rsidRPr="000C40CC">
        <w:rPr>
          <w:rFonts w:cs="Arial"/>
          <w:lang w:eastAsia="en-GB"/>
        </w:rPr>
        <w:t>en zwei alternative Möglichkeiten haben, den Anbau von GVO auf ihrem  Hoheitsgebiet einzuschränken oder zu verbieten:</w:t>
      </w:r>
    </w:p>
    <w:p w:rsidR="00AF7FF3" w:rsidRPr="000C40CC" w:rsidRDefault="00AF7FF3" w:rsidP="00AF7FF3">
      <w:pPr>
        <w:numPr>
          <w:ilvl w:val="1"/>
          <w:numId w:val="24"/>
        </w:numPr>
        <w:spacing w:after="240"/>
        <w:rPr>
          <w:rFonts w:cs="Arial"/>
          <w:lang w:eastAsia="en-GB"/>
        </w:rPr>
      </w:pPr>
      <w:r w:rsidRPr="000C40CC">
        <w:rPr>
          <w:rFonts w:cs="Arial"/>
          <w:u w:val="single"/>
          <w:lang w:eastAsia="en-GB"/>
        </w:rPr>
        <w:t>Option 1</w:t>
      </w:r>
      <w:r w:rsidRPr="000C40CC">
        <w:rPr>
          <w:rFonts w:cs="Arial"/>
          <w:lang w:eastAsia="en-GB"/>
        </w:rPr>
        <w:t xml:space="preserve">: Im Laufe des Genehmigungsverfahrens einer GVO kann ein </w:t>
      </w:r>
      <w:r>
        <w:rPr>
          <w:rFonts w:cs="Arial"/>
          <w:lang w:eastAsia="en-GB"/>
        </w:rPr>
        <w:t>Mitgliedstaat</w:t>
      </w:r>
      <w:r w:rsidRPr="000C40CC">
        <w:rPr>
          <w:rFonts w:cs="Arial"/>
          <w:lang w:eastAsia="en-GB"/>
        </w:rPr>
        <w:t xml:space="preserve"> verlangen, </w:t>
      </w:r>
      <w:proofErr w:type="spellStart"/>
      <w:r w:rsidRPr="000C40CC">
        <w:rPr>
          <w:rFonts w:cs="Arial"/>
          <w:lang w:eastAsia="en-GB"/>
        </w:rPr>
        <w:t>daß</w:t>
      </w:r>
      <w:proofErr w:type="spellEnd"/>
      <w:r w:rsidRPr="000C40CC">
        <w:rPr>
          <w:rFonts w:cs="Arial"/>
          <w:lang w:eastAsia="en-GB"/>
        </w:rPr>
        <w:t xml:space="preserve"> sein Hoheitsgebiet (oder ein Teil davon) vom Anbau ausgeschlossen wird. Die Kommission </w:t>
      </w:r>
      <w:proofErr w:type="spellStart"/>
      <w:r w:rsidRPr="000C40CC">
        <w:rPr>
          <w:rFonts w:cs="Arial"/>
          <w:lang w:eastAsia="en-GB"/>
        </w:rPr>
        <w:t>muß</w:t>
      </w:r>
      <w:proofErr w:type="spellEnd"/>
      <w:r w:rsidRPr="000C40CC">
        <w:rPr>
          <w:rFonts w:cs="Arial"/>
          <w:lang w:eastAsia="en-GB"/>
        </w:rPr>
        <w:t xml:space="preserve"> die Forderung der mitteilenden Person vorlegen und sie der Öffentlichkeit zugänglich machen. Die Firma, die den Antrag auf Genehmigung der GVO einreicht, hat 30 Tage Zeit, Einspruch gegen die Forderung einzulegen. Wenn innerhalb dieses Zeitraums kein Einspruch eingeht, wird die Entscheidung der Genehmigung von der Kommission so </w:t>
      </w:r>
      <w:r>
        <w:rPr>
          <w:rFonts w:cs="Arial"/>
          <w:lang w:eastAsia="en-GB"/>
        </w:rPr>
        <w:t>angepasst</w:t>
      </w:r>
      <w:r w:rsidRPr="000C40CC">
        <w:rPr>
          <w:rFonts w:cs="Arial"/>
          <w:lang w:eastAsia="en-GB"/>
        </w:rPr>
        <w:t xml:space="preserve">, </w:t>
      </w:r>
      <w:proofErr w:type="spellStart"/>
      <w:r w:rsidRPr="000C40CC">
        <w:rPr>
          <w:rFonts w:cs="Arial"/>
          <w:lang w:eastAsia="en-GB"/>
        </w:rPr>
        <w:t>daß</w:t>
      </w:r>
      <w:proofErr w:type="spellEnd"/>
      <w:r w:rsidRPr="000C40CC">
        <w:rPr>
          <w:rFonts w:cs="Arial"/>
          <w:lang w:eastAsia="en-GB"/>
        </w:rPr>
        <w:t xml:space="preserve"> der Anbau </w:t>
      </w:r>
      <w:r>
        <w:rPr>
          <w:rFonts w:cs="Arial"/>
          <w:lang w:eastAsia="en-GB"/>
        </w:rPr>
        <w:t>in dem</w:t>
      </w:r>
      <w:r w:rsidRPr="000C40CC">
        <w:rPr>
          <w:rFonts w:cs="Arial"/>
          <w:lang w:eastAsia="en-GB"/>
        </w:rPr>
        <w:t xml:space="preserve"> betroffenen </w:t>
      </w:r>
      <w:r>
        <w:rPr>
          <w:rFonts w:cs="Arial"/>
          <w:lang w:eastAsia="en-GB"/>
        </w:rPr>
        <w:t>Mitgliedstaat</w:t>
      </w:r>
      <w:r w:rsidRPr="000C40CC">
        <w:rPr>
          <w:rFonts w:cs="Arial"/>
          <w:lang w:eastAsia="en-GB"/>
        </w:rPr>
        <w:t xml:space="preserve"> entsprechend der Forderung ausgeschlossen wird.</w:t>
      </w:r>
    </w:p>
    <w:p w:rsidR="00AF7FF3" w:rsidRPr="000C40CC" w:rsidRDefault="00AF7FF3" w:rsidP="00AF7FF3">
      <w:pPr>
        <w:numPr>
          <w:ilvl w:val="1"/>
          <w:numId w:val="24"/>
        </w:numPr>
        <w:spacing w:after="240"/>
        <w:rPr>
          <w:rFonts w:cs="Arial"/>
          <w:lang w:eastAsia="en-GB"/>
        </w:rPr>
      </w:pPr>
      <w:r w:rsidRPr="000C40CC">
        <w:rPr>
          <w:rFonts w:cs="Arial"/>
          <w:u w:val="single"/>
          <w:lang w:eastAsia="en-GB"/>
        </w:rPr>
        <w:t>Option 2</w:t>
      </w:r>
      <w:r w:rsidRPr="000C40CC">
        <w:rPr>
          <w:rFonts w:cs="Arial"/>
          <w:lang w:eastAsia="en-GB"/>
        </w:rPr>
        <w:t xml:space="preserve">: </w:t>
      </w:r>
      <w:r>
        <w:rPr>
          <w:rFonts w:cs="Arial"/>
          <w:lang w:eastAsia="en-GB"/>
        </w:rPr>
        <w:t>N</w:t>
      </w:r>
      <w:r w:rsidRPr="000C40CC">
        <w:rPr>
          <w:rFonts w:cs="Arial"/>
          <w:lang w:eastAsia="en-GB"/>
        </w:rPr>
        <w:t xml:space="preserve">ach Erteilung der Genehmigung durch die Kommission kann der </w:t>
      </w:r>
      <w:r>
        <w:rPr>
          <w:rFonts w:cs="Arial"/>
          <w:lang w:eastAsia="en-GB"/>
        </w:rPr>
        <w:t>Mitgliedstaat</w:t>
      </w:r>
      <w:r w:rsidRPr="000C40CC">
        <w:rPr>
          <w:rFonts w:cs="Arial"/>
          <w:lang w:eastAsia="en-GB"/>
        </w:rPr>
        <w:t xml:space="preserve"> Maßnahmen annehmen,</w:t>
      </w:r>
      <w:r>
        <w:rPr>
          <w:rFonts w:cs="Arial"/>
          <w:lang w:eastAsia="en-GB"/>
        </w:rPr>
        <w:t xml:space="preserve"> um</w:t>
      </w:r>
      <w:r w:rsidRPr="000C40CC">
        <w:rPr>
          <w:rFonts w:cs="Arial"/>
          <w:lang w:eastAsia="en-GB"/>
        </w:rPr>
        <w:t xml:space="preserve"> den Anbau auf seinem Hoheitsgebiet </w:t>
      </w:r>
      <w:r>
        <w:rPr>
          <w:rFonts w:cs="Arial"/>
          <w:lang w:eastAsia="en-GB"/>
        </w:rPr>
        <w:t>aus</w:t>
      </w:r>
      <w:r w:rsidRPr="000C40CC">
        <w:rPr>
          <w:rFonts w:cs="Arial"/>
          <w:lang w:eastAsia="en-GB"/>
        </w:rPr>
        <w:t xml:space="preserve"> zwingenden Gründen einzuschrä</w:t>
      </w:r>
      <w:r>
        <w:rPr>
          <w:rFonts w:cs="Arial"/>
          <w:lang w:eastAsia="en-GB"/>
        </w:rPr>
        <w:t>nken oder zu verbieten</w:t>
      </w:r>
      <w:r w:rsidRPr="000C40CC">
        <w:rPr>
          <w:rFonts w:cs="Arial"/>
          <w:lang w:eastAsia="en-GB"/>
        </w:rPr>
        <w:t xml:space="preserve">. </w:t>
      </w:r>
      <w:r>
        <w:rPr>
          <w:rFonts w:cs="Arial"/>
          <w:lang w:eastAsia="en-GB"/>
        </w:rPr>
        <w:t>Über den</w:t>
      </w:r>
      <w:r w:rsidRPr="000C40CC">
        <w:rPr>
          <w:rFonts w:cs="Arial"/>
          <w:lang w:eastAsia="en-GB"/>
        </w:rPr>
        <w:t xml:space="preserve"> Entwurf für eine Maßnahme wird die Kommission benachrichtigt, die dann 75 Tage Zeit hat, darauf zu reagieren, falls die Bedingungen der Richtlinie nicht erfüllt sind, wonach </w:t>
      </w:r>
      <w:r>
        <w:rPr>
          <w:rFonts w:cs="Arial"/>
          <w:lang w:eastAsia="en-GB"/>
        </w:rPr>
        <w:t>der</w:t>
      </w:r>
      <w:r w:rsidRPr="000C40CC">
        <w:rPr>
          <w:rFonts w:cs="Arial"/>
          <w:lang w:eastAsia="en-GB"/>
        </w:rPr>
        <w:t xml:space="preserve"> </w:t>
      </w:r>
      <w:r>
        <w:rPr>
          <w:rFonts w:cs="Arial"/>
          <w:lang w:eastAsia="en-GB"/>
        </w:rPr>
        <w:t>Mitgliedstaat</w:t>
      </w:r>
      <w:r w:rsidRPr="000C40CC">
        <w:rPr>
          <w:rFonts w:cs="Arial"/>
          <w:lang w:eastAsia="en-GB"/>
        </w:rPr>
        <w:t xml:space="preserve"> sie übernehmen </w:t>
      </w:r>
      <w:r>
        <w:rPr>
          <w:rFonts w:cs="Arial"/>
          <w:lang w:eastAsia="en-GB"/>
        </w:rPr>
        <w:t>kann</w:t>
      </w:r>
      <w:r w:rsidRPr="000C40CC">
        <w:rPr>
          <w:rFonts w:cs="Arial"/>
          <w:lang w:eastAsia="en-GB"/>
        </w:rPr>
        <w:t xml:space="preserve">. </w:t>
      </w:r>
    </w:p>
    <w:p w:rsidR="00AF7FF3" w:rsidRPr="000C40CC" w:rsidRDefault="00AF7FF3" w:rsidP="00AF7FF3">
      <w:pPr>
        <w:numPr>
          <w:ilvl w:val="0"/>
          <w:numId w:val="24"/>
        </w:numPr>
        <w:spacing w:after="240"/>
        <w:ind w:left="720"/>
        <w:rPr>
          <w:rFonts w:cs="Arial"/>
          <w:lang w:eastAsia="en-GB"/>
        </w:rPr>
      </w:pPr>
      <w:r>
        <w:rPr>
          <w:rFonts w:cs="Arial"/>
          <w:lang w:eastAsia="en-GB"/>
        </w:rPr>
        <w:t xml:space="preserve">müssen </w:t>
      </w:r>
      <w:proofErr w:type="spellStart"/>
      <w:r w:rsidRPr="000C40CC">
        <w:rPr>
          <w:rFonts w:cs="Arial"/>
          <w:lang w:eastAsia="en-GB"/>
        </w:rPr>
        <w:t>Koexistenzmaßnahmen</w:t>
      </w:r>
      <w:proofErr w:type="spellEnd"/>
      <w:r w:rsidRPr="000C40CC">
        <w:rPr>
          <w:rFonts w:cs="Arial"/>
          <w:lang w:eastAsia="en-GB"/>
        </w:rPr>
        <w:t xml:space="preserve"> von </w:t>
      </w:r>
      <w:r>
        <w:rPr>
          <w:rFonts w:cs="Arial"/>
          <w:lang w:eastAsia="en-GB"/>
        </w:rPr>
        <w:t>Mitgliedstaat</w:t>
      </w:r>
      <w:r w:rsidRPr="000C40CC">
        <w:rPr>
          <w:rFonts w:cs="Arial"/>
          <w:lang w:eastAsia="en-GB"/>
        </w:rPr>
        <w:t>en umgesetzt werden, die GVOs an ihren Grenzen</w:t>
      </w:r>
      <w:r>
        <w:rPr>
          <w:rFonts w:cs="Arial"/>
          <w:lang w:eastAsia="en-GB"/>
        </w:rPr>
        <w:t xml:space="preserve"> anbauen</w:t>
      </w:r>
      <w:r w:rsidRPr="000C40CC">
        <w:rPr>
          <w:rFonts w:cs="Arial"/>
          <w:lang w:eastAsia="en-GB"/>
        </w:rPr>
        <w:t xml:space="preserve">, außer </w:t>
      </w:r>
      <w:r>
        <w:rPr>
          <w:rFonts w:cs="Arial"/>
          <w:lang w:eastAsia="en-GB"/>
        </w:rPr>
        <w:t xml:space="preserve">wenn </w:t>
      </w:r>
      <w:r w:rsidRPr="000C40CC">
        <w:rPr>
          <w:rFonts w:cs="Arial"/>
          <w:lang w:eastAsia="en-GB"/>
        </w:rPr>
        <w:t>natürliche Barrieren</w:t>
      </w:r>
      <w:r>
        <w:rPr>
          <w:rFonts w:cs="Arial"/>
          <w:lang w:eastAsia="en-GB"/>
        </w:rPr>
        <w:t>,</w:t>
      </w:r>
      <w:r w:rsidRPr="000C40CC">
        <w:rPr>
          <w:rFonts w:cs="Arial"/>
          <w:lang w:eastAsia="en-GB"/>
        </w:rPr>
        <w:t xml:space="preserve"> wie beispielsweise Berge oder das Meer</w:t>
      </w:r>
      <w:r>
        <w:rPr>
          <w:rFonts w:cs="Arial"/>
          <w:lang w:eastAsia="en-GB"/>
        </w:rPr>
        <w:t>,</w:t>
      </w:r>
      <w:r w:rsidRPr="000C40CC">
        <w:rPr>
          <w:rFonts w:cs="Arial"/>
          <w:lang w:eastAsia="en-GB"/>
        </w:rPr>
        <w:t xml:space="preserve"> diese unnötig machen.</w:t>
      </w:r>
    </w:p>
    <w:p w:rsidR="00AF7FF3" w:rsidRPr="000C40CC" w:rsidRDefault="00AF7FF3" w:rsidP="00AF7FF3">
      <w:pPr>
        <w:numPr>
          <w:ilvl w:val="0"/>
          <w:numId w:val="24"/>
        </w:numPr>
        <w:spacing w:after="240"/>
        <w:ind w:left="720"/>
        <w:rPr>
          <w:rFonts w:cs="Arial"/>
          <w:lang w:eastAsia="en-GB"/>
        </w:rPr>
      </w:pPr>
      <w:r w:rsidRPr="000C40CC">
        <w:rPr>
          <w:rFonts w:cs="Arial"/>
          <w:lang w:eastAsia="en-GB"/>
        </w:rPr>
        <w:t xml:space="preserve">Die Kommission wird innerhalb von 4 Jahren über die Sanierung von Umweltschäden durch die </w:t>
      </w:r>
      <w:r>
        <w:rPr>
          <w:rFonts w:cs="Arial"/>
          <w:lang w:eastAsia="en-GB"/>
        </w:rPr>
        <w:t>Mitgliedstaat</w:t>
      </w:r>
      <w:r w:rsidRPr="000C40CC">
        <w:rPr>
          <w:rFonts w:cs="Arial"/>
          <w:lang w:eastAsia="en-GB"/>
        </w:rPr>
        <w:t>en</w:t>
      </w:r>
      <w:r>
        <w:rPr>
          <w:rFonts w:cs="Arial"/>
          <w:lang w:eastAsia="en-GB"/>
        </w:rPr>
        <w:t xml:space="preserve"> </w:t>
      </w:r>
      <w:r w:rsidRPr="000C40CC">
        <w:rPr>
          <w:rFonts w:cs="Arial"/>
          <w:lang w:eastAsia="en-GB"/>
        </w:rPr>
        <w:t>berichten.</w:t>
      </w:r>
    </w:p>
    <w:p w:rsidR="00AF7FF3" w:rsidRPr="000C40CC" w:rsidRDefault="00AF7FF3" w:rsidP="00AF7FF3">
      <w:pPr>
        <w:numPr>
          <w:ilvl w:val="0"/>
          <w:numId w:val="24"/>
        </w:numPr>
        <w:spacing w:after="240"/>
        <w:ind w:left="720"/>
        <w:rPr>
          <w:rFonts w:cs="Arial"/>
          <w:lang w:eastAsia="en-GB"/>
        </w:rPr>
      </w:pPr>
      <w:r w:rsidRPr="000C40CC">
        <w:rPr>
          <w:rFonts w:cs="Arial"/>
          <w:lang w:eastAsia="en-GB"/>
        </w:rPr>
        <w:t>Die Kommission</w:t>
      </w:r>
      <w:r>
        <w:rPr>
          <w:rFonts w:cs="Arial"/>
          <w:lang w:eastAsia="en-GB"/>
        </w:rPr>
        <w:t xml:space="preserve"> </w:t>
      </w:r>
      <w:proofErr w:type="spellStart"/>
      <w:r>
        <w:rPr>
          <w:rFonts w:cs="Arial"/>
          <w:lang w:eastAsia="en-GB"/>
        </w:rPr>
        <w:t>muß</w:t>
      </w:r>
      <w:proofErr w:type="spellEnd"/>
      <w:r>
        <w:rPr>
          <w:rFonts w:cs="Arial"/>
          <w:lang w:eastAsia="en-GB"/>
        </w:rPr>
        <w:t xml:space="preserve"> </w:t>
      </w:r>
      <w:r w:rsidRPr="000C40CC">
        <w:rPr>
          <w:rFonts w:cs="Arial"/>
          <w:lang w:eastAsia="en-GB"/>
        </w:rPr>
        <w:t xml:space="preserve">innerhalb von 2 Jahren die Anlagen </w:t>
      </w:r>
      <w:r>
        <w:rPr>
          <w:rFonts w:cs="Arial"/>
          <w:lang w:eastAsia="en-GB"/>
        </w:rPr>
        <w:t>über</w:t>
      </w:r>
      <w:r w:rsidRPr="000C40CC">
        <w:rPr>
          <w:rFonts w:cs="Arial"/>
          <w:lang w:eastAsia="en-GB"/>
        </w:rPr>
        <w:t xml:space="preserve"> Umweltverträglichkeitsprüfung der Richtlinie 2001/18/EC über die absichtliche Freisetzung von GVOs in </w:t>
      </w:r>
      <w:r>
        <w:rPr>
          <w:rFonts w:cs="Arial"/>
          <w:lang w:eastAsia="en-GB"/>
        </w:rPr>
        <w:t xml:space="preserve">die </w:t>
      </w:r>
      <w:r w:rsidRPr="000C40CC">
        <w:rPr>
          <w:rFonts w:cs="Arial"/>
          <w:lang w:eastAsia="en-GB"/>
        </w:rPr>
        <w:t>Um</w:t>
      </w:r>
      <w:r>
        <w:rPr>
          <w:rFonts w:cs="Arial"/>
          <w:lang w:eastAsia="en-GB"/>
        </w:rPr>
        <w:t xml:space="preserve">welt </w:t>
      </w:r>
      <w:r w:rsidRPr="000C40CC">
        <w:rPr>
          <w:rFonts w:cs="Arial"/>
          <w:lang w:eastAsia="en-GB"/>
        </w:rPr>
        <w:t xml:space="preserve">aktualisieren. </w:t>
      </w:r>
    </w:p>
    <w:p w:rsidR="00AF7FF3" w:rsidRPr="000C40CC" w:rsidRDefault="00AF7FF3" w:rsidP="00AF7FF3">
      <w:pPr>
        <w:pStyle w:val="ListBullet"/>
        <w:numPr>
          <w:ilvl w:val="0"/>
          <w:numId w:val="0"/>
        </w:numPr>
        <w:tabs>
          <w:tab w:val="left" w:pos="720"/>
        </w:tabs>
        <w:ind w:left="283" w:hanging="283"/>
        <w:rPr>
          <w:rFonts w:cs="Arial"/>
          <w:b/>
          <w:u w:val="single"/>
          <w:lang w:val="de-DE"/>
        </w:rPr>
      </w:pPr>
      <w:r w:rsidRPr="000C40CC">
        <w:rPr>
          <w:rFonts w:cs="Arial"/>
          <w:b/>
          <w:u w:val="single"/>
          <w:lang w:val="de-DE"/>
        </w:rPr>
        <w:t xml:space="preserve">4) Forschungs- und Entwicklungsprojekte </w:t>
      </w:r>
    </w:p>
    <w:p w:rsidR="00AF7FF3" w:rsidRPr="000C40CC" w:rsidRDefault="00AF7FF3" w:rsidP="00AF7FF3">
      <w:pPr>
        <w:spacing w:after="240"/>
        <w:rPr>
          <w:rFonts w:cs="Arial"/>
          <w:i/>
          <w:u w:val="single"/>
        </w:rPr>
      </w:pPr>
      <w:r w:rsidRPr="000C40CC">
        <w:rPr>
          <w:rFonts w:cs="Arial"/>
          <w:i/>
          <w:u w:val="single"/>
        </w:rPr>
        <w:t>1.1  Neue gebilligte Projekte</w:t>
      </w:r>
    </w:p>
    <w:p w:rsidR="00AF7FF3" w:rsidRPr="000C40CC" w:rsidRDefault="00AF7FF3" w:rsidP="00AF7FF3">
      <w:pPr>
        <w:spacing w:after="240"/>
        <w:rPr>
          <w:rFonts w:cs="Arial"/>
        </w:rPr>
      </w:pPr>
      <w:r w:rsidRPr="000C40CC">
        <w:rPr>
          <w:rFonts w:cs="Arial"/>
        </w:rPr>
        <w:t>Keine.</w:t>
      </w:r>
    </w:p>
    <w:p w:rsidR="00AF7FF3" w:rsidRPr="000C40CC" w:rsidRDefault="00AF7FF3" w:rsidP="00AF7FF3">
      <w:pPr>
        <w:pStyle w:val="ListBullet"/>
        <w:numPr>
          <w:ilvl w:val="0"/>
          <w:numId w:val="0"/>
        </w:numPr>
        <w:tabs>
          <w:tab w:val="left" w:pos="720"/>
        </w:tabs>
        <w:ind w:left="283" w:hanging="283"/>
        <w:rPr>
          <w:rFonts w:eastAsia="Calibri" w:cs="Arial"/>
          <w:i/>
          <w:u w:val="single"/>
          <w:lang w:val="de-DE"/>
        </w:rPr>
      </w:pPr>
      <w:r w:rsidRPr="000C40CC">
        <w:rPr>
          <w:rFonts w:eastAsia="Calibri" w:cs="Arial"/>
          <w:i/>
          <w:u w:val="single"/>
          <w:lang w:val="de-DE"/>
        </w:rPr>
        <w:t>1.2 Laufende Projekte</w:t>
      </w:r>
    </w:p>
    <w:p w:rsidR="00AF7FF3" w:rsidRPr="000C40CC" w:rsidRDefault="00AF7FF3" w:rsidP="00AF7FF3">
      <w:pPr>
        <w:spacing w:after="240"/>
        <w:ind w:left="283"/>
        <w:rPr>
          <w:rFonts w:cs="Arial"/>
          <w:i/>
        </w:rPr>
      </w:pPr>
      <w:r w:rsidRPr="000C40CC">
        <w:rPr>
          <w:rFonts w:cs="Arial"/>
          <w:i/>
        </w:rPr>
        <w:t>a. Eine europäische Kartoffeldatenbank als zentralisierte Sammlung von allgemein bekannten Sorten</w:t>
      </w:r>
    </w:p>
    <w:p w:rsidR="00AF7FF3" w:rsidRPr="000C40CC" w:rsidRDefault="00AF7FF3" w:rsidP="00AF7FF3">
      <w:pPr>
        <w:spacing w:after="240"/>
        <w:rPr>
          <w:rFonts w:cs="Arial"/>
        </w:rPr>
      </w:pPr>
      <w:r w:rsidRPr="000C40CC">
        <w:rPr>
          <w:rFonts w:cs="Arial"/>
        </w:rPr>
        <w:t xml:space="preserve">Das Anfang 2014 gebilligte Projekt ist die Folgemaßnahme des bereits abgeschlossenen </w:t>
      </w:r>
      <w:r>
        <w:rPr>
          <w:rFonts w:cs="Arial"/>
        </w:rPr>
        <w:t xml:space="preserve">Projektes </w:t>
      </w:r>
      <w:r w:rsidRPr="000C40CC">
        <w:rPr>
          <w:rFonts w:cs="Arial"/>
        </w:rPr>
        <w:t xml:space="preserve">„Aufbau einer integrierten Datenbank für Mikrosatelliten und morphologische Kerneigenschaften von Kartoffelsorten im gemeinschaftlichen Katalog der EU“. Das neue Projekt wurde vom CPVO (Koordination) initiiert und bezieht die neun </w:t>
      </w:r>
      <w:r>
        <w:rPr>
          <w:rFonts w:cs="Arial"/>
        </w:rPr>
        <w:t>beauftragten Prüfung</w:t>
      </w:r>
      <w:r w:rsidRPr="000C40CC">
        <w:rPr>
          <w:rFonts w:cs="Arial"/>
        </w:rPr>
        <w:t xml:space="preserve">sämter für Kartoffeln </w:t>
      </w:r>
      <w:proofErr w:type="spellStart"/>
      <w:r w:rsidRPr="000C40CC">
        <w:rPr>
          <w:rFonts w:cs="Arial"/>
        </w:rPr>
        <w:t>Naktuinbouw</w:t>
      </w:r>
      <w:proofErr w:type="spellEnd"/>
      <w:r w:rsidRPr="000C40CC">
        <w:rPr>
          <w:rFonts w:cs="Arial"/>
        </w:rPr>
        <w:t xml:space="preserve"> (NL), SASA (UK), BSA (DE), COBORU (PL), OEVV (ES), DAF (IE), AGES (AT), UKZUZ (CZ), UKSUP (SK) und den Europäischen Saatgutverband (ESA)</w:t>
      </w:r>
      <w:r>
        <w:rPr>
          <w:rFonts w:cs="Arial"/>
        </w:rPr>
        <w:t xml:space="preserve"> ein</w:t>
      </w:r>
      <w:r w:rsidRPr="000C40CC">
        <w:rPr>
          <w:rFonts w:cs="Arial"/>
        </w:rPr>
        <w:t xml:space="preserve">. Ziel des </w:t>
      </w:r>
      <w:r>
        <w:rPr>
          <w:rFonts w:cs="Arial"/>
        </w:rPr>
        <w:t xml:space="preserve">Projektes </w:t>
      </w:r>
      <w:r w:rsidRPr="000C40CC">
        <w:rPr>
          <w:rFonts w:cs="Arial"/>
        </w:rPr>
        <w:t>ist die Erstellung und Erhaltung einer EU-Datenbank</w:t>
      </w:r>
      <w:r>
        <w:rPr>
          <w:rFonts w:cs="Arial"/>
        </w:rPr>
        <w:t xml:space="preserve"> </w:t>
      </w:r>
      <w:r w:rsidRPr="000C40CC">
        <w:rPr>
          <w:rFonts w:cs="Arial"/>
        </w:rPr>
        <w:t xml:space="preserve">für Kartoffelsorten, die morphologische und molekulare Daten und </w:t>
      </w:r>
      <w:r w:rsidRPr="00F82498">
        <w:rPr>
          <w:rFonts w:cs="Arial"/>
        </w:rPr>
        <w:t>Fotos von Lichtkeimen</w:t>
      </w:r>
      <w:r w:rsidRPr="000C40CC">
        <w:rPr>
          <w:rFonts w:cs="Arial"/>
        </w:rPr>
        <w:t xml:space="preserve"> </w:t>
      </w:r>
      <w:r>
        <w:rPr>
          <w:rFonts w:cs="Arial"/>
        </w:rPr>
        <w:t xml:space="preserve">sowie </w:t>
      </w:r>
      <w:r w:rsidRPr="000C40CC">
        <w:rPr>
          <w:rFonts w:cs="Arial"/>
        </w:rPr>
        <w:t>eine Sammlung von DNS-Proben dieser Sorten</w:t>
      </w:r>
      <w:r>
        <w:rPr>
          <w:rFonts w:cs="Arial"/>
        </w:rPr>
        <w:t xml:space="preserve"> </w:t>
      </w:r>
      <w:r w:rsidRPr="000C40CC">
        <w:rPr>
          <w:rFonts w:cs="Arial"/>
        </w:rPr>
        <w:t xml:space="preserve">enthält. </w:t>
      </w:r>
    </w:p>
    <w:p w:rsidR="00AF7FF3" w:rsidRPr="000C40CC" w:rsidRDefault="00AF7FF3" w:rsidP="00AF7FF3">
      <w:pPr>
        <w:widowControl w:val="0"/>
        <w:autoSpaceDE w:val="0"/>
        <w:autoSpaceDN w:val="0"/>
        <w:adjustRightInd w:val="0"/>
        <w:spacing w:after="240"/>
        <w:rPr>
          <w:rFonts w:cs="Arial"/>
        </w:rPr>
      </w:pPr>
      <w:r w:rsidRPr="000C40CC">
        <w:rPr>
          <w:rFonts w:cs="Arial"/>
        </w:rPr>
        <w:t>Die vollständige und unterhaltene</w:t>
      </w:r>
      <w:r>
        <w:rPr>
          <w:rFonts w:cs="Arial"/>
        </w:rPr>
        <w:t xml:space="preserve"> Datenbank </w:t>
      </w:r>
      <w:r w:rsidRPr="000C40CC">
        <w:rPr>
          <w:rFonts w:cs="Arial"/>
        </w:rPr>
        <w:t>als eine zentralisierte Sammlung morphologischer und molekularer Daten von allgemein bekannten Sorten wäre ein wichtiges Instrument für Prüfungsämter zur effizienten Organisation der DUS-Prüfung durch Bereitstellung verlässlicher Ergebnisse für eine Pflanze ohne lebende Vergleichssammlung. Die Verwendung einer zentralisierten</w:t>
      </w:r>
      <w:r>
        <w:rPr>
          <w:rFonts w:cs="Arial"/>
        </w:rPr>
        <w:t xml:space="preserve"> Datenbank </w:t>
      </w:r>
      <w:r w:rsidRPr="000C40CC">
        <w:rPr>
          <w:rFonts w:cs="Arial"/>
        </w:rPr>
        <w:t>würde die Qualität verbessern und sollte die Kosten der DUS-Prüfung im Vergleich zur Aufrechterhaltung mehrerer</w:t>
      </w:r>
      <w:r>
        <w:rPr>
          <w:rFonts w:cs="Arial"/>
        </w:rPr>
        <w:t xml:space="preserve"> Datenbanken </w:t>
      </w:r>
      <w:r w:rsidRPr="000C40CC">
        <w:rPr>
          <w:rFonts w:cs="Arial"/>
        </w:rPr>
        <w:t xml:space="preserve">auf </w:t>
      </w:r>
      <w:r>
        <w:rPr>
          <w:rFonts w:cs="Arial"/>
        </w:rPr>
        <w:t>national</w:t>
      </w:r>
      <w:r w:rsidRPr="000C40CC">
        <w:rPr>
          <w:rFonts w:cs="Arial"/>
        </w:rPr>
        <w:t>er Ebene verringern. Außerdem könnte ein Teil der</w:t>
      </w:r>
      <w:r>
        <w:rPr>
          <w:rFonts w:cs="Arial"/>
        </w:rPr>
        <w:t xml:space="preserve"> Datenbanken </w:t>
      </w:r>
      <w:r w:rsidRPr="000C40CC">
        <w:rPr>
          <w:rFonts w:cs="Arial"/>
        </w:rPr>
        <w:t xml:space="preserve">(molekulare Profile) neben ihrer Bestimmung für die DUS-Prüfung von Titelinhabern in Situationen, in denen sie ihr Recht durchsetzen möchten, benutzt werden. Eine Sachverständigentagung fand im Jahr 2014 in den Räumen des Bundessortenamtes in Magdeburg statt. Neben technischen Fragen wurden Fragen von Zugangsrechten und Vertraulichkeit von Daten und Datenergebnissen erörtert. </w:t>
      </w:r>
    </w:p>
    <w:p w:rsidR="00AF7FF3" w:rsidRPr="000C40CC" w:rsidRDefault="00AF7FF3" w:rsidP="00AF7FF3">
      <w:pPr>
        <w:spacing w:after="240"/>
        <w:rPr>
          <w:rFonts w:cs="Arial"/>
        </w:rPr>
      </w:pPr>
      <w:r w:rsidRPr="000C40CC">
        <w:rPr>
          <w:rFonts w:cs="Arial"/>
        </w:rPr>
        <w:t xml:space="preserve">Am 27. </w:t>
      </w:r>
      <w:r>
        <w:rPr>
          <w:rFonts w:cs="Arial"/>
        </w:rPr>
        <w:t>und</w:t>
      </w:r>
      <w:r w:rsidRPr="000C40CC">
        <w:rPr>
          <w:rFonts w:cs="Arial"/>
        </w:rPr>
        <w:t xml:space="preserve"> 28. Mai 2015 organisierte das CPVO die vierte Tagung von Kartoffelsachverständigen, um das Forschungs- und Entwicklungsprojekt für die Einrichtung einer gemeinsamen Datenbank</w:t>
      </w:r>
      <w:r>
        <w:rPr>
          <w:rFonts w:cs="Arial"/>
        </w:rPr>
        <w:t xml:space="preserve"> </w:t>
      </w:r>
      <w:r w:rsidRPr="000C40CC">
        <w:rPr>
          <w:rFonts w:cs="Arial"/>
        </w:rPr>
        <w:t>zu erörtern. Die Tagung wurde von AGES in Wien (AT)</w:t>
      </w:r>
      <w:r>
        <w:rPr>
          <w:rFonts w:cs="Arial"/>
        </w:rPr>
        <w:t xml:space="preserve"> </w:t>
      </w:r>
      <w:r w:rsidRPr="000C40CC">
        <w:rPr>
          <w:rFonts w:cs="Arial"/>
        </w:rPr>
        <w:t>ausgerichtet. Es nahmen 26 Teilnehmer teil</w:t>
      </w:r>
      <w:r>
        <w:rPr>
          <w:rFonts w:cs="Arial"/>
        </w:rPr>
        <w:t>, a</w:t>
      </w:r>
      <w:r w:rsidRPr="000C40CC">
        <w:rPr>
          <w:rFonts w:cs="Arial"/>
        </w:rPr>
        <w:t>lle von beauftragte</w:t>
      </w:r>
      <w:r>
        <w:rPr>
          <w:rFonts w:cs="Arial"/>
        </w:rPr>
        <w:t>n</w:t>
      </w:r>
      <w:r w:rsidRPr="000C40CC">
        <w:rPr>
          <w:rFonts w:cs="Arial"/>
        </w:rPr>
        <w:t xml:space="preserve"> Prüfungsämtern und den beiden Züchterverbände</w:t>
      </w:r>
      <w:r>
        <w:rPr>
          <w:rFonts w:cs="Arial"/>
        </w:rPr>
        <w:t>n</w:t>
      </w:r>
      <w:r w:rsidRPr="000C40CC">
        <w:rPr>
          <w:rFonts w:cs="Arial"/>
        </w:rPr>
        <w:t xml:space="preserve"> ESA und </w:t>
      </w:r>
      <w:proofErr w:type="spellStart"/>
      <w:r w:rsidRPr="000C40CC">
        <w:rPr>
          <w:rFonts w:cs="Arial"/>
        </w:rPr>
        <w:t>Plantum</w:t>
      </w:r>
      <w:proofErr w:type="spellEnd"/>
      <w:r w:rsidRPr="000C40CC">
        <w:rPr>
          <w:rFonts w:cs="Arial"/>
        </w:rPr>
        <w:t xml:space="preserve">. Da die Kartoffeldatenbank ein Pilotprojekt für die Zusammenarbeit zwischen verschiedenen Projektpartnern </w:t>
      </w:r>
      <w:r>
        <w:rPr>
          <w:rFonts w:cs="Arial"/>
        </w:rPr>
        <w:t xml:space="preserve">ist, wurden </w:t>
      </w:r>
      <w:r w:rsidRPr="000C40CC">
        <w:rPr>
          <w:rFonts w:cs="Arial"/>
        </w:rPr>
        <w:t xml:space="preserve">intensive Erörterungen geführt, die im </w:t>
      </w:r>
      <w:proofErr w:type="spellStart"/>
      <w:r w:rsidRPr="000C40CC">
        <w:rPr>
          <w:rFonts w:cs="Arial"/>
        </w:rPr>
        <w:t>wesentlichen</w:t>
      </w:r>
      <w:proofErr w:type="spellEnd"/>
      <w:r w:rsidRPr="000C40CC">
        <w:rPr>
          <w:rFonts w:cs="Arial"/>
        </w:rPr>
        <w:t xml:space="preserve"> zwischen den Projektpartnern (Prüfungsämter</w:t>
      </w:r>
      <w:r>
        <w:rPr>
          <w:rFonts w:cs="Arial"/>
        </w:rPr>
        <w:t>n</w:t>
      </w:r>
      <w:r w:rsidRPr="000C40CC">
        <w:rPr>
          <w:rFonts w:cs="Arial"/>
        </w:rPr>
        <w:t xml:space="preserve"> und ESA) zu schließende Vereinbarungen einerseits und die Labore</w:t>
      </w:r>
      <w:r>
        <w:rPr>
          <w:rFonts w:cs="Arial"/>
        </w:rPr>
        <w:t>, die</w:t>
      </w:r>
      <w:r w:rsidRPr="000C40CC">
        <w:rPr>
          <w:rFonts w:cs="Arial"/>
        </w:rPr>
        <w:t xml:space="preserve"> die molekulare Arbeit</w:t>
      </w:r>
      <w:r>
        <w:rPr>
          <w:rFonts w:cs="Arial"/>
        </w:rPr>
        <w:t xml:space="preserve"> durchführen,</w:t>
      </w:r>
      <w:r w:rsidRPr="000C40CC">
        <w:rPr>
          <w:rFonts w:cs="Arial"/>
        </w:rPr>
        <w:t xml:space="preserve"> andererseits sowie auch sehr praktische Fragen über die Sammlung von Daten, wie beispielsweise die Einreichung von Proben und Lieferung der erlangten Ergebnisse und </w:t>
      </w:r>
      <w:r>
        <w:rPr>
          <w:rFonts w:cs="Arial"/>
        </w:rPr>
        <w:t>die</w:t>
      </w:r>
      <w:r w:rsidRPr="000C40CC">
        <w:rPr>
          <w:rFonts w:cs="Arial"/>
        </w:rPr>
        <w:t xml:space="preserve"> Durchführung der Datenbank</w:t>
      </w:r>
      <w:r>
        <w:rPr>
          <w:rFonts w:cs="Arial"/>
        </w:rPr>
        <w:t xml:space="preserve">, </w:t>
      </w:r>
      <w:r w:rsidRPr="000C40CC">
        <w:rPr>
          <w:rFonts w:cs="Arial"/>
        </w:rPr>
        <w:t xml:space="preserve">betrafen. Die fünfte Tagung fand am 23. September 2015 in Angers </w:t>
      </w:r>
      <w:r>
        <w:rPr>
          <w:rFonts w:cs="Arial"/>
        </w:rPr>
        <w:t>i</w:t>
      </w:r>
      <w:r w:rsidRPr="000C40CC">
        <w:rPr>
          <w:rFonts w:cs="Arial"/>
        </w:rPr>
        <w:t xml:space="preserve">n Verbindung mit der Jahrestagung der </w:t>
      </w:r>
      <w:r>
        <w:rPr>
          <w:rFonts w:cs="Arial"/>
        </w:rPr>
        <w:t>Sachverständigen für Landwirtschaft</w:t>
      </w:r>
      <w:r w:rsidRPr="000C40CC">
        <w:rPr>
          <w:rFonts w:cs="Arial"/>
        </w:rPr>
        <w:t xml:space="preserve"> des CPVO statt. Der </w:t>
      </w:r>
      <w:proofErr w:type="spellStart"/>
      <w:r>
        <w:rPr>
          <w:rFonts w:cs="Arial"/>
        </w:rPr>
        <w:t>Abschluß</w:t>
      </w:r>
      <w:r w:rsidRPr="000C40CC">
        <w:rPr>
          <w:rFonts w:cs="Arial"/>
        </w:rPr>
        <w:t>bericht</w:t>
      </w:r>
      <w:proofErr w:type="spellEnd"/>
      <w:r w:rsidRPr="000C40CC">
        <w:rPr>
          <w:rFonts w:cs="Arial"/>
        </w:rPr>
        <w:t xml:space="preserve"> dieses Forschungs- und Entwicklungsprojektes wird Ende 2015 zur Verfügung stehen.</w:t>
      </w:r>
    </w:p>
    <w:p w:rsidR="00AF7FF3" w:rsidRPr="000C40CC" w:rsidRDefault="00AF7FF3" w:rsidP="00AF7FF3">
      <w:pPr>
        <w:autoSpaceDE w:val="0"/>
        <w:autoSpaceDN w:val="0"/>
        <w:adjustRightInd w:val="0"/>
        <w:spacing w:after="240"/>
        <w:ind w:left="720"/>
        <w:rPr>
          <w:rFonts w:cs="Arial"/>
          <w:i/>
        </w:rPr>
      </w:pPr>
      <w:r w:rsidRPr="000C40CC">
        <w:rPr>
          <w:rFonts w:cs="Arial"/>
          <w:i/>
        </w:rPr>
        <w:t>b. „Aufbau einer gemeinsamen Mais-Datenbank für DUS-Studien durch</w:t>
      </w:r>
      <w:r>
        <w:rPr>
          <w:rFonts w:cs="Arial"/>
          <w:i/>
        </w:rPr>
        <w:t xml:space="preserve"> eine</w:t>
      </w:r>
      <w:r w:rsidRPr="000C40CC">
        <w:rPr>
          <w:rFonts w:cs="Arial"/>
          <w:i/>
        </w:rPr>
        <w:t xml:space="preserve"> Partner</w:t>
      </w:r>
      <w:r>
        <w:rPr>
          <w:rFonts w:cs="Arial"/>
          <w:i/>
        </w:rPr>
        <w:t>s</w:t>
      </w:r>
      <w:r w:rsidRPr="000C40CC">
        <w:rPr>
          <w:rFonts w:cs="Arial"/>
          <w:i/>
        </w:rPr>
        <w:t>chaft zwischen der Tschechischen Republik, Ungarn, Slowakei und dem Gemeinschaftlichen Sortenamt”</w:t>
      </w:r>
    </w:p>
    <w:p w:rsidR="00AF7FF3" w:rsidRPr="000C40CC" w:rsidRDefault="00AF7FF3" w:rsidP="00AF7FF3">
      <w:pPr>
        <w:widowControl w:val="0"/>
        <w:autoSpaceDE w:val="0"/>
        <w:autoSpaceDN w:val="0"/>
        <w:adjustRightInd w:val="0"/>
        <w:spacing w:after="240"/>
        <w:rPr>
          <w:rFonts w:cs="Arial"/>
        </w:rPr>
      </w:pPr>
      <w:r w:rsidRPr="000C40CC">
        <w:rPr>
          <w:rFonts w:cs="Arial"/>
        </w:rPr>
        <w:t xml:space="preserve">Das im März 2014 vom Präsidenten des CPVO gebilligte Projekt wird vom Zentralen Institut für Überwachung und Prüfung in der Landwirtschaft (ÚKZÚZ) (Tschechische Republik) </w:t>
      </w:r>
      <w:r>
        <w:rPr>
          <w:rFonts w:cs="Arial"/>
        </w:rPr>
        <w:t xml:space="preserve">mit den Partnern NEBIH (HU) </w:t>
      </w:r>
      <w:proofErr w:type="spellStart"/>
      <w:r>
        <w:rPr>
          <w:rFonts w:cs="Arial"/>
        </w:rPr>
        <w:t>and</w:t>
      </w:r>
      <w:proofErr w:type="spellEnd"/>
      <w:r>
        <w:rPr>
          <w:rFonts w:cs="Arial"/>
        </w:rPr>
        <w:t xml:space="preserve"> UKSUP (SK) </w:t>
      </w:r>
      <w:r w:rsidRPr="000C40CC">
        <w:rPr>
          <w:rFonts w:cs="Arial"/>
        </w:rPr>
        <w:t xml:space="preserve">koordiniert. Ziel des </w:t>
      </w:r>
      <w:r>
        <w:rPr>
          <w:rFonts w:cs="Arial"/>
        </w:rPr>
        <w:t xml:space="preserve">Projektes </w:t>
      </w:r>
      <w:r w:rsidRPr="000C40CC">
        <w:rPr>
          <w:rFonts w:cs="Arial"/>
        </w:rPr>
        <w:t xml:space="preserve">ist der Aufbau einer gemeinsamen Mais-Datenbank für DUS-Studien durch </w:t>
      </w:r>
      <w:r>
        <w:rPr>
          <w:rFonts w:cs="Arial"/>
        </w:rPr>
        <w:t xml:space="preserve">eine </w:t>
      </w:r>
      <w:r w:rsidRPr="000C40CC">
        <w:rPr>
          <w:rFonts w:cs="Arial"/>
        </w:rPr>
        <w:t>Partner</w:t>
      </w:r>
      <w:r>
        <w:rPr>
          <w:rFonts w:cs="Arial"/>
        </w:rPr>
        <w:t>s</w:t>
      </w:r>
      <w:r w:rsidRPr="000C40CC">
        <w:rPr>
          <w:rFonts w:cs="Arial"/>
        </w:rPr>
        <w:t xml:space="preserve">chaft zwischen der Tschechischen Republik, Ungarn, der Slowakei und dem Gemeinschaftlichen Sortenamt. Diese Datenbank soll harmonisierte morphologische Beschreibungen von Maislinien und -hybriden gemäß den technischen CPVO-Protokollen aus allen teilnehmenden Ländern enthalten. Sie wird regelmäßig aktualisiert werden und jedem Partner und dem CPVO zur elektronischen Konsultation zur Verfügung stehen. Jeder Partner könnte folglich dafür zuständig sein, auf seinem Gelände nur das Saatgut von Sorten physisch zu erhalten, die seinen Klimabedingungen entsprechen und nicht in anderen Prüfungsämtern aufbewahrt werden. </w:t>
      </w:r>
      <w:r>
        <w:rPr>
          <w:rFonts w:cs="Arial"/>
        </w:rPr>
        <w:t xml:space="preserve">Während der Durchführung des Projektes ist ein Austausch von Informationen und Erfahrungen mit Sachverständigen von den drei Prüfungsämtern vorgesehen, die bereits eine Datenbank für Mais teilen. </w:t>
      </w:r>
      <w:r w:rsidRPr="000C40CC">
        <w:rPr>
          <w:rFonts w:cs="Arial"/>
        </w:rPr>
        <w:t>Das Projekt soll Ende 2015 abgeschlossen sein.</w:t>
      </w:r>
    </w:p>
    <w:p w:rsidR="00AF7FF3" w:rsidRPr="000C40CC" w:rsidRDefault="00AF7FF3" w:rsidP="00AF7FF3">
      <w:pPr>
        <w:pStyle w:val="Pa26"/>
        <w:spacing w:after="240" w:line="240" w:lineRule="auto"/>
        <w:ind w:left="720"/>
        <w:jc w:val="both"/>
        <w:rPr>
          <w:rFonts w:ascii="Arial" w:hAnsi="Arial" w:cs="Arial"/>
          <w:i/>
          <w:sz w:val="20"/>
          <w:szCs w:val="20"/>
          <w:lang w:val="de-DE" w:eastAsia="en-US"/>
        </w:rPr>
      </w:pPr>
      <w:r w:rsidRPr="000C40CC">
        <w:rPr>
          <w:rFonts w:ascii="Arial" w:hAnsi="Arial" w:cs="Arial"/>
          <w:i/>
          <w:sz w:val="20"/>
          <w:szCs w:val="20"/>
          <w:lang w:val="de-DE" w:eastAsia="en-US"/>
        </w:rPr>
        <w:t xml:space="preserve">c. </w:t>
      </w:r>
      <w:r>
        <w:rPr>
          <w:rFonts w:ascii="Arial" w:hAnsi="Arial" w:cs="Arial"/>
          <w:i/>
          <w:sz w:val="20"/>
          <w:szCs w:val="20"/>
          <w:lang w:val="de-DE" w:eastAsia="en-US"/>
        </w:rPr>
        <w:t>„</w:t>
      </w:r>
      <w:r w:rsidRPr="000C40CC">
        <w:rPr>
          <w:rFonts w:ascii="Arial" w:hAnsi="Arial" w:cs="Arial"/>
          <w:i/>
          <w:sz w:val="20"/>
          <w:szCs w:val="20"/>
          <w:lang w:val="de-DE"/>
        </w:rPr>
        <w:t xml:space="preserve">Wirkungsanalyse von Endophyten auf den Phänotypen von Sorten von </w:t>
      </w:r>
      <w:proofErr w:type="spellStart"/>
      <w:r w:rsidRPr="000C40CC">
        <w:rPr>
          <w:rFonts w:ascii="Arial" w:hAnsi="Arial" w:cs="Arial"/>
          <w:i/>
          <w:sz w:val="20"/>
          <w:szCs w:val="20"/>
          <w:lang w:val="de-DE"/>
        </w:rPr>
        <w:t>Lolium</w:t>
      </w:r>
      <w:proofErr w:type="spellEnd"/>
      <w:r w:rsidRPr="000C40CC">
        <w:rPr>
          <w:rFonts w:ascii="Arial" w:hAnsi="Arial" w:cs="Arial"/>
          <w:i/>
          <w:sz w:val="20"/>
          <w:szCs w:val="20"/>
          <w:lang w:val="de-DE"/>
        </w:rPr>
        <w:t xml:space="preserve"> </w:t>
      </w:r>
      <w:proofErr w:type="spellStart"/>
      <w:r w:rsidRPr="000C40CC">
        <w:rPr>
          <w:rFonts w:ascii="Arial" w:hAnsi="Arial" w:cs="Arial"/>
          <w:i/>
          <w:sz w:val="20"/>
          <w:szCs w:val="20"/>
          <w:lang w:val="de-DE"/>
        </w:rPr>
        <w:t>perenne</w:t>
      </w:r>
      <w:proofErr w:type="spellEnd"/>
      <w:r w:rsidRPr="000C40CC">
        <w:rPr>
          <w:rFonts w:ascii="Arial" w:hAnsi="Arial" w:cs="Arial"/>
          <w:i/>
          <w:sz w:val="20"/>
          <w:szCs w:val="20"/>
          <w:lang w:val="de-DE"/>
        </w:rPr>
        <w:t xml:space="preserve"> und </w:t>
      </w:r>
      <w:proofErr w:type="spellStart"/>
      <w:r w:rsidRPr="000C40CC">
        <w:rPr>
          <w:rFonts w:ascii="Arial" w:hAnsi="Arial" w:cs="Arial"/>
          <w:i/>
          <w:sz w:val="20"/>
          <w:szCs w:val="20"/>
          <w:lang w:val="de-DE"/>
        </w:rPr>
        <w:t>Festuca</w:t>
      </w:r>
      <w:proofErr w:type="spellEnd"/>
      <w:r w:rsidRPr="000C40CC">
        <w:rPr>
          <w:rFonts w:ascii="Arial" w:hAnsi="Arial" w:cs="Arial"/>
          <w:i/>
          <w:sz w:val="20"/>
          <w:szCs w:val="20"/>
          <w:lang w:val="de-DE"/>
        </w:rPr>
        <w:t xml:space="preserve"> </w:t>
      </w:r>
      <w:proofErr w:type="spellStart"/>
      <w:r w:rsidRPr="000C40CC">
        <w:rPr>
          <w:rFonts w:ascii="Arial" w:hAnsi="Arial" w:cs="Arial"/>
          <w:i/>
          <w:sz w:val="20"/>
          <w:szCs w:val="20"/>
          <w:lang w:val="de-DE"/>
        </w:rPr>
        <w:t>arundinacea</w:t>
      </w:r>
      <w:proofErr w:type="spellEnd"/>
      <w:r>
        <w:rPr>
          <w:rFonts w:ascii="Arial" w:hAnsi="Arial" w:cs="Arial"/>
          <w:i/>
          <w:sz w:val="20"/>
          <w:szCs w:val="20"/>
          <w:lang w:val="de-DE"/>
        </w:rPr>
        <w:t>“</w:t>
      </w:r>
    </w:p>
    <w:p w:rsidR="00AF7FF3" w:rsidRPr="000C40CC" w:rsidRDefault="00AF7FF3" w:rsidP="00AF7FF3">
      <w:pPr>
        <w:spacing w:after="240"/>
        <w:rPr>
          <w:rFonts w:cs="Arial"/>
        </w:rPr>
      </w:pPr>
      <w:r w:rsidRPr="000C40CC">
        <w:rPr>
          <w:rFonts w:cs="Arial"/>
        </w:rPr>
        <w:t xml:space="preserve">Dieses Projekt wird vom CPVO und der </w:t>
      </w:r>
      <w:r w:rsidRPr="002F0635">
        <w:rPr>
          <w:rFonts w:cs="Arial"/>
        </w:rPr>
        <w:t xml:space="preserve">Behörde für Nahrungsmittel- und Umweltforschung </w:t>
      </w:r>
      <w:r w:rsidRPr="000C40CC">
        <w:rPr>
          <w:rFonts w:cs="Arial"/>
        </w:rPr>
        <w:t xml:space="preserve">FERA </w:t>
      </w:r>
      <w:r>
        <w:rPr>
          <w:rFonts w:cs="Arial"/>
        </w:rPr>
        <w:t>(UK)</w:t>
      </w:r>
      <w:r w:rsidRPr="000C40CC">
        <w:rPr>
          <w:rFonts w:cs="Arial"/>
        </w:rPr>
        <w:t xml:space="preserve"> mit den folgenden Projektpartnern koordiniert: Bundessortenamt (D</w:t>
      </w:r>
      <w:r>
        <w:rPr>
          <w:rFonts w:cs="Arial"/>
        </w:rPr>
        <w:t>E</w:t>
      </w:r>
      <w:r w:rsidRPr="000C40CC">
        <w:rPr>
          <w:rFonts w:cs="Arial"/>
        </w:rPr>
        <w:t xml:space="preserve">), ESA (Züchtungsunternehmen: DLF Trifolium und </w:t>
      </w:r>
      <w:proofErr w:type="spellStart"/>
      <w:r w:rsidRPr="000C40CC">
        <w:rPr>
          <w:rFonts w:cs="Arial"/>
        </w:rPr>
        <w:t>Barenbrug</w:t>
      </w:r>
      <w:proofErr w:type="spellEnd"/>
      <w:r w:rsidRPr="000C40CC">
        <w:rPr>
          <w:rFonts w:cs="Arial"/>
        </w:rPr>
        <w:t>)</w:t>
      </w:r>
      <w:r>
        <w:rPr>
          <w:rFonts w:cs="Arial"/>
        </w:rPr>
        <w:t xml:space="preserve"> und </w:t>
      </w:r>
      <w:r w:rsidRPr="000C40CC">
        <w:rPr>
          <w:rFonts w:cs="Arial"/>
        </w:rPr>
        <w:t>GEVES (F</w:t>
      </w:r>
      <w:r>
        <w:rPr>
          <w:rFonts w:cs="Arial"/>
        </w:rPr>
        <w:t>R</w:t>
      </w:r>
      <w:r w:rsidRPr="000C40CC">
        <w:rPr>
          <w:rFonts w:cs="Arial"/>
        </w:rPr>
        <w:t xml:space="preserve">). Ziel des Projektes ist die Klärung der möglichen Wirkung der Anwesenheit von Endophyten in Sorten von </w:t>
      </w:r>
      <w:proofErr w:type="spellStart"/>
      <w:r w:rsidRPr="002F0635">
        <w:rPr>
          <w:rFonts w:cs="Arial"/>
          <w:i/>
        </w:rPr>
        <w:t>Lolium</w:t>
      </w:r>
      <w:proofErr w:type="spellEnd"/>
      <w:r w:rsidRPr="002F0635">
        <w:rPr>
          <w:rFonts w:cs="Arial"/>
          <w:i/>
        </w:rPr>
        <w:t xml:space="preserve"> </w:t>
      </w:r>
      <w:proofErr w:type="spellStart"/>
      <w:r w:rsidRPr="002F0635">
        <w:rPr>
          <w:rFonts w:cs="Arial"/>
          <w:i/>
        </w:rPr>
        <w:t>perenne</w:t>
      </w:r>
      <w:proofErr w:type="spellEnd"/>
      <w:r w:rsidRPr="000C40CC">
        <w:rPr>
          <w:rFonts w:cs="Arial"/>
        </w:rPr>
        <w:t xml:space="preserve"> (</w:t>
      </w:r>
      <w:proofErr w:type="spellStart"/>
      <w:r w:rsidRPr="000C40CC">
        <w:rPr>
          <w:rFonts w:cs="Arial"/>
        </w:rPr>
        <w:t>Lp</w:t>
      </w:r>
      <w:proofErr w:type="spellEnd"/>
      <w:r w:rsidRPr="000C40CC">
        <w:rPr>
          <w:rFonts w:cs="Arial"/>
        </w:rPr>
        <w:t xml:space="preserve">) und </w:t>
      </w:r>
      <w:proofErr w:type="spellStart"/>
      <w:r w:rsidRPr="002F0635">
        <w:rPr>
          <w:rFonts w:cs="Arial"/>
          <w:i/>
        </w:rPr>
        <w:t>Festuca</w:t>
      </w:r>
      <w:proofErr w:type="spellEnd"/>
      <w:r w:rsidRPr="002F0635">
        <w:rPr>
          <w:rFonts w:cs="Arial"/>
          <w:i/>
        </w:rPr>
        <w:t xml:space="preserve"> </w:t>
      </w:r>
      <w:proofErr w:type="spellStart"/>
      <w:r w:rsidRPr="002F0635">
        <w:rPr>
          <w:rFonts w:cs="Arial"/>
          <w:i/>
        </w:rPr>
        <w:t>arundinacea</w:t>
      </w:r>
      <w:proofErr w:type="spellEnd"/>
      <w:r w:rsidRPr="000C40CC">
        <w:rPr>
          <w:rFonts w:cs="Arial"/>
        </w:rPr>
        <w:t xml:space="preserve"> (</w:t>
      </w:r>
      <w:proofErr w:type="spellStart"/>
      <w:r w:rsidRPr="000C40CC">
        <w:rPr>
          <w:rFonts w:cs="Arial"/>
        </w:rPr>
        <w:t>Fa</w:t>
      </w:r>
      <w:proofErr w:type="spellEnd"/>
      <w:r w:rsidRPr="000C40CC">
        <w:rPr>
          <w:rFonts w:cs="Arial"/>
        </w:rPr>
        <w:t>) auf den Phänotypen und somit auf die Ausprägung der Merkmale, die während der DUS-Prüfungen beobachtet werden</w:t>
      </w:r>
      <w:r>
        <w:rPr>
          <w:rFonts w:cs="Arial"/>
        </w:rPr>
        <w:t>,</w:t>
      </w:r>
      <w:r w:rsidRPr="000C40CC">
        <w:rPr>
          <w:rFonts w:cs="Arial"/>
        </w:rPr>
        <w:t xml:space="preserve"> sowie etwaige Folgen bezüglich der Qualitätsanforderungen an das zu diesem Zweck einzureichende Material. Das Projekt sieht die Bewertung von vier Sorten jeder Art mit zwei Stufen von </w:t>
      </w:r>
      <w:proofErr w:type="spellStart"/>
      <w:r w:rsidRPr="000C40CC">
        <w:rPr>
          <w:rFonts w:cs="Arial"/>
        </w:rPr>
        <w:t>Endophytinfektionen</w:t>
      </w:r>
      <w:proofErr w:type="spellEnd"/>
      <w:r w:rsidRPr="000C40CC">
        <w:rPr>
          <w:rFonts w:cs="Arial"/>
        </w:rPr>
        <w:t xml:space="preserve"> (0 % und 100 %</w:t>
      </w:r>
      <w:r>
        <w:rPr>
          <w:rFonts w:cs="Arial"/>
        </w:rPr>
        <w:t xml:space="preserve"> </w:t>
      </w:r>
      <w:r w:rsidRPr="000C40CC">
        <w:rPr>
          <w:rFonts w:cs="Arial"/>
        </w:rPr>
        <w:t>Endophyten) vor. Diese Sorten werden in zwei Wachstumsperioden unter Verwendung des entsprechenden technischen Protokolls des CPVO in die reguläre DUS-Prüfung integriert</w:t>
      </w:r>
      <w:r>
        <w:rPr>
          <w:rFonts w:cs="Arial"/>
        </w:rPr>
        <w:t>. D</w:t>
      </w:r>
      <w:r w:rsidRPr="000C40CC">
        <w:rPr>
          <w:rFonts w:cs="Arial"/>
        </w:rPr>
        <w:t xml:space="preserve">ie Vorbereitung des Pflanzenmaterials begann im Jahr 2013. Ein erster Zwischenbericht legt nahe, </w:t>
      </w:r>
      <w:proofErr w:type="spellStart"/>
      <w:r w:rsidRPr="000C40CC">
        <w:rPr>
          <w:rFonts w:cs="Arial"/>
        </w:rPr>
        <w:t>daß</w:t>
      </w:r>
      <w:proofErr w:type="spellEnd"/>
      <w:r w:rsidRPr="000C40CC">
        <w:rPr>
          <w:rFonts w:cs="Arial"/>
        </w:rPr>
        <w:t xml:space="preserve"> es</w:t>
      </w:r>
      <w:r>
        <w:rPr>
          <w:rFonts w:cs="Arial"/>
        </w:rPr>
        <w:t xml:space="preserve"> möglicherweise</w:t>
      </w:r>
      <w:r w:rsidRPr="000C40CC">
        <w:rPr>
          <w:rFonts w:cs="Arial"/>
        </w:rPr>
        <w:t xml:space="preserve"> keine erheblichen Auswirkungen gibt; Die abschließende Bewertung wird jedoch im Jahr 2015 stattfinden. Der </w:t>
      </w:r>
      <w:proofErr w:type="spellStart"/>
      <w:r>
        <w:rPr>
          <w:rFonts w:cs="Arial"/>
        </w:rPr>
        <w:t>Abschluß</w:t>
      </w:r>
      <w:r w:rsidRPr="000C40CC">
        <w:rPr>
          <w:rFonts w:cs="Arial"/>
        </w:rPr>
        <w:t>bericht</w:t>
      </w:r>
      <w:proofErr w:type="spellEnd"/>
      <w:r w:rsidRPr="000C40CC">
        <w:rPr>
          <w:rFonts w:cs="Arial"/>
        </w:rPr>
        <w:t xml:space="preserve"> wird Ende 2015</w:t>
      </w:r>
      <w:r>
        <w:rPr>
          <w:rFonts w:cs="Arial"/>
        </w:rPr>
        <w:t xml:space="preserve"> </w:t>
      </w:r>
      <w:r w:rsidRPr="000C40CC">
        <w:rPr>
          <w:rFonts w:cs="Arial"/>
        </w:rPr>
        <w:t>erwartet.</w:t>
      </w:r>
    </w:p>
    <w:p w:rsidR="00AF7FF3" w:rsidRPr="000C40CC" w:rsidRDefault="00AF7FF3" w:rsidP="00AF7FF3">
      <w:pPr>
        <w:spacing w:after="240"/>
        <w:ind w:left="720"/>
        <w:rPr>
          <w:rFonts w:eastAsia="Calibri" w:cs="Arial"/>
          <w:i/>
        </w:rPr>
      </w:pPr>
      <w:r w:rsidRPr="000C40CC">
        <w:rPr>
          <w:rFonts w:eastAsia="Calibri" w:cs="Arial"/>
          <w:i/>
        </w:rPr>
        <w:t>d. „Harmonisierung der Krankheitsresistenzen von Gemüsesorten“</w:t>
      </w:r>
    </w:p>
    <w:p w:rsidR="00AF7FF3" w:rsidRPr="000C40CC" w:rsidRDefault="00AF7FF3" w:rsidP="00AF7FF3">
      <w:pPr>
        <w:widowControl w:val="0"/>
        <w:autoSpaceDE w:val="0"/>
        <w:autoSpaceDN w:val="0"/>
        <w:adjustRightInd w:val="0"/>
        <w:spacing w:after="240"/>
        <w:rPr>
          <w:rFonts w:cs="Arial"/>
        </w:rPr>
      </w:pPr>
      <w:r w:rsidRPr="000C40CC">
        <w:rPr>
          <w:rFonts w:cs="Arial"/>
        </w:rPr>
        <w:t xml:space="preserve">Dieses Projekt wurde im Jahr 2012 </w:t>
      </w:r>
      <w:r>
        <w:rPr>
          <w:rFonts w:cs="Arial"/>
        </w:rPr>
        <w:t>initiiert</w:t>
      </w:r>
      <w:r w:rsidRPr="000C40CC">
        <w:rPr>
          <w:rFonts w:cs="Arial"/>
        </w:rPr>
        <w:t xml:space="preserve"> und wird von GEVES (FR) mit Projektpartnern vom ÚKZÚZ (CZ), BSA (DE), OEVV (ES), NEBIH (HU), </w:t>
      </w:r>
      <w:proofErr w:type="spellStart"/>
      <w:r w:rsidRPr="000C40CC">
        <w:rPr>
          <w:rFonts w:cs="Arial"/>
        </w:rPr>
        <w:t>Naktuinbouw</w:t>
      </w:r>
      <w:proofErr w:type="spellEnd"/>
      <w:r w:rsidRPr="000C40CC">
        <w:rPr>
          <w:rFonts w:cs="Arial"/>
        </w:rPr>
        <w:t xml:space="preserve"> (NL), UK und ESA</w:t>
      </w:r>
      <w:r>
        <w:rPr>
          <w:rFonts w:cs="Arial"/>
        </w:rPr>
        <w:t xml:space="preserve"> </w:t>
      </w:r>
      <w:r w:rsidRPr="000C40CC">
        <w:rPr>
          <w:rFonts w:cs="Arial"/>
        </w:rPr>
        <w:t xml:space="preserve">koordiniert. Dieses Projekt ist ein Folgeprojekt des 2008 abgeschlossenen Vorläufers „Harmonisierung von Krankheitsresistenzen von Gemüsesorten“, auch wenn das neue Projekt auch Krankheitsresistenzen von Paprika, Erbse und Salat </w:t>
      </w:r>
      <w:proofErr w:type="spellStart"/>
      <w:r w:rsidRPr="000C40CC">
        <w:rPr>
          <w:rFonts w:cs="Arial"/>
        </w:rPr>
        <w:t>umfaßt</w:t>
      </w:r>
      <w:proofErr w:type="spellEnd"/>
      <w:r w:rsidRPr="000C40CC">
        <w:rPr>
          <w:rFonts w:cs="Arial"/>
        </w:rPr>
        <w:t xml:space="preserve">. Das Ziel des Projektes besteht </w:t>
      </w:r>
      <w:r>
        <w:rPr>
          <w:rFonts w:cs="Arial"/>
        </w:rPr>
        <w:t>in der Sicherstellung</w:t>
      </w:r>
      <w:r w:rsidRPr="000C40CC">
        <w:rPr>
          <w:rFonts w:cs="Arial"/>
        </w:rPr>
        <w:t xml:space="preserve">, </w:t>
      </w:r>
      <w:proofErr w:type="spellStart"/>
      <w:r w:rsidRPr="000C40CC">
        <w:rPr>
          <w:rFonts w:cs="Arial"/>
        </w:rPr>
        <w:t>daß</w:t>
      </w:r>
      <w:proofErr w:type="spellEnd"/>
      <w:r w:rsidRPr="000C40CC">
        <w:rPr>
          <w:rFonts w:cs="Arial"/>
        </w:rPr>
        <w:t xml:space="preserve"> Prüfungsämter und Züchter, die mit den ausgewählten Prüfungen auf Krankheitsresistenz arbeiten, gemeinsame Verfahren verwenden und die Krankheitssymptome, die aus diesen Prüfungen </w:t>
      </w:r>
      <w:r>
        <w:rPr>
          <w:rFonts w:cs="Arial"/>
        </w:rPr>
        <w:t xml:space="preserve">hervorgehen, </w:t>
      </w:r>
      <w:r w:rsidRPr="000C40CC">
        <w:rPr>
          <w:rFonts w:cs="Arial"/>
        </w:rPr>
        <w:t>auf die gleiche Weise</w:t>
      </w:r>
      <w:r>
        <w:rPr>
          <w:rFonts w:cs="Arial"/>
        </w:rPr>
        <w:t xml:space="preserve"> auslegen können</w:t>
      </w:r>
      <w:r w:rsidRPr="000C40CC">
        <w:rPr>
          <w:rFonts w:cs="Arial"/>
        </w:rPr>
        <w:t>. Eine erste Tagung wurde von GEVES, dem Projektkoordinator</w:t>
      </w:r>
      <w:r>
        <w:rPr>
          <w:rFonts w:cs="Arial"/>
        </w:rPr>
        <w:t>,</w:t>
      </w:r>
      <w:r w:rsidRPr="000C40CC">
        <w:rPr>
          <w:rFonts w:cs="Arial"/>
        </w:rPr>
        <w:t xml:space="preserve"> Ende Juni </w:t>
      </w:r>
      <w:r>
        <w:rPr>
          <w:rFonts w:cs="Arial"/>
        </w:rPr>
        <w:t>2012</w:t>
      </w:r>
      <w:r w:rsidRPr="000C40CC">
        <w:rPr>
          <w:rFonts w:cs="Arial"/>
        </w:rPr>
        <w:t xml:space="preserve"> organisiert</w:t>
      </w:r>
      <w:r>
        <w:rPr>
          <w:rFonts w:cs="Arial"/>
        </w:rPr>
        <w:t xml:space="preserve">, </w:t>
      </w:r>
      <w:r w:rsidRPr="000C40CC">
        <w:rPr>
          <w:rFonts w:cs="Arial"/>
        </w:rPr>
        <w:t xml:space="preserve">um </w:t>
      </w:r>
      <w:r>
        <w:rPr>
          <w:rFonts w:cs="Arial"/>
        </w:rPr>
        <w:t xml:space="preserve">ein </w:t>
      </w:r>
      <w:r w:rsidRPr="000C40CC">
        <w:rPr>
          <w:rFonts w:cs="Arial"/>
        </w:rPr>
        <w:t xml:space="preserve">einvernehmliches Einverständnis unter den Projektpartnern über den Zeitplan der durchzuführenden Arbeit und die </w:t>
      </w:r>
      <w:proofErr w:type="spellStart"/>
      <w:r w:rsidRPr="000C40CC">
        <w:rPr>
          <w:rFonts w:cs="Arial"/>
        </w:rPr>
        <w:t>Pathotypen</w:t>
      </w:r>
      <w:proofErr w:type="spellEnd"/>
      <w:r w:rsidRPr="000C40CC">
        <w:rPr>
          <w:rFonts w:cs="Arial"/>
        </w:rPr>
        <w:t>/Isolate und Beispielsorten, die verwendet werden würden</w:t>
      </w:r>
      <w:r>
        <w:rPr>
          <w:rFonts w:cs="Arial"/>
        </w:rPr>
        <w:t xml:space="preserve">, </w:t>
      </w:r>
      <w:r w:rsidRPr="000C40CC">
        <w:rPr>
          <w:rFonts w:cs="Arial"/>
        </w:rPr>
        <w:t xml:space="preserve">zu </w:t>
      </w:r>
      <w:r>
        <w:rPr>
          <w:rFonts w:cs="Arial"/>
        </w:rPr>
        <w:t>e</w:t>
      </w:r>
      <w:r w:rsidRPr="000C40CC">
        <w:rPr>
          <w:rFonts w:cs="Arial"/>
        </w:rPr>
        <w:t>rlangen. Die in der zweiten Hälfte von 2012 durchgeführte Arbeit konzentrierte sich auf die Beschreibung und den Vergleich der bestehenden Prüfungen für diese Krankheit</w:t>
      </w:r>
      <w:r>
        <w:rPr>
          <w:rFonts w:cs="Arial"/>
        </w:rPr>
        <w:t>sr</w:t>
      </w:r>
      <w:r w:rsidRPr="000C40CC">
        <w:rPr>
          <w:rFonts w:cs="Arial"/>
        </w:rPr>
        <w:t xml:space="preserve">esistenzen. Die zweite Tagung der Gruppe fand im Mai 2013 statt und das CPVO erhielt den ersten Zwischenbericht im August 2013. </w:t>
      </w:r>
    </w:p>
    <w:p w:rsidR="00AF7FF3" w:rsidRPr="000C40CC" w:rsidRDefault="00AF7FF3" w:rsidP="00AF7FF3">
      <w:pPr>
        <w:widowControl w:val="0"/>
        <w:autoSpaceDE w:val="0"/>
        <w:autoSpaceDN w:val="0"/>
        <w:adjustRightInd w:val="0"/>
        <w:spacing w:after="240"/>
        <w:rPr>
          <w:rFonts w:cs="Arial"/>
        </w:rPr>
      </w:pPr>
      <w:r w:rsidRPr="000C40CC">
        <w:rPr>
          <w:rFonts w:cs="Arial"/>
        </w:rPr>
        <w:t xml:space="preserve">Die dritte Tagung der Gruppe fand im April 2014 in </w:t>
      </w:r>
      <w:proofErr w:type="spellStart"/>
      <w:r w:rsidRPr="000C40CC">
        <w:rPr>
          <w:rFonts w:cs="Arial"/>
        </w:rPr>
        <w:t>Roelofarendsveen</w:t>
      </w:r>
      <w:proofErr w:type="spellEnd"/>
      <w:r w:rsidRPr="000C40CC">
        <w:rPr>
          <w:rFonts w:cs="Arial"/>
        </w:rPr>
        <w:t xml:space="preserve"> (NL) statt. </w:t>
      </w:r>
      <w:r>
        <w:rPr>
          <w:rFonts w:cs="Arial"/>
        </w:rPr>
        <w:t>Die</w:t>
      </w:r>
      <w:r w:rsidRPr="000C40CC">
        <w:rPr>
          <w:rFonts w:cs="Arial"/>
        </w:rPr>
        <w:t xml:space="preserve"> Projektpartner berichteten über den Fortschritt, den sie bei den ausgewiesenen Isolaten und </w:t>
      </w:r>
      <w:proofErr w:type="spellStart"/>
      <w:r w:rsidRPr="000C40CC">
        <w:rPr>
          <w:rFonts w:cs="Arial"/>
        </w:rPr>
        <w:t>Pathotypen</w:t>
      </w:r>
      <w:proofErr w:type="spellEnd"/>
      <w:r w:rsidRPr="000C40CC">
        <w:rPr>
          <w:rFonts w:cs="Arial"/>
        </w:rPr>
        <w:t xml:space="preserve"> im Laufe der vorhergehenden zwölf Monate</w:t>
      </w:r>
      <w:r>
        <w:rPr>
          <w:rFonts w:cs="Arial"/>
        </w:rPr>
        <w:t xml:space="preserve"> gemacht hatten</w:t>
      </w:r>
      <w:r w:rsidRPr="000C40CC">
        <w:rPr>
          <w:rFonts w:cs="Arial"/>
        </w:rPr>
        <w:t xml:space="preserve">. Die Partner wiesen auch die Bereiche aus, </w:t>
      </w:r>
      <w:r>
        <w:rPr>
          <w:rFonts w:cs="Arial"/>
        </w:rPr>
        <w:t>auf die man sich noch konzentrieren müsste</w:t>
      </w:r>
      <w:r w:rsidRPr="000C40CC">
        <w:rPr>
          <w:rFonts w:cs="Arial"/>
        </w:rPr>
        <w:t>, um die korrekte Auslegung von Laborergebnissen zu gewährleisten. Auf dieser Tagung stellte das CPVO auch die Ergebnisse einer</w:t>
      </w:r>
      <w:r>
        <w:rPr>
          <w:rFonts w:cs="Arial"/>
        </w:rPr>
        <w:t xml:space="preserve"> ESA/CPVO-</w:t>
      </w:r>
      <w:r w:rsidRPr="000C40CC">
        <w:rPr>
          <w:rFonts w:cs="Arial"/>
        </w:rPr>
        <w:t>Befragung vor, die einige Monate vorher über Probleme</w:t>
      </w:r>
      <w:r>
        <w:rPr>
          <w:rFonts w:cs="Arial"/>
        </w:rPr>
        <w:t xml:space="preserve"> </w:t>
      </w:r>
      <w:r w:rsidRPr="000C40CC">
        <w:rPr>
          <w:rFonts w:cs="Arial"/>
        </w:rPr>
        <w:t xml:space="preserve">durchgeführt worden war, auf die </w:t>
      </w:r>
      <w:r w:rsidRPr="000C40CC">
        <w:t>Gemüsesaatgutf</w:t>
      </w:r>
      <w:r w:rsidRPr="000C40CC">
        <w:rPr>
          <w:bCs/>
        </w:rPr>
        <w:t>irmen</w:t>
      </w:r>
      <w:r w:rsidRPr="000C40CC">
        <w:rPr>
          <w:rFonts w:cs="Arial"/>
        </w:rPr>
        <w:t xml:space="preserve"> bei der Durchführung einer dieser in den CPVO-Protokollen für Gemüsepflanzen angegebenen</w:t>
      </w:r>
      <w:r w:rsidRPr="002F0635">
        <w:rPr>
          <w:rFonts w:cs="Arial"/>
        </w:rPr>
        <w:t xml:space="preserve"> </w:t>
      </w:r>
      <w:r w:rsidRPr="000C40CC">
        <w:rPr>
          <w:rFonts w:cs="Arial"/>
        </w:rPr>
        <w:t>Krankheitsresistenzprüfungen</w:t>
      </w:r>
      <w:r>
        <w:rPr>
          <w:rFonts w:cs="Arial"/>
        </w:rPr>
        <w:t xml:space="preserve"> </w:t>
      </w:r>
      <w:r w:rsidRPr="000C40CC">
        <w:rPr>
          <w:rFonts w:cs="Arial"/>
        </w:rPr>
        <w:t xml:space="preserve">gestoßen waren; das CPVO gab an, </w:t>
      </w:r>
      <w:proofErr w:type="spellStart"/>
      <w:r w:rsidRPr="000C40CC">
        <w:rPr>
          <w:rFonts w:cs="Arial"/>
        </w:rPr>
        <w:t>daß</w:t>
      </w:r>
      <w:proofErr w:type="spellEnd"/>
      <w:r w:rsidRPr="000C40CC">
        <w:rPr>
          <w:rFonts w:cs="Arial"/>
        </w:rPr>
        <w:t xml:space="preserve"> einige davon die Grundlage für ein künftiges „</w:t>
      </w:r>
      <w:proofErr w:type="spellStart"/>
      <w:r w:rsidRPr="000C40CC">
        <w:rPr>
          <w:rFonts w:cs="Arial"/>
        </w:rPr>
        <w:t>Harmores</w:t>
      </w:r>
      <w:proofErr w:type="spellEnd"/>
      <w:r w:rsidRPr="000C40CC">
        <w:rPr>
          <w:rFonts w:cs="Arial"/>
        </w:rPr>
        <w:t xml:space="preserve"> 3“-Projekt bilden könnten. </w:t>
      </w:r>
    </w:p>
    <w:p w:rsidR="00AF7FF3" w:rsidRPr="000C40CC" w:rsidRDefault="00AF7FF3" w:rsidP="00AF7FF3">
      <w:pPr>
        <w:widowControl w:val="0"/>
        <w:autoSpaceDE w:val="0"/>
        <w:autoSpaceDN w:val="0"/>
        <w:adjustRightInd w:val="0"/>
        <w:spacing w:after="240"/>
        <w:rPr>
          <w:rFonts w:cs="Arial"/>
        </w:rPr>
      </w:pPr>
      <w:r w:rsidRPr="000C40CC">
        <w:rPr>
          <w:rFonts w:cs="Arial"/>
        </w:rPr>
        <w:t xml:space="preserve">Im Laufe der zweiten </w:t>
      </w:r>
      <w:r>
        <w:rPr>
          <w:rFonts w:cs="Arial"/>
        </w:rPr>
        <w:t>Jahresh</w:t>
      </w:r>
      <w:r w:rsidRPr="000C40CC">
        <w:rPr>
          <w:rFonts w:cs="Arial"/>
        </w:rPr>
        <w:t>älfte von 2014 tauschten die Projektpartner weiterhin Ergebnisse aus, um die künftigen untersuchten harmonisierten Krankheitsresistenzprüfungsverfahren für das „</w:t>
      </w:r>
      <w:proofErr w:type="spellStart"/>
      <w:r w:rsidRPr="000C40CC">
        <w:rPr>
          <w:rFonts w:cs="Arial"/>
        </w:rPr>
        <w:t>Harmores</w:t>
      </w:r>
      <w:proofErr w:type="spellEnd"/>
      <w:r w:rsidRPr="000C40CC">
        <w:rPr>
          <w:rFonts w:cs="Arial"/>
        </w:rPr>
        <w:t xml:space="preserve"> 2“-Projekt</w:t>
      </w:r>
      <w:r>
        <w:rPr>
          <w:rFonts w:cs="Arial"/>
        </w:rPr>
        <w:t xml:space="preserve"> zu verfeinern</w:t>
      </w:r>
      <w:r w:rsidRPr="000C40CC">
        <w:rPr>
          <w:rFonts w:cs="Arial"/>
        </w:rPr>
        <w:t xml:space="preserve">. In diesem Sinne organisierte GEVES Anfang November in Anger zwei Arbeitstagungen an aufeinanderfolgenden Tagen für die Projektpartner. Eine bestand in praktischer Laborarbeit über </w:t>
      </w:r>
      <w:proofErr w:type="spellStart"/>
      <w:r w:rsidRPr="000C40CC">
        <w:rPr>
          <w:rFonts w:cs="Arial"/>
          <w:i/>
        </w:rPr>
        <w:t>Bremia</w:t>
      </w:r>
      <w:proofErr w:type="spellEnd"/>
      <w:r w:rsidRPr="000C40CC">
        <w:rPr>
          <w:rFonts w:cs="Arial"/>
          <w:i/>
        </w:rPr>
        <w:t xml:space="preserve"> </w:t>
      </w:r>
      <w:proofErr w:type="spellStart"/>
      <w:r w:rsidRPr="000C40CC">
        <w:rPr>
          <w:rFonts w:cs="Arial"/>
          <w:i/>
        </w:rPr>
        <w:t>lactuca</w:t>
      </w:r>
      <w:proofErr w:type="spellEnd"/>
      <w:r w:rsidRPr="000C40CC">
        <w:rPr>
          <w:rFonts w:cs="Arial"/>
        </w:rPr>
        <w:t xml:space="preserve"> Symptome bei Salat; kleine Gruppen arbeiteten zusammen an Keimblattprüfungssymptomen unter Verwendung von „schwierigen Fällen“, um zu sehen, wie alle ihre Notationen ausführten, um zu gemeinsamen Auslegungen zu gelangen. Die zweite Arbeitstagung beinhaltete auch praktische Laborerfahrung, dieses Mal bezüglich </w:t>
      </w:r>
      <w:proofErr w:type="spellStart"/>
      <w:r w:rsidRPr="000C40CC">
        <w:rPr>
          <w:rFonts w:cs="Arial"/>
          <w:i/>
        </w:rPr>
        <w:t>Fusarium</w:t>
      </w:r>
      <w:proofErr w:type="spellEnd"/>
      <w:r w:rsidRPr="000C40CC">
        <w:rPr>
          <w:rFonts w:cs="Arial"/>
          <w:i/>
        </w:rPr>
        <w:t xml:space="preserve"> </w:t>
      </w:r>
      <w:proofErr w:type="spellStart"/>
      <w:r w:rsidRPr="000C40CC">
        <w:rPr>
          <w:rFonts w:cs="Arial"/>
          <w:i/>
        </w:rPr>
        <w:t>oxysporum</w:t>
      </w:r>
      <w:proofErr w:type="spellEnd"/>
      <w:r w:rsidRPr="000C40CC">
        <w:rPr>
          <w:rFonts w:cs="Arial"/>
        </w:rPr>
        <w:t xml:space="preserve"> bei Erbsen; zwei Notationsskalen wurden verglichen, während eine Notationsskala an den beiden</w:t>
      </w:r>
      <w:r w:rsidRPr="002F0635">
        <w:rPr>
          <w:rFonts w:cs="Arial"/>
        </w:rPr>
        <w:t xml:space="preserve"> </w:t>
      </w:r>
      <w:r w:rsidRPr="000C40CC">
        <w:rPr>
          <w:rFonts w:cs="Arial"/>
        </w:rPr>
        <w:t>in den Vergleichsprüfungen für Phase 3 des Projektes</w:t>
      </w:r>
      <w:r>
        <w:rPr>
          <w:rFonts w:cs="Arial"/>
        </w:rPr>
        <w:t xml:space="preserve"> </w:t>
      </w:r>
      <w:r w:rsidRPr="000C40CC">
        <w:rPr>
          <w:rFonts w:cs="Arial"/>
        </w:rPr>
        <w:t>überprüft</w:t>
      </w:r>
      <w:r>
        <w:rPr>
          <w:rFonts w:cs="Arial"/>
        </w:rPr>
        <w:t>en</w:t>
      </w:r>
      <w:r w:rsidRPr="000C40CC">
        <w:rPr>
          <w:rFonts w:cs="Arial"/>
        </w:rPr>
        <w:t xml:space="preserve"> Inokulationsmethoden harmonisiert wurde. Der Zwischenbericht für das zweite Jahr des Projektes ging im September 2014 ein.</w:t>
      </w:r>
    </w:p>
    <w:p w:rsidR="00AF7FF3" w:rsidRPr="000C40CC" w:rsidRDefault="00AF7FF3" w:rsidP="00AF7FF3">
      <w:pPr>
        <w:spacing w:after="240"/>
        <w:rPr>
          <w:rFonts w:cs="Arial"/>
        </w:rPr>
      </w:pPr>
      <w:r w:rsidRPr="000C40CC">
        <w:rPr>
          <w:rFonts w:cs="Arial"/>
        </w:rPr>
        <w:t xml:space="preserve">Das Projekt soll voraussichtlich 2015 mit der Vorlage des </w:t>
      </w:r>
      <w:proofErr w:type="spellStart"/>
      <w:r>
        <w:rPr>
          <w:rFonts w:cs="Arial"/>
        </w:rPr>
        <w:t>Abschluß</w:t>
      </w:r>
      <w:r w:rsidRPr="000C40CC">
        <w:rPr>
          <w:rFonts w:cs="Arial"/>
        </w:rPr>
        <w:t>berichtes</w:t>
      </w:r>
      <w:proofErr w:type="spellEnd"/>
      <w:r w:rsidRPr="000C40CC">
        <w:rPr>
          <w:rFonts w:cs="Arial"/>
        </w:rPr>
        <w:t xml:space="preserve"> beim CPVO</w:t>
      </w:r>
      <w:r>
        <w:rPr>
          <w:rFonts w:cs="Arial"/>
        </w:rPr>
        <w:t xml:space="preserve"> </w:t>
      </w:r>
      <w:r w:rsidRPr="000C40CC">
        <w:rPr>
          <w:rFonts w:cs="Arial"/>
        </w:rPr>
        <w:t>abgeschlossen werden.</w:t>
      </w:r>
    </w:p>
    <w:p w:rsidR="00AF7FF3" w:rsidRPr="000C40CC" w:rsidRDefault="00AF7FF3" w:rsidP="00EF3858">
      <w:pPr>
        <w:keepNext/>
        <w:spacing w:after="240"/>
        <w:ind w:left="720"/>
        <w:rPr>
          <w:rFonts w:eastAsia="Calibri" w:cs="Arial"/>
          <w:i/>
        </w:rPr>
      </w:pPr>
      <w:r w:rsidRPr="000C40CC">
        <w:rPr>
          <w:rFonts w:eastAsia="Calibri" w:cs="Arial"/>
          <w:i/>
        </w:rPr>
        <w:t>e. „Auswirkungen der Vorkeimung von Saatgut auf DUS-Prüfungen von Gemüse“</w:t>
      </w:r>
    </w:p>
    <w:p w:rsidR="00AF7FF3" w:rsidRPr="000C40CC" w:rsidRDefault="00AF7FF3" w:rsidP="00AF7FF3">
      <w:pPr>
        <w:spacing w:after="240"/>
        <w:rPr>
          <w:rFonts w:cs="Arial"/>
        </w:rPr>
      </w:pPr>
      <w:r w:rsidRPr="000C40CC">
        <w:rPr>
          <w:rFonts w:cs="Arial"/>
        </w:rPr>
        <w:t>Diese</w:t>
      </w:r>
      <w:r>
        <w:rPr>
          <w:rFonts w:cs="Arial"/>
        </w:rPr>
        <w:t>s</w:t>
      </w:r>
      <w:r w:rsidRPr="000C40CC">
        <w:rPr>
          <w:rFonts w:cs="Arial"/>
        </w:rPr>
        <w:t xml:space="preserve"> vom CPVO </w:t>
      </w:r>
      <w:r>
        <w:rPr>
          <w:rFonts w:cs="Arial"/>
        </w:rPr>
        <w:t>initiiert</w:t>
      </w:r>
      <w:r w:rsidRPr="000C40CC">
        <w:rPr>
          <w:rFonts w:cs="Arial"/>
        </w:rPr>
        <w:t>e Projekt wurde im Januar 2014 für ein Jahr</w:t>
      </w:r>
      <w:r>
        <w:rPr>
          <w:rFonts w:cs="Arial"/>
        </w:rPr>
        <w:t xml:space="preserve"> </w:t>
      </w:r>
      <w:r w:rsidRPr="000C40CC">
        <w:rPr>
          <w:rFonts w:cs="Arial"/>
        </w:rPr>
        <w:t xml:space="preserve">gebilligt. Projektkoordinator </w:t>
      </w:r>
      <w:r>
        <w:rPr>
          <w:rFonts w:cs="Arial"/>
        </w:rPr>
        <w:t>sind</w:t>
      </w:r>
      <w:r w:rsidRPr="000C40CC">
        <w:rPr>
          <w:rFonts w:cs="Arial"/>
        </w:rPr>
        <w:t xml:space="preserve"> das CPVO un</w:t>
      </w:r>
      <w:r>
        <w:rPr>
          <w:rFonts w:cs="Arial"/>
        </w:rPr>
        <w:t>d die anderen Projektpartner der</w:t>
      </w:r>
      <w:r w:rsidRPr="000C40CC">
        <w:rPr>
          <w:rFonts w:cs="Arial"/>
        </w:rPr>
        <w:t xml:space="preserve"> ESA und die ausgewählten </w:t>
      </w:r>
      <w:r>
        <w:rPr>
          <w:rFonts w:cs="Arial"/>
        </w:rPr>
        <w:t>beauftragten Prüfung</w:t>
      </w:r>
      <w:r w:rsidRPr="000C40CC">
        <w:rPr>
          <w:rFonts w:cs="Arial"/>
        </w:rPr>
        <w:t>sämter (</w:t>
      </w:r>
      <w:proofErr w:type="spellStart"/>
      <w:r w:rsidRPr="000C40CC">
        <w:rPr>
          <w:rFonts w:cs="Arial"/>
        </w:rPr>
        <w:t>Naktuinbouw</w:t>
      </w:r>
      <w:proofErr w:type="spellEnd"/>
      <w:r w:rsidRPr="000C40CC">
        <w:rPr>
          <w:rFonts w:cs="Arial"/>
        </w:rPr>
        <w:t xml:space="preserve"> (NL), OEVV/INIA (ES) und GEVES (FR)). Dieses Projekt wird die Auswirkungen des Vorkeimens</w:t>
      </w:r>
      <w:r>
        <w:rPr>
          <w:rFonts w:cs="Arial"/>
        </w:rPr>
        <w:t xml:space="preserve"> von Saatgut</w:t>
      </w:r>
      <w:r w:rsidRPr="000C40CC">
        <w:rPr>
          <w:rFonts w:cs="Arial"/>
        </w:rPr>
        <w:t xml:space="preserve"> auf die </w:t>
      </w:r>
      <w:r>
        <w:rPr>
          <w:rFonts w:cs="Arial"/>
        </w:rPr>
        <w:t xml:space="preserve">Ausprägung von Merkmalen </w:t>
      </w:r>
      <w:r w:rsidRPr="000C40CC">
        <w:rPr>
          <w:rFonts w:cs="Arial"/>
        </w:rPr>
        <w:t xml:space="preserve">von Auberginen- und Tomatenunterlagensorten von den dafür benannten, mit diesen Arten betrauten Prüfungsämtern untersuchen. Diese Gemüsesorten gehören, was ihre Nutzung betrifft, zwar nicht zu den wichtigsten im gemeinschaftlichen Sortenrechtssystem, werden aber kommerziell überwiegend vorgekeimt. Mit diesem Forschungs- und Entwicklungsprojekt werden auch die etwaigen Auswirkungen, die die Vorkeimung im Laufe der Zeit auf die Verringerung der Keimungsrate haben könnte, untersucht. </w:t>
      </w:r>
    </w:p>
    <w:p w:rsidR="00AF7FF3" w:rsidRPr="000C40CC" w:rsidRDefault="00AF7FF3" w:rsidP="00AF7FF3">
      <w:pPr>
        <w:spacing w:after="240"/>
        <w:rPr>
          <w:rFonts w:cs="Arial"/>
        </w:rPr>
      </w:pPr>
      <w:r w:rsidRPr="000C40CC">
        <w:rPr>
          <w:rFonts w:cs="Arial"/>
        </w:rPr>
        <w:t>Das Projekt nahm seine Tätigkeiten mit der Planung der Prüfungsanlage und der Versendung von vorgekeimte</w:t>
      </w:r>
      <w:r>
        <w:rPr>
          <w:rFonts w:cs="Arial"/>
        </w:rPr>
        <w:t>n</w:t>
      </w:r>
      <w:r w:rsidRPr="000C40CC">
        <w:rPr>
          <w:rFonts w:cs="Arial"/>
        </w:rPr>
        <w:t xml:space="preserve"> und </w:t>
      </w:r>
      <w:proofErr w:type="spellStart"/>
      <w:r w:rsidRPr="000C40CC">
        <w:rPr>
          <w:rFonts w:cs="Arial"/>
        </w:rPr>
        <w:t>unvorgekeimte</w:t>
      </w:r>
      <w:r>
        <w:rPr>
          <w:rFonts w:cs="Arial"/>
        </w:rPr>
        <w:t>n</w:t>
      </w:r>
      <w:proofErr w:type="spellEnd"/>
      <w:r w:rsidRPr="000C40CC">
        <w:rPr>
          <w:rFonts w:cs="Arial"/>
        </w:rPr>
        <w:t xml:space="preserve"> Proben für drei Auberginen- </w:t>
      </w:r>
      <w:r>
        <w:rPr>
          <w:rFonts w:cs="Arial"/>
        </w:rPr>
        <w:t>und drei Tomaten</w:t>
      </w:r>
      <w:r w:rsidRPr="000C40CC">
        <w:rPr>
          <w:rFonts w:cs="Arial"/>
        </w:rPr>
        <w:t>unterlagensorten</w:t>
      </w:r>
      <w:r>
        <w:rPr>
          <w:rFonts w:cs="Arial"/>
        </w:rPr>
        <w:t xml:space="preserve"> </w:t>
      </w:r>
      <w:r w:rsidRPr="000C40CC">
        <w:rPr>
          <w:rFonts w:cs="Arial"/>
        </w:rPr>
        <w:t xml:space="preserve">durch ESA-Mitglieder auf. </w:t>
      </w:r>
      <w:proofErr w:type="spellStart"/>
      <w:r w:rsidRPr="000C40CC">
        <w:rPr>
          <w:rFonts w:cs="Arial"/>
        </w:rPr>
        <w:t>Naktuinbouw</w:t>
      </w:r>
      <w:proofErr w:type="spellEnd"/>
      <w:r w:rsidRPr="000C40CC">
        <w:rPr>
          <w:rFonts w:cs="Arial"/>
        </w:rPr>
        <w:t xml:space="preserve"> führte Versuche sowohl für</w:t>
      </w:r>
      <w:r>
        <w:rPr>
          <w:rFonts w:cs="Arial"/>
        </w:rPr>
        <w:t xml:space="preserve"> die</w:t>
      </w:r>
      <w:r w:rsidRPr="000C40CC">
        <w:rPr>
          <w:rFonts w:cs="Arial"/>
        </w:rPr>
        <w:t xml:space="preserve"> Auberginen </w:t>
      </w:r>
      <w:r>
        <w:rPr>
          <w:rFonts w:cs="Arial"/>
        </w:rPr>
        <w:t>als auch die</w:t>
      </w:r>
      <w:r w:rsidRPr="000C40CC">
        <w:rPr>
          <w:rFonts w:cs="Arial"/>
        </w:rPr>
        <w:t xml:space="preserve"> </w:t>
      </w:r>
      <w:r>
        <w:rPr>
          <w:rFonts w:cs="Arial"/>
        </w:rPr>
        <w:t>Tomaten</w:t>
      </w:r>
      <w:r w:rsidRPr="000C40CC">
        <w:rPr>
          <w:rFonts w:cs="Arial"/>
        </w:rPr>
        <w:t>unterlagen</w:t>
      </w:r>
      <w:r>
        <w:rPr>
          <w:rFonts w:cs="Arial"/>
        </w:rPr>
        <w:t xml:space="preserve"> durch</w:t>
      </w:r>
      <w:r w:rsidRPr="000C40CC">
        <w:rPr>
          <w:rFonts w:cs="Arial"/>
        </w:rPr>
        <w:t>, während GEVES Versuche für Auberginen durchführte und OEVV/INIA Versuche für Tomatenunterlagen</w:t>
      </w:r>
      <w:r w:rsidRPr="00AC2EB2">
        <w:rPr>
          <w:rFonts w:cs="Arial"/>
        </w:rPr>
        <w:t xml:space="preserve"> </w:t>
      </w:r>
      <w:r w:rsidRPr="000C40CC">
        <w:rPr>
          <w:rFonts w:cs="Arial"/>
        </w:rPr>
        <w:t xml:space="preserve">durchführte. Die Prüfungsanlage war bei beiden Partnern für jede Art einschließlich der Verwendung von anwendbaren CPVO-Protokollen für </w:t>
      </w:r>
      <w:r>
        <w:rPr>
          <w:rFonts w:cs="Arial"/>
        </w:rPr>
        <w:t xml:space="preserve">die </w:t>
      </w:r>
      <w:r w:rsidRPr="000C40CC">
        <w:rPr>
          <w:rFonts w:cs="Arial"/>
        </w:rPr>
        <w:t xml:space="preserve">Auberginen und </w:t>
      </w:r>
      <w:r>
        <w:rPr>
          <w:rFonts w:cs="Arial"/>
        </w:rPr>
        <w:t>Tomaten</w:t>
      </w:r>
      <w:r w:rsidRPr="000C40CC">
        <w:rPr>
          <w:rFonts w:cs="Arial"/>
        </w:rPr>
        <w:t>unterlagen</w:t>
      </w:r>
      <w:r>
        <w:rPr>
          <w:rFonts w:cs="Arial"/>
        </w:rPr>
        <w:t xml:space="preserve"> </w:t>
      </w:r>
      <w:r w:rsidRPr="000C40CC">
        <w:rPr>
          <w:rFonts w:cs="Arial"/>
        </w:rPr>
        <w:t xml:space="preserve">identisch. </w:t>
      </w:r>
      <w:r>
        <w:rPr>
          <w:rFonts w:cs="Arial"/>
        </w:rPr>
        <w:t xml:space="preserve">Das </w:t>
      </w:r>
      <w:r w:rsidRPr="000C40CC">
        <w:rPr>
          <w:rFonts w:cs="Arial"/>
        </w:rPr>
        <w:t>Saatgut wurde rechtzeitig ausgesät und Erfassungen wurden anschließend im Einklang mit lokalen Bedingungen an den Pflanzen durchgeführt.</w:t>
      </w:r>
    </w:p>
    <w:p w:rsidR="00AF7FF3" w:rsidRPr="000C40CC" w:rsidRDefault="00AF7FF3" w:rsidP="00AF7FF3">
      <w:pPr>
        <w:spacing w:after="240"/>
        <w:rPr>
          <w:rFonts w:cs="Arial"/>
        </w:rPr>
      </w:pPr>
      <w:r w:rsidRPr="000C40CC">
        <w:rPr>
          <w:rFonts w:cs="Arial"/>
        </w:rPr>
        <w:t xml:space="preserve">Ende August 2014 fand eine Tagung der Projektpartner in </w:t>
      </w:r>
      <w:proofErr w:type="spellStart"/>
      <w:r w:rsidRPr="000C40CC">
        <w:rPr>
          <w:rFonts w:cs="Arial"/>
        </w:rPr>
        <w:t>Roelofarendsveen</w:t>
      </w:r>
      <w:proofErr w:type="spellEnd"/>
      <w:r w:rsidRPr="000C40CC">
        <w:rPr>
          <w:rFonts w:cs="Arial"/>
        </w:rPr>
        <w:t xml:space="preserve"> (NL)</w:t>
      </w:r>
      <w:r w:rsidRPr="00AC2EB2">
        <w:rPr>
          <w:rFonts w:cs="Arial"/>
        </w:rPr>
        <w:t xml:space="preserve"> </w:t>
      </w:r>
      <w:r w:rsidRPr="000C40CC">
        <w:rPr>
          <w:rFonts w:cs="Arial"/>
        </w:rPr>
        <w:t>statt,</w:t>
      </w:r>
      <w:r>
        <w:rPr>
          <w:rFonts w:cs="Arial"/>
        </w:rPr>
        <w:t xml:space="preserve"> </w:t>
      </w:r>
      <w:r w:rsidRPr="000C40CC">
        <w:rPr>
          <w:rFonts w:cs="Arial"/>
        </w:rPr>
        <w:t>um vorläufige Feststellungen zum Zeitpunkt der Ernte der Früchte</w:t>
      </w:r>
      <w:r>
        <w:rPr>
          <w:rFonts w:cs="Arial"/>
        </w:rPr>
        <w:t xml:space="preserve"> </w:t>
      </w:r>
      <w:r w:rsidRPr="000C40CC">
        <w:rPr>
          <w:rFonts w:cs="Arial"/>
        </w:rPr>
        <w:t xml:space="preserve">zu erörtern. Ausführliche Vorträge wurden von jedem Projektpartner </w:t>
      </w:r>
      <w:r>
        <w:rPr>
          <w:rFonts w:cs="Arial"/>
        </w:rPr>
        <w:t>auf</w:t>
      </w:r>
      <w:r w:rsidRPr="000C40CC">
        <w:rPr>
          <w:rFonts w:cs="Arial"/>
        </w:rPr>
        <w:t xml:space="preserve"> der Jahrestagung von </w:t>
      </w:r>
      <w:r>
        <w:rPr>
          <w:rFonts w:cs="Arial"/>
        </w:rPr>
        <w:t>Sachverständigen für Gemüsearten</w:t>
      </w:r>
      <w:r w:rsidRPr="000C40CC">
        <w:rPr>
          <w:rFonts w:cs="Arial"/>
        </w:rPr>
        <w:t xml:space="preserve"> (VEM15) in Valencia am 22. Oktober 2014</w:t>
      </w:r>
      <w:r>
        <w:rPr>
          <w:rFonts w:cs="Arial"/>
        </w:rPr>
        <w:t xml:space="preserve"> </w:t>
      </w:r>
      <w:r w:rsidRPr="000C40CC">
        <w:rPr>
          <w:rFonts w:cs="Arial"/>
        </w:rPr>
        <w:t>gehalten. In den darauffolgenden Wochen schickte jeder Projektpartner formelle Berichte an das CPVO über die Versuche, die si</w:t>
      </w:r>
      <w:r>
        <w:rPr>
          <w:rFonts w:cs="Arial"/>
        </w:rPr>
        <w:t>e</w:t>
      </w:r>
      <w:r w:rsidRPr="000C40CC">
        <w:rPr>
          <w:rFonts w:cs="Arial"/>
        </w:rPr>
        <w:t xml:space="preserve"> für ihre vorgesehenen Arten</w:t>
      </w:r>
      <w:r>
        <w:rPr>
          <w:rFonts w:cs="Arial"/>
        </w:rPr>
        <w:t xml:space="preserve"> </w:t>
      </w:r>
      <w:r w:rsidRPr="000C40CC">
        <w:rPr>
          <w:rFonts w:cs="Arial"/>
        </w:rPr>
        <w:t>durchgeführt hatten.</w:t>
      </w:r>
    </w:p>
    <w:p w:rsidR="00AF7FF3" w:rsidRPr="000C40CC" w:rsidRDefault="00AF7FF3" w:rsidP="00AF7FF3">
      <w:pPr>
        <w:spacing w:after="240"/>
        <w:rPr>
          <w:rFonts w:cs="Arial"/>
        </w:rPr>
      </w:pPr>
      <w:r w:rsidRPr="000C40CC">
        <w:rPr>
          <w:rFonts w:cs="Arial"/>
        </w:rPr>
        <w:t xml:space="preserve">Das CPVO arbeitet derzeit den </w:t>
      </w:r>
      <w:proofErr w:type="spellStart"/>
      <w:r>
        <w:rPr>
          <w:rFonts w:cs="Arial"/>
        </w:rPr>
        <w:t>Abschluß</w:t>
      </w:r>
      <w:r w:rsidRPr="000C40CC">
        <w:rPr>
          <w:rFonts w:cs="Arial"/>
        </w:rPr>
        <w:t>bericht</w:t>
      </w:r>
      <w:proofErr w:type="spellEnd"/>
      <w:r w:rsidRPr="000C40CC">
        <w:rPr>
          <w:rFonts w:cs="Arial"/>
        </w:rPr>
        <w:t xml:space="preserve"> über das Projekt im Laufe des Jahres 2015 aus und wird anschließend zusammen mit Interessenvertretern die Auswirkungen</w:t>
      </w:r>
      <w:r>
        <w:rPr>
          <w:rFonts w:cs="Arial"/>
        </w:rPr>
        <w:t xml:space="preserve"> </w:t>
      </w:r>
      <w:r w:rsidRPr="000C40CC">
        <w:rPr>
          <w:rFonts w:cs="Arial"/>
        </w:rPr>
        <w:t xml:space="preserve">analysieren, die aus den </w:t>
      </w:r>
      <w:proofErr w:type="spellStart"/>
      <w:r w:rsidRPr="000C40CC">
        <w:rPr>
          <w:rFonts w:cs="Arial"/>
        </w:rPr>
        <w:t>Schlußfolgerungen</w:t>
      </w:r>
      <w:proofErr w:type="spellEnd"/>
      <w:r w:rsidRPr="000C40CC">
        <w:rPr>
          <w:rFonts w:cs="Arial"/>
        </w:rPr>
        <w:t xml:space="preserve"> dieses Projektes</w:t>
      </w:r>
      <w:r>
        <w:rPr>
          <w:rFonts w:cs="Arial"/>
        </w:rPr>
        <w:t xml:space="preserve"> hervorgehen</w:t>
      </w:r>
      <w:r w:rsidRPr="000C40CC">
        <w:rPr>
          <w:rFonts w:cs="Arial"/>
        </w:rPr>
        <w:t xml:space="preserve">. </w:t>
      </w:r>
    </w:p>
    <w:p w:rsidR="00AF7FF3" w:rsidRPr="000C40CC" w:rsidRDefault="00AF7FF3" w:rsidP="00AF7FF3">
      <w:pPr>
        <w:pStyle w:val="ListBullet"/>
        <w:numPr>
          <w:ilvl w:val="0"/>
          <w:numId w:val="0"/>
        </w:numPr>
        <w:tabs>
          <w:tab w:val="left" w:pos="720"/>
        </w:tabs>
        <w:ind w:left="283" w:hanging="283"/>
        <w:rPr>
          <w:rFonts w:cs="Arial"/>
          <w:i/>
          <w:u w:val="single"/>
          <w:lang w:val="de-DE"/>
        </w:rPr>
      </w:pPr>
      <w:r w:rsidRPr="000C40CC">
        <w:rPr>
          <w:rFonts w:cs="Arial"/>
          <w:i/>
          <w:u w:val="single"/>
          <w:lang w:val="de-DE"/>
        </w:rPr>
        <w:t>1.3 Folgemaßnahme abgeschlossener Projekte</w:t>
      </w:r>
    </w:p>
    <w:p w:rsidR="00AF7FF3" w:rsidRPr="000C40CC" w:rsidRDefault="00AF7FF3" w:rsidP="00AF7FF3">
      <w:pPr>
        <w:pStyle w:val="Pa26"/>
        <w:spacing w:after="240" w:line="240" w:lineRule="auto"/>
        <w:ind w:left="283"/>
        <w:jc w:val="both"/>
        <w:rPr>
          <w:rFonts w:ascii="Arial" w:hAnsi="Arial" w:cs="Arial"/>
          <w:i/>
          <w:sz w:val="20"/>
          <w:szCs w:val="20"/>
          <w:lang w:val="de-DE" w:eastAsia="en-US"/>
        </w:rPr>
      </w:pPr>
      <w:r w:rsidRPr="000C40CC">
        <w:rPr>
          <w:rFonts w:ascii="Arial" w:hAnsi="Arial" w:cs="Arial"/>
          <w:i/>
          <w:sz w:val="20"/>
          <w:szCs w:val="20"/>
          <w:lang w:val="de-DE" w:eastAsia="en-US"/>
        </w:rPr>
        <w:t xml:space="preserve">a. </w:t>
      </w:r>
      <w:r>
        <w:rPr>
          <w:rFonts w:ascii="Arial" w:hAnsi="Arial" w:cs="Arial"/>
          <w:i/>
          <w:sz w:val="20"/>
          <w:szCs w:val="20"/>
          <w:lang w:val="de-DE" w:eastAsia="en-US"/>
        </w:rPr>
        <w:t>„</w:t>
      </w:r>
      <w:r w:rsidRPr="000C40CC">
        <w:rPr>
          <w:rFonts w:ascii="Arial" w:hAnsi="Arial" w:cs="Arial"/>
          <w:i/>
          <w:sz w:val="20"/>
          <w:szCs w:val="20"/>
          <w:lang w:val="de-DE"/>
        </w:rPr>
        <w:t>Reduzierung der Anzahl von obligatorischen Beobachtungsperioden in der DUS-Prüfung für Kandidatensorten im Obstsekto</w:t>
      </w:r>
      <w:r>
        <w:rPr>
          <w:rFonts w:ascii="Arial" w:hAnsi="Arial" w:cs="Arial"/>
          <w:i/>
          <w:sz w:val="20"/>
          <w:szCs w:val="20"/>
          <w:lang w:val="de-DE"/>
        </w:rPr>
        <w:t>r“</w:t>
      </w:r>
    </w:p>
    <w:p w:rsidR="00AF7FF3" w:rsidRPr="000C40CC" w:rsidRDefault="00AF7FF3" w:rsidP="00AF7FF3">
      <w:pPr>
        <w:autoSpaceDE w:val="0"/>
        <w:autoSpaceDN w:val="0"/>
        <w:adjustRightInd w:val="0"/>
        <w:spacing w:after="240"/>
        <w:rPr>
          <w:rFonts w:cs="Arial"/>
        </w:rPr>
      </w:pPr>
      <w:r w:rsidRPr="000C40CC">
        <w:rPr>
          <w:rFonts w:cs="Arial"/>
        </w:rPr>
        <w:t xml:space="preserve">Dieses Projekt </w:t>
      </w:r>
      <w:r>
        <w:rPr>
          <w:rFonts w:cs="Arial"/>
        </w:rPr>
        <w:t>wurde</w:t>
      </w:r>
      <w:r w:rsidRPr="000C40CC">
        <w:rPr>
          <w:rFonts w:cs="Arial"/>
        </w:rPr>
        <w:t xml:space="preserve"> </w:t>
      </w:r>
      <w:r w:rsidRPr="00AC2EB2">
        <w:rPr>
          <w:rFonts w:cs="Arial"/>
        </w:rPr>
        <w:t>vom CPVO mit den folgenden Projektpartnern koordiniert: Bundessortenamt (D</w:t>
      </w:r>
      <w:r>
        <w:rPr>
          <w:rFonts w:cs="Arial"/>
        </w:rPr>
        <w:t>E</w:t>
      </w:r>
      <w:r w:rsidRPr="00AC2EB2">
        <w:rPr>
          <w:rFonts w:cs="Arial"/>
        </w:rPr>
        <w:t xml:space="preserve">), </w:t>
      </w:r>
      <w:proofErr w:type="spellStart"/>
      <w:r w:rsidRPr="00AC2EB2">
        <w:rPr>
          <w:rFonts w:cs="Arial"/>
        </w:rPr>
        <w:t>Coboru</w:t>
      </w:r>
      <w:proofErr w:type="spellEnd"/>
      <w:r w:rsidRPr="00AC2EB2">
        <w:rPr>
          <w:rFonts w:cs="Arial"/>
        </w:rPr>
        <w:t xml:space="preserve"> (P</w:t>
      </w:r>
      <w:r>
        <w:rPr>
          <w:rFonts w:cs="Arial"/>
        </w:rPr>
        <w:t>L</w:t>
      </w:r>
      <w:r w:rsidRPr="00AC2EB2">
        <w:rPr>
          <w:rFonts w:cs="Arial"/>
        </w:rPr>
        <w:t>),</w:t>
      </w:r>
      <w:r w:rsidRPr="00AC2EB2">
        <w:t xml:space="preserve"> Internationale Ge</w:t>
      </w:r>
      <w:r w:rsidRPr="00AC2EB2">
        <w:rPr>
          <w:bCs/>
        </w:rPr>
        <w:t>meinschaft der Züchter vegetativ vermehrbarer Zier- und Obstpfla</w:t>
      </w:r>
      <w:r w:rsidRPr="00AC2EB2">
        <w:t>nzen (CIOPORA)</w:t>
      </w:r>
      <w:r w:rsidRPr="00AC2EB2">
        <w:rPr>
          <w:rFonts w:cs="Arial"/>
        </w:rPr>
        <w:t>, CRA-FRU</w:t>
      </w:r>
      <w:r w:rsidRPr="000C40CC">
        <w:rPr>
          <w:rFonts w:cs="Arial"/>
        </w:rPr>
        <w:t xml:space="preserve"> (</w:t>
      </w:r>
      <w:r>
        <w:rPr>
          <w:rFonts w:cs="Arial"/>
        </w:rPr>
        <w:t>IT</w:t>
      </w:r>
      <w:r w:rsidRPr="000C40CC">
        <w:rPr>
          <w:rFonts w:cs="Arial"/>
        </w:rPr>
        <w:t>), GEVES (F</w:t>
      </w:r>
      <w:r>
        <w:rPr>
          <w:rFonts w:cs="Arial"/>
        </w:rPr>
        <w:t>R</w:t>
      </w:r>
      <w:r w:rsidRPr="000C40CC">
        <w:rPr>
          <w:rFonts w:cs="Arial"/>
        </w:rPr>
        <w:t>), OEVV (S</w:t>
      </w:r>
      <w:r>
        <w:rPr>
          <w:rFonts w:cs="Arial"/>
        </w:rPr>
        <w:t>P</w:t>
      </w:r>
      <w:r w:rsidRPr="000C40CC">
        <w:rPr>
          <w:rFonts w:cs="Arial"/>
        </w:rPr>
        <w:t xml:space="preserve">), Nationales Amt für Lebensmittelsicherheit (Ungarn), NPVO (Tschechische Republik), </w:t>
      </w:r>
      <w:proofErr w:type="spellStart"/>
      <w:r w:rsidRPr="000C40CC">
        <w:rPr>
          <w:rFonts w:cs="Arial"/>
        </w:rPr>
        <w:t>Ciopora</w:t>
      </w:r>
      <w:proofErr w:type="spellEnd"/>
      <w:r w:rsidRPr="000C40CC">
        <w:rPr>
          <w:rFonts w:cs="Arial"/>
        </w:rPr>
        <w:t xml:space="preserve"> und </w:t>
      </w:r>
      <w:proofErr w:type="spellStart"/>
      <w:r w:rsidRPr="000C40CC">
        <w:rPr>
          <w:rFonts w:cs="Arial"/>
        </w:rPr>
        <w:t>Plantum</w:t>
      </w:r>
      <w:proofErr w:type="spellEnd"/>
      <w:r w:rsidRPr="000C40CC">
        <w:rPr>
          <w:rFonts w:cs="Arial"/>
        </w:rPr>
        <w:t xml:space="preserve">. Das Projekt wurde Anfang 2013 </w:t>
      </w:r>
      <w:r>
        <w:rPr>
          <w:rFonts w:cs="Arial"/>
        </w:rPr>
        <w:t>initiiert</w:t>
      </w:r>
      <w:r w:rsidRPr="000C40CC">
        <w:rPr>
          <w:rFonts w:cs="Arial"/>
        </w:rPr>
        <w:t xml:space="preserve"> und Ende 2013 abgeschlossen. Die Kosten der DUS-Prüfung für Kandidatenobstsorten sind im Vergleich zu Sorten anderer Pflanzensektoren relativ hoch. Ziel des Projektes war (i) die Bestimmung, ob es tatsächlich eine technische Rechtfertigung dafür gibt, aus zwei zufriedenstellenden Obstpflanzen einen </w:t>
      </w:r>
      <w:proofErr w:type="spellStart"/>
      <w:r w:rsidRPr="000C40CC">
        <w:rPr>
          <w:rFonts w:cs="Arial"/>
        </w:rPr>
        <w:t>Schluß</w:t>
      </w:r>
      <w:proofErr w:type="spellEnd"/>
      <w:r w:rsidRPr="000C40CC">
        <w:rPr>
          <w:rFonts w:cs="Arial"/>
        </w:rPr>
        <w:t xml:space="preserve"> auf DUS zu ziehen, und (ii) die anschließende Ausarbeitung einer zuverlässigen Sortenbeschreibung. Es wurden fünf Arten </w:t>
      </w:r>
      <w:r>
        <w:rPr>
          <w:rFonts w:cs="Arial"/>
        </w:rPr>
        <w:t xml:space="preserve">in dem </w:t>
      </w:r>
      <w:r w:rsidRPr="00AC2EB2">
        <w:rPr>
          <w:rFonts w:cs="Arial"/>
        </w:rPr>
        <w:t xml:space="preserve">Umfang des </w:t>
      </w:r>
      <w:r>
        <w:rPr>
          <w:rFonts w:cs="Arial"/>
        </w:rPr>
        <w:t xml:space="preserve">Projektes </w:t>
      </w:r>
      <w:r w:rsidRPr="000C40CC">
        <w:rPr>
          <w:rFonts w:cs="Arial"/>
        </w:rPr>
        <w:t>berücksichtigt: Pfirsich, Erdbeere, Apfel, Himbeere und Rebe. Sorten, für die das technische Protokoll des CPVO umgesetzt wurde und die in den vergangenen 5 Jahren eingetragen wurden (nationale Listen, nationale Sortenrechte und Gemeinschaftliche Sortenrechte), wurden berücksichtigt.</w:t>
      </w:r>
    </w:p>
    <w:p w:rsidR="00AF7FF3" w:rsidRPr="000C40CC" w:rsidRDefault="00AF7FF3" w:rsidP="00AF7FF3">
      <w:pPr>
        <w:autoSpaceDE w:val="0"/>
        <w:autoSpaceDN w:val="0"/>
        <w:adjustRightInd w:val="0"/>
        <w:spacing w:after="240"/>
        <w:rPr>
          <w:rFonts w:cs="Arial"/>
        </w:rPr>
      </w:pPr>
      <w:r w:rsidRPr="000C40CC">
        <w:rPr>
          <w:rFonts w:cs="Arial"/>
        </w:rPr>
        <w:t xml:space="preserve">Die Ergebnisse zeigen, </w:t>
      </w:r>
      <w:proofErr w:type="spellStart"/>
      <w:r w:rsidRPr="000C40CC">
        <w:rPr>
          <w:rFonts w:cs="Arial"/>
        </w:rPr>
        <w:t>daß</w:t>
      </w:r>
      <w:proofErr w:type="spellEnd"/>
      <w:r w:rsidRPr="000C40CC">
        <w:rPr>
          <w:rFonts w:cs="Arial"/>
        </w:rPr>
        <w:t xml:space="preserve"> im Großteil der Fälle das zweite Jahr der Erfassung das Ergebnis des ersten Jahres </w:t>
      </w:r>
      <w:r>
        <w:rPr>
          <w:rFonts w:cs="Arial"/>
        </w:rPr>
        <w:t>bezüglich</w:t>
      </w:r>
      <w:r w:rsidRPr="000C40CC">
        <w:rPr>
          <w:rFonts w:cs="Arial"/>
        </w:rPr>
        <w:t xml:space="preserve"> DUS in einem Kontext, in dem Sortenbeschreibungen auf der Grundlage von Erfassungen über 2 Jahre hinweg er</w:t>
      </w:r>
      <w:r>
        <w:rPr>
          <w:rFonts w:cs="Arial"/>
        </w:rPr>
        <w:t>stellt</w:t>
      </w:r>
      <w:r w:rsidRPr="000C40CC">
        <w:rPr>
          <w:rFonts w:cs="Arial"/>
        </w:rPr>
        <w:t xml:space="preserve"> werden</w:t>
      </w:r>
      <w:r>
        <w:rPr>
          <w:rFonts w:cs="Arial"/>
        </w:rPr>
        <w:t xml:space="preserve">, </w:t>
      </w:r>
      <w:r w:rsidRPr="000C40CC">
        <w:rPr>
          <w:rFonts w:cs="Arial"/>
        </w:rPr>
        <w:t>be</w:t>
      </w:r>
      <w:r>
        <w:rPr>
          <w:rFonts w:cs="Arial"/>
        </w:rPr>
        <w:t>s</w:t>
      </w:r>
      <w:r w:rsidRPr="000C40CC">
        <w:rPr>
          <w:rFonts w:cs="Arial"/>
        </w:rPr>
        <w:t xml:space="preserve">tätigt. Wenn die DUS-Prüfung jedoch auf die erste Fruchtperiode beschränkt wäre, gäbe es andere Folgen, die berücksichtigt werden </w:t>
      </w:r>
      <w:proofErr w:type="spellStart"/>
      <w:r w:rsidRPr="000C40CC">
        <w:rPr>
          <w:rFonts w:cs="Arial"/>
        </w:rPr>
        <w:t>müßten</w:t>
      </w:r>
      <w:proofErr w:type="spellEnd"/>
      <w:r w:rsidRPr="000C40CC">
        <w:rPr>
          <w:rFonts w:cs="Arial"/>
        </w:rPr>
        <w:t>. Zuerst sind in der ersten zufriedenstellenden Fruchtperiode Bäume noch jung und prägen einige der Merkma</w:t>
      </w:r>
      <w:r>
        <w:rPr>
          <w:rFonts w:cs="Arial"/>
        </w:rPr>
        <w:t>l</w:t>
      </w:r>
      <w:r w:rsidRPr="000C40CC">
        <w:rPr>
          <w:rFonts w:cs="Arial"/>
        </w:rPr>
        <w:t>e nach dem derzeitigen Protokoll nicht auf die gleiche Weise aus</w:t>
      </w:r>
      <w:r>
        <w:rPr>
          <w:rFonts w:cs="Arial"/>
        </w:rPr>
        <w:t>,</w:t>
      </w:r>
      <w:r w:rsidRPr="000C40CC">
        <w:rPr>
          <w:rFonts w:cs="Arial"/>
        </w:rPr>
        <w:t xml:space="preserve"> wie sie es im zweiten Jahr der Erfassung tun würden. Zweitens hätte die Umstellung auf ein System, in dem Erfassung</w:t>
      </w:r>
      <w:r>
        <w:rPr>
          <w:rFonts w:cs="Arial"/>
        </w:rPr>
        <w:t>en</w:t>
      </w:r>
      <w:r w:rsidRPr="000C40CC">
        <w:rPr>
          <w:rFonts w:cs="Arial"/>
        </w:rPr>
        <w:t xml:space="preserve"> routinemäßig</w:t>
      </w:r>
      <w:r w:rsidRPr="00AC2EB2">
        <w:rPr>
          <w:rFonts w:cs="Arial"/>
        </w:rPr>
        <w:t xml:space="preserve"> </w:t>
      </w:r>
      <w:r w:rsidRPr="000C40CC">
        <w:rPr>
          <w:rFonts w:cs="Arial"/>
        </w:rPr>
        <w:t xml:space="preserve">auf die erste Fruchtperiode beschränkt wären, Folgen für den Vergleich der Sortenbeschreibungen aufgrund von Erfassungen im zweiten Jahr der Prüfung, die in den Datenbanken </w:t>
      </w:r>
      <w:r>
        <w:rPr>
          <w:rFonts w:cs="Arial"/>
        </w:rPr>
        <w:t>gespeichert</w:t>
      </w:r>
      <w:r w:rsidRPr="000C40CC">
        <w:rPr>
          <w:rFonts w:cs="Arial"/>
        </w:rPr>
        <w:t xml:space="preserve"> sind. Ein Vergleich zwischen Sorten</w:t>
      </w:r>
      <w:r>
        <w:rPr>
          <w:rFonts w:cs="Arial"/>
        </w:rPr>
        <w:t>, die</w:t>
      </w:r>
      <w:r w:rsidRPr="000C40CC">
        <w:rPr>
          <w:rFonts w:cs="Arial"/>
        </w:rPr>
        <w:t xml:space="preserve"> in unterschiedlichen Altersstufen des Pflanzenmaterials beschrieben</w:t>
      </w:r>
      <w:r>
        <w:rPr>
          <w:rFonts w:cs="Arial"/>
        </w:rPr>
        <w:t xml:space="preserve"> werden,</w:t>
      </w:r>
      <w:r w:rsidRPr="000C40CC">
        <w:rPr>
          <w:rFonts w:cs="Arial"/>
        </w:rPr>
        <w:t xml:space="preserve"> ist weniger zuverlässig und hätte wahrscheinlich Folgen für die Entscheidung, welche Sorten in die Anbauprüfung für einen Seite-an-Seite-Vergleich</w:t>
      </w:r>
      <w:r>
        <w:rPr>
          <w:rFonts w:cs="Arial"/>
        </w:rPr>
        <w:t xml:space="preserve"> einzubeziehen sind</w:t>
      </w:r>
      <w:r w:rsidRPr="000C40CC">
        <w:rPr>
          <w:rFonts w:cs="Arial"/>
        </w:rPr>
        <w:t>.</w:t>
      </w:r>
    </w:p>
    <w:p w:rsidR="00AF7FF3" w:rsidRPr="000C40CC" w:rsidRDefault="00AF7FF3" w:rsidP="00AF7FF3">
      <w:pPr>
        <w:spacing w:after="240"/>
        <w:rPr>
          <w:rFonts w:cs="Arial"/>
        </w:rPr>
      </w:pPr>
      <w:r w:rsidRPr="000C40CC">
        <w:rPr>
          <w:rFonts w:cs="Arial"/>
        </w:rPr>
        <w:t>Als eine Folgemaßnahme</w:t>
      </w:r>
      <w:r>
        <w:rPr>
          <w:rFonts w:cs="Arial"/>
        </w:rPr>
        <w:t xml:space="preserve"> we</w:t>
      </w:r>
      <w:r w:rsidRPr="000C40CC">
        <w:rPr>
          <w:rFonts w:cs="Arial"/>
        </w:rPr>
        <w:t>rden die Prüfungsämter ersucht, nach einem Jahr der Prüfung Berichte zu schicken, falls kei</w:t>
      </w:r>
      <w:r>
        <w:rPr>
          <w:rFonts w:cs="Arial"/>
        </w:rPr>
        <w:t>n</w:t>
      </w:r>
      <w:r w:rsidRPr="000C40CC">
        <w:rPr>
          <w:rFonts w:cs="Arial"/>
        </w:rPr>
        <w:t xml:space="preserve"> Zweifel an der Unterscheidbarkeit</w:t>
      </w:r>
      <w:r>
        <w:rPr>
          <w:rFonts w:cs="Arial"/>
        </w:rPr>
        <w:t xml:space="preserve"> besteht</w:t>
      </w:r>
      <w:r w:rsidRPr="000C40CC">
        <w:rPr>
          <w:rFonts w:cs="Arial"/>
        </w:rPr>
        <w:t xml:space="preserve">. Das CPVO arbeitet an einem Vorschlag </w:t>
      </w:r>
      <w:r>
        <w:rPr>
          <w:rFonts w:cs="Arial"/>
        </w:rPr>
        <w:t>für</w:t>
      </w:r>
      <w:r w:rsidRPr="000C40CC">
        <w:rPr>
          <w:rFonts w:cs="Arial"/>
        </w:rPr>
        <w:t xml:space="preserve"> die UPOV, den Standardwortlaut über die Prüfungsdauer zu ändern, um die Möglichkeit zu schaffen, nach einem Jahr von Erfassungen </w:t>
      </w:r>
      <w:r>
        <w:rPr>
          <w:rFonts w:cs="Arial"/>
        </w:rPr>
        <w:t>Schlüsse zu ziehen</w:t>
      </w:r>
      <w:r w:rsidRPr="000C40CC">
        <w:rPr>
          <w:rFonts w:cs="Arial"/>
        </w:rPr>
        <w:t>. Dieser Vorschlag wurde auf der 2015 Tagung der TWF</w:t>
      </w:r>
      <w:r w:rsidRPr="002C0150">
        <w:rPr>
          <w:rFonts w:cs="Arial"/>
        </w:rPr>
        <w:t xml:space="preserve"> </w:t>
      </w:r>
      <w:r w:rsidRPr="000C40CC">
        <w:rPr>
          <w:rFonts w:cs="Arial"/>
        </w:rPr>
        <w:t xml:space="preserve">erörtert. </w:t>
      </w:r>
    </w:p>
    <w:p w:rsidR="00AF7FF3" w:rsidRPr="000C40CC" w:rsidRDefault="00AF7FF3" w:rsidP="00AF7FF3">
      <w:pPr>
        <w:spacing w:after="240"/>
        <w:ind w:left="720"/>
        <w:rPr>
          <w:rFonts w:cs="Arial"/>
          <w:i/>
        </w:rPr>
      </w:pPr>
      <w:r w:rsidRPr="000C40CC">
        <w:rPr>
          <w:rFonts w:cs="Arial"/>
          <w:i/>
        </w:rPr>
        <w:t>b.</w:t>
      </w:r>
      <w:r>
        <w:rPr>
          <w:rFonts w:cs="Arial"/>
          <w:i/>
        </w:rPr>
        <w:t xml:space="preserve"> „</w:t>
      </w:r>
      <w:r w:rsidRPr="000C40CC">
        <w:rPr>
          <w:rFonts w:cs="Arial"/>
          <w:i/>
        </w:rPr>
        <w:t>Veränderung des Anbauschemas und der Anforderungen an das Pflanzenmaterial für Helleborus</w:t>
      </w:r>
      <w:r>
        <w:rPr>
          <w:rFonts w:cs="Arial"/>
          <w:i/>
        </w:rPr>
        <w:t>“</w:t>
      </w:r>
    </w:p>
    <w:p w:rsidR="00AF7FF3" w:rsidRPr="000C40CC" w:rsidRDefault="00AF7FF3" w:rsidP="00AF7FF3">
      <w:pPr>
        <w:widowControl w:val="0"/>
        <w:autoSpaceDE w:val="0"/>
        <w:autoSpaceDN w:val="0"/>
        <w:adjustRightInd w:val="0"/>
        <w:spacing w:after="240"/>
        <w:rPr>
          <w:rFonts w:cs="Arial"/>
        </w:rPr>
      </w:pPr>
      <w:r w:rsidRPr="000C40CC">
        <w:rPr>
          <w:rFonts w:cs="Arial"/>
        </w:rPr>
        <w:t xml:space="preserve">Dieses Projekt wurde vom CPVO initiiert und ein weiterer Projektpartner ist </w:t>
      </w:r>
      <w:proofErr w:type="spellStart"/>
      <w:r>
        <w:rPr>
          <w:rFonts w:cs="Arial"/>
        </w:rPr>
        <w:t>N</w:t>
      </w:r>
      <w:r w:rsidRPr="000C40CC">
        <w:rPr>
          <w:rFonts w:cs="Arial"/>
        </w:rPr>
        <w:t>aktuinbouw</w:t>
      </w:r>
      <w:proofErr w:type="spellEnd"/>
      <w:r w:rsidRPr="000C40CC">
        <w:rPr>
          <w:rFonts w:cs="Arial"/>
        </w:rPr>
        <w:t xml:space="preserve">. Das Projekt wurde im März 2013 </w:t>
      </w:r>
      <w:r>
        <w:rPr>
          <w:rFonts w:cs="Arial"/>
        </w:rPr>
        <w:t>initiiert</w:t>
      </w:r>
      <w:r w:rsidRPr="000C40CC">
        <w:rPr>
          <w:rFonts w:cs="Arial"/>
        </w:rPr>
        <w:t xml:space="preserve"> und der </w:t>
      </w:r>
      <w:proofErr w:type="spellStart"/>
      <w:r w:rsidRPr="000C40CC">
        <w:rPr>
          <w:rFonts w:cs="Arial"/>
        </w:rPr>
        <w:t>Abschlußbericht</w:t>
      </w:r>
      <w:proofErr w:type="spellEnd"/>
      <w:r w:rsidRPr="000C40CC">
        <w:rPr>
          <w:rFonts w:cs="Arial"/>
        </w:rPr>
        <w:t xml:space="preserve"> wurde 2014 </w:t>
      </w:r>
      <w:r>
        <w:rPr>
          <w:rFonts w:cs="Arial"/>
        </w:rPr>
        <w:t>erstellt</w:t>
      </w:r>
      <w:r w:rsidRPr="000C40CC">
        <w:rPr>
          <w:rFonts w:cs="Arial"/>
        </w:rPr>
        <w:t>.</w:t>
      </w:r>
    </w:p>
    <w:p w:rsidR="00AF7FF3" w:rsidRPr="000C40CC" w:rsidRDefault="00AF7FF3" w:rsidP="00AF7FF3">
      <w:pPr>
        <w:widowControl w:val="0"/>
        <w:autoSpaceDE w:val="0"/>
        <w:autoSpaceDN w:val="0"/>
        <w:adjustRightInd w:val="0"/>
        <w:spacing w:after="240"/>
        <w:rPr>
          <w:rFonts w:cs="Arial"/>
        </w:rPr>
      </w:pPr>
      <w:r w:rsidRPr="000C40CC">
        <w:rPr>
          <w:rFonts w:cs="Arial"/>
        </w:rPr>
        <w:t xml:space="preserve">Die DUS-Prüfung von </w:t>
      </w:r>
      <w:r w:rsidRPr="000C40CC">
        <w:rPr>
          <w:rFonts w:cs="Arial"/>
          <w:i/>
        </w:rPr>
        <w:t>Helleborus-</w:t>
      </w:r>
      <w:r w:rsidRPr="000C40CC">
        <w:rPr>
          <w:rFonts w:cs="Arial"/>
        </w:rPr>
        <w:t xml:space="preserve">Sorten im Rahmen eines Antrags auf gemeinschaftliche Sortenrechte </w:t>
      </w:r>
      <w:r>
        <w:rPr>
          <w:rFonts w:cs="Arial"/>
        </w:rPr>
        <w:t>ist</w:t>
      </w:r>
      <w:r w:rsidRPr="000C40CC">
        <w:rPr>
          <w:rFonts w:cs="Arial"/>
        </w:rPr>
        <w:t xml:space="preserve"> bei </w:t>
      </w:r>
      <w:proofErr w:type="spellStart"/>
      <w:r w:rsidRPr="000C40CC">
        <w:rPr>
          <w:rFonts w:cs="Arial"/>
        </w:rPr>
        <w:t>Naktuinbouw</w:t>
      </w:r>
      <w:proofErr w:type="spellEnd"/>
      <w:r>
        <w:rPr>
          <w:rFonts w:cs="Arial"/>
        </w:rPr>
        <w:t xml:space="preserve"> </w:t>
      </w:r>
      <w:r w:rsidRPr="000C40CC">
        <w:rPr>
          <w:rFonts w:cs="Arial"/>
        </w:rPr>
        <w:t xml:space="preserve">zentralisiert, wo Pflanzen teilweise im Freien </w:t>
      </w:r>
      <w:r>
        <w:rPr>
          <w:rFonts w:cs="Arial"/>
        </w:rPr>
        <w:t xml:space="preserve">in offenem Gelände </w:t>
      </w:r>
      <w:r w:rsidRPr="000C40CC">
        <w:rPr>
          <w:rFonts w:cs="Arial"/>
        </w:rPr>
        <w:t>angebaut wurden. Dieses Anbauschema schien nicht optimal zu sein, da in der Vergangenheit die schwache Entwässerung des Bodens Schaden verursacht hat und einige kalte Winter oder schlechte Wetterbedingungen die Kandidatensorten und die Vergleichssammlung</w:t>
      </w:r>
      <w:r>
        <w:rPr>
          <w:rFonts w:cs="Arial"/>
        </w:rPr>
        <w:t xml:space="preserve"> beschädigen können</w:t>
      </w:r>
      <w:r w:rsidRPr="000C40CC">
        <w:rPr>
          <w:rFonts w:cs="Arial"/>
        </w:rPr>
        <w:t xml:space="preserve">. Außerdem schien die kommerzielle Standarderzeugungsweise geeigneter für </w:t>
      </w:r>
      <w:r>
        <w:rPr>
          <w:rFonts w:cs="Arial"/>
        </w:rPr>
        <w:t>Topf</w:t>
      </w:r>
      <w:r w:rsidRPr="000C40CC">
        <w:rPr>
          <w:rFonts w:cs="Arial"/>
        </w:rPr>
        <w:t>anbau als für Bodenanbau</w:t>
      </w:r>
      <w:r>
        <w:rPr>
          <w:rFonts w:cs="Arial"/>
        </w:rPr>
        <w:t xml:space="preserve"> </w:t>
      </w:r>
      <w:r w:rsidRPr="000C40CC">
        <w:rPr>
          <w:rFonts w:cs="Arial"/>
        </w:rPr>
        <w:t xml:space="preserve">zu sein. </w:t>
      </w:r>
      <w:r>
        <w:rPr>
          <w:rFonts w:cs="Arial"/>
        </w:rPr>
        <w:t>Das Ziel dieses</w:t>
      </w:r>
      <w:r w:rsidRPr="000C40CC">
        <w:rPr>
          <w:rFonts w:cs="Arial"/>
        </w:rPr>
        <w:t xml:space="preserve"> Projektes war die Untersuchung der Eignung einer Alternative zu dem derzeitigen Anbauschema, nämlich zu einem Anbau in Töpfen mit Abgabe im April, aufgrund von an Experimenten mit 12 Vergleichssorten.</w:t>
      </w:r>
    </w:p>
    <w:p w:rsidR="00AF7FF3" w:rsidRPr="000C40CC" w:rsidRDefault="00AF7FF3" w:rsidP="00AF7FF3">
      <w:pPr>
        <w:widowControl w:val="0"/>
        <w:autoSpaceDE w:val="0"/>
        <w:autoSpaceDN w:val="0"/>
        <w:adjustRightInd w:val="0"/>
        <w:spacing w:after="240"/>
        <w:rPr>
          <w:rFonts w:cs="Arial"/>
        </w:rPr>
      </w:pPr>
      <w:r w:rsidRPr="000C40CC">
        <w:rPr>
          <w:rFonts w:cs="Arial"/>
        </w:rPr>
        <w:t>Die Ergebnisse des Pilot</w:t>
      </w:r>
      <w:r>
        <w:rPr>
          <w:rFonts w:cs="Arial"/>
        </w:rPr>
        <w:t xml:space="preserve">projektes </w:t>
      </w:r>
      <w:r w:rsidRPr="000C40CC">
        <w:rPr>
          <w:rFonts w:cs="Arial"/>
        </w:rPr>
        <w:t>haben folgendes ergeben:</w:t>
      </w:r>
    </w:p>
    <w:p w:rsidR="00AF7FF3" w:rsidRPr="000C40CC" w:rsidRDefault="00AF7FF3" w:rsidP="00AF7FF3">
      <w:pPr>
        <w:pStyle w:val="NoSpacing"/>
        <w:numPr>
          <w:ilvl w:val="0"/>
          <w:numId w:val="21"/>
        </w:numPr>
        <w:spacing w:after="240"/>
        <w:rPr>
          <w:rFonts w:ascii="Arial" w:eastAsia="Times New Roman" w:hAnsi="Arial" w:cs="Arial"/>
          <w:sz w:val="20"/>
          <w:szCs w:val="20"/>
          <w:lang w:val="de-DE"/>
        </w:rPr>
      </w:pPr>
      <w:r w:rsidRPr="000C40CC">
        <w:rPr>
          <w:rFonts w:ascii="Arial" w:eastAsia="Times New Roman" w:hAnsi="Arial" w:cs="Arial"/>
          <w:sz w:val="20"/>
          <w:szCs w:val="20"/>
          <w:lang w:val="de-DE"/>
        </w:rPr>
        <w:t>Pflanzen im Topfanbau waren homogener;</w:t>
      </w:r>
    </w:p>
    <w:p w:rsidR="00AF7FF3" w:rsidRPr="000C40CC" w:rsidRDefault="00AF7FF3" w:rsidP="00AF7FF3">
      <w:pPr>
        <w:pStyle w:val="NoSpacing"/>
        <w:numPr>
          <w:ilvl w:val="0"/>
          <w:numId w:val="21"/>
        </w:numPr>
        <w:spacing w:after="240"/>
        <w:rPr>
          <w:rFonts w:ascii="Arial" w:eastAsia="Times New Roman" w:hAnsi="Arial" w:cs="Arial"/>
          <w:sz w:val="20"/>
          <w:szCs w:val="20"/>
          <w:lang w:val="de-DE"/>
        </w:rPr>
      </w:pPr>
      <w:r w:rsidRPr="000C40CC">
        <w:rPr>
          <w:rFonts w:ascii="Arial" w:eastAsia="Times New Roman" w:hAnsi="Arial" w:cs="Arial"/>
          <w:sz w:val="20"/>
          <w:szCs w:val="20"/>
          <w:lang w:val="de-DE"/>
        </w:rPr>
        <w:t xml:space="preserve">die Änderung der Behandlung hat sich nur beschränkt auf die Ausprägung der Merkmale ausgewirkt. </w:t>
      </w:r>
    </w:p>
    <w:p w:rsidR="00AF7FF3" w:rsidRPr="000C40CC" w:rsidRDefault="00AF7FF3" w:rsidP="00AF7FF3">
      <w:pPr>
        <w:widowControl w:val="0"/>
        <w:autoSpaceDE w:val="0"/>
        <w:autoSpaceDN w:val="0"/>
        <w:adjustRightInd w:val="0"/>
        <w:spacing w:after="240"/>
        <w:rPr>
          <w:rFonts w:cs="Arial"/>
        </w:rPr>
      </w:pPr>
      <w:r w:rsidRPr="000C40CC">
        <w:rPr>
          <w:rFonts w:cs="Arial"/>
        </w:rPr>
        <w:t>Aufgrund dieser Tatsachen schlug das Prüfungsamt vor, die Prüfungsbedingungen und das Anbauschema auf Topfanbau umzustellen</w:t>
      </w:r>
      <w:r>
        <w:rPr>
          <w:rFonts w:cs="Arial"/>
        </w:rPr>
        <w:t xml:space="preserve">, </w:t>
      </w:r>
      <w:r w:rsidRPr="000C40CC">
        <w:rPr>
          <w:rFonts w:cs="Arial"/>
        </w:rPr>
        <w:t>damit im April im Freien zu beginnen und</w:t>
      </w:r>
      <w:r>
        <w:rPr>
          <w:rFonts w:cs="Arial"/>
        </w:rPr>
        <w:t xml:space="preserve"> dann</w:t>
      </w:r>
      <w:r w:rsidRPr="00EE1AF5">
        <w:rPr>
          <w:rFonts w:cs="Arial"/>
        </w:rPr>
        <w:t xml:space="preserve"> </w:t>
      </w:r>
      <w:r w:rsidRPr="000C40CC">
        <w:rPr>
          <w:rFonts w:cs="Arial"/>
        </w:rPr>
        <w:t>Ende Novembe</w:t>
      </w:r>
      <w:r>
        <w:rPr>
          <w:rFonts w:cs="Arial"/>
        </w:rPr>
        <w:t>r</w:t>
      </w:r>
      <w:r w:rsidRPr="000C40CC">
        <w:rPr>
          <w:rFonts w:cs="Arial"/>
        </w:rPr>
        <w:t xml:space="preserve"> </w:t>
      </w:r>
      <w:r>
        <w:rPr>
          <w:rFonts w:cs="Arial"/>
        </w:rPr>
        <w:t xml:space="preserve">in </w:t>
      </w:r>
      <w:r w:rsidRPr="000C40CC">
        <w:rPr>
          <w:rFonts w:cs="Arial"/>
        </w:rPr>
        <w:t xml:space="preserve">ein kaltes Gewächshaus </w:t>
      </w:r>
      <w:r>
        <w:rPr>
          <w:rFonts w:cs="Arial"/>
        </w:rPr>
        <w:t>zu wechseln</w:t>
      </w:r>
      <w:r w:rsidRPr="000C40CC">
        <w:rPr>
          <w:rFonts w:cs="Arial"/>
        </w:rPr>
        <w:t>. Dieses neue Schema wurde für alle Kandidatensorten ab April 2015</w:t>
      </w:r>
      <w:r>
        <w:rPr>
          <w:rFonts w:cs="Arial"/>
        </w:rPr>
        <w:t xml:space="preserve"> </w:t>
      </w:r>
      <w:r w:rsidRPr="000C40CC">
        <w:rPr>
          <w:rFonts w:cs="Arial"/>
        </w:rPr>
        <w:t>ab dem ersten Jahr der DUS-Prüfung umgesetzt.</w:t>
      </w:r>
      <w:r w:rsidRPr="000C40CC" w:rsidDel="00C17949">
        <w:rPr>
          <w:rFonts w:cs="Arial"/>
        </w:rPr>
        <w:t xml:space="preserve"> </w:t>
      </w:r>
    </w:p>
    <w:p w:rsidR="00AF7FF3" w:rsidRPr="000C40CC" w:rsidRDefault="00AF7FF3" w:rsidP="00AF7FF3">
      <w:pPr>
        <w:spacing w:after="240"/>
        <w:ind w:left="720"/>
        <w:rPr>
          <w:rFonts w:cs="Arial"/>
          <w:i/>
        </w:rPr>
      </w:pPr>
      <w:r w:rsidRPr="000C40CC">
        <w:rPr>
          <w:rFonts w:cs="Arial"/>
          <w:i/>
        </w:rPr>
        <w:t>c. Rosenprojekt: Probenentnahme, Analyse und Lagerung von als Probe entnommene</w:t>
      </w:r>
      <w:r>
        <w:rPr>
          <w:rFonts w:cs="Arial"/>
          <w:i/>
        </w:rPr>
        <w:t>r</w:t>
      </w:r>
      <w:r w:rsidRPr="000C40CC">
        <w:rPr>
          <w:rFonts w:cs="Arial"/>
          <w:i/>
        </w:rPr>
        <w:t xml:space="preserve"> DN</w:t>
      </w:r>
      <w:r>
        <w:rPr>
          <w:rFonts w:cs="Arial"/>
          <w:i/>
        </w:rPr>
        <w:t>S</w:t>
      </w:r>
    </w:p>
    <w:p w:rsidR="00AF7FF3" w:rsidRPr="000C40CC" w:rsidRDefault="00AF7FF3" w:rsidP="00AF7FF3">
      <w:pPr>
        <w:spacing w:after="240"/>
        <w:rPr>
          <w:rFonts w:cs="Arial"/>
        </w:rPr>
      </w:pPr>
      <w:r>
        <w:rPr>
          <w:rFonts w:cs="Arial"/>
        </w:rPr>
        <w:t>Im</w:t>
      </w:r>
      <w:r w:rsidRPr="000C40CC">
        <w:rPr>
          <w:rFonts w:cs="Arial"/>
        </w:rPr>
        <w:t xml:space="preserve"> Juni 2011 schlug das CPVO dem Verwaltungsrat</w:t>
      </w:r>
      <w:r>
        <w:rPr>
          <w:rFonts w:cs="Arial"/>
        </w:rPr>
        <w:t xml:space="preserve"> </w:t>
      </w:r>
      <w:r w:rsidRPr="000C40CC">
        <w:rPr>
          <w:rFonts w:cs="Arial"/>
        </w:rPr>
        <w:t>vor</w:t>
      </w:r>
      <w:r>
        <w:rPr>
          <w:rFonts w:cs="Arial"/>
        </w:rPr>
        <w:t>,</w:t>
      </w:r>
      <w:r w:rsidRPr="000C40CC">
        <w:rPr>
          <w:rFonts w:cs="Arial"/>
        </w:rPr>
        <w:t xml:space="preserve"> ein Pilotprojekt für </w:t>
      </w:r>
      <w:r>
        <w:rPr>
          <w:rFonts w:cs="Arial"/>
        </w:rPr>
        <w:t xml:space="preserve">die </w:t>
      </w:r>
      <w:r w:rsidRPr="000C40CC">
        <w:rPr>
          <w:rFonts w:cs="Arial"/>
        </w:rPr>
        <w:t>Probenentnahme und Lagerung der DNS von Rosen</w:t>
      </w:r>
      <w:r>
        <w:rPr>
          <w:rFonts w:cs="Arial"/>
        </w:rPr>
        <w:t xml:space="preserve"> </w:t>
      </w:r>
      <w:r w:rsidRPr="000C40CC">
        <w:rPr>
          <w:rFonts w:cs="Arial"/>
        </w:rPr>
        <w:t xml:space="preserve">zu starten. Es wurde entschieden, verpflichtend eine DNS-Probe von dem Originalpflanzenmaterial, das für jede technische Prüfung eingereicht wird, zu behalten. Eine mögliche Verwendung einer solchen Probe könnte in Zweifelsfällen zur Überprüfung (soweit die anwendbaren Techniken dies erlauben) der Identität des Materials, das </w:t>
      </w:r>
      <w:r>
        <w:rPr>
          <w:rFonts w:cs="Arial"/>
        </w:rPr>
        <w:t>für den</w:t>
      </w:r>
      <w:r w:rsidRPr="000C40CC">
        <w:rPr>
          <w:rFonts w:cs="Arial"/>
        </w:rPr>
        <w:t xml:space="preserve"> Anbau zum Vergleich in einer DUS-Prüfung angefordert wird,</w:t>
      </w:r>
      <w:r>
        <w:rPr>
          <w:rFonts w:cs="Arial"/>
        </w:rPr>
        <w:t xml:space="preserve"> verwendet werden,</w:t>
      </w:r>
      <w:r w:rsidRPr="000C40CC">
        <w:rPr>
          <w:rFonts w:cs="Arial"/>
        </w:rPr>
        <w:t xml:space="preserve"> wobei der DNS-Fingerabdruck des als Vergleichssorte erhaltene</w:t>
      </w:r>
      <w:r>
        <w:rPr>
          <w:rFonts w:cs="Arial"/>
        </w:rPr>
        <w:t xml:space="preserve">n </w:t>
      </w:r>
      <w:r w:rsidRPr="000C40CC">
        <w:rPr>
          <w:rFonts w:cs="Arial"/>
        </w:rPr>
        <w:t>Materials</w:t>
      </w:r>
      <w:r>
        <w:rPr>
          <w:rFonts w:cs="Arial"/>
        </w:rPr>
        <w:t xml:space="preserve"> </w:t>
      </w:r>
      <w:r w:rsidRPr="000C40CC">
        <w:rPr>
          <w:rFonts w:cs="Arial"/>
        </w:rPr>
        <w:t xml:space="preserve">mit dem Fingerabdruck </w:t>
      </w:r>
      <w:r>
        <w:rPr>
          <w:rFonts w:cs="Arial"/>
        </w:rPr>
        <w:t>der</w:t>
      </w:r>
      <w:r w:rsidRPr="000C40CC">
        <w:rPr>
          <w:rFonts w:cs="Arial"/>
        </w:rPr>
        <w:t xml:space="preserve"> für die gleiche Sorte </w:t>
      </w:r>
      <w:r>
        <w:rPr>
          <w:rFonts w:cs="Arial"/>
        </w:rPr>
        <w:t>gelagert</w:t>
      </w:r>
      <w:r w:rsidRPr="000C40CC">
        <w:rPr>
          <w:rFonts w:cs="Arial"/>
        </w:rPr>
        <w:t>en</w:t>
      </w:r>
      <w:r>
        <w:rPr>
          <w:rFonts w:cs="Arial"/>
        </w:rPr>
        <w:t xml:space="preserve"> </w:t>
      </w:r>
      <w:r w:rsidRPr="000C40CC">
        <w:rPr>
          <w:rFonts w:cs="Arial"/>
        </w:rPr>
        <w:t xml:space="preserve">DNS </w:t>
      </w:r>
      <w:r>
        <w:rPr>
          <w:rFonts w:cs="Arial"/>
        </w:rPr>
        <w:t>verglichen wird</w:t>
      </w:r>
      <w:r w:rsidRPr="000C40CC">
        <w:rPr>
          <w:rFonts w:cs="Arial"/>
        </w:rPr>
        <w:t>. Diese Probe könnte</w:t>
      </w:r>
      <w:r>
        <w:rPr>
          <w:rFonts w:cs="Arial"/>
        </w:rPr>
        <w:t xml:space="preserve"> </w:t>
      </w:r>
      <w:r w:rsidRPr="000C40CC">
        <w:rPr>
          <w:rFonts w:cs="Arial"/>
        </w:rPr>
        <w:t>auf Ersuchen des Züchters auch im Zusammenhang mit der Wahrung von Rechten verwendet werden. In einem künftigen Zusammenhang könnte diese Probe bei der Verwaltung der Vergleichssammlung</w:t>
      </w:r>
      <w:r>
        <w:rPr>
          <w:rFonts w:cs="Arial"/>
        </w:rPr>
        <w:t xml:space="preserve"> </w:t>
      </w:r>
      <w:r w:rsidRPr="000C40CC">
        <w:rPr>
          <w:rFonts w:cs="Arial"/>
        </w:rPr>
        <w:t>verwendet werden.</w:t>
      </w:r>
    </w:p>
    <w:p w:rsidR="00AF7FF3" w:rsidRPr="000C40CC" w:rsidRDefault="00AF7FF3" w:rsidP="00AF7FF3">
      <w:pPr>
        <w:spacing w:after="240"/>
        <w:rPr>
          <w:rFonts w:cs="Arial"/>
        </w:rPr>
      </w:pPr>
      <w:r w:rsidRPr="000C40CC">
        <w:rPr>
          <w:rFonts w:cs="Arial"/>
        </w:rPr>
        <w:t xml:space="preserve">Es wurde ein Verfahren </w:t>
      </w:r>
      <w:r>
        <w:rPr>
          <w:rFonts w:cs="Arial"/>
        </w:rPr>
        <w:t>für die Festlegung der Einzelheiten der</w:t>
      </w:r>
      <w:r w:rsidRPr="000C40CC">
        <w:rPr>
          <w:rFonts w:cs="Arial"/>
        </w:rPr>
        <w:t xml:space="preserve"> DNS</w:t>
      </w:r>
      <w:r>
        <w:rPr>
          <w:rFonts w:cs="Arial"/>
        </w:rPr>
        <w:t>-</w:t>
      </w:r>
      <w:r w:rsidRPr="000C40CC">
        <w:rPr>
          <w:rFonts w:cs="Arial"/>
        </w:rPr>
        <w:t xml:space="preserve">Probenentnahme </w:t>
      </w:r>
      <w:r>
        <w:rPr>
          <w:rFonts w:cs="Arial"/>
        </w:rPr>
        <w:t xml:space="preserve">als Teil der </w:t>
      </w:r>
      <w:r w:rsidRPr="000C40CC">
        <w:rPr>
          <w:rFonts w:cs="Arial"/>
        </w:rPr>
        <w:t>technische</w:t>
      </w:r>
      <w:r>
        <w:rPr>
          <w:rFonts w:cs="Arial"/>
        </w:rPr>
        <w:t>n</w:t>
      </w:r>
      <w:r w:rsidRPr="000C40CC">
        <w:rPr>
          <w:rFonts w:cs="Arial"/>
        </w:rPr>
        <w:t xml:space="preserve"> Prüfung </w:t>
      </w:r>
      <w:r>
        <w:rPr>
          <w:rFonts w:cs="Arial"/>
        </w:rPr>
        <w:t xml:space="preserve">auf der </w:t>
      </w:r>
      <w:r w:rsidRPr="000C40CC">
        <w:rPr>
          <w:rFonts w:cs="Arial"/>
        </w:rPr>
        <w:t>Grundlage</w:t>
      </w:r>
      <w:r>
        <w:rPr>
          <w:rFonts w:cs="Arial"/>
        </w:rPr>
        <w:t>, auf der eine Ausschreibung zur Auswahl eines</w:t>
      </w:r>
      <w:r w:rsidRPr="000C40CC">
        <w:rPr>
          <w:rFonts w:cs="Arial"/>
        </w:rPr>
        <w:t xml:space="preserve"> Labor</w:t>
      </w:r>
      <w:r>
        <w:rPr>
          <w:rFonts w:cs="Arial"/>
        </w:rPr>
        <w:t>s</w:t>
      </w:r>
      <w:r w:rsidRPr="000C40CC">
        <w:rPr>
          <w:rFonts w:cs="Arial"/>
        </w:rPr>
        <w:t xml:space="preserve"> lanciert</w:t>
      </w:r>
      <w:r>
        <w:rPr>
          <w:rFonts w:cs="Arial"/>
        </w:rPr>
        <w:t xml:space="preserve"> wurde, ausgewiesen</w:t>
      </w:r>
      <w:r w:rsidRPr="000C40CC">
        <w:rPr>
          <w:rFonts w:cs="Arial"/>
        </w:rPr>
        <w:t>. Im Jahr 2011</w:t>
      </w:r>
      <w:r>
        <w:rPr>
          <w:rFonts w:cs="Arial"/>
        </w:rPr>
        <w:t xml:space="preserve"> wurde </w:t>
      </w:r>
      <w:proofErr w:type="spellStart"/>
      <w:r w:rsidRPr="000C40CC">
        <w:rPr>
          <w:rFonts w:cs="Arial"/>
        </w:rPr>
        <w:t>Naktuinbouw</w:t>
      </w:r>
      <w:proofErr w:type="spellEnd"/>
      <w:r w:rsidRPr="000C40CC">
        <w:rPr>
          <w:rFonts w:cs="Arial"/>
        </w:rPr>
        <w:t xml:space="preserve"> für </w:t>
      </w:r>
      <w:r>
        <w:rPr>
          <w:rFonts w:cs="Arial"/>
        </w:rPr>
        <w:t>einen</w:t>
      </w:r>
      <w:r w:rsidRPr="000C40CC">
        <w:rPr>
          <w:rFonts w:cs="Arial"/>
        </w:rPr>
        <w:t xml:space="preserve"> </w:t>
      </w:r>
      <w:r>
        <w:rPr>
          <w:rFonts w:cs="Arial"/>
        </w:rPr>
        <w:t>Z</w:t>
      </w:r>
      <w:r w:rsidRPr="000C40CC">
        <w:rPr>
          <w:rFonts w:cs="Arial"/>
        </w:rPr>
        <w:t xml:space="preserve">eitraum </w:t>
      </w:r>
      <w:r>
        <w:rPr>
          <w:rFonts w:cs="Arial"/>
        </w:rPr>
        <w:t>von</w:t>
      </w:r>
      <w:r w:rsidRPr="000C40CC">
        <w:rPr>
          <w:rFonts w:cs="Arial"/>
        </w:rPr>
        <w:t xml:space="preserve"> 4 Jahren</w:t>
      </w:r>
      <w:r w:rsidRPr="009370AD">
        <w:rPr>
          <w:rFonts w:cs="Arial"/>
        </w:rPr>
        <w:t xml:space="preserve"> </w:t>
      </w:r>
      <w:r w:rsidRPr="000C40CC">
        <w:rPr>
          <w:rFonts w:cs="Arial"/>
        </w:rPr>
        <w:t>beauftragt</w:t>
      </w:r>
      <w:r>
        <w:rPr>
          <w:rFonts w:cs="Arial"/>
        </w:rPr>
        <w:t>, der im</w:t>
      </w:r>
      <w:r w:rsidRPr="000C40CC">
        <w:rPr>
          <w:rFonts w:cs="Arial"/>
        </w:rPr>
        <w:t xml:space="preserve"> Februar 2015</w:t>
      </w:r>
      <w:r>
        <w:rPr>
          <w:rFonts w:cs="Arial"/>
        </w:rPr>
        <w:t xml:space="preserve"> endet</w:t>
      </w:r>
      <w:r w:rsidRPr="000C40CC">
        <w:rPr>
          <w:rFonts w:cs="Arial"/>
        </w:rPr>
        <w:t xml:space="preserve">. </w:t>
      </w:r>
      <w:r>
        <w:rPr>
          <w:rFonts w:cs="Arial"/>
        </w:rPr>
        <w:t xml:space="preserve">Mit der </w:t>
      </w:r>
      <w:r w:rsidRPr="000C40CC">
        <w:rPr>
          <w:rFonts w:cs="Arial"/>
        </w:rPr>
        <w:t xml:space="preserve">Probenentnahme </w:t>
      </w:r>
      <w:r>
        <w:rPr>
          <w:rFonts w:cs="Arial"/>
        </w:rPr>
        <w:t xml:space="preserve">wurde </w:t>
      </w:r>
      <w:r w:rsidRPr="000C40CC">
        <w:rPr>
          <w:rFonts w:cs="Arial"/>
        </w:rPr>
        <w:t>im Laufe</w:t>
      </w:r>
      <w:r>
        <w:rPr>
          <w:rFonts w:cs="Arial"/>
        </w:rPr>
        <w:t xml:space="preserve"> der </w:t>
      </w:r>
      <w:r w:rsidRPr="000C40CC">
        <w:rPr>
          <w:rFonts w:cs="Arial"/>
        </w:rPr>
        <w:t>DUS</w:t>
      </w:r>
      <w:r>
        <w:rPr>
          <w:rFonts w:cs="Arial"/>
        </w:rPr>
        <w:t xml:space="preserve">-Prüfung </w:t>
      </w:r>
      <w:r w:rsidRPr="000C40CC">
        <w:rPr>
          <w:rFonts w:cs="Arial"/>
        </w:rPr>
        <w:t>2011</w:t>
      </w:r>
      <w:r>
        <w:rPr>
          <w:rFonts w:cs="Arial"/>
        </w:rPr>
        <w:t xml:space="preserve"> begonnen</w:t>
      </w:r>
      <w:r w:rsidRPr="000C40CC">
        <w:rPr>
          <w:rFonts w:cs="Arial"/>
        </w:rPr>
        <w:t>.</w:t>
      </w:r>
    </w:p>
    <w:p w:rsidR="00AF7FF3" w:rsidRPr="000C40CC" w:rsidRDefault="00AF7FF3" w:rsidP="00AF7FF3">
      <w:pPr>
        <w:spacing w:after="240"/>
        <w:rPr>
          <w:rFonts w:cs="Arial"/>
        </w:rPr>
      </w:pPr>
      <w:r>
        <w:rPr>
          <w:rFonts w:cs="Arial"/>
        </w:rPr>
        <w:t xml:space="preserve">In diesen </w:t>
      </w:r>
      <w:r w:rsidRPr="000C40CC">
        <w:rPr>
          <w:rFonts w:cs="Arial"/>
        </w:rPr>
        <w:t>4 Jahren</w:t>
      </w:r>
      <w:r>
        <w:rPr>
          <w:rFonts w:cs="Arial"/>
        </w:rPr>
        <w:t xml:space="preserve"> wurde gemäß des angenommenen Verfahrens eine</w:t>
      </w:r>
      <w:r w:rsidRPr="000C40CC">
        <w:rPr>
          <w:rFonts w:cs="Arial"/>
        </w:rPr>
        <w:t xml:space="preserve"> DNS</w:t>
      </w:r>
      <w:r>
        <w:rPr>
          <w:rFonts w:cs="Arial"/>
        </w:rPr>
        <w:t>-</w:t>
      </w:r>
      <w:r w:rsidRPr="000C40CC">
        <w:rPr>
          <w:rFonts w:cs="Arial"/>
        </w:rPr>
        <w:t xml:space="preserve">Probe </w:t>
      </w:r>
      <w:r>
        <w:rPr>
          <w:rFonts w:cs="Arial"/>
        </w:rPr>
        <w:t xml:space="preserve">in dem für die </w:t>
      </w:r>
      <w:r w:rsidRPr="000C40CC">
        <w:rPr>
          <w:rFonts w:cs="Arial"/>
        </w:rPr>
        <w:t>technische Prüfung</w:t>
      </w:r>
      <w:r>
        <w:rPr>
          <w:rFonts w:cs="Arial"/>
        </w:rPr>
        <w:t xml:space="preserve"> jeder Rose eingereichten O</w:t>
      </w:r>
      <w:r w:rsidRPr="000C40CC">
        <w:rPr>
          <w:rFonts w:cs="Arial"/>
        </w:rPr>
        <w:t>riginal</w:t>
      </w:r>
      <w:r>
        <w:rPr>
          <w:rFonts w:cs="Arial"/>
        </w:rPr>
        <w:t>p</w:t>
      </w:r>
      <w:r w:rsidRPr="000C40CC">
        <w:rPr>
          <w:rFonts w:cs="Arial"/>
        </w:rPr>
        <w:t xml:space="preserve">flanzenmaterial </w:t>
      </w:r>
      <w:r>
        <w:rPr>
          <w:rFonts w:cs="Arial"/>
        </w:rPr>
        <w:t>verpflichtend einbehalten</w:t>
      </w:r>
      <w:r w:rsidRPr="000C40CC">
        <w:rPr>
          <w:rFonts w:cs="Arial"/>
        </w:rPr>
        <w:t xml:space="preserve">. </w:t>
      </w:r>
      <w:r>
        <w:rPr>
          <w:rFonts w:cs="Arial"/>
        </w:rPr>
        <w:t>Die Blätter wurden in den verschiedenen</w:t>
      </w:r>
      <w:r w:rsidRPr="000C40CC">
        <w:rPr>
          <w:rFonts w:cs="Arial"/>
        </w:rPr>
        <w:t xml:space="preserve"> beauftragte</w:t>
      </w:r>
      <w:r>
        <w:rPr>
          <w:rFonts w:cs="Arial"/>
        </w:rPr>
        <w:t>n</w:t>
      </w:r>
      <w:r w:rsidRPr="000C40CC">
        <w:rPr>
          <w:rFonts w:cs="Arial"/>
        </w:rPr>
        <w:t xml:space="preserve"> Prüfungsämter</w:t>
      </w:r>
      <w:r>
        <w:rPr>
          <w:rFonts w:cs="Arial"/>
        </w:rPr>
        <w:t>n</w:t>
      </w:r>
      <w:r w:rsidRPr="000C40CC">
        <w:rPr>
          <w:rFonts w:cs="Arial"/>
        </w:rPr>
        <w:t xml:space="preserve"> (Bundessortenamt, </w:t>
      </w:r>
      <w:proofErr w:type="spellStart"/>
      <w:r w:rsidRPr="000C40CC">
        <w:rPr>
          <w:rFonts w:cs="Arial"/>
        </w:rPr>
        <w:t>Naktuinbouw</w:t>
      </w:r>
      <w:proofErr w:type="spellEnd"/>
      <w:r w:rsidRPr="000C40CC">
        <w:rPr>
          <w:rFonts w:cs="Arial"/>
        </w:rPr>
        <w:t xml:space="preserve"> und NIAB)</w:t>
      </w:r>
      <w:r>
        <w:rPr>
          <w:rFonts w:cs="Arial"/>
        </w:rPr>
        <w:t xml:space="preserve"> gesammelt</w:t>
      </w:r>
      <w:r w:rsidRPr="000C40CC">
        <w:rPr>
          <w:rFonts w:cs="Arial"/>
        </w:rPr>
        <w:t xml:space="preserve"> und</w:t>
      </w:r>
      <w:r>
        <w:rPr>
          <w:rFonts w:cs="Arial"/>
        </w:rPr>
        <w:t xml:space="preserve"> an das </w:t>
      </w:r>
      <w:r w:rsidRPr="000C40CC">
        <w:rPr>
          <w:rFonts w:cs="Arial"/>
        </w:rPr>
        <w:t>beauftragte Labor (</w:t>
      </w:r>
      <w:proofErr w:type="spellStart"/>
      <w:r w:rsidRPr="000C40CC">
        <w:rPr>
          <w:rFonts w:cs="Arial"/>
        </w:rPr>
        <w:t>Naktuinbouw</w:t>
      </w:r>
      <w:proofErr w:type="spellEnd"/>
      <w:r w:rsidRPr="000C40CC">
        <w:rPr>
          <w:rFonts w:cs="Arial"/>
        </w:rPr>
        <w:t>)</w:t>
      </w:r>
      <w:r>
        <w:rPr>
          <w:rFonts w:cs="Arial"/>
        </w:rPr>
        <w:t xml:space="preserve"> geschickt</w:t>
      </w:r>
      <w:r w:rsidRPr="000C40CC">
        <w:rPr>
          <w:rFonts w:cs="Arial"/>
        </w:rPr>
        <w:t xml:space="preserve">. </w:t>
      </w:r>
      <w:r>
        <w:rPr>
          <w:rFonts w:cs="Arial"/>
        </w:rPr>
        <w:t xml:space="preserve">Extraktion und Lagerung der </w:t>
      </w:r>
      <w:r w:rsidRPr="000C40CC">
        <w:rPr>
          <w:rFonts w:cs="Arial"/>
        </w:rPr>
        <w:t>DNS</w:t>
      </w:r>
      <w:r>
        <w:rPr>
          <w:rFonts w:cs="Arial"/>
        </w:rPr>
        <w:t xml:space="preserve"> </w:t>
      </w:r>
      <w:r w:rsidRPr="000C40CC">
        <w:rPr>
          <w:rFonts w:cs="Arial"/>
        </w:rPr>
        <w:t xml:space="preserve">fand in </w:t>
      </w:r>
      <w:r>
        <w:rPr>
          <w:rFonts w:cs="Arial"/>
        </w:rPr>
        <w:t>diesem</w:t>
      </w:r>
      <w:r w:rsidRPr="000C40CC">
        <w:rPr>
          <w:rFonts w:cs="Arial"/>
        </w:rPr>
        <w:t xml:space="preserve"> Labor</w:t>
      </w:r>
      <w:r>
        <w:rPr>
          <w:rFonts w:cs="Arial"/>
        </w:rPr>
        <w:t xml:space="preserve"> </w:t>
      </w:r>
      <w:r w:rsidRPr="000C40CC">
        <w:rPr>
          <w:rFonts w:cs="Arial"/>
        </w:rPr>
        <w:t xml:space="preserve">statt. </w:t>
      </w:r>
      <w:r>
        <w:rPr>
          <w:rFonts w:cs="Arial"/>
        </w:rPr>
        <w:t>Seit dem Beginn des</w:t>
      </w:r>
      <w:r w:rsidRPr="000C40CC">
        <w:rPr>
          <w:rFonts w:cs="Arial"/>
        </w:rPr>
        <w:t xml:space="preserve"> Projekt</w:t>
      </w:r>
      <w:r>
        <w:rPr>
          <w:rFonts w:cs="Arial"/>
        </w:rPr>
        <w:t xml:space="preserve">es wurde die </w:t>
      </w:r>
      <w:r w:rsidRPr="000C40CC">
        <w:rPr>
          <w:rFonts w:cs="Arial"/>
        </w:rPr>
        <w:t xml:space="preserve">DNS </w:t>
      </w:r>
      <w:r>
        <w:rPr>
          <w:rFonts w:cs="Arial"/>
        </w:rPr>
        <w:t>von</w:t>
      </w:r>
      <w:r w:rsidRPr="000C40CC">
        <w:rPr>
          <w:rFonts w:cs="Arial"/>
        </w:rPr>
        <w:t xml:space="preserve"> '732 DNS Probe</w:t>
      </w:r>
      <w:r>
        <w:rPr>
          <w:rFonts w:cs="Arial"/>
        </w:rPr>
        <w:t>n</w:t>
      </w:r>
      <w:r w:rsidRPr="000C40CC">
        <w:rPr>
          <w:rFonts w:cs="Arial"/>
        </w:rPr>
        <w:t xml:space="preserve">' </w:t>
      </w:r>
      <w:r>
        <w:rPr>
          <w:rFonts w:cs="Arial"/>
        </w:rPr>
        <w:t>gelagert</w:t>
      </w:r>
      <w:r w:rsidRPr="000C40CC">
        <w:rPr>
          <w:rFonts w:cs="Arial"/>
        </w:rPr>
        <w:t xml:space="preserve">. </w:t>
      </w:r>
    </w:p>
    <w:p w:rsidR="008929C0" w:rsidRPr="008929C0" w:rsidRDefault="00AF7FF3" w:rsidP="008929C0">
      <w:pPr>
        <w:spacing w:after="120"/>
        <w:rPr>
          <w:rFonts w:cs="Arial"/>
        </w:rPr>
      </w:pPr>
      <w:r w:rsidRPr="000C40CC">
        <w:rPr>
          <w:rFonts w:cs="Arial"/>
        </w:rPr>
        <w:t xml:space="preserve">Das CPVO </w:t>
      </w:r>
      <w:r>
        <w:rPr>
          <w:rFonts w:cs="Arial"/>
        </w:rPr>
        <w:t xml:space="preserve">führte eine </w:t>
      </w:r>
      <w:r w:rsidRPr="000C40CC">
        <w:rPr>
          <w:rFonts w:cs="Arial"/>
        </w:rPr>
        <w:t>intern</w:t>
      </w:r>
      <w:r>
        <w:rPr>
          <w:rFonts w:cs="Arial"/>
        </w:rPr>
        <w:t>e</w:t>
      </w:r>
      <w:r w:rsidRPr="000C40CC">
        <w:rPr>
          <w:rFonts w:cs="Arial"/>
        </w:rPr>
        <w:t xml:space="preserve"> Analyse </w:t>
      </w:r>
      <w:r>
        <w:rPr>
          <w:rFonts w:cs="Arial"/>
        </w:rPr>
        <w:t xml:space="preserve">des Ergebnisses des Projektes </w:t>
      </w:r>
      <w:r w:rsidRPr="000C40CC">
        <w:rPr>
          <w:rFonts w:cs="Arial"/>
        </w:rPr>
        <w:t xml:space="preserve">und </w:t>
      </w:r>
      <w:r>
        <w:rPr>
          <w:rFonts w:cs="Arial"/>
        </w:rPr>
        <w:t>der von den</w:t>
      </w:r>
      <w:r w:rsidRPr="000C40CC">
        <w:rPr>
          <w:rFonts w:cs="Arial"/>
        </w:rPr>
        <w:t xml:space="preserve"> Projektpartnern und Züchterorgani</w:t>
      </w:r>
      <w:r>
        <w:rPr>
          <w:rFonts w:cs="Arial"/>
        </w:rPr>
        <w:t>sationen erhaltenen</w:t>
      </w:r>
      <w:r w:rsidRPr="000C40CC">
        <w:rPr>
          <w:rFonts w:cs="Arial"/>
        </w:rPr>
        <w:t xml:space="preserve"> (CIOPORA und </w:t>
      </w:r>
      <w:proofErr w:type="spellStart"/>
      <w:r w:rsidRPr="000C40CC">
        <w:rPr>
          <w:rFonts w:cs="Arial"/>
        </w:rPr>
        <w:t>Plantum</w:t>
      </w:r>
      <w:proofErr w:type="spellEnd"/>
      <w:r w:rsidRPr="000C40CC">
        <w:rPr>
          <w:rFonts w:cs="Arial"/>
        </w:rPr>
        <w:t>)</w:t>
      </w:r>
      <w:r>
        <w:rPr>
          <w:rFonts w:cs="Arial"/>
        </w:rPr>
        <w:t xml:space="preserve"> Bemerkungen durch</w:t>
      </w:r>
      <w:r w:rsidRPr="000C40CC">
        <w:rPr>
          <w:rFonts w:cs="Arial"/>
        </w:rPr>
        <w:t xml:space="preserve">. </w:t>
      </w:r>
      <w:r>
        <w:rPr>
          <w:rFonts w:cs="Arial"/>
        </w:rPr>
        <w:t>In diesem Z</w:t>
      </w:r>
      <w:r w:rsidRPr="000C40CC">
        <w:rPr>
          <w:rFonts w:cs="Arial"/>
        </w:rPr>
        <w:t>eitraum</w:t>
      </w:r>
      <w:r>
        <w:rPr>
          <w:rFonts w:cs="Arial"/>
        </w:rPr>
        <w:t xml:space="preserve"> wurde keine dieser </w:t>
      </w:r>
      <w:r w:rsidRPr="000C40CC">
        <w:rPr>
          <w:rFonts w:cs="Arial"/>
        </w:rPr>
        <w:t>Probe</w:t>
      </w:r>
      <w:r>
        <w:rPr>
          <w:rFonts w:cs="Arial"/>
        </w:rPr>
        <w:t>n von den</w:t>
      </w:r>
      <w:r w:rsidRPr="000C40CC">
        <w:rPr>
          <w:rFonts w:cs="Arial"/>
        </w:rPr>
        <w:t xml:space="preserve"> beauftragte</w:t>
      </w:r>
      <w:r>
        <w:rPr>
          <w:rFonts w:cs="Arial"/>
        </w:rPr>
        <w:t>n</w:t>
      </w:r>
      <w:r w:rsidRPr="000C40CC">
        <w:rPr>
          <w:rFonts w:cs="Arial"/>
        </w:rPr>
        <w:t xml:space="preserve"> Prüfungs</w:t>
      </w:r>
      <w:r>
        <w:rPr>
          <w:rFonts w:cs="Arial"/>
        </w:rPr>
        <w:t xml:space="preserve">ämtern oder von den </w:t>
      </w:r>
      <w:r w:rsidRPr="000C40CC">
        <w:rPr>
          <w:rFonts w:cs="Arial"/>
        </w:rPr>
        <w:t>Züchter</w:t>
      </w:r>
      <w:r>
        <w:rPr>
          <w:rFonts w:cs="Arial"/>
        </w:rPr>
        <w:t>n verwendet</w:t>
      </w:r>
      <w:r w:rsidRPr="000C40CC">
        <w:rPr>
          <w:rFonts w:cs="Arial"/>
        </w:rPr>
        <w:t>.</w:t>
      </w:r>
      <w:r>
        <w:rPr>
          <w:rFonts w:cs="Arial"/>
        </w:rPr>
        <w:t xml:space="preserve"> Die Situation kann mit verschiedenen</w:t>
      </w:r>
      <w:r w:rsidRPr="000C40CC">
        <w:rPr>
          <w:rFonts w:cs="Arial"/>
        </w:rPr>
        <w:t xml:space="preserve"> </w:t>
      </w:r>
      <w:r>
        <w:rPr>
          <w:rFonts w:cs="Arial"/>
        </w:rPr>
        <w:t>Gründen erklärt werden</w:t>
      </w:r>
      <w:r w:rsidRPr="000C40CC">
        <w:rPr>
          <w:rFonts w:cs="Arial"/>
        </w:rPr>
        <w:t xml:space="preserve">. </w:t>
      </w:r>
      <w:r>
        <w:rPr>
          <w:rFonts w:cs="Arial"/>
        </w:rPr>
        <w:t>Der</w:t>
      </w:r>
      <w:r w:rsidRPr="000C40CC">
        <w:rPr>
          <w:rFonts w:cs="Arial"/>
        </w:rPr>
        <w:t xml:space="preserve"> CPVO</w:t>
      </w:r>
      <w:r>
        <w:rPr>
          <w:rFonts w:cs="Arial"/>
        </w:rPr>
        <w:t>-</w:t>
      </w:r>
      <w:r w:rsidRPr="000C40CC">
        <w:rPr>
          <w:rFonts w:cs="Arial"/>
        </w:rPr>
        <w:t xml:space="preserve">Verwaltungsrat </w:t>
      </w:r>
      <w:r>
        <w:rPr>
          <w:rFonts w:cs="Arial"/>
        </w:rPr>
        <w:t>vereinbarte im</w:t>
      </w:r>
      <w:r w:rsidRPr="000C40CC">
        <w:rPr>
          <w:rFonts w:cs="Arial"/>
        </w:rPr>
        <w:t xml:space="preserve"> März 2014</w:t>
      </w:r>
      <w:r>
        <w:rPr>
          <w:rFonts w:cs="Arial"/>
        </w:rPr>
        <w:t xml:space="preserve">, das </w:t>
      </w:r>
      <w:r w:rsidRPr="000C40CC">
        <w:rPr>
          <w:rFonts w:cs="Arial"/>
        </w:rPr>
        <w:t xml:space="preserve">Projekt </w:t>
      </w:r>
      <w:r>
        <w:rPr>
          <w:rFonts w:cs="Arial"/>
        </w:rPr>
        <w:t xml:space="preserve">um ein weiteres </w:t>
      </w:r>
      <w:r w:rsidRPr="000C40CC">
        <w:rPr>
          <w:rFonts w:cs="Arial"/>
        </w:rPr>
        <w:t>Jahr</w:t>
      </w:r>
      <w:r>
        <w:rPr>
          <w:rFonts w:cs="Arial"/>
        </w:rPr>
        <w:t xml:space="preserve"> zu verlängern</w:t>
      </w:r>
      <w:r w:rsidRPr="000C40CC">
        <w:rPr>
          <w:rFonts w:cs="Arial"/>
        </w:rPr>
        <w:t xml:space="preserve">, um </w:t>
      </w:r>
      <w:r>
        <w:rPr>
          <w:rFonts w:cs="Arial"/>
        </w:rPr>
        <w:t xml:space="preserve">eine Lücke in der Entnahme von </w:t>
      </w:r>
      <w:r w:rsidRPr="000C40CC">
        <w:rPr>
          <w:rFonts w:cs="Arial"/>
        </w:rPr>
        <w:t>DNS</w:t>
      </w:r>
      <w:r>
        <w:rPr>
          <w:rFonts w:cs="Arial"/>
        </w:rPr>
        <w:t>-</w:t>
      </w:r>
      <w:r w:rsidRPr="000C40CC">
        <w:rPr>
          <w:rFonts w:cs="Arial"/>
        </w:rPr>
        <w:t>Probe</w:t>
      </w:r>
      <w:r>
        <w:rPr>
          <w:rFonts w:cs="Arial"/>
        </w:rPr>
        <w:t>n zu verhindern, da sich ein</w:t>
      </w:r>
      <w:r w:rsidRPr="000C40CC">
        <w:rPr>
          <w:rFonts w:cs="Arial"/>
        </w:rPr>
        <w:t xml:space="preserve"> </w:t>
      </w:r>
      <w:r>
        <w:rPr>
          <w:rFonts w:cs="Arial"/>
        </w:rPr>
        <w:t xml:space="preserve">neues </w:t>
      </w:r>
      <w:r w:rsidRPr="000C40CC">
        <w:rPr>
          <w:rFonts w:cs="Arial"/>
        </w:rPr>
        <w:t xml:space="preserve">Projekt für </w:t>
      </w:r>
      <w:r>
        <w:rPr>
          <w:rFonts w:cs="Arial"/>
        </w:rPr>
        <w:t>Rosen in Vorbereitung befindet</w:t>
      </w:r>
      <w:r w:rsidRPr="000C40CC">
        <w:rPr>
          <w:rFonts w:cs="Arial"/>
        </w:rPr>
        <w:t xml:space="preserve">. </w:t>
      </w:r>
      <w:r>
        <w:rPr>
          <w:rFonts w:cs="Arial"/>
        </w:rPr>
        <w:t xml:space="preserve">In dem </w:t>
      </w:r>
      <w:r w:rsidRPr="000C40CC">
        <w:rPr>
          <w:rFonts w:cs="Arial"/>
        </w:rPr>
        <w:t>neue</w:t>
      </w:r>
      <w:r>
        <w:rPr>
          <w:rFonts w:cs="Arial"/>
        </w:rPr>
        <w:t>n</w:t>
      </w:r>
      <w:r w:rsidRPr="000C40CC">
        <w:rPr>
          <w:rFonts w:cs="Arial"/>
        </w:rPr>
        <w:t xml:space="preserve"> Projekt</w:t>
      </w:r>
      <w:r>
        <w:rPr>
          <w:rFonts w:cs="Arial"/>
        </w:rPr>
        <w:t xml:space="preserve"> soll die Verwendung von </w:t>
      </w:r>
      <w:r w:rsidRPr="000C40CC">
        <w:rPr>
          <w:rFonts w:cs="Arial"/>
        </w:rPr>
        <w:t>neue</w:t>
      </w:r>
      <w:r>
        <w:rPr>
          <w:rFonts w:cs="Arial"/>
        </w:rPr>
        <w:t>n</w:t>
      </w:r>
      <w:r w:rsidRPr="000C40CC">
        <w:rPr>
          <w:rFonts w:cs="Arial"/>
        </w:rPr>
        <w:t xml:space="preserve"> molekular</w:t>
      </w:r>
      <w:r>
        <w:rPr>
          <w:rFonts w:cs="Arial"/>
        </w:rPr>
        <w:t>en</w:t>
      </w:r>
      <w:r w:rsidRPr="000C40CC">
        <w:rPr>
          <w:rFonts w:cs="Arial"/>
        </w:rPr>
        <w:t xml:space="preserve"> </w:t>
      </w:r>
      <w:r>
        <w:rPr>
          <w:rFonts w:cs="Arial"/>
        </w:rPr>
        <w:t>M</w:t>
      </w:r>
      <w:r w:rsidRPr="000C40CC">
        <w:rPr>
          <w:rFonts w:cs="Arial"/>
        </w:rPr>
        <w:t>arker</w:t>
      </w:r>
      <w:r>
        <w:rPr>
          <w:rFonts w:cs="Arial"/>
        </w:rPr>
        <w:t>n getestet werden</w:t>
      </w:r>
      <w:r w:rsidRPr="000C40CC">
        <w:rPr>
          <w:rFonts w:cs="Arial"/>
        </w:rPr>
        <w:t xml:space="preserve">, </w:t>
      </w:r>
      <w:r>
        <w:rPr>
          <w:rFonts w:cs="Arial"/>
        </w:rPr>
        <w:t xml:space="preserve">die als von Interesse für die </w:t>
      </w:r>
      <w:r w:rsidRPr="000C40CC">
        <w:rPr>
          <w:rFonts w:cs="Arial"/>
        </w:rPr>
        <w:t xml:space="preserve">Verwaltung </w:t>
      </w:r>
      <w:r>
        <w:rPr>
          <w:rFonts w:cs="Arial"/>
        </w:rPr>
        <w:t>der</w:t>
      </w:r>
      <w:r w:rsidRPr="000C40CC">
        <w:rPr>
          <w:rFonts w:cs="Arial"/>
        </w:rPr>
        <w:t xml:space="preserve"> </w:t>
      </w:r>
      <w:r>
        <w:rPr>
          <w:rFonts w:cs="Arial"/>
        </w:rPr>
        <w:t>Glashausrosenv</w:t>
      </w:r>
      <w:r w:rsidRPr="000C40CC">
        <w:rPr>
          <w:rFonts w:cs="Arial"/>
        </w:rPr>
        <w:t>ergleichs</w:t>
      </w:r>
      <w:r>
        <w:rPr>
          <w:rFonts w:cs="Arial"/>
        </w:rPr>
        <w:t>s</w:t>
      </w:r>
      <w:r w:rsidRPr="000C40CC">
        <w:rPr>
          <w:rFonts w:cs="Arial"/>
        </w:rPr>
        <w:t>ammlung</w:t>
      </w:r>
      <w:r>
        <w:rPr>
          <w:rFonts w:cs="Arial"/>
        </w:rPr>
        <w:t>en befunden werden</w:t>
      </w:r>
      <w:r w:rsidRPr="000C40CC">
        <w:rPr>
          <w:rFonts w:cs="Arial"/>
        </w:rPr>
        <w:t>.</w:t>
      </w:r>
    </w:p>
    <w:p w:rsidR="00C517EE" w:rsidRDefault="00C517EE" w:rsidP="00C517EE">
      <w:pPr>
        <w:sectPr w:rsidR="00C517EE" w:rsidSect="008929C0">
          <w:headerReference w:type="default" r:id="rId46"/>
          <w:pgSz w:w="11907" w:h="16840" w:code="9"/>
          <w:pgMar w:top="510" w:right="1134" w:bottom="851" w:left="1134" w:header="510" w:footer="680" w:gutter="0"/>
          <w:pgNumType w:start="1"/>
          <w:cols w:space="720"/>
          <w:titlePg/>
        </w:sectPr>
      </w:pPr>
    </w:p>
    <w:p w:rsidR="00C517EE" w:rsidRPr="0075031D" w:rsidRDefault="00C517EE" w:rsidP="00C517EE">
      <w:pPr>
        <w:jc w:val="center"/>
      </w:pPr>
      <w:r>
        <w:t>C/49/15</w:t>
      </w:r>
    </w:p>
    <w:p w:rsidR="00C517EE" w:rsidRPr="0075031D" w:rsidRDefault="00C517EE" w:rsidP="00C517EE">
      <w:pPr>
        <w:jc w:val="center"/>
      </w:pPr>
    </w:p>
    <w:p w:rsidR="00C517EE" w:rsidRPr="0075031D" w:rsidRDefault="00DB5AC1" w:rsidP="00C517EE">
      <w:pPr>
        <w:jc w:val="center"/>
      </w:pPr>
      <w:r>
        <w:t>ANLAGE</w:t>
      </w:r>
      <w:r w:rsidR="00C517EE" w:rsidRPr="0075031D">
        <w:t xml:space="preserve"> </w:t>
      </w:r>
      <w:r w:rsidR="00C517EE">
        <w:t>XVIII</w:t>
      </w:r>
    </w:p>
    <w:p w:rsidR="00C517EE" w:rsidRPr="0075031D" w:rsidRDefault="00C517EE" w:rsidP="00C517EE">
      <w:pPr>
        <w:jc w:val="center"/>
      </w:pPr>
    </w:p>
    <w:p w:rsidR="00C517EE" w:rsidRDefault="00C517EE" w:rsidP="00C517EE">
      <w:pPr>
        <w:jc w:val="center"/>
      </w:pPr>
    </w:p>
    <w:p w:rsidR="00C517EE" w:rsidRDefault="00DB5AC1" w:rsidP="00C517EE">
      <w:pPr>
        <w:jc w:val="center"/>
      </w:pPr>
      <w:r w:rsidRPr="00DB5AC1">
        <w:t>AFRIKANISCHE REGIONALORGANISATION FÜR GEWERBLICHES EIGENTUM</w:t>
      </w:r>
      <w:r w:rsidR="00C517EE">
        <w:br/>
      </w:r>
      <w:r w:rsidR="00C517EE" w:rsidRPr="006538D5">
        <w:t>(ARIPO)</w:t>
      </w:r>
    </w:p>
    <w:p w:rsidR="00C517EE" w:rsidRDefault="00C517EE" w:rsidP="00C517EE"/>
    <w:p w:rsidR="00C517EE" w:rsidRDefault="00C517EE" w:rsidP="00C517EE"/>
    <w:p w:rsidR="00F93BD1" w:rsidRPr="00E402A8" w:rsidRDefault="00F93BD1" w:rsidP="00F93BD1">
      <w:pPr>
        <w:rPr>
          <w:rFonts w:cs="Arial"/>
        </w:rPr>
      </w:pPr>
      <w:bookmarkStart w:id="6" w:name="_GoBack"/>
      <w:bookmarkEnd w:id="6"/>
      <w:r>
        <w:rPr>
          <w:rFonts w:eastAsia="Calibri" w:cs="Arial"/>
          <w:bCs/>
        </w:rPr>
        <w:t xml:space="preserve">Die </w:t>
      </w:r>
      <w:r w:rsidRPr="00E402A8">
        <w:rPr>
          <w:rFonts w:eastAsia="Calibri" w:cs="Arial"/>
          <w:bCs/>
        </w:rPr>
        <w:t>ARIPO und ihre neunzehn Mitgliedstaaten</w:t>
      </w:r>
      <w:r>
        <w:rPr>
          <w:rFonts w:eastAsia="Calibri" w:cs="Arial"/>
          <w:bCs/>
        </w:rPr>
        <w:t xml:space="preserve"> organisiert</w:t>
      </w:r>
      <w:r w:rsidRPr="00E402A8">
        <w:rPr>
          <w:rFonts w:eastAsia="Calibri" w:cs="Arial"/>
          <w:bCs/>
        </w:rPr>
        <w:t>en</w:t>
      </w:r>
      <w:r>
        <w:rPr>
          <w:rFonts w:eastAsia="Calibri" w:cs="Arial"/>
          <w:bCs/>
        </w:rPr>
        <w:t xml:space="preserve"> </w:t>
      </w:r>
      <w:r w:rsidRPr="00E402A8">
        <w:rPr>
          <w:rFonts w:eastAsia="Calibri" w:cs="Arial"/>
          <w:bCs/>
        </w:rPr>
        <w:t>am 6.</w:t>
      </w:r>
      <w:r>
        <w:rPr>
          <w:rFonts w:eastAsia="Calibri" w:cs="Arial"/>
          <w:bCs/>
        </w:rPr>
        <w:t xml:space="preserve"> </w:t>
      </w:r>
      <w:r w:rsidRPr="00E402A8">
        <w:rPr>
          <w:rFonts w:eastAsia="Calibri" w:cs="Arial"/>
          <w:bCs/>
        </w:rPr>
        <w:t>Juli 2015</w:t>
      </w:r>
      <w:r>
        <w:rPr>
          <w:rFonts w:eastAsia="Calibri" w:cs="Arial"/>
          <w:bCs/>
        </w:rPr>
        <w:t xml:space="preserve"> </w:t>
      </w:r>
      <w:r w:rsidRPr="00E402A8">
        <w:rPr>
          <w:rFonts w:eastAsia="Calibri" w:cs="Arial"/>
          <w:bCs/>
        </w:rPr>
        <w:t xml:space="preserve">eine </w:t>
      </w:r>
      <w:r>
        <w:rPr>
          <w:rFonts w:eastAsia="Calibri" w:cs="Arial"/>
          <w:bCs/>
        </w:rPr>
        <w:t>d</w:t>
      </w:r>
      <w:r w:rsidRPr="00E402A8">
        <w:rPr>
          <w:rFonts w:eastAsia="Calibri" w:cs="Arial"/>
          <w:bCs/>
        </w:rPr>
        <w:t xml:space="preserve">iplomatische Konferenz für die Annahme des Entwurfs eines ARIPO-Protokolls für den Schutz von Pflanzensorten in </w:t>
      </w:r>
      <w:proofErr w:type="spellStart"/>
      <w:r w:rsidRPr="00E402A8">
        <w:rPr>
          <w:rFonts w:eastAsia="Calibri" w:cs="Arial"/>
          <w:bCs/>
        </w:rPr>
        <w:t>Arusha</w:t>
      </w:r>
      <w:proofErr w:type="spellEnd"/>
      <w:r w:rsidRPr="00E402A8">
        <w:rPr>
          <w:rFonts w:eastAsia="Calibri" w:cs="Arial"/>
          <w:bCs/>
        </w:rPr>
        <w:t>, Republik Tansania</w:t>
      </w:r>
      <w:r>
        <w:rPr>
          <w:rFonts w:eastAsia="Calibri" w:cs="Arial"/>
          <w:bCs/>
        </w:rPr>
        <w:t xml:space="preserve">. </w:t>
      </w:r>
      <w:r w:rsidRPr="00E402A8">
        <w:rPr>
          <w:rFonts w:eastAsia="Calibri" w:cs="Arial"/>
          <w:bCs/>
        </w:rPr>
        <w:t>Der Konferenz ging</w:t>
      </w:r>
      <w:r>
        <w:rPr>
          <w:rFonts w:eastAsia="Calibri" w:cs="Arial"/>
          <w:bCs/>
        </w:rPr>
        <w:t>en</w:t>
      </w:r>
      <w:r w:rsidRPr="00E402A8">
        <w:rPr>
          <w:rFonts w:eastAsia="Calibri" w:cs="Arial"/>
          <w:bCs/>
        </w:rPr>
        <w:t xml:space="preserve"> eine Tagung des Sachverständigenausschu</w:t>
      </w:r>
      <w:r>
        <w:rPr>
          <w:rFonts w:eastAsia="Calibri" w:cs="Arial"/>
          <w:bCs/>
        </w:rPr>
        <w:t>sses</w:t>
      </w:r>
      <w:r w:rsidRPr="00E402A8">
        <w:rPr>
          <w:rFonts w:eastAsia="Calibri" w:cs="Arial"/>
          <w:bCs/>
        </w:rPr>
        <w:t xml:space="preserve"> </w:t>
      </w:r>
      <w:r>
        <w:rPr>
          <w:rFonts w:eastAsia="Calibri" w:cs="Arial"/>
          <w:bCs/>
        </w:rPr>
        <w:t>sowie</w:t>
      </w:r>
      <w:r w:rsidRPr="00E402A8">
        <w:rPr>
          <w:rFonts w:eastAsia="Calibri" w:cs="Arial"/>
          <w:bCs/>
        </w:rPr>
        <w:t xml:space="preserve"> die neunte außerordentliche Tagung des Verwaltungsrat</w:t>
      </w:r>
      <w:r>
        <w:rPr>
          <w:rFonts w:eastAsia="Calibri" w:cs="Arial"/>
          <w:bCs/>
        </w:rPr>
        <w:t>es</w:t>
      </w:r>
      <w:r w:rsidRPr="00E402A8">
        <w:rPr>
          <w:rFonts w:eastAsia="Calibri" w:cs="Arial"/>
          <w:bCs/>
        </w:rPr>
        <w:t xml:space="preserve"> vom 29. Juni bis 1. Juli 2015 </w:t>
      </w:r>
      <w:r>
        <w:rPr>
          <w:rFonts w:eastAsia="Calibri" w:cs="Arial"/>
          <w:bCs/>
        </w:rPr>
        <w:t>bzw.</w:t>
      </w:r>
      <w:r w:rsidRPr="00E402A8">
        <w:rPr>
          <w:rFonts w:eastAsia="Calibri" w:cs="Arial"/>
          <w:bCs/>
        </w:rPr>
        <w:t xml:space="preserve"> 2. bis. 3 Juli 2015 </w:t>
      </w:r>
      <w:r>
        <w:rPr>
          <w:rFonts w:eastAsia="Calibri" w:cs="Arial"/>
          <w:bCs/>
        </w:rPr>
        <w:t>voraus</w:t>
      </w:r>
      <w:r w:rsidRPr="00E402A8">
        <w:rPr>
          <w:rFonts w:eastAsia="Calibri" w:cs="Arial"/>
          <w:bCs/>
        </w:rPr>
        <w:t>. An der Konferenz nahmen über 120 Delegierte</w:t>
      </w:r>
      <w:r>
        <w:rPr>
          <w:rFonts w:eastAsia="Calibri" w:cs="Arial"/>
          <w:bCs/>
        </w:rPr>
        <w:t>,</w:t>
      </w:r>
      <w:r w:rsidRPr="00E402A8">
        <w:rPr>
          <w:rFonts w:eastAsia="Calibri" w:cs="Arial"/>
          <w:bCs/>
        </w:rPr>
        <w:t xml:space="preserve"> einschließlich Minister</w:t>
      </w:r>
      <w:r>
        <w:rPr>
          <w:rFonts w:eastAsia="Calibri" w:cs="Arial"/>
          <w:bCs/>
        </w:rPr>
        <w:t>n für</w:t>
      </w:r>
      <w:r w:rsidRPr="00E402A8">
        <w:rPr>
          <w:rFonts w:eastAsia="Calibri" w:cs="Arial"/>
          <w:bCs/>
        </w:rPr>
        <w:t xml:space="preserve"> Landwirtschaft, Handel und Industrie, Justiz sowie </w:t>
      </w:r>
      <w:r>
        <w:rPr>
          <w:rFonts w:eastAsia="Calibri" w:cs="Arial"/>
          <w:bCs/>
        </w:rPr>
        <w:t>hochrangigen</w:t>
      </w:r>
      <w:r w:rsidRPr="00E402A8">
        <w:rPr>
          <w:rFonts w:eastAsia="Calibri" w:cs="Arial"/>
          <w:bCs/>
        </w:rPr>
        <w:t xml:space="preserve"> Entscheidungsträger</w:t>
      </w:r>
      <w:r>
        <w:rPr>
          <w:rFonts w:eastAsia="Calibri" w:cs="Arial"/>
          <w:bCs/>
        </w:rPr>
        <w:t>n</w:t>
      </w:r>
      <w:r w:rsidRPr="00E402A8">
        <w:rPr>
          <w:rFonts w:eastAsia="Calibri" w:cs="Arial"/>
          <w:bCs/>
        </w:rPr>
        <w:t xml:space="preserve"> und Beamte</w:t>
      </w:r>
      <w:r>
        <w:rPr>
          <w:rFonts w:eastAsia="Calibri" w:cs="Arial"/>
          <w:bCs/>
        </w:rPr>
        <w:t>n</w:t>
      </w:r>
      <w:r w:rsidRPr="00E402A8">
        <w:rPr>
          <w:rFonts w:eastAsia="Calibri" w:cs="Arial"/>
          <w:bCs/>
        </w:rPr>
        <w:t xml:space="preserve"> von Landwirtschaftsministerien und </w:t>
      </w:r>
      <w:r>
        <w:rPr>
          <w:rFonts w:eastAsia="Calibri" w:cs="Arial"/>
          <w:bCs/>
        </w:rPr>
        <w:t>n</w:t>
      </w:r>
      <w:r w:rsidRPr="00E402A8">
        <w:rPr>
          <w:rFonts w:eastAsia="Calibri" w:cs="Arial"/>
          <w:bCs/>
        </w:rPr>
        <w:t>ationale</w:t>
      </w:r>
      <w:r>
        <w:rPr>
          <w:rFonts w:eastAsia="Calibri" w:cs="Arial"/>
          <w:bCs/>
        </w:rPr>
        <w:t>n</w:t>
      </w:r>
      <w:r w:rsidRPr="00E402A8">
        <w:rPr>
          <w:rFonts w:eastAsia="Calibri" w:cs="Arial"/>
          <w:bCs/>
        </w:rPr>
        <w:t xml:space="preserve"> Ämter</w:t>
      </w:r>
      <w:r>
        <w:rPr>
          <w:rFonts w:eastAsia="Calibri" w:cs="Arial"/>
          <w:bCs/>
        </w:rPr>
        <w:t>n</w:t>
      </w:r>
      <w:r w:rsidRPr="00E402A8">
        <w:rPr>
          <w:rFonts w:eastAsia="Calibri" w:cs="Arial"/>
          <w:bCs/>
        </w:rPr>
        <w:t xml:space="preserve"> für geistiges Eigentum</w:t>
      </w:r>
      <w:r>
        <w:rPr>
          <w:rFonts w:eastAsia="Calibri" w:cs="Arial"/>
          <w:bCs/>
        </w:rPr>
        <w:t xml:space="preserve"> teil. I</w:t>
      </w:r>
      <w:r w:rsidRPr="00E402A8">
        <w:rPr>
          <w:rFonts w:eastAsia="Calibri" w:cs="Arial"/>
          <w:bCs/>
        </w:rPr>
        <w:t>nternationale</w:t>
      </w:r>
      <w:r>
        <w:rPr>
          <w:rFonts w:eastAsia="Calibri" w:cs="Arial"/>
          <w:bCs/>
        </w:rPr>
        <w:t xml:space="preserve"> Organisation</w:t>
      </w:r>
      <w:r w:rsidRPr="00E402A8">
        <w:rPr>
          <w:rFonts w:eastAsia="Calibri" w:cs="Arial"/>
          <w:bCs/>
        </w:rPr>
        <w:t xml:space="preserve">en und Institutionen der </w:t>
      </w:r>
      <w:r w:rsidRPr="00E402A8">
        <w:rPr>
          <w:rFonts w:cs="Arial"/>
        </w:rPr>
        <w:t>Weltorganisation für geistiges Eigentum</w:t>
      </w:r>
      <w:r>
        <w:rPr>
          <w:rFonts w:cs="Arial"/>
        </w:rPr>
        <w:t xml:space="preserve"> </w:t>
      </w:r>
      <w:r w:rsidRPr="00E402A8">
        <w:rPr>
          <w:rFonts w:cs="Arial"/>
        </w:rPr>
        <w:t>(WIPO)</w:t>
      </w:r>
      <w:r>
        <w:rPr>
          <w:rFonts w:cs="Arial"/>
        </w:rPr>
        <w:t>, des</w:t>
      </w:r>
      <w:r w:rsidRPr="00E402A8">
        <w:rPr>
          <w:rFonts w:cs="Arial"/>
        </w:rPr>
        <w:t xml:space="preserve"> Gemeinschaftlichen Sortenamt</w:t>
      </w:r>
      <w:r>
        <w:rPr>
          <w:rFonts w:cs="Arial"/>
        </w:rPr>
        <w:t>es</w:t>
      </w:r>
      <w:r w:rsidRPr="00E402A8">
        <w:rPr>
          <w:rFonts w:cs="Arial"/>
        </w:rPr>
        <w:t xml:space="preserve"> (CPVO), der </w:t>
      </w:r>
      <w:proofErr w:type="spellStart"/>
      <w:r w:rsidRPr="001310E8">
        <w:rPr>
          <w:rFonts w:cs="Arial"/>
          <w:i/>
        </w:rPr>
        <w:t>Groupement</w:t>
      </w:r>
      <w:proofErr w:type="spellEnd"/>
      <w:r w:rsidRPr="001310E8">
        <w:rPr>
          <w:rFonts w:cs="Arial"/>
          <w:i/>
        </w:rPr>
        <w:t xml:space="preserve"> national </w:t>
      </w:r>
      <w:proofErr w:type="spellStart"/>
      <w:r w:rsidRPr="001310E8">
        <w:rPr>
          <w:rFonts w:cs="Arial"/>
          <w:i/>
        </w:rPr>
        <w:t>interprofessionnel</w:t>
      </w:r>
      <w:proofErr w:type="spellEnd"/>
      <w:r w:rsidRPr="001310E8">
        <w:rPr>
          <w:rFonts w:cs="Arial"/>
          <w:i/>
        </w:rPr>
        <w:t xml:space="preserve"> des </w:t>
      </w:r>
      <w:proofErr w:type="spellStart"/>
      <w:r w:rsidRPr="001310E8">
        <w:rPr>
          <w:rFonts w:cs="Arial"/>
          <w:i/>
        </w:rPr>
        <w:t>semences</w:t>
      </w:r>
      <w:proofErr w:type="spellEnd"/>
      <w:r w:rsidRPr="001310E8">
        <w:rPr>
          <w:rFonts w:cs="Arial"/>
          <w:i/>
        </w:rPr>
        <w:t xml:space="preserve"> et </w:t>
      </w:r>
      <w:proofErr w:type="spellStart"/>
      <w:r w:rsidRPr="001310E8">
        <w:rPr>
          <w:rFonts w:cs="Arial"/>
          <w:i/>
        </w:rPr>
        <w:t>plants</w:t>
      </w:r>
      <w:proofErr w:type="spellEnd"/>
      <w:r>
        <w:rPr>
          <w:rFonts w:cs="Arial"/>
        </w:rPr>
        <w:t xml:space="preserve"> </w:t>
      </w:r>
      <w:r w:rsidRPr="00E402A8">
        <w:rPr>
          <w:rFonts w:cs="Arial"/>
        </w:rPr>
        <w:t>(GNIS), de</w:t>
      </w:r>
      <w:r>
        <w:rPr>
          <w:rFonts w:cs="Arial"/>
        </w:rPr>
        <w:t>s</w:t>
      </w:r>
      <w:r w:rsidRPr="00E402A8">
        <w:rPr>
          <w:rFonts w:cs="Arial"/>
        </w:rPr>
        <w:t xml:space="preserve"> Patent</w:t>
      </w:r>
      <w:r>
        <w:rPr>
          <w:rFonts w:cs="Arial"/>
        </w:rPr>
        <w:t>-</w:t>
      </w:r>
      <w:r w:rsidRPr="00E402A8">
        <w:rPr>
          <w:rFonts w:cs="Arial"/>
        </w:rPr>
        <w:t xml:space="preserve"> und Markenamt</w:t>
      </w:r>
      <w:r>
        <w:rPr>
          <w:rFonts w:cs="Arial"/>
        </w:rPr>
        <w:t>es</w:t>
      </w:r>
      <w:r w:rsidRPr="00E402A8">
        <w:rPr>
          <w:rFonts w:cs="Arial"/>
        </w:rPr>
        <w:t xml:space="preserve"> der Vereinigten Staaten von Amerika (USPTO) und </w:t>
      </w:r>
      <w:r>
        <w:rPr>
          <w:rFonts w:cs="Arial"/>
        </w:rPr>
        <w:t>des</w:t>
      </w:r>
      <w:r w:rsidRPr="00E402A8">
        <w:rPr>
          <w:rFonts w:cs="Arial"/>
        </w:rPr>
        <w:t xml:space="preserve"> Internationalen Verband</w:t>
      </w:r>
      <w:r>
        <w:rPr>
          <w:rFonts w:cs="Arial"/>
        </w:rPr>
        <w:t>es</w:t>
      </w:r>
      <w:r w:rsidRPr="00E402A8">
        <w:rPr>
          <w:rFonts w:cs="Arial"/>
        </w:rPr>
        <w:t xml:space="preserve"> zum Schutz von Pflanzenzüchtungen (UPOV) </w:t>
      </w:r>
      <w:r>
        <w:rPr>
          <w:rFonts w:cs="Arial"/>
        </w:rPr>
        <w:t xml:space="preserve">nahmen </w:t>
      </w:r>
      <w:r w:rsidRPr="00E402A8">
        <w:rPr>
          <w:rFonts w:cs="Arial"/>
        </w:rPr>
        <w:t>als Beobachter</w:t>
      </w:r>
      <w:r>
        <w:rPr>
          <w:rFonts w:cs="Arial"/>
        </w:rPr>
        <w:t xml:space="preserve"> an der Konferenz</w:t>
      </w:r>
      <w:r w:rsidRPr="00E402A8">
        <w:rPr>
          <w:rFonts w:cs="Arial"/>
        </w:rPr>
        <w:t xml:space="preserve"> teil.  </w:t>
      </w:r>
    </w:p>
    <w:p w:rsidR="00F93BD1" w:rsidRPr="00E402A8" w:rsidRDefault="00F93BD1" w:rsidP="00F93BD1">
      <w:pPr>
        <w:rPr>
          <w:rFonts w:cs="Arial"/>
        </w:rPr>
      </w:pPr>
    </w:p>
    <w:p w:rsidR="00F93BD1" w:rsidRPr="00E402A8" w:rsidRDefault="00F93BD1" w:rsidP="00F93BD1">
      <w:pPr>
        <w:rPr>
          <w:rFonts w:cs="Arial"/>
        </w:rPr>
      </w:pPr>
      <w:r w:rsidRPr="00E402A8">
        <w:rPr>
          <w:rFonts w:cs="Arial"/>
        </w:rPr>
        <w:t xml:space="preserve">Die Konferenz nahm </w:t>
      </w:r>
      <w:r>
        <w:rPr>
          <w:rFonts w:cs="Arial"/>
        </w:rPr>
        <w:t xml:space="preserve">den </w:t>
      </w:r>
      <w:r w:rsidRPr="00E402A8">
        <w:rPr>
          <w:rFonts w:eastAsia="Calibri" w:cs="Arial"/>
          <w:bCs/>
        </w:rPr>
        <w:t xml:space="preserve">Entwurf </w:t>
      </w:r>
      <w:r>
        <w:rPr>
          <w:rFonts w:eastAsia="Calibri" w:cs="Arial"/>
          <w:bCs/>
        </w:rPr>
        <w:t xml:space="preserve">des </w:t>
      </w:r>
      <w:r w:rsidRPr="00E402A8">
        <w:rPr>
          <w:rFonts w:eastAsia="Calibri" w:cs="Arial"/>
          <w:bCs/>
        </w:rPr>
        <w:t xml:space="preserve">ARIPO-Protokolls für den Schutz von Pflanzensorten mit einigen Änderungen </w:t>
      </w:r>
      <w:r w:rsidRPr="00E402A8">
        <w:rPr>
          <w:rFonts w:cs="Arial"/>
        </w:rPr>
        <w:t>(vergleiche Anhang)</w:t>
      </w:r>
      <w:r>
        <w:rPr>
          <w:rFonts w:cs="Arial"/>
        </w:rPr>
        <w:t xml:space="preserve"> an</w:t>
      </w:r>
      <w:r w:rsidRPr="00E402A8">
        <w:rPr>
          <w:rFonts w:cs="Arial"/>
        </w:rPr>
        <w:t xml:space="preserve"> und </w:t>
      </w:r>
      <w:proofErr w:type="spellStart"/>
      <w:r w:rsidRPr="00E402A8">
        <w:rPr>
          <w:rFonts w:cs="Arial"/>
        </w:rPr>
        <w:t>b</w:t>
      </w:r>
      <w:r>
        <w:rPr>
          <w:rFonts w:cs="Arial"/>
        </w:rPr>
        <w:t>e</w:t>
      </w:r>
      <w:r w:rsidRPr="00E402A8">
        <w:rPr>
          <w:rFonts w:cs="Arial"/>
        </w:rPr>
        <w:t>schloß</w:t>
      </w:r>
      <w:proofErr w:type="spellEnd"/>
      <w:r w:rsidRPr="00E402A8">
        <w:rPr>
          <w:rFonts w:cs="Arial"/>
        </w:rPr>
        <w:t>, es</w:t>
      </w:r>
      <w:r>
        <w:rPr>
          <w:rFonts w:cs="Arial"/>
        </w:rPr>
        <w:t xml:space="preserve"> als</w:t>
      </w:r>
      <w:r w:rsidRPr="00E402A8">
        <w:rPr>
          <w:rFonts w:cs="Arial"/>
        </w:rPr>
        <w:t xml:space="preserve"> </w:t>
      </w:r>
      <w:r>
        <w:rPr>
          <w:rFonts w:cs="Arial"/>
        </w:rPr>
        <w:t>„</w:t>
      </w:r>
      <w:proofErr w:type="spellStart"/>
      <w:r w:rsidRPr="00E402A8">
        <w:rPr>
          <w:rFonts w:cs="Arial"/>
        </w:rPr>
        <w:t>Arusha</w:t>
      </w:r>
      <w:proofErr w:type="spellEnd"/>
      <w:r w:rsidRPr="00E402A8">
        <w:rPr>
          <w:rFonts w:cs="Arial"/>
        </w:rPr>
        <w:t>-Protokoll für den Schutz von Pflanzensorten</w:t>
      </w:r>
      <w:r>
        <w:rPr>
          <w:rFonts w:cs="Arial"/>
        </w:rPr>
        <w:t>“ zu bezeichnen</w:t>
      </w:r>
      <w:r w:rsidRPr="00E402A8">
        <w:rPr>
          <w:rFonts w:cs="Arial"/>
        </w:rPr>
        <w:t>.</w:t>
      </w:r>
    </w:p>
    <w:p w:rsidR="00F93BD1" w:rsidRPr="00E402A8" w:rsidRDefault="00F93BD1" w:rsidP="00F93BD1">
      <w:pPr>
        <w:rPr>
          <w:rFonts w:cs="Arial"/>
        </w:rPr>
      </w:pPr>
    </w:p>
    <w:p w:rsidR="00F93BD1" w:rsidRPr="00E402A8" w:rsidRDefault="00F93BD1" w:rsidP="00F93BD1">
      <w:pPr>
        <w:rPr>
          <w:rFonts w:cs="Arial"/>
        </w:rPr>
      </w:pPr>
      <w:r w:rsidRPr="00E402A8">
        <w:rPr>
          <w:rFonts w:cs="Arial"/>
        </w:rPr>
        <w:t xml:space="preserve">Auf der Sitzung des Sachverständigenausschusses, der der Konferenz vorausging, wurde empfohlen, </w:t>
      </w:r>
      <w:proofErr w:type="spellStart"/>
      <w:r w:rsidRPr="00E402A8">
        <w:rPr>
          <w:rFonts w:cs="Arial"/>
        </w:rPr>
        <w:t>daß</w:t>
      </w:r>
      <w:proofErr w:type="spellEnd"/>
      <w:r w:rsidRPr="00E402A8">
        <w:rPr>
          <w:rFonts w:cs="Arial"/>
        </w:rPr>
        <w:t xml:space="preserve"> der </w:t>
      </w:r>
      <w:proofErr w:type="spellStart"/>
      <w:r w:rsidRPr="00E402A8">
        <w:rPr>
          <w:rFonts w:cs="Arial"/>
        </w:rPr>
        <w:t>Sachverständigenausschuß</w:t>
      </w:r>
      <w:proofErr w:type="spellEnd"/>
      <w:r w:rsidRPr="00E402A8">
        <w:rPr>
          <w:rFonts w:cs="Arial"/>
        </w:rPr>
        <w:t xml:space="preserve"> an der Formulierung der Verordnungen</w:t>
      </w:r>
      <w:r>
        <w:rPr>
          <w:rFonts w:cs="Arial"/>
        </w:rPr>
        <w:t xml:space="preserve"> mitwirken soll</w:t>
      </w:r>
      <w:r w:rsidRPr="00E402A8">
        <w:rPr>
          <w:rFonts w:cs="Arial"/>
        </w:rPr>
        <w:t>e</w:t>
      </w:r>
      <w:r>
        <w:rPr>
          <w:rFonts w:cs="Arial"/>
        </w:rPr>
        <w:t>,</w:t>
      </w:r>
      <w:r w:rsidRPr="00E402A8">
        <w:rPr>
          <w:rFonts w:cs="Arial"/>
        </w:rPr>
        <w:t xml:space="preserve"> und </w:t>
      </w:r>
      <w:proofErr w:type="spellStart"/>
      <w:r w:rsidRPr="00E402A8">
        <w:rPr>
          <w:rFonts w:cs="Arial"/>
        </w:rPr>
        <w:t>daß</w:t>
      </w:r>
      <w:proofErr w:type="spellEnd"/>
      <w:r w:rsidRPr="00E402A8">
        <w:rPr>
          <w:rFonts w:cs="Arial"/>
        </w:rPr>
        <w:t xml:space="preserve"> der Verwaltungsrat die Fristen zur Fertigstellung der Ausarbeitung der Verordnungen festlegen müsse, um eine angemessene Umsetzung des Protokolls zu </w:t>
      </w:r>
      <w:r>
        <w:rPr>
          <w:rFonts w:cs="Arial"/>
        </w:rPr>
        <w:t>erleichtern</w:t>
      </w:r>
      <w:r w:rsidRPr="00E402A8">
        <w:rPr>
          <w:rFonts w:cs="Arial"/>
        </w:rPr>
        <w:t>. Auf der neunten außerordentliche</w:t>
      </w:r>
      <w:r>
        <w:rPr>
          <w:rFonts w:cs="Arial"/>
        </w:rPr>
        <w:t>n</w:t>
      </w:r>
      <w:r w:rsidRPr="00E402A8">
        <w:rPr>
          <w:rFonts w:cs="Arial"/>
        </w:rPr>
        <w:t xml:space="preserve"> Tagung des Verwaltungsrates, die in den Räumlichkeiten der </w:t>
      </w:r>
      <w:r>
        <w:rPr>
          <w:rFonts w:cs="Arial"/>
        </w:rPr>
        <w:t>d</w:t>
      </w:r>
      <w:r w:rsidRPr="00E402A8">
        <w:rPr>
          <w:rFonts w:cs="Arial"/>
        </w:rPr>
        <w:t>iplomatischen Konferenz vom 2. bis 3.</w:t>
      </w:r>
      <w:r w:rsidRPr="00B61BC9">
        <w:rPr>
          <w:rFonts w:cs="Arial"/>
        </w:rPr>
        <w:t xml:space="preserve"> </w:t>
      </w:r>
      <w:r w:rsidRPr="00E402A8">
        <w:rPr>
          <w:rFonts w:cs="Arial"/>
        </w:rPr>
        <w:t>Ju</w:t>
      </w:r>
      <w:r>
        <w:rPr>
          <w:rFonts w:cs="Arial"/>
        </w:rPr>
        <w:t>ni</w:t>
      </w:r>
      <w:r w:rsidRPr="00E402A8">
        <w:rPr>
          <w:rFonts w:cs="Arial"/>
        </w:rPr>
        <w:t xml:space="preserve"> 2015 stattfand, billigte der Rat die Empfehlung, </w:t>
      </w:r>
      <w:proofErr w:type="spellStart"/>
      <w:r w:rsidRPr="00E402A8">
        <w:rPr>
          <w:rFonts w:cs="Arial"/>
        </w:rPr>
        <w:t>daß</w:t>
      </w:r>
      <w:proofErr w:type="spellEnd"/>
      <w:r w:rsidRPr="00E402A8">
        <w:rPr>
          <w:rFonts w:cs="Arial"/>
        </w:rPr>
        <w:t xml:space="preserve"> der </w:t>
      </w:r>
      <w:proofErr w:type="spellStart"/>
      <w:r w:rsidRPr="00E402A8">
        <w:rPr>
          <w:rFonts w:cs="Arial"/>
        </w:rPr>
        <w:t>Sachverständigenausschuß</w:t>
      </w:r>
      <w:proofErr w:type="spellEnd"/>
      <w:r w:rsidRPr="00E402A8">
        <w:rPr>
          <w:rFonts w:cs="Arial"/>
        </w:rPr>
        <w:t xml:space="preserve"> an der Ausarbeitung des Entwurfs für die Verordnungen zur Umsetzung des Protokolls mitwirken solle. Der Verwaltungsrat ersuchte außerdem das Sekretariat der ARIPO</w:t>
      </w:r>
      <w:r>
        <w:rPr>
          <w:rFonts w:cs="Arial"/>
        </w:rPr>
        <w:t>,</w:t>
      </w:r>
      <w:r w:rsidRPr="00E402A8">
        <w:rPr>
          <w:rFonts w:cs="Arial"/>
        </w:rPr>
        <w:t xml:space="preserve"> Mittel für die Ausarbeitung des Entwurfs der Verordnungen in dem vorgeschlagenen Strategieplan der ARIPO für den Zeitraum 2016 - 2020 </w:t>
      </w:r>
      <w:r>
        <w:rPr>
          <w:rFonts w:cs="Arial"/>
        </w:rPr>
        <w:t xml:space="preserve">zur Verfügung </w:t>
      </w:r>
      <w:r w:rsidRPr="00E402A8">
        <w:rPr>
          <w:rFonts w:cs="Arial"/>
        </w:rPr>
        <w:t>zu</w:t>
      </w:r>
      <w:r>
        <w:rPr>
          <w:rFonts w:cs="Arial"/>
        </w:rPr>
        <w:t xml:space="preserve"> </w:t>
      </w:r>
      <w:r w:rsidRPr="00E402A8">
        <w:rPr>
          <w:rFonts w:cs="Arial"/>
        </w:rPr>
        <w:t xml:space="preserve">stellen und </w:t>
      </w:r>
      <w:r>
        <w:rPr>
          <w:rFonts w:cs="Arial"/>
        </w:rPr>
        <w:t>diesen</w:t>
      </w:r>
      <w:r w:rsidRPr="00E402A8">
        <w:rPr>
          <w:rFonts w:cs="Arial"/>
        </w:rPr>
        <w:t xml:space="preserve"> auf der neunu</w:t>
      </w:r>
      <w:r>
        <w:rPr>
          <w:rFonts w:cs="Arial"/>
        </w:rPr>
        <w:t>n</w:t>
      </w:r>
      <w:r w:rsidRPr="00E402A8">
        <w:rPr>
          <w:rFonts w:cs="Arial"/>
        </w:rPr>
        <w:t xml:space="preserve">ddreißigsten Tagung des Verwaltungsrates vorzulegen, damit </w:t>
      </w:r>
      <w:r>
        <w:rPr>
          <w:rFonts w:cs="Arial"/>
        </w:rPr>
        <w:t xml:space="preserve">zeitig </w:t>
      </w:r>
      <w:r w:rsidRPr="00E402A8">
        <w:rPr>
          <w:rFonts w:cs="Arial"/>
        </w:rPr>
        <w:t>eine Entscheidung zur Fertigstellung des Entwurfs der Verordnungen</w:t>
      </w:r>
      <w:r>
        <w:rPr>
          <w:rFonts w:cs="Arial"/>
        </w:rPr>
        <w:t xml:space="preserve"> </w:t>
      </w:r>
      <w:r w:rsidRPr="00E402A8">
        <w:rPr>
          <w:rFonts w:cs="Arial"/>
        </w:rPr>
        <w:t xml:space="preserve">getroffen werden könne.  </w:t>
      </w:r>
    </w:p>
    <w:p w:rsidR="00F93BD1" w:rsidRPr="00E402A8" w:rsidRDefault="00F93BD1" w:rsidP="00F93BD1">
      <w:pPr>
        <w:ind w:left="720" w:hanging="720"/>
        <w:rPr>
          <w:rFonts w:cs="Arial"/>
        </w:rPr>
      </w:pPr>
    </w:p>
    <w:p w:rsidR="00F93BD1" w:rsidRPr="00E402A8" w:rsidRDefault="00F93BD1" w:rsidP="00F93BD1">
      <w:pPr>
        <w:rPr>
          <w:rFonts w:cs="Arial"/>
        </w:rPr>
      </w:pPr>
      <w:r w:rsidRPr="00E402A8">
        <w:rPr>
          <w:rFonts w:cs="Arial"/>
        </w:rPr>
        <w:t>Auf die Entscheidung</w:t>
      </w:r>
      <w:r>
        <w:rPr>
          <w:rFonts w:cs="Arial"/>
        </w:rPr>
        <w:t xml:space="preserve"> </w:t>
      </w:r>
      <w:r w:rsidRPr="00E402A8">
        <w:rPr>
          <w:rFonts w:cs="Arial"/>
        </w:rPr>
        <w:t>der neu</w:t>
      </w:r>
      <w:r>
        <w:rPr>
          <w:rFonts w:cs="Arial"/>
        </w:rPr>
        <w:t>n</w:t>
      </w:r>
      <w:r w:rsidRPr="00E402A8">
        <w:rPr>
          <w:rFonts w:cs="Arial"/>
        </w:rPr>
        <w:t>ten außerordentliche</w:t>
      </w:r>
      <w:r>
        <w:rPr>
          <w:rFonts w:cs="Arial"/>
        </w:rPr>
        <w:t>n</w:t>
      </w:r>
      <w:r w:rsidRPr="00E402A8">
        <w:rPr>
          <w:rFonts w:cs="Arial"/>
        </w:rPr>
        <w:t xml:space="preserve"> Tagung </w:t>
      </w:r>
      <w:r>
        <w:rPr>
          <w:rFonts w:cs="Arial"/>
        </w:rPr>
        <w:t>des</w:t>
      </w:r>
      <w:r w:rsidRPr="00E402A8">
        <w:rPr>
          <w:rFonts w:cs="Arial"/>
        </w:rPr>
        <w:t xml:space="preserve"> Verwaltungsrates</w:t>
      </w:r>
      <w:r>
        <w:rPr>
          <w:rFonts w:cs="Arial"/>
        </w:rPr>
        <w:t xml:space="preserve"> hin</w:t>
      </w:r>
      <w:r w:rsidRPr="00E402A8">
        <w:rPr>
          <w:rFonts w:cs="Arial"/>
        </w:rPr>
        <w:t xml:space="preserve"> schlug das Sekretariat der ARIPO folgenden Plan zur Annahme auf der neununddreißigsten Tagung des Verwaltungsrates, die vom 16. bis 18. November 2015 in Lusaka, Sambia</w:t>
      </w:r>
      <w:r>
        <w:rPr>
          <w:rFonts w:cs="Arial"/>
        </w:rPr>
        <w:t>,</w:t>
      </w:r>
      <w:r w:rsidRPr="00E402A8">
        <w:rPr>
          <w:rFonts w:cs="Arial"/>
        </w:rPr>
        <w:t xml:space="preserve"> stattfinden wird</w:t>
      </w:r>
      <w:r>
        <w:rPr>
          <w:rFonts w:cs="Arial"/>
        </w:rPr>
        <w:t>, vor</w:t>
      </w:r>
      <w:r w:rsidRPr="00E402A8">
        <w:rPr>
          <w:rFonts w:cs="Arial"/>
        </w:rPr>
        <w:t xml:space="preserve">: </w:t>
      </w:r>
    </w:p>
    <w:p w:rsidR="00F93BD1" w:rsidRPr="00E402A8" w:rsidRDefault="00F93BD1" w:rsidP="00F93BD1">
      <w:pPr>
        <w:ind w:left="720" w:hanging="720"/>
        <w:rPr>
          <w:rFonts w:cs="Arial"/>
        </w:rPr>
      </w:pPr>
      <w:r w:rsidRPr="00E402A8">
        <w:rPr>
          <w:rFonts w:cs="Arial"/>
        </w:rPr>
        <w:tab/>
      </w:r>
    </w:p>
    <w:p w:rsidR="00F93BD1" w:rsidRPr="00E402A8" w:rsidRDefault="00F93BD1" w:rsidP="00F93BD1">
      <w:pPr>
        <w:numPr>
          <w:ilvl w:val="0"/>
          <w:numId w:val="30"/>
        </w:numPr>
        <w:rPr>
          <w:rFonts w:cs="Arial"/>
        </w:rPr>
      </w:pPr>
      <w:r w:rsidRPr="00E402A8">
        <w:rPr>
          <w:rFonts w:cs="Arial"/>
        </w:rPr>
        <w:t>Ausarbeitung des ersten Entwurfs der Verordnungen durch einen Juristen - Jan bis Feb 2016</w:t>
      </w:r>
    </w:p>
    <w:p w:rsidR="00F93BD1" w:rsidRPr="00E402A8" w:rsidRDefault="00F93BD1" w:rsidP="00F93BD1">
      <w:pPr>
        <w:numPr>
          <w:ilvl w:val="0"/>
          <w:numId w:val="30"/>
        </w:numPr>
        <w:rPr>
          <w:rFonts w:cs="Arial"/>
        </w:rPr>
      </w:pPr>
      <w:r w:rsidRPr="00E402A8">
        <w:rPr>
          <w:rFonts w:cs="Arial"/>
        </w:rPr>
        <w:t>Verteilung des ersten Entwurfs der Verordnungen an die Mitgliedstaaten und maßgebliche Interessenvertreter</w:t>
      </w:r>
      <w:r>
        <w:rPr>
          <w:rFonts w:cs="Arial"/>
        </w:rPr>
        <w:t>i</w:t>
      </w:r>
      <w:r w:rsidRPr="00E402A8">
        <w:rPr>
          <w:rFonts w:cs="Arial"/>
        </w:rPr>
        <w:t xml:space="preserve">nstitutionen zur Überprüfung </w:t>
      </w:r>
      <w:r>
        <w:rPr>
          <w:rFonts w:cs="Arial"/>
        </w:rPr>
        <w:t xml:space="preserve">des Entwurfs </w:t>
      </w:r>
      <w:r w:rsidRPr="00E402A8">
        <w:rPr>
          <w:rFonts w:cs="Arial"/>
        </w:rPr>
        <w:t>und</w:t>
      </w:r>
      <w:r>
        <w:rPr>
          <w:rFonts w:cs="Arial"/>
        </w:rPr>
        <w:t xml:space="preserve"> Abgabe von</w:t>
      </w:r>
      <w:r w:rsidRPr="00E402A8">
        <w:rPr>
          <w:rFonts w:cs="Arial"/>
        </w:rPr>
        <w:t xml:space="preserve"> Bemerkungen - März-Mai 2016</w:t>
      </w:r>
    </w:p>
    <w:p w:rsidR="00F93BD1" w:rsidRPr="00E402A8" w:rsidRDefault="00F93BD1" w:rsidP="00F93BD1">
      <w:pPr>
        <w:numPr>
          <w:ilvl w:val="0"/>
          <w:numId w:val="30"/>
        </w:numPr>
        <w:rPr>
          <w:rFonts w:cs="Arial"/>
        </w:rPr>
      </w:pPr>
      <w:r w:rsidRPr="00E402A8">
        <w:rPr>
          <w:rFonts w:cs="Arial"/>
        </w:rPr>
        <w:t>Organisation einer Sitzung des Sachverständigenausschusses zur Überprüfung des Entwurfs der Verordnungen unter Berücksichtigung der von den Mitgliedstaaten und Interessenvertrete</w:t>
      </w:r>
      <w:r>
        <w:rPr>
          <w:rFonts w:cs="Arial"/>
        </w:rPr>
        <w:t>ri</w:t>
      </w:r>
      <w:r w:rsidRPr="00E402A8">
        <w:rPr>
          <w:rFonts w:cs="Arial"/>
        </w:rPr>
        <w:t xml:space="preserve">nstitutionen </w:t>
      </w:r>
      <w:r>
        <w:rPr>
          <w:rFonts w:cs="Arial"/>
        </w:rPr>
        <w:t xml:space="preserve">eingegangenen </w:t>
      </w:r>
      <w:r w:rsidRPr="00E402A8">
        <w:rPr>
          <w:rFonts w:cs="Arial"/>
        </w:rPr>
        <w:t>Bemerkungen - Juni 2016</w:t>
      </w:r>
    </w:p>
    <w:p w:rsidR="00F93BD1" w:rsidRPr="00E402A8" w:rsidRDefault="00F93BD1" w:rsidP="00F93BD1">
      <w:pPr>
        <w:numPr>
          <w:ilvl w:val="0"/>
          <w:numId w:val="30"/>
        </w:numPr>
        <w:rPr>
          <w:rFonts w:cs="Arial"/>
        </w:rPr>
      </w:pPr>
      <w:r w:rsidRPr="00E402A8">
        <w:rPr>
          <w:rFonts w:cs="Arial"/>
        </w:rPr>
        <w:t xml:space="preserve">Prüfung des Entwurfs der Verordnungen durch den Technischen </w:t>
      </w:r>
      <w:proofErr w:type="spellStart"/>
      <w:r w:rsidRPr="00E402A8">
        <w:rPr>
          <w:rFonts w:cs="Arial"/>
        </w:rPr>
        <w:t>Ausschuß</w:t>
      </w:r>
      <w:proofErr w:type="spellEnd"/>
      <w:r w:rsidRPr="00E402A8">
        <w:rPr>
          <w:rFonts w:cs="Arial"/>
        </w:rPr>
        <w:t xml:space="preserve"> für </w:t>
      </w:r>
      <w:r>
        <w:rPr>
          <w:rFonts w:cs="Arial"/>
        </w:rPr>
        <w:t>Sortenschutz</w:t>
      </w:r>
      <w:r w:rsidRPr="00E402A8">
        <w:rPr>
          <w:rFonts w:cs="Arial"/>
        </w:rPr>
        <w:t xml:space="preserve"> - August 2016</w:t>
      </w:r>
    </w:p>
    <w:p w:rsidR="00F93BD1" w:rsidRPr="00E402A8" w:rsidRDefault="00F93BD1" w:rsidP="00F93BD1">
      <w:pPr>
        <w:numPr>
          <w:ilvl w:val="0"/>
          <w:numId w:val="30"/>
        </w:numPr>
        <w:rPr>
          <w:rFonts w:cs="Arial"/>
        </w:rPr>
      </w:pPr>
      <w:r w:rsidRPr="00E402A8">
        <w:rPr>
          <w:rFonts w:cs="Arial"/>
        </w:rPr>
        <w:t xml:space="preserve">Prüfung und Annahme des Entwurfs der Verordnungen für die Umsetzung des </w:t>
      </w:r>
      <w:proofErr w:type="spellStart"/>
      <w:r w:rsidRPr="00E402A8">
        <w:rPr>
          <w:rFonts w:cs="Arial"/>
        </w:rPr>
        <w:t>Arusha</w:t>
      </w:r>
      <w:proofErr w:type="spellEnd"/>
      <w:r w:rsidRPr="00E402A8">
        <w:rPr>
          <w:rFonts w:cs="Arial"/>
        </w:rPr>
        <w:t xml:space="preserve">-Protokolls </w:t>
      </w:r>
      <w:r>
        <w:rPr>
          <w:rFonts w:cs="Arial"/>
        </w:rPr>
        <w:t xml:space="preserve">auf der </w:t>
      </w:r>
      <w:r w:rsidRPr="00E402A8">
        <w:rPr>
          <w:rFonts w:cs="Arial"/>
        </w:rPr>
        <w:t>vierzigste</w:t>
      </w:r>
      <w:r>
        <w:rPr>
          <w:rFonts w:cs="Arial"/>
        </w:rPr>
        <w:t>n</w:t>
      </w:r>
      <w:r w:rsidRPr="00E402A8">
        <w:rPr>
          <w:rFonts w:cs="Arial"/>
        </w:rPr>
        <w:t xml:space="preserve"> Tagung des Verwaltungsrates - November 2016.</w:t>
      </w:r>
    </w:p>
    <w:p w:rsidR="00F93BD1" w:rsidRPr="00E402A8" w:rsidRDefault="00F93BD1" w:rsidP="00F93BD1">
      <w:pPr>
        <w:rPr>
          <w:rFonts w:cs="Arial"/>
        </w:rPr>
      </w:pPr>
    </w:p>
    <w:p w:rsidR="00F93BD1" w:rsidRPr="00E402A8" w:rsidRDefault="00F93BD1" w:rsidP="00F93BD1">
      <w:r w:rsidRPr="00E402A8">
        <w:t xml:space="preserve">Das Sekretariat der ARIPO arbeitet an einem Geschäftsplan für die Einrichtung eines Amtes </w:t>
      </w:r>
      <w:r>
        <w:t>für die</w:t>
      </w:r>
      <w:r w:rsidRPr="00E402A8">
        <w:t xml:space="preserve"> Eintragung neuer </w:t>
      </w:r>
      <w:r>
        <w:t>Pflanzens</w:t>
      </w:r>
      <w:r w:rsidRPr="00E402A8">
        <w:t xml:space="preserve">orten. </w:t>
      </w:r>
      <w:r>
        <w:t xml:space="preserve">Mit der Ausarbeitung von </w:t>
      </w:r>
      <w:r w:rsidRPr="00E402A8">
        <w:t>Richtlinien für die Ausweisung und Auswahl von Kompetenzzentren in den Mitgliedstaaten für die Durchführung der DUS-Prü</w:t>
      </w:r>
      <w:r>
        <w:t>f</w:t>
      </w:r>
      <w:r w:rsidRPr="00E402A8">
        <w:t>ung wurde bereits begonnen.</w:t>
      </w:r>
    </w:p>
    <w:p w:rsidR="00F93BD1" w:rsidRPr="00E402A8" w:rsidRDefault="00F93BD1" w:rsidP="00F93BD1"/>
    <w:p w:rsidR="00F93BD1" w:rsidRPr="00E402A8" w:rsidRDefault="00F93BD1" w:rsidP="00F93BD1">
      <w:pPr>
        <w:spacing w:after="200" w:line="276" w:lineRule="auto"/>
      </w:pPr>
      <w:r w:rsidRPr="00E402A8">
        <w:br w:type="page"/>
      </w:r>
    </w:p>
    <w:p w:rsidR="00F93BD1" w:rsidRPr="00E402A8" w:rsidRDefault="00F93BD1" w:rsidP="00F93BD1">
      <w:pPr>
        <w:jc w:val="center"/>
      </w:pPr>
      <w:r w:rsidRPr="00E402A8">
        <w:t>ANHANG</w:t>
      </w:r>
    </w:p>
    <w:p w:rsidR="00F93BD1" w:rsidRPr="00E402A8" w:rsidRDefault="00F93BD1" w:rsidP="00F93BD1"/>
    <w:p w:rsidR="00F93BD1" w:rsidRPr="00E402A8" w:rsidRDefault="00F93BD1" w:rsidP="00F93BD1"/>
    <w:p w:rsidR="00F93BD1" w:rsidRPr="00E402A8" w:rsidRDefault="00F93BD1" w:rsidP="00F93BD1">
      <w:pPr>
        <w:rPr>
          <w:rFonts w:cs="Arial"/>
        </w:rPr>
      </w:pPr>
      <w:r>
        <w:rPr>
          <w:rFonts w:cs="Arial"/>
        </w:rPr>
        <w:t>Nachstehende Tabelle zeigt die Änderungen, die im Laufe des</w:t>
      </w:r>
      <w:r w:rsidRPr="00E402A8">
        <w:rPr>
          <w:rFonts w:cs="Arial"/>
        </w:rPr>
        <w:t xml:space="preserve"> Annahmeverfahrens </w:t>
      </w:r>
      <w:r>
        <w:rPr>
          <w:rFonts w:cs="Arial"/>
        </w:rPr>
        <w:t xml:space="preserve">des </w:t>
      </w:r>
      <w:r w:rsidRPr="00E402A8">
        <w:rPr>
          <w:rFonts w:eastAsia="Calibri" w:cs="Arial"/>
          <w:bCs/>
        </w:rPr>
        <w:t xml:space="preserve">Entwurfs </w:t>
      </w:r>
      <w:r>
        <w:rPr>
          <w:rFonts w:eastAsia="Calibri" w:cs="Arial"/>
          <w:bCs/>
        </w:rPr>
        <w:t>des</w:t>
      </w:r>
      <w:r w:rsidRPr="00E402A8">
        <w:rPr>
          <w:rFonts w:eastAsia="Calibri" w:cs="Arial"/>
          <w:bCs/>
        </w:rPr>
        <w:t xml:space="preserve"> ARIPO-Protokolls für den Schutz von Pflanzensorten</w:t>
      </w:r>
      <w:r>
        <w:rPr>
          <w:rFonts w:eastAsia="Calibri" w:cs="Arial"/>
          <w:bCs/>
        </w:rPr>
        <w:t xml:space="preserve"> eingeführt wurden, die</w:t>
      </w:r>
      <w:r>
        <w:rPr>
          <w:rFonts w:cs="Arial"/>
        </w:rPr>
        <w:t xml:space="preserve"> keinen Teil der</w:t>
      </w:r>
      <w:r w:rsidRPr="00E402A8">
        <w:rPr>
          <w:rFonts w:cs="Arial"/>
        </w:rPr>
        <w:t xml:space="preserve"> Entscheidung </w:t>
      </w:r>
      <w:r>
        <w:rPr>
          <w:rFonts w:cs="Arial"/>
        </w:rPr>
        <w:t xml:space="preserve">des Rates der UPOV am 11. </w:t>
      </w:r>
      <w:r w:rsidRPr="00E402A8">
        <w:rPr>
          <w:rFonts w:cs="Arial"/>
        </w:rPr>
        <w:t>April 2014</w:t>
      </w:r>
      <w:r>
        <w:rPr>
          <w:rFonts w:cs="Arial"/>
        </w:rPr>
        <w:t xml:space="preserve"> bildeten</w:t>
      </w:r>
      <w:r w:rsidRPr="00E402A8">
        <w:rPr>
          <w:rFonts w:cs="Arial"/>
        </w:rPr>
        <w:t>.</w:t>
      </w:r>
    </w:p>
    <w:p w:rsidR="00F93BD1" w:rsidRPr="00E402A8" w:rsidRDefault="00F93BD1" w:rsidP="00F93BD1">
      <w:pPr>
        <w:rPr>
          <w:rFonts w:cs="Arial"/>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159"/>
        <w:gridCol w:w="3740"/>
        <w:gridCol w:w="3740"/>
      </w:tblGrid>
      <w:tr w:rsidR="00F93BD1" w:rsidRPr="00E402A8" w:rsidTr="006D5FBC">
        <w:trPr>
          <w:cantSplit/>
          <w:tblHeader/>
        </w:trPr>
        <w:tc>
          <w:tcPr>
            <w:tcW w:w="2159" w:type="dxa"/>
            <w:tcBorders>
              <w:top w:val="single" w:sz="4" w:space="0" w:color="auto"/>
              <w:left w:val="single" w:sz="4" w:space="0" w:color="auto"/>
              <w:bottom w:val="single" w:sz="4" w:space="0" w:color="auto"/>
              <w:right w:val="single" w:sz="4" w:space="0" w:color="auto"/>
            </w:tcBorders>
            <w:shd w:val="clear" w:color="auto" w:fill="D9D9D9"/>
            <w:hideMark/>
          </w:tcPr>
          <w:p w:rsidR="00F93BD1" w:rsidRPr="00E402A8" w:rsidRDefault="00F93BD1" w:rsidP="006D5FBC">
            <w:pPr>
              <w:jc w:val="center"/>
              <w:rPr>
                <w:rFonts w:cs="Arial"/>
                <w:b/>
              </w:rPr>
            </w:pPr>
            <w:r>
              <w:rPr>
                <w:rFonts w:cs="Arial"/>
                <w:b/>
              </w:rPr>
              <w:t>ARTIKEL</w:t>
            </w:r>
          </w:p>
        </w:tc>
        <w:tc>
          <w:tcPr>
            <w:tcW w:w="3740" w:type="dxa"/>
            <w:tcBorders>
              <w:top w:val="single" w:sz="4" w:space="0" w:color="auto"/>
              <w:left w:val="single" w:sz="4" w:space="0" w:color="auto"/>
              <w:bottom w:val="single" w:sz="4" w:space="0" w:color="auto"/>
              <w:right w:val="single" w:sz="4" w:space="0" w:color="auto"/>
            </w:tcBorders>
            <w:shd w:val="clear" w:color="auto" w:fill="D9D9D9"/>
            <w:hideMark/>
          </w:tcPr>
          <w:p w:rsidR="00F93BD1" w:rsidRPr="00E402A8" w:rsidRDefault="00F93BD1" w:rsidP="006D5FBC">
            <w:pPr>
              <w:jc w:val="center"/>
              <w:rPr>
                <w:rFonts w:cs="Arial"/>
                <w:b/>
              </w:rPr>
            </w:pPr>
            <w:r>
              <w:rPr>
                <w:rFonts w:cs="Arial"/>
                <w:b/>
              </w:rPr>
              <w:t>WORTLAUT DES ENTWURFS</w:t>
            </w:r>
          </w:p>
        </w:tc>
        <w:tc>
          <w:tcPr>
            <w:tcW w:w="3740" w:type="dxa"/>
            <w:tcBorders>
              <w:top w:val="single" w:sz="4" w:space="0" w:color="auto"/>
              <w:left w:val="single" w:sz="4" w:space="0" w:color="auto"/>
              <w:bottom w:val="single" w:sz="4" w:space="0" w:color="auto"/>
              <w:right w:val="single" w:sz="4" w:space="0" w:color="auto"/>
            </w:tcBorders>
            <w:shd w:val="clear" w:color="auto" w:fill="D9D9D9"/>
            <w:hideMark/>
          </w:tcPr>
          <w:p w:rsidR="00F93BD1" w:rsidRPr="00E402A8" w:rsidRDefault="00F93BD1" w:rsidP="006D5FBC">
            <w:pPr>
              <w:jc w:val="center"/>
              <w:rPr>
                <w:rFonts w:cs="Arial"/>
                <w:b/>
              </w:rPr>
            </w:pPr>
            <w:r>
              <w:rPr>
                <w:rFonts w:cs="Arial"/>
                <w:b/>
              </w:rPr>
              <w:t>ANGENOMMENER WORTLAUT</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1</w:t>
            </w:r>
          </w:p>
          <w:p w:rsidR="00F93BD1" w:rsidRPr="00E402A8" w:rsidRDefault="00F93BD1" w:rsidP="006D5FBC">
            <w:pPr>
              <w:jc w:val="center"/>
              <w:rPr>
                <w:rFonts w:cs="Arial"/>
                <w:b/>
              </w:rPr>
            </w:pPr>
            <w:r>
              <w:rPr>
                <w:rFonts w:cs="Arial"/>
                <w:b/>
              </w:rPr>
              <w:t>Begriffs-bestimmungen</w:t>
            </w:r>
          </w:p>
          <w:p w:rsidR="00F93BD1" w:rsidRPr="00E402A8" w:rsidRDefault="00F93BD1" w:rsidP="006D5FBC">
            <w:pPr>
              <w:jc w:val="center"/>
              <w:rPr>
                <w:rFonts w:cs="Arial"/>
                <w:b/>
              </w:rPr>
            </w:pPr>
          </w:p>
          <w:p w:rsidR="00F93BD1" w:rsidRPr="00E402A8" w:rsidRDefault="00F93BD1" w:rsidP="006D5FBC">
            <w:pPr>
              <w:widowControl w:val="0"/>
              <w:rPr>
                <w:rFonts w:cs="Arial"/>
              </w:rPr>
            </w:pPr>
            <w:r>
              <w:rPr>
                <w:rFonts w:cs="Arial"/>
              </w:rPr>
              <w:t>„</w:t>
            </w:r>
            <w:r w:rsidRPr="00E402A8">
              <w:rPr>
                <w:rFonts w:cs="Arial"/>
              </w:rPr>
              <w:t xml:space="preserve">Verwaltungsrat </w:t>
            </w:r>
            <w:r>
              <w:rPr>
                <w:rFonts w:cs="Arial"/>
              </w:rPr>
              <w:t>für Sortenschutz“</w:t>
            </w:r>
            <w:r w:rsidRPr="00E402A8">
              <w:rPr>
                <w:rFonts w:cs="Arial"/>
              </w:rPr>
              <w:t xml:space="preserve"> </w:t>
            </w:r>
          </w:p>
          <w:p w:rsidR="00F93BD1" w:rsidRPr="00E402A8" w:rsidRDefault="00F93BD1"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1</w:t>
            </w:r>
          </w:p>
          <w:p w:rsidR="00F93BD1" w:rsidRPr="00E402A8" w:rsidRDefault="00F93BD1" w:rsidP="006D5FBC">
            <w:pPr>
              <w:jc w:val="center"/>
              <w:rPr>
                <w:rFonts w:cs="Arial"/>
                <w:b/>
              </w:rPr>
            </w:pPr>
            <w:r>
              <w:rPr>
                <w:rFonts w:cs="Arial"/>
                <w:b/>
              </w:rPr>
              <w:t>Begriffsbestimmungen</w:t>
            </w:r>
          </w:p>
          <w:p w:rsidR="00F93BD1" w:rsidRPr="00E402A8" w:rsidRDefault="00F93BD1" w:rsidP="006D5FBC">
            <w:pPr>
              <w:jc w:val="center"/>
              <w:rPr>
                <w:rFonts w:cs="Arial"/>
                <w:b/>
              </w:rPr>
            </w:pPr>
          </w:p>
          <w:p w:rsidR="00F93BD1" w:rsidRPr="00E402A8" w:rsidRDefault="00F93BD1" w:rsidP="006D5FBC">
            <w:pPr>
              <w:widowControl w:val="0"/>
              <w:rPr>
                <w:rFonts w:cs="Arial"/>
              </w:rPr>
            </w:pPr>
            <w:r>
              <w:rPr>
                <w:rFonts w:cs="Arial"/>
              </w:rPr>
              <w:t>„</w:t>
            </w:r>
            <w:r w:rsidRPr="00E402A8">
              <w:rPr>
                <w:rFonts w:cs="Arial"/>
              </w:rPr>
              <w:t xml:space="preserve">Verwaltungsrat </w:t>
            </w:r>
            <w:r>
              <w:rPr>
                <w:rFonts w:cs="Arial"/>
              </w:rPr>
              <w:t>für Sortenschutz“</w:t>
            </w:r>
            <w:r w:rsidRPr="00E402A8">
              <w:rPr>
                <w:rFonts w:cs="Arial"/>
              </w:rPr>
              <w:t xml:space="preserve"> </w:t>
            </w:r>
            <w:r>
              <w:rPr>
                <w:rFonts w:cs="Arial"/>
              </w:rPr>
              <w:t>bedeutet ein Organ, das aus Leitern von</w:t>
            </w:r>
            <w:r w:rsidRPr="00E402A8">
              <w:rPr>
                <w:rFonts w:cs="Arial"/>
              </w:rPr>
              <w:t xml:space="preserve"> </w:t>
            </w:r>
            <w:r>
              <w:rPr>
                <w:rFonts w:cs="Arial"/>
              </w:rPr>
              <w:t xml:space="preserve">Ämtern </w:t>
            </w:r>
            <w:r w:rsidRPr="00E402A8">
              <w:rPr>
                <w:rFonts w:cs="Arial"/>
              </w:rPr>
              <w:t xml:space="preserve">in </w:t>
            </w:r>
            <w:r>
              <w:rPr>
                <w:rFonts w:cs="Arial"/>
              </w:rPr>
              <w:t>den Vertragsstaaten</w:t>
            </w:r>
            <w:r w:rsidRPr="00E402A8">
              <w:rPr>
                <w:rFonts w:cs="Arial"/>
              </w:rPr>
              <w:t xml:space="preserve"> </w:t>
            </w:r>
            <w:r>
              <w:rPr>
                <w:rFonts w:cs="Arial"/>
              </w:rPr>
              <w:t>dieses Protokolls besteht, die sich mit der Verwaltung</w:t>
            </w:r>
            <w:r w:rsidRPr="00E402A8">
              <w:rPr>
                <w:rFonts w:cs="Arial"/>
              </w:rPr>
              <w:t xml:space="preserve"> </w:t>
            </w:r>
            <w:r>
              <w:rPr>
                <w:rFonts w:cs="Arial"/>
              </w:rPr>
              <w:t>von Sortenschutz</w:t>
            </w:r>
            <w:r w:rsidRPr="00E402A8">
              <w:rPr>
                <w:rFonts w:cs="Arial"/>
              </w:rPr>
              <w:t xml:space="preserve"> </w:t>
            </w:r>
            <w:r>
              <w:rPr>
                <w:rFonts w:cs="Arial"/>
              </w:rPr>
              <w:t xml:space="preserve">befassen, vorausgesetzt, </w:t>
            </w:r>
            <w:proofErr w:type="spellStart"/>
            <w:r>
              <w:rPr>
                <w:rFonts w:cs="Arial"/>
              </w:rPr>
              <w:t>daß</w:t>
            </w:r>
            <w:proofErr w:type="spellEnd"/>
            <w:r>
              <w:rPr>
                <w:rFonts w:cs="Arial"/>
              </w:rPr>
              <w:t xml:space="preserve"> jeglicher</w:t>
            </w:r>
            <w:r w:rsidRPr="00E402A8">
              <w:rPr>
                <w:rFonts w:cs="Arial"/>
              </w:rPr>
              <w:t xml:space="preserve"> </w:t>
            </w:r>
            <w:r>
              <w:rPr>
                <w:rFonts w:cs="Arial"/>
              </w:rPr>
              <w:t>Vertragsstaat jegliche andere</w:t>
            </w:r>
            <w:r w:rsidRPr="00E402A8">
              <w:rPr>
                <w:rFonts w:cs="Arial"/>
              </w:rPr>
              <w:t xml:space="preserve"> </w:t>
            </w:r>
            <w:r>
              <w:rPr>
                <w:rFonts w:cs="Arial"/>
              </w:rPr>
              <w:t xml:space="preserve">Person oder Personen als seine Vertretung im </w:t>
            </w:r>
            <w:r w:rsidRPr="00E402A8">
              <w:rPr>
                <w:rFonts w:cs="Arial"/>
              </w:rPr>
              <w:t xml:space="preserve">Verwaltungsrat </w:t>
            </w:r>
            <w:r>
              <w:rPr>
                <w:rFonts w:cs="Arial"/>
              </w:rPr>
              <w:t>für Sortenschutz ernennen</w:t>
            </w:r>
            <w:r w:rsidRPr="00E402A8">
              <w:rPr>
                <w:rFonts w:cs="Arial"/>
              </w:rPr>
              <w:t xml:space="preserve"> </w:t>
            </w:r>
            <w:r>
              <w:rPr>
                <w:rFonts w:cs="Arial"/>
              </w:rPr>
              <w:t>kann, die er als über</w:t>
            </w:r>
            <w:r w:rsidRPr="00E402A8">
              <w:rPr>
                <w:rFonts w:cs="Arial"/>
              </w:rPr>
              <w:t xml:space="preserve"> maßgebliche </w:t>
            </w:r>
            <w:r>
              <w:rPr>
                <w:rFonts w:cs="Arial"/>
              </w:rPr>
              <w:t>Kenntnisse oder Erfahrungen im</w:t>
            </w:r>
            <w:r w:rsidRPr="00E402A8">
              <w:rPr>
                <w:rFonts w:cs="Arial"/>
              </w:rPr>
              <w:t xml:space="preserve"> </w:t>
            </w:r>
            <w:r>
              <w:rPr>
                <w:rFonts w:cs="Arial"/>
              </w:rPr>
              <w:t>Sortenschutz verfügend betrachtet</w:t>
            </w:r>
            <w:r w:rsidRPr="00E402A8">
              <w:rPr>
                <w:rFonts w:cs="Arial"/>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1</w:t>
            </w:r>
          </w:p>
          <w:p w:rsidR="00F93BD1" w:rsidRPr="00E402A8" w:rsidRDefault="00F93BD1" w:rsidP="006D5FBC">
            <w:pPr>
              <w:jc w:val="center"/>
              <w:rPr>
                <w:rFonts w:cs="Arial"/>
                <w:b/>
              </w:rPr>
            </w:pPr>
            <w:r>
              <w:rPr>
                <w:rFonts w:cs="Arial"/>
                <w:b/>
              </w:rPr>
              <w:t>Begriffsbestimmungen</w:t>
            </w:r>
          </w:p>
          <w:p w:rsidR="00F93BD1" w:rsidRPr="00E402A8" w:rsidRDefault="00F93BD1" w:rsidP="006D5FBC">
            <w:pPr>
              <w:jc w:val="center"/>
              <w:rPr>
                <w:rFonts w:cs="Arial"/>
                <w:b/>
              </w:rPr>
            </w:pPr>
          </w:p>
          <w:p w:rsidR="00F93BD1" w:rsidRPr="00E402A8" w:rsidRDefault="00F93BD1" w:rsidP="006D5FBC">
            <w:pPr>
              <w:rPr>
                <w:rFonts w:cs="Arial"/>
              </w:rPr>
            </w:pPr>
            <w:r>
              <w:rPr>
                <w:rFonts w:cs="Arial"/>
              </w:rPr>
              <w:t>„</w:t>
            </w:r>
            <w:r w:rsidRPr="00E402A8">
              <w:rPr>
                <w:rFonts w:cs="Arial"/>
              </w:rPr>
              <w:t>Verwaltungsrat</w:t>
            </w:r>
            <w:r>
              <w:rPr>
                <w:rFonts w:cs="Arial"/>
              </w:rPr>
              <w:t>“</w:t>
            </w:r>
            <w:r w:rsidRPr="00E402A8">
              <w:rPr>
                <w:rFonts w:cs="Arial"/>
              </w:rPr>
              <w:t xml:space="preserve"> </w:t>
            </w:r>
            <w:r>
              <w:rPr>
                <w:rFonts w:cs="Arial"/>
              </w:rPr>
              <w:t>bedeutet</w:t>
            </w:r>
            <w:r w:rsidRPr="00E402A8">
              <w:rPr>
                <w:rFonts w:cs="Arial"/>
              </w:rPr>
              <w:t xml:space="preserve"> </w:t>
            </w:r>
            <w:r>
              <w:rPr>
                <w:rFonts w:cs="Arial"/>
              </w:rPr>
              <w:t>der durch die</w:t>
            </w:r>
            <w:r w:rsidRPr="00E402A8">
              <w:rPr>
                <w:rFonts w:cs="Arial"/>
              </w:rPr>
              <w:t xml:space="preserve"> </w:t>
            </w:r>
            <w:r w:rsidRPr="004D08D5">
              <w:rPr>
                <w:rFonts w:cs="Arial"/>
              </w:rPr>
              <w:t xml:space="preserve">Vereinbarung zur Gründung einer </w:t>
            </w:r>
            <w:r>
              <w:rPr>
                <w:rFonts w:cs="Arial"/>
              </w:rPr>
              <w:t>Afrikanischen Regionalorganisation für geistiges Eigentum</w:t>
            </w:r>
            <w:r w:rsidRPr="00E402A8">
              <w:rPr>
                <w:rFonts w:cs="Arial"/>
              </w:rPr>
              <w:t xml:space="preserve"> (ARIPO)</w:t>
            </w:r>
            <w:r w:rsidRPr="004D08D5">
              <w:rPr>
                <w:rFonts w:cs="Arial"/>
              </w:rPr>
              <w:t xml:space="preserve"> </w:t>
            </w:r>
            <w:r>
              <w:rPr>
                <w:rFonts w:cs="Arial"/>
              </w:rPr>
              <w:t>gegründete Verwaltungsrat;</w:t>
            </w:r>
          </w:p>
          <w:p w:rsidR="00F93BD1" w:rsidRPr="00E402A8" w:rsidRDefault="00F93BD1" w:rsidP="006D5FBC">
            <w:pPr>
              <w:rPr>
                <w:rFonts w:cs="Arial"/>
                <w:strike/>
              </w:rPr>
            </w:pP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b/>
              </w:rPr>
            </w:pPr>
            <w:r>
              <w:rPr>
                <w:rFonts w:cs="Arial"/>
              </w:rPr>
              <w:t>„Stellvertreter oder Vertreter“</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„Stellvertreter oder Vertreter“</w:t>
            </w:r>
            <w:r w:rsidRPr="00E402A8">
              <w:rPr>
                <w:rFonts w:cs="Arial"/>
              </w:rPr>
              <w:t xml:space="preserve"> </w:t>
            </w:r>
            <w:r>
              <w:rPr>
                <w:rFonts w:cs="Arial"/>
              </w:rPr>
              <w:t>bedeutet</w:t>
            </w:r>
            <w:r w:rsidRPr="00E402A8">
              <w:rPr>
                <w:rFonts w:cs="Arial"/>
              </w:rPr>
              <w:t xml:space="preserve"> </w:t>
            </w:r>
            <w:r>
              <w:rPr>
                <w:rFonts w:cs="Arial"/>
              </w:rPr>
              <w:t>ein</w:t>
            </w:r>
            <w:r w:rsidRPr="00E402A8">
              <w:rPr>
                <w:rFonts w:cs="Arial"/>
              </w:rPr>
              <w:t xml:space="preserve"> </w:t>
            </w:r>
            <w:r>
              <w:rPr>
                <w:rFonts w:cs="Arial"/>
              </w:rPr>
              <w:t>rechtlich anerkannter</w:t>
            </w:r>
            <w:r w:rsidRPr="00E402A8">
              <w:rPr>
                <w:rFonts w:cs="Arial"/>
              </w:rPr>
              <w:t xml:space="preserve"> und </w:t>
            </w:r>
            <w:r>
              <w:rPr>
                <w:rFonts w:cs="Arial"/>
              </w:rPr>
              <w:t>bevollmächtigter</w:t>
            </w:r>
            <w:r w:rsidRPr="00E402A8">
              <w:rPr>
                <w:rFonts w:cs="Arial"/>
              </w:rPr>
              <w:t xml:space="preserve"> </w:t>
            </w:r>
            <w:r>
              <w:rPr>
                <w:rFonts w:cs="Arial"/>
              </w:rPr>
              <w:t>Vertreter</w:t>
            </w:r>
            <w:r w:rsidRPr="00E402A8">
              <w:rPr>
                <w:rFonts w:cs="Arial"/>
              </w:rPr>
              <w:t xml:space="preserve"> </w:t>
            </w:r>
            <w:r>
              <w:rPr>
                <w:rFonts w:cs="Arial"/>
              </w:rPr>
              <w:t>des Züchters oder des</w:t>
            </w:r>
            <w:r w:rsidRPr="00E402A8">
              <w:rPr>
                <w:rFonts w:cs="Arial"/>
              </w:rPr>
              <w:t xml:space="preserve"> </w:t>
            </w:r>
            <w:r>
              <w:rPr>
                <w:rFonts w:cs="Arial"/>
              </w:rPr>
              <w:t>Inhabers</w:t>
            </w:r>
            <w:r w:rsidRPr="00E402A8">
              <w:rPr>
                <w:rFonts w:cs="Arial"/>
              </w:rPr>
              <w:t xml:space="preserve"> </w:t>
            </w:r>
            <w:r>
              <w:rPr>
                <w:rFonts w:cs="Arial"/>
              </w:rPr>
              <w:t>des Züchterrechts mit Wohnsitz oder Büro in dem Gastland</w:t>
            </w:r>
            <w:r w:rsidRPr="00E402A8">
              <w:rPr>
                <w:rFonts w:cs="Arial"/>
              </w:rPr>
              <w:t xml:space="preserve"> </w:t>
            </w:r>
            <w:r>
              <w:rPr>
                <w:rFonts w:cs="Arial"/>
              </w:rPr>
              <w:t>der ARIPO oder in den Vertragsstaaten dieses Protokolls, der mittels einer speziellen</w:t>
            </w:r>
            <w:r w:rsidRPr="00E402A8">
              <w:rPr>
                <w:rFonts w:cs="Arial"/>
              </w:rPr>
              <w:t xml:space="preserve"> </w:t>
            </w:r>
            <w:r>
              <w:rPr>
                <w:rFonts w:cs="Arial"/>
              </w:rPr>
              <w:t>Vollmacht zum Handeln im Namen des Züchters oder des</w:t>
            </w:r>
            <w:r w:rsidRPr="00E402A8">
              <w:rPr>
                <w:rFonts w:cs="Arial"/>
              </w:rPr>
              <w:t xml:space="preserve"> </w:t>
            </w:r>
            <w:r>
              <w:rPr>
                <w:rFonts w:cs="Arial"/>
              </w:rPr>
              <w:t>Inhabers</w:t>
            </w:r>
            <w:r w:rsidRPr="00E402A8">
              <w:rPr>
                <w:rFonts w:cs="Arial"/>
              </w:rPr>
              <w:t xml:space="preserve"> </w:t>
            </w:r>
            <w:r>
              <w:rPr>
                <w:rFonts w:cs="Arial"/>
              </w:rPr>
              <w:t>eines Züchterrechts entsprechend bevollmächtigt wurde</w:t>
            </w:r>
            <w:r w:rsidRPr="00E402A8">
              <w:rPr>
                <w:rFonts w:cs="Arial"/>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„Stellvertreter oder Vertreter“</w:t>
            </w:r>
            <w:r w:rsidRPr="00E402A8">
              <w:rPr>
                <w:rFonts w:cs="Arial"/>
              </w:rPr>
              <w:t xml:space="preserve"> </w:t>
            </w:r>
            <w:r>
              <w:rPr>
                <w:rFonts w:cs="Arial"/>
              </w:rPr>
              <w:t>bedeutet</w:t>
            </w:r>
            <w:r w:rsidRPr="00E402A8">
              <w:rPr>
                <w:rFonts w:cs="Arial"/>
              </w:rPr>
              <w:t xml:space="preserve"> </w:t>
            </w:r>
            <w:r>
              <w:rPr>
                <w:rFonts w:cs="Arial"/>
              </w:rPr>
              <w:t>ein</w:t>
            </w:r>
            <w:r w:rsidRPr="00E402A8">
              <w:rPr>
                <w:rFonts w:cs="Arial"/>
              </w:rPr>
              <w:t xml:space="preserve"> </w:t>
            </w:r>
            <w:r>
              <w:rPr>
                <w:rFonts w:cs="Arial"/>
              </w:rPr>
              <w:t>rechtlich anerkannter</w:t>
            </w:r>
            <w:r w:rsidRPr="00E402A8">
              <w:rPr>
                <w:rFonts w:cs="Arial"/>
              </w:rPr>
              <w:t xml:space="preserve"> und </w:t>
            </w:r>
            <w:r>
              <w:rPr>
                <w:rFonts w:cs="Arial"/>
              </w:rPr>
              <w:t>bevollmächtigter</w:t>
            </w:r>
            <w:r w:rsidRPr="00E402A8">
              <w:rPr>
                <w:rFonts w:cs="Arial"/>
              </w:rPr>
              <w:t xml:space="preserve"> </w:t>
            </w:r>
            <w:r>
              <w:rPr>
                <w:rFonts w:cs="Arial"/>
              </w:rPr>
              <w:t>Vertreter</w:t>
            </w:r>
            <w:r w:rsidRPr="00E402A8">
              <w:rPr>
                <w:rFonts w:cs="Arial"/>
              </w:rPr>
              <w:t xml:space="preserve"> </w:t>
            </w:r>
            <w:r>
              <w:rPr>
                <w:rFonts w:cs="Arial"/>
              </w:rPr>
              <w:t>des Züchters oder des</w:t>
            </w:r>
            <w:r w:rsidRPr="00E402A8">
              <w:rPr>
                <w:rFonts w:cs="Arial"/>
              </w:rPr>
              <w:t xml:space="preserve"> </w:t>
            </w:r>
            <w:r>
              <w:rPr>
                <w:rFonts w:cs="Arial"/>
              </w:rPr>
              <w:t>Inhabers</w:t>
            </w:r>
            <w:r w:rsidRPr="00E402A8">
              <w:rPr>
                <w:rFonts w:cs="Arial"/>
              </w:rPr>
              <w:t xml:space="preserve"> </w:t>
            </w:r>
            <w:r>
              <w:rPr>
                <w:rFonts w:cs="Arial"/>
              </w:rPr>
              <w:t>des Züchterrechts mit Wohnsitz oder Büro in den Vertragsstaaten dieses Protokolls, der mittels einer speziellen</w:t>
            </w:r>
            <w:r w:rsidRPr="00E402A8">
              <w:rPr>
                <w:rFonts w:cs="Arial"/>
              </w:rPr>
              <w:t xml:space="preserve"> </w:t>
            </w:r>
            <w:r>
              <w:rPr>
                <w:rFonts w:cs="Arial"/>
              </w:rPr>
              <w:t>Vollmacht zum Handeln im Namen des Züchters oder des</w:t>
            </w:r>
            <w:r w:rsidRPr="00E402A8">
              <w:rPr>
                <w:rFonts w:cs="Arial"/>
              </w:rPr>
              <w:t xml:space="preserve"> </w:t>
            </w:r>
            <w:r>
              <w:rPr>
                <w:rFonts w:cs="Arial"/>
              </w:rPr>
              <w:t>Inhabers</w:t>
            </w:r>
            <w:r w:rsidRPr="00E402A8">
              <w:rPr>
                <w:rFonts w:cs="Arial"/>
              </w:rPr>
              <w:t xml:space="preserve"> </w:t>
            </w:r>
            <w:r>
              <w:rPr>
                <w:rFonts w:cs="Arial"/>
              </w:rPr>
              <w:t>eines Züchterrechts entsprechend bevollmächtigt wurde</w:t>
            </w:r>
            <w:r w:rsidRPr="00E402A8">
              <w:rPr>
                <w:rFonts w:cs="Arial"/>
              </w:rPr>
              <w:t>;</w:t>
            </w:r>
          </w:p>
        </w:tc>
      </w:tr>
      <w:tr w:rsidR="00F93BD1" w:rsidRPr="00E402A8"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„Jahresgebühren“</w:t>
            </w:r>
            <w:r w:rsidRPr="00E402A8">
              <w:rPr>
                <w:rFonts w:cs="Arial"/>
              </w:rPr>
              <w:t xml:space="preserve"> </w:t>
            </w:r>
          </w:p>
          <w:p w:rsidR="00F93BD1" w:rsidRPr="00E402A8" w:rsidRDefault="00F93BD1"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„Jahresgebühren“</w:t>
            </w:r>
            <w:r w:rsidRPr="00E402A8">
              <w:rPr>
                <w:rFonts w:cs="Arial"/>
              </w:rPr>
              <w:t xml:space="preserve"> </w:t>
            </w:r>
            <w:r>
              <w:rPr>
                <w:rFonts w:cs="Arial"/>
              </w:rPr>
              <w:t>bedeutet die Gebühren, die ein Züchter an das ARIPO-Büro zahlen muss, um ein Züchterrecht</w:t>
            </w:r>
            <w:r w:rsidRPr="00E402A8">
              <w:rPr>
                <w:rFonts w:cs="Arial"/>
              </w:rPr>
              <w:t xml:space="preserve"> </w:t>
            </w:r>
            <w:r>
              <w:rPr>
                <w:rFonts w:cs="Arial"/>
              </w:rPr>
              <w:t>aufrechtzuerhalten</w:t>
            </w:r>
            <w:r w:rsidRPr="00E402A8">
              <w:rPr>
                <w:rFonts w:cs="Arial"/>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b/>
                <w:i/>
              </w:rPr>
            </w:pPr>
            <w:r>
              <w:rPr>
                <w:rFonts w:cs="Arial"/>
                <w:b/>
                <w:i/>
              </w:rPr>
              <w:t>Begriffsbestimmung</w:t>
            </w:r>
            <w:r w:rsidRPr="00E402A8">
              <w:rPr>
                <w:rFonts w:cs="Arial"/>
                <w:b/>
                <w:i/>
              </w:rPr>
              <w:t xml:space="preserve"> </w:t>
            </w:r>
            <w:r>
              <w:rPr>
                <w:rFonts w:cs="Arial"/>
                <w:b/>
                <w:i/>
              </w:rPr>
              <w:t>gelöscht</w:t>
            </w:r>
          </w:p>
          <w:p w:rsidR="00F93BD1" w:rsidRPr="00E402A8" w:rsidRDefault="00F93BD1" w:rsidP="006D5FBC">
            <w:pPr>
              <w:rPr>
                <w:rFonts w:cs="Arial"/>
                <w:b/>
              </w:rPr>
            </w:pPr>
          </w:p>
        </w:tc>
      </w:tr>
      <w:tr w:rsidR="00F93BD1" w:rsidRPr="00315355"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w:t>
            </w:r>
            <w:r w:rsidRPr="00E402A8">
              <w:rPr>
                <w:rFonts w:cs="Arial"/>
              </w:rPr>
              <w:t>ARIPO</w:t>
            </w:r>
            <w:r>
              <w:rPr>
                <w:rFonts w:cs="Arial"/>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w:t>
            </w:r>
            <w:r w:rsidRPr="00E402A8">
              <w:rPr>
                <w:rFonts w:cs="Arial"/>
              </w:rPr>
              <w:t>ARIPO</w:t>
            </w:r>
            <w:r>
              <w:rPr>
                <w:rFonts w:cs="Arial"/>
              </w:rPr>
              <w:t>“</w:t>
            </w:r>
            <w:r w:rsidRPr="00E402A8">
              <w:rPr>
                <w:rFonts w:cs="Arial"/>
              </w:rPr>
              <w:t xml:space="preserve"> </w:t>
            </w:r>
            <w:r>
              <w:rPr>
                <w:rFonts w:cs="Arial"/>
              </w:rPr>
              <w:t>bedeutet</w:t>
            </w:r>
            <w:r w:rsidRPr="00E402A8">
              <w:rPr>
                <w:rFonts w:cs="Arial"/>
              </w:rPr>
              <w:t xml:space="preserve"> </w:t>
            </w:r>
            <w:r>
              <w:rPr>
                <w:rFonts w:cs="Arial"/>
              </w:rPr>
              <w:t>die</w:t>
            </w:r>
            <w:r w:rsidRPr="00E402A8">
              <w:rPr>
                <w:rFonts w:cs="Arial"/>
              </w:rPr>
              <w:t xml:space="preserve"> </w:t>
            </w:r>
            <w:r>
              <w:rPr>
                <w:rFonts w:cs="Arial"/>
              </w:rPr>
              <w:t>Afrikanische Regionalorganisation für geistiges Eigentum</w:t>
            </w:r>
            <w:r w:rsidRPr="00E402A8">
              <w:rPr>
                <w:rFonts w:cs="Arial"/>
              </w:rPr>
              <w:t xml:space="preserve">, </w:t>
            </w:r>
            <w:r>
              <w:rPr>
                <w:rFonts w:cs="Arial"/>
              </w:rPr>
              <w:t>gegründet</w:t>
            </w:r>
            <w:r w:rsidRPr="004D08D5">
              <w:rPr>
                <w:rFonts w:cs="Arial"/>
              </w:rPr>
              <w:t xml:space="preserve"> durch die Vereinbarung zur Gründung einer </w:t>
            </w:r>
            <w:r>
              <w:rPr>
                <w:rFonts w:cs="Arial"/>
              </w:rPr>
              <w:t xml:space="preserve">Afrikanische Regionalorganisation für geistiges Eigentum, </w:t>
            </w:r>
            <w:r w:rsidRPr="00E402A8">
              <w:rPr>
                <w:rFonts w:cs="Arial"/>
              </w:rPr>
              <w:t>(ARIPO)</w:t>
            </w:r>
            <w:r>
              <w:rPr>
                <w:rFonts w:cs="Arial"/>
              </w:rPr>
              <w:t>, damals bekannt als die Organisation</w:t>
            </w:r>
            <w:r w:rsidRPr="00E402A8">
              <w:rPr>
                <w:rFonts w:cs="Arial"/>
              </w:rPr>
              <w:t xml:space="preserve"> </w:t>
            </w:r>
            <w:r>
              <w:rPr>
                <w:rFonts w:cs="Arial"/>
              </w:rPr>
              <w:t xml:space="preserve">für gewerbliches </w:t>
            </w:r>
            <w:r w:rsidRPr="00361F27">
              <w:rPr>
                <w:rFonts w:cs="Arial"/>
              </w:rPr>
              <w:t xml:space="preserve">Eigentum im </w:t>
            </w:r>
            <w:r w:rsidRPr="0062392F">
              <w:rPr>
                <w:bCs/>
              </w:rPr>
              <w:t>englischsprachigen Afrika</w:t>
            </w:r>
            <w:r w:rsidRPr="00361F27">
              <w:rPr>
                <w:rFonts w:cs="Arial"/>
              </w:rPr>
              <w:t>,</w:t>
            </w:r>
            <w:r>
              <w:rPr>
                <w:rFonts w:cs="Arial"/>
              </w:rPr>
              <w:t xml:space="preserve"> die am 9.</w:t>
            </w:r>
            <w:r w:rsidRPr="00E402A8">
              <w:rPr>
                <w:rFonts w:cs="Arial"/>
              </w:rPr>
              <w:t xml:space="preserve"> </w:t>
            </w:r>
            <w:r>
              <w:rPr>
                <w:rFonts w:cs="Arial"/>
              </w:rPr>
              <w:t xml:space="preserve">Dezember </w:t>
            </w:r>
            <w:r w:rsidRPr="00E402A8">
              <w:rPr>
                <w:rFonts w:cs="Arial"/>
              </w:rPr>
              <w:t>1976</w:t>
            </w:r>
            <w:r>
              <w:rPr>
                <w:rFonts w:cs="Arial"/>
              </w:rPr>
              <w:t xml:space="preserve"> </w:t>
            </w:r>
            <w:r w:rsidRPr="00E402A8">
              <w:rPr>
                <w:rFonts w:cs="Arial"/>
              </w:rPr>
              <w:t xml:space="preserve">in Lusaka (Sambia) </w:t>
            </w:r>
            <w:r>
              <w:rPr>
                <w:rFonts w:cs="Arial"/>
              </w:rPr>
              <w:t>geschlossen wurde</w:t>
            </w:r>
            <w:r w:rsidRPr="00E402A8">
              <w:rPr>
                <w:rFonts w:cs="Arial"/>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w:t>
            </w:r>
            <w:r w:rsidRPr="00E402A8">
              <w:rPr>
                <w:rFonts w:cs="Arial"/>
              </w:rPr>
              <w:t>ARIPO</w:t>
            </w:r>
            <w:r>
              <w:rPr>
                <w:rFonts w:cs="Arial"/>
              </w:rPr>
              <w:t>“</w:t>
            </w:r>
            <w:r w:rsidRPr="00E402A8">
              <w:rPr>
                <w:rFonts w:cs="Arial"/>
              </w:rPr>
              <w:t xml:space="preserve"> </w:t>
            </w:r>
            <w:r>
              <w:rPr>
                <w:rFonts w:cs="Arial"/>
              </w:rPr>
              <w:t>bedeutet</w:t>
            </w:r>
            <w:r w:rsidRPr="00E402A8">
              <w:rPr>
                <w:rFonts w:cs="Arial"/>
              </w:rPr>
              <w:t xml:space="preserve"> </w:t>
            </w:r>
            <w:r>
              <w:rPr>
                <w:rFonts w:cs="Arial"/>
              </w:rPr>
              <w:t>die</w:t>
            </w:r>
            <w:r w:rsidRPr="00E402A8">
              <w:rPr>
                <w:rFonts w:cs="Arial"/>
              </w:rPr>
              <w:t xml:space="preserve"> </w:t>
            </w:r>
            <w:r>
              <w:rPr>
                <w:rFonts w:cs="Arial"/>
              </w:rPr>
              <w:t>Afrikanische Regionalorganisation für geistiges Eigentum</w:t>
            </w:r>
            <w:r w:rsidRPr="00E402A8">
              <w:rPr>
                <w:rFonts w:cs="Arial"/>
              </w:rPr>
              <w:t xml:space="preserve">, </w:t>
            </w:r>
            <w:r>
              <w:rPr>
                <w:rFonts w:cs="Arial"/>
              </w:rPr>
              <w:t>gegründet</w:t>
            </w:r>
            <w:r w:rsidRPr="004D08D5">
              <w:rPr>
                <w:rFonts w:cs="Arial"/>
              </w:rPr>
              <w:t xml:space="preserve"> durch die Vereinbarung zur Gründung einer </w:t>
            </w:r>
            <w:r>
              <w:rPr>
                <w:rFonts w:cs="Arial"/>
              </w:rPr>
              <w:t xml:space="preserve">Afrikanische Regionalorganisation für geistiges Eigentum </w:t>
            </w:r>
            <w:r w:rsidRPr="00E402A8">
              <w:rPr>
                <w:rFonts w:cs="Arial"/>
              </w:rPr>
              <w:t>(ARIPO)</w:t>
            </w:r>
            <w:r>
              <w:rPr>
                <w:rFonts w:cs="Arial"/>
              </w:rPr>
              <w:t>, die am 9.</w:t>
            </w:r>
            <w:r w:rsidRPr="00E402A8">
              <w:rPr>
                <w:rFonts w:cs="Arial"/>
              </w:rPr>
              <w:t xml:space="preserve"> </w:t>
            </w:r>
            <w:r>
              <w:rPr>
                <w:rFonts w:cs="Arial"/>
              </w:rPr>
              <w:t xml:space="preserve">Dezember </w:t>
            </w:r>
            <w:r w:rsidRPr="00E402A8">
              <w:rPr>
                <w:rFonts w:cs="Arial"/>
              </w:rPr>
              <w:t>1976</w:t>
            </w:r>
            <w:r>
              <w:rPr>
                <w:rFonts w:cs="Arial"/>
              </w:rPr>
              <w:t xml:space="preserve"> in </w:t>
            </w:r>
            <w:r w:rsidRPr="00E402A8">
              <w:rPr>
                <w:rFonts w:cs="Arial"/>
              </w:rPr>
              <w:t xml:space="preserve">Lusaka (Sambia) </w:t>
            </w:r>
            <w:r>
              <w:rPr>
                <w:rFonts w:cs="Arial"/>
              </w:rPr>
              <w:t>geschlossen wurde</w:t>
            </w:r>
            <w:r w:rsidRPr="00E402A8">
              <w:rPr>
                <w:rFonts w:cs="Arial"/>
              </w:rPr>
              <w:t>;</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„ARIPO-Büro“</w:t>
            </w:r>
            <w:r w:rsidRPr="00E402A8">
              <w:rPr>
                <w:rFonts w:cs="Arial"/>
              </w:rPr>
              <w:t xml:space="preserve"> </w:t>
            </w:r>
          </w:p>
          <w:p w:rsidR="00F93BD1" w:rsidRPr="00E402A8" w:rsidRDefault="00F93BD1" w:rsidP="006D5FBC">
            <w:pPr>
              <w:rPr>
                <w:rFonts w:cs="Arial"/>
              </w:rPr>
            </w:pPr>
          </w:p>
          <w:p w:rsidR="00F93BD1" w:rsidRPr="00E402A8" w:rsidRDefault="00F93BD1" w:rsidP="006D5FBC">
            <w:pPr>
              <w:rPr>
                <w:rFonts w:cs="Arial"/>
              </w:rPr>
            </w:pPr>
          </w:p>
          <w:p w:rsidR="00F93BD1" w:rsidRPr="00E402A8" w:rsidRDefault="00F93BD1"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„ARIPO-Büro“</w:t>
            </w:r>
            <w:r w:rsidRPr="00E402A8">
              <w:rPr>
                <w:rFonts w:cs="Arial"/>
              </w:rPr>
              <w:t xml:space="preserve"> </w:t>
            </w:r>
            <w:r>
              <w:rPr>
                <w:rFonts w:cs="Arial"/>
              </w:rPr>
              <w:t>bedeutet</w:t>
            </w:r>
            <w:r w:rsidRPr="00E402A8">
              <w:rPr>
                <w:rFonts w:cs="Arial"/>
              </w:rPr>
              <w:t xml:space="preserve"> </w:t>
            </w:r>
            <w:r>
              <w:rPr>
                <w:rFonts w:cs="Arial"/>
              </w:rPr>
              <w:t>das Büro der Afrikanischen Regionalorganisation für geistiges Eigentum</w:t>
            </w:r>
            <w:r w:rsidRPr="00E402A8">
              <w:rPr>
                <w:rFonts w:cs="Arial"/>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„ARIPO-Büro“</w:t>
            </w:r>
            <w:r w:rsidRPr="00E402A8">
              <w:rPr>
                <w:rFonts w:cs="Arial"/>
              </w:rPr>
              <w:t xml:space="preserve"> </w:t>
            </w:r>
            <w:r>
              <w:rPr>
                <w:rFonts w:cs="Arial"/>
              </w:rPr>
              <w:t>bedeutet</w:t>
            </w:r>
            <w:r w:rsidRPr="00E402A8">
              <w:rPr>
                <w:rFonts w:cs="Arial"/>
              </w:rPr>
              <w:t xml:space="preserve"> </w:t>
            </w:r>
            <w:r>
              <w:rPr>
                <w:rFonts w:cs="Arial"/>
              </w:rPr>
              <w:t>das Sekretariat der Afrikanischen Regionalorganisation für geistiges Eigentum</w:t>
            </w:r>
            <w:r w:rsidRPr="00E402A8">
              <w:rPr>
                <w:rFonts w:cs="Arial"/>
              </w:rPr>
              <w:t xml:space="preserve">; </w:t>
            </w:r>
          </w:p>
          <w:p w:rsidR="00F93BD1" w:rsidRPr="00E402A8" w:rsidRDefault="00F93BD1" w:rsidP="006D5FBC">
            <w:pPr>
              <w:rPr>
                <w:rFonts w:cs="Arial"/>
              </w:rPr>
            </w:pP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widowControl w:val="0"/>
              <w:rPr>
                <w:rFonts w:cs="Arial"/>
              </w:rPr>
            </w:pPr>
            <w:r>
              <w:rPr>
                <w:rFonts w:cs="Arial"/>
              </w:rPr>
              <w:t>„Inhaber</w:t>
            </w:r>
            <w:r w:rsidRPr="00E402A8">
              <w:rPr>
                <w:rFonts w:cs="Arial"/>
              </w:rPr>
              <w:t xml:space="preserve"> </w:t>
            </w:r>
            <w:r>
              <w:rPr>
                <w:rFonts w:cs="Arial"/>
              </w:rPr>
              <w:t>des Züchterrechts“</w:t>
            </w:r>
          </w:p>
          <w:p w:rsidR="00F93BD1" w:rsidRPr="00E402A8" w:rsidRDefault="00F93BD1" w:rsidP="006D5FBC">
            <w:pPr>
              <w:widowControl w:val="0"/>
              <w:rPr>
                <w:rFonts w:cs="Arial"/>
              </w:rPr>
            </w:pPr>
          </w:p>
          <w:p w:rsidR="00F93BD1" w:rsidRPr="00E402A8" w:rsidRDefault="00F93BD1" w:rsidP="006D5FBC">
            <w:pPr>
              <w:widowControl w:val="0"/>
              <w:rPr>
                <w:rFonts w:cs="Arial"/>
              </w:rPr>
            </w:pPr>
          </w:p>
          <w:p w:rsidR="00F93BD1" w:rsidRPr="00E402A8" w:rsidRDefault="00F93BD1"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„Inhaber</w:t>
            </w:r>
            <w:r w:rsidRPr="00E402A8">
              <w:rPr>
                <w:rFonts w:cs="Arial"/>
              </w:rPr>
              <w:t xml:space="preserve"> </w:t>
            </w:r>
            <w:r>
              <w:rPr>
                <w:rFonts w:cs="Arial"/>
              </w:rPr>
              <w:t>des Züchterrechts“</w:t>
            </w:r>
            <w:r w:rsidRPr="00E402A8">
              <w:rPr>
                <w:rFonts w:cs="Arial"/>
              </w:rPr>
              <w:t xml:space="preserve"> </w:t>
            </w:r>
            <w:r>
              <w:rPr>
                <w:rFonts w:cs="Arial"/>
              </w:rPr>
              <w:t>bedeutet</w:t>
            </w:r>
          </w:p>
          <w:p w:rsidR="00F93BD1" w:rsidRPr="00E402A8" w:rsidRDefault="00F93BD1" w:rsidP="006D5FBC">
            <w:pPr>
              <w:contextualSpacing/>
              <w:rPr>
                <w:rFonts w:cs="Arial"/>
              </w:rPr>
            </w:pPr>
            <w:r w:rsidRPr="00E402A8">
              <w:rPr>
                <w:rFonts w:cs="Arial"/>
              </w:rPr>
              <w:t>a</w:t>
            </w:r>
            <w:r>
              <w:rPr>
                <w:rFonts w:cs="Arial"/>
              </w:rPr>
              <w:t>. eine</w:t>
            </w:r>
            <w:r w:rsidRPr="00E402A8">
              <w:rPr>
                <w:rFonts w:cs="Arial"/>
              </w:rPr>
              <w:t xml:space="preserve"> </w:t>
            </w:r>
            <w:r>
              <w:rPr>
                <w:rFonts w:cs="Arial"/>
              </w:rPr>
              <w:t>Person oder juristische Person, in deren Namen das</w:t>
            </w:r>
            <w:r w:rsidRPr="00E402A8">
              <w:rPr>
                <w:rFonts w:cs="Arial"/>
              </w:rPr>
              <w:t xml:space="preserve"> </w:t>
            </w:r>
            <w:r>
              <w:rPr>
                <w:rFonts w:cs="Arial"/>
              </w:rPr>
              <w:t>Züchterzertifikat</w:t>
            </w:r>
            <w:r w:rsidRPr="00E402A8">
              <w:rPr>
                <w:rFonts w:cs="Arial"/>
              </w:rPr>
              <w:t xml:space="preserve"> </w:t>
            </w:r>
            <w:r>
              <w:rPr>
                <w:rFonts w:cs="Arial"/>
              </w:rPr>
              <w:t>ausgestellt wurde</w:t>
            </w:r>
            <w:r w:rsidRPr="00E402A8">
              <w:rPr>
                <w:rFonts w:cs="Arial"/>
              </w:rPr>
              <w:t xml:space="preserve">; </w:t>
            </w:r>
            <w:r>
              <w:rPr>
                <w:rFonts w:cs="Arial"/>
              </w:rPr>
              <w:t>oder</w:t>
            </w:r>
          </w:p>
        </w:tc>
        <w:tc>
          <w:tcPr>
            <w:tcW w:w="3740" w:type="dxa"/>
            <w:tcBorders>
              <w:top w:val="single" w:sz="4" w:space="0" w:color="auto"/>
              <w:left w:val="single" w:sz="4" w:space="0" w:color="auto"/>
              <w:bottom w:val="single" w:sz="4" w:space="0" w:color="auto"/>
              <w:right w:val="single" w:sz="4" w:space="0" w:color="auto"/>
            </w:tcBorders>
          </w:tcPr>
          <w:p w:rsidR="00F93BD1" w:rsidRDefault="00F93BD1" w:rsidP="006D5FBC">
            <w:pPr>
              <w:rPr>
                <w:rFonts w:cs="Arial"/>
              </w:rPr>
            </w:pPr>
            <w:r>
              <w:rPr>
                <w:rFonts w:cs="Arial"/>
              </w:rPr>
              <w:t>„Inhaber</w:t>
            </w:r>
            <w:r w:rsidRPr="00E402A8">
              <w:rPr>
                <w:rFonts w:cs="Arial"/>
              </w:rPr>
              <w:t xml:space="preserve"> </w:t>
            </w:r>
            <w:r>
              <w:rPr>
                <w:rFonts w:cs="Arial"/>
              </w:rPr>
              <w:t>des Züchterrechts“</w:t>
            </w:r>
            <w:r w:rsidRPr="00E402A8">
              <w:rPr>
                <w:rFonts w:cs="Arial"/>
              </w:rPr>
              <w:t xml:space="preserve"> </w:t>
            </w:r>
            <w:r>
              <w:rPr>
                <w:rFonts w:cs="Arial"/>
              </w:rPr>
              <w:t>bedeutet</w:t>
            </w:r>
          </w:p>
          <w:p w:rsidR="00F93BD1" w:rsidRPr="00E402A8" w:rsidRDefault="00F93BD1" w:rsidP="006D5FBC">
            <w:pPr>
              <w:rPr>
                <w:rFonts w:cs="Arial"/>
              </w:rPr>
            </w:pPr>
            <w:r w:rsidRPr="00E402A8">
              <w:rPr>
                <w:rFonts w:cs="Arial"/>
              </w:rPr>
              <w:t>a</w:t>
            </w:r>
            <w:r>
              <w:rPr>
                <w:rFonts w:cs="Arial"/>
              </w:rPr>
              <w:t>. eine</w:t>
            </w:r>
            <w:r w:rsidRPr="00E402A8">
              <w:rPr>
                <w:rFonts w:cs="Arial"/>
              </w:rPr>
              <w:t xml:space="preserve"> </w:t>
            </w:r>
            <w:r>
              <w:rPr>
                <w:rFonts w:cs="Arial"/>
              </w:rPr>
              <w:t>Person, in deren Namen das</w:t>
            </w:r>
            <w:r w:rsidRPr="00E402A8">
              <w:rPr>
                <w:rFonts w:cs="Arial"/>
              </w:rPr>
              <w:t xml:space="preserve"> </w:t>
            </w:r>
            <w:r>
              <w:rPr>
                <w:rFonts w:cs="Arial"/>
              </w:rPr>
              <w:t>Züchterzertifikat</w:t>
            </w:r>
            <w:r w:rsidRPr="00E402A8">
              <w:rPr>
                <w:rFonts w:cs="Arial"/>
              </w:rPr>
              <w:t xml:space="preserve"> </w:t>
            </w:r>
            <w:r>
              <w:rPr>
                <w:rFonts w:cs="Arial"/>
              </w:rPr>
              <w:t>ausgestellt wurde</w:t>
            </w:r>
            <w:r w:rsidRPr="00E402A8">
              <w:rPr>
                <w:rFonts w:cs="Arial"/>
              </w:rPr>
              <w:t xml:space="preserve">; </w:t>
            </w:r>
            <w:r>
              <w:rPr>
                <w:rFonts w:cs="Arial"/>
              </w:rPr>
              <w:t>oder</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„Person“</w:t>
            </w:r>
            <w:r w:rsidRPr="00E402A8">
              <w:rPr>
                <w:rFonts w:cs="Arial"/>
              </w:rPr>
              <w:t xml:space="preserve"> </w:t>
            </w:r>
          </w:p>
          <w:p w:rsidR="00F93BD1" w:rsidRPr="00E402A8" w:rsidRDefault="00F93BD1"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b/>
                <w:i/>
              </w:rPr>
            </w:pPr>
            <w:r>
              <w:rPr>
                <w:rFonts w:cs="Arial"/>
                <w:b/>
                <w:i/>
              </w:rPr>
              <w:t>Neue</w:t>
            </w:r>
            <w:r w:rsidRPr="00E402A8">
              <w:rPr>
                <w:rFonts w:cs="Arial"/>
                <w:b/>
                <w:i/>
              </w:rPr>
              <w:t xml:space="preserve"> </w:t>
            </w:r>
            <w:r>
              <w:rPr>
                <w:rFonts w:cs="Arial"/>
                <w:b/>
                <w:i/>
              </w:rPr>
              <w:t>Begriffsbestimmung</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rPr>
                <w:rFonts w:cs="Arial"/>
              </w:rPr>
            </w:pPr>
            <w:r>
              <w:rPr>
                <w:rFonts w:cs="Arial"/>
              </w:rPr>
              <w:t>„Person“</w:t>
            </w:r>
            <w:r w:rsidRPr="00E402A8">
              <w:rPr>
                <w:rFonts w:cs="Arial"/>
              </w:rPr>
              <w:t xml:space="preserve"> </w:t>
            </w:r>
            <w:r>
              <w:rPr>
                <w:rFonts w:cs="Arial"/>
              </w:rPr>
              <w:t>bedeutet</w:t>
            </w:r>
            <w:r w:rsidRPr="00E402A8">
              <w:rPr>
                <w:rFonts w:cs="Arial"/>
              </w:rPr>
              <w:t xml:space="preserve"> </w:t>
            </w:r>
            <w:r>
              <w:rPr>
                <w:rFonts w:cs="Arial"/>
              </w:rPr>
              <w:t>eine</w:t>
            </w:r>
            <w:r w:rsidRPr="00E402A8">
              <w:rPr>
                <w:rFonts w:cs="Arial"/>
              </w:rPr>
              <w:t xml:space="preserve"> </w:t>
            </w:r>
            <w:r>
              <w:rPr>
                <w:rFonts w:cs="Arial"/>
              </w:rPr>
              <w:t>natürliche</w:t>
            </w:r>
            <w:r w:rsidRPr="00E402A8">
              <w:rPr>
                <w:rFonts w:cs="Arial"/>
              </w:rPr>
              <w:t xml:space="preserve"> </w:t>
            </w:r>
            <w:r>
              <w:rPr>
                <w:rFonts w:cs="Arial"/>
              </w:rPr>
              <w:t>Person oder juristische Person</w:t>
            </w:r>
            <w:r w:rsidRPr="00E402A8">
              <w:rPr>
                <w:rFonts w:cs="Arial"/>
              </w:rPr>
              <w:t>;</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4</w:t>
            </w:r>
          </w:p>
          <w:p w:rsidR="00F93BD1" w:rsidRPr="00E402A8" w:rsidRDefault="00F93BD1" w:rsidP="006D5FBC">
            <w:pPr>
              <w:jc w:val="center"/>
              <w:rPr>
                <w:rFonts w:cs="Arial"/>
                <w:b/>
              </w:rPr>
            </w:pPr>
            <w:r>
              <w:rPr>
                <w:rFonts w:cs="Arial"/>
                <w:b/>
              </w:rPr>
              <w:t>Verwaltung</w:t>
            </w:r>
          </w:p>
          <w:p w:rsidR="00F93BD1" w:rsidRPr="00E402A8" w:rsidRDefault="00F93BD1" w:rsidP="006D5FBC">
            <w:pPr>
              <w:rPr>
                <w:rFonts w:cs="Arial"/>
              </w:rPr>
            </w:pPr>
          </w:p>
          <w:p w:rsidR="00F93BD1" w:rsidRPr="00E402A8" w:rsidRDefault="00F93BD1" w:rsidP="006D5FBC">
            <w:pPr>
              <w:contextualSpacing/>
              <w:rPr>
                <w:rFonts w:cs="Arial"/>
              </w:rPr>
            </w:pPr>
            <w:r>
              <w:rPr>
                <w:rFonts w:cs="Arial"/>
              </w:rPr>
              <w:t>1)</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4</w:t>
            </w:r>
          </w:p>
          <w:p w:rsidR="00F93BD1" w:rsidRPr="00E402A8" w:rsidRDefault="00F93BD1" w:rsidP="006D5FBC">
            <w:pPr>
              <w:jc w:val="center"/>
              <w:rPr>
                <w:rFonts w:cs="Arial"/>
                <w:b/>
              </w:rPr>
            </w:pPr>
            <w:r>
              <w:rPr>
                <w:rFonts w:cs="Arial"/>
                <w:b/>
              </w:rPr>
              <w:t>Verwaltung</w:t>
            </w:r>
          </w:p>
          <w:p w:rsidR="00F93BD1" w:rsidRPr="00E402A8" w:rsidRDefault="00F93BD1" w:rsidP="006D5FBC">
            <w:pPr>
              <w:rPr>
                <w:rFonts w:cs="Arial"/>
              </w:rPr>
            </w:pPr>
          </w:p>
          <w:p w:rsidR="00F93BD1" w:rsidRPr="00E402A8" w:rsidRDefault="00F93BD1" w:rsidP="006D5FBC">
            <w:pPr>
              <w:ind w:left="90"/>
              <w:contextualSpacing/>
              <w:rPr>
                <w:rFonts w:cs="Arial"/>
              </w:rPr>
            </w:pPr>
            <w:r>
              <w:rPr>
                <w:rFonts w:cs="Arial"/>
              </w:rPr>
              <w:t>1) Gemäß diesem Protokoll erteilte</w:t>
            </w:r>
            <w:r w:rsidRPr="00E402A8">
              <w:rPr>
                <w:rFonts w:cs="Arial"/>
              </w:rPr>
              <w:t xml:space="preserve"> </w:t>
            </w:r>
            <w:r>
              <w:rPr>
                <w:rFonts w:cs="Arial"/>
              </w:rPr>
              <w:t>Züchterrechte</w:t>
            </w:r>
            <w:r w:rsidRPr="00E402A8">
              <w:rPr>
                <w:rFonts w:cs="Arial"/>
              </w:rPr>
              <w:t xml:space="preserve"> </w:t>
            </w:r>
            <w:r>
              <w:rPr>
                <w:rFonts w:cs="Arial"/>
              </w:rPr>
              <w:t xml:space="preserve">sind auf der Grundlage von einem Antrag </w:t>
            </w:r>
            <w:r w:rsidRPr="00E402A8">
              <w:rPr>
                <w:rFonts w:cs="Arial"/>
              </w:rPr>
              <w:t xml:space="preserve">in </w:t>
            </w:r>
            <w:r>
              <w:rPr>
                <w:rFonts w:cs="Arial"/>
              </w:rPr>
              <w:t>allen Vertragsstaaten gültig</w:t>
            </w:r>
            <w:r w:rsidRPr="00E402A8">
              <w:rPr>
                <w:rFonts w:cs="Arial"/>
              </w:rPr>
              <w:t>.</w:t>
            </w:r>
          </w:p>
          <w:p w:rsidR="00F93BD1" w:rsidRPr="00E402A8" w:rsidRDefault="00F93BD1"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4</w:t>
            </w:r>
          </w:p>
          <w:p w:rsidR="00F93BD1" w:rsidRPr="00E402A8" w:rsidRDefault="00F93BD1" w:rsidP="006D5FBC">
            <w:pPr>
              <w:jc w:val="center"/>
              <w:rPr>
                <w:rFonts w:cs="Arial"/>
                <w:b/>
              </w:rPr>
            </w:pPr>
            <w:r>
              <w:rPr>
                <w:rFonts w:cs="Arial"/>
                <w:b/>
              </w:rPr>
              <w:t>Verwaltung</w:t>
            </w:r>
          </w:p>
          <w:p w:rsidR="00F93BD1" w:rsidRPr="00E402A8" w:rsidRDefault="00F93BD1" w:rsidP="006D5FBC">
            <w:pPr>
              <w:jc w:val="center"/>
              <w:rPr>
                <w:rFonts w:cs="Arial"/>
              </w:rPr>
            </w:pPr>
          </w:p>
          <w:p w:rsidR="00F93BD1" w:rsidRPr="00E402A8" w:rsidRDefault="00F93BD1" w:rsidP="006D5FBC">
            <w:pPr>
              <w:rPr>
                <w:rFonts w:cs="Arial"/>
              </w:rPr>
            </w:pPr>
            <w:r>
              <w:rPr>
                <w:rFonts w:cs="Arial"/>
              </w:rPr>
              <w:t>1)</w:t>
            </w:r>
            <w:r w:rsidRPr="00E402A8">
              <w:rPr>
                <w:rFonts w:cs="Arial"/>
              </w:rPr>
              <w:t xml:space="preserve"> </w:t>
            </w:r>
            <w:r>
              <w:rPr>
                <w:rFonts w:cs="Arial"/>
              </w:rPr>
              <w:t>Ein gemäß diesem Protokoll erteiltes</w:t>
            </w:r>
            <w:r w:rsidRPr="00E402A8">
              <w:rPr>
                <w:rFonts w:cs="Arial"/>
              </w:rPr>
              <w:t xml:space="preserve"> </w:t>
            </w:r>
            <w:r>
              <w:rPr>
                <w:rFonts w:cs="Arial"/>
              </w:rPr>
              <w:t>Züchterrecht</w:t>
            </w:r>
            <w:r w:rsidRPr="00E402A8">
              <w:rPr>
                <w:rFonts w:cs="Arial"/>
              </w:rPr>
              <w:t xml:space="preserve"> </w:t>
            </w:r>
            <w:r>
              <w:rPr>
                <w:rFonts w:cs="Arial"/>
              </w:rPr>
              <w:t xml:space="preserve">ist auf der Grundlage von einem Antrag </w:t>
            </w:r>
            <w:r w:rsidRPr="00E402A8">
              <w:rPr>
                <w:rFonts w:cs="Arial"/>
              </w:rPr>
              <w:t xml:space="preserve">in </w:t>
            </w:r>
            <w:r>
              <w:rPr>
                <w:rFonts w:cs="Arial"/>
              </w:rPr>
              <w:t>den</w:t>
            </w:r>
            <w:r w:rsidRPr="00E402A8">
              <w:rPr>
                <w:rFonts w:cs="Arial"/>
              </w:rPr>
              <w:t xml:space="preserve"> </w:t>
            </w:r>
            <w:r>
              <w:rPr>
                <w:rFonts w:cs="Arial"/>
              </w:rPr>
              <w:t xml:space="preserve">bezeichneten </w:t>
            </w:r>
            <w:r w:rsidRPr="00E402A8">
              <w:rPr>
                <w:rFonts w:cs="Arial"/>
              </w:rPr>
              <w:t xml:space="preserve">Vertragsstaaten </w:t>
            </w:r>
            <w:r>
              <w:rPr>
                <w:rFonts w:cs="Arial"/>
              </w:rPr>
              <w:t>geschützt,</w:t>
            </w:r>
            <w:r w:rsidRPr="00E402A8">
              <w:rPr>
                <w:rFonts w:cs="Arial"/>
              </w:rPr>
              <w:t xml:space="preserve"> </w:t>
            </w:r>
            <w:r>
              <w:rPr>
                <w:rFonts w:cs="Arial"/>
              </w:rPr>
              <w:t xml:space="preserve">vorausgesetzt, </w:t>
            </w:r>
            <w:proofErr w:type="spellStart"/>
            <w:r>
              <w:rPr>
                <w:rFonts w:cs="Arial"/>
              </w:rPr>
              <w:t>daß</w:t>
            </w:r>
            <w:proofErr w:type="spellEnd"/>
            <w:r>
              <w:rPr>
                <w:rFonts w:cs="Arial"/>
              </w:rPr>
              <w:t xml:space="preserve"> der bezeichnete Vertragsstaat die Erteilung nicht zurückgewiesen hat</w:t>
            </w:r>
            <w:r w:rsidRPr="00E402A8">
              <w:rPr>
                <w:rFonts w:cs="Arial"/>
              </w:rPr>
              <w:t>.</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KAPITEL</w:t>
            </w:r>
            <w:r w:rsidRPr="00E402A8">
              <w:rPr>
                <w:rFonts w:cs="Arial"/>
                <w:b/>
              </w:rPr>
              <w:t xml:space="preserve"> III</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bCs/>
                <w:caps/>
              </w:rPr>
            </w:pPr>
            <w:r>
              <w:rPr>
                <w:rFonts w:cs="Arial"/>
                <w:b/>
                <w:bCs/>
                <w:caps/>
              </w:rPr>
              <w:t>Kapitel</w:t>
            </w:r>
            <w:r w:rsidRPr="00E402A8">
              <w:rPr>
                <w:rFonts w:cs="Arial"/>
                <w:b/>
                <w:bCs/>
                <w:caps/>
              </w:rPr>
              <w:t xml:space="preserve"> III</w:t>
            </w:r>
          </w:p>
          <w:p w:rsidR="00F93BD1" w:rsidRPr="00E402A8" w:rsidRDefault="00F93BD1" w:rsidP="006D5FBC">
            <w:pPr>
              <w:jc w:val="center"/>
              <w:rPr>
                <w:rFonts w:cs="Arial"/>
                <w:b/>
                <w:bCs/>
                <w:caps/>
              </w:rPr>
            </w:pPr>
            <w:r w:rsidRPr="00E402A8">
              <w:rPr>
                <w:rFonts w:cs="Arial"/>
                <w:b/>
                <w:bCs/>
                <w:caps/>
              </w:rPr>
              <w:br/>
            </w:r>
            <w:r w:rsidRPr="0009632B">
              <w:rPr>
                <w:rFonts w:cs="Arial"/>
                <w:b/>
                <w:bCs/>
                <w:caps/>
              </w:rPr>
              <w:t xml:space="preserve">Voraussetzungen für die Erteilung </w:t>
            </w:r>
            <w:r>
              <w:rPr>
                <w:rFonts w:cs="Arial"/>
                <w:b/>
                <w:bCs/>
                <w:caps/>
              </w:rPr>
              <w:t>EINES Züchterrechts</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bCs/>
                <w:caps/>
              </w:rPr>
            </w:pPr>
            <w:r>
              <w:rPr>
                <w:rFonts w:cs="Arial"/>
                <w:b/>
                <w:bCs/>
                <w:caps/>
              </w:rPr>
              <w:t>Kapitel</w:t>
            </w:r>
            <w:r w:rsidRPr="00E402A8">
              <w:rPr>
                <w:rFonts w:cs="Arial"/>
                <w:b/>
                <w:bCs/>
                <w:caps/>
              </w:rPr>
              <w:t xml:space="preserve"> III</w:t>
            </w:r>
          </w:p>
          <w:p w:rsidR="00F93BD1" w:rsidRPr="00E402A8" w:rsidRDefault="00F93BD1" w:rsidP="006D5FBC">
            <w:pPr>
              <w:jc w:val="center"/>
              <w:rPr>
                <w:rFonts w:cs="Arial"/>
              </w:rPr>
            </w:pPr>
            <w:r w:rsidRPr="00E402A8">
              <w:rPr>
                <w:rFonts w:cs="Arial"/>
                <w:b/>
                <w:bCs/>
                <w:caps/>
              </w:rPr>
              <w:br/>
            </w:r>
            <w:r w:rsidRPr="0009632B">
              <w:rPr>
                <w:rFonts w:cs="Arial"/>
                <w:b/>
                <w:bCs/>
                <w:caps/>
              </w:rPr>
              <w:t xml:space="preserve">Voraussetzungen für die Erteilung </w:t>
            </w:r>
            <w:r>
              <w:rPr>
                <w:rFonts w:cs="Arial"/>
                <w:b/>
                <w:bCs/>
                <w:caps/>
              </w:rPr>
              <w:t>EINES Züchterrechts</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widowControl w:val="0"/>
              <w:tabs>
                <w:tab w:val="left" w:pos="-31680"/>
              </w:tabs>
              <w:jc w:val="center"/>
              <w:rPr>
                <w:rFonts w:cs="Arial"/>
                <w:b/>
              </w:rPr>
            </w:pPr>
            <w:r>
              <w:rPr>
                <w:rFonts w:cs="Arial"/>
                <w:b/>
              </w:rPr>
              <w:t>Artikel</w:t>
            </w:r>
            <w:r w:rsidRPr="00E402A8">
              <w:rPr>
                <w:rFonts w:cs="Arial"/>
                <w:b/>
              </w:rPr>
              <w:t xml:space="preserve"> 7</w:t>
            </w:r>
          </w:p>
          <w:p w:rsidR="00F93BD1" w:rsidRPr="00E402A8" w:rsidRDefault="00F93BD1" w:rsidP="006D5FBC">
            <w:pPr>
              <w:jc w:val="center"/>
              <w:rPr>
                <w:rFonts w:cs="Arial"/>
                <w:b/>
              </w:rPr>
            </w:pPr>
            <w:r>
              <w:rPr>
                <w:rFonts w:cs="Arial"/>
                <w:b/>
              </w:rPr>
              <w:t>Neuheit</w:t>
            </w:r>
          </w:p>
          <w:p w:rsidR="00F93BD1" w:rsidRPr="00E402A8" w:rsidRDefault="00F93BD1" w:rsidP="006D5FBC">
            <w:pPr>
              <w:jc w:val="center"/>
              <w:rPr>
                <w:rFonts w:cs="Arial"/>
              </w:rPr>
            </w:pPr>
          </w:p>
          <w:p w:rsidR="00F93BD1" w:rsidRPr="00E402A8" w:rsidRDefault="00F93BD1" w:rsidP="006D5FBC">
            <w:pPr>
              <w:rPr>
                <w:rFonts w:cs="Arial"/>
              </w:rPr>
            </w:pPr>
            <w:r>
              <w:rPr>
                <w:rFonts w:cs="Arial"/>
              </w:rPr>
              <w:t>3)</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widowControl w:val="0"/>
              <w:tabs>
                <w:tab w:val="left" w:pos="-31680"/>
              </w:tabs>
              <w:jc w:val="center"/>
              <w:rPr>
                <w:rFonts w:cs="Arial"/>
                <w:b/>
              </w:rPr>
            </w:pPr>
            <w:r>
              <w:rPr>
                <w:rFonts w:cs="Arial"/>
                <w:b/>
              </w:rPr>
              <w:t>Artikel</w:t>
            </w:r>
            <w:r w:rsidRPr="00E402A8">
              <w:rPr>
                <w:rFonts w:cs="Arial"/>
                <w:b/>
              </w:rPr>
              <w:t xml:space="preserve"> 7</w:t>
            </w:r>
          </w:p>
          <w:p w:rsidR="00F93BD1" w:rsidRPr="00E402A8" w:rsidRDefault="00F93BD1" w:rsidP="006D5FBC">
            <w:pPr>
              <w:jc w:val="center"/>
              <w:rPr>
                <w:rFonts w:cs="Arial"/>
                <w:b/>
              </w:rPr>
            </w:pPr>
            <w:r>
              <w:rPr>
                <w:rFonts w:cs="Arial"/>
                <w:b/>
              </w:rPr>
              <w:t>Neuheit</w:t>
            </w:r>
          </w:p>
          <w:p w:rsidR="00F93BD1" w:rsidRPr="00E402A8" w:rsidRDefault="00F93BD1" w:rsidP="006D5FBC">
            <w:pPr>
              <w:jc w:val="center"/>
              <w:rPr>
                <w:rFonts w:cs="Arial"/>
              </w:rPr>
            </w:pPr>
          </w:p>
          <w:p w:rsidR="00F93BD1" w:rsidRPr="00E402A8" w:rsidRDefault="00F93BD1" w:rsidP="006D5FBC">
            <w:pPr>
              <w:rPr>
                <w:rFonts w:cs="Arial"/>
              </w:rPr>
            </w:pPr>
            <w:r>
              <w:rPr>
                <w:rFonts w:cs="Arial"/>
              </w:rPr>
              <w:t xml:space="preserve">3) </w:t>
            </w:r>
            <w:r w:rsidRPr="0009632B">
              <w:rPr>
                <w:rFonts w:cs="Arial"/>
              </w:rPr>
              <w:t xml:space="preserve">Absatz 2 ist nur auf Anträge auf Erteilung </w:t>
            </w:r>
            <w:r>
              <w:rPr>
                <w:rFonts w:cs="Arial"/>
              </w:rPr>
              <w:t>eins</w:t>
            </w:r>
            <w:r w:rsidRPr="0009632B">
              <w:rPr>
                <w:rFonts w:cs="Arial"/>
              </w:rPr>
              <w:t xml:space="preserve"> Züchterrechts anwendbar, die spätestens innerhalb eines Jahres, nachdem die Bestimmungen </w:t>
            </w:r>
            <w:r>
              <w:rPr>
                <w:rFonts w:cs="Arial"/>
              </w:rPr>
              <w:t>dieses Protokolls</w:t>
            </w:r>
            <w:r w:rsidRPr="0009632B">
              <w:rPr>
                <w:rFonts w:cs="Arial"/>
              </w:rPr>
              <w:t xml:space="preserve"> </w:t>
            </w:r>
            <w:r>
              <w:rPr>
                <w:rFonts w:cs="Arial"/>
              </w:rPr>
              <w:t>für</w:t>
            </w:r>
            <w:r w:rsidRPr="0009632B">
              <w:rPr>
                <w:rFonts w:cs="Arial"/>
              </w:rPr>
              <w:t xml:space="preserve"> die betreffenden Gattu</w:t>
            </w:r>
            <w:r>
              <w:rPr>
                <w:rFonts w:cs="Arial"/>
              </w:rPr>
              <w:t>ngen oder Arten gelten</w:t>
            </w:r>
            <w:r w:rsidRPr="0009632B">
              <w:rPr>
                <w:rFonts w:cs="Arial"/>
              </w:rPr>
              <w:t>, eingereicht werden</w:t>
            </w:r>
            <w:r w:rsidRPr="00E402A8">
              <w:rPr>
                <w:rFonts w:cs="Arial"/>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widowControl w:val="0"/>
              <w:tabs>
                <w:tab w:val="left" w:pos="-31680"/>
              </w:tabs>
              <w:jc w:val="center"/>
              <w:rPr>
                <w:rFonts w:cs="Arial"/>
                <w:b/>
              </w:rPr>
            </w:pPr>
            <w:r>
              <w:rPr>
                <w:rFonts w:cs="Arial"/>
                <w:b/>
              </w:rPr>
              <w:t>Artikel</w:t>
            </w:r>
            <w:r w:rsidRPr="00E402A8">
              <w:rPr>
                <w:rFonts w:cs="Arial"/>
                <w:b/>
              </w:rPr>
              <w:t xml:space="preserve"> 7</w:t>
            </w:r>
          </w:p>
          <w:p w:rsidR="00F93BD1" w:rsidRPr="00E402A8" w:rsidRDefault="00F93BD1" w:rsidP="006D5FBC">
            <w:pPr>
              <w:jc w:val="center"/>
              <w:rPr>
                <w:rFonts w:cs="Arial"/>
                <w:b/>
              </w:rPr>
            </w:pPr>
            <w:r>
              <w:rPr>
                <w:rFonts w:cs="Arial"/>
                <w:b/>
              </w:rPr>
              <w:t>Neuheit</w:t>
            </w:r>
          </w:p>
          <w:p w:rsidR="00F93BD1" w:rsidRPr="00E402A8" w:rsidRDefault="00F93BD1" w:rsidP="006D5FBC">
            <w:pPr>
              <w:jc w:val="center"/>
              <w:rPr>
                <w:rFonts w:cs="Arial"/>
              </w:rPr>
            </w:pPr>
          </w:p>
          <w:p w:rsidR="00F93BD1" w:rsidRPr="00E402A8" w:rsidRDefault="00F93BD1" w:rsidP="006D5FBC">
            <w:pPr>
              <w:rPr>
                <w:rFonts w:cs="Arial"/>
              </w:rPr>
            </w:pPr>
            <w:r>
              <w:rPr>
                <w:rFonts w:cs="Arial"/>
              </w:rPr>
              <w:t xml:space="preserve">3) </w:t>
            </w:r>
            <w:r w:rsidRPr="0009632B">
              <w:rPr>
                <w:rFonts w:cs="Arial"/>
              </w:rPr>
              <w:t xml:space="preserve">Absatz 2 ist nur auf Anträge auf Erteilung </w:t>
            </w:r>
            <w:r>
              <w:rPr>
                <w:rFonts w:cs="Arial"/>
              </w:rPr>
              <w:t>eins</w:t>
            </w:r>
            <w:r w:rsidRPr="0009632B">
              <w:rPr>
                <w:rFonts w:cs="Arial"/>
              </w:rPr>
              <w:t xml:space="preserve"> Züchterrechts anwendbar, die spätestens innerhalb eines Jahres, nachdem die Bestimmungen </w:t>
            </w:r>
            <w:r>
              <w:rPr>
                <w:rFonts w:cs="Arial"/>
              </w:rPr>
              <w:t>dieses Protokolls</w:t>
            </w:r>
            <w:r w:rsidRPr="0009632B">
              <w:rPr>
                <w:rFonts w:cs="Arial"/>
              </w:rPr>
              <w:t xml:space="preserve"> </w:t>
            </w:r>
            <w:r>
              <w:rPr>
                <w:rFonts w:cs="Arial"/>
              </w:rPr>
              <w:t>für</w:t>
            </w:r>
            <w:r w:rsidRPr="0009632B">
              <w:rPr>
                <w:rFonts w:cs="Arial"/>
              </w:rPr>
              <w:t xml:space="preserve"> die betreffenden Gattu</w:t>
            </w:r>
            <w:r>
              <w:rPr>
                <w:rFonts w:cs="Arial"/>
              </w:rPr>
              <w:t>ngen oder Arten gelten</w:t>
            </w:r>
            <w:r w:rsidRPr="0009632B">
              <w:rPr>
                <w:rFonts w:cs="Arial"/>
              </w:rPr>
              <w:t>, eingereicht werden</w:t>
            </w:r>
            <w:r w:rsidRPr="00E402A8">
              <w:rPr>
                <w:rFonts w:cs="Arial"/>
              </w:rPr>
              <w:t>.</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11 </w:t>
            </w:r>
          </w:p>
          <w:p w:rsidR="00F93BD1" w:rsidRPr="00E402A8" w:rsidRDefault="00F93BD1" w:rsidP="006D5FBC">
            <w:pPr>
              <w:jc w:val="center"/>
              <w:rPr>
                <w:rFonts w:cs="Arial"/>
                <w:b/>
              </w:rPr>
            </w:pPr>
            <w:r w:rsidRPr="00E402A8">
              <w:rPr>
                <w:rFonts w:cs="Arial"/>
                <w:b/>
              </w:rPr>
              <w:br/>
            </w:r>
            <w:r>
              <w:rPr>
                <w:rFonts w:cs="Arial"/>
                <w:b/>
              </w:rPr>
              <w:t>Personen, die berechtigt sind, Schutz zu beantragen</w:t>
            </w:r>
          </w:p>
          <w:p w:rsidR="00F93BD1" w:rsidRPr="00E402A8" w:rsidRDefault="00F93BD1" w:rsidP="006D5FBC">
            <w:pPr>
              <w:rPr>
                <w:rFonts w:cs="Arial"/>
                <w:b/>
              </w:rPr>
            </w:pPr>
          </w:p>
          <w:p w:rsidR="00F93BD1" w:rsidRPr="00E402A8" w:rsidRDefault="00F93BD1" w:rsidP="006D5FBC">
            <w:pPr>
              <w:rPr>
                <w:rFonts w:cs="Arial"/>
              </w:rPr>
            </w:pPr>
            <w:r>
              <w:rPr>
                <w:rFonts w:cs="Arial"/>
              </w:rPr>
              <w:t>2)</w:t>
            </w:r>
          </w:p>
          <w:p w:rsidR="00F93BD1" w:rsidRPr="00E402A8" w:rsidRDefault="00F93BD1"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11 </w:t>
            </w:r>
          </w:p>
          <w:p w:rsidR="00F93BD1" w:rsidRPr="00E402A8" w:rsidRDefault="00F93BD1" w:rsidP="006D5FBC">
            <w:pPr>
              <w:jc w:val="center"/>
              <w:rPr>
                <w:rFonts w:cs="Arial"/>
                <w:b/>
              </w:rPr>
            </w:pPr>
            <w:r w:rsidRPr="00E402A8">
              <w:rPr>
                <w:rFonts w:cs="Arial"/>
                <w:b/>
              </w:rPr>
              <w:br/>
            </w:r>
            <w:r>
              <w:rPr>
                <w:rFonts w:cs="Arial"/>
                <w:b/>
              </w:rPr>
              <w:t>Personen, die berechtigt sind, Schutz zu beantragen</w:t>
            </w:r>
          </w:p>
          <w:p w:rsidR="00F93BD1" w:rsidRPr="00E402A8" w:rsidRDefault="00F93BD1" w:rsidP="006D5FBC">
            <w:pPr>
              <w:rPr>
                <w:rFonts w:cs="Arial"/>
                <w:b/>
              </w:rPr>
            </w:pPr>
          </w:p>
          <w:p w:rsidR="00F93BD1" w:rsidRPr="00E402A8" w:rsidRDefault="00F93BD1" w:rsidP="006D5FBC">
            <w:pPr>
              <w:rPr>
                <w:rFonts w:cs="Arial"/>
              </w:rPr>
            </w:pPr>
            <w:r>
              <w:rPr>
                <w:rFonts w:cs="Arial"/>
              </w:rPr>
              <w:t xml:space="preserve">2) Ein gemäß Absatz </w:t>
            </w:r>
            <w:r w:rsidRPr="00E402A8">
              <w:rPr>
                <w:rFonts w:cs="Arial"/>
              </w:rPr>
              <w:t xml:space="preserve">1) </w:t>
            </w:r>
            <w:r>
              <w:rPr>
                <w:rFonts w:cs="Arial"/>
              </w:rPr>
              <w:t xml:space="preserve">von einem </w:t>
            </w:r>
            <w:r w:rsidRPr="0009632B">
              <w:rPr>
                <w:rFonts w:cs="Arial"/>
              </w:rPr>
              <w:t xml:space="preserve">Züchter, der keinen Wohnsitz in einem der Vertragsstaaten hat, </w:t>
            </w:r>
            <w:r>
              <w:rPr>
                <w:rFonts w:cs="Arial"/>
              </w:rPr>
              <w:t>eingereichter</w:t>
            </w:r>
            <w:r w:rsidRPr="0009632B">
              <w:rPr>
                <w:rFonts w:cs="Arial"/>
              </w:rPr>
              <w:t xml:space="preserve"> </w:t>
            </w:r>
            <w:r>
              <w:rPr>
                <w:rFonts w:cs="Arial"/>
              </w:rPr>
              <w:t xml:space="preserve">Antrag </w:t>
            </w:r>
            <w:r w:rsidRPr="0009632B">
              <w:rPr>
                <w:rFonts w:cs="Arial"/>
              </w:rPr>
              <w:t>kann nur über einen Stellvertreter mit Wohnsitz in einem der Vertragsstaaten oder im Gastland der ARIPO eingereicht werden</w:t>
            </w:r>
            <w:r w:rsidRPr="00E402A8">
              <w:rPr>
                <w:rFonts w:cs="Arial"/>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widowControl w:val="0"/>
              <w:tabs>
                <w:tab w:val="left" w:pos="-31680"/>
              </w:tabs>
              <w:jc w:val="center"/>
              <w:rPr>
                <w:rFonts w:cs="Arial"/>
                <w:b/>
              </w:rPr>
            </w:pPr>
            <w:r>
              <w:rPr>
                <w:rFonts w:cs="Arial"/>
                <w:b/>
              </w:rPr>
              <w:t>Artikel</w:t>
            </w:r>
            <w:r w:rsidRPr="00E402A8">
              <w:rPr>
                <w:rFonts w:cs="Arial"/>
                <w:b/>
              </w:rPr>
              <w:t xml:space="preserve"> 11 </w:t>
            </w:r>
          </w:p>
          <w:p w:rsidR="00F93BD1" w:rsidRPr="00E402A8" w:rsidRDefault="00F93BD1" w:rsidP="006D5FBC">
            <w:pPr>
              <w:widowControl w:val="0"/>
              <w:tabs>
                <w:tab w:val="left" w:pos="-31680"/>
              </w:tabs>
              <w:jc w:val="center"/>
              <w:rPr>
                <w:rFonts w:cs="Arial"/>
                <w:b/>
              </w:rPr>
            </w:pPr>
            <w:r w:rsidRPr="00E402A8">
              <w:rPr>
                <w:rFonts w:cs="Arial"/>
                <w:b/>
              </w:rPr>
              <w:br/>
            </w:r>
            <w:r>
              <w:rPr>
                <w:rFonts w:cs="Arial"/>
                <w:b/>
              </w:rPr>
              <w:t>Personen, die berechtigt sind, Schutz zu beantragen</w:t>
            </w:r>
          </w:p>
          <w:p w:rsidR="00F93BD1" w:rsidRPr="00E402A8" w:rsidRDefault="00F93BD1" w:rsidP="006D5FBC">
            <w:pPr>
              <w:widowControl w:val="0"/>
              <w:tabs>
                <w:tab w:val="left" w:pos="-31680"/>
              </w:tabs>
              <w:jc w:val="center"/>
              <w:rPr>
                <w:rFonts w:cs="Arial"/>
                <w:b/>
              </w:rPr>
            </w:pPr>
          </w:p>
          <w:p w:rsidR="00F93BD1" w:rsidRPr="00E402A8" w:rsidRDefault="00F93BD1" w:rsidP="006D5FBC">
            <w:pPr>
              <w:widowControl w:val="0"/>
              <w:tabs>
                <w:tab w:val="left" w:pos="-31680"/>
              </w:tabs>
              <w:rPr>
                <w:rFonts w:cs="Arial"/>
                <w:b/>
              </w:rPr>
            </w:pPr>
            <w:r>
              <w:rPr>
                <w:rFonts w:cs="Arial"/>
              </w:rPr>
              <w:t>2) Ein gemäß Absatz 1</w:t>
            </w:r>
            <w:r w:rsidRPr="00E402A8">
              <w:rPr>
                <w:rFonts w:cs="Arial"/>
              </w:rPr>
              <w:t xml:space="preserve">) </w:t>
            </w:r>
            <w:r>
              <w:rPr>
                <w:rFonts w:cs="Arial"/>
              </w:rPr>
              <w:t xml:space="preserve">von einem </w:t>
            </w:r>
            <w:r w:rsidRPr="0009632B">
              <w:rPr>
                <w:rFonts w:cs="Arial"/>
              </w:rPr>
              <w:t xml:space="preserve">Züchter, der keinen Wohnsitz in einem der Vertragsstaaten hat, </w:t>
            </w:r>
            <w:r>
              <w:rPr>
                <w:rFonts w:cs="Arial"/>
              </w:rPr>
              <w:t xml:space="preserve">eingereichter Antrag </w:t>
            </w:r>
            <w:r w:rsidRPr="0009632B">
              <w:rPr>
                <w:rFonts w:cs="Arial"/>
              </w:rPr>
              <w:t>kann nur über einen Stellvertreter mit Wohnsitz in einem der Vertragsstaaten</w:t>
            </w:r>
            <w:r>
              <w:rPr>
                <w:rFonts w:cs="Arial"/>
              </w:rPr>
              <w:t xml:space="preserve"> </w:t>
            </w:r>
            <w:r w:rsidRPr="0009632B">
              <w:rPr>
                <w:rFonts w:cs="Arial"/>
              </w:rPr>
              <w:t>eingereicht werden</w:t>
            </w:r>
            <w:r w:rsidRPr="00E402A8">
              <w:rPr>
                <w:rFonts w:cs="Arial"/>
              </w:rPr>
              <w:t>.</w:t>
            </w:r>
          </w:p>
          <w:p w:rsidR="00F93BD1" w:rsidRPr="00E402A8" w:rsidRDefault="00F93BD1" w:rsidP="006D5FBC">
            <w:pPr>
              <w:rPr>
                <w:rFonts w:cs="Arial"/>
              </w:rPr>
            </w:pP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18</w:t>
            </w:r>
          </w:p>
          <w:p w:rsidR="00F93BD1" w:rsidRPr="00E402A8" w:rsidRDefault="00F93BD1" w:rsidP="006D5FBC">
            <w:pPr>
              <w:jc w:val="center"/>
              <w:rPr>
                <w:rFonts w:cs="Arial"/>
                <w:b/>
              </w:rPr>
            </w:pPr>
          </w:p>
          <w:p w:rsidR="00F93BD1" w:rsidRPr="00E402A8" w:rsidRDefault="00F93BD1" w:rsidP="006D5FBC">
            <w:pPr>
              <w:jc w:val="center"/>
              <w:rPr>
                <w:rFonts w:cs="Arial"/>
                <w:b/>
              </w:rPr>
            </w:pPr>
            <w:r>
              <w:rPr>
                <w:rFonts w:cs="Arial"/>
                <w:b/>
              </w:rPr>
              <w:t>Prüfung der Unterscheidbarkeit, der Homogenität und der Beständigkeit</w:t>
            </w:r>
          </w:p>
          <w:p w:rsidR="00F93BD1" w:rsidRPr="00E402A8" w:rsidRDefault="00F93BD1" w:rsidP="006D5FBC">
            <w:pPr>
              <w:jc w:val="center"/>
              <w:rPr>
                <w:rFonts w:cs="Arial"/>
              </w:rPr>
            </w:pPr>
          </w:p>
          <w:p w:rsidR="00F93BD1" w:rsidRPr="00E402A8" w:rsidRDefault="00F93BD1" w:rsidP="006D5FBC">
            <w:pPr>
              <w:jc w:val="center"/>
              <w:rPr>
                <w:rFonts w:cs="Arial"/>
              </w:rPr>
            </w:pPr>
          </w:p>
          <w:p w:rsidR="00F93BD1" w:rsidRPr="00E402A8" w:rsidRDefault="00F93BD1" w:rsidP="006D5FBC">
            <w:pPr>
              <w:rPr>
                <w:rFonts w:cs="Arial"/>
              </w:rPr>
            </w:pPr>
            <w:r>
              <w:rPr>
                <w:rFonts w:cs="Arial"/>
              </w:rPr>
              <w:t>1)</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18</w:t>
            </w:r>
          </w:p>
          <w:p w:rsidR="00F93BD1" w:rsidRPr="00E402A8" w:rsidRDefault="00F93BD1" w:rsidP="006D5FBC">
            <w:pPr>
              <w:jc w:val="center"/>
              <w:rPr>
                <w:rFonts w:cs="Arial"/>
                <w:b/>
              </w:rPr>
            </w:pPr>
          </w:p>
          <w:p w:rsidR="00F93BD1" w:rsidRPr="00E402A8" w:rsidRDefault="00F93BD1" w:rsidP="006D5FBC">
            <w:pPr>
              <w:jc w:val="center"/>
              <w:rPr>
                <w:rFonts w:cs="Arial"/>
                <w:b/>
              </w:rPr>
            </w:pPr>
            <w:r>
              <w:rPr>
                <w:rFonts w:cs="Arial"/>
                <w:b/>
              </w:rPr>
              <w:t>Prüfung der Unterscheidbarkeit, der Homogenität und der Beständigkeit</w:t>
            </w:r>
          </w:p>
          <w:p w:rsidR="00F93BD1" w:rsidRPr="00E402A8" w:rsidRDefault="00F93BD1" w:rsidP="006D5FBC">
            <w:pPr>
              <w:rPr>
                <w:rFonts w:cs="Arial"/>
              </w:rPr>
            </w:pPr>
          </w:p>
          <w:p w:rsidR="00F93BD1" w:rsidRPr="00E402A8" w:rsidRDefault="00F93BD1" w:rsidP="006D5FBC">
            <w:pPr>
              <w:widowControl w:val="0"/>
              <w:tabs>
                <w:tab w:val="left" w:pos="53"/>
              </w:tabs>
              <w:rPr>
                <w:rFonts w:cs="Arial"/>
              </w:rPr>
            </w:pPr>
            <w:r>
              <w:rPr>
                <w:rFonts w:cs="Arial"/>
              </w:rPr>
              <w:t>1) Gemäß Artikel</w:t>
            </w:r>
            <w:r w:rsidRPr="00E402A8">
              <w:rPr>
                <w:rFonts w:cs="Arial"/>
              </w:rPr>
              <w:t xml:space="preserve"> 17</w:t>
            </w:r>
            <w:r>
              <w:rPr>
                <w:rFonts w:cs="Arial"/>
              </w:rPr>
              <w:t xml:space="preserve"> Absatz </w:t>
            </w:r>
            <w:r w:rsidRPr="00E402A8">
              <w:rPr>
                <w:rFonts w:cs="Arial"/>
              </w:rPr>
              <w:t>1</w:t>
            </w:r>
            <w:r>
              <w:rPr>
                <w:rFonts w:cs="Arial"/>
              </w:rPr>
              <w:t xml:space="preserve"> Buchstabe </w:t>
            </w:r>
            <w:r w:rsidRPr="00E402A8">
              <w:rPr>
                <w:rFonts w:cs="Arial"/>
              </w:rPr>
              <w:t>d</w:t>
            </w:r>
            <w:r>
              <w:rPr>
                <w:rFonts w:cs="Arial"/>
              </w:rPr>
              <w:t>, kann das ARIPO-Büro zum Zweck der Prüfung</w:t>
            </w:r>
            <w:r w:rsidRPr="00E402A8">
              <w:rPr>
                <w:rFonts w:cs="Arial"/>
              </w:rPr>
              <w:t xml:space="preserve"> und </w:t>
            </w:r>
            <w:r>
              <w:rPr>
                <w:rFonts w:cs="Arial"/>
              </w:rPr>
              <w:t>Gewährleistung der Einhaltung der in Artikeln 8, 9</w:t>
            </w:r>
            <w:r w:rsidRPr="00E402A8">
              <w:rPr>
                <w:rFonts w:cs="Arial"/>
              </w:rPr>
              <w:t xml:space="preserve"> und </w:t>
            </w:r>
            <w:r>
              <w:rPr>
                <w:rFonts w:cs="Arial"/>
              </w:rPr>
              <w:t>10 ausgeführten Bedingungen -</w:t>
            </w:r>
          </w:p>
          <w:p w:rsidR="00F93BD1" w:rsidRPr="00E402A8" w:rsidRDefault="00F93BD1" w:rsidP="006D5FBC">
            <w:pPr>
              <w:widowControl w:val="0"/>
              <w:tabs>
                <w:tab w:val="left" w:pos="-31680"/>
              </w:tabs>
              <w:rPr>
                <w:rFonts w:cs="Arial"/>
              </w:rPr>
            </w:pPr>
          </w:p>
          <w:p w:rsidR="00F93BD1" w:rsidRPr="00E402A8" w:rsidRDefault="00F93BD1" w:rsidP="006D5FBC">
            <w:pPr>
              <w:widowControl w:val="0"/>
              <w:tabs>
                <w:tab w:val="left" w:pos="-31680"/>
              </w:tabs>
              <w:rPr>
                <w:rFonts w:cs="Arial"/>
              </w:rPr>
            </w:pPr>
            <w:r>
              <w:rPr>
                <w:rFonts w:cs="Arial"/>
              </w:rPr>
              <w:t xml:space="preserve">a)   veranlassen, </w:t>
            </w:r>
            <w:proofErr w:type="spellStart"/>
            <w:r>
              <w:rPr>
                <w:rFonts w:cs="Arial"/>
              </w:rPr>
              <w:t>daß</w:t>
            </w:r>
            <w:proofErr w:type="spellEnd"/>
            <w:r>
              <w:rPr>
                <w:rFonts w:cs="Arial"/>
              </w:rPr>
              <w:t xml:space="preserve"> die Prüfung</w:t>
            </w:r>
            <w:r w:rsidRPr="00E402A8">
              <w:rPr>
                <w:rFonts w:cs="Arial"/>
              </w:rPr>
              <w:t xml:space="preserve"> </w:t>
            </w:r>
            <w:r>
              <w:rPr>
                <w:rFonts w:cs="Arial"/>
              </w:rPr>
              <w:t>von jeglicher zuständigen Stelle</w:t>
            </w:r>
            <w:r w:rsidRPr="00E402A8">
              <w:rPr>
                <w:rFonts w:cs="Arial"/>
              </w:rPr>
              <w:t xml:space="preserve"> </w:t>
            </w:r>
            <w:r>
              <w:rPr>
                <w:rFonts w:cs="Arial"/>
              </w:rPr>
              <w:t>eines Vertragsstaates oder eines Mitglieds</w:t>
            </w:r>
            <w:r w:rsidRPr="00E402A8">
              <w:rPr>
                <w:rFonts w:cs="Arial"/>
              </w:rPr>
              <w:t xml:space="preserve"> </w:t>
            </w:r>
            <w:r>
              <w:rPr>
                <w:rFonts w:cs="Arial"/>
              </w:rPr>
              <w:t>einer zwischenstaatlichen Organisation, die über ein wirksames Sortenschutzsystem verfügt, durchgeführt</w:t>
            </w:r>
            <w:r w:rsidRPr="00E402A8">
              <w:rPr>
                <w:rFonts w:cs="Arial"/>
              </w:rPr>
              <w:t xml:space="preserve"> </w:t>
            </w:r>
            <w:r>
              <w:rPr>
                <w:rFonts w:cs="Arial"/>
              </w:rPr>
              <w:t>wird</w:t>
            </w:r>
            <w:r w:rsidRPr="00E402A8">
              <w:rPr>
                <w:rFonts w:cs="Arial"/>
              </w:rPr>
              <w:t xml:space="preserve">; </w:t>
            </w:r>
            <w:r>
              <w:rPr>
                <w:rFonts w:cs="Arial"/>
              </w:rPr>
              <w:t>oder</w:t>
            </w:r>
          </w:p>
          <w:p w:rsidR="00F93BD1" w:rsidRPr="00E402A8" w:rsidRDefault="00F93BD1" w:rsidP="006D5FBC">
            <w:pPr>
              <w:widowControl w:val="0"/>
              <w:tabs>
                <w:tab w:val="left" w:pos="-31680"/>
              </w:tabs>
              <w:rPr>
                <w:rFonts w:cs="Arial"/>
              </w:rPr>
            </w:pPr>
          </w:p>
          <w:p w:rsidR="00F93BD1" w:rsidRPr="00E402A8" w:rsidRDefault="00F93BD1" w:rsidP="006D5FBC">
            <w:pPr>
              <w:widowControl w:val="0"/>
              <w:tabs>
                <w:tab w:val="left" w:pos="-31680"/>
              </w:tabs>
              <w:rPr>
                <w:rFonts w:cs="Arial"/>
              </w:rPr>
            </w:pPr>
            <w:r>
              <w:rPr>
                <w:rFonts w:cs="Arial"/>
              </w:rPr>
              <w:t>b)   die Ergebnisse von bereits von dem Vertragsstaat oder einem Mitglied</w:t>
            </w:r>
            <w:r w:rsidRPr="00E402A8">
              <w:rPr>
                <w:rFonts w:cs="Arial"/>
              </w:rPr>
              <w:t xml:space="preserve"> </w:t>
            </w:r>
            <w:r>
              <w:rPr>
                <w:rFonts w:cs="Arial"/>
              </w:rPr>
              <w:t>einer</w:t>
            </w:r>
            <w:r w:rsidRPr="00E402A8">
              <w:rPr>
                <w:rFonts w:cs="Arial"/>
              </w:rPr>
              <w:t xml:space="preserve"> </w:t>
            </w:r>
            <w:r>
              <w:rPr>
                <w:rFonts w:cs="Arial"/>
              </w:rPr>
              <w:t>zwischenstaatlichen Organisation,</w:t>
            </w:r>
            <w:r w:rsidRPr="00E402A8">
              <w:rPr>
                <w:rFonts w:cs="Arial"/>
              </w:rPr>
              <w:t xml:space="preserve"> </w:t>
            </w:r>
            <w:r>
              <w:rPr>
                <w:rFonts w:cs="Arial"/>
              </w:rPr>
              <w:t xml:space="preserve">die über ein wirksames Sortenschutzsystem verfügt, </w:t>
            </w:r>
            <w:r w:rsidRPr="00242FEE">
              <w:rPr>
                <w:rFonts w:cs="Arial"/>
              </w:rPr>
              <w:t>durchgeführte</w:t>
            </w:r>
            <w:r>
              <w:rPr>
                <w:rFonts w:cs="Arial"/>
              </w:rPr>
              <w:t>n</w:t>
            </w:r>
            <w:r w:rsidRPr="00242FEE">
              <w:rPr>
                <w:rFonts w:cs="Arial"/>
              </w:rPr>
              <w:t xml:space="preserve"> Anbauprüfungen berücksichtigen</w:t>
            </w:r>
            <w:r>
              <w:rPr>
                <w:rFonts w:cs="Arial"/>
              </w:rPr>
              <w:t>.</w:t>
            </w:r>
          </w:p>
          <w:p w:rsidR="00F93BD1" w:rsidRPr="00E402A8" w:rsidRDefault="00F93BD1" w:rsidP="006D5FBC">
            <w:pPr>
              <w:widowControl w:val="0"/>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18</w:t>
            </w:r>
          </w:p>
          <w:p w:rsidR="00F93BD1" w:rsidRPr="00E402A8" w:rsidRDefault="00F93BD1" w:rsidP="006D5FBC">
            <w:pPr>
              <w:jc w:val="center"/>
              <w:rPr>
                <w:rFonts w:cs="Arial"/>
                <w:b/>
              </w:rPr>
            </w:pPr>
          </w:p>
          <w:p w:rsidR="00F93BD1" w:rsidRPr="00E402A8" w:rsidRDefault="00F93BD1" w:rsidP="006D5FBC">
            <w:pPr>
              <w:jc w:val="center"/>
              <w:rPr>
                <w:rFonts w:cs="Arial"/>
              </w:rPr>
            </w:pPr>
            <w:r>
              <w:rPr>
                <w:rFonts w:cs="Arial"/>
                <w:b/>
              </w:rPr>
              <w:t>Prüfung der Unterscheidbarkeit, der Homogenität und der Beständigkeit</w:t>
            </w:r>
          </w:p>
          <w:p w:rsidR="00F93BD1" w:rsidRPr="00E402A8" w:rsidRDefault="00F93BD1" w:rsidP="006D5FBC">
            <w:pPr>
              <w:rPr>
                <w:rFonts w:cs="Arial"/>
              </w:rPr>
            </w:pPr>
          </w:p>
          <w:p w:rsidR="00F93BD1" w:rsidRPr="00E402A8" w:rsidRDefault="00F93BD1" w:rsidP="006D5FBC">
            <w:pPr>
              <w:widowControl w:val="0"/>
              <w:tabs>
                <w:tab w:val="left" w:pos="53"/>
              </w:tabs>
              <w:rPr>
                <w:rFonts w:cs="Arial"/>
              </w:rPr>
            </w:pPr>
            <w:r>
              <w:rPr>
                <w:rFonts w:cs="Arial"/>
              </w:rPr>
              <w:t>1) Gemäß Artikel</w:t>
            </w:r>
            <w:r w:rsidRPr="00E402A8">
              <w:rPr>
                <w:rFonts w:cs="Arial"/>
              </w:rPr>
              <w:t xml:space="preserve"> 17</w:t>
            </w:r>
            <w:r>
              <w:rPr>
                <w:rFonts w:cs="Arial"/>
              </w:rPr>
              <w:t xml:space="preserve"> Absatz </w:t>
            </w:r>
            <w:r w:rsidRPr="00E402A8">
              <w:rPr>
                <w:rFonts w:cs="Arial"/>
              </w:rPr>
              <w:t>1</w:t>
            </w:r>
            <w:r>
              <w:rPr>
                <w:rFonts w:cs="Arial"/>
              </w:rPr>
              <w:t xml:space="preserve"> Buchstabe </w:t>
            </w:r>
            <w:r w:rsidRPr="00E402A8">
              <w:rPr>
                <w:rFonts w:cs="Arial"/>
              </w:rPr>
              <w:t>d</w:t>
            </w:r>
            <w:r>
              <w:rPr>
                <w:rFonts w:cs="Arial"/>
              </w:rPr>
              <w:t>, kann das ARIPO-Büro zum Zweck der Prüfung</w:t>
            </w:r>
            <w:r w:rsidRPr="00E402A8">
              <w:rPr>
                <w:rFonts w:cs="Arial"/>
              </w:rPr>
              <w:t xml:space="preserve"> und </w:t>
            </w:r>
            <w:r>
              <w:rPr>
                <w:rFonts w:cs="Arial"/>
              </w:rPr>
              <w:t>Gewährleistung der Einhaltung der in Artikeln 8, 9</w:t>
            </w:r>
            <w:r w:rsidRPr="00E402A8">
              <w:rPr>
                <w:rFonts w:cs="Arial"/>
              </w:rPr>
              <w:t xml:space="preserve"> und </w:t>
            </w:r>
            <w:r>
              <w:rPr>
                <w:rFonts w:cs="Arial"/>
              </w:rPr>
              <w:t>10 ausgeführten Bedingungen -</w:t>
            </w:r>
          </w:p>
          <w:p w:rsidR="00F93BD1" w:rsidRPr="00E402A8" w:rsidRDefault="00F93BD1" w:rsidP="006D5FBC">
            <w:pPr>
              <w:widowControl w:val="0"/>
              <w:tabs>
                <w:tab w:val="left" w:pos="-31680"/>
              </w:tabs>
              <w:rPr>
                <w:rFonts w:cs="Arial"/>
              </w:rPr>
            </w:pPr>
          </w:p>
          <w:p w:rsidR="00F93BD1" w:rsidRPr="00E402A8" w:rsidRDefault="00F93BD1" w:rsidP="006D5FBC">
            <w:pPr>
              <w:widowControl w:val="0"/>
              <w:tabs>
                <w:tab w:val="left" w:pos="-31680"/>
              </w:tabs>
              <w:rPr>
                <w:rFonts w:cs="Arial"/>
              </w:rPr>
            </w:pPr>
            <w:r>
              <w:rPr>
                <w:rFonts w:cs="Arial"/>
              </w:rPr>
              <w:t xml:space="preserve">a)   veranlassen, </w:t>
            </w:r>
            <w:proofErr w:type="spellStart"/>
            <w:r>
              <w:rPr>
                <w:rFonts w:cs="Arial"/>
              </w:rPr>
              <w:t>daß</w:t>
            </w:r>
            <w:proofErr w:type="spellEnd"/>
            <w:r>
              <w:rPr>
                <w:rFonts w:cs="Arial"/>
              </w:rPr>
              <w:t xml:space="preserve"> die Prüfung</w:t>
            </w:r>
            <w:r w:rsidRPr="00E402A8">
              <w:rPr>
                <w:rFonts w:cs="Arial"/>
              </w:rPr>
              <w:t xml:space="preserve"> </w:t>
            </w:r>
            <w:r>
              <w:rPr>
                <w:rFonts w:cs="Arial"/>
              </w:rPr>
              <w:t>von jeglicher zuständigen Stelle</w:t>
            </w:r>
            <w:r w:rsidRPr="00E402A8">
              <w:rPr>
                <w:rFonts w:cs="Arial"/>
              </w:rPr>
              <w:t xml:space="preserve"> </w:t>
            </w:r>
            <w:r>
              <w:rPr>
                <w:rFonts w:cs="Arial"/>
              </w:rPr>
              <w:t>eines Vertragsstaates oder eines vom Verwaltungsrat benannten Mitglieds</w:t>
            </w:r>
            <w:r w:rsidRPr="00E402A8">
              <w:rPr>
                <w:rFonts w:cs="Arial"/>
              </w:rPr>
              <w:t xml:space="preserve"> </w:t>
            </w:r>
            <w:r>
              <w:rPr>
                <w:rFonts w:cs="Arial"/>
              </w:rPr>
              <w:t>einer zwischenstaatlichen Organisation durchgeführt</w:t>
            </w:r>
            <w:r w:rsidRPr="00E402A8">
              <w:rPr>
                <w:rFonts w:cs="Arial"/>
              </w:rPr>
              <w:t xml:space="preserve"> </w:t>
            </w:r>
            <w:r>
              <w:rPr>
                <w:rFonts w:cs="Arial"/>
              </w:rPr>
              <w:t>wird, die über ein wirksames Sortenschutzsystem verfügt, durchgeführt</w:t>
            </w:r>
            <w:r w:rsidRPr="00E402A8">
              <w:rPr>
                <w:rFonts w:cs="Arial"/>
              </w:rPr>
              <w:t xml:space="preserve"> </w:t>
            </w:r>
            <w:r>
              <w:rPr>
                <w:rFonts w:cs="Arial"/>
              </w:rPr>
              <w:t>wird</w:t>
            </w:r>
            <w:r w:rsidRPr="00E402A8">
              <w:rPr>
                <w:rFonts w:cs="Arial"/>
              </w:rPr>
              <w:t xml:space="preserve">; </w:t>
            </w:r>
            <w:r>
              <w:rPr>
                <w:rFonts w:cs="Arial"/>
              </w:rPr>
              <w:t>oder</w:t>
            </w:r>
          </w:p>
          <w:p w:rsidR="00F93BD1" w:rsidRPr="00E402A8" w:rsidRDefault="00F93BD1" w:rsidP="006D5FBC">
            <w:pPr>
              <w:widowControl w:val="0"/>
              <w:tabs>
                <w:tab w:val="left" w:pos="-31680"/>
              </w:tabs>
              <w:rPr>
                <w:rFonts w:cs="Arial"/>
              </w:rPr>
            </w:pPr>
          </w:p>
          <w:p w:rsidR="00F93BD1" w:rsidRPr="00E402A8" w:rsidRDefault="00F93BD1" w:rsidP="006D5FBC">
            <w:pPr>
              <w:widowControl w:val="0"/>
              <w:tabs>
                <w:tab w:val="left" w:pos="-31680"/>
              </w:tabs>
              <w:rPr>
                <w:rFonts w:cs="Arial"/>
              </w:rPr>
            </w:pPr>
            <w:r>
              <w:rPr>
                <w:rFonts w:cs="Arial"/>
              </w:rPr>
              <w:t>b)   die Ergebnisse von bereits von dem Vertragsstaat oder jeglichem von dem Verwaltungsrat benannten Mitglied</w:t>
            </w:r>
            <w:r w:rsidRPr="00E402A8">
              <w:rPr>
                <w:rFonts w:cs="Arial"/>
              </w:rPr>
              <w:t xml:space="preserve"> </w:t>
            </w:r>
            <w:r>
              <w:rPr>
                <w:rFonts w:cs="Arial"/>
              </w:rPr>
              <w:t>einer</w:t>
            </w:r>
            <w:r w:rsidRPr="00E402A8">
              <w:rPr>
                <w:rFonts w:cs="Arial"/>
              </w:rPr>
              <w:t xml:space="preserve"> </w:t>
            </w:r>
            <w:r>
              <w:rPr>
                <w:rFonts w:cs="Arial"/>
              </w:rPr>
              <w:t>zwischenstaatlichen Organisation,</w:t>
            </w:r>
            <w:r w:rsidRPr="00E402A8">
              <w:rPr>
                <w:rFonts w:cs="Arial"/>
              </w:rPr>
              <w:t xml:space="preserve"> </w:t>
            </w:r>
            <w:r>
              <w:rPr>
                <w:rFonts w:cs="Arial"/>
              </w:rPr>
              <w:t>die über ein wirksames Sortenschutzsystem verfügt,</w:t>
            </w:r>
            <w:r w:rsidRPr="00242FEE">
              <w:rPr>
                <w:rFonts w:cs="Arial"/>
              </w:rPr>
              <w:t xml:space="preserve"> durchgeführte</w:t>
            </w:r>
            <w:r>
              <w:rPr>
                <w:rFonts w:cs="Arial"/>
              </w:rPr>
              <w:t>n</w:t>
            </w:r>
            <w:r w:rsidRPr="00242FEE">
              <w:rPr>
                <w:rFonts w:cs="Arial"/>
              </w:rPr>
              <w:t xml:space="preserve"> Anbauprüfungen berücksichtigen</w:t>
            </w:r>
            <w:r>
              <w:rPr>
                <w:rFonts w:cs="Arial"/>
              </w:rPr>
              <w:t>.</w:t>
            </w:r>
          </w:p>
          <w:p w:rsidR="00F93BD1" w:rsidRPr="00E402A8" w:rsidRDefault="00F93BD1" w:rsidP="006D5FBC">
            <w:pPr>
              <w:rPr>
                <w:rFonts w:cs="Arial"/>
              </w:rPr>
            </w:pPr>
          </w:p>
        </w:tc>
      </w:tr>
      <w:tr w:rsidR="00F93BD1" w:rsidRPr="00E402A8"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19 </w:t>
            </w:r>
          </w:p>
          <w:p w:rsidR="00F93BD1" w:rsidRPr="00E402A8" w:rsidRDefault="00F93BD1" w:rsidP="006D5FBC">
            <w:pPr>
              <w:jc w:val="center"/>
              <w:rPr>
                <w:rFonts w:cs="Arial"/>
                <w:b/>
              </w:rPr>
            </w:pPr>
            <w:r>
              <w:rPr>
                <w:rFonts w:cs="Arial"/>
                <w:b/>
              </w:rPr>
              <w:t>Erteilung und Verweigerung eines Züchterrechts</w:t>
            </w:r>
          </w:p>
          <w:p w:rsidR="00F93BD1" w:rsidRPr="00E402A8" w:rsidRDefault="00F93BD1" w:rsidP="006D5FBC">
            <w:pPr>
              <w:rPr>
                <w:rFonts w:cs="Arial"/>
              </w:rPr>
            </w:pPr>
          </w:p>
          <w:p w:rsidR="00F93BD1" w:rsidRPr="00E402A8" w:rsidRDefault="00F93BD1" w:rsidP="006D5FBC">
            <w:pPr>
              <w:widowControl w:val="0"/>
              <w:tabs>
                <w:tab w:val="left" w:pos="53"/>
              </w:tabs>
              <w:rPr>
                <w:rFonts w:cs="Arial"/>
              </w:rPr>
            </w:pPr>
            <w:r w:rsidRPr="00E402A8">
              <w:rPr>
                <w:rFonts w:cs="Arial"/>
              </w:rPr>
              <w:t xml:space="preserve">2) </w:t>
            </w:r>
          </w:p>
          <w:p w:rsidR="00F93BD1" w:rsidRPr="00E402A8" w:rsidRDefault="00F93BD1" w:rsidP="006D5FBC">
            <w:pPr>
              <w:rPr>
                <w:rFonts w:cs="Arial"/>
              </w:rPr>
            </w:pPr>
          </w:p>
          <w:p w:rsidR="00F93BD1" w:rsidRPr="00E402A8" w:rsidRDefault="00F93BD1" w:rsidP="006D5FBC">
            <w:pPr>
              <w:rPr>
                <w:rFonts w:cs="Arial"/>
              </w:rPr>
            </w:pPr>
          </w:p>
          <w:p w:rsidR="00F93BD1" w:rsidRPr="00E402A8" w:rsidRDefault="00F93BD1" w:rsidP="006D5FBC">
            <w:pPr>
              <w:rPr>
                <w:rFonts w:cs="Arial"/>
              </w:rPr>
            </w:pPr>
            <w:r>
              <w:rPr>
                <w:rFonts w:cs="Arial"/>
              </w:rPr>
              <w:t xml:space="preserve">6) </w:t>
            </w:r>
            <w:r w:rsidRPr="00E402A8">
              <w:rPr>
                <w:rFonts w:cs="Arial"/>
              </w:rPr>
              <w:t>a)</w:t>
            </w:r>
            <w:r w:rsidRPr="00E402A8">
              <w:rPr>
                <w:rFonts w:cs="Arial"/>
              </w:rPr>
              <w:tab/>
            </w:r>
          </w:p>
          <w:p w:rsidR="00F93BD1" w:rsidRPr="00E402A8" w:rsidRDefault="00F93BD1" w:rsidP="006D5FBC">
            <w:pPr>
              <w:rPr>
                <w:rFonts w:cs="Arial"/>
              </w:rPr>
            </w:pPr>
          </w:p>
          <w:p w:rsidR="00F93BD1" w:rsidRPr="00E402A8" w:rsidRDefault="00F93BD1"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19 </w:t>
            </w:r>
          </w:p>
          <w:p w:rsidR="00F93BD1" w:rsidRPr="00E402A8" w:rsidRDefault="00F93BD1" w:rsidP="006D5FBC">
            <w:pPr>
              <w:jc w:val="center"/>
              <w:rPr>
                <w:rFonts w:cs="Arial"/>
                <w:b/>
              </w:rPr>
            </w:pPr>
            <w:r>
              <w:rPr>
                <w:rFonts w:cs="Arial"/>
                <w:b/>
              </w:rPr>
              <w:t>Erteilung und Verweigerung eines Züchterrechts</w:t>
            </w:r>
          </w:p>
          <w:p w:rsidR="00F93BD1" w:rsidRPr="00E402A8" w:rsidRDefault="00F93BD1" w:rsidP="006D5FBC">
            <w:pPr>
              <w:rPr>
                <w:rFonts w:cs="Arial"/>
              </w:rPr>
            </w:pPr>
          </w:p>
          <w:p w:rsidR="00F93BD1" w:rsidRPr="00E402A8" w:rsidRDefault="00F93BD1" w:rsidP="006D5FBC">
            <w:pPr>
              <w:widowControl w:val="0"/>
              <w:tabs>
                <w:tab w:val="left" w:pos="53"/>
              </w:tabs>
              <w:rPr>
                <w:rFonts w:cs="Arial"/>
              </w:rPr>
            </w:pPr>
            <w:r w:rsidRPr="00E402A8">
              <w:rPr>
                <w:rFonts w:cs="Arial"/>
              </w:rPr>
              <w:t xml:space="preserve">2) </w:t>
            </w:r>
            <w:r>
              <w:rPr>
                <w:rFonts w:cs="Arial"/>
              </w:rPr>
              <w:t xml:space="preserve">Das ARIPO-Büro muss in </w:t>
            </w:r>
            <w:proofErr w:type="spellStart"/>
            <w:r>
              <w:rPr>
                <w:rFonts w:cs="Arial"/>
              </w:rPr>
              <w:t>bezug</w:t>
            </w:r>
            <w:proofErr w:type="spellEnd"/>
            <w:r>
              <w:rPr>
                <w:rFonts w:cs="Arial"/>
              </w:rPr>
              <w:t xml:space="preserve"> auf</w:t>
            </w:r>
            <w:r w:rsidRPr="00E402A8">
              <w:rPr>
                <w:rFonts w:cs="Arial"/>
              </w:rPr>
              <w:t xml:space="preserve"> </w:t>
            </w:r>
            <w:r>
              <w:rPr>
                <w:rFonts w:cs="Arial"/>
              </w:rPr>
              <w:t>jedes erteilte Züchterrecht</w:t>
            </w:r>
            <w:r w:rsidRPr="00E402A8">
              <w:rPr>
                <w:rFonts w:cs="Arial"/>
              </w:rPr>
              <w:t>– […]</w:t>
            </w:r>
          </w:p>
          <w:p w:rsidR="00F93BD1" w:rsidRPr="00E402A8" w:rsidRDefault="00F93BD1" w:rsidP="006D5FBC">
            <w:pPr>
              <w:rPr>
                <w:rFonts w:cs="Arial"/>
              </w:rPr>
            </w:pPr>
          </w:p>
          <w:p w:rsidR="00F93BD1" w:rsidRPr="00E402A8" w:rsidRDefault="00F93BD1" w:rsidP="006D5FBC">
            <w:pPr>
              <w:rPr>
                <w:rFonts w:cs="Arial"/>
              </w:rPr>
            </w:pPr>
          </w:p>
          <w:p w:rsidR="00F93BD1" w:rsidRPr="00E402A8" w:rsidRDefault="00F93BD1" w:rsidP="006D5FBC">
            <w:pPr>
              <w:rPr>
                <w:rFonts w:cs="Arial"/>
              </w:rPr>
            </w:pPr>
            <w:r>
              <w:rPr>
                <w:rFonts w:cs="Arial"/>
              </w:rPr>
              <w:t xml:space="preserve">6)   Das ARIPO-Büro darf nicht </w:t>
            </w:r>
            <w:r w:rsidRPr="00E402A8">
              <w:rPr>
                <w:rFonts w:cs="Arial"/>
              </w:rPr>
              <w:t>–</w:t>
            </w:r>
          </w:p>
          <w:p w:rsidR="00F93BD1" w:rsidRPr="00E402A8" w:rsidRDefault="00F93BD1" w:rsidP="006D5FBC">
            <w:pPr>
              <w:rPr>
                <w:rFonts w:cs="Arial"/>
              </w:rPr>
            </w:pPr>
          </w:p>
          <w:p w:rsidR="00F93BD1" w:rsidRPr="00E402A8" w:rsidRDefault="00F93BD1" w:rsidP="006D5FBC">
            <w:pPr>
              <w:contextualSpacing/>
              <w:rPr>
                <w:rFonts w:cs="Arial"/>
              </w:rPr>
            </w:pPr>
            <w:r>
              <w:rPr>
                <w:rFonts w:cs="Arial"/>
              </w:rPr>
              <w:t xml:space="preserve">a)   die Erteilung eines Züchterrechts auf Grundlage der Tatsache verweigern, </w:t>
            </w:r>
            <w:proofErr w:type="spellStart"/>
            <w:r>
              <w:rPr>
                <w:rFonts w:cs="Arial"/>
              </w:rPr>
              <w:t>daß</w:t>
            </w:r>
            <w:proofErr w:type="spellEnd"/>
            <w:r>
              <w:rPr>
                <w:rFonts w:cs="Arial"/>
              </w:rPr>
              <w:t xml:space="preserve"> in einem anderen Staat oder bei einer anderen zwischenstaatlichen Organisation für dieselbe Sorte kein Schutz beantragt wurde, oder </w:t>
            </w:r>
            <w:proofErr w:type="spellStart"/>
            <w:r>
              <w:rPr>
                <w:rFonts w:cs="Arial"/>
              </w:rPr>
              <w:t>daß</w:t>
            </w:r>
            <w:proofErr w:type="spellEnd"/>
            <w:r>
              <w:rPr>
                <w:rFonts w:cs="Arial"/>
              </w:rPr>
              <w:t xml:space="preserve"> ein solcher Schutz verweigert wurde</w:t>
            </w:r>
            <w:r w:rsidRPr="00E402A8">
              <w:rPr>
                <w:rFonts w:cs="Arial"/>
              </w:rPr>
              <w:t xml:space="preserve">; </w:t>
            </w:r>
            <w:r>
              <w:rPr>
                <w:rFonts w:cs="Arial"/>
              </w:rPr>
              <w:t>oder</w:t>
            </w:r>
          </w:p>
          <w:p w:rsidR="00F93BD1" w:rsidRPr="00E402A8" w:rsidRDefault="00F93BD1" w:rsidP="006D5FBC">
            <w:pPr>
              <w:rPr>
                <w:rFonts w:cs="Arial"/>
              </w:rPr>
            </w:pPr>
          </w:p>
          <w:p w:rsidR="00F93BD1" w:rsidRPr="00E402A8" w:rsidRDefault="00F93BD1" w:rsidP="006D5FBC">
            <w:pPr>
              <w:rPr>
                <w:rFonts w:cs="Arial"/>
              </w:rPr>
            </w:pPr>
            <w:r w:rsidRPr="00E402A8">
              <w:rPr>
                <w:rFonts w:cs="Arial"/>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19 </w:t>
            </w:r>
          </w:p>
          <w:p w:rsidR="00F93BD1" w:rsidRPr="00E402A8" w:rsidRDefault="00F93BD1" w:rsidP="006D5FBC">
            <w:pPr>
              <w:jc w:val="center"/>
              <w:rPr>
                <w:rFonts w:cs="Arial"/>
                <w:b/>
              </w:rPr>
            </w:pPr>
            <w:r>
              <w:rPr>
                <w:rFonts w:cs="Arial"/>
                <w:b/>
              </w:rPr>
              <w:t>Erteilung und Verweigerung eines Züchterrechts</w:t>
            </w:r>
          </w:p>
          <w:p w:rsidR="00F93BD1" w:rsidRPr="00E402A8" w:rsidRDefault="00F93BD1" w:rsidP="006D5FBC">
            <w:pPr>
              <w:rPr>
                <w:rFonts w:cs="Arial"/>
              </w:rPr>
            </w:pPr>
          </w:p>
          <w:p w:rsidR="00F93BD1" w:rsidRPr="00E402A8" w:rsidRDefault="00F93BD1" w:rsidP="006D5FBC">
            <w:pPr>
              <w:widowControl w:val="0"/>
              <w:tabs>
                <w:tab w:val="left" w:pos="53"/>
              </w:tabs>
              <w:rPr>
                <w:rFonts w:cs="Arial"/>
              </w:rPr>
            </w:pPr>
            <w:r w:rsidRPr="00E402A8">
              <w:rPr>
                <w:rFonts w:cs="Arial"/>
              </w:rPr>
              <w:t xml:space="preserve">2) </w:t>
            </w:r>
            <w:r>
              <w:rPr>
                <w:rFonts w:cs="Arial"/>
              </w:rPr>
              <w:t>Vorbehaltlich</w:t>
            </w:r>
            <w:r w:rsidRPr="00E402A8">
              <w:rPr>
                <w:rFonts w:cs="Arial"/>
              </w:rPr>
              <w:t xml:space="preserve"> </w:t>
            </w:r>
            <w:r>
              <w:rPr>
                <w:rFonts w:cs="Arial"/>
              </w:rPr>
              <w:t>Artikel</w:t>
            </w:r>
            <w:r w:rsidRPr="00E402A8">
              <w:rPr>
                <w:rFonts w:cs="Arial"/>
              </w:rPr>
              <w:t xml:space="preserve"> 4</w:t>
            </w:r>
            <w:r>
              <w:rPr>
                <w:rFonts w:cs="Arial"/>
              </w:rPr>
              <w:t xml:space="preserve"> Absatz </w:t>
            </w:r>
            <w:r w:rsidRPr="00E402A8">
              <w:rPr>
                <w:rFonts w:cs="Arial"/>
              </w:rPr>
              <w:t>1</w:t>
            </w:r>
            <w:r>
              <w:rPr>
                <w:rFonts w:cs="Arial"/>
              </w:rPr>
              <w:t>, muss</w:t>
            </w:r>
            <w:r w:rsidRPr="00E402A8">
              <w:rPr>
                <w:rFonts w:cs="Arial"/>
              </w:rPr>
              <w:t xml:space="preserve"> </w:t>
            </w:r>
            <w:r>
              <w:rPr>
                <w:rFonts w:cs="Arial"/>
              </w:rPr>
              <w:t xml:space="preserve">das ARIPO-Büro in </w:t>
            </w:r>
            <w:proofErr w:type="spellStart"/>
            <w:r>
              <w:rPr>
                <w:rFonts w:cs="Arial"/>
              </w:rPr>
              <w:t>bezug</w:t>
            </w:r>
            <w:proofErr w:type="spellEnd"/>
            <w:r>
              <w:rPr>
                <w:rFonts w:cs="Arial"/>
              </w:rPr>
              <w:t xml:space="preserve"> auf</w:t>
            </w:r>
            <w:r w:rsidRPr="00E402A8">
              <w:rPr>
                <w:rFonts w:cs="Arial"/>
              </w:rPr>
              <w:t xml:space="preserve"> </w:t>
            </w:r>
            <w:r>
              <w:rPr>
                <w:rFonts w:cs="Arial"/>
              </w:rPr>
              <w:t>jedes erteilte Züchterrecht</w:t>
            </w:r>
            <w:r w:rsidRPr="00E402A8">
              <w:rPr>
                <w:rFonts w:cs="Arial"/>
              </w:rPr>
              <w:t>: […]</w:t>
            </w:r>
          </w:p>
          <w:p w:rsidR="00F93BD1" w:rsidRPr="00E402A8" w:rsidRDefault="00F93BD1" w:rsidP="006D5FBC">
            <w:pPr>
              <w:rPr>
                <w:rFonts w:cs="Arial"/>
              </w:rPr>
            </w:pPr>
          </w:p>
          <w:p w:rsidR="00F93BD1" w:rsidRPr="00E402A8" w:rsidRDefault="00F93BD1" w:rsidP="006D5FBC">
            <w:pPr>
              <w:rPr>
                <w:rFonts w:cs="Arial"/>
              </w:rPr>
            </w:pPr>
            <w:r>
              <w:rPr>
                <w:rFonts w:cs="Arial"/>
              </w:rPr>
              <w:t>6)   Das ARIPO-Büro darf nicht</w:t>
            </w:r>
            <w:r w:rsidRPr="00E402A8">
              <w:rPr>
                <w:rFonts w:cs="Arial"/>
              </w:rPr>
              <w:t>:</w:t>
            </w:r>
          </w:p>
          <w:p w:rsidR="00F93BD1" w:rsidRPr="00E402A8" w:rsidRDefault="00F93BD1" w:rsidP="006D5FBC">
            <w:pPr>
              <w:rPr>
                <w:rFonts w:cs="Arial"/>
              </w:rPr>
            </w:pPr>
          </w:p>
          <w:p w:rsidR="00F93BD1" w:rsidRPr="00E402A8" w:rsidRDefault="00F93BD1" w:rsidP="006D5FBC">
            <w:pPr>
              <w:contextualSpacing/>
              <w:rPr>
                <w:rFonts w:cs="Arial"/>
              </w:rPr>
            </w:pPr>
            <w:r>
              <w:rPr>
                <w:rFonts w:cs="Arial"/>
              </w:rPr>
              <w:t xml:space="preserve">a)   die Erteilung eines Züchterrechts auf Grundlage der Tatsache verweigern, </w:t>
            </w:r>
            <w:proofErr w:type="spellStart"/>
            <w:r>
              <w:rPr>
                <w:rFonts w:cs="Arial"/>
              </w:rPr>
              <w:t>daß</w:t>
            </w:r>
            <w:proofErr w:type="spellEnd"/>
            <w:r>
              <w:rPr>
                <w:rFonts w:cs="Arial"/>
              </w:rPr>
              <w:t xml:space="preserve"> in einem anderen Staat außerhalb der Hoheitsgebiete der Vertragsstaaten oder bei einer anderen zwischenstaatlichen Organisation für dieselbe Sorte kein Schutz beantragt wurde, oder </w:t>
            </w:r>
            <w:proofErr w:type="spellStart"/>
            <w:r>
              <w:rPr>
                <w:rFonts w:cs="Arial"/>
              </w:rPr>
              <w:t>daß</w:t>
            </w:r>
            <w:proofErr w:type="spellEnd"/>
            <w:r>
              <w:rPr>
                <w:rFonts w:cs="Arial"/>
              </w:rPr>
              <w:t xml:space="preserve"> ein solcher Schutz verweigert wurde</w:t>
            </w:r>
            <w:r w:rsidRPr="00E402A8">
              <w:rPr>
                <w:rFonts w:cs="Arial"/>
              </w:rPr>
              <w:t xml:space="preserve">; </w:t>
            </w:r>
            <w:r>
              <w:rPr>
                <w:rFonts w:cs="Arial"/>
              </w:rPr>
              <w:t>oder</w:t>
            </w:r>
          </w:p>
          <w:p w:rsidR="00F93BD1" w:rsidRPr="00E402A8" w:rsidRDefault="00F93BD1" w:rsidP="006D5FBC">
            <w:pPr>
              <w:rPr>
                <w:rFonts w:cs="Arial"/>
              </w:rPr>
            </w:pPr>
          </w:p>
          <w:p w:rsidR="00F93BD1" w:rsidRPr="00E402A8" w:rsidRDefault="00F93BD1" w:rsidP="006D5FBC">
            <w:pPr>
              <w:rPr>
                <w:rFonts w:cs="Arial"/>
              </w:rPr>
            </w:pPr>
            <w:r w:rsidRPr="00E402A8">
              <w:rPr>
                <w:rFonts w:cs="Arial"/>
              </w:rPr>
              <w:t>[…]</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24 </w:t>
            </w:r>
            <w:r w:rsidRPr="00E402A8">
              <w:rPr>
                <w:rFonts w:cs="Arial"/>
                <w:b/>
              </w:rPr>
              <w:br/>
            </w:r>
            <w:r>
              <w:rPr>
                <w:rFonts w:cs="Arial"/>
                <w:b/>
              </w:rPr>
              <w:t>Beschränkungen in der Ausübung des Züchterrechts</w:t>
            </w:r>
          </w:p>
          <w:p w:rsidR="00F93BD1" w:rsidRPr="00E402A8" w:rsidRDefault="00F93BD1" w:rsidP="006D5FBC">
            <w:pPr>
              <w:pStyle w:val="inf61normal"/>
              <w:widowControl w:val="0"/>
              <w:tabs>
                <w:tab w:val="clear" w:pos="-31680"/>
              </w:tabs>
              <w:ind w:left="90"/>
              <w:rPr>
                <w:rFonts w:ascii="Arial" w:hAnsi="Arial" w:cs="Arial"/>
                <w:color w:val="auto"/>
                <w:sz w:val="20"/>
                <w:lang w:val="de-DE"/>
              </w:rPr>
            </w:pPr>
            <w:r>
              <w:rPr>
                <w:rFonts w:ascii="Arial" w:hAnsi="Arial" w:cs="Arial"/>
                <w:color w:val="auto"/>
                <w:sz w:val="20"/>
                <w:lang w:val="de-DE"/>
              </w:rPr>
              <w:t>1)</w:t>
            </w:r>
          </w:p>
          <w:p w:rsidR="00F93BD1" w:rsidRPr="00E402A8" w:rsidRDefault="00F93BD1" w:rsidP="006D5FBC">
            <w:pPr>
              <w:pStyle w:val="inf61normal"/>
              <w:widowControl w:val="0"/>
              <w:rPr>
                <w:rFonts w:ascii="Arial" w:hAnsi="Arial" w:cs="Arial"/>
                <w:color w:val="auto"/>
                <w:sz w:val="20"/>
                <w:lang w:val="de-DE"/>
              </w:rPr>
            </w:pPr>
          </w:p>
          <w:p w:rsidR="00F93BD1" w:rsidRPr="00E402A8" w:rsidRDefault="00F93BD1" w:rsidP="006D5FBC">
            <w:pPr>
              <w:pStyle w:val="inf61normal"/>
              <w:widowControl w:val="0"/>
              <w:rPr>
                <w:rFonts w:ascii="Arial" w:hAnsi="Arial" w:cs="Arial"/>
                <w:color w:val="auto"/>
                <w:sz w:val="20"/>
                <w:lang w:val="de-DE"/>
              </w:rPr>
            </w:pPr>
          </w:p>
          <w:p w:rsidR="00F93BD1" w:rsidRPr="00E402A8" w:rsidRDefault="00F93BD1" w:rsidP="006D5FBC">
            <w:pPr>
              <w:pStyle w:val="inf61normal"/>
              <w:widowControl w:val="0"/>
              <w:rPr>
                <w:rFonts w:ascii="Arial" w:hAnsi="Arial" w:cs="Arial"/>
                <w:color w:val="auto"/>
                <w:sz w:val="20"/>
                <w:lang w:val="de-DE"/>
              </w:rPr>
            </w:pPr>
          </w:p>
          <w:p w:rsidR="00F93BD1" w:rsidRPr="00E402A8" w:rsidRDefault="00F93BD1" w:rsidP="006D5FBC">
            <w:pPr>
              <w:pStyle w:val="inf61normal"/>
              <w:widowControl w:val="0"/>
              <w:rPr>
                <w:rFonts w:ascii="Arial" w:hAnsi="Arial" w:cs="Arial"/>
                <w:color w:val="auto"/>
                <w:sz w:val="20"/>
                <w:lang w:val="de-DE"/>
              </w:rPr>
            </w:pPr>
          </w:p>
          <w:p w:rsidR="00F93BD1" w:rsidRPr="00E402A8" w:rsidRDefault="00F93BD1" w:rsidP="006D5FBC">
            <w:pPr>
              <w:pStyle w:val="inf61normal"/>
              <w:widowControl w:val="0"/>
              <w:rPr>
                <w:rFonts w:ascii="Arial" w:hAnsi="Arial" w:cs="Arial"/>
                <w:color w:val="auto"/>
                <w:sz w:val="20"/>
                <w:lang w:val="de-DE"/>
              </w:rPr>
            </w:pPr>
          </w:p>
          <w:p w:rsidR="00F93BD1" w:rsidRPr="00E402A8" w:rsidRDefault="00F93BD1" w:rsidP="006D5FBC">
            <w:pPr>
              <w:pStyle w:val="inf61normal"/>
              <w:widowControl w:val="0"/>
              <w:rPr>
                <w:rFonts w:ascii="Arial" w:hAnsi="Arial" w:cs="Arial"/>
                <w:color w:val="auto"/>
                <w:sz w:val="20"/>
                <w:lang w:val="de-DE"/>
              </w:rPr>
            </w:pPr>
          </w:p>
          <w:p w:rsidR="00F93BD1" w:rsidRPr="00E402A8" w:rsidRDefault="00F93BD1" w:rsidP="006D5FBC">
            <w:pPr>
              <w:pStyle w:val="inf61normal"/>
              <w:widowControl w:val="0"/>
              <w:rPr>
                <w:rFonts w:ascii="Arial" w:hAnsi="Arial" w:cs="Arial"/>
                <w:color w:val="auto"/>
                <w:sz w:val="20"/>
                <w:lang w:val="de-DE"/>
              </w:rPr>
            </w:pPr>
          </w:p>
          <w:p w:rsidR="00F93BD1" w:rsidRPr="00E402A8" w:rsidRDefault="00F93BD1" w:rsidP="006D5FBC">
            <w:pPr>
              <w:pStyle w:val="inf61normal"/>
              <w:widowControl w:val="0"/>
              <w:rPr>
                <w:rFonts w:ascii="Arial" w:hAnsi="Arial" w:cs="Arial"/>
                <w:color w:val="auto"/>
                <w:sz w:val="20"/>
                <w:lang w:val="de-DE"/>
              </w:rPr>
            </w:pPr>
          </w:p>
          <w:p w:rsidR="00F93BD1" w:rsidRPr="00E402A8" w:rsidRDefault="00F93BD1" w:rsidP="006D5FBC">
            <w:pPr>
              <w:widowControl w:val="0"/>
              <w:rPr>
                <w:rFonts w:cs="Arial"/>
              </w:rPr>
            </w:pPr>
            <w:r>
              <w:rPr>
                <w:rFonts w:cs="Arial"/>
              </w:rPr>
              <w:t>2)</w:t>
            </w:r>
          </w:p>
          <w:p w:rsidR="00F93BD1" w:rsidRPr="00E402A8" w:rsidRDefault="00F93BD1" w:rsidP="006D5FBC">
            <w:pPr>
              <w:pStyle w:val="inf61normal"/>
              <w:widowControl w:val="0"/>
              <w:rPr>
                <w:rFonts w:ascii="Arial" w:hAnsi="Arial" w:cs="Arial"/>
                <w:color w:val="auto"/>
                <w:sz w:val="20"/>
                <w:lang w:val="de-DE"/>
              </w:rPr>
            </w:pPr>
          </w:p>
          <w:p w:rsidR="00F93BD1" w:rsidRPr="00E402A8" w:rsidRDefault="00F93BD1"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24 </w:t>
            </w:r>
            <w:r w:rsidRPr="00E402A8">
              <w:rPr>
                <w:rFonts w:cs="Arial"/>
                <w:b/>
              </w:rPr>
              <w:br/>
            </w:r>
            <w:r>
              <w:rPr>
                <w:rFonts w:cs="Arial"/>
                <w:b/>
              </w:rPr>
              <w:t>Beschränkungen in der Ausübung des Züchterrechts</w:t>
            </w:r>
          </w:p>
          <w:p w:rsidR="00F93BD1" w:rsidRPr="00E402A8" w:rsidRDefault="00F93BD1" w:rsidP="006D5FBC">
            <w:pPr>
              <w:rPr>
                <w:rFonts w:cs="Arial"/>
                <w:b/>
              </w:rPr>
            </w:pPr>
          </w:p>
          <w:p w:rsidR="00F93BD1" w:rsidRPr="00E402A8" w:rsidRDefault="00F93BD1" w:rsidP="006D5FBC">
            <w:pPr>
              <w:pStyle w:val="inf61normal"/>
              <w:widowControl w:val="0"/>
              <w:rPr>
                <w:rFonts w:ascii="Arial" w:hAnsi="Arial" w:cs="Arial"/>
                <w:color w:val="auto"/>
                <w:sz w:val="20"/>
                <w:lang w:val="de-DE"/>
              </w:rPr>
            </w:pPr>
            <w:r w:rsidRPr="00E402A8">
              <w:rPr>
                <w:rFonts w:ascii="Arial" w:hAnsi="Arial" w:cs="Arial"/>
                <w:color w:val="auto"/>
                <w:sz w:val="20"/>
                <w:lang w:val="de-DE"/>
              </w:rPr>
              <w:t xml:space="preserve">1) </w:t>
            </w:r>
            <w:r>
              <w:rPr>
                <w:rFonts w:ascii="Arial" w:hAnsi="Arial" w:cs="Arial"/>
                <w:color w:val="auto"/>
                <w:sz w:val="20"/>
                <w:lang w:val="de-DE"/>
              </w:rPr>
              <w:t>Zwangslizenzen</w:t>
            </w:r>
            <w:r w:rsidRPr="00E402A8">
              <w:rPr>
                <w:rFonts w:ascii="Arial" w:hAnsi="Arial" w:cs="Arial"/>
                <w:color w:val="auto"/>
                <w:sz w:val="20"/>
                <w:lang w:val="de-DE"/>
              </w:rPr>
              <w:t xml:space="preserve"> </w:t>
            </w:r>
            <w:r>
              <w:rPr>
                <w:rFonts w:ascii="Arial" w:hAnsi="Arial" w:cs="Arial"/>
                <w:color w:val="auto"/>
                <w:sz w:val="20"/>
                <w:lang w:val="de-DE"/>
              </w:rPr>
              <w:t>werden einem Antragsteller oder einem Vertragsstaat</w:t>
            </w:r>
            <w:r w:rsidRPr="00E402A8">
              <w:rPr>
                <w:rFonts w:ascii="Arial" w:hAnsi="Arial" w:cs="Arial"/>
                <w:color w:val="auto"/>
                <w:sz w:val="20"/>
                <w:lang w:val="de-DE"/>
              </w:rPr>
              <w:t xml:space="preserve"> </w:t>
            </w:r>
            <w:r>
              <w:rPr>
                <w:rFonts w:ascii="Arial" w:hAnsi="Arial" w:cs="Arial"/>
                <w:color w:val="auto"/>
                <w:sz w:val="20"/>
                <w:lang w:val="de-DE"/>
              </w:rPr>
              <w:t>vom ARIPO-Büro</w:t>
            </w:r>
            <w:r w:rsidRPr="00E402A8">
              <w:rPr>
                <w:rFonts w:ascii="Arial" w:hAnsi="Arial" w:cs="Arial"/>
                <w:color w:val="auto"/>
                <w:sz w:val="20"/>
                <w:lang w:val="de-DE"/>
              </w:rPr>
              <w:t xml:space="preserve"> </w:t>
            </w:r>
            <w:r>
              <w:rPr>
                <w:rFonts w:ascii="Arial" w:hAnsi="Arial" w:cs="Arial"/>
                <w:color w:val="auto"/>
                <w:sz w:val="20"/>
                <w:lang w:val="de-DE"/>
              </w:rPr>
              <w:t>auf Antrag einer solchen dritten Partei oder eines solchen Vertragsstaates erteilt</w:t>
            </w:r>
            <w:r w:rsidRPr="00E402A8">
              <w:rPr>
                <w:rFonts w:ascii="Arial" w:hAnsi="Arial" w:cs="Arial"/>
                <w:color w:val="auto"/>
                <w:sz w:val="20"/>
                <w:lang w:val="de-DE"/>
              </w:rPr>
              <w:t xml:space="preserve">, </w:t>
            </w:r>
            <w:r>
              <w:rPr>
                <w:rFonts w:ascii="Arial" w:hAnsi="Arial" w:cs="Arial"/>
                <w:color w:val="auto"/>
                <w:sz w:val="20"/>
                <w:lang w:val="de-DE"/>
              </w:rPr>
              <w:t>jedoch nur</w:t>
            </w:r>
            <w:r w:rsidRPr="00E402A8">
              <w:rPr>
                <w:rFonts w:ascii="Arial" w:hAnsi="Arial" w:cs="Arial"/>
                <w:color w:val="auto"/>
                <w:sz w:val="20"/>
                <w:lang w:val="de-DE"/>
              </w:rPr>
              <w:t xml:space="preserve"> </w:t>
            </w:r>
            <w:r w:rsidRPr="00172F49">
              <w:rPr>
                <w:rFonts w:ascii="Arial" w:hAnsi="Arial" w:cs="Arial"/>
                <w:color w:val="auto"/>
                <w:sz w:val="20"/>
                <w:lang w:val="de-DE"/>
              </w:rPr>
              <w:t>aus Gründen des öffentlichen Interesses</w:t>
            </w:r>
            <w:r>
              <w:rPr>
                <w:rFonts w:ascii="Arial" w:hAnsi="Arial" w:cs="Arial"/>
                <w:color w:val="auto"/>
                <w:sz w:val="20"/>
                <w:lang w:val="de-DE"/>
              </w:rPr>
              <w:t xml:space="preserve"> und nach </w:t>
            </w:r>
            <w:r w:rsidRPr="00172F49">
              <w:rPr>
                <w:rFonts w:ascii="Arial" w:hAnsi="Arial" w:cs="Arial"/>
                <w:color w:val="auto"/>
                <w:sz w:val="20"/>
                <w:lang w:val="de-DE"/>
              </w:rPr>
              <w:t xml:space="preserve">Rücksprache mit </w:t>
            </w:r>
            <w:r>
              <w:rPr>
                <w:rFonts w:ascii="Arial" w:hAnsi="Arial" w:cs="Arial"/>
                <w:color w:val="auto"/>
                <w:sz w:val="20"/>
                <w:lang w:val="de-DE"/>
              </w:rPr>
              <w:t>dem</w:t>
            </w:r>
            <w:r w:rsidRPr="00E402A8">
              <w:rPr>
                <w:rFonts w:ascii="Arial" w:hAnsi="Arial" w:cs="Arial"/>
                <w:color w:val="auto"/>
                <w:sz w:val="20"/>
                <w:lang w:val="de-DE"/>
              </w:rPr>
              <w:t xml:space="preserve"> Verwaltungsrat </w:t>
            </w:r>
            <w:r>
              <w:rPr>
                <w:rFonts w:ascii="Arial" w:hAnsi="Arial" w:cs="Arial"/>
                <w:color w:val="auto"/>
                <w:sz w:val="20"/>
                <w:lang w:val="de-DE"/>
              </w:rPr>
              <w:t>für den Sortenschutz</w:t>
            </w:r>
            <w:r w:rsidRPr="00E402A8">
              <w:rPr>
                <w:rFonts w:ascii="Arial" w:hAnsi="Arial" w:cs="Arial"/>
                <w:color w:val="auto"/>
                <w:sz w:val="20"/>
                <w:lang w:val="de-DE"/>
              </w:rPr>
              <w:t>.</w:t>
            </w:r>
          </w:p>
          <w:p w:rsidR="00F93BD1" w:rsidRPr="00E402A8" w:rsidRDefault="00F93BD1" w:rsidP="006D5FBC">
            <w:pPr>
              <w:pStyle w:val="inf61normal"/>
              <w:widowControl w:val="0"/>
              <w:rPr>
                <w:rFonts w:ascii="Arial" w:hAnsi="Arial" w:cs="Arial"/>
                <w:color w:val="auto"/>
                <w:sz w:val="20"/>
                <w:lang w:val="de-DE"/>
              </w:rPr>
            </w:pPr>
          </w:p>
          <w:p w:rsidR="00F93BD1" w:rsidRPr="00E402A8" w:rsidRDefault="00F93BD1" w:rsidP="006D5FBC">
            <w:pPr>
              <w:pStyle w:val="inf61normal"/>
              <w:widowControl w:val="0"/>
              <w:rPr>
                <w:rFonts w:ascii="Arial" w:hAnsi="Arial" w:cs="Arial"/>
                <w:color w:val="auto"/>
                <w:sz w:val="20"/>
                <w:lang w:val="de-DE"/>
              </w:rPr>
            </w:pPr>
            <w:r>
              <w:rPr>
                <w:rFonts w:ascii="Arial" w:hAnsi="Arial" w:cs="Arial"/>
                <w:color w:val="auto"/>
                <w:sz w:val="20"/>
                <w:lang w:val="de-DE"/>
              </w:rPr>
              <w:t>2) Das ARIPO-Büro</w:t>
            </w:r>
            <w:r w:rsidRPr="00E402A8">
              <w:rPr>
                <w:rFonts w:ascii="Arial" w:hAnsi="Arial" w:cs="Arial"/>
                <w:color w:val="auto"/>
                <w:sz w:val="20"/>
                <w:lang w:val="de-DE"/>
              </w:rPr>
              <w:t xml:space="preserve"> </w:t>
            </w:r>
            <w:r>
              <w:rPr>
                <w:rFonts w:ascii="Arial" w:hAnsi="Arial" w:cs="Arial"/>
                <w:color w:val="auto"/>
                <w:sz w:val="20"/>
                <w:lang w:val="de-DE"/>
              </w:rPr>
              <w:t>legt bei Erteilung einer Zwangslizenz gemäß</w:t>
            </w:r>
            <w:r w:rsidRPr="00E402A8">
              <w:rPr>
                <w:rFonts w:ascii="Arial" w:hAnsi="Arial" w:cs="Arial"/>
                <w:color w:val="auto"/>
                <w:sz w:val="20"/>
                <w:lang w:val="de-DE"/>
              </w:rPr>
              <w:t xml:space="preserve"> </w:t>
            </w:r>
            <w:r>
              <w:rPr>
                <w:rFonts w:ascii="Arial" w:hAnsi="Arial" w:cs="Arial"/>
                <w:color w:val="auto"/>
                <w:sz w:val="20"/>
                <w:lang w:val="de-DE"/>
              </w:rPr>
              <w:t>Absatz</w:t>
            </w:r>
            <w:r w:rsidRPr="00E402A8">
              <w:rPr>
                <w:rFonts w:ascii="Arial" w:hAnsi="Arial" w:cs="Arial"/>
                <w:color w:val="auto"/>
                <w:sz w:val="20"/>
                <w:lang w:val="de-DE"/>
              </w:rPr>
              <w:t xml:space="preserve"> 1</w:t>
            </w:r>
            <w:r>
              <w:rPr>
                <w:rFonts w:ascii="Arial" w:hAnsi="Arial" w:cs="Arial"/>
                <w:color w:val="auto"/>
                <w:sz w:val="20"/>
                <w:lang w:val="de-DE"/>
              </w:rPr>
              <w:t xml:space="preserve">) die </w:t>
            </w:r>
            <w:proofErr w:type="spellStart"/>
            <w:r>
              <w:rPr>
                <w:rFonts w:ascii="Arial" w:hAnsi="Arial" w:cs="Arial"/>
                <w:color w:val="auto"/>
                <w:sz w:val="20"/>
                <w:lang w:val="de-DE"/>
              </w:rPr>
              <w:t>erfaßten</w:t>
            </w:r>
            <w:proofErr w:type="spellEnd"/>
            <w:r>
              <w:rPr>
                <w:rFonts w:ascii="Arial" w:hAnsi="Arial" w:cs="Arial"/>
                <w:color w:val="auto"/>
                <w:sz w:val="20"/>
                <w:lang w:val="de-DE"/>
              </w:rPr>
              <w:t xml:space="preserve"> Handlungen </w:t>
            </w:r>
            <w:r w:rsidRPr="00E402A8">
              <w:rPr>
                <w:rFonts w:ascii="Arial" w:hAnsi="Arial" w:cs="Arial"/>
                <w:color w:val="auto"/>
                <w:sz w:val="20"/>
                <w:lang w:val="de-DE"/>
              </w:rPr>
              <w:t xml:space="preserve">und </w:t>
            </w:r>
            <w:r w:rsidRPr="00172F49">
              <w:rPr>
                <w:rFonts w:ascii="Arial" w:hAnsi="Arial" w:cs="Arial"/>
                <w:color w:val="auto"/>
                <w:sz w:val="20"/>
                <w:lang w:val="de-DE"/>
              </w:rPr>
              <w:t>zumutbare</w:t>
            </w:r>
            <w:r>
              <w:rPr>
                <w:rFonts w:ascii="Arial" w:hAnsi="Arial" w:cs="Arial"/>
                <w:color w:val="auto"/>
                <w:sz w:val="20"/>
                <w:lang w:val="de-DE"/>
              </w:rPr>
              <w:t>n</w:t>
            </w:r>
            <w:r w:rsidRPr="00172F49">
              <w:rPr>
                <w:rFonts w:ascii="Arial" w:hAnsi="Arial" w:cs="Arial"/>
                <w:color w:val="auto"/>
                <w:sz w:val="20"/>
                <w:lang w:val="de-DE"/>
              </w:rPr>
              <w:t xml:space="preserve"> Bedingungen</w:t>
            </w:r>
            <w:r>
              <w:rPr>
                <w:rFonts w:ascii="Arial" w:hAnsi="Arial" w:cs="Arial"/>
                <w:color w:val="auto"/>
                <w:sz w:val="20"/>
                <w:lang w:val="de-DE"/>
              </w:rPr>
              <w:t xml:space="preserve"> fest, die die Zahlung einer</w:t>
            </w:r>
            <w:r w:rsidRPr="00E402A8">
              <w:rPr>
                <w:rFonts w:ascii="Arial" w:hAnsi="Arial" w:cs="Arial"/>
                <w:color w:val="auto"/>
                <w:sz w:val="20"/>
                <w:lang w:val="de-DE"/>
              </w:rPr>
              <w:t xml:space="preserve"> </w:t>
            </w:r>
            <w:r w:rsidRPr="00172F49">
              <w:rPr>
                <w:rFonts w:ascii="Arial" w:hAnsi="Arial" w:cs="Arial"/>
                <w:color w:val="auto"/>
                <w:sz w:val="20"/>
                <w:lang w:val="de-DE"/>
              </w:rPr>
              <w:t>angemessene</w:t>
            </w:r>
            <w:r>
              <w:rPr>
                <w:rFonts w:ascii="Arial" w:hAnsi="Arial" w:cs="Arial"/>
                <w:color w:val="auto"/>
                <w:sz w:val="20"/>
                <w:lang w:val="de-DE"/>
              </w:rPr>
              <w:t>n</w:t>
            </w:r>
            <w:r w:rsidRPr="00172F49">
              <w:rPr>
                <w:rFonts w:ascii="Arial" w:hAnsi="Arial" w:cs="Arial"/>
                <w:color w:val="auto"/>
                <w:sz w:val="20"/>
                <w:lang w:val="de-DE"/>
              </w:rPr>
              <w:t xml:space="preserve"> Vergütung </w:t>
            </w:r>
            <w:r>
              <w:rPr>
                <w:rFonts w:ascii="Arial" w:hAnsi="Arial" w:cs="Arial"/>
                <w:color w:val="auto"/>
                <w:sz w:val="20"/>
                <w:lang w:val="de-DE"/>
              </w:rPr>
              <w:t>an den Züchter beinhalten</w:t>
            </w:r>
            <w:r w:rsidRPr="00E402A8">
              <w:rPr>
                <w:rFonts w:ascii="Arial" w:hAnsi="Arial" w:cs="Arial"/>
                <w:color w:val="auto"/>
                <w:sz w:val="20"/>
                <w:lang w:val="de-DE"/>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24 </w:t>
            </w:r>
            <w:r w:rsidRPr="00E402A8">
              <w:rPr>
                <w:rFonts w:cs="Arial"/>
                <w:b/>
              </w:rPr>
              <w:br/>
            </w:r>
            <w:r>
              <w:rPr>
                <w:rFonts w:cs="Arial"/>
                <w:b/>
              </w:rPr>
              <w:t>Beschränkungen in der Ausübung des Züchterrechts</w:t>
            </w:r>
          </w:p>
          <w:p w:rsidR="00F93BD1" w:rsidRPr="00E402A8" w:rsidRDefault="00F93BD1" w:rsidP="006D5FBC">
            <w:pPr>
              <w:pStyle w:val="inf61normal"/>
              <w:rPr>
                <w:rFonts w:ascii="Arial" w:hAnsi="Arial" w:cs="Arial"/>
                <w:color w:val="auto"/>
                <w:sz w:val="20"/>
                <w:lang w:val="de-DE"/>
              </w:rPr>
            </w:pPr>
          </w:p>
          <w:p w:rsidR="00F93BD1" w:rsidRPr="00E402A8" w:rsidRDefault="00F93BD1" w:rsidP="006D5FBC">
            <w:pPr>
              <w:pStyle w:val="inf61normal"/>
              <w:rPr>
                <w:rFonts w:ascii="Arial" w:hAnsi="Arial" w:cs="Arial"/>
                <w:color w:val="auto"/>
                <w:sz w:val="20"/>
                <w:lang w:val="de-DE"/>
              </w:rPr>
            </w:pPr>
            <w:r w:rsidRPr="00E402A8">
              <w:rPr>
                <w:rFonts w:ascii="Arial" w:hAnsi="Arial" w:cs="Arial"/>
                <w:color w:val="auto"/>
                <w:sz w:val="20"/>
                <w:lang w:val="de-DE"/>
              </w:rPr>
              <w:t xml:space="preserve">1) </w:t>
            </w:r>
            <w:r>
              <w:rPr>
                <w:rFonts w:ascii="Arial" w:hAnsi="Arial" w:cs="Arial"/>
                <w:color w:val="auto"/>
                <w:sz w:val="20"/>
                <w:lang w:val="de-DE"/>
              </w:rPr>
              <w:t>Eine</w:t>
            </w:r>
            <w:r w:rsidRPr="00E402A8">
              <w:rPr>
                <w:rFonts w:ascii="Arial" w:hAnsi="Arial" w:cs="Arial"/>
                <w:color w:val="auto"/>
                <w:sz w:val="20"/>
                <w:lang w:val="de-DE"/>
              </w:rPr>
              <w:t xml:space="preserve"> </w:t>
            </w:r>
            <w:r>
              <w:rPr>
                <w:rFonts w:ascii="Arial" w:hAnsi="Arial" w:cs="Arial"/>
                <w:color w:val="auto"/>
                <w:sz w:val="20"/>
                <w:lang w:val="de-DE"/>
              </w:rPr>
              <w:t>Zwangslizenz</w:t>
            </w:r>
            <w:r w:rsidRPr="00E402A8">
              <w:rPr>
                <w:rFonts w:ascii="Arial" w:hAnsi="Arial" w:cs="Arial"/>
                <w:color w:val="auto"/>
                <w:sz w:val="20"/>
                <w:lang w:val="de-DE"/>
              </w:rPr>
              <w:t xml:space="preserve"> </w:t>
            </w:r>
            <w:r>
              <w:rPr>
                <w:rFonts w:ascii="Arial" w:hAnsi="Arial" w:cs="Arial"/>
                <w:color w:val="auto"/>
                <w:sz w:val="20"/>
                <w:lang w:val="de-DE"/>
              </w:rPr>
              <w:t>wird einem Antragsteller</w:t>
            </w:r>
            <w:r w:rsidRPr="00E402A8">
              <w:rPr>
                <w:rFonts w:ascii="Arial" w:hAnsi="Arial" w:cs="Arial"/>
                <w:color w:val="auto"/>
                <w:sz w:val="20"/>
                <w:lang w:val="de-DE"/>
              </w:rPr>
              <w:t xml:space="preserve"> </w:t>
            </w:r>
            <w:r>
              <w:rPr>
                <w:rFonts w:ascii="Arial" w:hAnsi="Arial" w:cs="Arial"/>
                <w:color w:val="auto"/>
                <w:sz w:val="20"/>
                <w:lang w:val="de-DE"/>
              </w:rPr>
              <w:t>von einem</w:t>
            </w:r>
            <w:r w:rsidRPr="00E402A8">
              <w:rPr>
                <w:rFonts w:ascii="Arial" w:hAnsi="Arial" w:cs="Arial"/>
                <w:color w:val="auto"/>
                <w:sz w:val="20"/>
                <w:lang w:val="de-DE"/>
              </w:rPr>
              <w:t xml:space="preserve"> </w:t>
            </w:r>
            <w:r>
              <w:rPr>
                <w:rFonts w:ascii="Arial" w:hAnsi="Arial" w:cs="Arial"/>
                <w:color w:val="auto"/>
                <w:sz w:val="20"/>
                <w:lang w:val="de-DE"/>
              </w:rPr>
              <w:t>Vertragsstaat</w:t>
            </w:r>
            <w:r w:rsidRPr="00E402A8">
              <w:rPr>
                <w:rFonts w:ascii="Arial" w:hAnsi="Arial" w:cs="Arial"/>
                <w:color w:val="auto"/>
                <w:sz w:val="20"/>
                <w:lang w:val="de-DE"/>
              </w:rPr>
              <w:t xml:space="preserve"> </w:t>
            </w:r>
            <w:r>
              <w:rPr>
                <w:rFonts w:ascii="Arial" w:hAnsi="Arial" w:cs="Arial"/>
                <w:color w:val="auto"/>
                <w:sz w:val="20"/>
                <w:lang w:val="de-DE"/>
              </w:rPr>
              <w:t>nur</w:t>
            </w:r>
            <w:r w:rsidRPr="00E402A8">
              <w:rPr>
                <w:rFonts w:ascii="Arial" w:hAnsi="Arial" w:cs="Arial"/>
                <w:color w:val="auto"/>
                <w:sz w:val="20"/>
                <w:lang w:val="de-DE"/>
              </w:rPr>
              <w:t xml:space="preserve"> </w:t>
            </w:r>
            <w:r w:rsidRPr="00172F49">
              <w:rPr>
                <w:rFonts w:ascii="Arial" w:hAnsi="Arial" w:cs="Arial"/>
                <w:color w:val="auto"/>
                <w:sz w:val="20"/>
                <w:lang w:val="de-DE"/>
              </w:rPr>
              <w:t>aus Gründen des öffentlichen Interesses</w:t>
            </w:r>
            <w:r>
              <w:rPr>
                <w:rFonts w:ascii="Arial" w:hAnsi="Arial" w:cs="Arial"/>
                <w:color w:val="auto"/>
                <w:sz w:val="20"/>
                <w:lang w:val="de-DE"/>
              </w:rPr>
              <w:t xml:space="preserve"> erteilt</w:t>
            </w:r>
            <w:r w:rsidRPr="00E402A8">
              <w:rPr>
                <w:rFonts w:ascii="Arial" w:hAnsi="Arial" w:cs="Arial"/>
                <w:color w:val="auto"/>
                <w:sz w:val="20"/>
                <w:lang w:val="de-DE"/>
              </w:rPr>
              <w:t>.</w:t>
            </w:r>
          </w:p>
          <w:p w:rsidR="00F93BD1" w:rsidRPr="00E402A8" w:rsidRDefault="00F93BD1" w:rsidP="006D5FBC">
            <w:pPr>
              <w:rPr>
                <w:rFonts w:cs="Arial"/>
              </w:rPr>
            </w:pPr>
          </w:p>
          <w:p w:rsidR="00F93BD1" w:rsidRPr="00E402A8" w:rsidRDefault="00F93BD1" w:rsidP="006D5FBC">
            <w:pPr>
              <w:rPr>
                <w:rFonts w:cs="Arial"/>
              </w:rPr>
            </w:pPr>
          </w:p>
          <w:p w:rsidR="00F93BD1" w:rsidRPr="00E402A8" w:rsidRDefault="00F93BD1" w:rsidP="006D5FBC">
            <w:pPr>
              <w:rPr>
                <w:rFonts w:cs="Arial"/>
              </w:rPr>
            </w:pPr>
          </w:p>
          <w:p w:rsidR="00F93BD1" w:rsidRPr="00E402A8" w:rsidRDefault="00F93BD1" w:rsidP="006D5FBC">
            <w:pPr>
              <w:rPr>
                <w:rFonts w:cs="Arial"/>
              </w:rPr>
            </w:pPr>
          </w:p>
          <w:p w:rsidR="00F93BD1" w:rsidRPr="00E402A8" w:rsidRDefault="00F93BD1" w:rsidP="006D5FBC">
            <w:pPr>
              <w:rPr>
                <w:rFonts w:cs="Arial"/>
              </w:rPr>
            </w:pPr>
          </w:p>
          <w:p w:rsidR="00F93BD1" w:rsidRPr="00E402A8" w:rsidRDefault="00F93BD1" w:rsidP="006D5FBC">
            <w:pPr>
              <w:widowControl w:val="0"/>
              <w:tabs>
                <w:tab w:val="left" w:pos="-31680"/>
              </w:tabs>
              <w:rPr>
                <w:rFonts w:cs="Arial"/>
                <w:kern w:val="28"/>
                <w:lang w:eastAsia="en-ZW"/>
              </w:rPr>
            </w:pPr>
            <w:r w:rsidRPr="00E402A8">
              <w:rPr>
                <w:rFonts w:cs="Arial"/>
                <w:kern w:val="28"/>
                <w:lang w:eastAsia="en-ZW"/>
              </w:rPr>
              <w:t xml:space="preserve">2) </w:t>
            </w:r>
            <w:r>
              <w:rPr>
                <w:rFonts w:cs="Arial"/>
                <w:kern w:val="28"/>
                <w:lang w:eastAsia="en-ZW"/>
              </w:rPr>
              <w:t>Die n</w:t>
            </w:r>
            <w:r w:rsidRPr="00E402A8">
              <w:rPr>
                <w:rFonts w:cs="Arial"/>
                <w:kern w:val="28"/>
                <w:lang w:eastAsia="en-ZW"/>
              </w:rPr>
              <w:t>ational</w:t>
            </w:r>
            <w:r>
              <w:rPr>
                <w:rFonts w:cs="Arial"/>
                <w:kern w:val="28"/>
                <w:lang w:eastAsia="en-ZW"/>
              </w:rPr>
              <w:t>e</w:t>
            </w:r>
            <w:r w:rsidRPr="00E402A8">
              <w:rPr>
                <w:rFonts w:cs="Arial"/>
                <w:kern w:val="28"/>
                <w:lang w:eastAsia="en-ZW"/>
              </w:rPr>
              <w:t xml:space="preserve"> </w:t>
            </w:r>
            <w:r>
              <w:rPr>
                <w:rFonts w:cs="Arial"/>
                <w:kern w:val="28"/>
                <w:lang w:eastAsia="en-ZW"/>
              </w:rPr>
              <w:t xml:space="preserve">Behörde legt </w:t>
            </w:r>
            <w:r>
              <w:rPr>
                <w:rFonts w:cs="Arial"/>
              </w:rPr>
              <w:t>bei Erteilung einer Zwangslizenz gemäß</w:t>
            </w:r>
            <w:r w:rsidRPr="00E402A8">
              <w:rPr>
                <w:rFonts w:cs="Arial"/>
              </w:rPr>
              <w:t xml:space="preserve"> </w:t>
            </w:r>
            <w:r>
              <w:rPr>
                <w:rFonts w:cs="Arial"/>
              </w:rPr>
              <w:t>Absatz</w:t>
            </w:r>
            <w:r w:rsidRPr="00E402A8">
              <w:rPr>
                <w:rFonts w:cs="Arial"/>
              </w:rPr>
              <w:t xml:space="preserve"> 1</w:t>
            </w:r>
            <w:r>
              <w:rPr>
                <w:rFonts w:cs="Arial"/>
              </w:rPr>
              <w:t xml:space="preserve">) die </w:t>
            </w:r>
            <w:proofErr w:type="spellStart"/>
            <w:r>
              <w:rPr>
                <w:rFonts w:cs="Arial"/>
              </w:rPr>
              <w:t>erfaßten</w:t>
            </w:r>
            <w:proofErr w:type="spellEnd"/>
            <w:r>
              <w:rPr>
                <w:rFonts w:cs="Arial"/>
              </w:rPr>
              <w:t xml:space="preserve"> Handlungen </w:t>
            </w:r>
            <w:r w:rsidRPr="00E402A8">
              <w:rPr>
                <w:rFonts w:cs="Arial"/>
              </w:rPr>
              <w:t xml:space="preserve">und </w:t>
            </w:r>
            <w:r w:rsidRPr="00172F49">
              <w:rPr>
                <w:rFonts w:cs="Arial"/>
              </w:rPr>
              <w:t>zumutbare</w:t>
            </w:r>
            <w:r>
              <w:rPr>
                <w:rFonts w:cs="Arial"/>
              </w:rPr>
              <w:t>n</w:t>
            </w:r>
            <w:r w:rsidRPr="00172F49">
              <w:rPr>
                <w:rFonts w:cs="Arial"/>
              </w:rPr>
              <w:t xml:space="preserve"> Bedingungen</w:t>
            </w:r>
            <w:r>
              <w:rPr>
                <w:rFonts w:cs="Arial"/>
              </w:rPr>
              <w:t xml:space="preserve"> fest, die die Zahlung einer</w:t>
            </w:r>
            <w:r w:rsidRPr="00E402A8">
              <w:rPr>
                <w:rFonts w:cs="Arial"/>
              </w:rPr>
              <w:t xml:space="preserve"> </w:t>
            </w:r>
            <w:r w:rsidRPr="00172F49">
              <w:rPr>
                <w:rFonts w:cs="Arial"/>
              </w:rPr>
              <w:t>angemessene</w:t>
            </w:r>
            <w:r>
              <w:rPr>
                <w:rFonts w:cs="Arial"/>
              </w:rPr>
              <w:t>n</w:t>
            </w:r>
            <w:r w:rsidRPr="00172F49">
              <w:rPr>
                <w:rFonts w:cs="Arial"/>
              </w:rPr>
              <w:t xml:space="preserve"> Vergütung </w:t>
            </w:r>
            <w:r>
              <w:rPr>
                <w:rFonts w:cs="Arial"/>
              </w:rPr>
              <w:t>an den Züchter beinhalten</w:t>
            </w:r>
            <w:r w:rsidRPr="00E402A8">
              <w:rPr>
                <w:rFonts w:cs="Arial"/>
                <w:kern w:val="28"/>
                <w:lang w:eastAsia="en-ZW"/>
              </w:rPr>
              <w:t>.</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bCs/>
              </w:rPr>
            </w:pPr>
            <w:r>
              <w:rPr>
                <w:rFonts w:cs="Arial"/>
                <w:b/>
                <w:bCs/>
              </w:rPr>
              <w:t>Artikel</w:t>
            </w:r>
            <w:r w:rsidRPr="00E402A8">
              <w:rPr>
                <w:rFonts w:cs="Arial"/>
                <w:b/>
                <w:bCs/>
              </w:rPr>
              <w:t xml:space="preserve"> 26 </w:t>
            </w:r>
            <w:r w:rsidRPr="00E402A8">
              <w:rPr>
                <w:rFonts w:cs="Arial"/>
                <w:b/>
                <w:bCs/>
              </w:rPr>
              <w:br/>
            </w:r>
            <w:r>
              <w:rPr>
                <w:rFonts w:cs="Arial"/>
                <w:b/>
                <w:bCs/>
              </w:rPr>
              <w:t>Dauer des Züchterrechts</w:t>
            </w:r>
          </w:p>
          <w:p w:rsidR="00F93BD1" w:rsidRPr="00E402A8" w:rsidRDefault="00F93BD1" w:rsidP="006D5FBC">
            <w:pPr>
              <w:pStyle w:val="ListParagraph"/>
              <w:widowControl w:val="0"/>
              <w:ind w:left="0"/>
              <w:jc w:val="both"/>
              <w:rPr>
                <w:rFonts w:cs="Arial"/>
                <w:szCs w:val="20"/>
                <w:lang w:val="de-DE"/>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bCs/>
              </w:rPr>
            </w:pPr>
            <w:r>
              <w:rPr>
                <w:rFonts w:cs="Arial"/>
                <w:b/>
                <w:bCs/>
              </w:rPr>
              <w:t>Artikel</w:t>
            </w:r>
            <w:r w:rsidRPr="00E402A8">
              <w:rPr>
                <w:rFonts w:cs="Arial"/>
                <w:b/>
                <w:bCs/>
              </w:rPr>
              <w:t xml:space="preserve"> 26 </w:t>
            </w:r>
            <w:r w:rsidRPr="00E402A8">
              <w:rPr>
                <w:rFonts w:cs="Arial"/>
                <w:b/>
                <w:bCs/>
              </w:rPr>
              <w:br/>
            </w:r>
            <w:r>
              <w:rPr>
                <w:rFonts w:cs="Arial"/>
                <w:b/>
                <w:bCs/>
              </w:rPr>
              <w:t>Dauer des Züchterrechts</w:t>
            </w:r>
          </w:p>
          <w:p w:rsidR="00F93BD1" w:rsidRPr="00E402A8" w:rsidRDefault="00F93BD1" w:rsidP="006D5FBC">
            <w:pPr>
              <w:pStyle w:val="ListParagraph"/>
              <w:widowControl w:val="0"/>
              <w:ind w:left="0"/>
              <w:jc w:val="both"/>
              <w:rPr>
                <w:rFonts w:cs="Arial"/>
                <w:szCs w:val="20"/>
                <w:lang w:val="de-DE"/>
              </w:rPr>
            </w:pPr>
          </w:p>
          <w:p w:rsidR="00F93BD1" w:rsidRPr="00E402A8" w:rsidRDefault="00F93BD1" w:rsidP="006D5FBC">
            <w:pPr>
              <w:pStyle w:val="ListParagraph"/>
              <w:widowControl w:val="0"/>
              <w:ind w:left="0"/>
              <w:jc w:val="both"/>
              <w:rPr>
                <w:rFonts w:cs="Arial"/>
                <w:szCs w:val="20"/>
                <w:lang w:val="de-DE"/>
              </w:rPr>
            </w:pPr>
            <w:r>
              <w:rPr>
                <w:rFonts w:cs="Arial"/>
                <w:szCs w:val="20"/>
                <w:lang w:val="de-DE"/>
              </w:rPr>
              <w:t>Ein</w:t>
            </w:r>
            <w:r w:rsidRPr="00E402A8">
              <w:rPr>
                <w:rFonts w:cs="Arial"/>
                <w:szCs w:val="20"/>
                <w:lang w:val="de-DE"/>
              </w:rPr>
              <w:t xml:space="preserve"> </w:t>
            </w:r>
            <w:r>
              <w:rPr>
                <w:rFonts w:cs="Arial"/>
                <w:szCs w:val="20"/>
                <w:lang w:val="de-DE"/>
              </w:rPr>
              <w:t>Züchterrecht</w:t>
            </w:r>
            <w:r w:rsidRPr="00E402A8">
              <w:rPr>
                <w:rFonts w:cs="Arial"/>
                <w:szCs w:val="20"/>
                <w:lang w:val="de-DE"/>
              </w:rPr>
              <w:t xml:space="preserve"> </w:t>
            </w:r>
            <w:r>
              <w:rPr>
                <w:rFonts w:cs="Arial"/>
                <w:szCs w:val="20"/>
                <w:lang w:val="de-DE"/>
              </w:rPr>
              <w:t>wird für einen</w:t>
            </w:r>
            <w:r w:rsidRPr="00E402A8">
              <w:rPr>
                <w:rFonts w:cs="Arial"/>
                <w:szCs w:val="20"/>
                <w:lang w:val="de-DE"/>
              </w:rPr>
              <w:t xml:space="preserve"> Zeitraum </w:t>
            </w:r>
            <w:r>
              <w:rPr>
                <w:rFonts w:cs="Arial"/>
                <w:szCs w:val="20"/>
                <w:lang w:val="de-DE"/>
              </w:rPr>
              <w:t>von zwanzig Jahren ab dem Datum der Erteilung</w:t>
            </w:r>
            <w:r w:rsidRPr="00E402A8">
              <w:rPr>
                <w:rFonts w:cs="Arial"/>
                <w:szCs w:val="20"/>
                <w:lang w:val="de-DE"/>
              </w:rPr>
              <w:t xml:space="preserve"> </w:t>
            </w:r>
            <w:r>
              <w:rPr>
                <w:rFonts w:cs="Arial"/>
                <w:szCs w:val="20"/>
                <w:lang w:val="de-DE"/>
              </w:rPr>
              <w:t>des Züchterrechts</w:t>
            </w:r>
            <w:r w:rsidRPr="00E402A8">
              <w:rPr>
                <w:rFonts w:cs="Arial"/>
                <w:szCs w:val="20"/>
                <w:lang w:val="de-DE"/>
              </w:rPr>
              <w:t xml:space="preserve"> </w:t>
            </w:r>
            <w:r>
              <w:rPr>
                <w:rFonts w:cs="Arial"/>
                <w:szCs w:val="20"/>
                <w:lang w:val="de-DE"/>
              </w:rPr>
              <w:t>erteilt, ausschließlich</w:t>
            </w:r>
            <w:r w:rsidRPr="00E402A8">
              <w:rPr>
                <w:rFonts w:cs="Arial"/>
                <w:szCs w:val="20"/>
                <w:lang w:val="de-DE"/>
              </w:rPr>
              <w:t xml:space="preserve"> </w:t>
            </w:r>
            <w:r>
              <w:rPr>
                <w:rFonts w:cs="Arial"/>
                <w:szCs w:val="20"/>
                <w:lang w:val="de-DE"/>
              </w:rPr>
              <w:t>für Bäume</w:t>
            </w:r>
            <w:r w:rsidRPr="002A349D">
              <w:rPr>
                <w:rFonts w:cs="Arial"/>
                <w:szCs w:val="20"/>
                <w:lang w:val="de-DE"/>
              </w:rPr>
              <w:t xml:space="preserve"> oder Rebe</w:t>
            </w:r>
            <w:r>
              <w:rPr>
                <w:rFonts w:cs="Arial"/>
                <w:szCs w:val="20"/>
                <w:lang w:val="de-DE"/>
              </w:rPr>
              <w:t>n</w:t>
            </w:r>
            <w:r w:rsidRPr="00E402A8">
              <w:rPr>
                <w:rFonts w:cs="Arial"/>
                <w:szCs w:val="20"/>
                <w:lang w:val="de-DE"/>
              </w:rPr>
              <w:t xml:space="preserve">, </w:t>
            </w:r>
            <w:r>
              <w:rPr>
                <w:rFonts w:cs="Arial"/>
                <w:szCs w:val="20"/>
                <w:lang w:val="de-DE"/>
              </w:rPr>
              <w:t>für die ein</w:t>
            </w:r>
            <w:r w:rsidRPr="00E402A8">
              <w:rPr>
                <w:rFonts w:cs="Arial"/>
                <w:szCs w:val="20"/>
                <w:lang w:val="de-DE"/>
              </w:rPr>
              <w:t xml:space="preserve"> </w:t>
            </w:r>
            <w:r>
              <w:rPr>
                <w:rFonts w:cs="Arial"/>
                <w:szCs w:val="20"/>
                <w:lang w:val="de-DE"/>
              </w:rPr>
              <w:t>Züchterrecht</w:t>
            </w:r>
            <w:r w:rsidRPr="00E402A8">
              <w:rPr>
                <w:rFonts w:cs="Arial"/>
                <w:szCs w:val="20"/>
                <w:lang w:val="de-DE"/>
              </w:rPr>
              <w:t xml:space="preserve"> </w:t>
            </w:r>
            <w:r>
              <w:rPr>
                <w:rFonts w:cs="Arial"/>
                <w:szCs w:val="20"/>
                <w:lang w:val="de-DE"/>
              </w:rPr>
              <w:t xml:space="preserve">für einen </w:t>
            </w:r>
            <w:r w:rsidRPr="00E402A8">
              <w:rPr>
                <w:rFonts w:cs="Arial"/>
                <w:szCs w:val="20"/>
                <w:lang w:val="de-DE"/>
              </w:rPr>
              <w:t xml:space="preserve">Zeitraum </w:t>
            </w:r>
            <w:r>
              <w:rPr>
                <w:rFonts w:cs="Arial"/>
                <w:szCs w:val="20"/>
                <w:lang w:val="de-DE"/>
              </w:rPr>
              <w:t>von</w:t>
            </w:r>
            <w:r w:rsidRPr="00E402A8">
              <w:rPr>
                <w:rFonts w:cs="Arial"/>
                <w:szCs w:val="20"/>
                <w:lang w:val="de-DE"/>
              </w:rPr>
              <w:t xml:space="preserve"> </w:t>
            </w:r>
            <w:r>
              <w:rPr>
                <w:rFonts w:cs="Arial"/>
                <w:szCs w:val="20"/>
                <w:lang w:val="de-DE"/>
              </w:rPr>
              <w:t>fünfundzwanzig Jahren</w:t>
            </w:r>
            <w:r w:rsidRPr="00E402A8">
              <w:rPr>
                <w:rFonts w:cs="Arial"/>
                <w:szCs w:val="20"/>
                <w:lang w:val="de-DE"/>
              </w:rPr>
              <w:t xml:space="preserve"> </w:t>
            </w:r>
            <w:r>
              <w:rPr>
                <w:rFonts w:cs="Arial"/>
                <w:szCs w:val="20"/>
                <w:lang w:val="de-DE"/>
              </w:rPr>
              <w:t>ab besagtem Datum erteilt wird</w:t>
            </w:r>
            <w:r w:rsidRPr="00E402A8">
              <w:rPr>
                <w:rFonts w:cs="Arial"/>
                <w:szCs w:val="20"/>
                <w:lang w:val="de-DE"/>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bCs/>
              </w:rPr>
            </w:pPr>
            <w:r>
              <w:rPr>
                <w:rFonts w:cs="Arial"/>
                <w:b/>
                <w:bCs/>
              </w:rPr>
              <w:t>Artikel</w:t>
            </w:r>
            <w:r w:rsidRPr="00E402A8">
              <w:rPr>
                <w:rFonts w:cs="Arial"/>
                <w:b/>
                <w:bCs/>
              </w:rPr>
              <w:t xml:space="preserve"> 26 </w:t>
            </w:r>
            <w:r w:rsidRPr="00E402A8">
              <w:rPr>
                <w:rFonts w:cs="Arial"/>
                <w:b/>
                <w:bCs/>
              </w:rPr>
              <w:br/>
            </w:r>
            <w:r>
              <w:rPr>
                <w:rFonts w:cs="Arial"/>
                <w:b/>
                <w:bCs/>
              </w:rPr>
              <w:t>Dauer des Züchterrechts</w:t>
            </w:r>
          </w:p>
          <w:p w:rsidR="00F93BD1" w:rsidRPr="00E402A8" w:rsidRDefault="00F93BD1" w:rsidP="006D5FBC">
            <w:pPr>
              <w:jc w:val="center"/>
              <w:rPr>
                <w:rFonts w:cs="Arial"/>
                <w:b/>
                <w:bCs/>
              </w:rPr>
            </w:pPr>
          </w:p>
          <w:p w:rsidR="00F93BD1" w:rsidRPr="002A349D" w:rsidRDefault="00F93BD1" w:rsidP="006D5FBC">
            <w:pPr>
              <w:widowControl w:val="0"/>
              <w:contextualSpacing/>
              <w:rPr>
                <w:rFonts w:cs="Arial"/>
              </w:rPr>
            </w:pPr>
            <w:r>
              <w:rPr>
                <w:rFonts w:cs="Arial"/>
              </w:rPr>
              <w:t xml:space="preserve">1) </w:t>
            </w:r>
            <w:r w:rsidRPr="002A349D">
              <w:rPr>
                <w:rFonts w:cs="Arial"/>
              </w:rPr>
              <w:t>Ein Züchterrecht wird für einen Zeitraum von zwanzig Jahren ab dem Datum der Erteilung des Züchterrechts erteilt</w:t>
            </w:r>
            <w:r>
              <w:rPr>
                <w:rFonts w:cs="Arial"/>
              </w:rPr>
              <w:t>,</w:t>
            </w:r>
            <w:r w:rsidRPr="002A349D">
              <w:rPr>
                <w:rFonts w:cs="Arial"/>
              </w:rPr>
              <w:t xml:space="preserve"> ausschließlich </w:t>
            </w:r>
            <w:r>
              <w:rPr>
                <w:rFonts w:cs="Arial"/>
              </w:rPr>
              <w:t xml:space="preserve">für </w:t>
            </w:r>
            <w:r w:rsidRPr="002A349D">
              <w:rPr>
                <w:rFonts w:cs="Arial"/>
              </w:rPr>
              <w:t>Bäume oder Rebe</w:t>
            </w:r>
            <w:r>
              <w:rPr>
                <w:rFonts w:cs="Arial"/>
              </w:rPr>
              <w:t>n</w:t>
            </w:r>
            <w:r w:rsidRPr="002A349D">
              <w:rPr>
                <w:rFonts w:cs="Arial"/>
              </w:rPr>
              <w:t>, für die ein Züchterrecht für einen Zeitraum von fünfundzwanzig Jahren ab besagtem Datum erteilt wird.</w:t>
            </w:r>
          </w:p>
          <w:p w:rsidR="00F93BD1" w:rsidRPr="00E402A8" w:rsidRDefault="00F93BD1" w:rsidP="006D5FBC">
            <w:pPr>
              <w:pStyle w:val="ListParagraph"/>
              <w:widowControl w:val="0"/>
              <w:ind w:left="0"/>
              <w:contextualSpacing/>
              <w:jc w:val="both"/>
              <w:rPr>
                <w:rFonts w:cs="Arial"/>
                <w:szCs w:val="20"/>
                <w:lang w:val="de-DE"/>
              </w:rPr>
            </w:pPr>
          </w:p>
          <w:p w:rsidR="00F93BD1" w:rsidRPr="00E402A8" w:rsidRDefault="00F93BD1" w:rsidP="006D5FBC">
            <w:pPr>
              <w:pStyle w:val="ListParagraph"/>
              <w:widowControl w:val="0"/>
              <w:ind w:left="0"/>
              <w:contextualSpacing/>
              <w:jc w:val="both"/>
              <w:rPr>
                <w:rFonts w:cs="Arial"/>
                <w:szCs w:val="20"/>
                <w:lang w:val="de-DE"/>
              </w:rPr>
            </w:pPr>
            <w:r>
              <w:rPr>
                <w:rFonts w:cs="Arial"/>
                <w:szCs w:val="20"/>
                <w:lang w:val="de-DE"/>
              </w:rPr>
              <w:t>2) Abweichend von</w:t>
            </w:r>
            <w:r w:rsidRPr="00E402A8">
              <w:rPr>
                <w:rFonts w:cs="Arial"/>
                <w:szCs w:val="20"/>
                <w:lang w:val="de-DE"/>
              </w:rPr>
              <w:t xml:space="preserve"> </w:t>
            </w:r>
            <w:r>
              <w:rPr>
                <w:rFonts w:cs="Arial"/>
                <w:szCs w:val="20"/>
                <w:lang w:val="de-DE"/>
              </w:rPr>
              <w:t>Unterabsatz 1),</w:t>
            </w:r>
            <w:r w:rsidRPr="00E402A8">
              <w:rPr>
                <w:rFonts w:cs="Arial"/>
                <w:szCs w:val="20"/>
                <w:lang w:val="de-DE"/>
              </w:rPr>
              <w:t xml:space="preserve"> </w:t>
            </w:r>
            <w:r>
              <w:rPr>
                <w:rFonts w:cs="Arial"/>
                <w:szCs w:val="20"/>
                <w:lang w:val="de-DE"/>
              </w:rPr>
              <w:t xml:space="preserve">kann die </w:t>
            </w:r>
            <w:r w:rsidRPr="002A349D">
              <w:rPr>
                <w:rFonts w:cs="Arial"/>
                <w:szCs w:val="20"/>
                <w:lang w:val="de-DE"/>
              </w:rPr>
              <w:t xml:space="preserve">Dauer des Schutzes </w:t>
            </w:r>
            <w:r>
              <w:rPr>
                <w:rFonts w:cs="Arial"/>
                <w:szCs w:val="20"/>
                <w:lang w:val="de-DE"/>
              </w:rPr>
              <w:t xml:space="preserve">in </w:t>
            </w:r>
            <w:proofErr w:type="spellStart"/>
            <w:r>
              <w:rPr>
                <w:rFonts w:cs="Arial"/>
                <w:szCs w:val="20"/>
                <w:lang w:val="de-DE"/>
              </w:rPr>
              <w:t>bezug</w:t>
            </w:r>
            <w:proofErr w:type="spellEnd"/>
            <w:r>
              <w:rPr>
                <w:rFonts w:cs="Arial"/>
                <w:szCs w:val="20"/>
                <w:lang w:val="de-DE"/>
              </w:rPr>
              <w:t xml:space="preserve"> auf</w:t>
            </w:r>
            <w:r w:rsidRPr="00E402A8">
              <w:rPr>
                <w:rFonts w:cs="Arial"/>
                <w:szCs w:val="20"/>
                <w:lang w:val="de-DE"/>
              </w:rPr>
              <w:t xml:space="preserve"> </w:t>
            </w:r>
            <w:r>
              <w:rPr>
                <w:rFonts w:cs="Arial"/>
                <w:szCs w:val="20"/>
                <w:lang w:val="de-DE"/>
              </w:rPr>
              <w:t>bestimme Gattungen und Arten durch schriftliche Mitteilung an das ARIPO-Büro für weitere fünf</w:t>
            </w:r>
            <w:r w:rsidRPr="00E402A8">
              <w:rPr>
                <w:rFonts w:cs="Arial"/>
                <w:szCs w:val="20"/>
                <w:lang w:val="de-DE"/>
              </w:rPr>
              <w:t xml:space="preserve"> </w:t>
            </w:r>
            <w:r>
              <w:rPr>
                <w:rFonts w:cs="Arial"/>
                <w:szCs w:val="20"/>
                <w:lang w:val="de-DE"/>
              </w:rPr>
              <w:t>Jahre verlängert werden</w:t>
            </w:r>
            <w:r w:rsidRPr="00E402A8">
              <w:rPr>
                <w:rFonts w:cs="Arial"/>
                <w:szCs w:val="20"/>
                <w:lang w:val="de-DE"/>
              </w:rPr>
              <w:t xml:space="preserve">. </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37</w:t>
            </w:r>
          </w:p>
          <w:p w:rsidR="00F93BD1" w:rsidRPr="00E402A8" w:rsidRDefault="00F93BD1" w:rsidP="006D5FBC">
            <w:pPr>
              <w:jc w:val="center"/>
              <w:rPr>
                <w:rFonts w:cs="Arial"/>
                <w:b/>
              </w:rPr>
            </w:pPr>
            <w:r>
              <w:rPr>
                <w:rFonts w:cs="Arial"/>
                <w:b/>
              </w:rPr>
              <w:t>Einheitliche Wirkung regionaler Züchterrechte</w:t>
            </w:r>
          </w:p>
          <w:p w:rsidR="00F93BD1" w:rsidRPr="00E402A8" w:rsidRDefault="00F93BD1" w:rsidP="006D5FBC">
            <w:pPr>
              <w:rPr>
                <w:rFonts w:cs="Arial"/>
                <w:b/>
              </w:rPr>
            </w:pPr>
          </w:p>
          <w:p w:rsidR="00F93BD1" w:rsidRPr="00E402A8" w:rsidRDefault="00F93BD1" w:rsidP="006D5FBC">
            <w:pPr>
              <w:widowControl w:val="0"/>
              <w:rPr>
                <w:rFonts w:cs="Arial"/>
                <w:kern w:val="28"/>
                <w:lang w:eastAsia="en-ZW"/>
              </w:rPr>
            </w:pPr>
          </w:p>
          <w:p w:rsidR="00F93BD1" w:rsidRPr="00E402A8" w:rsidRDefault="00F93BD1" w:rsidP="006D5FBC">
            <w:pPr>
              <w:jc w:val="center"/>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37</w:t>
            </w:r>
          </w:p>
          <w:p w:rsidR="00F93BD1" w:rsidRPr="00E402A8" w:rsidRDefault="00F93BD1" w:rsidP="006D5FBC">
            <w:pPr>
              <w:jc w:val="center"/>
              <w:rPr>
                <w:rFonts w:cs="Arial"/>
                <w:b/>
              </w:rPr>
            </w:pPr>
            <w:r>
              <w:rPr>
                <w:rFonts w:cs="Arial"/>
                <w:b/>
              </w:rPr>
              <w:t>Einheitliche Wirkung regionaler Züchterrechte</w:t>
            </w:r>
          </w:p>
          <w:p w:rsidR="00F93BD1" w:rsidRPr="00E402A8" w:rsidRDefault="00F93BD1" w:rsidP="006D5FBC">
            <w:pPr>
              <w:rPr>
                <w:rFonts w:cs="Arial"/>
                <w:b/>
              </w:rPr>
            </w:pPr>
          </w:p>
          <w:p w:rsidR="00F93BD1" w:rsidRPr="00E402A8" w:rsidRDefault="00F93BD1" w:rsidP="006D5FBC">
            <w:pPr>
              <w:rPr>
                <w:rFonts w:cs="Arial"/>
                <w:b/>
              </w:rPr>
            </w:pPr>
          </w:p>
          <w:p w:rsidR="00F93BD1" w:rsidRPr="00E402A8" w:rsidRDefault="00F93BD1" w:rsidP="006D5FBC">
            <w:pPr>
              <w:widowControl w:val="0"/>
              <w:tabs>
                <w:tab w:val="left" w:pos="-31680"/>
              </w:tabs>
              <w:rPr>
                <w:rFonts w:cs="Arial"/>
                <w:kern w:val="28"/>
                <w:lang w:eastAsia="en-ZW"/>
              </w:rPr>
            </w:pPr>
            <w:r w:rsidRPr="00E402A8">
              <w:rPr>
                <w:rFonts w:cs="Arial"/>
                <w:kern w:val="28"/>
                <w:lang w:eastAsia="en-ZW"/>
              </w:rPr>
              <w:t>Regional</w:t>
            </w:r>
            <w:r>
              <w:rPr>
                <w:rFonts w:cs="Arial"/>
                <w:kern w:val="28"/>
                <w:lang w:eastAsia="en-ZW"/>
              </w:rPr>
              <w:t>e</w:t>
            </w:r>
            <w:r w:rsidRPr="00E402A8">
              <w:rPr>
                <w:rFonts w:cs="Arial"/>
                <w:kern w:val="28"/>
                <w:lang w:eastAsia="en-ZW"/>
              </w:rPr>
              <w:t xml:space="preserve"> </w:t>
            </w:r>
            <w:r>
              <w:rPr>
                <w:rFonts w:cs="Arial"/>
                <w:kern w:val="28"/>
                <w:lang w:eastAsia="en-ZW"/>
              </w:rPr>
              <w:t>Züchterrechte</w:t>
            </w:r>
            <w:r w:rsidRPr="00E402A8">
              <w:rPr>
                <w:rFonts w:cs="Arial"/>
                <w:kern w:val="28"/>
                <w:lang w:eastAsia="en-ZW"/>
              </w:rPr>
              <w:t xml:space="preserve"> </w:t>
            </w:r>
            <w:r>
              <w:rPr>
                <w:rFonts w:cs="Arial"/>
                <w:kern w:val="28"/>
                <w:lang w:eastAsia="en-ZW"/>
              </w:rPr>
              <w:t>haben eine einheitliche Wirkung in den Hoheitsgebieten</w:t>
            </w:r>
            <w:r w:rsidRPr="00E402A8">
              <w:rPr>
                <w:rFonts w:cs="Arial"/>
                <w:kern w:val="28"/>
                <w:lang w:eastAsia="en-ZW"/>
              </w:rPr>
              <w:t xml:space="preserve"> </w:t>
            </w:r>
            <w:r>
              <w:rPr>
                <w:rFonts w:cs="Arial"/>
                <w:kern w:val="28"/>
                <w:lang w:eastAsia="en-ZW"/>
              </w:rPr>
              <w:t>der</w:t>
            </w:r>
            <w:r w:rsidRPr="00E402A8">
              <w:rPr>
                <w:rFonts w:cs="Arial"/>
                <w:kern w:val="28"/>
                <w:lang w:eastAsia="en-ZW"/>
              </w:rPr>
              <w:t xml:space="preserve"> </w:t>
            </w:r>
            <w:r>
              <w:rPr>
                <w:rFonts w:cs="Arial"/>
                <w:kern w:val="28"/>
                <w:lang w:eastAsia="en-ZW"/>
              </w:rPr>
              <w:t>Vertragsstaaten</w:t>
            </w:r>
            <w:r w:rsidRPr="00E402A8">
              <w:rPr>
                <w:rFonts w:cs="Arial"/>
                <w:kern w:val="28"/>
                <w:lang w:eastAsia="en-ZW"/>
              </w:rPr>
              <w:t xml:space="preserve"> </w:t>
            </w:r>
            <w:r>
              <w:rPr>
                <w:rFonts w:cs="Arial"/>
                <w:kern w:val="28"/>
                <w:lang w:eastAsia="en-ZW"/>
              </w:rPr>
              <w:t>und können in Bezug auf</w:t>
            </w:r>
            <w:r w:rsidRPr="00E402A8">
              <w:rPr>
                <w:rFonts w:cs="Arial"/>
                <w:kern w:val="28"/>
                <w:lang w:eastAsia="en-ZW"/>
              </w:rPr>
              <w:t xml:space="preserve"> </w:t>
            </w:r>
            <w:r>
              <w:rPr>
                <w:rFonts w:cs="Arial"/>
                <w:kern w:val="28"/>
                <w:lang w:eastAsia="en-ZW"/>
              </w:rPr>
              <w:t>die vorstehend erwähnten Hoheitsgebiete nur auf einer einheitlichen</w:t>
            </w:r>
            <w:r w:rsidRPr="00E402A8">
              <w:rPr>
                <w:rFonts w:cs="Arial"/>
                <w:kern w:val="28"/>
                <w:lang w:eastAsia="en-ZW"/>
              </w:rPr>
              <w:t xml:space="preserve"> </w:t>
            </w:r>
            <w:r>
              <w:rPr>
                <w:rFonts w:cs="Arial"/>
                <w:kern w:val="28"/>
                <w:lang w:eastAsia="en-ZW"/>
              </w:rPr>
              <w:t>Grundlage</w:t>
            </w:r>
            <w:r w:rsidRPr="00E402A8">
              <w:rPr>
                <w:rFonts w:cs="Arial"/>
                <w:kern w:val="28"/>
                <w:lang w:eastAsia="en-ZW"/>
              </w:rPr>
              <w:t xml:space="preserve"> </w:t>
            </w:r>
            <w:r>
              <w:rPr>
                <w:rFonts w:cs="Arial"/>
                <w:kern w:val="28"/>
                <w:lang w:eastAsia="en-ZW"/>
              </w:rPr>
              <w:t>erteilt oder</w:t>
            </w:r>
            <w:r w:rsidRPr="00E402A8">
              <w:rPr>
                <w:rFonts w:cs="Arial"/>
                <w:kern w:val="28"/>
                <w:lang w:eastAsia="en-ZW"/>
              </w:rPr>
              <w:t xml:space="preserve"> </w:t>
            </w:r>
            <w:r>
              <w:rPr>
                <w:rFonts w:cs="Arial"/>
                <w:kern w:val="28"/>
                <w:lang w:eastAsia="en-ZW"/>
              </w:rPr>
              <w:t>übertragen werden oder erlöschen</w:t>
            </w:r>
            <w:r w:rsidRPr="00E402A8">
              <w:rPr>
                <w:rFonts w:cs="Arial"/>
                <w:kern w:val="28"/>
                <w:lang w:eastAsia="en-ZW"/>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37</w:t>
            </w:r>
          </w:p>
          <w:p w:rsidR="00F93BD1" w:rsidRPr="00E402A8" w:rsidRDefault="00F93BD1" w:rsidP="006D5FBC">
            <w:pPr>
              <w:jc w:val="center"/>
              <w:rPr>
                <w:rFonts w:cs="Arial"/>
                <w:b/>
              </w:rPr>
            </w:pPr>
            <w:r>
              <w:rPr>
                <w:rFonts w:cs="Arial"/>
                <w:b/>
              </w:rPr>
              <w:t>Einheitliche Wirkung regionaler Züchterrechte</w:t>
            </w:r>
          </w:p>
          <w:p w:rsidR="00F93BD1" w:rsidRPr="00E402A8" w:rsidRDefault="00F93BD1" w:rsidP="006D5FBC">
            <w:pPr>
              <w:rPr>
                <w:rFonts w:cs="Arial"/>
              </w:rPr>
            </w:pPr>
          </w:p>
          <w:p w:rsidR="00F93BD1" w:rsidRPr="00E402A8" w:rsidRDefault="00F93BD1" w:rsidP="006D5FBC">
            <w:pPr>
              <w:rPr>
                <w:rFonts w:cs="Arial"/>
              </w:rPr>
            </w:pPr>
          </w:p>
          <w:p w:rsidR="00F93BD1" w:rsidRPr="00E402A8" w:rsidRDefault="00F93BD1" w:rsidP="006D5FBC">
            <w:pPr>
              <w:widowControl w:val="0"/>
              <w:tabs>
                <w:tab w:val="left" w:pos="-31680"/>
              </w:tabs>
              <w:rPr>
                <w:rFonts w:cs="Arial"/>
              </w:rPr>
            </w:pPr>
            <w:r>
              <w:rPr>
                <w:rFonts w:cs="Arial"/>
                <w:kern w:val="28"/>
                <w:lang w:eastAsia="en-ZW"/>
              </w:rPr>
              <w:t>Züchterrechte</w:t>
            </w:r>
            <w:r w:rsidRPr="00E402A8">
              <w:rPr>
                <w:rFonts w:cs="Arial"/>
                <w:kern w:val="28"/>
                <w:lang w:eastAsia="en-ZW"/>
              </w:rPr>
              <w:t xml:space="preserve"> </w:t>
            </w:r>
            <w:r>
              <w:rPr>
                <w:rFonts w:cs="Arial"/>
                <w:kern w:val="28"/>
                <w:lang w:eastAsia="en-ZW"/>
              </w:rPr>
              <w:t>haben eine</w:t>
            </w:r>
            <w:r w:rsidRPr="00E402A8">
              <w:rPr>
                <w:rFonts w:cs="Arial"/>
                <w:kern w:val="28"/>
                <w:lang w:eastAsia="en-ZW"/>
              </w:rPr>
              <w:t xml:space="preserve"> </w:t>
            </w:r>
            <w:r>
              <w:rPr>
                <w:rFonts w:cs="Arial"/>
                <w:kern w:val="28"/>
                <w:lang w:eastAsia="en-ZW"/>
              </w:rPr>
              <w:t>einheitliche</w:t>
            </w:r>
            <w:r w:rsidRPr="00E402A8">
              <w:rPr>
                <w:rFonts w:cs="Arial"/>
                <w:kern w:val="28"/>
                <w:lang w:eastAsia="en-ZW"/>
              </w:rPr>
              <w:t xml:space="preserve"> </w:t>
            </w:r>
            <w:r>
              <w:rPr>
                <w:rFonts w:cs="Arial"/>
                <w:kern w:val="28"/>
                <w:lang w:eastAsia="en-ZW"/>
              </w:rPr>
              <w:t>Wirkung in den Hoheitsgebieten</w:t>
            </w:r>
            <w:r w:rsidRPr="00E402A8">
              <w:rPr>
                <w:rFonts w:cs="Arial"/>
                <w:kern w:val="28"/>
                <w:lang w:eastAsia="en-ZW"/>
              </w:rPr>
              <w:t xml:space="preserve"> </w:t>
            </w:r>
            <w:r>
              <w:rPr>
                <w:rFonts w:cs="Arial"/>
                <w:kern w:val="28"/>
                <w:lang w:eastAsia="en-ZW"/>
              </w:rPr>
              <w:t>der</w:t>
            </w:r>
            <w:r w:rsidRPr="00E402A8">
              <w:rPr>
                <w:rFonts w:cs="Arial"/>
                <w:kern w:val="28"/>
                <w:lang w:eastAsia="en-ZW"/>
              </w:rPr>
              <w:t xml:space="preserve"> </w:t>
            </w:r>
            <w:r>
              <w:rPr>
                <w:rFonts w:cs="Arial"/>
                <w:kern w:val="28"/>
                <w:lang w:eastAsia="en-ZW"/>
              </w:rPr>
              <w:t>bezeichneten</w:t>
            </w:r>
            <w:r w:rsidRPr="00E402A8">
              <w:rPr>
                <w:rFonts w:cs="Arial"/>
                <w:kern w:val="28"/>
                <w:lang w:eastAsia="en-ZW"/>
              </w:rPr>
              <w:t xml:space="preserve"> </w:t>
            </w:r>
            <w:r>
              <w:rPr>
                <w:rFonts w:cs="Arial"/>
                <w:kern w:val="28"/>
                <w:lang w:eastAsia="en-ZW"/>
              </w:rPr>
              <w:t>Vertragsstaaten, in denen die Züchterrechte</w:t>
            </w:r>
            <w:r w:rsidRPr="00E402A8">
              <w:rPr>
                <w:rFonts w:cs="Arial"/>
                <w:kern w:val="28"/>
                <w:lang w:eastAsia="en-ZW"/>
              </w:rPr>
              <w:t xml:space="preserve"> </w:t>
            </w:r>
            <w:r>
              <w:rPr>
                <w:rFonts w:cs="Arial"/>
                <w:kern w:val="28"/>
                <w:lang w:eastAsia="en-ZW"/>
              </w:rPr>
              <w:t xml:space="preserve">erteilt wurden. </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38 </w:t>
            </w:r>
          </w:p>
          <w:p w:rsidR="00F93BD1" w:rsidRPr="00E402A8" w:rsidRDefault="00F93BD1" w:rsidP="006D5FBC">
            <w:pPr>
              <w:jc w:val="center"/>
              <w:rPr>
                <w:rFonts w:cs="Arial"/>
                <w:b/>
              </w:rPr>
            </w:pPr>
            <w:r>
              <w:rPr>
                <w:rFonts w:cs="Arial"/>
                <w:b/>
              </w:rPr>
              <w:t>Nationale Züchterrechte für Sorten</w:t>
            </w:r>
            <w:r w:rsidRPr="00E402A8">
              <w:rPr>
                <w:rFonts w:cs="Arial"/>
                <w:b/>
              </w:rPr>
              <w:t xml:space="preserve"> </w:t>
            </w:r>
          </w:p>
          <w:p w:rsidR="00F93BD1" w:rsidRPr="00E402A8" w:rsidRDefault="00F93BD1" w:rsidP="006D5FBC">
            <w:pPr>
              <w:jc w:val="center"/>
              <w:rPr>
                <w:rFonts w:cs="Arial"/>
                <w:b/>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38 </w:t>
            </w:r>
          </w:p>
          <w:p w:rsidR="00F93BD1" w:rsidRPr="00E402A8" w:rsidRDefault="00F93BD1" w:rsidP="006D5FBC">
            <w:pPr>
              <w:jc w:val="center"/>
              <w:rPr>
                <w:rFonts w:cs="Arial"/>
                <w:b/>
              </w:rPr>
            </w:pPr>
            <w:r>
              <w:rPr>
                <w:rFonts w:cs="Arial"/>
                <w:b/>
              </w:rPr>
              <w:t>Nationale Züchterrechte für Sorten</w:t>
            </w:r>
          </w:p>
          <w:p w:rsidR="00F93BD1" w:rsidRPr="00E402A8" w:rsidRDefault="00F93BD1" w:rsidP="006D5FBC">
            <w:pPr>
              <w:jc w:val="center"/>
              <w:rPr>
                <w:rFonts w:cs="Arial"/>
                <w:b/>
              </w:rPr>
            </w:pPr>
            <w:r w:rsidRPr="00E402A8">
              <w:rPr>
                <w:rFonts w:cs="Arial"/>
                <w:b/>
              </w:rPr>
              <w:t xml:space="preserve"> </w:t>
            </w:r>
          </w:p>
          <w:p w:rsidR="00F93BD1" w:rsidRPr="00E402A8" w:rsidRDefault="00F93BD1" w:rsidP="006D5FBC">
            <w:pPr>
              <w:rPr>
                <w:rFonts w:cs="Arial"/>
              </w:rPr>
            </w:pPr>
            <w:r>
              <w:rPr>
                <w:rFonts w:cs="Arial"/>
              </w:rPr>
              <w:t xml:space="preserve">Dieses </w:t>
            </w:r>
            <w:r w:rsidRPr="00E402A8">
              <w:rPr>
                <w:rFonts w:cs="Arial"/>
              </w:rPr>
              <w:t>Protokoll</w:t>
            </w:r>
            <w:r>
              <w:rPr>
                <w:rFonts w:cs="Arial"/>
              </w:rPr>
              <w:t xml:space="preserve"> gilt unbeschadet des Rechtes der Vertragsstaaten</w:t>
            </w:r>
            <w:r w:rsidRPr="00E402A8">
              <w:rPr>
                <w:rFonts w:cs="Arial"/>
              </w:rPr>
              <w:t xml:space="preserve"> </w:t>
            </w:r>
            <w:r>
              <w:rPr>
                <w:rFonts w:cs="Arial"/>
              </w:rPr>
              <w:t>auf</w:t>
            </w:r>
            <w:r w:rsidRPr="00E402A8">
              <w:rPr>
                <w:rFonts w:cs="Arial"/>
              </w:rPr>
              <w:t xml:space="preserve"> </w:t>
            </w:r>
            <w:r>
              <w:rPr>
                <w:rFonts w:cs="Arial"/>
              </w:rPr>
              <w:t>Erteilung</w:t>
            </w:r>
            <w:r w:rsidRPr="00E402A8">
              <w:rPr>
                <w:rFonts w:cs="Arial"/>
              </w:rPr>
              <w:t xml:space="preserve"> national</w:t>
            </w:r>
            <w:r>
              <w:rPr>
                <w:rFonts w:cs="Arial"/>
              </w:rPr>
              <w:t>er</w:t>
            </w:r>
            <w:r w:rsidRPr="00E402A8">
              <w:rPr>
                <w:rFonts w:cs="Arial"/>
              </w:rPr>
              <w:t xml:space="preserve"> </w:t>
            </w:r>
            <w:r>
              <w:rPr>
                <w:rFonts w:cs="Arial"/>
              </w:rPr>
              <w:t>Züchterrechte für Sorten</w:t>
            </w:r>
            <w:r w:rsidRPr="00E402A8">
              <w:rPr>
                <w:rFonts w:cs="Arial"/>
              </w:rPr>
              <w:t xml:space="preserve">, </w:t>
            </w:r>
            <w:r>
              <w:rPr>
                <w:rFonts w:cs="Arial"/>
              </w:rPr>
              <w:t>vorbehaltlich</w:t>
            </w:r>
            <w:r w:rsidRPr="00E402A8">
              <w:rPr>
                <w:rFonts w:cs="Arial"/>
              </w:rPr>
              <w:t xml:space="preserve"> </w:t>
            </w:r>
            <w:r>
              <w:rPr>
                <w:rFonts w:cs="Arial"/>
              </w:rPr>
              <w:t>der Bestimmungen in Artikel</w:t>
            </w:r>
            <w:r w:rsidRPr="00E402A8">
              <w:rPr>
                <w:rFonts w:cs="Arial"/>
              </w:rPr>
              <w:t xml:space="preserve"> 39. </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38 </w:t>
            </w:r>
          </w:p>
          <w:p w:rsidR="00F93BD1" w:rsidRPr="00E402A8" w:rsidRDefault="00F93BD1" w:rsidP="006D5FBC">
            <w:pPr>
              <w:jc w:val="center"/>
              <w:rPr>
                <w:rFonts w:cs="Arial"/>
                <w:b/>
              </w:rPr>
            </w:pPr>
            <w:r>
              <w:rPr>
                <w:rFonts w:cs="Arial"/>
                <w:b/>
              </w:rPr>
              <w:t>Nationale Züchterrechte für Sorten</w:t>
            </w:r>
            <w:r w:rsidRPr="00E402A8">
              <w:rPr>
                <w:rFonts w:cs="Arial"/>
                <w:b/>
              </w:rPr>
              <w:t xml:space="preserve"> </w:t>
            </w:r>
          </w:p>
          <w:p w:rsidR="00F93BD1" w:rsidRPr="00E402A8" w:rsidRDefault="00F93BD1" w:rsidP="006D5FBC">
            <w:pPr>
              <w:jc w:val="center"/>
              <w:rPr>
                <w:rFonts w:cs="Arial"/>
                <w:b/>
              </w:rPr>
            </w:pPr>
          </w:p>
          <w:p w:rsidR="00F93BD1" w:rsidRPr="00E402A8" w:rsidRDefault="00F93BD1" w:rsidP="006D5FBC">
            <w:pPr>
              <w:rPr>
                <w:rFonts w:cs="Arial"/>
              </w:rPr>
            </w:pPr>
            <w:r>
              <w:rPr>
                <w:rFonts w:cs="Arial"/>
              </w:rPr>
              <w:t xml:space="preserve">Dieses </w:t>
            </w:r>
            <w:r w:rsidRPr="00E402A8">
              <w:rPr>
                <w:rFonts w:cs="Arial"/>
              </w:rPr>
              <w:t>Protokoll</w:t>
            </w:r>
            <w:r>
              <w:rPr>
                <w:rFonts w:cs="Arial"/>
              </w:rPr>
              <w:t xml:space="preserve"> gilt unbeschadet des Rechtes der Vertragsstaaten</w:t>
            </w:r>
            <w:r w:rsidRPr="00E402A8">
              <w:rPr>
                <w:rFonts w:cs="Arial"/>
              </w:rPr>
              <w:t xml:space="preserve"> </w:t>
            </w:r>
            <w:r>
              <w:rPr>
                <w:rFonts w:cs="Arial"/>
              </w:rPr>
              <w:t>auf</w:t>
            </w:r>
            <w:r w:rsidRPr="00E402A8">
              <w:rPr>
                <w:rFonts w:cs="Arial"/>
              </w:rPr>
              <w:t xml:space="preserve"> </w:t>
            </w:r>
            <w:r>
              <w:rPr>
                <w:rFonts w:cs="Arial"/>
              </w:rPr>
              <w:t>Erteilung</w:t>
            </w:r>
            <w:r w:rsidRPr="00E402A8">
              <w:rPr>
                <w:rFonts w:cs="Arial"/>
              </w:rPr>
              <w:t xml:space="preserve"> national</w:t>
            </w:r>
            <w:r>
              <w:rPr>
                <w:rFonts w:cs="Arial"/>
              </w:rPr>
              <w:t>er</w:t>
            </w:r>
            <w:r w:rsidRPr="00E402A8">
              <w:rPr>
                <w:rFonts w:cs="Arial"/>
              </w:rPr>
              <w:t xml:space="preserve"> </w:t>
            </w:r>
            <w:r>
              <w:rPr>
                <w:rFonts w:cs="Arial"/>
              </w:rPr>
              <w:t>Züchterrechte für Sorten.</w:t>
            </w: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39</w:t>
            </w:r>
          </w:p>
          <w:p w:rsidR="00F93BD1" w:rsidRPr="00E402A8" w:rsidRDefault="00F93BD1" w:rsidP="006D5FBC">
            <w:pPr>
              <w:jc w:val="center"/>
              <w:rPr>
                <w:rFonts w:cs="Arial"/>
                <w:b/>
              </w:rPr>
            </w:pPr>
            <w:r>
              <w:rPr>
                <w:rFonts w:cs="Arial"/>
                <w:b/>
              </w:rPr>
              <w:t>Verbot des kumulativen Schutzes</w:t>
            </w:r>
          </w:p>
          <w:p w:rsidR="00F93BD1" w:rsidRPr="00E402A8" w:rsidRDefault="00F93BD1" w:rsidP="006D5FBC">
            <w:pPr>
              <w:jc w:val="center"/>
              <w:rPr>
                <w:rFonts w:cs="Arial"/>
                <w:b/>
              </w:rPr>
            </w:pPr>
          </w:p>
          <w:p w:rsidR="00F93BD1" w:rsidRPr="00E402A8" w:rsidRDefault="00F93BD1" w:rsidP="006D5FBC">
            <w:pPr>
              <w:widowControl w:val="0"/>
              <w:rPr>
                <w:rFonts w:cs="Arial"/>
                <w:kern w:val="28"/>
                <w:lang w:eastAsia="en-ZW"/>
              </w:rPr>
            </w:pPr>
            <w:r w:rsidRPr="00E402A8">
              <w:rPr>
                <w:rFonts w:cs="Arial"/>
                <w:kern w:val="28"/>
                <w:lang w:eastAsia="en-ZW"/>
              </w:rPr>
              <w:t> </w:t>
            </w:r>
          </w:p>
          <w:p w:rsidR="00F93BD1" w:rsidRPr="00E402A8" w:rsidRDefault="00F93BD1" w:rsidP="006D5FBC">
            <w:pPr>
              <w:jc w:val="center"/>
              <w:rPr>
                <w:rFonts w:cs="Arial"/>
              </w:rPr>
            </w:pP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39</w:t>
            </w:r>
          </w:p>
          <w:p w:rsidR="00F93BD1" w:rsidRPr="00E402A8" w:rsidRDefault="00F93BD1" w:rsidP="006D5FBC">
            <w:pPr>
              <w:jc w:val="center"/>
              <w:rPr>
                <w:rFonts w:cs="Arial"/>
                <w:b/>
              </w:rPr>
            </w:pPr>
            <w:r>
              <w:rPr>
                <w:rFonts w:cs="Arial"/>
                <w:b/>
              </w:rPr>
              <w:t>Verbot des kumulativen Schutzes</w:t>
            </w:r>
          </w:p>
          <w:p w:rsidR="00F93BD1" w:rsidRPr="00E402A8" w:rsidRDefault="00F93BD1" w:rsidP="006D5FBC">
            <w:pPr>
              <w:jc w:val="center"/>
              <w:rPr>
                <w:rFonts w:cs="Arial"/>
                <w:b/>
              </w:rPr>
            </w:pPr>
          </w:p>
          <w:p w:rsidR="00F93BD1" w:rsidRPr="00E402A8" w:rsidRDefault="00F93BD1" w:rsidP="006D5FBC">
            <w:pPr>
              <w:widowControl w:val="0"/>
              <w:tabs>
                <w:tab w:val="left" w:pos="-31680"/>
              </w:tabs>
              <w:rPr>
                <w:rFonts w:cs="Arial"/>
                <w:kern w:val="28"/>
                <w:lang w:eastAsia="en-ZW"/>
              </w:rPr>
            </w:pPr>
            <w:r>
              <w:rPr>
                <w:rFonts w:cs="Arial"/>
                <w:kern w:val="28"/>
                <w:lang w:eastAsia="en-ZW"/>
              </w:rPr>
              <w:t>Wurde einem</w:t>
            </w:r>
            <w:r w:rsidRPr="00E402A8">
              <w:rPr>
                <w:rFonts w:cs="Arial"/>
                <w:kern w:val="28"/>
                <w:lang w:eastAsia="en-ZW"/>
              </w:rPr>
              <w:t xml:space="preserve"> </w:t>
            </w:r>
            <w:r>
              <w:rPr>
                <w:rFonts w:cs="Arial"/>
                <w:kern w:val="28"/>
                <w:lang w:eastAsia="en-ZW"/>
              </w:rPr>
              <w:t>Inhaber</w:t>
            </w:r>
            <w:r w:rsidRPr="00E402A8">
              <w:rPr>
                <w:rFonts w:cs="Arial"/>
                <w:kern w:val="28"/>
                <w:lang w:eastAsia="en-ZW"/>
              </w:rPr>
              <w:t xml:space="preserve"> </w:t>
            </w:r>
            <w:r>
              <w:rPr>
                <w:rFonts w:cs="Arial"/>
                <w:kern w:val="28"/>
                <w:lang w:eastAsia="en-ZW"/>
              </w:rPr>
              <w:t>eines Züchterrechts</w:t>
            </w:r>
            <w:r w:rsidRPr="00E402A8">
              <w:rPr>
                <w:rFonts w:cs="Arial"/>
                <w:kern w:val="28"/>
                <w:lang w:eastAsia="en-ZW"/>
              </w:rPr>
              <w:t xml:space="preserve"> </w:t>
            </w:r>
            <w:r>
              <w:rPr>
                <w:rFonts w:cs="Arial"/>
                <w:kern w:val="28"/>
                <w:lang w:eastAsia="en-ZW"/>
              </w:rPr>
              <w:t>vor der Erteilung</w:t>
            </w:r>
            <w:r w:rsidRPr="00E402A8">
              <w:rPr>
                <w:rFonts w:cs="Arial"/>
                <w:kern w:val="28"/>
                <w:lang w:eastAsia="en-ZW"/>
              </w:rPr>
              <w:t xml:space="preserve"> </w:t>
            </w:r>
            <w:r>
              <w:rPr>
                <w:rFonts w:cs="Arial"/>
                <w:kern w:val="28"/>
                <w:lang w:eastAsia="en-ZW"/>
              </w:rPr>
              <w:t>des</w:t>
            </w:r>
            <w:r w:rsidRPr="00E402A8">
              <w:rPr>
                <w:rFonts w:cs="Arial"/>
                <w:kern w:val="28"/>
                <w:lang w:eastAsia="en-ZW"/>
              </w:rPr>
              <w:t xml:space="preserve"> regional</w:t>
            </w:r>
            <w:r>
              <w:rPr>
                <w:rFonts w:cs="Arial"/>
                <w:kern w:val="28"/>
                <w:lang w:eastAsia="en-ZW"/>
              </w:rPr>
              <w:t>en</w:t>
            </w:r>
            <w:r w:rsidRPr="00E402A8">
              <w:rPr>
                <w:rFonts w:cs="Arial"/>
                <w:kern w:val="28"/>
                <w:lang w:eastAsia="en-ZW"/>
              </w:rPr>
              <w:t xml:space="preserve"> </w:t>
            </w:r>
            <w:r>
              <w:rPr>
                <w:rFonts w:cs="Arial"/>
                <w:kern w:val="28"/>
                <w:lang w:eastAsia="en-ZW"/>
              </w:rPr>
              <w:t>Züchterrechts ein anderes Züchterrecht für dieselbe Sorte</w:t>
            </w:r>
            <w:r w:rsidRPr="00E402A8">
              <w:rPr>
                <w:rFonts w:cs="Arial"/>
                <w:kern w:val="28"/>
                <w:lang w:eastAsia="en-ZW"/>
              </w:rPr>
              <w:t xml:space="preserve"> </w:t>
            </w:r>
            <w:r>
              <w:rPr>
                <w:rFonts w:cs="Arial"/>
                <w:kern w:val="28"/>
                <w:lang w:eastAsia="en-ZW"/>
              </w:rPr>
              <w:t>erteilt, kann betroffener Züchter</w:t>
            </w:r>
            <w:r w:rsidRPr="00E402A8">
              <w:rPr>
                <w:rFonts w:cs="Arial"/>
                <w:kern w:val="28"/>
                <w:lang w:eastAsia="en-ZW"/>
              </w:rPr>
              <w:t xml:space="preserve"> </w:t>
            </w:r>
            <w:r>
              <w:rPr>
                <w:rFonts w:cs="Arial"/>
                <w:kern w:val="28"/>
                <w:lang w:eastAsia="en-ZW"/>
              </w:rPr>
              <w:t xml:space="preserve">die </w:t>
            </w:r>
            <w:r w:rsidRPr="008B011A">
              <w:rPr>
                <w:rFonts w:cs="Arial"/>
                <w:kern w:val="28"/>
                <w:lang w:eastAsia="en-ZW"/>
              </w:rPr>
              <w:t xml:space="preserve">mit dem Schutz </w:t>
            </w:r>
            <w:r>
              <w:rPr>
                <w:rFonts w:cs="Arial"/>
                <w:kern w:val="28"/>
                <w:lang w:eastAsia="en-ZW"/>
              </w:rPr>
              <w:t>für die</w:t>
            </w:r>
            <w:r w:rsidRPr="00E402A8">
              <w:rPr>
                <w:rFonts w:cs="Arial"/>
                <w:kern w:val="28"/>
                <w:lang w:eastAsia="en-ZW"/>
              </w:rPr>
              <w:t xml:space="preserve"> </w:t>
            </w:r>
            <w:r>
              <w:rPr>
                <w:rFonts w:cs="Arial"/>
                <w:kern w:val="28"/>
                <w:lang w:eastAsia="en-ZW"/>
              </w:rPr>
              <w:t>Sorte</w:t>
            </w:r>
            <w:r w:rsidRPr="008B011A">
              <w:rPr>
                <w:rFonts w:cs="Arial"/>
                <w:kern w:val="28"/>
                <w:lang w:eastAsia="en-ZW"/>
              </w:rPr>
              <w:t xml:space="preserve"> übertragenen Rechte </w:t>
            </w:r>
            <w:r>
              <w:rPr>
                <w:rFonts w:cs="Arial"/>
                <w:kern w:val="28"/>
                <w:lang w:eastAsia="en-ZW"/>
              </w:rPr>
              <w:t>nicht geltend machen, solange das</w:t>
            </w:r>
            <w:r w:rsidRPr="00E402A8">
              <w:rPr>
                <w:rFonts w:cs="Arial"/>
                <w:kern w:val="28"/>
                <w:lang w:eastAsia="en-ZW"/>
              </w:rPr>
              <w:t xml:space="preserve"> regional</w:t>
            </w:r>
            <w:r>
              <w:rPr>
                <w:rFonts w:cs="Arial"/>
                <w:kern w:val="28"/>
                <w:lang w:eastAsia="en-ZW"/>
              </w:rPr>
              <w:t>e Züchterrecht</w:t>
            </w:r>
            <w:r w:rsidRPr="00E402A8">
              <w:rPr>
                <w:rFonts w:cs="Arial"/>
                <w:kern w:val="28"/>
                <w:lang w:eastAsia="en-ZW"/>
              </w:rPr>
              <w:t xml:space="preserve"> </w:t>
            </w:r>
            <w:r>
              <w:rPr>
                <w:rFonts w:cs="Arial"/>
                <w:kern w:val="28"/>
                <w:lang w:eastAsia="en-ZW"/>
              </w:rPr>
              <w:t>wirksam bleibt</w:t>
            </w:r>
            <w:r w:rsidRPr="00E402A8">
              <w:rPr>
                <w:rFonts w:cs="Arial"/>
                <w:kern w:val="28"/>
                <w:lang w:eastAsia="en-ZW"/>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39</w:t>
            </w:r>
          </w:p>
          <w:p w:rsidR="00F93BD1" w:rsidRPr="00E402A8" w:rsidRDefault="00F93BD1" w:rsidP="006D5FBC">
            <w:pPr>
              <w:jc w:val="center"/>
              <w:rPr>
                <w:rFonts w:cs="Arial"/>
                <w:b/>
              </w:rPr>
            </w:pPr>
            <w:r>
              <w:rPr>
                <w:rFonts w:cs="Arial"/>
                <w:b/>
              </w:rPr>
              <w:t>Verbot des kumulativen Schutzes</w:t>
            </w:r>
          </w:p>
          <w:p w:rsidR="00F93BD1" w:rsidRPr="00E402A8" w:rsidRDefault="00F93BD1" w:rsidP="006D5FBC">
            <w:pPr>
              <w:rPr>
                <w:rFonts w:cs="Arial"/>
                <w:b/>
              </w:rPr>
            </w:pPr>
          </w:p>
          <w:p w:rsidR="00F93BD1" w:rsidRPr="00E402A8" w:rsidRDefault="00F93BD1" w:rsidP="006D5FBC">
            <w:pPr>
              <w:widowControl w:val="0"/>
              <w:tabs>
                <w:tab w:val="left" w:pos="-31680"/>
              </w:tabs>
              <w:rPr>
                <w:rFonts w:cs="Arial"/>
                <w:i/>
                <w:strike/>
                <w:kern w:val="28"/>
                <w:lang w:eastAsia="en-ZW"/>
              </w:rPr>
            </w:pPr>
            <w:r>
              <w:rPr>
                <w:rFonts w:cs="Arial"/>
                <w:b/>
                <w:i/>
              </w:rPr>
              <w:t>Artikel</w:t>
            </w:r>
            <w:r w:rsidRPr="00E402A8">
              <w:rPr>
                <w:rFonts w:cs="Arial"/>
                <w:b/>
                <w:i/>
              </w:rPr>
              <w:t xml:space="preserve"> </w:t>
            </w:r>
            <w:r>
              <w:rPr>
                <w:rFonts w:cs="Arial"/>
                <w:b/>
                <w:i/>
              </w:rPr>
              <w:t>gelöscht</w:t>
            </w:r>
          </w:p>
          <w:p w:rsidR="00F93BD1" w:rsidRPr="00E402A8" w:rsidRDefault="00F93BD1" w:rsidP="006D5FBC">
            <w:pPr>
              <w:widowControl w:val="0"/>
              <w:rPr>
                <w:rFonts w:cs="Arial"/>
                <w:kern w:val="28"/>
                <w:lang w:eastAsia="en-ZW"/>
              </w:rPr>
            </w:pPr>
            <w:r w:rsidRPr="00E402A8">
              <w:rPr>
                <w:rFonts w:cs="Arial"/>
                <w:kern w:val="28"/>
                <w:lang w:eastAsia="en-ZW"/>
              </w:rPr>
              <w:t> </w:t>
            </w:r>
          </w:p>
          <w:p w:rsidR="00F93BD1" w:rsidRPr="00E402A8" w:rsidRDefault="00F93BD1" w:rsidP="006D5FBC">
            <w:pPr>
              <w:rPr>
                <w:rFonts w:cs="Arial"/>
              </w:rPr>
            </w:pPr>
          </w:p>
        </w:tc>
      </w:tr>
      <w:tr w:rsidR="00F93BD1" w:rsidRPr="0062392F" w:rsidTr="006D5FBC">
        <w:trPr>
          <w:cantSplit/>
        </w:trPr>
        <w:tc>
          <w:tcPr>
            <w:tcW w:w="2159"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40</w:t>
            </w:r>
          </w:p>
          <w:p w:rsidR="00F93BD1" w:rsidRPr="00E402A8" w:rsidRDefault="00F93BD1" w:rsidP="006D5FBC">
            <w:pPr>
              <w:jc w:val="center"/>
              <w:rPr>
                <w:rFonts w:cs="Arial"/>
                <w:b/>
              </w:rPr>
            </w:pPr>
            <w:r>
              <w:rPr>
                <w:rFonts w:cs="Arial"/>
                <w:b/>
              </w:rPr>
              <w:t>Inkrafttreten</w:t>
            </w:r>
          </w:p>
          <w:p w:rsidR="00F93BD1" w:rsidRPr="00E402A8" w:rsidRDefault="00F93BD1" w:rsidP="006D5FBC">
            <w:pPr>
              <w:rPr>
                <w:rFonts w:cs="Arial"/>
              </w:rPr>
            </w:pPr>
          </w:p>
          <w:p w:rsidR="00F93BD1" w:rsidRPr="00E402A8" w:rsidRDefault="00F93BD1" w:rsidP="006D5FBC">
            <w:pPr>
              <w:rPr>
                <w:rFonts w:cs="Arial"/>
              </w:rPr>
            </w:pPr>
            <w:r>
              <w:rPr>
                <w:rFonts w:cs="Arial"/>
              </w:rPr>
              <w:t>3)</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41</w:t>
            </w:r>
          </w:p>
          <w:p w:rsidR="00F93BD1" w:rsidRPr="00E402A8" w:rsidRDefault="00F93BD1" w:rsidP="006D5FBC">
            <w:pPr>
              <w:jc w:val="center"/>
              <w:rPr>
                <w:rFonts w:cs="Arial"/>
                <w:b/>
              </w:rPr>
            </w:pPr>
            <w:r>
              <w:rPr>
                <w:rFonts w:cs="Arial"/>
                <w:b/>
              </w:rPr>
              <w:t>Inkrafttreten</w:t>
            </w:r>
          </w:p>
          <w:p w:rsidR="00F93BD1" w:rsidRPr="00E402A8" w:rsidRDefault="00F93BD1" w:rsidP="006D5FBC">
            <w:pPr>
              <w:rPr>
                <w:rFonts w:cs="Arial"/>
              </w:rPr>
            </w:pPr>
          </w:p>
          <w:p w:rsidR="00F93BD1" w:rsidRPr="00E402A8" w:rsidRDefault="00F93BD1" w:rsidP="006D5FBC">
            <w:pPr>
              <w:rPr>
                <w:rFonts w:cs="Arial"/>
              </w:rPr>
            </w:pPr>
            <w:r w:rsidRPr="00E402A8">
              <w:rPr>
                <w:rFonts w:cs="Arial"/>
              </w:rPr>
              <w:t xml:space="preserve">3) </w:t>
            </w:r>
            <w:r>
              <w:rPr>
                <w:rFonts w:cs="Arial"/>
              </w:rPr>
              <w:t xml:space="preserve">Dieses </w:t>
            </w:r>
            <w:r w:rsidRPr="00E402A8">
              <w:rPr>
                <w:rFonts w:cs="Arial"/>
              </w:rPr>
              <w:t>Protokoll</w:t>
            </w:r>
            <w:r>
              <w:rPr>
                <w:rFonts w:cs="Arial"/>
              </w:rPr>
              <w:t xml:space="preserve"> tritt drei Monate, nachdem vier Staaten ihre Ratifikations- oder Beitrittsurkunde hinterlegt haben, in Kraft.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40</w:t>
            </w:r>
          </w:p>
          <w:p w:rsidR="00F93BD1" w:rsidRPr="00E402A8" w:rsidRDefault="00F93BD1" w:rsidP="006D5FBC">
            <w:pPr>
              <w:jc w:val="center"/>
              <w:rPr>
                <w:rFonts w:cs="Arial"/>
                <w:b/>
              </w:rPr>
            </w:pPr>
            <w:r>
              <w:rPr>
                <w:rFonts w:cs="Arial"/>
                <w:b/>
              </w:rPr>
              <w:t>Inkrafttreten</w:t>
            </w:r>
          </w:p>
          <w:p w:rsidR="00F93BD1" w:rsidRPr="00E402A8" w:rsidRDefault="00F93BD1" w:rsidP="006D5FBC">
            <w:pPr>
              <w:widowControl w:val="0"/>
              <w:rPr>
                <w:rFonts w:cs="Arial"/>
                <w:kern w:val="28"/>
                <w:lang w:eastAsia="en-ZW"/>
              </w:rPr>
            </w:pPr>
          </w:p>
          <w:p w:rsidR="00F93BD1" w:rsidRPr="00E402A8" w:rsidRDefault="00F93BD1" w:rsidP="006D5FBC">
            <w:pPr>
              <w:widowControl w:val="0"/>
              <w:rPr>
                <w:rFonts w:cs="Arial"/>
                <w:kern w:val="28"/>
                <w:lang w:eastAsia="en-ZW"/>
              </w:rPr>
            </w:pPr>
            <w:r w:rsidRPr="00E402A8">
              <w:rPr>
                <w:rFonts w:cs="Arial"/>
                <w:kern w:val="28"/>
                <w:lang w:eastAsia="en-ZW"/>
              </w:rPr>
              <w:t xml:space="preserve">3) </w:t>
            </w:r>
            <w:r>
              <w:rPr>
                <w:rFonts w:cs="Arial"/>
              </w:rPr>
              <w:t xml:space="preserve">Dieses </w:t>
            </w:r>
            <w:r w:rsidRPr="00E402A8">
              <w:rPr>
                <w:rFonts w:cs="Arial"/>
              </w:rPr>
              <w:t>Protokoll</w:t>
            </w:r>
            <w:r>
              <w:rPr>
                <w:rFonts w:cs="Arial"/>
              </w:rPr>
              <w:t xml:space="preserve"> tritt zwölf Monate, nachdem vier Staaten ihre Ratifikations- oder Beitrittsurkunde hinterlegt haben</w:t>
            </w:r>
            <w:r>
              <w:rPr>
                <w:rFonts w:cs="Arial"/>
                <w:kern w:val="28"/>
                <w:lang w:eastAsia="en-ZW"/>
              </w:rPr>
              <w:t>,</w:t>
            </w:r>
            <w:r>
              <w:rPr>
                <w:rFonts w:cs="Arial"/>
              </w:rPr>
              <w:t xml:space="preserve"> in Kraft.</w:t>
            </w:r>
          </w:p>
        </w:tc>
      </w:tr>
      <w:tr w:rsidR="00F93BD1" w:rsidRPr="00A92840" w:rsidTr="006D5FBC">
        <w:trPr>
          <w:cantSplit/>
        </w:trPr>
        <w:tc>
          <w:tcPr>
            <w:tcW w:w="2159" w:type="dxa"/>
            <w:tcBorders>
              <w:top w:val="single" w:sz="4" w:space="0" w:color="auto"/>
              <w:left w:val="single" w:sz="4" w:space="0" w:color="auto"/>
              <w:bottom w:val="single" w:sz="4" w:space="0" w:color="auto"/>
              <w:right w:val="single" w:sz="4" w:space="0" w:color="auto"/>
            </w:tcBorders>
            <w:hideMark/>
          </w:tcPr>
          <w:p w:rsidR="00F93BD1" w:rsidRPr="00E402A8" w:rsidRDefault="00F93BD1" w:rsidP="006D5FBC">
            <w:pPr>
              <w:jc w:val="center"/>
              <w:rPr>
                <w:rFonts w:cs="Arial"/>
                <w:b/>
              </w:rPr>
            </w:pPr>
            <w:r>
              <w:rPr>
                <w:rFonts w:cs="Arial"/>
                <w:b/>
              </w:rPr>
              <w:t>Artikel</w:t>
            </w:r>
            <w:r w:rsidRPr="00E402A8">
              <w:rPr>
                <w:rFonts w:cs="Arial"/>
                <w:b/>
              </w:rPr>
              <w:t xml:space="preserve"> 42 </w:t>
            </w:r>
          </w:p>
          <w:p w:rsidR="00F93BD1" w:rsidRPr="00E402A8" w:rsidRDefault="00F93BD1" w:rsidP="006D5FBC">
            <w:pPr>
              <w:jc w:val="center"/>
              <w:rPr>
                <w:rFonts w:cs="Arial"/>
                <w:b/>
              </w:rPr>
            </w:pPr>
            <w:r>
              <w:rPr>
                <w:rFonts w:cs="Arial"/>
                <w:b/>
              </w:rPr>
              <w:t>Unterzeichnung des Protokolls</w:t>
            </w:r>
          </w:p>
          <w:p w:rsidR="00F93BD1" w:rsidRPr="00E402A8" w:rsidRDefault="00F93BD1" w:rsidP="006D5FBC">
            <w:pPr>
              <w:rPr>
                <w:rFonts w:cs="Arial"/>
              </w:rPr>
            </w:pPr>
            <w:r>
              <w:rPr>
                <w:rFonts w:cs="Arial"/>
              </w:rPr>
              <w:t>1)</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43 </w:t>
            </w:r>
          </w:p>
          <w:p w:rsidR="00F93BD1" w:rsidRPr="00E402A8" w:rsidRDefault="00F93BD1" w:rsidP="006D5FBC">
            <w:pPr>
              <w:jc w:val="center"/>
              <w:rPr>
                <w:rFonts w:cs="Arial"/>
                <w:b/>
              </w:rPr>
            </w:pPr>
            <w:r>
              <w:rPr>
                <w:rFonts w:cs="Arial"/>
                <w:b/>
              </w:rPr>
              <w:t>Unterzeichnung des Protokolls</w:t>
            </w:r>
          </w:p>
          <w:p w:rsidR="00F93BD1" w:rsidRPr="00E402A8" w:rsidRDefault="00F93BD1" w:rsidP="006D5FBC">
            <w:pPr>
              <w:jc w:val="center"/>
              <w:rPr>
                <w:rFonts w:cs="Arial"/>
                <w:b/>
              </w:rPr>
            </w:pPr>
          </w:p>
          <w:p w:rsidR="00F93BD1" w:rsidRPr="00E402A8" w:rsidRDefault="00F93BD1" w:rsidP="006D5FBC">
            <w:pPr>
              <w:rPr>
                <w:rFonts w:cs="Arial"/>
              </w:rPr>
            </w:pPr>
            <w:r w:rsidRPr="00E402A8">
              <w:rPr>
                <w:rFonts w:cs="Arial"/>
              </w:rPr>
              <w:t xml:space="preserve">1) </w:t>
            </w:r>
            <w:r>
              <w:rPr>
                <w:rFonts w:cs="Arial"/>
              </w:rPr>
              <w:t xml:space="preserve">Dieses </w:t>
            </w:r>
            <w:r w:rsidRPr="00E402A8">
              <w:rPr>
                <w:rFonts w:cs="Arial"/>
              </w:rPr>
              <w:t>Protokoll</w:t>
            </w:r>
            <w:r>
              <w:rPr>
                <w:rFonts w:cs="Arial"/>
              </w:rPr>
              <w:t xml:space="preserve"> wird in einer einzigen Ausführung unterzeichnet </w:t>
            </w:r>
            <w:r w:rsidRPr="00E402A8">
              <w:rPr>
                <w:rFonts w:cs="Arial"/>
              </w:rPr>
              <w:t>und</w:t>
            </w:r>
            <w:r>
              <w:rPr>
                <w:rFonts w:cs="Arial"/>
              </w:rPr>
              <w:t xml:space="preserve"> beim Generaldirektor der</w:t>
            </w:r>
            <w:r w:rsidRPr="00E402A8">
              <w:rPr>
                <w:rFonts w:cs="Arial"/>
              </w:rPr>
              <w:t xml:space="preserve"> ARIPO</w:t>
            </w:r>
            <w:r>
              <w:rPr>
                <w:rFonts w:cs="Arial"/>
              </w:rPr>
              <w:t xml:space="preserve"> hinterlegt</w:t>
            </w:r>
            <w:r w:rsidRPr="00E402A8">
              <w:rPr>
                <w:rFonts w:cs="Arial"/>
              </w:rPr>
              <w:t>.</w:t>
            </w:r>
          </w:p>
        </w:tc>
        <w:tc>
          <w:tcPr>
            <w:tcW w:w="3740" w:type="dxa"/>
            <w:tcBorders>
              <w:top w:val="single" w:sz="4" w:space="0" w:color="auto"/>
              <w:left w:val="single" w:sz="4" w:space="0" w:color="auto"/>
              <w:bottom w:val="single" w:sz="4" w:space="0" w:color="auto"/>
              <w:right w:val="single" w:sz="4" w:space="0" w:color="auto"/>
            </w:tcBorders>
          </w:tcPr>
          <w:p w:rsidR="00F93BD1" w:rsidRPr="00E402A8" w:rsidRDefault="00F93BD1" w:rsidP="006D5FBC">
            <w:pPr>
              <w:jc w:val="center"/>
              <w:rPr>
                <w:rFonts w:cs="Arial"/>
                <w:b/>
              </w:rPr>
            </w:pPr>
            <w:r>
              <w:rPr>
                <w:rFonts w:cs="Arial"/>
                <w:b/>
              </w:rPr>
              <w:t>Artikel</w:t>
            </w:r>
            <w:r w:rsidRPr="00E402A8">
              <w:rPr>
                <w:rFonts w:cs="Arial"/>
                <w:b/>
              </w:rPr>
              <w:t xml:space="preserve"> 42 </w:t>
            </w:r>
          </w:p>
          <w:p w:rsidR="00F93BD1" w:rsidRPr="00E402A8" w:rsidRDefault="00F93BD1" w:rsidP="006D5FBC">
            <w:pPr>
              <w:jc w:val="center"/>
              <w:rPr>
                <w:rFonts w:cs="Arial"/>
                <w:b/>
              </w:rPr>
            </w:pPr>
            <w:r>
              <w:rPr>
                <w:rFonts w:cs="Arial"/>
                <w:b/>
              </w:rPr>
              <w:t>Unterzeichnung des Protokolls</w:t>
            </w:r>
          </w:p>
          <w:p w:rsidR="00F93BD1" w:rsidRPr="00E402A8" w:rsidRDefault="00F93BD1" w:rsidP="006D5FBC">
            <w:pPr>
              <w:jc w:val="center"/>
              <w:rPr>
                <w:rFonts w:cs="Arial"/>
                <w:b/>
              </w:rPr>
            </w:pPr>
          </w:p>
          <w:p w:rsidR="00F93BD1" w:rsidRPr="00E402A8" w:rsidRDefault="00F93BD1" w:rsidP="006D5FBC">
            <w:pPr>
              <w:rPr>
                <w:rFonts w:cs="Arial"/>
              </w:rPr>
            </w:pPr>
            <w:r w:rsidRPr="00E402A8">
              <w:rPr>
                <w:rFonts w:cs="Arial"/>
              </w:rPr>
              <w:t xml:space="preserve">1) </w:t>
            </w:r>
            <w:r>
              <w:rPr>
                <w:rFonts w:cs="Arial"/>
              </w:rPr>
              <w:t xml:space="preserve">Dieses </w:t>
            </w:r>
            <w:r w:rsidRPr="00E402A8">
              <w:rPr>
                <w:rFonts w:cs="Arial"/>
              </w:rPr>
              <w:t>Protokoll</w:t>
            </w:r>
            <w:r>
              <w:rPr>
                <w:rFonts w:cs="Arial"/>
              </w:rPr>
              <w:t xml:space="preserve"> wird in einer einzigen Ausführung unterzeichnet </w:t>
            </w:r>
            <w:r w:rsidRPr="00E402A8">
              <w:rPr>
                <w:rFonts w:cs="Arial"/>
              </w:rPr>
              <w:t>und</w:t>
            </w:r>
            <w:r>
              <w:rPr>
                <w:rFonts w:cs="Arial"/>
              </w:rPr>
              <w:t xml:space="preserve"> beim Generaldirektor der</w:t>
            </w:r>
            <w:r w:rsidRPr="00E402A8">
              <w:rPr>
                <w:rFonts w:cs="Arial"/>
              </w:rPr>
              <w:t xml:space="preserve"> ARIPO</w:t>
            </w:r>
            <w:r>
              <w:rPr>
                <w:rFonts w:cs="Arial"/>
              </w:rPr>
              <w:t xml:space="preserve"> hinterlegt</w:t>
            </w:r>
            <w:r w:rsidRPr="00E402A8">
              <w:rPr>
                <w:rFonts w:cs="Arial"/>
              </w:rPr>
              <w:t xml:space="preserve">. </w:t>
            </w:r>
            <w:r>
              <w:rPr>
                <w:rFonts w:cs="Arial"/>
              </w:rPr>
              <w:t>Es kann von den</w:t>
            </w:r>
            <w:r w:rsidRPr="00E402A8">
              <w:rPr>
                <w:rFonts w:cs="Arial"/>
              </w:rPr>
              <w:t xml:space="preserve"> Mitgliedstaaten </w:t>
            </w:r>
            <w:r>
              <w:rPr>
                <w:rFonts w:cs="Arial"/>
              </w:rPr>
              <w:t>der Organisation</w:t>
            </w:r>
            <w:r w:rsidRPr="00E402A8">
              <w:rPr>
                <w:rFonts w:cs="Arial"/>
              </w:rPr>
              <w:t xml:space="preserve"> und </w:t>
            </w:r>
            <w:r>
              <w:rPr>
                <w:rFonts w:cs="Arial"/>
              </w:rPr>
              <w:t>anderen</w:t>
            </w:r>
            <w:r w:rsidRPr="00E402A8">
              <w:rPr>
                <w:rFonts w:cs="Arial"/>
              </w:rPr>
              <w:t xml:space="preserve"> Sta</w:t>
            </w:r>
            <w:r>
              <w:rPr>
                <w:rFonts w:cs="Arial"/>
              </w:rPr>
              <w:t>aten</w:t>
            </w:r>
            <w:r w:rsidRPr="00E402A8">
              <w:rPr>
                <w:rFonts w:cs="Arial"/>
              </w:rPr>
              <w:t xml:space="preserve">, </w:t>
            </w:r>
            <w:r>
              <w:rPr>
                <w:rFonts w:cs="Arial"/>
              </w:rPr>
              <w:t xml:space="preserve">Mitgliedern der </w:t>
            </w:r>
            <w:r w:rsidRPr="00F506D3">
              <w:rPr>
                <w:rFonts w:cs="Arial"/>
              </w:rPr>
              <w:t>Afrikanischen Union</w:t>
            </w:r>
            <w:r>
              <w:rPr>
                <w:rFonts w:cs="Arial"/>
              </w:rPr>
              <w:t>,</w:t>
            </w:r>
            <w:r w:rsidRPr="00F506D3">
              <w:rPr>
                <w:rFonts w:cs="Arial"/>
              </w:rPr>
              <w:t xml:space="preserve"> </w:t>
            </w:r>
            <w:r>
              <w:rPr>
                <w:rFonts w:cs="Arial"/>
              </w:rPr>
              <w:t>bis zum</w:t>
            </w:r>
            <w:r w:rsidRPr="00E402A8">
              <w:rPr>
                <w:rFonts w:cs="Arial"/>
              </w:rPr>
              <w:t xml:space="preserve"> </w:t>
            </w:r>
            <w:r>
              <w:rPr>
                <w:rFonts w:cs="Arial"/>
              </w:rPr>
              <w:t xml:space="preserve">31. Dezember </w:t>
            </w:r>
            <w:r w:rsidRPr="00E402A8">
              <w:rPr>
                <w:rFonts w:cs="Arial"/>
              </w:rPr>
              <w:t>2015</w:t>
            </w:r>
            <w:r>
              <w:rPr>
                <w:rFonts w:cs="Arial"/>
              </w:rPr>
              <w:t xml:space="preserve"> unterzeichnet werden</w:t>
            </w:r>
            <w:r w:rsidRPr="00E402A8">
              <w:rPr>
                <w:rFonts w:cs="Arial"/>
              </w:rPr>
              <w:t>.</w:t>
            </w:r>
          </w:p>
        </w:tc>
      </w:tr>
    </w:tbl>
    <w:p w:rsidR="00F93BD1" w:rsidRPr="00E402A8" w:rsidRDefault="00F93BD1" w:rsidP="00F93BD1"/>
    <w:p w:rsidR="00F93BD1" w:rsidRPr="00E402A8" w:rsidRDefault="00F93BD1" w:rsidP="00F93BD1"/>
    <w:p w:rsidR="00C517EE" w:rsidRDefault="00C517EE" w:rsidP="00C517EE"/>
    <w:p w:rsidR="00C517EE" w:rsidRPr="0075031D" w:rsidRDefault="00C517EE" w:rsidP="00C517EE">
      <w:pPr>
        <w:jc w:val="right"/>
      </w:pPr>
      <w:r w:rsidRPr="0075031D">
        <w:t>[</w:t>
      </w:r>
      <w:r>
        <w:t>End</w:t>
      </w:r>
      <w:r w:rsidR="00DB5AC1">
        <w:t>e</w:t>
      </w:r>
      <w:r>
        <w:t xml:space="preserve"> </w:t>
      </w:r>
      <w:r w:rsidR="00DB5AC1">
        <w:t>der</w:t>
      </w:r>
      <w:r>
        <w:t xml:space="preserve"> </w:t>
      </w:r>
      <w:r w:rsidR="00DB5AC1">
        <w:t xml:space="preserve">Anlage </w:t>
      </w:r>
      <w:r>
        <w:t>XVIII</w:t>
      </w:r>
      <w:r w:rsidRPr="0075031D">
        <w:t xml:space="preserve"> </w:t>
      </w:r>
      <w:r w:rsidR="00DB5AC1">
        <w:t>und des Dokuments</w:t>
      </w:r>
      <w:r w:rsidRPr="0075031D">
        <w:t>]</w:t>
      </w:r>
    </w:p>
    <w:p w:rsidR="006B17D2" w:rsidRPr="00C517EE" w:rsidRDefault="006B17D2" w:rsidP="00475EF4"/>
    <w:sectPr w:rsidR="006B17D2" w:rsidRPr="00C517EE" w:rsidSect="00F93BD1">
      <w:headerReference w:type="default" r:id="rId4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FF3" w:rsidRDefault="00AF7FF3" w:rsidP="008929C0">
      <w:pPr>
        <w:spacing w:after="120"/>
      </w:pPr>
      <w:r>
        <w:separator/>
      </w:r>
    </w:p>
  </w:endnote>
  <w:endnote w:type="continuationSeparator" w:id="0">
    <w:p w:rsidR="00AF7FF3" w:rsidRDefault="00AF7FF3" w:rsidP="00F45372">
      <w:r>
        <w:separator/>
      </w:r>
    </w:p>
  </w:endnote>
  <w:endnote w:type="continuationNotice" w:id="1">
    <w:p w:rsidR="00AF7FF3" w:rsidRPr="008929C0" w:rsidRDefault="00AF7FF3" w:rsidP="008929C0">
      <w:pPr>
        <w:pStyle w:val="Footer"/>
      </w:pPr>
    </w:p>
  </w:endnote>
  <w:endnote w:id="2">
    <w:p w:rsidR="008929C0" w:rsidRPr="008929C0" w:rsidRDefault="008929C0" w:rsidP="008929C0">
      <w:pPr>
        <w:pStyle w:val="EndnoteText"/>
        <w:ind w:left="284" w:hanging="284"/>
        <w:rPr>
          <w:sz w:val="16"/>
        </w:rPr>
      </w:pPr>
      <w:r w:rsidRPr="00830F3A">
        <w:rPr>
          <w:rStyle w:val="EndnoteReference"/>
          <w:sz w:val="16"/>
        </w:rPr>
        <w:endnoteRef/>
      </w:r>
      <w:r w:rsidRPr="00830F3A">
        <w:rPr>
          <w:sz w:val="16"/>
        </w:rPr>
        <w:tab/>
        <w:t>Dieser Bericht übernimmt die Terminologie der Vereinten Nationen.</w:t>
      </w:r>
    </w:p>
    <w:p w:rsidR="008929C0" w:rsidRPr="00EF3858" w:rsidRDefault="008929C0" w:rsidP="008929C0"/>
    <w:p w:rsidR="008929C0" w:rsidRPr="00D365FF" w:rsidRDefault="008929C0" w:rsidP="008929C0">
      <w:pPr>
        <w:jc w:val="right"/>
      </w:pPr>
      <w:r>
        <w:t>[Anlage</w:t>
      </w:r>
      <w:r w:rsidRPr="0075031D">
        <w:t xml:space="preserve"> </w:t>
      </w:r>
      <w:r>
        <w:t>XVIII</w:t>
      </w:r>
      <w:r w:rsidRPr="0075031D">
        <w:t xml:space="preserve"> </w:t>
      </w:r>
      <w:r>
        <w:t>folgt]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MyriadPro-Light">
    <w:altName w:val="Arial Unicode MS"/>
    <w:panose1 w:val="00000000000000000000"/>
    <w:charset w:val="80"/>
    <w:family w:val="swiss"/>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FF3" w:rsidRDefault="00AF7FF3" w:rsidP="000979B7">
      <w:pPr>
        <w:spacing w:before="120"/>
      </w:pPr>
      <w:r>
        <w:separator/>
      </w:r>
    </w:p>
  </w:footnote>
  <w:footnote w:type="continuationSeparator" w:id="0">
    <w:p w:rsidR="00AF7FF3" w:rsidRDefault="00AF7FF3" w:rsidP="00F45372">
      <w:r>
        <w:separator/>
      </w:r>
    </w:p>
  </w:footnote>
  <w:footnote w:type="continuationNotice" w:id="1">
    <w:p w:rsidR="00AF7FF3" w:rsidRPr="00475EF4" w:rsidRDefault="00AF7FF3" w:rsidP="00475EF4">
      <w:pPr>
        <w:pStyle w:val="Footer"/>
      </w:pPr>
    </w:p>
  </w:footnote>
  <w:footnote w:id="2">
    <w:p w:rsidR="00AF7FF3" w:rsidRDefault="00AF7FF3" w:rsidP="00371832">
      <w:pPr>
        <w:pStyle w:val="FootnoteText"/>
      </w:pPr>
      <w:r>
        <w:rPr>
          <w:rStyle w:val="FootnoteReference"/>
        </w:rPr>
        <w:t>*</w:t>
      </w:r>
      <w:r>
        <w:rPr>
          <w:rStyle w:val="FootnoteReference"/>
        </w:rPr>
        <w:footnoteRef/>
      </w:r>
      <w:r>
        <w:tab/>
      </w:r>
      <w:proofErr w:type="gramStart"/>
      <w:r>
        <w:t xml:space="preserve">Anlagen auf </w:t>
      </w:r>
      <w:proofErr w:type="spellStart"/>
      <w:r>
        <w:t>Anfrage</w:t>
      </w:r>
      <w:proofErr w:type="spellEnd"/>
      <w:r>
        <w:t xml:space="preserve"> </w:t>
      </w:r>
      <w:proofErr w:type="spellStart"/>
      <w:r>
        <w:t>verfügbar</w:t>
      </w:r>
      <w:proofErr w:type="spellEnd"/>
      <w: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27491" w:rsidRDefault="00AF7FF3" w:rsidP="00EB048E">
    <w:pPr>
      <w:pStyle w:val="Header"/>
      <w:rPr>
        <w:rStyle w:val="PageNumber"/>
      </w:rPr>
    </w:pPr>
    <w:r>
      <w:rPr>
        <w:rStyle w:val="PageNumber"/>
      </w:rPr>
      <w:t>C/49/</w:t>
    </w:r>
  </w:p>
  <w:p w:rsidR="00AF7FF3" w:rsidRPr="00C27491" w:rsidRDefault="00AF7FF3" w:rsidP="00EB048E">
    <w:pPr>
      <w:pStyle w:val="Header"/>
    </w:pPr>
    <w:r w:rsidRPr="00C27491">
      <w:t xml:space="preserve">Seite </w:t>
    </w:r>
    <w:r w:rsidRPr="00C27491">
      <w:rPr>
        <w:rStyle w:val="PageNumber"/>
      </w:rPr>
      <w:fldChar w:fldCharType="begin"/>
    </w:r>
    <w:r w:rsidRPr="00C27491">
      <w:rPr>
        <w:rStyle w:val="PageNumber"/>
      </w:rPr>
      <w:instrText xml:space="preserve"> PAGE </w:instrText>
    </w:r>
    <w:r w:rsidRPr="00C27491">
      <w:rPr>
        <w:rStyle w:val="PageNumber"/>
      </w:rPr>
      <w:fldChar w:fldCharType="separate"/>
    </w:r>
    <w:r w:rsidR="004D195E">
      <w:rPr>
        <w:rStyle w:val="PageNumber"/>
        <w:noProof/>
      </w:rPr>
      <w:t>6</w:t>
    </w:r>
    <w:r w:rsidRPr="00C27491">
      <w:rPr>
        <w:rStyle w:val="PageNumber"/>
      </w:rPr>
      <w:fldChar w:fldCharType="end"/>
    </w:r>
  </w:p>
  <w:p w:rsidR="00AF7FF3" w:rsidRPr="00C27491" w:rsidRDefault="00AF7FF3" w:rsidP="00F4537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IX,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AF7FF3" w:rsidRPr="00C5280D" w:rsidRDefault="00AF7FF3" w:rsidP="00371832"/>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X,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4</w:t>
    </w:r>
    <w:r w:rsidRPr="00C5280D">
      <w:rPr>
        <w:rStyle w:val="PageNumber"/>
        <w:lang w:val="en-US"/>
      </w:rPr>
      <w:fldChar w:fldCharType="end"/>
    </w:r>
  </w:p>
  <w:p w:rsidR="00AF7FF3" w:rsidRPr="00C5280D" w:rsidRDefault="00AF7FF3" w:rsidP="0037183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XII,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2</w:t>
    </w:r>
    <w:r w:rsidRPr="00C5280D">
      <w:rPr>
        <w:rStyle w:val="PageNumber"/>
        <w:lang w:val="en-US"/>
      </w:rPr>
      <w:fldChar w:fldCharType="end"/>
    </w:r>
  </w:p>
  <w:p w:rsidR="00AF7FF3" w:rsidRPr="00C5280D" w:rsidRDefault="00AF7FF3" w:rsidP="0037183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XIV,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2</w:t>
    </w:r>
    <w:r w:rsidRPr="00C5280D">
      <w:rPr>
        <w:rStyle w:val="PageNumber"/>
        <w:lang w:val="en-US"/>
      </w:rPr>
      <w:fldChar w:fldCharType="end"/>
    </w:r>
  </w:p>
  <w:p w:rsidR="00AF7FF3" w:rsidRPr="00C5280D" w:rsidRDefault="00AF7FF3" w:rsidP="0037183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XV,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AF7FF3" w:rsidRPr="00C5280D" w:rsidRDefault="00AF7FF3" w:rsidP="0037183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XVI,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AF7FF3" w:rsidRPr="00C5280D" w:rsidRDefault="00AF7FF3" w:rsidP="0037183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XVII,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16</w:t>
    </w:r>
    <w:r w:rsidRPr="00C5280D">
      <w:rPr>
        <w:rStyle w:val="PageNumber"/>
        <w:lang w:val="en-US"/>
      </w:rPr>
      <w:fldChar w:fldCharType="end"/>
    </w:r>
  </w:p>
  <w:p w:rsidR="00AF7FF3" w:rsidRPr="00C5280D" w:rsidRDefault="00AF7FF3" w:rsidP="0037183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3BD1" w:rsidRPr="00C5280D" w:rsidRDefault="00F93BD1" w:rsidP="00EB048E">
    <w:pPr>
      <w:pStyle w:val="Header"/>
      <w:rPr>
        <w:rStyle w:val="PageNumber"/>
        <w:lang w:val="en-US"/>
      </w:rPr>
    </w:pPr>
    <w:r>
      <w:rPr>
        <w:rStyle w:val="PageNumber"/>
        <w:lang w:val="en-US"/>
      </w:rPr>
      <w:t>C/49/15</w:t>
    </w:r>
  </w:p>
  <w:p w:rsidR="00F93BD1" w:rsidRPr="00C5280D" w:rsidRDefault="00F93BD1" w:rsidP="00EB048E">
    <w:pPr>
      <w:pStyle w:val="Header"/>
      <w:rPr>
        <w:lang w:val="en-US"/>
      </w:rPr>
    </w:pPr>
    <w:r>
      <w:rPr>
        <w:lang w:val="en-US"/>
      </w:rPr>
      <w:t xml:space="preserve">Anlage XVIII,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F93BD1" w:rsidRPr="00C5280D" w:rsidRDefault="00F93BD1" w:rsidP="0037183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AF7FF3" w:rsidRPr="00C5280D" w:rsidRDefault="00AF7FF3" w:rsidP="0037183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AF7FF3" w:rsidRPr="00C5280D" w:rsidRDefault="00AF7FF3" w:rsidP="00371832"/>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III,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AF7FF3" w:rsidRPr="00C5280D" w:rsidRDefault="00AF7FF3" w:rsidP="00371832"/>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IV,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AF7FF3" w:rsidRPr="00C5280D" w:rsidRDefault="00AF7FF3" w:rsidP="00371832"/>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V,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AF7FF3" w:rsidRPr="00C5280D" w:rsidRDefault="00AF7FF3" w:rsidP="0037183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VI,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AF7FF3" w:rsidRPr="00C5280D" w:rsidRDefault="00AF7FF3" w:rsidP="0037183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VII,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AF7FF3" w:rsidRPr="00C5280D" w:rsidRDefault="00AF7FF3" w:rsidP="0037183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FF3" w:rsidRPr="00C5280D" w:rsidRDefault="00AF7FF3" w:rsidP="00EB048E">
    <w:pPr>
      <w:pStyle w:val="Header"/>
      <w:rPr>
        <w:rStyle w:val="PageNumber"/>
        <w:lang w:val="en-US"/>
      </w:rPr>
    </w:pPr>
    <w:r>
      <w:rPr>
        <w:rStyle w:val="PageNumber"/>
        <w:lang w:val="en-US"/>
      </w:rPr>
      <w:t>C/49/15</w:t>
    </w:r>
  </w:p>
  <w:p w:rsidR="00AF7FF3" w:rsidRPr="00C5280D" w:rsidRDefault="00AF7FF3" w:rsidP="00EB048E">
    <w:pPr>
      <w:pStyle w:val="Header"/>
      <w:rPr>
        <w:lang w:val="en-US"/>
      </w:rPr>
    </w:pPr>
    <w:r>
      <w:rPr>
        <w:lang w:val="en-US"/>
      </w:rPr>
      <w:t xml:space="preserve">Anlage VIII, </w:t>
    </w: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D195E">
      <w:rPr>
        <w:rStyle w:val="PageNumber"/>
        <w:noProof/>
        <w:lang w:val="en-US"/>
      </w:rPr>
      <w:t>6</w:t>
    </w:r>
    <w:r w:rsidRPr="00C5280D">
      <w:rPr>
        <w:rStyle w:val="PageNumber"/>
        <w:lang w:val="en-US"/>
      </w:rPr>
      <w:fldChar w:fldCharType="end"/>
    </w:r>
  </w:p>
  <w:p w:rsidR="00AF7FF3" w:rsidRPr="00C5280D" w:rsidRDefault="00AF7FF3" w:rsidP="0037183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25526"/>
    <w:multiLevelType w:val="hybridMultilevel"/>
    <w:tmpl w:val="D182FD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05D15076"/>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
    <w:nsid w:val="070E5A16"/>
    <w:multiLevelType w:val="hybridMultilevel"/>
    <w:tmpl w:val="0C86E46A"/>
    <w:lvl w:ilvl="0" w:tplc="51823D76">
      <w:numFmt w:val="bullet"/>
      <w:lvlText w:val=""/>
      <w:lvlJc w:val="left"/>
      <w:pPr>
        <w:ind w:left="783" w:hanging="360"/>
      </w:pPr>
      <w:rPr>
        <w:rFonts w:ascii="Symbol" w:hAnsi="Symbol" w:cs="Times New Roman" w:hint="default"/>
        <w:sz w:val="24"/>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nsid w:val="0E7B36EA"/>
    <w:multiLevelType w:val="hybridMultilevel"/>
    <w:tmpl w:val="FCD4EB82"/>
    <w:lvl w:ilvl="0" w:tplc="37228F54">
      <w:start w:val="1"/>
      <w:numFmt w:val="lowerLetter"/>
      <w:lvlText w:val="(%1)"/>
      <w:lvlJc w:val="left"/>
      <w:pPr>
        <w:ind w:left="360" w:hanging="360"/>
      </w:p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4">
    <w:nsid w:val="128C34C1"/>
    <w:multiLevelType w:val="hybridMultilevel"/>
    <w:tmpl w:val="06BA4C58"/>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3B06B2B"/>
    <w:multiLevelType w:val="hybridMultilevel"/>
    <w:tmpl w:val="3BFA72E2"/>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6">
    <w:nsid w:val="14D27B28"/>
    <w:multiLevelType w:val="hybridMultilevel"/>
    <w:tmpl w:val="BE868A9C"/>
    <w:lvl w:ilvl="0" w:tplc="30090019">
      <w:start w:val="1"/>
      <w:numFmt w:val="lowerLetter"/>
      <w:lvlText w:val="%1."/>
      <w:lvlJc w:val="left"/>
      <w:pPr>
        <w:ind w:left="720" w:hanging="360"/>
      </w:pPr>
      <w:rPr>
        <w:color w:val="auto"/>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7">
    <w:nsid w:val="15936A06"/>
    <w:multiLevelType w:val="hybridMultilevel"/>
    <w:tmpl w:val="7B18AFB0"/>
    <w:lvl w:ilvl="0" w:tplc="04090001">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5D540D2"/>
    <w:multiLevelType w:val="hybridMultilevel"/>
    <w:tmpl w:val="4E0EC490"/>
    <w:lvl w:ilvl="0" w:tplc="D37E3596">
      <w:start w:val="2"/>
      <w:numFmt w:val="bullet"/>
      <w:lvlText w:val="-"/>
      <w:lvlJc w:val="left"/>
      <w:pPr>
        <w:ind w:left="930" w:hanging="360"/>
      </w:pPr>
      <w:rPr>
        <w:rFonts w:ascii="Arial" w:eastAsia="Times New Roman" w:hAnsi="Arial" w:cs="Arial"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9">
    <w:nsid w:val="165F6D6F"/>
    <w:multiLevelType w:val="hybridMultilevel"/>
    <w:tmpl w:val="2060656C"/>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nsid w:val="18A94DE9"/>
    <w:multiLevelType w:val="multilevel"/>
    <w:tmpl w:val="040B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ABC618A"/>
    <w:multiLevelType w:val="hybridMultilevel"/>
    <w:tmpl w:val="7F601CA0"/>
    <w:lvl w:ilvl="0" w:tplc="041859DE">
      <w:start w:val="1"/>
      <w:numFmt w:val="bullet"/>
      <w:lvlText w:val="-"/>
      <w:lvlJc w:val="left"/>
      <w:pPr>
        <w:ind w:left="720" w:hanging="360"/>
      </w:pPr>
      <w:rPr>
        <w:rFonts w:ascii="Arial" w:hAnsi="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0F50B6"/>
    <w:multiLevelType w:val="hybridMultilevel"/>
    <w:tmpl w:val="35A2E9E8"/>
    <w:lvl w:ilvl="0" w:tplc="DEE461BC">
      <w:start w:val="1"/>
      <w:numFmt w:val="bullet"/>
      <w:lvlText w:val=""/>
      <w:lvlJc w:val="left"/>
      <w:pPr>
        <w:ind w:left="783" w:hanging="360"/>
      </w:pPr>
      <w:rPr>
        <w:rFonts w:ascii="Symbol" w:hAnsi="Symbol" w:hint="default"/>
        <w:sz w:val="20"/>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3">
    <w:nsid w:val="1CF465E9"/>
    <w:multiLevelType w:val="hybridMultilevel"/>
    <w:tmpl w:val="F022EBAC"/>
    <w:lvl w:ilvl="0" w:tplc="51823D76">
      <w:numFmt w:val="bullet"/>
      <w:lvlText w:val=""/>
      <w:lvlJc w:val="left"/>
      <w:pPr>
        <w:ind w:left="783" w:hanging="360"/>
      </w:pPr>
      <w:rPr>
        <w:rFonts w:ascii="Symbol" w:hAnsi="Symbol" w:cs="Times New Roman" w:hint="default"/>
        <w:sz w:val="24"/>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4">
    <w:nsid w:val="23E24016"/>
    <w:multiLevelType w:val="multilevel"/>
    <w:tmpl w:val="7CE6FAD8"/>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84B063B"/>
    <w:multiLevelType w:val="hybridMultilevel"/>
    <w:tmpl w:val="CEBC9052"/>
    <w:lvl w:ilvl="0" w:tplc="186E9A5E">
      <w:start w:val="1"/>
      <w:numFmt w:val="lowerLetter"/>
      <w:lvlText w:val="(%1)"/>
      <w:lvlJc w:val="left"/>
      <w:pPr>
        <w:ind w:left="360" w:hanging="360"/>
      </w:pPr>
      <w:rPr>
        <w:rFonts w:ascii="Arial" w:hAnsi="Arial" w:cs="Arial" w:hint="default"/>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16">
    <w:nsid w:val="2D316279"/>
    <w:multiLevelType w:val="hybridMultilevel"/>
    <w:tmpl w:val="15781968"/>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7">
    <w:nsid w:val="338E16F5"/>
    <w:multiLevelType w:val="hybridMultilevel"/>
    <w:tmpl w:val="DE6EA1F4"/>
    <w:lvl w:ilvl="0" w:tplc="3009001B">
      <w:start w:val="1"/>
      <w:numFmt w:val="lowerRoman"/>
      <w:lvlText w:val="%1."/>
      <w:lvlJc w:val="righ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18">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34A437A1"/>
    <w:multiLevelType w:val="hybridMultilevel"/>
    <w:tmpl w:val="98708DD8"/>
    <w:lvl w:ilvl="0" w:tplc="041859DE">
      <w:start w:val="1"/>
      <w:numFmt w:val="bullet"/>
      <w:lvlText w:val="-"/>
      <w:lvlJc w:val="left"/>
      <w:pPr>
        <w:ind w:left="720" w:hanging="360"/>
      </w:pPr>
      <w:rPr>
        <w:rFonts w:ascii="Arial" w:hAnsi="Arial" w:hint="default"/>
        <w:color w:val="00B050"/>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60C1F5F"/>
    <w:multiLevelType w:val="hybridMultilevel"/>
    <w:tmpl w:val="6406C41E"/>
    <w:lvl w:ilvl="0" w:tplc="04090001">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nsid w:val="36A75C69"/>
    <w:multiLevelType w:val="hybridMultilevel"/>
    <w:tmpl w:val="36D056E8"/>
    <w:lvl w:ilvl="0" w:tplc="83D8870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D8D0617"/>
    <w:multiLevelType w:val="hybridMultilevel"/>
    <w:tmpl w:val="6C64D996"/>
    <w:lvl w:ilvl="0" w:tplc="483460A0">
      <w:numFmt w:val="bullet"/>
      <w:lvlText w:val="-"/>
      <w:lvlJc w:val="left"/>
      <w:pPr>
        <w:ind w:left="360" w:hanging="360"/>
      </w:pPr>
      <w:rPr>
        <w:rFonts w:ascii="Arial" w:eastAsia="MS Mincho" w:hAnsi="Arial"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23">
    <w:nsid w:val="448911AC"/>
    <w:multiLevelType w:val="hybridMultilevel"/>
    <w:tmpl w:val="3656F57E"/>
    <w:lvl w:ilvl="0" w:tplc="083654E4">
      <w:start w:val="1"/>
      <w:numFmt w:val="decimal"/>
      <w:lvlText w:val="(%1)"/>
      <w:lvlJc w:val="left"/>
      <w:pPr>
        <w:ind w:left="460" w:hanging="370"/>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abstractNum w:abstractNumId="24">
    <w:nsid w:val="45353270"/>
    <w:multiLevelType w:val="hybridMultilevel"/>
    <w:tmpl w:val="4C387A14"/>
    <w:lvl w:ilvl="0" w:tplc="DEE461BC">
      <w:start w:val="1"/>
      <w:numFmt w:val="bullet"/>
      <w:lvlText w:val=""/>
      <w:lvlJc w:val="left"/>
      <w:pPr>
        <w:ind w:left="1077" w:hanging="360"/>
      </w:pPr>
      <w:rPr>
        <w:rFonts w:ascii="Symbol" w:hAnsi="Symbol" w:hint="default"/>
        <w:sz w:val="20"/>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5">
    <w:nsid w:val="455E6E62"/>
    <w:multiLevelType w:val="hybridMultilevel"/>
    <w:tmpl w:val="6F64D958"/>
    <w:lvl w:ilvl="0" w:tplc="4074EC06">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1C2630"/>
    <w:multiLevelType w:val="hybridMultilevel"/>
    <w:tmpl w:val="79E0FCA6"/>
    <w:lvl w:ilvl="0" w:tplc="82FEAB02">
      <w:numFmt w:val="bullet"/>
      <w:lvlText w:val=""/>
      <w:lvlJc w:val="left"/>
      <w:pPr>
        <w:ind w:left="644" w:hanging="360"/>
      </w:pPr>
      <w:rPr>
        <w:rFonts w:ascii="Symbol" w:hAnsi="Symbol" w:cs="Times New Roman" w:hint="default"/>
        <w:color w:val="auto"/>
        <w:sz w:val="24"/>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7">
    <w:nsid w:val="50BE4FEB"/>
    <w:multiLevelType w:val="hybridMultilevel"/>
    <w:tmpl w:val="4224DB3A"/>
    <w:lvl w:ilvl="0" w:tplc="C9B47E1E">
      <w:start w:val="1"/>
      <w:numFmt w:val="decimal"/>
      <w:lvlText w:val="(%1)"/>
      <w:lvlJc w:val="left"/>
      <w:pPr>
        <w:ind w:left="360" w:hanging="360"/>
      </w:pPr>
      <w:rPr>
        <w:color w:val="auto"/>
        <w:lang w:val="en-US"/>
      </w:rPr>
    </w:lvl>
    <w:lvl w:ilvl="1" w:tplc="30090019">
      <w:start w:val="1"/>
      <w:numFmt w:val="lowerLetter"/>
      <w:lvlText w:val="%2."/>
      <w:lvlJc w:val="left"/>
      <w:pPr>
        <w:ind w:left="1080" w:hanging="360"/>
      </w:pPr>
    </w:lvl>
    <w:lvl w:ilvl="2" w:tplc="3009001B">
      <w:start w:val="1"/>
      <w:numFmt w:val="lowerRoman"/>
      <w:lvlText w:val="%3."/>
      <w:lvlJc w:val="right"/>
      <w:pPr>
        <w:ind w:left="1800" w:hanging="180"/>
      </w:pPr>
    </w:lvl>
    <w:lvl w:ilvl="3" w:tplc="3009000F">
      <w:start w:val="1"/>
      <w:numFmt w:val="decimal"/>
      <w:lvlText w:val="%4."/>
      <w:lvlJc w:val="left"/>
      <w:pPr>
        <w:ind w:left="2520" w:hanging="360"/>
      </w:pPr>
    </w:lvl>
    <w:lvl w:ilvl="4" w:tplc="30090019">
      <w:start w:val="1"/>
      <w:numFmt w:val="lowerLetter"/>
      <w:lvlText w:val="%5."/>
      <w:lvlJc w:val="left"/>
      <w:pPr>
        <w:ind w:left="3240" w:hanging="360"/>
      </w:pPr>
    </w:lvl>
    <w:lvl w:ilvl="5" w:tplc="3009001B">
      <w:start w:val="1"/>
      <w:numFmt w:val="lowerRoman"/>
      <w:lvlText w:val="%6."/>
      <w:lvlJc w:val="right"/>
      <w:pPr>
        <w:ind w:left="3960" w:hanging="180"/>
      </w:pPr>
    </w:lvl>
    <w:lvl w:ilvl="6" w:tplc="3009000F">
      <w:start w:val="1"/>
      <w:numFmt w:val="decimal"/>
      <w:lvlText w:val="%7."/>
      <w:lvlJc w:val="left"/>
      <w:pPr>
        <w:ind w:left="4680" w:hanging="360"/>
      </w:pPr>
    </w:lvl>
    <w:lvl w:ilvl="7" w:tplc="30090019">
      <w:start w:val="1"/>
      <w:numFmt w:val="lowerLetter"/>
      <w:lvlText w:val="%8."/>
      <w:lvlJc w:val="left"/>
      <w:pPr>
        <w:ind w:left="5400" w:hanging="360"/>
      </w:pPr>
    </w:lvl>
    <w:lvl w:ilvl="8" w:tplc="3009001B">
      <w:start w:val="1"/>
      <w:numFmt w:val="lowerRoman"/>
      <w:lvlText w:val="%9."/>
      <w:lvlJc w:val="right"/>
      <w:pPr>
        <w:ind w:left="6120" w:hanging="180"/>
      </w:pPr>
    </w:lvl>
  </w:abstractNum>
  <w:abstractNum w:abstractNumId="28">
    <w:nsid w:val="5399587C"/>
    <w:multiLevelType w:val="hybridMultilevel"/>
    <w:tmpl w:val="C024AF98"/>
    <w:lvl w:ilvl="0" w:tplc="51823D76">
      <w:numFmt w:val="bullet"/>
      <w:lvlText w:val=""/>
      <w:lvlJc w:val="left"/>
      <w:pPr>
        <w:ind w:left="1077" w:hanging="360"/>
      </w:pPr>
      <w:rPr>
        <w:rFonts w:ascii="Symbol" w:hAnsi="Symbol" w:cs="Times New Roman" w:hint="default"/>
        <w:sz w:val="24"/>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0">
    <w:nsid w:val="57314A1D"/>
    <w:multiLevelType w:val="hybridMultilevel"/>
    <w:tmpl w:val="2B941D9C"/>
    <w:lvl w:ilvl="0" w:tplc="17AEEC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9A270BC"/>
    <w:multiLevelType w:val="hybridMultilevel"/>
    <w:tmpl w:val="5624FD38"/>
    <w:lvl w:ilvl="0" w:tplc="041859DE">
      <w:start w:val="1"/>
      <w:numFmt w:val="bullet"/>
      <w:lvlText w:val="-"/>
      <w:lvlJc w:val="left"/>
      <w:pPr>
        <w:ind w:left="1287" w:hanging="360"/>
      </w:pPr>
      <w:rPr>
        <w:rFonts w:ascii="Arial" w:hAnsi="Arial" w:hint="default"/>
        <w:sz w:val="20"/>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2">
    <w:nsid w:val="5B052674"/>
    <w:multiLevelType w:val="hybridMultilevel"/>
    <w:tmpl w:val="B6A6A39C"/>
    <w:lvl w:ilvl="0" w:tplc="82FEAB02">
      <w:numFmt w:val="bullet"/>
      <w:lvlText w:val=""/>
      <w:lvlJc w:val="left"/>
      <w:pPr>
        <w:ind w:left="720" w:hanging="360"/>
      </w:pPr>
      <w:rPr>
        <w:rFonts w:ascii="Symbol"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F7A50"/>
    <w:multiLevelType w:val="hybridMultilevel"/>
    <w:tmpl w:val="446E7C1E"/>
    <w:lvl w:ilvl="0" w:tplc="DEE461B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3F16B16"/>
    <w:multiLevelType w:val="hybridMultilevel"/>
    <w:tmpl w:val="A51A7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F63365"/>
    <w:multiLevelType w:val="hybridMultilevel"/>
    <w:tmpl w:val="B7FE24CE"/>
    <w:lvl w:ilvl="0" w:tplc="51823D76">
      <w:numFmt w:val="bullet"/>
      <w:lvlText w:val=""/>
      <w:lvlJc w:val="left"/>
      <w:pPr>
        <w:ind w:left="783" w:hanging="360"/>
      </w:pPr>
      <w:rPr>
        <w:rFonts w:ascii="Symbol" w:hAnsi="Symbol" w:cs="Times New Roman" w:hint="default"/>
        <w:sz w:val="24"/>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6">
    <w:nsid w:val="66A10DE2"/>
    <w:multiLevelType w:val="hybridMultilevel"/>
    <w:tmpl w:val="4BDE0154"/>
    <w:lvl w:ilvl="0" w:tplc="040B0001">
      <w:start w:val="1"/>
      <w:numFmt w:val="bullet"/>
      <w:lvlText w:val=""/>
      <w:lvlJc w:val="left"/>
      <w:pPr>
        <w:ind w:left="720" w:hanging="360"/>
      </w:pPr>
      <w:rPr>
        <w:rFonts w:ascii="Symbol" w:hAnsi="Symbol" w:hint="default"/>
      </w:rPr>
    </w:lvl>
    <w:lvl w:ilvl="1" w:tplc="040B0001">
      <w:start w:val="1"/>
      <w:numFmt w:val="bullet"/>
      <w:lvlText w:val=""/>
      <w:lvlJc w:val="left"/>
      <w:pPr>
        <w:ind w:left="1440" w:hanging="360"/>
      </w:pPr>
      <w:rPr>
        <w:rFonts w:ascii="Symbol" w:hAnsi="Symbol"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nsid w:val="6C2935B6"/>
    <w:multiLevelType w:val="hybridMultilevel"/>
    <w:tmpl w:val="803C1D2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38">
    <w:nsid w:val="718A0E83"/>
    <w:multiLevelType w:val="hybridMultilevel"/>
    <w:tmpl w:val="DFB254BE"/>
    <w:lvl w:ilvl="0" w:tplc="DEE461BC">
      <w:start w:val="1"/>
      <w:numFmt w:val="bullet"/>
      <w:lvlText w:val=""/>
      <w:lvlJc w:val="left"/>
      <w:pPr>
        <w:ind w:left="783" w:hanging="360"/>
      </w:pPr>
      <w:rPr>
        <w:rFonts w:ascii="Symbol" w:hAnsi="Symbol" w:hint="default"/>
        <w:sz w:val="2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9">
    <w:nsid w:val="78522786"/>
    <w:multiLevelType w:val="hybridMultilevel"/>
    <w:tmpl w:val="357ADBC8"/>
    <w:lvl w:ilvl="0" w:tplc="F61E617C">
      <w:start w:val="1"/>
      <w:numFmt w:val="decimal"/>
      <w:lvlText w:val="(%1)"/>
      <w:lvlJc w:val="left"/>
      <w:pPr>
        <w:ind w:left="405" w:hanging="40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0">
    <w:nsid w:val="78825A29"/>
    <w:multiLevelType w:val="hybridMultilevel"/>
    <w:tmpl w:val="249257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1">
    <w:nsid w:val="79241ECF"/>
    <w:multiLevelType w:val="hybridMultilevel"/>
    <w:tmpl w:val="5C70BCD6"/>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2">
    <w:nsid w:val="79E34952"/>
    <w:multiLevelType w:val="hybridMultilevel"/>
    <w:tmpl w:val="06D68B74"/>
    <w:lvl w:ilvl="0" w:tplc="1982CEB8">
      <w:start w:val="1"/>
      <w:numFmt w:val="decimal"/>
      <w:lvlText w:val="(%1)"/>
      <w:lvlJc w:val="left"/>
      <w:pPr>
        <w:ind w:left="738" w:hanging="648"/>
      </w:pPr>
    </w:lvl>
    <w:lvl w:ilvl="1" w:tplc="30090019">
      <w:start w:val="1"/>
      <w:numFmt w:val="lowerLetter"/>
      <w:lvlText w:val="%2."/>
      <w:lvlJc w:val="left"/>
      <w:pPr>
        <w:ind w:left="1170" w:hanging="360"/>
      </w:pPr>
    </w:lvl>
    <w:lvl w:ilvl="2" w:tplc="3009001B">
      <w:start w:val="1"/>
      <w:numFmt w:val="lowerRoman"/>
      <w:lvlText w:val="%3."/>
      <w:lvlJc w:val="right"/>
      <w:pPr>
        <w:ind w:left="1890" w:hanging="180"/>
      </w:pPr>
    </w:lvl>
    <w:lvl w:ilvl="3" w:tplc="3009000F">
      <w:start w:val="1"/>
      <w:numFmt w:val="decimal"/>
      <w:lvlText w:val="%4."/>
      <w:lvlJc w:val="left"/>
      <w:pPr>
        <w:ind w:left="2610" w:hanging="360"/>
      </w:pPr>
    </w:lvl>
    <w:lvl w:ilvl="4" w:tplc="30090019">
      <w:start w:val="1"/>
      <w:numFmt w:val="lowerLetter"/>
      <w:lvlText w:val="%5."/>
      <w:lvlJc w:val="left"/>
      <w:pPr>
        <w:ind w:left="3330" w:hanging="360"/>
      </w:pPr>
    </w:lvl>
    <w:lvl w:ilvl="5" w:tplc="3009001B">
      <w:start w:val="1"/>
      <w:numFmt w:val="lowerRoman"/>
      <w:lvlText w:val="%6."/>
      <w:lvlJc w:val="right"/>
      <w:pPr>
        <w:ind w:left="4050" w:hanging="180"/>
      </w:pPr>
    </w:lvl>
    <w:lvl w:ilvl="6" w:tplc="3009000F">
      <w:start w:val="1"/>
      <w:numFmt w:val="decimal"/>
      <w:lvlText w:val="%7."/>
      <w:lvlJc w:val="left"/>
      <w:pPr>
        <w:ind w:left="4770" w:hanging="360"/>
      </w:pPr>
    </w:lvl>
    <w:lvl w:ilvl="7" w:tplc="30090019">
      <w:start w:val="1"/>
      <w:numFmt w:val="lowerLetter"/>
      <w:lvlText w:val="%8."/>
      <w:lvlJc w:val="left"/>
      <w:pPr>
        <w:ind w:left="5490" w:hanging="360"/>
      </w:pPr>
    </w:lvl>
    <w:lvl w:ilvl="8" w:tplc="3009001B">
      <w:start w:val="1"/>
      <w:numFmt w:val="lowerRoman"/>
      <w:lvlText w:val="%9."/>
      <w:lvlJc w:val="right"/>
      <w:pPr>
        <w:ind w:left="6210" w:hanging="180"/>
      </w:pPr>
    </w:lvl>
  </w:abstractNum>
  <w:num w:numId="1">
    <w:abstractNumId w:val="36"/>
  </w:num>
  <w:num w:numId="2">
    <w:abstractNumId w:val="10"/>
  </w:num>
  <w:num w:numId="3">
    <w:abstractNumId w:val="0"/>
  </w:num>
  <w:num w:numId="4">
    <w:abstractNumId w:val="37"/>
  </w:num>
  <w:num w:numId="5">
    <w:abstractNumId w:val="31"/>
  </w:num>
  <w:num w:numId="6">
    <w:abstractNumId w:val="7"/>
  </w:num>
  <w:num w:numId="7">
    <w:abstractNumId w:val="29"/>
  </w:num>
  <w:num w:numId="8">
    <w:abstractNumId w:val="4"/>
  </w:num>
  <w:num w:numId="9">
    <w:abstractNumId w:val="19"/>
  </w:num>
  <w:num w:numId="10">
    <w:abstractNumId w:val="14"/>
  </w:num>
  <w:num w:numId="11">
    <w:abstractNumId w:val="34"/>
  </w:num>
  <w:num w:numId="12">
    <w:abstractNumId w:val="25"/>
  </w:num>
  <w:num w:numId="13">
    <w:abstractNumId w:val="11"/>
  </w:num>
  <w:num w:numId="14">
    <w:abstractNumId w:val="40"/>
  </w:num>
  <w:num w:numId="15">
    <w:abstractNumId w:val="21"/>
  </w:num>
  <w:num w:numId="16">
    <w:abstractNumId w:val="18"/>
  </w:num>
  <w:num w:numId="17">
    <w:abstractNumId w:val="13"/>
  </w:num>
  <w:num w:numId="18">
    <w:abstractNumId w:val="2"/>
  </w:num>
  <w:num w:numId="19">
    <w:abstractNumId w:val="28"/>
  </w:num>
  <w:num w:numId="20">
    <w:abstractNumId w:val="35"/>
  </w:num>
  <w:num w:numId="21">
    <w:abstractNumId w:val="30"/>
  </w:num>
  <w:num w:numId="22">
    <w:abstractNumId w:val="26"/>
  </w:num>
  <w:num w:numId="23">
    <w:abstractNumId w:val="32"/>
  </w:num>
  <w:num w:numId="24">
    <w:abstractNumId w:val="22"/>
  </w:num>
  <w:num w:numId="25">
    <w:abstractNumId w:val="20"/>
  </w:num>
  <w:num w:numId="26">
    <w:abstractNumId w:val="38"/>
  </w:num>
  <w:num w:numId="27">
    <w:abstractNumId w:val="9"/>
  </w:num>
  <w:num w:numId="28">
    <w:abstractNumId w:val="16"/>
  </w:num>
  <w:num w:numId="29">
    <w:abstractNumId w:val="12"/>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num>
  <w:num w:numId="41">
    <w:abstractNumId w:val="41"/>
  </w:num>
  <w:num w:numId="42">
    <w:abstractNumId w:val="33"/>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es-AR" w:vendorID="64" w:dllVersion="131078" w:nlCheck="1" w:checkStyle="1"/>
  <w:activeWritingStyle w:appName="MSWord" w:lang="es-ES_tradnl" w:vendorID="64" w:dllVersion="131078" w:nlCheck="1" w:checkStyle="1"/>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pos w:val="sectEnd"/>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8C2"/>
    <w:rsid w:val="00010CF3"/>
    <w:rsid w:val="00011E27"/>
    <w:rsid w:val="000148BC"/>
    <w:rsid w:val="00024AB8"/>
    <w:rsid w:val="00030854"/>
    <w:rsid w:val="00036028"/>
    <w:rsid w:val="00044642"/>
    <w:rsid w:val="000446B9"/>
    <w:rsid w:val="00047E21"/>
    <w:rsid w:val="00085505"/>
    <w:rsid w:val="00091594"/>
    <w:rsid w:val="00092C2F"/>
    <w:rsid w:val="000979B7"/>
    <w:rsid w:val="000C7021"/>
    <w:rsid w:val="000D007F"/>
    <w:rsid w:val="000D00EC"/>
    <w:rsid w:val="000D6BBC"/>
    <w:rsid w:val="000D7780"/>
    <w:rsid w:val="000F082B"/>
    <w:rsid w:val="000F1084"/>
    <w:rsid w:val="00105929"/>
    <w:rsid w:val="001131D5"/>
    <w:rsid w:val="00141788"/>
    <w:rsid w:val="00141DB8"/>
    <w:rsid w:val="0017474A"/>
    <w:rsid w:val="001758C6"/>
    <w:rsid w:val="0021332C"/>
    <w:rsid w:val="00213982"/>
    <w:rsid w:val="002330D2"/>
    <w:rsid w:val="0024416D"/>
    <w:rsid w:val="002800A0"/>
    <w:rsid w:val="002801B3"/>
    <w:rsid w:val="00281060"/>
    <w:rsid w:val="002940E8"/>
    <w:rsid w:val="002A6E50"/>
    <w:rsid w:val="002C256A"/>
    <w:rsid w:val="00305A7F"/>
    <w:rsid w:val="003152FE"/>
    <w:rsid w:val="00327436"/>
    <w:rsid w:val="00344BD6"/>
    <w:rsid w:val="0034618D"/>
    <w:rsid w:val="00347219"/>
    <w:rsid w:val="0035528D"/>
    <w:rsid w:val="00361821"/>
    <w:rsid w:val="00371832"/>
    <w:rsid w:val="003D227C"/>
    <w:rsid w:val="003D2B4D"/>
    <w:rsid w:val="00444A88"/>
    <w:rsid w:val="004667E5"/>
    <w:rsid w:val="00474DA4"/>
    <w:rsid w:val="00475EF4"/>
    <w:rsid w:val="004A0B04"/>
    <w:rsid w:val="004D047D"/>
    <w:rsid w:val="004D195E"/>
    <w:rsid w:val="004F305A"/>
    <w:rsid w:val="00512164"/>
    <w:rsid w:val="00514738"/>
    <w:rsid w:val="00520297"/>
    <w:rsid w:val="005231C9"/>
    <w:rsid w:val="005338F9"/>
    <w:rsid w:val="0054281C"/>
    <w:rsid w:val="0055268D"/>
    <w:rsid w:val="00576BE4"/>
    <w:rsid w:val="005967A4"/>
    <w:rsid w:val="005A400A"/>
    <w:rsid w:val="00612379"/>
    <w:rsid w:val="0061555F"/>
    <w:rsid w:val="0062454D"/>
    <w:rsid w:val="00641200"/>
    <w:rsid w:val="00687EB4"/>
    <w:rsid w:val="006B17D2"/>
    <w:rsid w:val="006C224E"/>
    <w:rsid w:val="006D780A"/>
    <w:rsid w:val="00732DEC"/>
    <w:rsid w:val="00735BD5"/>
    <w:rsid w:val="007556F6"/>
    <w:rsid w:val="00755DDE"/>
    <w:rsid w:val="00760EEF"/>
    <w:rsid w:val="00777EE5"/>
    <w:rsid w:val="00784836"/>
    <w:rsid w:val="0079023E"/>
    <w:rsid w:val="007A2854"/>
    <w:rsid w:val="007A7F16"/>
    <w:rsid w:val="007D0B9D"/>
    <w:rsid w:val="007D19B0"/>
    <w:rsid w:val="007F498F"/>
    <w:rsid w:val="0080679D"/>
    <w:rsid w:val="008108B0"/>
    <w:rsid w:val="00811B20"/>
    <w:rsid w:val="00815037"/>
    <w:rsid w:val="0082296E"/>
    <w:rsid w:val="00824099"/>
    <w:rsid w:val="00830F3A"/>
    <w:rsid w:val="00867AC1"/>
    <w:rsid w:val="008929C0"/>
    <w:rsid w:val="008A743F"/>
    <w:rsid w:val="008B0A24"/>
    <w:rsid w:val="008C0970"/>
    <w:rsid w:val="008D2CF7"/>
    <w:rsid w:val="00900C26"/>
    <w:rsid w:val="0090197F"/>
    <w:rsid w:val="00906DDC"/>
    <w:rsid w:val="0092535E"/>
    <w:rsid w:val="0092638A"/>
    <w:rsid w:val="00934E09"/>
    <w:rsid w:val="00936253"/>
    <w:rsid w:val="00952DD4"/>
    <w:rsid w:val="00970FED"/>
    <w:rsid w:val="00997029"/>
    <w:rsid w:val="009D5A12"/>
    <w:rsid w:val="009D690D"/>
    <w:rsid w:val="009E65B6"/>
    <w:rsid w:val="00A15D73"/>
    <w:rsid w:val="00A35057"/>
    <w:rsid w:val="00A42AC3"/>
    <w:rsid w:val="00A430CF"/>
    <w:rsid w:val="00A54309"/>
    <w:rsid w:val="00A56F40"/>
    <w:rsid w:val="00AB2B93"/>
    <w:rsid w:val="00AB7E5B"/>
    <w:rsid w:val="00AE0EF1"/>
    <w:rsid w:val="00AF7FF3"/>
    <w:rsid w:val="00B038C2"/>
    <w:rsid w:val="00B07301"/>
    <w:rsid w:val="00B16CEC"/>
    <w:rsid w:val="00B224DE"/>
    <w:rsid w:val="00B25AE6"/>
    <w:rsid w:val="00B84BBD"/>
    <w:rsid w:val="00BA43FB"/>
    <w:rsid w:val="00BC127D"/>
    <w:rsid w:val="00BC1873"/>
    <w:rsid w:val="00BC1FE6"/>
    <w:rsid w:val="00C061B6"/>
    <w:rsid w:val="00C2446C"/>
    <w:rsid w:val="00C27491"/>
    <w:rsid w:val="00C36AE5"/>
    <w:rsid w:val="00C41F17"/>
    <w:rsid w:val="00C517EE"/>
    <w:rsid w:val="00C5280D"/>
    <w:rsid w:val="00C552FF"/>
    <w:rsid w:val="00C5791C"/>
    <w:rsid w:val="00C66290"/>
    <w:rsid w:val="00C72B7A"/>
    <w:rsid w:val="00C973F2"/>
    <w:rsid w:val="00CA774A"/>
    <w:rsid w:val="00CC11B0"/>
    <w:rsid w:val="00CE43A3"/>
    <w:rsid w:val="00CF7E36"/>
    <w:rsid w:val="00D3708D"/>
    <w:rsid w:val="00D40426"/>
    <w:rsid w:val="00D57C96"/>
    <w:rsid w:val="00D91203"/>
    <w:rsid w:val="00D95174"/>
    <w:rsid w:val="00DA6F36"/>
    <w:rsid w:val="00DB596E"/>
    <w:rsid w:val="00DB5AC1"/>
    <w:rsid w:val="00DC00EA"/>
    <w:rsid w:val="00E47038"/>
    <w:rsid w:val="00E66DF9"/>
    <w:rsid w:val="00E72D49"/>
    <w:rsid w:val="00E7593C"/>
    <w:rsid w:val="00E7678A"/>
    <w:rsid w:val="00E935F1"/>
    <w:rsid w:val="00E94A81"/>
    <w:rsid w:val="00EA1FFB"/>
    <w:rsid w:val="00EB048E"/>
    <w:rsid w:val="00EC3139"/>
    <w:rsid w:val="00EE34DF"/>
    <w:rsid w:val="00EF2F89"/>
    <w:rsid w:val="00EF3858"/>
    <w:rsid w:val="00F1237A"/>
    <w:rsid w:val="00F15503"/>
    <w:rsid w:val="00F22CBD"/>
    <w:rsid w:val="00F45372"/>
    <w:rsid w:val="00F45A1A"/>
    <w:rsid w:val="00F560F7"/>
    <w:rsid w:val="00F6334D"/>
    <w:rsid w:val="00F67E00"/>
    <w:rsid w:val="00F93BD1"/>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7EE"/>
    <w:pPr>
      <w:jc w:val="both"/>
    </w:pPr>
    <w:rPr>
      <w:rFonts w:ascii="Arial" w:hAnsi="Arial"/>
      <w:lang w:val="de-DE"/>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AF7FF3"/>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C517EE"/>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C517EE"/>
    <w:pPr>
      <w:tabs>
        <w:tab w:val="center" w:pos="4536"/>
        <w:tab w:val="right" w:pos="9072"/>
      </w:tabs>
      <w:jc w:val="center"/>
    </w:pPr>
    <w:rPr>
      <w:rFonts w:ascii="Arial" w:hAnsi="Arial"/>
      <w:lang w:val="de-DE"/>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0D007F"/>
    <w:rPr>
      <w:rFonts w:ascii="Tahoma" w:hAnsi="Tahoma" w:cs="Tahoma"/>
      <w:sz w:val="16"/>
      <w:szCs w:val="16"/>
    </w:rPr>
  </w:style>
  <w:style w:type="character" w:customStyle="1" w:styleId="BalloonTextChar">
    <w:name w:val="Balloon Text Char"/>
    <w:basedOn w:val="DefaultParagraphFont"/>
    <w:link w:val="BalloonText"/>
    <w:uiPriority w:val="99"/>
    <w:rsid w:val="000D007F"/>
    <w:rPr>
      <w:rFonts w:ascii="Tahoma" w:hAnsi="Tahoma" w:cs="Tahoma"/>
      <w:sz w:val="16"/>
      <w:szCs w:val="16"/>
    </w:rPr>
  </w:style>
  <w:style w:type="character" w:customStyle="1" w:styleId="Heading8Char">
    <w:name w:val="Heading 8 Char"/>
    <w:basedOn w:val="DefaultParagraphFont"/>
    <w:link w:val="Heading8"/>
    <w:rsid w:val="00C517EE"/>
    <w:rPr>
      <w:rFonts w:ascii="Arial" w:hAnsi="Arial"/>
      <w:u w:val="single"/>
      <w:lang w:val="en-GB" w:eastAsia="pl-PL"/>
    </w:rPr>
  </w:style>
  <w:style w:type="paragraph" w:styleId="ListParagraph">
    <w:name w:val="List Paragraph"/>
    <w:basedOn w:val="Normal"/>
    <w:uiPriority w:val="34"/>
    <w:qFormat/>
    <w:rsid w:val="00C517EE"/>
    <w:pPr>
      <w:ind w:left="1134" w:hanging="567"/>
      <w:jc w:val="left"/>
    </w:pPr>
    <w:rPr>
      <w:szCs w:val="22"/>
      <w:lang w:val="en-US"/>
    </w:rPr>
  </w:style>
  <w:style w:type="table" w:styleId="TableGrid">
    <w:name w:val="Table Grid"/>
    <w:basedOn w:val="TableNormal"/>
    <w:rsid w:val="00C5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517EE"/>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C517EE"/>
    <w:rPr>
      <w:sz w:val="28"/>
      <w:lang w:val="pl-PL" w:eastAsia="pl-PL"/>
    </w:rPr>
  </w:style>
  <w:style w:type="character" w:customStyle="1" w:styleId="FooterChar">
    <w:name w:val="Footer Char"/>
    <w:aliases w:val="doc_path_name Char"/>
    <w:basedOn w:val="DefaultParagraphFont"/>
    <w:link w:val="Footer"/>
    <w:rsid w:val="00C517EE"/>
    <w:rPr>
      <w:rFonts w:ascii="Arial" w:hAnsi="Arial"/>
      <w:sz w:val="14"/>
    </w:rPr>
  </w:style>
  <w:style w:type="character" w:customStyle="1" w:styleId="FootnoteTextChar">
    <w:name w:val="Footnote Text Char"/>
    <w:link w:val="FootnoteText"/>
    <w:rsid w:val="00C517EE"/>
    <w:rPr>
      <w:rFonts w:ascii="Arial" w:hAnsi="Arial"/>
      <w:sz w:val="16"/>
    </w:rPr>
  </w:style>
  <w:style w:type="paragraph" w:styleId="ListBullet">
    <w:name w:val="List Bullet"/>
    <w:basedOn w:val="Normal"/>
    <w:uiPriority w:val="99"/>
    <w:rsid w:val="00C517EE"/>
    <w:pPr>
      <w:numPr>
        <w:numId w:val="7"/>
      </w:numPr>
      <w:spacing w:after="240"/>
    </w:pPr>
    <w:rPr>
      <w:lang w:val="en-GB"/>
    </w:rPr>
  </w:style>
  <w:style w:type="paragraph" w:customStyle="1" w:styleId="Default">
    <w:name w:val="Default"/>
    <w:rsid w:val="00C517EE"/>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C517EE"/>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C517EE"/>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C517EE"/>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C517EE"/>
    <w:pPr>
      <w:spacing w:after="240"/>
    </w:pPr>
    <w:rPr>
      <w:rFonts w:ascii="Courier New" w:hAnsi="Courier New"/>
      <w:lang w:val="en-GB"/>
    </w:rPr>
  </w:style>
  <w:style w:type="character" w:customStyle="1" w:styleId="PlainTextChar">
    <w:name w:val="Plain Text Char"/>
    <w:basedOn w:val="DefaultParagraphFont"/>
    <w:link w:val="PlainText"/>
    <w:uiPriority w:val="99"/>
    <w:rsid w:val="00C517EE"/>
    <w:rPr>
      <w:rFonts w:ascii="Courier New" w:hAnsi="Courier New"/>
      <w:lang w:val="en-GB"/>
    </w:rPr>
  </w:style>
  <w:style w:type="paragraph" w:styleId="BodyTextIndent2">
    <w:name w:val="Body Text Indent 2"/>
    <w:basedOn w:val="Normal"/>
    <w:link w:val="BodyTextIndent2Char"/>
    <w:rsid w:val="00C517EE"/>
    <w:pPr>
      <w:spacing w:after="120" w:line="480" w:lineRule="auto"/>
      <w:ind w:left="360"/>
    </w:pPr>
    <w:rPr>
      <w:lang w:val="en-US"/>
    </w:rPr>
  </w:style>
  <w:style w:type="character" w:customStyle="1" w:styleId="BodyTextIndent2Char">
    <w:name w:val="Body Text Indent 2 Char"/>
    <w:basedOn w:val="DefaultParagraphFont"/>
    <w:link w:val="BodyTextIndent2"/>
    <w:rsid w:val="00C517EE"/>
    <w:rPr>
      <w:rFonts w:ascii="Arial" w:hAnsi="Arial"/>
    </w:rPr>
  </w:style>
  <w:style w:type="paragraph" w:styleId="BodyText3">
    <w:name w:val="Body Text 3"/>
    <w:basedOn w:val="Normal"/>
    <w:link w:val="BodyText3Char"/>
    <w:rsid w:val="00C517EE"/>
    <w:pPr>
      <w:spacing w:after="120"/>
    </w:pPr>
    <w:rPr>
      <w:sz w:val="16"/>
      <w:szCs w:val="16"/>
      <w:lang w:val="en-US"/>
    </w:rPr>
  </w:style>
  <w:style w:type="character" w:customStyle="1" w:styleId="BodyText3Char">
    <w:name w:val="Body Text 3 Char"/>
    <w:basedOn w:val="DefaultParagraphFont"/>
    <w:link w:val="BodyText3"/>
    <w:rsid w:val="00C517EE"/>
    <w:rPr>
      <w:rFonts w:ascii="Arial" w:hAnsi="Arial"/>
      <w:sz w:val="16"/>
      <w:szCs w:val="16"/>
    </w:rPr>
  </w:style>
  <w:style w:type="character" w:customStyle="1" w:styleId="FootnoteTextChar2">
    <w:name w:val="Footnote Text Char2"/>
    <w:rsid w:val="00C517EE"/>
    <w:rPr>
      <w:rFonts w:ascii="Arial" w:hAnsi="Arial" w:cs="Mangal"/>
      <w:sz w:val="18"/>
      <w:szCs w:val="24"/>
      <w:lang w:bidi="ne-NP"/>
    </w:rPr>
  </w:style>
  <w:style w:type="paragraph" w:styleId="NoSpacing">
    <w:name w:val="No Spacing"/>
    <w:uiPriority w:val="1"/>
    <w:qFormat/>
    <w:rsid w:val="00C517EE"/>
    <w:rPr>
      <w:rFonts w:ascii="Calibri" w:eastAsia="Calibri" w:hAnsi="Calibri"/>
      <w:sz w:val="22"/>
      <w:szCs w:val="22"/>
    </w:rPr>
  </w:style>
  <w:style w:type="paragraph" w:customStyle="1" w:styleId="inf61normal">
    <w:name w:val="inf_6_1_normal"/>
    <w:basedOn w:val="Normal"/>
    <w:rsid w:val="00C517EE"/>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5967A4"/>
  </w:style>
  <w:style w:type="character" w:customStyle="1" w:styleId="Heading7Char">
    <w:name w:val="Heading 7 Char"/>
    <w:basedOn w:val="DefaultParagraphFont"/>
    <w:link w:val="Heading7"/>
    <w:rsid w:val="00AF7FF3"/>
    <w:rPr>
      <w:sz w:val="22"/>
      <w:szCs w:val="22"/>
      <w:u w:val="single"/>
      <w:lang w:val="en-GB"/>
    </w:rPr>
  </w:style>
  <w:style w:type="character" w:styleId="Strong">
    <w:name w:val="Strong"/>
    <w:qFormat/>
    <w:rsid w:val="00AF7FF3"/>
    <w:rPr>
      <w:b/>
      <w:bCs/>
    </w:rPr>
  </w:style>
  <w:style w:type="character" w:styleId="Emphasis">
    <w:name w:val="Emphasis"/>
    <w:qFormat/>
    <w:rsid w:val="00AF7FF3"/>
    <w:rPr>
      <w:i/>
      <w:iCs/>
    </w:rPr>
  </w:style>
  <w:style w:type="paragraph" w:customStyle="1" w:styleId="c71indicateur">
    <w:name w:val="c71indicateur"/>
    <w:basedOn w:val="Normal"/>
    <w:rsid w:val="00AF7FF3"/>
    <w:pPr>
      <w:spacing w:before="600" w:after="560"/>
      <w:ind w:left="567"/>
      <w:jc w:val="center"/>
    </w:pPr>
    <w:rPr>
      <w:szCs w:val="24"/>
      <w:lang w:val="fr-FR" w:eastAsia="fr-FR"/>
    </w:rPr>
  </w:style>
  <w:style w:type="paragraph" w:customStyle="1" w:styleId="c02alineaalta">
    <w:name w:val="c02alineaalta"/>
    <w:basedOn w:val="Normal"/>
    <w:rsid w:val="00AF7FF3"/>
    <w:pPr>
      <w:spacing w:after="240"/>
      <w:ind w:left="567"/>
    </w:pPr>
    <w:rPr>
      <w:szCs w:val="24"/>
      <w:lang w:val="fr-FR" w:eastAsia="fr-FR"/>
    </w:rPr>
  </w:style>
  <w:style w:type="paragraph" w:customStyle="1" w:styleId="Char">
    <w:name w:val="Char 字元 字元"/>
    <w:basedOn w:val="Normal"/>
    <w:rsid w:val="00AF7FF3"/>
    <w:pPr>
      <w:spacing w:after="160" w:line="240" w:lineRule="exact"/>
      <w:jc w:val="left"/>
    </w:pPr>
    <w:rPr>
      <w:rFonts w:ascii="Verdana" w:eastAsia="PMingLiU" w:hAnsi="Verdana"/>
      <w:lang w:val="en-US"/>
    </w:rPr>
  </w:style>
  <w:style w:type="paragraph" w:customStyle="1" w:styleId="tableaheadital">
    <w:name w:val="tableaheadital"/>
    <w:basedOn w:val="Normal"/>
    <w:rsid w:val="00AF7FF3"/>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AF7FF3"/>
  </w:style>
  <w:style w:type="character" w:customStyle="1" w:styleId="apple-converted-space">
    <w:name w:val="apple-converted-space"/>
    <w:basedOn w:val="DefaultParagraphFont"/>
    <w:rsid w:val="00AF7FF3"/>
  </w:style>
  <w:style w:type="paragraph" w:customStyle="1" w:styleId="a">
    <w:name w:val="바탕글"/>
    <w:uiPriority w:val="99"/>
    <w:rsid w:val="00AF7FF3"/>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unhideWhenUsed/>
    <w:rsid w:val="00AF7FF3"/>
    <w:rPr>
      <w:color w:val="800080" w:themeColor="followedHyperlink"/>
      <w:u w:val="single"/>
    </w:rPr>
  </w:style>
  <w:style w:type="character" w:styleId="CommentReference">
    <w:name w:val="annotation reference"/>
    <w:basedOn w:val="DefaultParagraphFont"/>
    <w:unhideWhenUsed/>
    <w:rsid w:val="00AF7FF3"/>
    <w:rPr>
      <w:sz w:val="16"/>
      <w:szCs w:val="16"/>
    </w:rPr>
  </w:style>
  <w:style w:type="paragraph" w:styleId="CommentText">
    <w:name w:val="annotation text"/>
    <w:basedOn w:val="Normal"/>
    <w:link w:val="CommentTextChar"/>
    <w:unhideWhenUsed/>
    <w:rsid w:val="00AF7FF3"/>
    <w:rPr>
      <w:lang w:val="en-US"/>
    </w:rPr>
  </w:style>
  <w:style w:type="character" w:customStyle="1" w:styleId="CommentTextChar">
    <w:name w:val="Comment Text Char"/>
    <w:basedOn w:val="DefaultParagraphFont"/>
    <w:link w:val="CommentText"/>
    <w:rsid w:val="00AF7FF3"/>
    <w:rPr>
      <w:rFonts w:ascii="Arial" w:hAnsi="Arial"/>
    </w:rPr>
  </w:style>
  <w:style w:type="paragraph" w:styleId="CommentSubject">
    <w:name w:val="annotation subject"/>
    <w:basedOn w:val="CommentText"/>
    <w:next w:val="CommentText"/>
    <w:link w:val="CommentSubjectChar"/>
    <w:unhideWhenUsed/>
    <w:rsid w:val="00AF7FF3"/>
    <w:rPr>
      <w:b/>
      <w:bCs/>
    </w:rPr>
  </w:style>
  <w:style w:type="character" w:customStyle="1" w:styleId="CommentSubjectChar">
    <w:name w:val="Comment Subject Char"/>
    <w:basedOn w:val="CommentTextChar"/>
    <w:link w:val="CommentSubject"/>
    <w:rsid w:val="00AF7FF3"/>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17EE"/>
    <w:pPr>
      <w:jc w:val="both"/>
    </w:pPr>
    <w:rPr>
      <w:rFonts w:ascii="Arial" w:hAnsi="Arial"/>
      <w:lang w:val="de-DE"/>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7">
    <w:name w:val="heading 7"/>
    <w:basedOn w:val="Normal"/>
    <w:next w:val="Normal"/>
    <w:link w:val="Heading7Char"/>
    <w:qFormat/>
    <w:rsid w:val="00AF7FF3"/>
    <w:pPr>
      <w:keepNext/>
      <w:outlineLvl w:val="6"/>
    </w:pPr>
    <w:rPr>
      <w:rFonts w:ascii="Times New Roman" w:hAnsi="Times New Roman"/>
      <w:sz w:val="22"/>
      <w:szCs w:val="22"/>
      <w:u w:val="single"/>
      <w:lang w:val="en-GB"/>
    </w:rPr>
  </w:style>
  <w:style w:type="paragraph" w:styleId="Heading8">
    <w:name w:val="heading 8"/>
    <w:basedOn w:val="Normal"/>
    <w:next w:val="Normal"/>
    <w:link w:val="Heading8Char"/>
    <w:qFormat/>
    <w:rsid w:val="00C517EE"/>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C517EE"/>
    <w:pPr>
      <w:tabs>
        <w:tab w:val="center" w:pos="4536"/>
        <w:tab w:val="right" w:pos="9072"/>
      </w:tabs>
      <w:jc w:val="center"/>
    </w:pPr>
    <w:rPr>
      <w:rFonts w:ascii="Arial" w:hAnsi="Arial"/>
      <w:lang w:val="de-DE"/>
    </w:rPr>
  </w:style>
  <w:style w:type="paragraph" w:styleId="Footer">
    <w:name w:val="footer"/>
    <w:aliases w:val="doc_path_name"/>
    <w:link w:val="FooterChar"/>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semiHidden/>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8B0A24"/>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uiPriority w:val="99"/>
    <w:rsid w:val="000D007F"/>
    <w:rPr>
      <w:rFonts w:ascii="Tahoma" w:hAnsi="Tahoma" w:cs="Tahoma"/>
      <w:sz w:val="16"/>
      <w:szCs w:val="16"/>
    </w:rPr>
  </w:style>
  <w:style w:type="character" w:customStyle="1" w:styleId="BalloonTextChar">
    <w:name w:val="Balloon Text Char"/>
    <w:basedOn w:val="DefaultParagraphFont"/>
    <w:link w:val="BalloonText"/>
    <w:uiPriority w:val="99"/>
    <w:rsid w:val="000D007F"/>
    <w:rPr>
      <w:rFonts w:ascii="Tahoma" w:hAnsi="Tahoma" w:cs="Tahoma"/>
      <w:sz w:val="16"/>
      <w:szCs w:val="16"/>
    </w:rPr>
  </w:style>
  <w:style w:type="character" w:customStyle="1" w:styleId="Heading8Char">
    <w:name w:val="Heading 8 Char"/>
    <w:basedOn w:val="DefaultParagraphFont"/>
    <w:link w:val="Heading8"/>
    <w:rsid w:val="00C517EE"/>
    <w:rPr>
      <w:rFonts w:ascii="Arial" w:hAnsi="Arial"/>
      <w:u w:val="single"/>
      <w:lang w:val="en-GB" w:eastAsia="pl-PL"/>
    </w:rPr>
  </w:style>
  <w:style w:type="paragraph" w:styleId="ListParagraph">
    <w:name w:val="List Paragraph"/>
    <w:basedOn w:val="Normal"/>
    <w:uiPriority w:val="34"/>
    <w:qFormat/>
    <w:rsid w:val="00C517EE"/>
    <w:pPr>
      <w:ind w:left="1134" w:hanging="567"/>
      <w:jc w:val="left"/>
    </w:pPr>
    <w:rPr>
      <w:szCs w:val="22"/>
      <w:lang w:val="en-US"/>
    </w:rPr>
  </w:style>
  <w:style w:type="table" w:styleId="TableGrid">
    <w:name w:val="Table Grid"/>
    <w:basedOn w:val="TableNormal"/>
    <w:rsid w:val="00C5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C517EE"/>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C517EE"/>
    <w:rPr>
      <w:sz w:val="28"/>
      <w:lang w:val="pl-PL" w:eastAsia="pl-PL"/>
    </w:rPr>
  </w:style>
  <w:style w:type="character" w:customStyle="1" w:styleId="FooterChar">
    <w:name w:val="Footer Char"/>
    <w:aliases w:val="doc_path_name Char"/>
    <w:basedOn w:val="DefaultParagraphFont"/>
    <w:link w:val="Footer"/>
    <w:rsid w:val="00C517EE"/>
    <w:rPr>
      <w:rFonts w:ascii="Arial" w:hAnsi="Arial"/>
      <w:sz w:val="14"/>
    </w:rPr>
  </w:style>
  <w:style w:type="character" w:customStyle="1" w:styleId="FootnoteTextChar">
    <w:name w:val="Footnote Text Char"/>
    <w:link w:val="FootnoteText"/>
    <w:rsid w:val="00C517EE"/>
    <w:rPr>
      <w:rFonts w:ascii="Arial" w:hAnsi="Arial"/>
      <w:sz w:val="16"/>
    </w:rPr>
  </w:style>
  <w:style w:type="paragraph" w:styleId="ListBullet">
    <w:name w:val="List Bullet"/>
    <w:basedOn w:val="Normal"/>
    <w:uiPriority w:val="99"/>
    <w:rsid w:val="00C517EE"/>
    <w:pPr>
      <w:numPr>
        <w:numId w:val="7"/>
      </w:numPr>
      <w:spacing w:after="240"/>
    </w:pPr>
    <w:rPr>
      <w:lang w:val="en-GB"/>
    </w:rPr>
  </w:style>
  <w:style w:type="paragraph" w:customStyle="1" w:styleId="Default">
    <w:name w:val="Default"/>
    <w:rsid w:val="00C517EE"/>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C517EE"/>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C517EE"/>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C517EE"/>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C517EE"/>
    <w:pPr>
      <w:spacing w:after="240"/>
    </w:pPr>
    <w:rPr>
      <w:rFonts w:ascii="Courier New" w:hAnsi="Courier New"/>
      <w:lang w:val="en-GB"/>
    </w:rPr>
  </w:style>
  <w:style w:type="character" w:customStyle="1" w:styleId="PlainTextChar">
    <w:name w:val="Plain Text Char"/>
    <w:basedOn w:val="DefaultParagraphFont"/>
    <w:link w:val="PlainText"/>
    <w:uiPriority w:val="99"/>
    <w:rsid w:val="00C517EE"/>
    <w:rPr>
      <w:rFonts w:ascii="Courier New" w:hAnsi="Courier New"/>
      <w:lang w:val="en-GB"/>
    </w:rPr>
  </w:style>
  <w:style w:type="paragraph" w:styleId="BodyTextIndent2">
    <w:name w:val="Body Text Indent 2"/>
    <w:basedOn w:val="Normal"/>
    <w:link w:val="BodyTextIndent2Char"/>
    <w:rsid w:val="00C517EE"/>
    <w:pPr>
      <w:spacing w:after="120" w:line="480" w:lineRule="auto"/>
      <w:ind w:left="360"/>
    </w:pPr>
    <w:rPr>
      <w:lang w:val="en-US"/>
    </w:rPr>
  </w:style>
  <w:style w:type="character" w:customStyle="1" w:styleId="BodyTextIndent2Char">
    <w:name w:val="Body Text Indent 2 Char"/>
    <w:basedOn w:val="DefaultParagraphFont"/>
    <w:link w:val="BodyTextIndent2"/>
    <w:rsid w:val="00C517EE"/>
    <w:rPr>
      <w:rFonts w:ascii="Arial" w:hAnsi="Arial"/>
    </w:rPr>
  </w:style>
  <w:style w:type="paragraph" w:styleId="BodyText3">
    <w:name w:val="Body Text 3"/>
    <w:basedOn w:val="Normal"/>
    <w:link w:val="BodyText3Char"/>
    <w:rsid w:val="00C517EE"/>
    <w:pPr>
      <w:spacing w:after="120"/>
    </w:pPr>
    <w:rPr>
      <w:sz w:val="16"/>
      <w:szCs w:val="16"/>
      <w:lang w:val="en-US"/>
    </w:rPr>
  </w:style>
  <w:style w:type="character" w:customStyle="1" w:styleId="BodyText3Char">
    <w:name w:val="Body Text 3 Char"/>
    <w:basedOn w:val="DefaultParagraphFont"/>
    <w:link w:val="BodyText3"/>
    <w:rsid w:val="00C517EE"/>
    <w:rPr>
      <w:rFonts w:ascii="Arial" w:hAnsi="Arial"/>
      <w:sz w:val="16"/>
      <w:szCs w:val="16"/>
    </w:rPr>
  </w:style>
  <w:style w:type="character" w:customStyle="1" w:styleId="FootnoteTextChar2">
    <w:name w:val="Footnote Text Char2"/>
    <w:rsid w:val="00C517EE"/>
    <w:rPr>
      <w:rFonts w:ascii="Arial" w:hAnsi="Arial" w:cs="Mangal"/>
      <w:sz w:val="18"/>
      <w:szCs w:val="24"/>
      <w:lang w:bidi="ne-NP"/>
    </w:rPr>
  </w:style>
  <w:style w:type="paragraph" w:styleId="NoSpacing">
    <w:name w:val="No Spacing"/>
    <w:uiPriority w:val="1"/>
    <w:qFormat/>
    <w:rsid w:val="00C517EE"/>
    <w:rPr>
      <w:rFonts w:ascii="Calibri" w:eastAsia="Calibri" w:hAnsi="Calibri"/>
      <w:sz w:val="22"/>
      <w:szCs w:val="22"/>
    </w:rPr>
  </w:style>
  <w:style w:type="paragraph" w:customStyle="1" w:styleId="inf61normal">
    <w:name w:val="inf_6_1_normal"/>
    <w:basedOn w:val="Normal"/>
    <w:rsid w:val="00C517EE"/>
    <w:pPr>
      <w:tabs>
        <w:tab w:val="left" w:pos="-31680"/>
        <w:tab w:val="left" w:pos="315"/>
      </w:tabs>
    </w:pPr>
    <w:rPr>
      <w:rFonts w:ascii="Times New Roman" w:hAnsi="Times New Roman"/>
      <w:color w:val="000000"/>
      <w:kern w:val="28"/>
      <w:sz w:val="24"/>
      <w:lang w:val="en-ZW" w:eastAsia="en-ZW"/>
    </w:rPr>
  </w:style>
  <w:style w:type="character" w:customStyle="1" w:styleId="ht">
    <w:name w:val="ht"/>
    <w:basedOn w:val="DefaultParagraphFont"/>
    <w:rsid w:val="005967A4"/>
  </w:style>
  <w:style w:type="character" w:customStyle="1" w:styleId="Heading7Char">
    <w:name w:val="Heading 7 Char"/>
    <w:basedOn w:val="DefaultParagraphFont"/>
    <w:link w:val="Heading7"/>
    <w:rsid w:val="00AF7FF3"/>
    <w:rPr>
      <w:sz w:val="22"/>
      <w:szCs w:val="22"/>
      <w:u w:val="single"/>
      <w:lang w:val="en-GB"/>
    </w:rPr>
  </w:style>
  <w:style w:type="character" w:styleId="Strong">
    <w:name w:val="Strong"/>
    <w:qFormat/>
    <w:rsid w:val="00AF7FF3"/>
    <w:rPr>
      <w:b/>
      <w:bCs/>
    </w:rPr>
  </w:style>
  <w:style w:type="character" w:styleId="Emphasis">
    <w:name w:val="Emphasis"/>
    <w:qFormat/>
    <w:rsid w:val="00AF7FF3"/>
    <w:rPr>
      <w:i/>
      <w:iCs/>
    </w:rPr>
  </w:style>
  <w:style w:type="paragraph" w:customStyle="1" w:styleId="c71indicateur">
    <w:name w:val="c71indicateur"/>
    <w:basedOn w:val="Normal"/>
    <w:rsid w:val="00AF7FF3"/>
    <w:pPr>
      <w:spacing w:before="600" w:after="560"/>
      <w:ind w:left="567"/>
      <w:jc w:val="center"/>
    </w:pPr>
    <w:rPr>
      <w:szCs w:val="24"/>
      <w:lang w:val="fr-FR" w:eastAsia="fr-FR"/>
    </w:rPr>
  </w:style>
  <w:style w:type="paragraph" w:customStyle="1" w:styleId="c02alineaalta">
    <w:name w:val="c02alineaalta"/>
    <w:basedOn w:val="Normal"/>
    <w:rsid w:val="00AF7FF3"/>
    <w:pPr>
      <w:spacing w:after="240"/>
      <w:ind w:left="567"/>
    </w:pPr>
    <w:rPr>
      <w:szCs w:val="24"/>
      <w:lang w:val="fr-FR" w:eastAsia="fr-FR"/>
    </w:rPr>
  </w:style>
  <w:style w:type="paragraph" w:customStyle="1" w:styleId="Char">
    <w:name w:val="Char 字元 字元"/>
    <w:basedOn w:val="Normal"/>
    <w:rsid w:val="00AF7FF3"/>
    <w:pPr>
      <w:spacing w:after="160" w:line="240" w:lineRule="exact"/>
      <w:jc w:val="left"/>
    </w:pPr>
    <w:rPr>
      <w:rFonts w:ascii="Verdana" w:eastAsia="PMingLiU" w:hAnsi="Verdana"/>
      <w:lang w:val="en-US"/>
    </w:rPr>
  </w:style>
  <w:style w:type="paragraph" w:customStyle="1" w:styleId="tableaheadital">
    <w:name w:val="tableaheadital"/>
    <w:basedOn w:val="Normal"/>
    <w:rsid w:val="00AF7FF3"/>
    <w:pPr>
      <w:spacing w:before="100" w:beforeAutospacing="1" w:after="100" w:afterAutospacing="1"/>
      <w:jc w:val="left"/>
    </w:pPr>
    <w:rPr>
      <w:rFonts w:ascii="Times New Roman" w:eastAsia="MS Mincho" w:hAnsi="Times New Roman"/>
      <w:sz w:val="24"/>
      <w:szCs w:val="24"/>
      <w:lang w:val="en-AU" w:eastAsia="ja-JP"/>
    </w:rPr>
  </w:style>
  <w:style w:type="character" w:customStyle="1" w:styleId="hps">
    <w:name w:val="hps"/>
    <w:rsid w:val="00AF7FF3"/>
  </w:style>
  <w:style w:type="character" w:customStyle="1" w:styleId="apple-converted-space">
    <w:name w:val="apple-converted-space"/>
    <w:basedOn w:val="DefaultParagraphFont"/>
    <w:rsid w:val="00AF7FF3"/>
  </w:style>
  <w:style w:type="paragraph" w:customStyle="1" w:styleId="a">
    <w:name w:val="바탕글"/>
    <w:uiPriority w:val="99"/>
    <w:rsid w:val="00AF7FF3"/>
    <w:pPr>
      <w:widowControl w:val="0"/>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 w:eastAsia="Batang" w:cs="Batang"/>
      <w:color w:val="000000"/>
      <w:sz w:val="24"/>
      <w:szCs w:val="24"/>
      <w:lang w:eastAsia="ko-KR"/>
    </w:rPr>
  </w:style>
  <w:style w:type="character" w:styleId="FollowedHyperlink">
    <w:name w:val="FollowedHyperlink"/>
    <w:basedOn w:val="DefaultParagraphFont"/>
    <w:unhideWhenUsed/>
    <w:rsid w:val="00AF7FF3"/>
    <w:rPr>
      <w:color w:val="800080" w:themeColor="followedHyperlink"/>
      <w:u w:val="single"/>
    </w:rPr>
  </w:style>
  <w:style w:type="character" w:styleId="CommentReference">
    <w:name w:val="annotation reference"/>
    <w:basedOn w:val="DefaultParagraphFont"/>
    <w:unhideWhenUsed/>
    <w:rsid w:val="00AF7FF3"/>
    <w:rPr>
      <w:sz w:val="16"/>
      <w:szCs w:val="16"/>
    </w:rPr>
  </w:style>
  <w:style w:type="paragraph" w:styleId="CommentText">
    <w:name w:val="annotation text"/>
    <w:basedOn w:val="Normal"/>
    <w:link w:val="CommentTextChar"/>
    <w:unhideWhenUsed/>
    <w:rsid w:val="00AF7FF3"/>
    <w:rPr>
      <w:lang w:val="en-US"/>
    </w:rPr>
  </w:style>
  <w:style w:type="character" w:customStyle="1" w:styleId="CommentTextChar">
    <w:name w:val="Comment Text Char"/>
    <w:basedOn w:val="DefaultParagraphFont"/>
    <w:link w:val="CommentText"/>
    <w:rsid w:val="00AF7FF3"/>
    <w:rPr>
      <w:rFonts w:ascii="Arial" w:hAnsi="Arial"/>
    </w:rPr>
  </w:style>
  <w:style w:type="paragraph" w:styleId="CommentSubject">
    <w:name w:val="annotation subject"/>
    <w:basedOn w:val="CommentText"/>
    <w:next w:val="CommentText"/>
    <w:link w:val="CommentSubjectChar"/>
    <w:unhideWhenUsed/>
    <w:rsid w:val="00AF7FF3"/>
    <w:rPr>
      <w:b/>
      <w:bCs/>
    </w:rPr>
  </w:style>
  <w:style w:type="character" w:customStyle="1" w:styleId="CommentSubjectChar">
    <w:name w:val="Comment Subject Char"/>
    <w:basedOn w:val="CommentTextChar"/>
    <w:link w:val="CommentSubject"/>
    <w:rsid w:val="00AF7FF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retsinformation.dk/Forms/R0710.aspx?id=173645" TargetMode="Externa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yperlink" Target="mailto:upov.mail@upov.int" TargetMode="External"/><Relationship Id="rId34" Type="http://schemas.openxmlformats.org/officeDocument/2006/relationships/header" Target="header12.xml"/><Relationship Id="rId42" Type="http://schemas.openxmlformats.org/officeDocument/2006/relationships/chart" Target="charts/chart4.xml"/><Relationship Id="rId47"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retsinformation.dk/Forms/R0710.aspx?id=123418" TargetMode="External"/><Relationship Id="rId25" Type="http://schemas.openxmlformats.org/officeDocument/2006/relationships/header" Target="header8.xml"/><Relationship Id="rId33" Type="http://schemas.openxmlformats.org/officeDocument/2006/relationships/hyperlink" Target="http://www.agepi.gov.md/" TargetMode="External"/><Relationship Id="rId38" Type="http://schemas.openxmlformats.org/officeDocument/2006/relationships/header" Target="header14.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tystofte.dk/wp-content/uploads/2015/08/prisliste-2016-pricelist-2016.pdf" TargetMode="External"/><Relationship Id="rId29" Type="http://schemas.openxmlformats.org/officeDocument/2006/relationships/package" Target="embeddings/Microsoft_PowerPoint_Slide1.sldx"/><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yperlink" Target="http://www.cpvo.europa.eu/main/de/home/methods-of-payment/applicable-fees/examination-fees" TargetMode="External"/><Relationship Id="rId45" Type="http://schemas.openxmlformats.org/officeDocument/2006/relationships/chart" Target="charts/chart7.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image" Target="media/image3.emf"/><Relationship Id="rId36" Type="http://schemas.openxmlformats.org/officeDocument/2006/relationships/hyperlink" Target="http://www.uzb.minpolj.gov.rs/index.php?option=com_content&amp;view=article&amp;id=61&amp;Itemid=14&amp;lang=en"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tystofte.dk/wp-content/uploads/2015/06/prisliste-2015-pricelist-2015.pdf" TargetMode="External"/><Relationship Id="rId31" Type="http://schemas.openxmlformats.org/officeDocument/2006/relationships/hyperlink" Target="http://www.coboru.pl/" TargetMode="External"/><Relationship Id="rId44" Type="http://schemas.openxmlformats.org/officeDocument/2006/relationships/chart" Target="charts/chart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image" Target="media/image2.jpeg"/><Relationship Id="rId27" Type="http://schemas.openxmlformats.org/officeDocument/2006/relationships/header" Target="header10.xml"/><Relationship Id="rId30" Type="http://schemas.openxmlformats.org/officeDocument/2006/relationships/hyperlink" Target="http://www.coboru.pl/" TargetMode="External"/><Relationship Id="rId35" Type="http://schemas.openxmlformats.org/officeDocument/2006/relationships/hyperlink" Target="http://www.uzb.minpolj.gov.rs/index.php?lang=en" TargetMode="External"/><Relationship Id="rId43" Type="http://schemas.openxmlformats.org/officeDocument/2006/relationships/chart" Target="charts/chart5.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DE.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eimy.velasquez\Desktop\informe%2020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pvonas\bonneau$\My%20Documents\_queries\Content\20141118VF%20content%20general.xls"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Desktop\Kopie%20von%20c_49_15_annex_graph_38160_FR.docx.xlsx" TargetMode="External"/><Relationship Id="rId1" Type="http://schemas.openxmlformats.org/officeDocument/2006/relationships/image" Target="../media/image4.jpg"/></Relationships>
</file>

<file path=word/charts/_rels/chart5.xml.rels><?xml version="1.0" encoding="UTF-8" standalone="yes"?>
<Relationships xmlns="http://schemas.openxmlformats.org/package/2006/relationships"><Relationship Id="rId2" Type="http://schemas.openxmlformats.org/officeDocument/2006/relationships/oleObject" Target="file:///C:\Users\bonneau\AppData\Local\Microsoft\Windows\Temporary%20Internet%20Files\Content.IE5\RY2EOOKC\1_-_Monthly_report_crosstab.csv" TargetMode="External"/><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Desktop\Kopie%20von%20c_49_15_annex_graph_38160_FR.docx.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Desktop\Kopie%20von%20c_49_15_annex_graph_38160_FR.doc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1200"/>
            </a:pPr>
            <a:r>
              <a:rPr lang="de-DE" sz="1200"/>
              <a:t>EINGEGANGENE ANTRÄGE NACH ARTEN </a:t>
            </a:r>
          </a:p>
          <a:p>
            <a:pPr algn="ctr">
              <a:defRPr sz="1200"/>
            </a:pPr>
            <a:r>
              <a:rPr lang="de-DE" sz="1200"/>
              <a:t>OKTOBER 2014 - SEPTEMBER 2015</a:t>
            </a:r>
          </a:p>
          <a:p>
            <a:pPr algn="ctr">
              <a:defRPr sz="1200"/>
            </a:pPr>
            <a:r>
              <a:rPr lang="de-DE" sz="1200"/>
              <a:t> (214)</a:t>
            </a:r>
          </a:p>
        </c:rich>
      </c:tx>
      <c:layout>
        <c:manualLayout>
          <c:xMode val="edge"/>
          <c:yMode val="edge"/>
          <c:x val="0.27387819656630158"/>
          <c:y val="3.9594355882626386E-2"/>
        </c:manualLayout>
      </c:layout>
      <c:overlay val="0"/>
    </c:title>
    <c:autoTitleDeleted val="0"/>
    <c:plotArea>
      <c:layout/>
      <c:barChart>
        <c:barDir val="col"/>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92D050"/>
              </a:solidFill>
            </c:spPr>
          </c:dPt>
          <c:dPt>
            <c:idx val="2"/>
            <c:invertIfNegative val="0"/>
            <c:bubble3D val="0"/>
            <c:spPr>
              <a:solidFill>
                <a:srgbClr val="FF33CC"/>
              </a:solidFill>
            </c:spPr>
          </c:dPt>
          <c:dPt>
            <c:idx val="3"/>
            <c:invertIfNegative val="0"/>
            <c:bubble3D val="0"/>
            <c:spPr>
              <a:solidFill>
                <a:srgbClr val="00CCFF"/>
              </a:solidFill>
            </c:spPr>
          </c:dPt>
          <c:dPt>
            <c:idx val="4"/>
            <c:invertIfNegative val="0"/>
            <c:bubble3D val="0"/>
            <c:spPr>
              <a:solidFill>
                <a:srgbClr val="FFFF00"/>
              </a:solidFill>
            </c:spPr>
          </c:dPt>
          <c:dPt>
            <c:idx val="5"/>
            <c:invertIfNegative val="0"/>
            <c:bubble3D val="0"/>
            <c:spPr>
              <a:solidFill>
                <a:srgbClr val="00CC00"/>
              </a:solidFill>
            </c:spPr>
          </c:dPt>
          <c:dPt>
            <c:idx val="7"/>
            <c:invertIfNegative val="0"/>
            <c:bubble3D val="0"/>
            <c:spPr>
              <a:solidFill>
                <a:srgbClr val="FFCC00"/>
              </a:solidFill>
            </c:spPr>
          </c:dPt>
          <c:dPt>
            <c:idx val="8"/>
            <c:invertIfNegative val="0"/>
            <c:bubble3D val="0"/>
            <c:spPr>
              <a:solidFill>
                <a:srgbClr val="6699FF"/>
              </a:solidFill>
            </c:spPr>
          </c:dPt>
          <c:dPt>
            <c:idx val="9"/>
            <c:invertIfNegative val="0"/>
            <c:bubble3D val="0"/>
            <c:spPr>
              <a:solidFill>
                <a:srgbClr val="990099"/>
              </a:solidFill>
            </c:spPr>
          </c:dPt>
          <c:dPt>
            <c:idx val="10"/>
            <c:invertIfNegative val="0"/>
            <c:bubble3D val="0"/>
            <c:spPr>
              <a:solidFill>
                <a:srgbClr val="CCCC00"/>
              </a:solidFill>
            </c:spPr>
          </c:dPt>
          <c:dPt>
            <c:idx val="11"/>
            <c:invertIfNegative val="0"/>
            <c:bubble3D val="0"/>
            <c:spPr>
              <a:solidFill>
                <a:srgbClr val="FF6600"/>
              </a:solidFill>
            </c:spPr>
          </c:dPt>
          <c:dPt>
            <c:idx val="12"/>
            <c:invertIfNegative val="0"/>
            <c:bubble3D val="0"/>
            <c:spPr>
              <a:solidFill>
                <a:srgbClr val="FF66CC"/>
              </a:solidFill>
            </c:spPr>
          </c:dPt>
          <c:dPt>
            <c:idx val="13"/>
            <c:invertIfNegative val="0"/>
            <c:bubble3D val="0"/>
            <c:spPr>
              <a:solidFill>
                <a:srgbClr val="0099FF"/>
              </a:solidFill>
            </c:spPr>
          </c:dPt>
          <c:dPt>
            <c:idx val="14"/>
            <c:invertIfNegative val="0"/>
            <c:bubble3D val="0"/>
            <c:spPr>
              <a:solidFill>
                <a:srgbClr val="808000"/>
              </a:solidFill>
            </c:spPr>
          </c:dPt>
          <c:dPt>
            <c:idx val="15"/>
            <c:invertIfNegative val="0"/>
            <c:bubble3D val="0"/>
            <c:spPr>
              <a:solidFill>
                <a:srgbClr val="FF33CC"/>
              </a:solidFill>
            </c:spPr>
          </c:dPt>
          <c:dPt>
            <c:idx val="16"/>
            <c:invertIfNegative val="0"/>
            <c:bubble3D val="0"/>
            <c:spPr>
              <a:solidFill>
                <a:srgbClr val="FFCC00"/>
              </a:solidFill>
            </c:spPr>
          </c:dPt>
          <c:dPt>
            <c:idx val="17"/>
            <c:invertIfNegative val="0"/>
            <c:bubble3D val="0"/>
            <c:spPr>
              <a:solidFill>
                <a:srgbClr val="66FF66"/>
              </a:solidFill>
            </c:spPr>
          </c:dPt>
          <c:dPt>
            <c:idx val="18"/>
            <c:invertIfNegative val="0"/>
            <c:bubble3D val="0"/>
            <c:spPr>
              <a:solidFill>
                <a:srgbClr val="00B050"/>
              </a:solidFill>
            </c:spPr>
          </c:dPt>
          <c:dPt>
            <c:idx val="20"/>
            <c:invertIfNegative val="0"/>
            <c:bubble3D val="0"/>
            <c:spPr>
              <a:solidFill>
                <a:srgbClr val="FA2E18"/>
              </a:solidFill>
            </c:spPr>
          </c:dPt>
          <c:dLbls>
            <c:dLbl>
              <c:idx val="0"/>
              <c:layout>
                <c:manualLayout>
                  <c:x val="0"/>
                  <c:y val="-1.3036102646762744E-4"/>
                </c:manualLayout>
              </c:layout>
              <c:dLblPos val="outEnd"/>
              <c:showLegendKey val="0"/>
              <c:showVal val="1"/>
              <c:showCatName val="0"/>
              <c:showSerName val="0"/>
              <c:showPercent val="0"/>
              <c:showBubbleSize val="0"/>
            </c:dLbl>
            <c:dLbl>
              <c:idx val="3"/>
              <c:layout>
                <c:manualLayout>
                  <c:x val="-2.0800828626395171E-3"/>
                  <c:y val="2.8871854545015493E-3"/>
                </c:manualLayout>
              </c:layout>
              <c:dLblPos val="outEnd"/>
              <c:showLegendKey val="0"/>
              <c:showVal val="1"/>
              <c:showCatName val="0"/>
              <c:showSerName val="0"/>
              <c:showPercent val="0"/>
              <c:showBubbleSize val="0"/>
            </c:dLbl>
            <c:dLbl>
              <c:idx val="5"/>
              <c:layout>
                <c:manualLayout>
                  <c:x val="0"/>
                  <c:y val="2.8871854545014612E-3"/>
                </c:manualLayout>
              </c:layout>
              <c:dLblPos val="outEnd"/>
              <c:showLegendKey val="0"/>
              <c:showVal val="1"/>
              <c:showCatName val="0"/>
              <c:showSerName val="0"/>
              <c:showPercent val="0"/>
              <c:showBubbleSize val="0"/>
            </c:dLbl>
            <c:dLbl>
              <c:idx val="7"/>
              <c:layout>
                <c:manualLayout>
                  <c:x val="-3.8134411949743502E-17"/>
                  <c:y val="2.2655652197535129E-3"/>
                </c:manualLayout>
              </c:layout>
              <c:dLblPos val="outEnd"/>
              <c:showLegendKey val="0"/>
              <c:showVal val="1"/>
              <c:showCatName val="0"/>
              <c:showSerName val="0"/>
              <c:showPercent val="0"/>
              <c:showBubbleSize val="0"/>
            </c:dLbl>
            <c:dLbl>
              <c:idx val="8"/>
              <c:layout>
                <c:manualLayout>
                  <c:x val="-3.8134411949743502E-17"/>
                  <c:y val="4.9125920828032112E-4"/>
                </c:manualLayout>
              </c:layout>
              <c:dLblPos val="outEnd"/>
              <c:showLegendKey val="0"/>
              <c:showVal val="1"/>
              <c:showCatName val="0"/>
              <c:showSerName val="0"/>
              <c:showPercent val="0"/>
              <c:showBubbleSize val="0"/>
            </c:dLbl>
            <c:dLbl>
              <c:idx val="9"/>
              <c:layout>
                <c:manualLayout>
                  <c:x val="7.6268823899487004E-17"/>
                  <c:y val="4.1387267708346605E-3"/>
                </c:manualLayout>
              </c:layout>
              <c:dLblPos val="outEnd"/>
              <c:showLegendKey val="0"/>
              <c:showVal val="1"/>
              <c:showCatName val="0"/>
              <c:showSerName val="0"/>
              <c:showPercent val="0"/>
              <c:showBubbleSize val="0"/>
            </c:dLbl>
            <c:dLbl>
              <c:idx val="10"/>
              <c:layout>
                <c:manualLayout>
                  <c:x val="0"/>
                  <c:y val="1.74280052461352E-3"/>
                </c:manualLayout>
              </c:layout>
              <c:dLblPos val="outEnd"/>
              <c:showLegendKey val="0"/>
              <c:showVal val="1"/>
              <c:showCatName val="0"/>
              <c:showSerName val="0"/>
              <c:showPercent val="0"/>
              <c:showBubbleSize val="0"/>
            </c:dLbl>
            <c:dLbl>
              <c:idx val="11"/>
              <c:layout>
                <c:manualLayout>
                  <c:x val="0"/>
                  <c:y val="1.8607804767292402E-2"/>
                </c:manualLayout>
              </c:layout>
              <c:dLblPos val="outEnd"/>
              <c:showLegendKey val="0"/>
              <c:showVal val="1"/>
              <c:showCatName val="0"/>
              <c:showSerName val="0"/>
              <c:showPercent val="0"/>
              <c:showBubbleSize val="0"/>
            </c:dLbl>
            <c:dLbl>
              <c:idx val="12"/>
              <c:layout>
                <c:manualLayout>
                  <c:x val="7.6268823899487004E-17"/>
                  <c:y val="1.8607804767292402E-2"/>
                </c:manualLayout>
              </c:layout>
              <c:dLblPos val="outEnd"/>
              <c:showLegendKey val="0"/>
              <c:showVal val="1"/>
              <c:showCatName val="0"/>
              <c:showSerName val="0"/>
              <c:showPercent val="0"/>
              <c:showBubbleSize val="0"/>
            </c:dLbl>
            <c:dLbl>
              <c:idx val="13"/>
              <c:layout>
                <c:manualLayout>
                  <c:x val="0"/>
                  <c:y val="1.836373707143193E-3"/>
                </c:manualLayout>
              </c:layout>
              <c:dLblPos val="outEnd"/>
              <c:showLegendKey val="0"/>
              <c:showVal val="1"/>
              <c:showCatName val="0"/>
              <c:showSerName val="0"/>
              <c:showPercent val="0"/>
              <c:showBubbleSize val="0"/>
            </c:dLbl>
            <c:dLbl>
              <c:idx val="14"/>
              <c:layout>
                <c:manualLayout>
                  <c:x val="0"/>
                  <c:y val="4.5782943419918716E-3"/>
                </c:manualLayout>
              </c:layout>
              <c:dLblPos val="outEnd"/>
              <c:showLegendKey val="0"/>
              <c:showVal val="1"/>
              <c:showCatName val="0"/>
              <c:showSerName val="0"/>
              <c:showPercent val="0"/>
              <c:showBubbleSize val="0"/>
            </c:dLbl>
            <c:dLbl>
              <c:idx val="15"/>
              <c:layout>
                <c:manualLayout>
                  <c:x val="0"/>
                  <c:y val="1.2844712800264764E-2"/>
                </c:manualLayout>
              </c:layout>
              <c:dLblPos val="outEnd"/>
              <c:showLegendKey val="0"/>
              <c:showVal val="1"/>
              <c:showCatName val="0"/>
              <c:showSerName val="0"/>
              <c:showPercent val="0"/>
              <c:showBubbleSize val="0"/>
            </c:dLbl>
            <c:dLbl>
              <c:idx val="16"/>
              <c:layout>
                <c:manualLayout>
                  <c:x val="0"/>
                  <c:y val="9.7901129095569056E-3"/>
                </c:manualLayout>
              </c:layout>
              <c:dLblPos val="outEnd"/>
              <c:showLegendKey val="0"/>
              <c:showVal val="1"/>
              <c:showCatName val="0"/>
              <c:showSerName val="0"/>
              <c:showPercent val="0"/>
              <c:showBubbleSize val="0"/>
            </c:dLbl>
            <c:dLbl>
              <c:idx val="17"/>
              <c:layout>
                <c:manualLayout>
                  <c:x val="0"/>
                  <c:y val="9.7901129095569056E-3"/>
                </c:manualLayout>
              </c:layout>
              <c:dLblPos val="outEnd"/>
              <c:showLegendKey val="0"/>
              <c:showVal val="1"/>
              <c:showCatName val="0"/>
              <c:showSerName val="0"/>
              <c:showPercent val="0"/>
              <c:showBubbleSize val="0"/>
            </c:dLbl>
            <c:dLbl>
              <c:idx val="18"/>
              <c:layout>
                <c:manualLayout>
                  <c:x val="0"/>
                  <c:y val="6.7355130188490459E-3"/>
                </c:manualLayout>
              </c:layout>
              <c:dLblPos val="outEnd"/>
              <c:showLegendKey val="0"/>
              <c:showVal val="1"/>
              <c:showCatName val="0"/>
              <c:showSerName val="0"/>
              <c:showPercent val="0"/>
              <c:showBubbleSize val="0"/>
            </c:dLbl>
            <c:dLbl>
              <c:idx val="19"/>
              <c:layout>
                <c:manualLayout>
                  <c:x val="0"/>
                  <c:y val="9.7901129095568484E-3"/>
                </c:manualLayout>
              </c:layout>
              <c:dLblPos val="outEnd"/>
              <c:showLegendKey val="0"/>
              <c:showVal val="1"/>
              <c:showCatName val="0"/>
              <c:showSerName val="0"/>
              <c:showPercent val="0"/>
              <c:showBubbleSize val="0"/>
            </c:dLbl>
            <c:dLbl>
              <c:idx val="20"/>
              <c:layout>
                <c:manualLayout>
                  <c:x val="0"/>
                  <c:y val="6.7355130188490459E-3"/>
                </c:manualLayout>
              </c:layout>
              <c:dLblPos val="outEnd"/>
              <c:showLegendKey val="0"/>
              <c:showVal val="1"/>
              <c:showCatName val="0"/>
              <c:showSerName val="0"/>
              <c:showPercent val="0"/>
              <c:showBubbleSize val="0"/>
            </c:dLbl>
            <c:dLbl>
              <c:idx val="22"/>
              <c:layout>
                <c:manualLayout>
                  <c:x val="1.5253764779897401E-16"/>
                  <c:y val="1.2470890439386461E-2"/>
                </c:manualLayout>
              </c:layout>
              <c:dLblPos val="outEnd"/>
              <c:showLegendKey val="0"/>
              <c:showVal val="1"/>
              <c:showCatName val="0"/>
              <c:showSerName val="0"/>
              <c:showPercent val="0"/>
              <c:showBubbleSize val="0"/>
            </c:dLbl>
            <c:dLbl>
              <c:idx val="25"/>
              <c:layout>
                <c:manualLayout>
                  <c:x val="0"/>
                  <c:y val="1.5378073388541511E-2"/>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Hoja1!$B$3:$B$29</c:f>
              <c:strCache>
                <c:ptCount val="27"/>
                <c:pt idx="0">
                  <c:v>AGUACATE</c:v>
                </c:pt>
                <c:pt idx="1">
                  <c:v>AJENJO</c:v>
                </c:pt>
                <c:pt idx="2">
                  <c:v>ALGODÓN </c:v>
                </c:pt>
                <c:pt idx="3">
                  <c:v>ALSTROEMERIA </c:v>
                </c:pt>
                <c:pt idx="4">
                  <c:v>ARANDANO</c:v>
                </c:pt>
                <c:pt idx="5">
                  <c:v>ARROZ </c:v>
                </c:pt>
                <c:pt idx="6">
                  <c:v>BRAQUIARIA</c:v>
                </c:pt>
                <c:pt idx="7">
                  <c:v>CACAO</c:v>
                </c:pt>
                <c:pt idx="8">
                  <c:v>CAFÉ </c:v>
                </c:pt>
                <c:pt idx="9">
                  <c:v>CALA </c:v>
                </c:pt>
                <c:pt idx="10">
                  <c:v>CAÑA DE AZÚCAR </c:v>
                </c:pt>
                <c:pt idx="11">
                  <c:v>CAPIN COLONIÁO</c:v>
                </c:pt>
                <c:pt idx="12">
                  <c:v>CEBOLLA</c:v>
                </c:pt>
                <c:pt idx="13">
                  <c:v>CLAVEL</c:v>
                </c:pt>
                <c:pt idx="14">
                  <c:v>CRISANTEMO </c:v>
                </c:pt>
                <c:pt idx="15">
                  <c:v>FRESA</c:v>
                </c:pt>
                <c:pt idx="16">
                  <c:v>GYPSOPHILA </c:v>
                </c:pt>
                <c:pt idx="17">
                  <c:v>HYPERICUM</c:v>
                </c:pt>
                <c:pt idx="18">
                  <c:v>LIMONIUM</c:v>
                </c:pt>
                <c:pt idx="19">
                  <c:v>MELON </c:v>
                </c:pt>
                <c:pt idx="20">
                  <c:v>PALMA DE ACEITE</c:v>
                </c:pt>
                <c:pt idx="21">
                  <c:v>PEPPEGRASS</c:v>
                </c:pt>
                <c:pt idx="22">
                  <c:v>ROSA</c:v>
                </c:pt>
                <c:pt idx="23">
                  <c:v>SANDIA</c:v>
                </c:pt>
                <c:pt idx="24">
                  <c:v>SOLIDAGO</c:v>
                </c:pt>
                <c:pt idx="25">
                  <c:v>TOMATE</c:v>
                </c:pt>
                <c:pt idx="26">
                  <c:v>VID</c:v>
                </c:pt>
              </c:strCache>
            </c:strRef>
          </c:cat>
          <c:val>
            <c:numRef>
              <c:f>Hoja1!$C$3:$C$29</c:f>
              <c:numCache>
                <c:formatCode>General</c:formatCode>
                <c:ptCount val="27"/>
                <c:pt idx="0">
                  <c:v>2</c:v>
                </c:pt>
                <c:pt idx="1">
                  <c:v>1</c:v>
                </c:pt>
                <c:pt idx="2">
                  <c:v>1</c:v>
                </c:pt>
                <c:pt idx="3">
                  <c:v>18</c:v>
                </c:pt>
                <c:pt idx="4">
                  <c:v>1</c:v>
                </c:pt>
                <c:pt idx="5">
                  <c:v>7</c:v>
                </c:pt>
                <c:pt idx="6">
                  <c:v>1</c:v>
                </c:pt>
                <c:pt idx="7">
                  <c:v>2</c:v>
                </c:pt>
                <c:pt idx="8">
                  <c:v>10</c:v>
                </c:pt>
                <c:pt idx="9">
                  <c:v>5</c:v>
                </c:pt>
                <c:pt idx="10">
                  <c:v>5</c:v>
                </c:pt>
                <c:pt idx="11">
                  <c:v>1</c:v>
                </c:pt>
                <c:pt idx="12">
                  <c:v>1</c:v>
                </c:pt>
                <c:pt idx="13">
                  <c:v>12</c:v>
                </c:pt>
                <c:pt idx="14">
                  <c:v>58</c:v>
                </c:pt>
                <c:pt idx="15">
                  <c:v>6</c:v>
                </c:pt>
                <c:pt idx="16">
                  <c:v>1</c:v>
                </c:pt>
                <c:pt idx="17">
                  <c:v>1</c:v>
                </c:pt>
                <c:pt idx="18">
                  <c:v>5</c:v>
                </c:pt>
                <c:pt idx="19">
                  <c:v>3</c:v>
                </c:pt>
                <c:pt idx="20">
                  <c:v>3</c:v>
                </c:pt>
                <c:pt idx="21">
                  <c:v>1</c:v>
                </c:pt>
                <c:pt idx="22">
                  <c:v>62</c:v>
                </c:pt>
                <c:pt idx="23">
                  <c:v>1</c:v>
                </c:pt>
                <c:pt idx="24">
                  <c:v>1</c:v>
                </c:pt>
                <c:pt idx="25">
                  <c:v>3</c:v>
                </c:pt>
                <c:pt idx="26">
                  <c:v>2</c:v>
                </c:pt>
              </c:numCache>
            </c:numRef>
          </c:val>
        </c:ser>
        <c:dLbls>
          <c:showLegendKey val="0"/>
          <c:showVal val="0"/>
          <c:showCatName val="0"/>
          <c:showSerName val="0"/>
          <c:showPercent val="0"/>
          <c:showBubbleSize val="0"/>
        </c:dLbls>
        <c:gapWidth val="75"/>
        <c:overlap val="40"/>
        <c:axId val="115708672"/>
        <c:axId val="115710592"/>
      </c:barChart>
      <c:catAx>
        <c:axId val="115708672"/>
        <c:scaling>
          <c:orientation val="minMax"/>
        </c:scaling>
        <c:delete val="0"/>
        <c:axPos val="b"/>
        <c:majorTickMark val="none"/>
        <c:minorTickMark val="none"/>
        <c:tickLblPos val="nextTo"/>
        <c:crossAx val="115710592"/>
        <c:crosses val="autoZero"/>
        <c:auto val="1"/>
        <c:lblAlgn val="ctr"/>
        <c:lblOffset val="100"/>
        <c:noMultiLvlLbl val="0"/>
      </c:catAx>
      <c:valAx>
        <c:axId val="115710592"/>
        <c:scaling>
          <c:orientation val="minMax"/>
          <c:max val="65"/>
          <c:min val="0"/>
        </c:scaling>
        <c:delete val="0"/>
        <c:axPos val="l"/>
        <c:majorGridlines/>
        <c:numFmt formatCode="General" sourceLinked="1"/>
        <c:majorTickMark val="none"/>
        <c:minorTickMark val="none"/>
        <c:tickLblPos val="nextTo"/>
        <c:crossAx val="11570867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de-DE" sz="1200" b="1" i="0" baseline="0">
                <a:effectLst/>
              </a:rPr>
              <a:t>AUSGESTELLTE ZERTIFIKATE </a:t>
            </a:r>
            <a:endParaRPr lang="en-US" sz="1200">
              <a:effectLst/>
            </a:endParaRPr>
          </a:p>
          <a:p>
            <a:pPr>
              <a:defRPr sz="1200"/>
            </a:pPr>
            <a:r>
              <a:rPr lang="de-DE" sz="1200" b="1" i="0" baseline="0">
                <a:effectLst/>
              </a:rPr>
              <a:t>OKTOBER 2014 - SEPTEMBER 2015</a:t>
            </a:r>
            <a:endParaRPr lang="en-US" sz="1200">
              <a:effectLst/>
            </a:endParaRPr>
          </a:p>
          <a:p>
            <a:pPr>
              <a:defRPr sz="1200"/>
            </a:pPr>
            <a:r>
              <a:rPr lang="de-DE" sz="1200" b="1" i="0" baseline="0">
                <a:effectLst/>
              </a:rPr>
              <a:t>170</a:t>
            </a:r>
            <a:endParaRPr lang="en-US" sz="1200">
              <a:effectLst/>
            </a:endParaRPr>
          </a:p>
        </c:rich>
      </c:tx>
      <c:overlay val="0"/>
    </c:title>
    <c:autoTitleDeleted val="0"/>
    <c:plotArea>
      <c:layout/>
      <c:pieChart>
        <c:varyColors val="1"/>
        <c:ser>
          <c:idx val="0"/>
          <c:order val="0"/>
          <c:explosion val="25"/>
          <c:dLbls>
            <c:dLbl>
              <c:idx val="0"/>
              <c:layout>
                <c:manualLayout>
                  <c:x val="2.0826182784844202E-2"/>
                  <c:y val="-0.12052722917831993"/>
                </c:manualLayout>
              </c:layout>
              <c:tx>
                <c:rich>
                  <a:bodyPr/>
                  <a:lstStyle/>
                  <a:p>
                    <a:r>
                      <a:rPr lang="en-US"/>
                      <a:t>NIEDERLANDE, 96</a:t>
                    </a:r>
                  </a:p>
                </c:rich>
              </c:tx>
              <c:dLblPos val="bestFit"/>
              <c:showLegendKey val="0"/>
              <c:showVal val="1"/>
              <c:showCatName val="1"/>
              <c:showSerName val="0"/>
              <c:showPercent val="0"/>
              <c:showBubbleSize val="0"/>
            </c:dLbl>
            <c:dLbl>
              <c:idx val="1"/>
              <c:tx>
                <c:rich>
                  <a:bodyPr/>
                  <a:lstStyle/>
                  <a:p>
                    <a:r>
                      <a:rPr lang="en-US"/>
                      <a:t>FRANKREICH, 6</a:t>
                    </a:r>
                  </a:p>
                </c:rich>
              </c:tx>
              <c:dLblPos val="bestFit"/>
              <c:showLegendKey val="0"/>
              <c:showVal val="1"/>
              <c:showCatName val="1"/>
              <c:showSerName val="0"/>
              <c:showPercent val="0"/>
              <c:showBubbleSize val="0"/>
            </c:dLbl>
            <c:dLbl>
              <c:idx val="2"/>
              <c:layout>
                <c:manualLayout>
                  <c:x val="-7.0199794737196314E-2"/>
                  <c:y val="-3.555785035067338E-3"/>
                </c:manualLayout>
              </c:layout>
              <c:tx>
                <c:rich>
                  <a:bodyPr/>
                  <a:lstStyle/>
                  <a:p>
                    <a:r>
                      <a:rPr lang="en-US"/>
                      <a:t>VEREINIGTE STAATEN VON AMERIKA, 6</a:t>
                    </a:r>
                  </a:p>
                </c:rich>
              </c:tx>
              <c:dLblPos val="bestFit"/>
              <c:showLegendKey val="0"/>
              <c:showVal val="1"/>
              <c:showCatName val="1"/>
              <c:showSerName val="0"/>
              <c:showPercent val="0"/>
              <c:showBubbleSize val="0"/>
            </c:dLbl>
            <c:dLbl>
              <c:idx val="3"/>
              <c:layout>
                <c:manualLayout>
                  <c:x val="-2.9386567063732418E-2"/>
                  <c:y val="-3.6737375041234602E-2"/>
                </c:manualLayout>
              </c:layout>
              <c:tx>
                <c:rich>
                  <a:bodyPr/>
                  <a:lstStyle/>
                  <a:p>
                    <a:r>
                      <a:rPr lang="en-US"/>
                      <a:t>SPANIEN, 1</a:t>
                    </a:r>
                  </a:p>
                </c:rich>
              </c:tx>
              <c:dLblPos val="bestFit"/>
              <c:showLegendKey val="0"/>
              <c:showVal val="1"/>
              <c:showCatName val="1"/>
              <c:showSerName val="0"/>
              <c:showPercent val="0"/>
              <c:showBubbleSize val="0"/>
            </c:dLbl>
            <c:dLbl>
              <c:idx val="4"/>
              <c:layout>
                <c:manualLayout>
                  <c:x val="-1.4121996769634566E-2"/>
                  <c:y val="-1.5146508325803536E-2"/>
                </c:manualLayout>
              </c:layout>
              <c:tx>
                <c:rich>
                  <a:bodyPr/>
                  <a:lstStyle/>
                  <a:p>
                    <a:r>
                      <a:rPr lang="en-US"/>
                      <a:t>KOLUMBIEN, 18</a:t>
                    </a:r>
                  </a:p>
                </c:rich>
              </c:tx>
              <c:dLblPos val="bestFit"/>
              <c:showLegendKey val="0"/>
              <c:showVal val="1"/>
              <c:showCatName val="1"/>
              <c:showSerName val="0"/>
              <c:showPercent val="0"/>
              <c:showBubbleSize val="0"/>
            </c:dLbl>
            <c:dLbl>
              <c:idx val="5"/>
              <c:layout>
                <c:manualLayout>
                  <c:x val="-2.2880745676021268E-2"/>
                  <c:y val="5.708302855585675E-4"/>
                </c:manualLayout>
              </c:layout>
              <c:tx>
                <c:rich>
                  <a:bodyPr/>
                  <a:lstStyle/>
                  <a:p>
                    <a:r>
                      <a:rPr lang="en-US"/>
                      <a:t>CHILE, 2</a:t>
                    </a:r>
                  </a:p>
                </c:rich>
              </c:tx>
              <c:dLblPos val="bestFit"/>
              <c:showLegendKey val="0"/>
              <c:showVal val="1"/>
              <c:showCatName val="1"/>
              <c:showSerName val="0"/>
              <c:showPercent val="0"/>
              <c:showBubbleSize val="0"/>
            </c:dLbl>
            <c:dLbl>
              <c:idx val="6"/>
              <c:layout>
                <c:manualLayout>
                  <c:x val="-1.7647385422975975E-2"/>
                  <c:y val="-5.1558309309696947E-3"/>
                </c:manualLayout>
              </c:layout>
              <c:tx>
                <c:rich>
                  <a:bodyPr/>
                  <a:lstStyle/>
                  <a:p>
                    <a:r>
                      <a:rPr lang="en-US"/>
                      <a:t>AUSTRALIEN, 6</a:t>
                    </a:r>
                  </a:p>
                </c:rich>
              </c:tx>
              <c:dLblPos val="bestFit"/>
              <c:showLegendKey val="0"/>
              <c:showVal val="1"/>
              <c:showCatName val="1"/>
              <c:showSerName val="0"/>
              <c:showPercent val="0"/>
              <c:showBubbleSize val="0"/>
            </c:dLbl>
            <c:dLbl>
              <c:idx val="7"/>
              <c:layout>
                <c:manualLayout>
                  <c:x val="-1.6211134665859075E-2"/>
                  <c:y val="2.0363438176785277E-3"/>
                </c:manualLayout>
              </c:layout>
              <c:tx>
                <c:rich>
                  <a:bodyPr/>
                  <a:lstStyle/>
                  <a:p>
                    <a:r>
                      <a:rPr lang="en-US"/>
                      <a:t>DEUTSCHLAND, 20</a:t>
                    </a:r>
                  </a:p>
                </c:rich>
              </c:tx>
              <c:dLblPos val="bestFit"/>
              <c:showLegendKey val="0"/>
              <c:showVal val="1"/>
              <c:showCatName val="1"/>
              <c:showSerName val="0"/>
              <c:showPercent val="0"/>
              <c:showBubbleSize val="0"/>
            </c:dLbl>
            <c:dLbl>
              <c:idx val="8"/>
              <c:tx>
                <c:rich>
                  <a:bodyPr/>
                  <a:lstStyle/>
                  <a:p>
                    <a:r>
                      <a:rPr lang="en-US"/>
                      <a:t>NEUSEELAND, 1</a:t>
                    </a:r>
                  </a:p>
                </c:rich>
              </c:tx>
              <c:dLblPos val="bestFit"/>
              <c:showLegendKey val="0"/>
              <c:showVal val="1"/>
              <c:showCatName val="1"/>
              <c:showSerName val="0"/>
              <c:showPercent val="0"/>
              <c:showBubbleSize val="0"/>
            </c:dLbl>
            <c:dLbl>
              <c:idx val="9"/>
              <c:layout>
                <c:manualLayout>
                  <c:x val="-3.5251531058617676E-2"/>
                  <c:y val="-4.7074566498859771E-2"/>
                </c:manualLayout>
              </c:layout>
              <c:tx>
                <c:rich>
                  <a:bodyPr/>
                  <a:lstStyle/>
                  <a:p>
                    <a:r>
                      <a:rPr lang="en-US"/>
                      <a:t>ITALIEN, 4</a:t>
                    </a:r>
                  </a:p>
                </c:rich>
              </c:tx>
              <c:dLblPos val="bestFit"/>
              <c:showLegendKey val="0"/>
              <c:showVal val="1"/>
              <c:showCatName val="1"/>
              <c:showSerName val="0"/>
              <c:showPercent val="0"/>
              <c:showBubbleSize val="0"/>
            </c:dLbl>
            <c:dLbl>
              <c:idx val="10"/>
              <c:layout>
                <c:manualLayout>
                  <c:x val="3.0209048388182246E-2"/>
                  <c:y val="-3.7499247020351963E-2"/>
                </c:manualLayout>
              </c:layout>
              <c:tx>
                <c:rich>
                  <a:bodyPr/>
                  <a:lstStyle/>
                  <a:p>
                    <a:r>
                      <a:rPr lang="en-US"/>
                      <a:t>ISRAEL, 6</a:t>
                    </a:r>
                  </a:p>
                </c:rich>
              </c:tx>
              <c:dLblPos val="bestFit"/>
              <c:showLegendKey val="0"/>
              <c:showVal val="1"/>
              <c:showCatName val="1"/>
              <c:showSerName val="0"/>
              <c:showPercent val="0"/>
              <c:showBubbleSize val="0"/>
            </c:dLbl>
            <c:dLbl>
              <c:idx val="11"/>
              <c:layout>
                <c:manualLayout>
                  <c:x val="0.12122030419274514"/>
                  <c:y val="1.6832895888014E-2"/>
                </c:manualLayout>
              </c:layout>
              <c:tx>
                <c:rich>
                  <a:bodyPr/>
                  <a:lstStyle/>
                  <a:p>
                    <a:r>
                      <a:rPr lang="en-US"/>
                      <a:t>VEREINIGTES KÖNIGREICH, 4</a:t>
                    </a:r>
                  </a:p>
                </c:rich>
              </c:tx>
              <c:dLblPos val="bestFit"/>
              <c:showLegendKey val="0"/>
              <c:showVal val="1"/>
              <c:showCatName val="1"/>
              <c:showSerName val="0"/>
              <c:showPercent val="0"/>
              <c:showBubbleSize val="0"/>
            </c:dLbl>
            <c:dLblPos val="bestFit"/>
            <c:showLegendKey val="0"/>
            <c:showVal val="1"/>
            <c:showCatName val="1"/>
            <c:showSerName val="0"/>
            <c:showPercent val="0"/>
            <c:showBubbleSize val="0"/>
            <c:showLeaderLines val="1"/>
          </c:dLbls>
          <c:cat>
            <c:strRef>
              <c:f>Sheet2!$A$2:$A$13</c:f>
              <c:strCache>
                <c:ptCount val="12"/>
                <c:pt idx="0">
                  <c:v>DUTCH</c:v>
                </c:pt>
                <c:pt idx="1">
                  <c:v>FRENCH</c:v>
                </c:pt>
                <c:pt idx="2">
                  <c:v>AMERICAN</c:v>
                </c:pt>
                <c:pt idx="3">
                  <c:v>SPANISH</c:v>
                </c:pt>
                <c:pt idx="4">
                  <c:v>COLOMBIAN</c:v>
                </c:pt>
                <c:pt idx="5">
                  <c:v>CHILEAN</c:v>
                </c:pt>
                <c:pt idx="6">
                  <c:v>AUSTRALIAN</c:v>
                </c:pt>
                <c:pt idx="7">
                  <c:v>GERMAN</c:v>
                </c:pt>
                <c:pt idx="8">
                  <c:v>NEW ZEALANDER</c:v>
                </c:pt>
                <c:pt idx="9">
                  <c:v>ITALIAN</c:v>
                </c:pt>
                <c:pt idx="10">
                  <c:v>ISRAELI</c:v>
                </c:pt>
                <c:pt idx="11">
                  <c:v>ENGLISH</c:v>
                </c:pt>
              </c:strCache>
            </c:strRef>
          </c:cat>
          <c:val>
            <c:numRef>
              <c:f>Sheet2!$B$2:$B$13</c:f>
              <c:numCache>
                <c:formatCode>General</c:formatCode>
                <c:ptCount val="12"/>
                <c:pt idx="0">
                  <c:v>96</c:v>
                </c:pt>
                <c:pt idx="1">
                  <c:v>6</c:v>
                </c:pt>
                <c:pt idx="2">
                  <c:v>6</c:v>
                </c:pt>
                <c:pt idx="3">
                  <c:v>1</c:v>
                </c:pt>
                <c:pt idx="4">
                  <c:v>18</c:v>
                </c:pt>
                <c:pt idx="5">
                  <c:v>2</c:v>
                </c:pt>
                <c:pt idx="6">
                  <c:v>6</c:v>
                </c:pt>
                <c:pt idx="7">
                  <c:v>20</c:v>
                </c:pt>
                <c:pt idx="8">
                  <c:v>1</c:v>
                </c:pt>
                <c:pt idx="9">
                  <c:v>4</c:v>
                </c:pt>
                <c:pt idx="10">
                  <c:v>6</c:v>
                </c:pt>
                <c:pt idx="11">
                  <c:v>4</c:v>
                </c:pt>
              </c:numCache>
            </c:numRef>
          </c:val>
        </c:ser>
        <c:dLbls>
          <c:showLegendKey val="0"/>
          <c:showVal val="1"/>
          <c:showCatName val="0"/>
          <c:showSerName val="0"/>
          <c:showPercent val="0"/>
          <c:showBubbleSize val="0"/>
          <c:showLeaderLines val="1"/>
        </c:dLbls>
        <c:firstSliceAng val="0"/>
      </c:pieChart>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u="sng"/>
            </a:pPr>
            <a:r>
              <a:rPr lang="en-US" sz="1400" u="none"/>
              <a:t>Anzahl von Einträgen pro Eintragungstyp </a:t>
            </a:r>
            <a:endParaRPr lang="en-US" sz="1400" u="none" baseline="0"/>
          </a:p>
          <a:p>
            <a:pPr>
              <a:defRPr sz="1400" u="sng"/>
            </a:pPr>
            <a:r>
              <a:rPr lang="en-US" sz="1400" u="none" baseline="0"/>
              <a:t>- Dezember 2014 - </a:t>
            </a:r>
            <a:endParaRPr lang="en-US" sz="1400" u="none"/>
          </a:p>
        </c:rich>
      </c:tx>
      <c:layout>
        <c:manualLayout>
          <c:xMode val="edge"/>
          <c:yMode val="edge"/>
          <c:x val="0.21966693187741776"/>
          <c:y val="0"/>
        </c:manualLayout>
      </c:layout>
      <c:overlay val="0"/>
    </c:title>
    <c:autoTitleDeleted val="0"/>
    <c:view3D>
      <c:rotX val="40"/>
      <c:rotY val="100"/>
      <c:rAngAx val="0"/>
      <c:perspective val="0"/>
    </c:view3D>
    <c:floor>
      <c:thickness val="0"/>
    </c:floor>
    <c:sideWall>
      <c:thickness val="0"/>
    </c:sideWall>
    <c:backWall>
      <c:thickness val="0"/>
    </c:backWall>
    <c:plotArea>
      <c:layout>
        <c:manualLayout>
          <c:layoutTarget val="inner"/>
          <c:xMode val="edge"/>
          <c:yMode val="edge"/>
          <c:x val="2.9045149844074381E-4"/>
          <c:y val="0.10011940815090421"/>
          <c:w val="0.96726190476190477"/>
          <c:h val="0.87364331694674124"/>
        </c:manualLayout>
      </c:layout>
      <c:pie3DChart>
        <c:varyColors val="1"/>
        <c:ser>
          <c:idx val="0"/>
          <c:order val="0"/>
          <c:tx>
            <c:strRef>
              <c:f>Sheet1!$B$1</c:f>
              <c:strCache>
                <c:ptCount val="1"/>
                <c:pt idx="0">
                  <c:v>COUNT(V.VARIETYID)</c:v>
                </c:pt>
              </c:strCache>
            </c:strRef>
          </c:tx>
          <c:dPt>
            <c:idx val="0"/>
            <c:bubble3D val="0"/>
          </c:dPt>
          <c:dPt>
            <c:idx val="1"/>
            <c:bubble3D val="0"/>
          </c:dPt>
          <c:dPt>
            <c:idx val="2"/>
            <c:bubble3D val="0"/>
          </c:dPt>
          <c:dPt>
            <c:idx val="3"/>
            <c:bubble3D val="0"/>
          </c:dPt>
          <c:dPt>
            <c:idx val="4"/>
            <c:bubble3D val="0"/>
            <c:explosion val="16"/>
            <c:spPr>
              <a:solidFill>
                <a:schemeClr val="accent6"/>
              </a:solidFill>
            </c:spPr>
          </c:dPt>
          <c:dPt>
            <c:idx val="5"/>
            <c:bubble3D val="0"/>
          </c:dPt>
          <c:dLbls>
            <c:dLbl>
              <c:idx val="0"/>
              <c:layout>
                <c:manualLayout>
                  <c:x val="0.12530073984654358"/>
                  <c:y val="-6.2400276888465868E-2"/>
                </c:manualLayout>
              </c:layout>
              <c:tx>
                <c:rich>
                  <a:bodyPr/>
                  <a:lstStyle/>
                  <a:p>
                    <a:pPr>
                      <a:defRPr/>
                    </a:pPr>
                    <a:r>
                      <a:rPr lang="en-US"/>
                      <a:t>Züchterrechte; 258846 Einträge; </a:t>
                    </a:r>
                  </a:p>
                  <a:p>
                    <a:pPr>
                      <a:defRPr/>
                    </a:pPr>
                    <a:r>
                      <a:rPr lang="en-US"/>
                      <a:t>29%</a:t>
                    </a:r>
                  </a:p>
                </c:rich>
              </c:tx>
              <c:spPr/>
              <c:dLblPos val="bestFit"/>
              <c:showLegendKey val="0"/>
              <c:showVal val="1"/>
              <c:showCatName val="1"/>
              <c:showSerName val="0"/>
              <c:showPercent val="1"/>
              <c:showBubbleSize val="0"/>
              <c:extLst>
                <c:ext xmlns:c15="http://schemas.microsoft.com/office/drawing/2012/chart" uri="{CE6537A1-D6FC-4f65-9D91-7224C49458BB}"/>
              </c:extLst>
            </c:dLbl>
            <c:dLbl>
              <c:idx val="1"/>
              <c:layout>
                <c:manualLayout>
                  <c:x val="-2.213370627334035E-2"/>
                  <c:y val="2.3165100784584395E-2"/>
                </c:manualLayout>
              </c:layout>
              <c:tx>
                <c:rich>
                  <a:bodyPr/>
                  <a:lstStyle/>
                  <a:p>
                    <a:pPr>
                      <a:defRPr/>
                    </a:pPr>
                    <a:r>
                      <a:rPr lang="en-US"/>
                      <a:t>Handelsregister; 130330 Einträge; </a:t>
                    </a:r>
                  </a:p>
                  <a:p>
                    <a:pPr>
                      <a:defRPr/>
                    </a:pPr>
                    <a:r>
                      <a:rPr lang="en-US"/>
                      <a:t>15%</a:t>
                    </a:r>
                  </a:p>
                </c:rich>
              </c:tx>
              <c:spPr/>
              <c:dLblPos val="bestFit"/>
              <c:showLegendKey val="0"/>
              <c:showVal val="1"/>
              <c:showCatName val="1"/>
              <c:showSerName val="0"/>
              <c:showPercent val="1"/>
              <c:showBubbleSize val="0"/>
              <c:extLst>
                <c:ext xmlns:c15="http://schemas.microsoft.com/office/drawing/2012/chart" uri="{CE6537A1-D6FC-4f65-9D91-7224C49458BB}"/>
              </c:extLst>
            </c:dLbl>
            <c:dLbl>
              <c:idx val="2"/>
              <c:layout>
                <c:manualLayout>
                  <c:x val="-8.7932727921204962E-2"/>
                  <c:y val="4.6049724553661561E-2"/>
                </c:manualLayout>
              </c:layout>
              <c:tx>
                <c:rich>
                  <a:bodyPr/>
                  <a:lstStyle/>
                  <a:p>
                    <a:pPr>
                      <a:defRPr/>
                    </a:pPr>
                    <a:r>
                      <a:rPr lang="en-US" sz="1000" b="0" i="0" u="none" strike="noStrike" kern="1200" baseline="0">
                        <a:solidFill>
                          <a:sysClr val="windowText" lastClr="000000"/>
                        </a:solidFill>
                        <a:latin typeface="+mn-lt"/>
                        <a:ea typeface="+mn-ea"/>
                        <a:cs typeface="+mn-cs"/>
                      </a:rPr>
                      <a:t>Nationale Liste</a:t>
                    </a:r>
                    <a:r>
                      <a:rPr lang="en-US"/>
                      <a:t>; </a:t>
                    </a:r>
                  </a:p>
                  <a:p>
                    <a:pPr>
                      <a:defRPr/>
                    </a:pPr>
                    <a:r>
                      <a:rPr lang="en-US"/>
                      <a:t>352330 </a:t>
                    </a:r>
                    <a:r>
                      <a:rPr lang="en-US" sz="1000" b="0" i="0" u="none" strike="noStrike" kern="1200" baseline="0">
                        <a:solidFill>
                          <a:sysClr val="windowText" lastClr="000000"/>
                        </a:solidFill>
                        <a:latin typeface="+mn-lt"/>
                        <a:ea typeface="+mn-ea"/>
                        <a:cs typeface="+mn-cs"/>
                      </a:rPr>
                      <a:t>Einträge</a:t>
                    </a:r>
                    <a:r>
                      <a:rPr lang="en-US"/>
                      <a:t>; 40%</a:t>
                    </a:r>
                  </a:p>
                </c:rich>
              </c:tx>
              <c:spPr/>
              <c:dLblPos val="bestFit"/>
              <c:showLegendKey val="0"/>
              <c:showVal val="1"/>
              <c:showCatName val="1"/>
              <c:showSerName val="0"/>
              <c:showPercent val="1"/>
              <c:showBubbleSize val="0"/>
              <c:extLst>
                <c:ext xmlns:c15="http://schemas.microsoft.com/office/drawing/2012/chart" uri="{CE6537A1-D6FC-4f65-9D91-7224C49458BB}"/>
              </c:extLst>
            </c:dLbl>
            <c:dLbl>
              <c:idx val="3"/>
              <c:layout>
                <c:manualLayout>
                  <c:x val="2.9546672519593586E-2"/>
                  <c:y val="-5.4772253468316455E-2"/>
                </c:manualLayout>
              </c:layout>
              <c:tx>
                <c:rich>
                  <a:bodyPr/>
                  <a:lstStyle/>
                  <a:p>
                    <a:pPr>
                      <a:defRPr/>
                    </a:pPr>
                    <a:r>
                      <a:rPr lang="en-US"/>
                      <a:t>Pflanzenpatente; </a:t>
                    </a:r>
                  </a:p>
                  <a:p>
                    <a:pPr>
                      <a:defRPr/>
                    </a:pPr>
                    <a:r>
                      <a:rPr lang="en-US"/>
                      <a:t>26398 Einträge;</a:t>
                    </a:r>
                  </a:p>
                  <a:p>
                    <a:pPr>
                      <a:defRPr/>
                    </a:pPr>
                    <a:r>
                      <a:rPr lang="en-US"/>
                      <a:t>3%</a:t>
                    </a:r>
                  </a:p>
                </c:rich>
              </c:tx>
              <c:spPr/>
              <c:dLblPos val="bestFit"/>
              <c:showLegendKey val="0"/>
              <c:showVal val="1"/>
              <c:showCatName val="1"/>
              <c:showSerName val="0"/>
              <c:showPercent val="1"/>
              <c:showBubbleSize val="0"/>
              <c:extLst>
                <c:ext xmlns:c15="http://schemas.microsoft.com/office/drawing/2012/chart" uri="{CE6537A1-D6FC-4f65-9D91-7224C49458BB}"/>
              </c:extLst>
            </c:dLbl>
            <c:dLbl>
              <c:idx val="4"/>
              <c:layout>
                <c:manualLayout>
                  <c:x val="2.8509058318929647E-2"/>
                  <c:y val="8.3781327334083236E-2"/>
                </c:manualLayout>
              </c:layout>
              <c:tx>
                <c:rich>
                  <a:bodyPr/>
                  <a:lstStyle/>
                  <a:p>
                    <a:pPr>
                      <a:defRPr/>
                    </a:pPr>
                    <a:r>
                      <a:rPr lang="en-US"/>
                      <a:t>Gemeinschafts-marken; </a:t>
                    </a:r>
                  </a:p>
                  <a:p>
                    <a:pPr>
                      <a:defRPr/>
                    </a:pPr>
                    <a:r>
                      <a:rPr lang="en-US"/>
                      <a:t>30733 Einträge; </a:t>
                    </a:r>
                  </a:p>
                  <a:p>
                    <a:pPr>
                      <a:defRPr/>
                    </a:pPr>
                    <a:r>
                      <a:rPr lang="en-US"/>
                      <a:t>3%</a:t>
                    </a:r>
                  </a:p>
                </c:rich>
              </c:tx>
              <c:spPr/>
              <c:dLblPos val="bestFit"/>
              <c:showLegendKey val="0"/>
              <c:showVal val="1"/>
              <c:showCatName val="1"/>
              <c:showSerName val="0"/>
              <c:showPercent val="1"/>
              <c:showBubbleSize val="0"/>
              <c:extLst>
                <c:ext xmlns:c15="http://schemas.microsoft.com/office/drawing/2012/chart" uri="{CE6537A1-D6FC-4f65-9D91-7224C49458BB}"/>
              </c:extLst>
            </c:dLbl>
            <c:dLbl>
              <c:idx val="5"/>
              <c:layout>
                <c:manualLayout>
                  <c:x val="1.1729631357055978E-2"/>
                  <c:y val="0.10185466816647919"/>
                </c:manualLayout>
              </c:layout>
              <c:tx>
                <c:rich>
                  <a:bodyPr/>
                  <a:lstStyle/>
                  <a:p>
                    <a:pPr>
                      <a:defRPr/>
                    </a:pPr>
                    <a:r>
                      <a:rPr lang="en-US"/>
                      <a:t>Sonstige</a:t>
                    </a:r>
                    <a:r>
                      <a:rPr lang="en-US" baseline="0"/>
                      <a:t> Register</a:t>
                    </a:r>
                    <a:r>
                      <a:rPr lang="en-US"/>
                      <a:t>; </a:t>
                    </a:r>
                  </a:p>
                  <a:p>
                    <a:pPr>
                      <a:defRPr/>
                    </a:pPr>
                    <a:r>
                      <a:rPr lang="en-US"/>
                      <a:t>91273 Einträge; </a:t>
                    </a:r>
                  </a:p>
                  <a:p>
                    <a:pPr>
                      <a:defRPr/>
                    </a:pPr>
                    <a:r>
                      <a:rPr lang="en-US"/>
                      <a:t>10%</a:t>
                    </a:r>
                  </a:p>
                </c:rich>
              </c:tx>
              <c:spPr/>
              <c:dLblPos val="bestFit"/>
              <c:showLegendKey val="0"/>
              <c:showVal val="1"/>
              <c:showCatName val="1"/>
              <c:showSerName val="0"/>
              <c:showPercent val="1"/>
              <c:showBubbleSize val="0"/>
              <c:extLst>
                <c:ext xmlns:c15="http://schemas.microsoft.com/office/drawing/2012/chart" uri="{CE6537A1-D6FC-4f65-9D91-7224C49458BB}"/>
              </c:extLst>
            </c:dLbl>
            <c:dLbl>
              <c:idx val="6"/>
              <c:layout>
                <c:manualLayout>
                  <c:x val="4.943278910615307E-2"/>
                  <c:y val="-2.0822710220256458E-3"/>
                </c:manualLayout>
              </c:layout>
              <c:spPr/>
              <c:txPr>
                <a:bodyPr/>
                <a:lstStyle/>
                <a:p>
                  <a:pPr>
                    <a:defRPr/>
                  </a:pPr>
                  <a:endParaRPr lang="en-US"/>
                </a:p>
              </c:txPr>
              <c:dLblPos val="bestFit"/>
              <c:showLegendKey val="0"/>
              <c:showVal val="1"/>
              <c:showCatName val="1"/>
              <c:showSerName val="0"/>
              <c:showPercent val="1"/>
              <c:showBubbleSize val="0"/>
              <c:extLst>
                <c:ext xmlns:c15="http://schemas.microsoft.com/office/drawing/2012/chart" uri="{CE6537A1-D6FC-4f65-9D91-7224C49458BB}"/>
              </c:extLst>
            </c:dLbl>
            <c:spPr>
              <a:noFill/>
              <a:ln>
                <a:noFill/>
              </a:ln>
              <a:effectLst/>
            </c:spPr>
            <c:dLblPos val="inEnd"/>
            <c:showLegendKey val="0"/>
            <c:showVal val="1"/>
            <c:showCatName val="1"/>
            <c:showSerName val="0"/>
            <c:showPercent val="1"/>
            <c:showBubbleSize val="0"/>
            <c:showLeaderLines val="1"/>
            <c:extLst>
              <c:ext xmlns:c15="http://schemas.microsoft.com/office/drawing/2012/chart" uri="{CE6537A1-D6FC-4f65-9D91-7224C49458BB}"/>
            </c:extLst>
          </c:dLbls>
          <c:cat>
            <c:strRef>
              <c:f>Sheet1!$A$2:$A$10</c:f>
              <c:strCache>
                <c:ptCount val="6"/>
                <c:pt idx="0">
                  <c:v>Plant Breeder's Rights</c:v>
                </c:pt>
                <c:pt idx="1">
                  <c:v>Commercial registers</c:v>
                </c:pt>
                <c:pt idx="2">
                  <c:v>National Listing</c:v>
                </c:pt>
                <c:pt idx="3">
                  <c:v>Plant Patents</c:v>
                </c:pt>
                <c:pt idx="4">
                  <c:v>CTM (Community Trade Marks)</c:v>
                </c:pt>
                <c:pt idx="5">
                  <c:v>Other registers</c:v>
                </c:pt>
              </c:strCache>
            </c:strRef>
          </c:cat>
          <c:val>
            <c:numRef>
              <c:f>Sheet1!$B$2:$B$10</c:f>
              <c:numCache>
                <c:formatCode>General</c:formatCode>
                <c:ptCount val="6"/>
                <c:pt idx="0">
                  <c:v>258846</c:v>
                </c:pt>
                <c:pt idx="1">
                  <c:v>130330</c:v>
                </c:pt>
                <c:pt idx="2">
                  <c:v>352330</c:v>
                </c:pt>
                <c:pt idx="3">
                  <c:v>26398</c:v>
                </c:pt>
                <c:pt idx="4">
                  <c:v>30733</c:v>
                </c:pt>
                <c:pt idx="5">
                  <c:v>91273</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900"/>
            </a:pPr>
            <a:r>
              <a:rPr lang="fr-FR" sz="900"/>
              <a:t>Legende</a:t>
            </a:r>
          </a:p>
        </c:rich>
      </c:tx>
      <c:layout>
        <c:manualLayout>
          <c:xMode val="edge"/>
          <c:yMode val="edge"/>
          <c:x val="0.66921155025200774"/>
          <c:y val="2.1276595744680851E-2"/>
        </c:manualLayout>
      </c:layout>
      <c:overlay val="1"/>
    </c:title>
    <c:autoTitleDeleted val="0"/>
    <c:plotArea>
      <c:layout>
        <c:manualLayout>
          <c:layoutTarget val="inner"/>
          <c:xMode val="edge"/>
          <c:yMode val="edge"/>
          <c:x val="0.11752996093954439"/>
          <c:y val="2.0330969267139468E-2"/>
          <c:w val="0.52820382413066402"/>
          <c:h val="0.90626086632787928"/>
        </c:manualLayout>
      </c:layout>
      <c:barChart>
        <c:barDir val="col"/>
        <c:grouping val="stacked"/>
        <c:varyColors val="0"/>
        <c:ser>
          <c:idx val="0"/>
          <c:order val="0"/>
          <c:tx>
            <c:strRef>
              <c:f>Sheet2!$B$1</c:f>
              <c:strCache>
                <c:ptCount val="1"/>
                <c:pt idx="0">
                  <c:v>Autres catégories</c:v>
                </c:pt>
              </c:strCache>
            </c:strRef>
          </c:tx>
          <c:spPr>
            <a:solidFill>
              <a:srgbClr val="FFC156"/>
            </a:solidFill>
          </c:spPr>
          <c:invertIfNegative val="0"/>
          <c:dLbls>
            <c:spPr>
              <a:noFill/>
              <a:ln>
                <a:noFill/>
              </a:ln>
              <a:effectLst/>
            </c:spPr>
            <c:txPr>
              <a:bodyPr/>
              <a:lstStyle/>
              <a:p>
                <a:pPr>
                  <a:defRPr sz="9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Sheet2!$A$2:$A$4</c:f>
              <c:numCache>
                <c:formatCode>General</c:formatCode>
                <c:ptCount val="3"/>
                <c:pt idx="0">
                  <c:v>2012</c:v>
                </c:pt>
                <c:pt idx="1">
                  <c:v>2013</c:v>
                </c:pt>
                <c:pt idx="2">
                  <c:v>2014</c:v>
                </c:pt>
              </c:numCache>
            </c:numRef>
          </c:cat>
          <c:val>
            <c:numRef>
              <c:f>Sheet2!$B$2:$B$4</c:f>
              <c:numCache>
                <c:formatCode>#,##0</c:formatCode>
                <c:ptCount val="3"/>
                <c:pt idx="0">
                  <c:v>2673</c:v>
                </c:pt>
                <c:pt idx="1">
                  <c:v>8629</c:v>
                </c:pt>
                <c:pt idx="2">
                  <c:v>8828</c:v>
                </c:pt>
              </c:numCache>
            </c:numRef>
          </c:val>
        </c:ser>
        <c:ser>
          <c:idx val="1"/>
          <c:order val="1"/>
          <c:tx>
            <c:strRef>
              <c:f>Sheet2!$C$1</c:f>
              <c:strCache>
                <c:ptCount val="1"/>
                <c:pt idx="0">
                  <c:v>Clients OCVV</c:v>
                </c:pt>
              </c:strCache>
            </c:strRef>
          </c:tx>
          <c:spPr>
            <a:solidFill>
              <a:srgbClr val="2CA02C"/>
            </a:solidFill>
          </c:spPr>
          <c:invertIfNegative val="0"/>
          <c:dLbls>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Sheet2!$A$2:$A$4</c:f>
              <c:numCache>
                <c:formatCode>General</c:formatCode>
                <c:ptCount val="3"/>
                <c:pt idx="0">
                  <c:v>2012</c:v>
                </c:pt>
                <c:pt idx="1">
                  <c:v>2013</c:v>
                </c:pt>
                <c:pt idx="2">
                  <c:v>2014</c:v>
                </c:pt>
              </c:numCache>
            </c:numRef>
          </c:cat>
          <c:val>
            <c:numRef>
              <c:f>Sheet2!$C$2:$C$4</c:f>
              <c:numCache>
                <c:formatCode>#,##0</c:formatCode>
                <c:ptCount val="3"/>
                <c:pt idx="0">
                  <c:v>36972</c:v>
                </c:pt>
                <c:pt idx="1">
                  <c:v>44420</c:v>
                </c:pt>
                <c:pt idx="2">
                  <c:v>41031</c:v>
                </c:pt>
              </c:numCache>
            </c:numRef>
          </c:val>
        </c:ser>
        <c:ser>
          <c:idx val="2"/>
          <c:order val="2"/>
          <c:tx>
            <c:strRef>
              <c:f>Sheet2!$D$1</c:f>
              <c:strCache>
                <c:ptCount val="1"/>
                <c:pt idx="0">
                  <c:v>Autorités nationales/internationales</c:v>
                </c:pt>
              </c:strCache>
            </c:strRef>
          </c:tx>
          <c:spPr>
            <a:solidFill>
              <a:srgbClr val="1F77B4"/>
            </a:solidFill>
          </c:spPr>
          <c:invertIfNegative val="0"/>
          <c:dLbls>
            <c:spPr>
              <a:noFill/>
              <a:ln>
                <a:noFill/>
              </a:ln>
              <a:effectLst/>
            </c:spPr>
            <c:txPr>
              <a:bodyPr/>
              <a:lstStyle/>
              <a:p>
                <a:pPr>
                  <a:defRPr sz="800"/>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Sheet2!$A$2:$A$4</c:f>
              <c:numCache>
                <c:formatCode>General</c:formatCode>
                <c:ptCount val="3"/>
                <c:pt idx="0">
                  <c:v>2012</c:v>
                </c:pt>
                <c:pt idx="1">
                  <c:v>2013</c:v>
                </c:pt>
                <c:pt idx="2">
                  <c:v>2014</c:v>
                </c:pt>
              </c:numCache>
            </c:numRef>
          </c:cat>
          <c:val>
            <c:numRef>
              <c:f>Sheet2!$D$2:$D$4</c:f>
              <c:numCache>
                <c:formatCode>#,##0</c:formatCode>
                <c:ptCount val="3"/>
                <c:pt idx="0">
                  <c:v>29515</c:v>
                </c:pt>
                <c:pt idx="1">
                  <c:v>30104</c:v>
                </c:pt>
                <c:pt idx="2">
                  <c:v>30768</c:v>
                </c:pt>
              </c:numCache>
            </c:numRef>
          </c:val>
        </c:ser>
        <c:dLbls>
          <c:showLegendKey val="0"/>
          <c:showVal val="0"/>
          <c:showCatName val="0"/>
          <c:showSerName val="0"/>
          <c:showPercent val="0"/>
          <c:showBubbleSize val="0"/>
        </c:dLbls>
        <c:gapWidth val="48"/>
        <c:overlap val="100"/>
        <c:axId val="38686080"/>
        <c:axId val="38687872"/>
      </c:barChart>
      <c:catAx>
        <c:axId val="38686080"/>
        <c:scaling>
          <c:orientation val="minMax"/>
        </c:scaling>
        <c:delete val="0"/>
        <c:axPos val="b"/>
        <c:numFmt formatCode="General" sourceLinked="1"/>
        <c:majorTickMark val="out"/>
        <c:minorTickMark val="none"/>
        <c:tickLblPos val="nextTo"/>
        <c:txPr>
          <a:bodyPr/>
          <a:lstStyle/>
          <a:p>
            <a:pPr>
              <a:defRPr sz="900" b="1"/>
            </a:pPr>
            <a:endParaRPr lang="en-US"/>
          </a:p>
        </c:txPr>
        <c:crossAx val="38687872"/>
        <c:crosses val="autoZero"/>
        <c:auto val="1"/>
        <c:lblAlgn val="ctr"/>
        <c:lblOffset val="100"/>
        <c:noMultiLvlLbl val="0"/>
      </c:catAx>
      <c:valAx>
        <c:axId val="38687872"/>
        <c:scaling>
          <c:orientation val="minMax"/>
        </c:scaling>
        <c:delete val="0"/>
        <c:axPos val="l"/>
        <c:majorGridlines>
          <c:spPr>
            <a:ln>
              <a:noFill/>
            </a:ln>
          </c:spPr>
        </c:majorGridlines>
        <c:title>
          <c:tx>
            <c:rich>
              <a:bodyPr rot="-5400000" vert="horz"/>
              <a:lstStyle/>
              <a:p>
                <a:pPr>
                  <a:defRPr sz="900"/>
                </a:pPr>
                <a:r>
                  <a:rPr lang="en-US" sz="900"/>
                  <a:t>Prüfungen insgesamt</a:t>
                </a:r>
              </a:p>
            </c:rich>
          </c:tx>
          <c:layout>
            <c:manualLayout>
              <c:xMode val="edge"/>
              <c:yMode val="edge"/>
              <c:x val="4.5741580501739753E-3"/>
              <c:y val="0.3736386143221459"/>
            </c:manualLayout>
          </c:layout>
          <c:overlay val="0"/>
        </c:title>
        <c:numFmt formatCode="#,##0" sourceLinked="0"/>
        <c:majorTickMark val="out"/>
        <c:minorTickMark val="none"/>
        <c:tickLblPos val="nextTo"/>
        <c:txPr>
          <a:bodyPr/>
          <a:lstStyle/>
          <a:p>
            <a:pPr>
              <a:defRPr sz="800"/>
            </a:pPr>
            <a:endParaRPr lang="en-US"/>
          </a:p>
        </c:txPr>
        <c:crossAx val="38686080"/>
        <c:crosses val="autoZero"/>
        <c:crossBetween val="between"/>
      </c:valAx>
      <c:spPr>
        <a:blipFill>
          <a:blip xmlns:r="http://schemas.openxmlformats.org/officeDocument/2006/relationships" r:embed="rId1"/>
          <a:stretch>
            <a:fillRect/>
          </a:stretch>
        </a:blipFill>
        <a:ln>
          <a:solidFill>
            <a:schemeClr val="tx1">
              <a:lumMod val="50000"/>
              <a:lumOff val="50000"/>
            </a:schemeClr>
          </a:solidFill>
        </a:ln>
      </c:spPr>
    </c:plotArea>
    <c:legend>
      <c:legendPos val="tr"/>
      <c:layout>
        <c:manualLayout>
          <c:xMode val="edge"/>
          <c:yMode val="edge"/>
          <c:x val="0.65358148413266515"/>
          <c:y val="7.3285955780951109E-2"/>
          <c:w val="0.32839386920743252"/>
          <c:h val="0.18995125609298835"/>
        </c:manualLayout>
      </c:layout>
      <c:overlay val="0"/>
      <c:txPr>
        <a:bodyPr/>
        <a:lstStyle/>
        <a:p>
          <a:pPr>
            <a:defRPr sz="800"/>
          </a:pPr>
          <a:endParaRPr lang="en-US"/>
        </a:p>
      </c:txPr>
    </c:legend>
    <c:plotVisOnly val="1"/>
    <c:dispBlanksAs val="gap"/>
    <c:showDLblsOverMax val="0"/>
  </c:chart>
  <c:spPr>
    <a:ln>
      <a:noFill/>
    </a:ln>
  </c:spPr>
  <c:txPr>
    <a:bodyPr/>
    <a:lstStyle/>
    <a:p>
      <a:pPr>
        <a:defRPr>
          <a:latin typeface="Arial" panose="020B0604020202020204" pitchFamily="34" charset="0"/>
          <a:cs typeface="Arial" panose="020B0604020202020204" pitchFamily="34" charset="0"/>
        </a:defRPr>
      </a:pPr>
      <a:endParaRPr lang="en-US"/>
    </a:p>
  </c:txPr>
  <c:externalData r:id="rId2">
    <c:autoUpdate val="0"/>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100"/>
              <a:t>Nutzung des Recherche-Tools</a:t>
            </a:r>
            <a:r>
              <a:rPr lang="en-US" sz="1100" baseline="0"/>
              <a:t> (Sorten Suchen) im Jahr 2014</a:t>
            </a:r>
          </a:p>
          <a:p>
            <a:pPr>
              <a:defRPr/>
            </a:pPr>
            <a:r>
              <a:rPr lang="en-US" sz="1100" baseline="0"/>
              <a:t>(Anzahl von geladenen Seiten)</a:t>
            </a:r>
            <a:endParaRPr lang="en-US" sz="1100"/>
          </a:p>
        </c:rich>
      </c:tx>
      <c:overlay val="0"/>
    </c:title>
    <c:autoTitleDeleted val="0"/>
    <c:plotArea>
      <c:layout/>
      <c:barChart>
        <c:barDir val="col"/>
        <c:grouping val="clustered"/>
        <c:varyColors val="0"/>
        <c:ser>
          <c:idx val="0"/>
          <c:order val="0"/>
          <c:tx>
            <c:strRef>
              <c:f>'1_-_Monthly_report_crosstab'!$A$2</c:f>
              <c:strCache>
                <c:ptCount val="1"/>
                <c:pt idx="0">
                  <c:v>retrievingtool </c:v>
                </c:pt>
              </c:strCache>
            </c:strRef>
          </c:tx>
          <c:spPr>
            <a:solidFill>
              <a:schemeClr val="tx2"/>
            </a:solidFill>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'1_-_Monthly_report_crosstab'!$B$1:$M$1</c:f>
              <c:numCache>
                <c:formatCode>[$-409]mmm\-yy;@</c:formatCode>
                <c:ptCount val="12"/>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numCache>
            </c:numRef>
          </c:cat>
          <c:val>
            <c:numRef>
              <c:f>'1_-_Monthly_report_crosstab'!$B$2:$M$2</c:f>
              <c:numCache>
                <c:formatCode>General</c:formatCode>
                <c:ptCount val="12"/>
                <c:pt idx="0">
                  <c:v>6.4180000000000001</c:v>
                </c:pt>
                <c:pt idx="1">
                  <c:v>7.7160000000000002</c:v>
                </c:pt>
                <c:pt idx="2">
                  <c:v>6.6760000000000002</c:v>
                </c:pt>
                <c:pt idx="3">
                  <c:v>5.7510000000000003</c:v>
                </c:pt>
                <c:pt idx="4">
                  <c:v>5.8390000000000004</c:v>
                </c:pt>
                <c:pt idx="5">
                  <c:v>3.6789999999999998</c:v>
                </c:pt>
                <c:pt idx="6">
                  <c:v>4.9429999999999996</c:v>
                </c:pt>
                <c:pt idx="7">
                  <c:v>5.3239999999999998</c:v>
                </c:pt>
                <c:pt idx="8">
                  <c:v>10.907</c:v>
                </c:pt>
                <c:pt idx="9">
                  <c:v>19.587</c:v>
                </c:pt>
                <c:pt idx="10">
                  <c:v>18.946000000000002</c:v>
                </c:pt>
                <c:pt idx="11">
                  <c:v>15.849</c:v>
                </c:pt>
              </c:numCache>
            </c:numRef>
          </c:val>
        </c:ser>
        <c:dLbls>
          <c:dLblPos val="outEnd"/>
          <c:showLegendKey val="0"/>
          <c:showVal val="1"/>
          <c:showCatName val="0"/>
          <c:showSerName val="0"/>
          <c:showPercent val="0"/>
          <c:showBubbleSize val="0"/>
        </c:dLbls>
        <c:gapWidth val="150"/>
        <c:axId val="38709504"/>
        <c:axId val="38720640"/>
      </c:barChart>
      <c:dateAx>
        <c:axId val="38709504"/>
        <c:scaling>
          <c:orientation val="minMax"/>
        </c:scaling>
        <c:delete val="0"/>
        <c:axPos val="b"/>
        <c:numFmt formatCode="[$-409]mmm\-yy;@" sourceLinked="1"/>
        <c:majorTickMark val="out"/>
        <c:minorTickMark val="none"/>
        <c:tickLblPos val="nextTo"/>
        <c:crossAx val="38720640"/>
        <c:crosses val="autoZero"/>
        <c:auto val="1"/>
        <c:lblOffset val="100"/>
        <c:baseTimeUnit val="months"/>
      </c:dateAx>
      <c:valAx>
        <c:axId val="38720640"/>
        <c:scaling>
          <c:orientation val="minMax"/>
        </c:scaling>
        <c:delete val="1"/>
        <c:axPos val="l"/>
        <c:majorGridlines/>
        <c:numFmt formatCode="General" sourceLinked="1"/>
        <c:majorTickMark val="out"/>
        <c:minorTickMark val="none"/>
        <c:tickLblPos val="nextTo"/>
        <c:crossAx val="38709504"/>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000"/>
              <a:t>Anzahl der Länder, für die das CPVO einen Beitrag erhalten hat
Die Linie</a:t>
            </a:r>
            <a:r>
              <a:rPr lang="en-US" sz="1000" baseline="0"/>
              <a:t> zeigt die Anzahl von Organisationen, die mit ihren Daten beitragen</a:t>
            </a:r>
            <a:endParaRPr lang="en-US" sz="1000"/>
          </a:p>
        </c:rich>
      </c:tx>
      <c:overlay val="0"/>
    </c:title>
    <c:autoTitleDeleted val="0"/>
    <c:plotArea>
      <c:layout>
        <c:manualLayout>
          <c:layoutTarget val="inner"/>
          <c:xMode val="edge"/>
          <c:yMode val="edge"/>
          <c:x val="7.9238927422473446E-2"/>
          <c:y val="0.16011099855839686"/>
          <c:w val="0.54531483721274665"/>
          <c:h val="0.74293047479581809"/>
        </c:manualLayout>
      </c:layout>
      <c:barChart>
        <c:barDir val="col"/>
        <c:grouping val="stacked"/>
        <c:varyColors val="0"/>
        <c:ser>
          <c:idx val="0"/>
          <c:order val="0"/>
          <c:tx>
            <c:strRef>
              <c:f>Sheet4!$A$3</c:f>
              <c:strCache>
                <c:ptCount val="1"/>
                <c:pt idx="0">
                  <c:v>Non Union européenne</c:v>
                </c:pt>
              </c:strCache>
            </c:strRef>
          </c:tx>
          <c:spPr>
            <a:solidFill>
              <a:srgbClr val="AFAC3C"/>
            </a:solidFill>
          </c:spPr>
          <c:invertIfNegative val="0"/>
          <c:dLbls>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Sheet4!$B$1:$E$1</c:f>
              <c:numCache>
                <c:formatCode>General</c:formatCode>
                <c:ptCount val="4"/>
                <c:pt idx="0">
                  <c:v>2011</c:v>
                </c:pt>
                <c:pt idx="1">
                  <c:v>2012</c:v>
                </c:pt>
                <c:pt idx="2">
                  <c:v>2013</c:v>
                </c:pt>
                <c:pt idx="3">
                  <c:v>2014</c:v>
                </c:pt>
              </c:numCache>
            </c:numRef>
          </c:cat>
          <c:val>
            <c:numRef>
              <c:f>Sheet4!$B$2:$E$2</c:f>
              <c:numCache>
                <c:formatCode>General</c:formatCode>
                <c:ptCount val="4"/>
                <c:pt idx="0">
                  <c:v>17</c:v>
                </c:pt>
                <c:pt idx="1">
                  <c:v>27</c:v>
                </c:pt>
                <c:pt idx="2">
                  <c:v>26</c:v>
                </c:pt>
                <c:pt idx="3">
                  <c:v>21</c:v>
                </c:pt>
              </c:numCache>
            </c:numRef>
          </c:val>
        </c:ser>
        <c:ser>
          <c:idx val="1"/>
          <c:order val="1"/>
          <c:tx>
            <c:strRef>
              <c:f>Sheet4!$A$2</c:f>
              <c:strCache>
                <c:ptCount val="1"/>
                <c:pt idx="0">
                  <c:v>Union européenne</c:v>
                </c:pt>
              </c:strCache>
            </c:strRef>
          </c:tx>
          <c:spPr>
            <a:solidFill>
              <a:srgbClr val="0070C0"/>
            </a:solidFill>
          </c:spPr>
          <c:invertIfNegative val="0"/>
          <c:dLbls>
            <c:spPr>
              <a:noFill/>
              <a:ln>
                <a:noFill/>
              </a:ln>
              <a:effectLst/>
            </c:spPr>
            <c:txPr>
              <a:bodyPr/>
              <a:lstStyle/>
              <a:p>
                <a:pPr>
                  <a:defRPr b="1"/>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Sheet4!$B$1:$E$1</c:f>
              <c:numCache>
                <c:formatCode>General</c:formatCode>
                <c:ptCount val="4"/>
                <c:pt idx="0">
                  <c:v>2011</c:v>
                </c:pt>
                <c:pt idx="1">
                  <c:v>2012</c:v>
                </c:pt>
                <c:pt idx="2">
                  <c:v>2013</c:v>
                </c:pt>
                <c:pt idx="3">
                  <c:v>2014</c:v>
                </c:pt>
              </c:numCache>
            </c:numRef>
          </c:cat>
          <c:val>
            <c:numRef>
              <c:f>Sheet4!$B$3:$E$3</c:f>
              <c:numCache>
                <c:formatCode>General</c:formatCode>
                <c:ptCount val="4"/>
                <c:pt idx="0">
                  <c:v>25</c:v>
                </c:pt>
                <c:pt idx="1">
                  <c:v>25</c:v>
                </c:pt>
                <c:pt idx="2">
                  <c:v>27</c:v>
                </c:pt>
                <c:pt idx="3">
                  <c:v>27</c:v>
                </c:pt>
              </c:numCache>
            </c:numRef>
          </c:val>
        </c:ser>
        <c:dLbls>
          <c:showLegendKey val="0"/>
          <c:showVal val="0"/>
          <c:showCatName val="0"/>
          <c:showSerName val="0"/>
          <c:showPercent val="0"/>
          <c:showBubbleSize val="0"/>
        </c:dLbls>
        <c:gapWidth val="28"/>
        <c:overlap val="100"/>
        <c:axId val="40018688"/>
        <c:axId val="40020224"/>
      </c:barChart>
      <c:lineChart>
        <c:grouping val="standard"/>
        <c:varyColors val="0"/>
        <c:ser>
          <c:idx val="2"/>
          <c:order val="2"/>
          <c:spPr>
            <a:ln>
              <a:solidFill>
                <a:srgbClr val="680000"/>
              </a:solidFill>
            </a:ln>
          </c:spPr>
          <c:marker>
            <c:symbol val="none"/>
          </c:marker>
          <c:dLbls>
            <c:spPr>
              <a:noFill/>
            </c:spPr>
            <c:txPr>
              <a:bodyPr/>
              <a:lstStyle/>
              <a:p>
                <a:pPr>
                  <a:defRPr b="1">
                    <a:solidFill>
                      <a:srgbClr val="680000"/>
                    </a:solidFil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Sheet4!$B$6:$E$6</c:f>
              <c:numCache>
                <c:formatCode>General</c:formatCode>
                <c:ptCount val="4"/>
                <c:pt idx="0">
                  <c:v>48</c:v>
                </c:pt>
                <c:pt idx="1">
                  <c:v>58</c:v>
                </c:pt>
                <c:pt idx="2">
                  <c:v>60</c:v>
                </c:pt>
                <c:pt idx="3">
                  <c:v>54</c:v>
                </c:pt>
              </c:numCache>
            </c:numRef>
          </c:val>
          <c:smooth val="0"/>
        </c:ser>
        <c:dLbls>
          <c:showLegendKey val="0"/>
          <c:showVal val="0"/>
          <c:showCatName val="0"/>
          <c:showSerName val="0"/>
          <c:showPercent val="0"/>
          <c:showBubbleSize val="0"/>
        </c:dLbls>
        <c:marker val="1"/>
        <c:smooth val="0"/>
        <c:axId val="54991104"/>
        <c:axId val="54989184"/>
      </c:lineChart>
      <c:catAx>
        <c:axId val="40018688"/>
        <c:scaling>
          <c:orientation val="minMax"/>
        </c:scaling>
        <c:delete val="0"/>
        <c:axPos val="b"/>
        <c:numFmt formatCode="General" sourceLinked="1"/>
        <c:majorTickMark val="out"/>
        <c:minorTickMark val="none"/>
        <c:tickLblPos val="nextTo"/>
        <c:crossAx val="40020224"/>
        <c:crosses val="autoZero"/>
        <c:auto val="1"/>
        <c:lblAlgn val="ctr"/>
        <c:lblOffset val="100"/>
        <c:noMultiLvlLbl val="0"/>
      </c:catAx>
      <c:valAx>
        <c:axId val="40020224"/>
        <c:scaling>
          <c:orientation val="minMax"/>
          <c:max val="55"/>
          <c:min val="0"/>
        </c:scaling>
        <c:delete val="0"/>
        <c:axPos val="l"/>
        <c:majorGridlines>
          <c:spPr>
            <a:ln>
              <a:noFill/>
            </a:ln>
          </c:spPr>
        </c:majorGridlines>
        <c:title>
          <c:tx>
            <c:rich>
              <a:bodyPr rot="-5400000" vert="horz"/>
              <a:lstStyle/>
              <a:p>
                <a:pPr>
                  <a:defRPr b="1"/>
                </a:pPr>
                <a:r>
                  <a:rPr lang="en-US" b="1"/>
                  <a:t>Zählungskennung</a:t>
                </a:r>
                <a:r>
                  <a:rPr lang="en-US" b="1" baseline="0"/>
                  <a:t> </a:t>
                </a:r>
                <a:r>
                  <a:rPr lang="en-US" b="1"/>
                  <a:t>(Länderkennung)</a:t>
                </a:r>
              </a:p>
            </c:rich>
          </c:tx>
          <c:overlay val="0"/>
        </c:title>
        <c:numFmt formatCode="General" sourceLinked="1"/>
        <c:majorTickMark val="out"/>
        <c:minorTickMark val="none"/>
        <c:tickLblPos val="nextTo"/>
        <c:crossAx val="40018688"/>
        <c:crosses val="autoZero"/>
        <c:crossBetween val="between"/>
        <c:majorUnit val="10"/>
      </c:valAx>
      <c:valAx>
        <c:axId val="54989184"/>
        <c:scaling>
          <c:orientation val="minMax"/>
          <c:max val="150"/>
          <c:min val="0"/>
        </c:scaling>
        <c:delete val="0"/>
        <c:axPos val="r"/>
        <c:title>
          <c:tx>
            <c:rich>
              <a:bodyPr rot="-5400000" vert="horz"/>
              <a:lstStyle/>
              <a:p>
                <a:pPr>
                  <a:defRPr b="1"/>
                </a:pPr>
                <a:r>
                  <a:rPr lang="en-US" b="1"/>
                  <a:t>Anzahl der Organisationen</a:t>
                </a:r>
              </a:p>
            </c:rich>
          </c:tx>
          <c:overlay val="0"/>
        </c:title>
        <c:numFmt formatCode="General" sourceLinked="1"/>
        <c:majorTickMark val="out"/>
        <c:minorTickMark val="none"/>
        <c:tickLblPos val="nextTo"/>
        <c:crossAx val="54991104"/>
        <c:crosses val="max"/>
        <c:crossBetween val="between"/>
        <c:majorUnit val="20"/>
      </c:valAx>
      <c:catAx>
        <c:axId val="54991104"/>
        <c:scaling>
          <c:orientation val="minMax"/>
        </c:scaling>
        <c:delete val="1"/>
        <c:axPos val="b"/>
        <c:majorTickMark val="out"/>
        <c:minorTickMark val="none"/>
        <c:tickLblPos val="nextTo"/>
        <c:crossAx val="54989184"/>
        <c:crosses val="autoZero"/>
        <c:auto val="1"/>
        <c:lblAlgn val="ctr"/>
        <c:lblOffset val="100"/>
        <c:noMultiLvlLbl val="0"/>
      </c:catAx>
      <c:spPr>
        <a:noFill/>
        <a:ln>
          <a:solidFill>
            <a:schemeClr val="tx1">
              <a:lumMod val="50000"/>
              <a:lumOff val="50000"/>
            </a:schemeClr>
          </a:solidFill>
        </a:ln>
      </c:spPr>
    </c:plotArea>
    <c:legend>
      <c:legendPos val="r"/>
      <c:legendEntry>
        <c:idx val="2"/>
        <c:delete val="1"/>
      </c:legendEntry>
      <c:layout>
        <c:manualLayout>
          <c:xMode val="edge"/>
          <c:yMode val="edge"/>
          <c:x val="0.74051078254716596"/>
          <c:y val="0.23978621299461858"/>
          <c:w val="0.23545495684512791"/>
          <c:h val="7.9813378315836417E-2"/>
        </c:manualLayout>
      </c:layout>
      <c:overlay val="0"/>
    </c:legend>
    <c:plotVisOnly val="1"/>
    <c:dispBlanksAs val="gap"/>
    <c:showDLblsOverMax val="0"/>
  </c:chart>
  <c:spPr>
    <a:ln>
      <a:noFill/>
    </a:ln>
  </c:sp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Jahr</a:t>
            </a:r>
          </a:p>
        </c:rich>
      </c:tx>
      <c:layout>
        <c:manualLayout>
          <c:xMode val="edge"/>
          <c:yMode val="edge"/>
          <c:x val="0.46161050575748741"/>
          <c:y val="2.8429288524596034E-2"/>
        </c:manualLayout>
      </c:layout>
      <c:overlay val="0"/>
    </c:title>
    <c:autoTitleDeleted val="0"/>
    <c:plotArea>
      <c:layout>
        <c:manualLayout>
          <c:layoutTarget val="inner"/>
          <c:xMode val="edge"/>
          <c:yMode val="edge"/>
          <c:x val="0.1435904097846355"/>
          <c:y val="7.5947389251132244E-2"/>
          <c:w val="0.72933128308456396"/>
          <c:h val="0.8489070617457285"/>
        </c:manualLayout>
      </c:layout>
      <c:barChart>
        <c:barDir val="col"/>
        <c:grouping val="clustered"/>
        <c:varyColors val="0"/>
        <c:ser>
          <c:idx val="1"/>
          <c:order val="1"/>
          <c:invertIfNegative val="0"/>
          <c:dPt>
            <c:idx val="0"/>
            <c:invertIfNegative val="0"/>
            <c:bubble3D val="0"/>
            <c:spPr>
              <a:solidFill>
                <a:srgbClr val="0070C0"/>
              </a:solidFill>
            </c:spPr>
          </c:dPt>
          <c:dPt>
            <c:idx val="1"/>
            <c:invertIfNegative val="0"/>
            <c:bubble3D val="0"/>
            <c:spPr>
              <a:solidFill>
                <a:srgbClr val="AFAC3C"/>
              </a:solidFill>
            </c:spPr>
          </c:dPt>
          <c:dPt>
            <c:idx val="3"/>
            <c:invertIfNegative val="0"/>
            <c:bubble3D val="0"/>
            <c:spPr>
              <a:solidFill>
                <a:srgbClr val="C00000"/>
              </a:solidFill>
            </c:spPr>
          </c:dPt>
          <c:dLbls>
            <c:dLbl>
              <c:idx val="0"/>
              <c:tx>
                <c:rich>
                  <a:bodyPr/>
                  <a:lstStyle/>
                  <a:p>
                    <a:r>
                      <a:rPr lang="en-US"/>
                      <a:t>4 587 Anfragen</a:t>
                    </a:r>
                    <a:br>
                      <a:rPr lang="en-US"/>
                    </a:br>
                    <a:r>
                      <a:rPr lang="en-US"/>
                      <a:t>0%</a:t>
                    </a:r>
                  </a:p>
                </c:rich>
              </c:tx>
              <c:dLblPos val="outEnd"/>
              <c:showLegendKey val="0"/>
              <c:showVal val="1"/>
              <c:showCatName val="0"/>
              <c:showSerName val="0"/>
              <c:showPercent val="0"/>
              <c:showBubbleSize val="0"/>
              <c:extLst>
                <c:ext xmlns:c15="http://schemas.microsoft.com/office/drawing/2012/chart" uri="{CE6537A1-D6FC-4f65-9D91-7224C49458BB}"/>
              </c:extLst>
            </c:dLbl>
            <c:dLbl>
              <c:idx val="1"/>
              <c:tx>
                <c:rich>
                  <a:bodyPr/>
                  <a:lstStyle/>
                  <a:p>
                    <a:r>
                      <a:rPr lang="en-US" sz="900"/>
                      <a:t>5 213 </a:t>
                    </a:r>
                    <a:r>
                      <a:rPr lang="en-US" sz="900" b="0" i="0" u="none" strike="noStrike" kern="1200" baseline="0">
                        <a:solidFill>
                          <a:sysClr val="windowText" lastClr="000000"/>
                        </a:solidFill>
                      </a:rPr>
                      <a:t>Anfragen</a:t>
                    </a:r>
                    <a:r>
                      <a:rPr lang="en-US" sz="900"/>
                      <a:t/>
                    </a:r>
                    <a:br>
                      <a:rPr lang="en-US" sz="900"/>
                    </a:br>
                    <a:r>
                      <a:rPr lang="en-US" sz="900"/>
                      <a:t>+14%</a:t>
                    </a:r>
                  </a:p>
                </c:rich>
              </c:tx>
              <c:dLblPos val="outEnd"/>
              <c:showLegendKey val="0"/>
              <c:showVal val="1"/>
              <c:showCatName val="0"/>
              <c:showSerName val="0"/>
              <c:showPercent val="0"/>
              <c:showBubbleSize val="0"/>
              <c:extLst>
                <c:ext xmlns:c15="http://schemas.microsoft.com/office/drawing/2012/chart" uri="{CE6537A1-D6FC-4f65-9D91-7224C49458BB}"/>
              </c:extLst>
            </c:dLbl>
            <c:dLbl>
              <c:idx val="2"/>
              <c:tx>
                <c:rich>
                  <a:bodyPr/>
                  <a:lstStyle/>
                  <a:p>
                    <a:r>
                      <a:rPr lang="en-US" sz="900"/>
                      <a:t>5 801 </a:t>
                    </a:r>
                    <a:r>
                      <a:rPr lang="en-US" sz="900" b="0" i="0" u="none" strike="noStrike" kern="1200" baseline="0">
                        <a:solidFill>
                          <a:sysClr val="windowText" lastClr="000000"/>
                        </a:solidFill>
                      </a:rPr>
                      <a:t>Anfragen</a:t>
                    </a:r>
                    <a:r>
                      <a:rPr lang="en-US" sz="900"/>
                      <a:t/>
                    </a:r>
                    <a:br>
                      <a:rPr lang="en-US" sz="900"/>
                    </a:br>
                    <a:r>
                      <a:rPr lang="en-US" sz="900"/>
                      <a:t>+11%</a:t>
                    </a:r>
                  </a:p>
                </c:rich>
              </c:tx>
              <c:dLblPos val="outEnd"/>
              <c:showLegendKey val="0"/>
              <c:showVal val="1"/>
              <c:showCatName val="0"/>
              <c:showSerName val="0"/>
              <c:showPercent val="0"/>
              <c:showBubbleSize val="0"/>
              <c:extLst>
                <c:ext xmlns:c15="http://schemas.microsoft.com/office/drawing/2012/chart" uri="{CE6537A1-D6FC-4f65-9D91-7224C49458BB}"/>
              </c:extLst>
            </c:dLbl>
            <c:dLbl>
              <c:idx val="3"/>
              <c:tx>
                <c:rich>
                  <a:bodyPr/>
                  <a:lstStyle/>
                  <a:p>
                    <a:r>
                      <a:rPr lang="en-US" sz="900"/>
                      <a:t>6 639 </a:t>
                    </a:r>
                    <a:r>
                      <a:rPr lang="en-US" sz="900" b="0" i="0" u="none" strike="noStrike" kern="1200" baseline="0">
                        <a:solidFill>
                          <a:sysClr val="windowText" lastClr="000000"/>
                        </a:solidFill>
                      </a:rPr>
                      <a:t>Anfragen</a:t>
                    </a:r>
                    <a:r>
                      <a:rPr lang="en-US" sz="900"/>
                      <a:t/>
                    </a:r>
                    <a:br>
                      <a:rPr lang="en-US" sz="900"/>
                    </a:br>
                    <a:r>
                      <a:rPr lang="en-US" sz="900"/>
                      <a:t>+14%</a:t>
                    </a:r>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a:lstStyle/>
              <a:p>
                <a:pPr>
                  <a:defRPr sz="900"/>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Sheet5!$A$1:$A$4</c:f>
              <c:numCache>
                <c:formatCode>General</c:formatCode>
                <c:ptCount val="4"/>
                <c:pt idx="0">
                  <c:v>2011</c:v>
                </c:pt>
                <c:pt idx="1">
                  <c:v>2012</c:v>
                </c:pt>
                <c:pt idx="2">
                  <c:v>2013</c:v>
                </c:pt>
                <c:pt idx="3">
                  <c:v>2014</c:v>
                </c:pt>
              </c:numCache>
            </c:numRef>
          </c:cat>
          <c:val>
            <c:numRef>
              <c:f>Sheet5!$C$1:$C$4</c:f>
              <c:numCache>
                <c:formatCode>#,##0" demandes"</c:formatCode>
                <c:ptCount val="4"/>
                <c:pt idx="0">
                  <c:v>4587</c:v>
                </c:pt>
                <c:pt idx="1">
                  <c:v>5213</c:v>
                </c:pt>
                <c:pt idx="2">
                  <c:v>5801</c:v>
                </c:pt>
                <c:pt idx="3">
                  <c:v>6639</c:v>
                </c:pt>
              </c:numCache>
            </c:numRef>
          </c:val>
        </c:ser>
        <c:dLbls>
          <c:showLegendKey val="0"/>
          <c:showVal val="0"/>
          <c:showCatName val="0"/>
          <c:showSerName val="0"/>
          <c:showPercent val="0"/>
          <c:showBubbleSize val="0"/>
        </c:dLbls>
        <c:gapWidth val="39"/>
        <c:axId val="55098752"/>
        <c:axId val="72393856"/>
      </c:barChart>
      <c:lineChart>
        <c:grouping val="standard"/>
        <c:varyColors val="0"/>
        <c:ser>
          <c:idx val="0"/>
          <c:order val="0"/>
          <c:spPr>
            <a:ln>
              <a:solidFill>
                <a:srgbClr val="680000"/>
              </a:solidFill>
            </a:ln>
          </c:spPr>
          <c:marker>
            <c:symbol val="none"/>
          </c:marker>
          <c:dLbls>
            <c:spPr>
              <a:noFill/>
              <a:ln>
                <a:noFill/>
              </a:ln>
              <a:effectLst/>
            </c:sp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Sheet5!$A$1:$A$4</c:f>
              <c:numCache>
                <c:formatCode>General</c:formatCode>
                <c:ptCount val="4"/>
                <c:pt idx="0">
                  <c:v>2011</c:v>
                </c:pt>
                <c:pt idx="1">
                  <c:v>2012</c:v>
                </c:pt>
                <c:pt idx="2">
                  <c:v>2013</c:v>
                </c:pt>
                <c:pt idx="3">
                  <c:v>2014</c:v>
                </c:pt>
              </c:numCache>
            </c:numRef>
          </c:cat>
          <c:val>
            <c:numRef>
              <c:f>Sheet5!$B$1:$B$4</c:f>
              <c:numCache>
                <c:formatCode>General</c:formatCode>
                <c:ptCount val="4"/>
                <c:pt idx="0">
                  <c:v>25</c:v>
                </c:pt>
                <c:pt idx="1">
                  <c:v>26</c:v>
                </c:pt>
                <c:pt idx="2">
                  <c:v>27</c:v>
                </c:pt>
                <c:pt idx="3">
                  <c:v>26</c:v>
                </c:pt>
              </c:numCache>
            </c:numRef>
          </c:val>
          <c:smooth val="0"/>
        </c:ser>
        <c:dLbls>
          <c:showLegendKey val="0"/>
          <c:showVal val="0"/>
          <c:showCatName val="0"/>
          <c:showSerName val="0"/>
          <c:showPercent val="0"/>
          <c:showBubbleSize val="0"/>
        </c:dLbls>
        <c:marker val="1"/>
        <c:smooth val="0"/>
        <c:axId val="72397952"/>
        <c:axId val="72395776"/>
      </c:lineChart>
      <c:catAx>
        <c:axId val="55098752"/>
        <c:scaling>
          <c:orientation val="minMax"/>
        </c:scaling>
        <c:delete val="0"/>
        <c:axPos val="b"/>
        <c:numFmt formatCode="General" sourceLinked="1"/>
        <c:majorTickMark val="out"/>
        <c:minorTickMark val="none"/>
        <c:tickLblPos val="nextTo"/>
        <c:crossAx val="72393856"/>
        <c:crosses val="autoZero"/>
        <c:auto val="1"/>
        <c:lblAlgn val="ctr"/>
        <c:lblOffset val="100"/>
        <c:noMultiLvlLbl val="0"/>
      </c:catAx>
      <c:valAx>
        <c:axId val="72393856"/>
        <c:scaling>
          <c:orientation val="minMax"/>
          <c:max val="7500"/>
        </c:scaling>
        <c:delete val="0"/>
        <c:axPos val="l"/>
        <c:majorGridlines>
          <c:spPr>
            <a:ln>
              <a:noFill/>
            </a:ln>
          </c:spPr>
        </c:majorGridlines>
        <c:title>
          <c:tx>
            <c:rich>
              <a:bodyPr rot="-5400000" vert="horz"/>
              <a:lstStyle/>
              <a:p>
                <a:pPr>
                  <a:defRPr/>
                </a:pPr>
                <a:r>
                  <a:rPr lang="en-US"/>
                  <a:t>Anzahl der </a:t>
                </a:r>
                <a:r>
                  <a:rPr lang="en-US" baseline="0"/>
                  <a:t>Analyseanfragen</a:t>
                </a:r>
                <a:r>
                  <a:rPr lang="en-US"/>
                  <a:t> </a:t>
                </a:r>
              </a:p>
            </c:rich>
          </c:tx>
          <c:layout>
            <c:manualLayout>
              <c:xMode val="edge"/>
              <c:yMode val="edge"/>
              <c:x val="2.7943123271207262E-2"/>
              <c:y val="0.32099778296320042"/>
            </c:manualLayout>
          </c:layout>
          <c:overlay val="0"/>
        </c:title>
        <c:numFmt formatCode="#,##0" sourceLinked="0"/>
        <c:majorTickMark val="out"/>
        <c:minorTickMark val="none"/>
        <c:tickLblPos val="nextTo"/>
        <c:crossAx val="55098752"/>
        <c:crosses val="autoZero"/>
        <c:crossBetween val="between"/>
        <c:majorUnit val="500"/>
      </c:valAx>
      <c:valAx>
        <c:axId val="72395776"/>
        <c:scaling>
          <c:orientation val="minMax"/>
          <c:max val="65"/>
          <c:min val="0"/>
        </c:scaling>
        <c:delete val="0"/>
        <c:axPos val="r"/>
        <c:title>
          <c:tx>
            <c:rich>
              <a:bodyPr rot="-5400000" vert="horz"/>
              <a:lstStyle/>
              <a:p>
                <a:pPr>
                  <a:defRPr/>
                </a:pPr>
                <a:r>
                  <a:rPr lang="en-US"/>
                  <a:t>Anzahl der Länder</a:t>
                </a:r>
              </a:p>
            </c:rich>
          </c:tx>
          <c:layout>
            <c:manualLayout>
              <c:xMode val="edge"/>
              <c:yMode val="edge"/>
              <c:x val="0.92884947462375289"/>
              <c:y val="0.39521971586828863"/>
            </c:manualLayout>
          </c:layout>
          <c:overlay val="0"/>
        </c:title>
        <c:numFmt formatCode="General" sourceLinked="1"/>
        <c:majorTickMark val="out"/>
        <c:minorTickMark val="none"/>
        <c:tickLblPos val="nextTo"/>
        <c:crossAx val="72397952"/>
        <c:crosses val="max"/>
        <c:crossBetween val="between"/>
        <c:majorUnit val="5"/>
        <c:minorUnit val="0.1"/>
      </c:valAx>
      <c:catAx>
        <c:axId val="72397952"/>
        <c:scaling>
          <c:orientation val="minMax"/>
        </c:scaling>
        <c:delete val="1"/>
        <c:axPos val="b"/>
        <c:numFmt formatCode="General" sourceLinked="1"/>
        <c:majorTickMark val="out"/>
        <c:minorTickMark val="none"/>
        <c:tickLblPos val="nextTo"/>
        <c:crossAx val="72395776"/>
        <c:crosses val="autoZero"/>
        <c:auto val="1"/>
        <c:lblAlgn val="ctr"/>
        <c:lblOffset val="100"/>
        <c:noMultiLvlLbl val="0"/>
      </c:catAx>
      <c:spPr>
        <a:noFill/>
        <a:ln>
          <a:solidFill>
            <a:schemeClr val="tx1"/>
          </a:solidFill>
        </a:ln>
      </c:spPr>
    </c:plotArea>
    <c:plotVisOnly val="1"/>
    <c:dispBlanksAs val="gap"/>
    <c:showDLblsOverMax val="0"/>
  </c:chart>
  <c:spPr>
    <a:ln>
      <a:noFill/>
    </a:ln>
  </c:sp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0.69003</cdr:x>
      <cdr:y>0.077</cdr:y>
    </cdr:from>
    <cdr:to>
      <cdr:x>1</cdr:x>
      <cdr:y>0.244</cdr:y>
    </cdr:to>
    <cdr:sp macro="" textlink="">
      <cdr:nvSpPr>
        <cdr:cNvPr id="3" name="Textfeld 2"/>
        <cdr:cNvSpPr txBox="1">
          <a:spLocks xmlns:a="http://schemas.openxmlformats.org/drawingml/2006/main" noChangeArrowheads="1"/>
        </cdr:cNvSpPr>
      </cdr:nvSpPr>
      <cdr:spPr bwMode="auto">
        <a:xfrm xmlns:a="http://schemas.openxmlformats.org/drawingml/2006/main">
          <a:off x="4074972" y="364490"/>
          <a:ext cx="1830528" cy="79057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just">
            <a:lnSpc>
              <a:spcPts val="1150"/>
            </a:lnSpc>
            <a:spcAft>
              <a:spcPts val="0"/>
            </a:spcAft>
          </a:pPr>
          <a:r>
            <a:rPr lang="en-US" sz="800">
              <a:effectLst/>
              <a:latin typeface="Arial" panose="020B0604020202020204" pitchFamily="34" charset="0"/>
              <a:ea typeface="Times New Roman" panose="02020603050405020304" pitchFamily="18" charset="0"/>
              <a:cs typeface="Times New Roman" panose="02020603050405020304" pitchFamily="18" charset="0"/>
            </a:rPr>
            <a:t>Nationale/Internationale Behörden</a:t>
          </a:r>
          <a:endParaRPr lang="de-DE"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ts val="1150"/>
            </a:lnSpc>
            <a:spcAft>
              <a:spcPts val="0"/>
            </a:spcAft>
          </a:pPr>
          <a:r>
            <a:rPr lang="en-US" sz="800">
              <a:effectLst/>
              <a:latin typeface="Arial" panose="020B0604020202020204" pitchFamily="34" charset="0"/>
              <a:ea typeface="Times New Roman" panose="02020603050405020304" pitchFamily="18" charset="0"/>
              <a:cs typeface="Times New Roman" panose="02020603050405020304" pitchFamily="18" charset="0"/>
            </a:rPr>
            <a:t> </a:t>
          </a:r>
          <a:endParaRPr lang="de-DE"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ts val="1150"/>
            </a:lnSpc>
            <a:spcAft>
              <a:spcPts val="0"/>
            </a:spcAft>
          </a:pPr>
          <a:r>
            <a:rPr lang="en-US" sz="800">
              <a:effectLst/>
              <a:latin typeface="Arial" panose="020B0604020202020204" pitchFamily="34" charset="0"/>
              <a:ea typeface="Times New Roman" panose="02020603050405020304" pitchFamily="18" charset="0"/>
              <a:cs typeface="Times New Roman" panose="02020603050405020304" pitchFamily="18" charset="0"/>
            </a:rPr>
            <a:t>CPVO-Kunden</a:t>
          </a:r>
          <a:endParaRPr lang="de-DE"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ts val="1150"/>
            </a:lnSpc>
            <a:spcAft>
              <a:spcPts val="0"/>
            </a:spcAft>
          </a:pPr>
          <a:r>
            <a:rPr lang="en-US" sz="800">
              <a:effectLst/>
              <a:latin typeface="Arial" panose="020B0604020202020204" pitchFamily="34" charset="0"/>
              <a:ea typeface="Times New Roman" panose="02020603050405020304" pitchFamily="18" charset="0"/>
              <a:cs typeface="Times New Roman" panose="02020603050405020304" pitchFamily="18" charset="0"/>
            </a:rPr>
            <a:t> </a:t>
          </a:r>
          <a:endParaRPr lang="de-DE"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lnSpc>
              <a:spcPts val="1150"/>
            </a:lnSpc>
            <a:spcAft>
              <a:spcPts val="0"/>
            </a:spcAft>
          </a:pPr>
          <a:r>
            <a:rPr lang="en-US" sz="800">
              <a:effectLst/>
              <a:latin typeface="Arial" panose="020B0604020202020204" pitchFamily="34" charset="0"/>
              <a:ea typeface="Times New Roman" panose="02020603050405020304" pitchFamily="18" charset="0"/>
              <a:cs typeface="Times New Roman" panose="02020603050405020304" pitchFamily="18" charset="0"/>
            </a:rPr>
            <a:t>Andere Kategorien</a:t>
          </a:r>
          <a:endParaRPr lang="de-DE" sz="10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0.76552</cdr:x>
      <cdr:y>0.19757</cdr:y>
    </cdr:from>
    <cdr:to>
      <cdr:x>0.97962</cdr:x>
      <cdr:y>0.32807</cdr:y>
    </cdr:to>
    <cdr:sp macro="" textlink="">
      <cdr:nvSpPr>
        <cdr:cNvPr id="2" name="Textfeld 2"/>
        <cdr:cNvSpPr txBox="1">
          <a:spLocks xmlns:a="http://schemas.openxmlformats.org/drawingml/2006/main" noChangeArrowheads="1"/>
        </cdr:cNvSpPr>
      </cdr:nvSpPr>
      <cdr:spPr bwMode="auto">
        <a:xfrm xmlns:a="http://schemas.openxmlformats.org/drawingml/2006/main">
          <a:off x="4652029" y="752996"/>
          <a:ext cx="1301095" cy="49738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spAutoFit/>
        </a:bodyPr>
        <a:lstStyle xmlns:a="http://schemas.openxmlformats.org/drawingml/2006/main"/>
        <a:p xmlns:a="http://schemas.openxmlformats.org/drawingml/2006/main">
          <a:pPr algn="just">
            <a:spcAft>
              <a:spcPts val="0"/>
            </a:spcAft>
          </a:pPr>
          <a:r>
            <a:rPr lang="en-US" sz="800">
              <a:effectLst/>
              <a:latin typeface="Arial" panose="020B0604020202020204" pitchFamily="34" charset="0"/>
              <a:ea typeface="Times New Roman" panose="02020603050405020304" pitchFamily="18" charset="0"/>
              <a:cs typeface="Times New Roman" panose="02020603050405020304" pitchFamily="18" charset="0"/>
            </a:rPr>
            <a:t>Mitglieder</a:t>
          </a:r>
          <a:endParaRPr lang="de-DE"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spcBef>
              <a:spcPts val="100"/>
            </a:spcBef>
            <a:spcAft>
              <a:spcPts val="200"/>
            </a:spcAft>
          </a:pPr>
          <a:r>
            <a:rPr lang="en-US" sz="800">
              <a:effectLst/>
              <a:latin typeface="Arial" panose="020B0604020202020204" pitchFamily="34" charset="0"/>
              <a:ea typeface="Times New Roman" panose="02020603050405020304" pitchFamily="18" charset="0"/>
              <a:cs typeface="Times New Roman" panose="02020603050405020304" pitchFamily="18" charset="0"/>
            </a:rPr>
            <a:t>EU</a:t>
          </a:r>
          <a:endParaRPr lang="de-DE" sz="1000">
            <a:effectLst/>
            <a:latin typeface="Arial" panose="020B0604020202020204" pitchFamily="34" charset="0"/>
            <a:ea typeface="Times New Roman" panose="02020603050405020304" pitchFamily="18" charset="0"/>
            <a:cs typeface="Times New Roman" panose="02020603050405020304" pitchFamily="18" charset="0"/>
          </a:endParaRPr>
        </a:p>
        <a:p xmlns:a="http://schemas.openxmlformats.org/drawingml/2006/main">
          <a:pPr algn="just">
            <a:spcBef>
              <a:spcPts val="100"/>
            </a:spcBef>
            <a:spcAft>
              <a:spcPts val="0"/>
            </a:spcAft>
          </a:pPr>
          <a:r>
            <a:rPr lang="en-US" sz="800">
              <a:effectLst/>
              <a:latin typeface="Arial" panose="020B0604020202020204" pitchFamily="34" charset="0"/>
              <a:ea typeface="Times New Roman" panose="02020603050405020304" pitchFamily="18" charset="0"/>
              <a:cs typeface="Times New Roman" panose="02020603050405020304" pitchFamily="18" charset="0"/>
            </a:rPr>
            <a:t>Nicht EU</a:t>
          </a:r>
          <a:endParaRPr lang="de-DE" sz="1000">
            <a:effectLst/>
            <a:latin typeface="Arial" panose="020B060402020202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0.52414</cdr:x>
      <cdr:y>0.76012</cdr:y>
    </cdr:from>
    <cdr:to>
      <cdr:x>0.67461</cdr:x>
      <cdr:y>1</cdr:y>
    </cdr:to>
    <cdr:sp macro="" textlink="">
      <cdr:nvSpPr>
        <cdr:cNvPr id="3" name="Textfeld 2"/>
        <cdr:cNvSpPr txBox="1"/>
      </cdr:nvSpPr>
      <cdr:spPr>
        <a:xfrm xmlns:a="http://schemas.openxmlformats.org/drawingml/2006/main">
          <a:off x="3185160" y="3558539"/>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de-DE"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802A2-4686-4254-B9D0-DC19F448A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C_49_DE.dotx</Template>
  <TotalTime>111</TotalTime>
  <Pages>52</Pages>
  <Words>15824</Words>
  <Characters>105957</Characters>
  <Application>Microsoft Office Word</Application>
  <DocSecurity>0</DocSecurity>
  <Lines>882</Lines>
  <Paragraphs>243</Paragraphs>
  <ScaleCrop>false</ScaleCrop>
  <HeadingPairs>
    <vt:vector size="2" baseType="variant">
      <vt:variant>
        <vt:lpstr>Title</vt:lpstr>
      </vt:variant>
      <vt:variant>
        <vt:i4>1</vt:i4>
      </vt:variant>
    </vt:vector>
  </HeadingPairs>
  <TitlesOfParts>
    <vt:vector size="1" baseType="lpstr">
      <vt:lpstr>C/49/15</vt:lpstr>
    </vt:vector>
  </TitlesOfParts>
  <Company>UPOV</Company>
  <LinksUpToDate>false</LinksUpToDate>
  <CharactersWithSpaces>121538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C/49/15</dc:title>
  <dc:creator/>
  <cp:lastModifiedBy>SANCHEZ-VIZCAINO GOMEZ Rosa Maria</cp:lastModifiedBy>
  <cp:revision>19</cp:revision>
  <cp:lastPrinted>2015-10-20T08:25:00Z</cp:lastPrinted>
  <dcterms:created xsi:type="dcterms:W3CDTF">2015-10-12T11:58:00Z</dcterms:created>
  <dcterms:modified xsi:type="dcterms:W3CDTF">2015-10-20T08:25:00Z</dcterms:modified>
</cp:coreProperties>
</file>