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F4443" w:rsidRPr="009F4443" w:rsidTr="00DD6E19">
        <w:trPr>
          <w:trHeight w:val="1760"/>
        </w:trPr>
        <w:tc>
          <w:tcPr>
            <w:tcW w:w="3993" w:type="dxa"/>
          </w:tcPr>
          <w:p w:rsidR="009F4443" w:rsidRPr="009F4443" w:rsidRDefault="009F4443" w:rsidP="009F4443">
            <w:pPr>
              <w:rPr>
                <w:lang w:val="de-DE" w:eastAsia="de-DE" w:bidi="de-DE"/>
              </w:rPr>
            </w:pPr>
            <w:bookmarkStart w:id="0" w:name="TitleOfDoc"/>
            <w:bookmarkEnd w:id="0"/>
          </w:p>
        </w:tc>
        <w:tc>
          <w:tcPr>
            <w:tcW w:w="1549" w:type="dxa"/>
            <w:vAlign w:val="center"/>
          </w:tcPr>
          <w:p w:rsidR="009F4443" w:rsidRPr="009F4443" w:rsidRDefault="009F4443" w:rsidP="009F4443">
            <w:pPr>
              <w:spacing w:before="720"/>
              <w:jc w:val="center"/>
              <w:rPr>
                <w:lang w:val="de-DE" w:eastAsia="de-DE" w:bidi="de-DE"/>
              </w:rPr>
            </w:pPr>
            <w:r w:rsidRPr="009F4443">
              <w:rPr>
                <w:noProof/>
              </w:rPr>
              <w:drawing>
                <wp:inline distT="0" distB="0" distL="0" distR="0" wp14:anchorId="0A0FDE0E" wp14:editId="1DC676C3">
                  <wp:extent cx="981710" cy="481330"/>
                  <wp:effectExtent l="0" t="0" r="8890" b="0"/>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9F4443" w:rsidRPr="009F4443" w:rsidRDefault="009F4443" w:rsidP="009F4443">
            <w:pPr>
              <w:spacing w:after="120" w:line="340" w:lineRule="atLeast"/>
              <w:jc w:val="right"/>
              <w:rPr>
                <w:b/>
                <w:bCs/>
                <w:sz w:val="56"/>
                <w:lang w:val="de-DE" w:eastAsia="de-DE" w:bidi="de-DE"/>
              </w:rPr>
            </w:pPr>
            <w:r w:rsidRPr="009F4443">
              <w:rPr>
                <w:b/>
                <w:bCs/>
                <w:sz w:val="56"/>
                <w:lang w:val="de-DE" w:eastAsia="de-DE" w:bidi="de-DE"/>
              </w:rPr>
              <w:t>G</w:t>
            </w:r>
          </w:p>
          <w:p w:rsidR="009F4443" w:rsidRPr="009F4443" w:rsidRDefault="009F4443" w:rsidP="009F4443">
            <w:pPr>
              <w:spacing w:line="280" w:lineRule="exact"/>
              <w:ind w:left="1361"/>
              <w:rPr>
                <w:b/>
                <w:bCs/>
                <w:spacing w:val="10"/>
                <w:lang w:val="de-DE" w:eastAsia="de-DE" w:bidi="de-DE"/>
              </w:rPr>
            </w:pPr>
            <w:r w:rsidRPr="009F4443">
              <w:rPr>
                <w:b/>
                <w:bCs/>
                <w:spacing w:val="10"/>
                <w:lang w:val="de-DE" w:eastAsia="de-DE" w:bidi="de-DE"/>
              </w:rPr>
              <w:t>C/48/</w:t>
            </w:r>
            <w:bookmarkStart w:id="1" w:name="Code"/>
            <w:bookmarkEnd w:id="1"/>
            <w:r w:rsidRPr="009F4443">
              <w:rPr>
                <w:b/>
                <w:bCs/>
                <w:spacing w:val="10"/>
                <w:lang w:val="de-DE" w:eastAsia="de-DE" w:bidi="de-DE"/>
              </w:rPr>
              <w:t>18</w:t>
            </w:r>
          </w:p>
          <w:p w:rsidR="009F4443" w:rsidRPr="009F4443" w:rsidRDefault="009F4443" w:rsidP="009F4443">
            <w:pPr>
              <w:spacing w:line="280" w:lineRule="exact"/>
              <w:ind w:left="1361"/>
              <w:rPr>
                <w:bCs/>
                <w:lang w:val="de-DE" w:eastAsia="de-DE" w:bidi="de-DE"/>
              </w:rPr>
            </w:pPr>
            <w:r w:rsidRPr="009F4443">
              <w:rPr>
                <w:b/>
                <w:lang w:val="de-DE" w:eastAsia="de-DE" w:bidi="de-DE"/>
              </w:rPr>
              <w:t>ORIGINAL:</w:t>
            </w:r>
            <w:r w:rsidRPr="009F4443">
              <w:rPr>
                <w:lang w:val="de-DE" w:eastAsia="de-DE" w:bidi="de-DE"/>
              </w:rPr>
              <w:t xml:space="preserve"> </w:t>
            </w:r>
            <w:r w:rsidRPr="009F4443">
              <w:rPr>
                <w:b/>
                <w:bCs/>
                <w:spacing w:val="10"/>
                <w:lang w:val="de-DE" w:eastAsia="de-DE" w:bidi="de-DE"/>
              </w:rPr>
              <w:t xml:space="preserve"> </w:t>
            </w:r>
            <w:bookmarkStart w:id="2" w:name="Original"/>
            <w:bookmarkEnd w:id="2"/>
            <w:r w:rsidRPr="009F4443">
              <w:rPr>
                <w:bCs/>
                <w:lang w:val="de-DE" w:eastAsia="de-DE" w:bidi="de-DE"/>
              </w:rPr>
              <w:t>englisch</w:t>
            </w:r>
          </w:p>
          <w:p w:rsidR="009F4443" w:rsidRPr="009F4443" w:rsidRDefault="009F4443" w:rsidP="009F4443">
            <w:pPr>
              <w:spacing w:line="280" w:lineRule="exact"/>
              <w:ind w:left="1361"/>
              <w:rPr>
                <w:b/>
                <w:bCs/>
                <w:spacing w:val="10"/>
                <w:lang w:val="de-DE" w:eastAsia="de-DE" w:bidi="de-DE"/>
              </w:rPr>
            </w:pPr>
            <w:r w:rsidRPr="009F4443">
              <w:rPr>
                <w:b/>
                <w:bCs/>
                <w:spacing w:val="10"/>
                <w:lang w:val="de-DE" w:eastAsia="de-DE" w:bidi="de-DE"/>
              </w:rPr>
              <w:t xml:space="preserve">DATUM: </w:t>
            </w:r>
            <w:r w:rsidRPr="009F4443">
              <w:rPr>
                <w:lang w:val="de-DE" w:eastAsia="de-DE" w:bidi="de-DE"/>
              </w:rPr>
              <w:t xml:space="preserve"> </w:t>
            </w:r>
            <w:bookmarkStart w:id="3" w:name="Date"/>
            <w:bookmarkEnd w:id="3"/>
            <w:r w:rsidRPr="009F4443">
              <w:rPr>
                <w:bCs/>
                <w:lang w:val="de-DE" w:eastAsia="de-DE" w:bidi="de-DE"/>
              </w:rPr>
              <w:t>31. August 2014</w:t>
            </w:r>
          </w:p>
        </w:tc>
      </w:tr>
      <w:tr w:rsidR="009F4443" w:rsidRPr="009F4443" w:rsidTr="00DD6E19">
        <w:tc>
          <w:tcPr>
            <w:tcW w:w="9534" w:type="dxa"/>
            <w:gridSpan w:val="3"/>
          </w:tcPr>
          <w:p w:rsidR="009F4443" w:rsidRPr="009F4443" w:rsidRDefault="009F4443" w:rsidP="009F4443">
            <w:pPr>
              <w:spacing w:before="60"/>
              <w:jc w:val="center"/>
              <w:rPr>
                <w:b/>
                <w:bCs/>
                <w:spacing w:val="8"/>
                <w:sz w:val="28"/>
                <w:lang w:val="de-DE" w:eastAsia="de-DE" w:bidi="de-DE"/>
              </w:rPr>
            </w:pPr>
            <w:r w:rsidRPr="009F4443">
              <w:rPr>
                <w:b/>
                <w:bCs/>
                <w:spacing w:val="8"/>
                <w:sz w:val="24"/>
                <w:lang w:val="de-DE" w:eastAsia="de-DE" w:bidi="de-DE"/>
              </w:rPr>
              <w:t xml:space="preserve">INTERNATIONALER VERBAND ZUM SCHUTZ VON PFLANZENZÜCHTUNGEN </w:t>
            </w:r>
          </w:p>
        </w:tc>
      </w:tr>
      <w:tr w:rsidR="009F4443" w:rsidRPr="009F4443" w:rsidTr="00DD6E19">
        <w:tc>
          <w:tcPr>
            <w:tcW w:w="9534" w:type="dxa"/>
            <w:gridSpan w:val="3"/>
          </w:tcPr>
          <w:p w:rsidR="009F4443" w:rsidRPr="009F4443" w:rsidRDefault="009F4443" w:rsidP="009F4443">
            <w:pPr>
              <w:spacing w:before="60" w:after="480"/>
              <w:jc w:val="center"/>
              <w:rPr>
                <w:lang w:val="de-DE" w:eastAsia="de-DE" w:bidi="de-DE"/>
              </w:rPr>
            </w:pPr>
            <w:r w:rsidRPr="009F4443">
              <w:rPr>
                <w:lang w:val="de-DE" w:eastAsia="de-DE" w:bidi="de-DE"/>
              </w:rPr>
              <w:t>Genf</w:t>
            </w:r>
          </w:p>
        </w:tc>
      </w:tr>
    </w:tbl>
    <w:p w:rsidR="009F4443" w:rsidRPr="009F4443" w:rsidRDefault="009F4443" w:rsidP="009F4443">
      <w:pPr>
        <w:spacing w:before="240"/>
        <w:jc w:val="center"/>
        <w:rPr>
          <w:b/>
          <w:bCs/>
          <w:caps/>
          <w:kern w:val="28"/>
          <w:sz w:val="24"/>
          <w:lang w:val="de-DE" w:eastAsia="de-DE" w:bidi="de-DE"/>
        </w:rPr>
      </w:pPr>
      <w:r w:rsidRPr="009F4443">
        <w:rPr>
          <w:b/>
          <w:bCs/>
          <w:caps/>
          <w:kern w:val="28"/>
          <w:sz w:val="24"/>
          <w:lang w:val="de-DE" w:eastAsia="de-DE" w:bidi="de-DE"/>
        </w:rPr>
        <w:t>DER RAT</w:t>
      </w:r>
    </w:p>
    <w:p w:rsidR="009F4443" w:rsidRPr="009F4443" w:rsidRDefault="009F4443" w:rsidP="009F4443">
      <w:pPr>
        <w:spacing w:before="240"/>
        <w:jc w:val="center"/>
        <w:rPr>
          <w:b/>
          <w:bCs/>
          <w:kern w:val="28"/>
          <w:sz w:val="24"/>
          <w:lang w:val="de-DE" w:eastAsia="de-DE" w:bidi="de-DE"/>
        </w:rPr>
      </w:pPr>
      <w:r w:rsidRPr="009F4443">
        <w:rPr>
          <w:b/>
          <w:bCs/>
          <w:kern w:val="28"/>
          <w:sz w:val="24"/>
          <w:lang w:val="de-DE" w:eastAsia="de-DE" w:bidi="de-DE"/>
        </w:rPr>
        <w:t>Achtundvierzigste ordentliche Tagung</w:t>
      </w:r>
      <w:r w:rsidRPr="009F4443">
        <w:rPr>
          <w:b/>
          <w:bCs/>
          <w:kern w:val="28"/>
          <w:sz w:val="24"/>
          <w:lang w:val="de-DE" w:eastAsia="de-DE" w:bidi="de-DE"/>
        </w:rPr>
        <w:br/>
        <w:t>Genf, 16. Oktober 2014</w:t>
      </w:r>
    </w:p>
    <w:p w:rsidR="009F4443" w:rsidRPr="009F4443" w:rsidRDefault="009F4443" w:rsidP="009F4443">
      <w:pPr>
        <w:spacing w:before="600"/>
        <w:jc w:val="center"/>
        <w:rPr>
          <w:caps/>
          <w:lang w:val="de-DE" w:eastAsia="de-DE" w:bidi="de-DE"/>
        </w:rPr>
      </w:pPr>
      <w:r w:rsidRPr="009F4443">
        <w:rPr>
          <w:caps/>
          <w:lang w:val="de-DE" w:eastAsia="de-DE" w:bidi="de-DE"/>
        </w:rPr>
        <w:t>Entwicklungen betreffend das Gesetz über Pflanzenzüchterrechte für Sansibar</w:t>
      </w:r>
    </w:p>
    <w:p w:rsidR="009F4443" w:rsidRPr="009F4443" w:rsidRDefault="009F4443" w:rsidP="009F4443">
      <w:pPr>
        <w:spacing w:before="240" w:after="600"/>
        <w:jc w:val="center"/>
        <w:rPr>
          <w:i/>
          <w:lang w:val="de-DE" w:eastAsia="de-DE" w:bidi="de-DE"/>
        </w:rPr>
      </w:pPr>
      <w:bookmarkStart w:id="4" w:name="Prepared"/>
      <w:bookmarkEnd w:id="4"/>
      <w:r w:rsidRPr="009F4443">
        <w:rPr>
          <w:i/>
          <w:lang w:val="de-DE" w:eastAsia="de-DE" w:bidi="de-DE"/>
        </w:rPr>
        <w:t>vom Verbandsbüro erstelltes Dokument</w:t>
      </w:r>
      <w:r w:rsidRPr="009F4443">
        <w:rPr>
          <w:i/>
          <w:lang w:val="de-DE" w:eastAsia="de-DE" w:bidi="de-DE"/>
        </w:rPr>
        <w:br/>
      </w:r>
      <w:r w:rsidRPr="009F4443">
        <w:rPr>
          <w:i/>
          <w:lang w:val="de-DE" w:eastAsia="de-DE" w:bidi="de-DE"/>
        </w:rPr>
        <w:br/>
      </w:r>
      <w:r w:rsidRPr="009F4443">
        <w:rPr>
          <w:i/>
          <w:color w:val="A6A6A6" w:themeColor="background1" w:themeShade="A6"/>
          <w:lang w:val="de-DE" w:eastAsia="de-DE" w:bidi="de-DE"/>
        </w:rPr>
        <w:t>Haftungsausschluß:  dieses Dokument gibt nicht die Grundsätze oder eine Anleitung der UPOV wieder</w:t>
      </w:r>
    </w:p>
    <w:p w:rsidR="009F4443" w:rsidRPr="009F4443" w:rsidRDefault="009F4443" w:rsidP="009F4443">
      <w:pPr>
        <w:rPr>
          <w:szCs w:val="22"/>
          <w:lang w:val="de-DE" w:eastAsia="de-DE" w:bidi="de-DE"/>
        </w:rPr>
      </w:pPr>
      <w:r w:rsidRPr="009F4443">
        <w:rPr>
          <w:rFonts w:cs="Arial"/>
          <w:lang w:val="de-DE" w:eastAsia="de-DE" w:bidi="de-DE"/>
        </w:rPr>
        <w:fldChar w:fldCharType="begin"/>
      </w:r>
      <w:r w:rsidRPr="009F4443">
        <w:rPr>
          <w:rFonts w:cs="Arial"/>
          <w:lang w:val="de-DE" w:eastAsia="de-DE" w:bidi="de-DE"/>
        </w:rPr>
        <w:instrText xml:space="preserve"> AUTONUM  </w:instrText>
      </w:r>
      <w:r w:rsidRPr="009F4443">
        <w:rPr>
          <w:rFonts w:cs="Arial"/>
          <w:lang w:val="de-DE" w:eastAsia="de-DE" w:bidi="de-DE"/>
        </w:rPr>
        <w:fldChar w:fldCharType="end"/>
      </w:r>
      <w:r w:rsidRPr="009F4443">
        <w:rPr>
          <w:lang w:val="de-DE" w:eastAsia="de-DE" w:bidi="de-DE"/>
        </w:rPr>
        <w:tab/>
        <w:t xml:space="preserve">Zweck dieses Dokuments ist es, den Rat zu ersuchen, Entwicklungen betreffend das Gesetz über Pflanzenzüchterrechte (das Gesetz) im Hinblick auf seine Entscheidung vom 22. März 2013 zu prüfen. </w:t>
      </w:r>
    </w:p>
    <w:p w:rsidR="009F4443" w:rsidRPr="009F4443" w:rsidRDefault="009F4443" w:rsidP="009F4443">
      <w:pPr>
        <w:rPr>
          <w:szCs w:val="22"/>
          <w:lang w:val="de-DE" w:eastAsia="de-DE" w:bidi="de-DE"/>
        </w:rPr>
      </w:pPr>
    </w:p>
    <w:p w:rsidR="009F4443" w:rsidRPr="009F4443" w:rsidRDefault="009F4443" w:rsidP="009F4443">
      <w:pPr>
        <w:rPr>
          <w:snapToGrid w:val="0"/>
          <w:lang w:val="de-DE" w:eastAsia="de-DE" w:bidi="de-DE"/>
        </w:rPr>
      </w:pPr>
      <w:r w:rsidRPr="009F4443">
        <w:rPr>
          <w:szCs w:val="22"/>
          <w:lang w:val="de-DE" w:eastAsia="de-DE" w:bidi="de-DE"/>
        </w:rPr>
        <w:fldChar w:fldCharType="begin"/>
      </w:r>
      <w:r w:rsidRPr="009F4443">
        <w:rPr>
          <w:szCs w:val="22"/>
          <w:lang w:val="de-DE" w:eastAsia="de-DE" w:bidi="de-DE"/>
        </w:rPr>
        <w:instrText xml:space="preserve"> AUTONUM  </w:instrText>
      </w:r>
      <w:r w:rsidRPr="009F4443">
        <w:rPr>
          <w:szCs w:val="22"/>
          <w:lang w:val="de-DE" w:eastAsia="de-DE" w:bidi="de-DE"/>
        </w:rPr>
        <w:fldChar w:fldCharType="end"/>
      </w:r>
      <w:r w:rsidRPr="009F4443">
        <w:rPr>
          <w:lang w:val="de-DE" w:eastAsia="de-DE" w:bidi="de-DE"/>
        </w:rPr>
        <w:tab/>
        <w:t>Auf seiner dreißigsten außerordentlichen Tagung am 22. März 2013 in Genf entschied der Rat:</w:t>
      </w:r>
    </w:p>
    <w:p w:rsidR="009F4443" w:rsidRPr="009F4443" w:rsidRDefault="009F4443" w:rsidP="009F4443">
      <w:pPr>
        <w:rPr>
          <w:snapToGrid w:val="0"/>
          <w:lang w:val="de-DE" w:eastAsia="de-DE" w:bidi="de-DE"/>
        </w:rPr>
      </w:pPr>
    </w:p>
    <w:p w:rsidR="009F4443" w:rsidRPr="009F4443" w:rsidRDefault="009F4443" w:rsidP="009F4443">
      <w:pPr>
        <w:ind w:left="567"/>
        <w:rPr>
          <w:rFonts w:eastAsia="MS Mincho"/>
          <w:snapToGrid w:val="0"/>
          <w:sz w:val="18"/>
          <w:szCs w:val="18"/>
          <w:lang w:val="de-DE" w:eastAsia="de-DE" w:bidi="de-DE"/>
        </w:rPr>
      </w:pPr>
      <w:r w:rsidRPr="009F4443">
        <w:rPr>
          <w:lang w:val="de-DE" w:eastAsia="de-DE" w:bidi="de-DE"/>
        </w:rPr>
        <w:tab/>
      </w:r>
      <w:r w:rsidRPr="009F4443">
        <w:rPr>
          <w:snapToGrid w:val="0"/>
          <w:sz w:val="18"/>
          <w:lang w:val="de-DE" w:eastAsia="de-DE" w:bidi="de-DE"/>
        </w:rPr>
        <w:t>„a)</w:t>
      </w:r>
      <w:r w:rsidRPr="009F4443">
        <w:rPr>
          <w:lang w:val="de-DE" w:eastAsia="de-DE" w:bidi="de-DE"/>
        </w:rPr>
        <w:tab/>
      </w:r>
      <w:r w:rsidRPr="009F4443">
        <w:rPr>
          <w:snapToGrid w:val="0"/>
          <w:sz w:val="18"/>
          <w:lang w:val="de-DE" w:eastAsia="de-DE" w:bidi="de-DE"/>
        </w:rPr>
        <w:t>von den Analysen in den Dokumenten C(Extr.)/30/4 Rev. und C(Extr.)/30/4 Add. Kenntnis zu nehmen;</w:t>
      </w:r>
    </w:p>
    <w:p w:rsidR="009F4443" w:rsidRPr="009F4443" w:rsidRDefault="009F4443" w:rsidP="009F4443">
      <w:pPr>
        <w:ind w:left="567"/>
        <w:rPr>
          <w:rFonts w:eastAsia="MS Mincho"/>
          <w:snapToGrid w:val="0"/>
          <w:sz w:val="18"/>
          <w:szCs w:val="18"/>
          <w:lang w:val="de-DE" w:eastAsia="de-DE" w:bidi="de-DE"/>
        </w:rPr>
      </w:pPr>
    </w:p>
    <w:p w:rsidR="009F4443" w:rsidRPr="009F4443" w:rsidRDefault="009F4443" w:rsidP="009F4443">
      <w:pPr>
        <w:ind w:left="567"/>
        <w:rPr>
          <w:rFonts w:eastAsia="MS Mincho"/>
          <w:snapToGrid w:val="0"/>
          <w:sz w:val="18"/>
          <w:szCs w:val="18"/>
          <w:lang w:val="de-DE" w:eastAsia="de-DE" w:bidi="de-DE"/>
        </w:rPr>
      </w:pPr>
      <w:r w:rsidRPr="009F4443">
        <w:rPr>
          <w:lang w:val="de-DE" w:eastAsia="de-DE" w:bidi="de-DE"/>
        </w:rPr>
        <w:tab/>
      </w:r>
      <w:r w:rsidRPr="009F4443">
        <w:rPr>
          <w:snapToGrid w:val="0"/>
          <w:sz w:val="18"/>
          <w:lang w:val="de-DE" w:eastAsia="de-DE" w:bidi="de-DE"/>
        </w:rPr>
        <w:t>b)</w:t>
      </w:r>
      <w:r w:rsidRPr="009F4443">
        <w:rPr>
          <w:lang w:val="de-DE" w:eastAsia="de-DE" w:bidi="de-DE"/>
        </w:rPr>
        <w:tab/>
      </w:r>
      <w:r w:rsidRPr="009F4443">
        <w:rPr>
          <w:snapToGrid w:val="0"/>
          <w:sz w:val="18"/>
          <w:lang w:val="de-DE" w:eastAsia="de-DE" w:bidi="de-DE"/>
        </w:rPr>
        <w:t>vorbehaltlich der Aufnahme der in den Absätzen 26, 28, 30 und 35 von Dokument C(Extr.)/30/4 Rev. empfohlenen Änderungen in den Gesetzentwurf über Pflanzenzüchterrechte für Sansibar und ohne zusätzliche Änderungen eine positive Entscheidung über die Vereinbarkeit des Gesetzentwurfs über Pflanzenzüchterrechte für Sansibar mit den Bestimmungen der Akte von 1991 des Internationalen Übereinkommens zum Schutz von Pflanzenzüchtungen zu treffen;</w:t>
      </w:r>
    </w:p>
    <w:p w:rsidR="009F4443" w:rsidRPr="009F4443" w:rsidRDefault="009F4443" w:rsidP="009F4443">
      <w:pPr>
        <w:ind w:left="567"/>
        <w:rPr>
          <w:rFonts w:eastAsia="MS Mincho"/>
          <w:snapToGrid w:val="0"/>
          <w:sz w:val="18"/>
          <w:szCs w:val="18"/>
          <w:lang w:val="de-DE" w:eastAsia="de-DE" w:bidi="de-DE"/>
        </w:rPr>
      </w:pPr>
    </w:p>
    <w:p w:rsidR="009F4443" w:rsidRPr="009F4443" w:rsidRDefault="009F4443" w:rsidP="009F4443">
      <w:pPr>
        <w:ind w:left="567" w:firstLine="567"/>
        <w:rPr>
          <w:rFonts w:eastAsia="MS Mincho"/>
          <w:snapToGrid w:val="0"/>
          <w:sz w:val="18"/>
          <w:szCs w:val="18"/>
          <w:lang w:val="de-DE" w:eastAsia="de-DE" w:bidi="de-DE"/>
        </w:rPr>
      </w:pPr>
      <w:r w:rsidRPr="009F4443">
        <w:rPr>
          <w:snapToGrid w:val="0"/>
          <w:sz w:val="18"/>
          <w:lang w:val="de-DE" w:eastAsia="de-DE" w:bidi="de-DE"/>
        </w:rPr>
        <w:t>c)</w:t>
      </w:r>
      <w:r w:rsidRPr="009F4443">
        <w:rPr>
          <w:lang w:val="de-DE" w:eastAsia="de-DE" w:bidi="de-DE"/>
        </w:rPr>
        <w:tab/>
      </w:r>
      <w:r w:rsidRPr="009F4443">
        <w:rPr>
          <w:snapToGrid w:val="0"/>
          <w:sz w:val="18"/>
          <w:lang w:val="de-DE" w:eastAsia="de-DE" w:bidi="de-DE"/>
        </w:rPr>
        <w:t>zur Kenntnis zu nehmen, daß der Gesetzentwurf über Pflanzenzüchterrechte für Kontinentaltansania am 5. November 2012 angenommen wurde, und daß die Annahme des Gesetzentwurfs für Sansibar erforderlich ist, damit die Züchterrechte das gesamte Hoheitsgebiet der Vereinigten Republik Tansania abdecken;</w:t>
      </w:r>
    </w:p>
    <w:p w:rsidR="009F4443" w:rsidRPr="009F4443" w:rsidRDefault="009F4443" w:rsidP="009F4443">
      <w:pPr>
        <w:ind w:left="567" w:firstLine="567"/>
        <w:rPr>
          <w:rFonts w:eastAsia="MS Mincho"/>
          <w:snapToGrid w:val="0"/>
          <w:sz w:val="18"/>
          <w:szCs w:val="18"/>
          <w:lang w:val="de-DE" w:eastAsia="de-DE" w:bidi="de-DE"/>
        </w:rPr>
      </w:pPr>
    </w:p>
    <w:p w:rsidR="009F4443" w:rsidRPr="009F4443" w:rsidRDefault="009F4443" w:rsidP="009F4443">
      <w:pPr>
        <w:ind w:left="567" w:firstLine="567"/>
        <w:rPr>
          <w:rFonts w:eastAsia="MS Mincho"/>
          <w:snapToGrid w:val="0"/>
          <w:sz w:val="18"/>
          <w:szCs w:val="18"/>
          <w:lang w:val="de-DE" w:eastAsia="de-DE" w:bidi="de-DE"/>
        </w:rPr>
      </w:pPr>
      <w:r w:rsidRPr="009F4443">
        <w:rPr>
          <w:snapToGrid w:val="0"/>
          <w:sz w:val="18"/>
          <w:lang w:val="de-DE" w:eastAsia="de-DE" w:bidi="de-DE"/>
        </w:rPr>
        <w:t>d)</w:t>
      </w:r>
      <w:r w:rsidRPr="009F4443">
        <w:rPr>
          <w:lang w:val="de-DE" w:eastAsia="de-DE" w:bidi="de-DE"/>
        </w:rPr>
        <w:tab/>
      </w:r>
      <w:r w:rsidRPr="009F4443">
        <w:rPr>
          <w:snapToGrid w:val="0"/>
          <w:sz w:val="18"/>
          <w:lang w:val="de-DE" w:eastAsia="de-DE" w:bidi="de-DE"/>
        </w:rPr>
        <w:t xml:space="preserve">zur Kenntnis zu nehmen, daß die in den Empfehlungen des Rates vom 1. November 2012 in Korrekturmodus dargelegten Änderungen in das Gesetz über Pflanzenzüchterrechte für Kontinentaltansania, das am 5. November 2012 verabschiedet und am 1. März 2013 im Amtsblatt der Vereinigten Republik Tansania veröffentlicht wurde, aufgenommen wurden (vergleiche Dokument C/46/18 „Bericht über die Entscheidungen”, Absatz 15); </w:t>
      </w:r>
    </w:p>
    <w:p w:rsidR="009F4443" w:rsidRPr="009F4443" w:rsidRDefault="009F4443" w:rsidP="009F4443">
      <w:pPr>
        <w:ind w:left="567"/>
        <w:rPr>
          <w:rFonts w:eastAsia="MS Mincho"/>
          <w:snapToGrid w:val="0"/>
          <w:sz w:val="18"/>
          <w:szCs w:val="18"/>
          <w:lang w:val="de-DE" w:eastAsia="de-DE" w:bidi="de-DE"/>
        </w:rPr>
      </w:pPr>
    </w:p>
    <w:p w:rsidR="009F4443" w:rsidRPr="009F4443" w:rsidRDefault="009F4443" w:rsidP="009F4443">
      <w:pPr>
        <w:ind w:left="567"/>
        <w:rPr>
          <w:rFonts w:eastAsia="MS Mincho"/>
          <w:snapToGrid w:val="0"/>
          <w:sz w:val="18"/>
          <w:szCs w:val="18"/>
          <w:lang w:val="de-DE" w:eastAsia="de-DE" w:bidi="de-DE"/>
        </w:rPr>
      </w:pPr>
      <w:r w:rsidRPr="009F4443">
        <w:rPr>
          <w:lang w:val="de-DE" w:eastAsia="de-DE" w:bidi="de-DE"/>
        </w:rPr>
        <w:tab/>
      </w:r>
      <w:r w:rsidRPr="009F4443">
        <w:rPr>
          <w:snapToGrid w:val="0"/>
          <w:sz w:val="18"/>
          <w:lang w:val="de-DE" w:eastAsia="de-DE" w:bidi="de-DE"/>
        </w:rPr>
        <w:t>e)</w:t>
      </w:r>
      <w:r w:rsidRPr="009F4443">
        <w:rPr>
          <w:lang w:val="de-DE" w:eastAsia="de-DE" w:bidi="de-DE"/>
        </w:rPr>
        <w:tab/>
      </w:r>
      <w:r w:rsidRPr="009F4443">
        <w:rPr>
          <w:snapToGrid w:val="0"/>
          <w:sz w:val="18"/>
          <w:lang w:val="de-DE" w:eastAsia="de-DE" w:bidi="de-DE"/>
        </w:rPr>
        <w:t>zu vereinbaren, daß die zusätzlichen Änderungen im Gesetz über Pflanzenzüchterrechte für Kontinentaltansania, wie in der Anlage von Dokument C(Extr.)/30/4 Add. vorgelegt, die wesentlichen Rechtsvorschriften der Akte von 1991 des UPOV-Übereinkommens nicht betreffen und die Entscheidung betreffend die Vereinbarkeit vom 1. November 2012 zu bestätigen;</w:t>
      </w:r>
    </w:p>
    <w:p w:rsidR="009F4443" w:rsidRPr="009F4443" w:rsidRDefault="009F4443" w:rsidP="009F4443">
      <w:pPr>
        <w:ind w:left="567"/>
        <w:rPr>
          <w:rFonts w:eastAsia="MS Mincho"/>
          <w:b/>
          <w:snapToGrid w:val="0"/>
          <w:sz w:val="18"/>
          <w:szCs w:val="18"/>
          <w:lang w:val="de-DE" w:eastAsia="de-DE" w:bidi="de-DE"/>
        </w:rPr>
      </w:pPr>
    </w:p>
    <w:p w:rsidR="009F4443" w:rsidRPr="009F4443" w:rsidRDefault="009F4443" w:rsidP="009F4443">
      <w:pPr>
        <w:ind w:left="567" w:firstLine="567"/>
        <w:rPr>
          <w:rFonts w:eastAsia="MS Mincho"/>
          <w:snapToGrid w:val="0"/>
          <w:sz w:val="18"/>
          <w:szCs w:val="18"/>
          <w:lang w:val="de-DE" w:eastAsia="de-DE" w:bidi="de-DE"/>
        </w:rPr>
      </w:pPr>
      <w:r w:rsidRPr="009F4443">
        <w:rPr>
          <w:snapToGrid w:val="0"/>
          <w:sz w:val="18"/>
          <w:lang w:val="de-DE" w:eastAsia="de-DE" w:bidi="de-DE"/>
        </w:rPr>
        <w:t>f)</w:t>
      </w:r>
      <w:r w:rsidRPr="009F4443">
        <w:rPr>
          <w:lang w:val="de-DE" w:eastAsia="de-DE" w:bidi="de-DE"/>
        </w:rPr>
        <w:tab/>
      </w:r>
      <w:r w:rsidRPr="009F4443">
        <w:rPr>
          <w:snapToGrid w:val="0"/>
          <w:sz w:val="18"/>
          <w:lang w:val="de-DE" w:eastAsia="de-DE" w:bidi="de-DE"/>
        </w:rPr>
        <w:t>die Regierung der Vereinigten Republik Tansania darüber in Kenntnis zu setzen, daß vorbehaltlich der Aufnahme der vom Rat auf seiner dreißigsten außerordentlichen Tagung am 22. März 2013 in Genf empfohlenen Änderungen (vergleiche Absatz b) oben) in das Gesetz über Pflanzenzüchterrechte für Sansibar und der Verabschiedung des Gesetzes ohne zusätzliche Änderungen</w:t>
      </w:r>
    </w:p>
    <w:p w:rsidR="009F4443" w:rsidRPr="009F4443" w:rsidRDefault="009F4443" w:rsidP="009F4443">
      <w:pPr>
        <w:ind w:left="567" w:firstLine="567"/>
        <w:rPr>
          <w:rFonts w:eastAsia="MS Mincho"/>
          <w:snapToGrid w:val="0"/>
          <w:sz w:val="18"/>
          <w:szCs w:val="18"/>
          <w:lang w:val="de-DE" w:eastAsia="de-DE" w:bidi="de-DE"/>
        </w:rPr>
      </w:pPr>
    </w:p>
    <w:p w:rsidR="009F4443" w:rsidRPr="009F4443" w:rsidRDefault="009F4443" w:rsidP="009F4443">
      <w:pPr>
        <w:ind w:left="567"/>
        <w:rPr>
          <w:rFonts w:eastAsia="MS Mincho"/>
          <w:snapToGrid w:val="0"/>
          <w:sz w:val="18"/>
          <w:szCs w:val="18"/>
          <w:lang w:val="de-DE" w:eastAsia="de-DE" w:bidi="de-DE"/>
        </w:rPr>
      </w:pPr>
      <w:r w:rsidRPr="009F4443">
        <w:rPr>
          <w:snapToGrid w:val="0"/>
          <w:sz w:val="18"/>
          <w:lang w:val="de-DE" w:eastAsia="de-DE" w:bidi="de-DE"/>
        </w:rPr>
        <w:t>die Beitrittsurkunde der Vereinigten Republik Tansania hinterlegt werden kann; und</w:t>
      </w:r>
    </w:p>
    <w:p w:rsidR="009F4443" w:rsidRPr="009F4443" w:rsidRDefault="009F4443" w:rsidP="009F4443">
      <w:pPr>
        <w:tabs>
          <w:tab w:val="left" w:pos="5387"/>
        </w:tabs>
        <w:ind w:left="567"/>
        <w:rPr>
          <w:rFonts w:eastAsia="MS Mincho"/>
          <w:snapToGrid w:val="0"/>
          <w:sz w:val="18"/>
          <w:szCs w:val="18"/>
          <w:lang w:val="de-DE" w:eastAsia="de-DE" w:bidi="de-DE"/>
        </w:rPr>
      </w:pPr>
    </w:p>
    <w:p w:rsidR="009F4443" w:rsidRPr="009F4443" w:rsidRDefault="009F4443" w:rsidP="009F4443">
      <w:pPr>
        <w:ind w:left="567"/>
        <w:rPr>
          <w:rFonts w:eastAsia="MS Mincho"/>
          <w:snapToGrid w:val="0"/>
          <w:spacing w:val="-2"/>
          <w:sz w:val="18"/>
          <w:szCs w:val="18"/>
          <w:lang w:val="de-DE" w:eastAsia="de-DE" w:bidi="de-DE"/>
        </w:rPr>
      </w:pPr>
      <w:r w:rsidRPr="009F4443">
        <w:rPr>
          <w:lang w:val="de-DE" w:eastAsia="de-DE" w:bidi="de-DE"/>
        </w:rPr>
        <w:tab/>
      </w:r>
      <w:r w:rsidRPr="009F4443">
        <w:rPr>
          <w:snapToGrid w:val="0"/>
          <w:spacing w:val="-2"/>
          <w:sz w:val="18"/>
          <w:lang w:val="de-DE" w:eastAsia="de-DE" w:bidi="de-DE"/>
        </w:rPr>
        <w:t>g)</w:t>
      </w:r>
      <w:r w:rsidRPr="009F4443">
        <w:rPr>
          <w:lang w:val="de-DE" w:eastAsia="de-DE" w:bidi="de-DE"/>
        </w:rPr>
        <w:tab/>
      </w:r>
      <w:r w:rsidRPr="009F4443">
        <w:rPr>
          <w:snapToGrid w:val="0"/>
          <w:spacing w:val="-2"/>
          <w:sz w:val="18"/>
          <w:lang w:val="de-DE" w:eastAsia="de-DE" w:bidi="de-DE"/>
        </w:rPr>
        <w:t>den Generalsekretär zu ermächtigen, die Regierung der Vereinigten Republik Tansania von dieser Entscheidung zu unterrichten.”</w:t>
      </w:r>
    </w:p>
    <w:p w:rsidR="009F4443" w:rsidRPr="009F4443" w:rsidRDefault="009F4443" w:rsidP="009F4443">
      <w:pPr>
        <w:ind w:left="567" w:right="708"/>
        <w:rPr>
          <w:snapToGrid w:val="0"/>
          <w:sz w:val="18"/>
          <w:szCs w:val="18"/>
          <w:lang w:val="de-DE" w:eastAsia="de-DE" w:bidi="de-DE"/>
        </w:rPr>
      </w:pPr>
    </w:p>
    <w:p w:rsidR="009F4443" w:rsidRPr="009F4443" w:rsidRDefault="009F4443" w:rsidP="00A02C74">
      <w:pPr>
        <w:spacing w:after="240"/>
        <w:rPr>
          <w:lang w:val="de-DE" w:eastAsia="de-DE" w:bidi="de-DE"/>
        </w:rPr>
      </w:pPr>
      <w:r w:rsidRPr="009F4443">
        <w:rPr>
          <w:lang w:val="de-DE" w:eastAsia="de-DE" w:bidi="de-DE"/>
        </w:rPr>
        <w:t>(vergleiche Dokument C(Extr.)/30/8 „Bericht”, Absatz 13).</w:t>
      </w:r>
    </w:p>
    <w:p w:rsidR="009F4443" w:rsidRPr="009F4443" w:rsidRDefault="009F4443" w:rsidP="009F4443">
      <w:pPr>
        <w:rPr>
          <w:szCs w:val="22"/>
          <w:lang w:val="de-DE" w:eastAsia="de-DE" w:bidi="de-DE"/>
        </w:rPr>
      </w:pPr>
      <w:r w:rsidRPr="009F4443">
        <w:rPr>
          <w:szCs w:val="22"/>
          <w:lang w:val="de-DE" w:eastAsia="de-DE" w:bidi="de-DE"/>
        </w:rPr>
        <w:lastRenderedPageBreak/>
        <w:fldChar w:fldCharType="begin"/>
      </w:r>
      <w:r w:rsidRPr="009F4443">
        <w:rPr>
          <w:szCs w:val="22"/>
          <w:lang w:val="de-DE" w:eastAsia="de-DE" w:bidi="de-DE"/>
        </w:rPr>
        <w:instrText xml:space="preserve"> AUTONUM  </w:instrText>
      </w:r>
      <w:r w:rsidRPr="009F4443">
        <w:rPr>
          <w:szCs w:val="22"/>
          <w:lang w:val="de-DE" w:eastAsia="de-DE" w:bidi="de-DE"/>
        </w:rPr>
        <w:fldChar w:fldCharType="end"/>
      </w:r>
      <w:r w:rsidRPr="009F4443">
        <w:rPr>
          <w:lang w:val="de-DE" w:eastAsia="de-DE" w:bidi="de-DE"/>
        </w:rPr>
        <w:tab/>
        <w:t xml:space="preserve">Am 18. August 2014 erhielt der Generalsekretär ein Schreiben von ihrer Exzellenz Frau Sophia E. Kaduma, Staatssekretärin, Ministerium für Landwirtschaft, Ernährungssicherheit und Kooperativen der Vereinigten Republik Tansania, in dem berichtet wurde, daß das Repräsentantenhaus Sansibars das Züchterrechtsgesetz verabschiedet habe und daß während des Verabschiedungsverfahrens zusätzliche Änderungen eingeführt worden seien, die nicht Teil der Entscheidung des UPOV-Rates vom 22. März 2013 seien. Der Brief ist in Anlage I dieses Dokuments wiedergegeben. </w:t>
      </w:r>
    </w:p>
    <w:p w:rsidR="009F4443" w:rsidRPr="009F4443" w:rsidRDefault="009F4443" w:rsidP="009F4443">
      <w:pPr>
        <w:rPr>
          <w:szCs w:val="24"/>
          <w:lang w:val="de-DE" w:eastAsia="de-DE" w:bidi="de-DE"/>
        </w:rPr>
      </w:pPr>
    </w:p>
    <w:p w:rsidR="009F4443" w:rsidRPr="009F4443" w:rsidRDefault="009F4443" w:rsidP="009F4443">
      <w:pPr>
        <w:rPr>
          <w:lang w:val="de-DE" w:eastAsia="de-DE" w:bidi="de-DE"/>
        </w:rPr>
      </w:pPr>
      <w:r w:rsidRPr="009F4443">
        <w:rPr>
          <w:lang w:val="de-DE" w:eastAsia="de-DE" w:bidi="de-DE"/>
        </w:rPr>
        <w:fldChar w:fldCharType="begin"/>
      </w:r>
      <w:r w:rsidRPr="009F4443">
        <w:rPr>
          <w:lang w:val="de-DE" w:eastAsia="de-DE" w:bidi="de-DE"/>
        </w:rPr>
        <w:instrText xml:space="preserve"> AUTONUM  </w:instrText>
      </w:r>
      <w:r w:rsidRPr="009F4443">
        <w:rPr>
          <w:lang w:val="de-DE" w:eastAsia="de-DE" w:bidi="de-DE"/>
        </w:rPr>
        <w:fldChar w:fldCharType="end"/>
      </w:r>
      <w:r w:rsidRPr="009F4443">
        <w:rPr>
          <w:lang w:val="de-DE" w:eastAsia="de-DE" w:bidi="de-DE"/>
        </w:rPr>
        <w:tab/>
        <w:t>Das Gesetz umfaßt die in der Entscheidung des Rates vom 22. März 2013 enthaltenen Änderungen (vergleiche Absatz 2 oben). Die zusätzlichen Änderunge</w:t>
      </w:r>
      <w:r w:rsidR="006E264A">
        <w:rPr>
          <w:lang w:val="de-DE" w:eastAsia="de-DE" w:bidi="de-DE"/>
        </w:rPr>
        <w:t>n, die während des Verfahrens zu</w:t>
      </w:r>
      <w:r w:rsidRPr="009F4443">
        <w:rPr>
          <w:lang w:val="de-DE" w:eastAsia="de-DE" w:bidi="de-DE"/>
        </w:rPr>
        <w:t xml:space="preserve">r Verabschiedung des Gesetzentwurfs eingeführt wurden und nicht Teil der Entscheidung des Rates vom 22. März 2013 waren, sind im Überarbeitungsmodus in der Anlage II dieses Dokuments (nur in Englisch) dargelegt. Der vollständige Gesetzestext ist verfügbar unter </w:t>
      </w:r>
      <w:hyperlink r:id="rId9">
        <w:r w:rsidRPr="009F4443">
          <w:rPr>
            <w:color w:val="0000FF"/>
            <w:u w:val="single"/>
            <w:lang w:val="de-DE" w:eastAsia="de-DE" w:bidi="de-DE"/>
          </w:rPr>
          <w:t>http://www.upov.int/meetings/en/details.jsp?meeting_id=33384</w:t>
        </w:r>
      </w:hyperlink>
      <w:r w:rsidR="000550CF">
        <w:rPr>
          <w:lang w:val="de-DE" w:eastAsia="de-DE" w:bidi="de-DE"/>
        </w:rPr>
        <w:t>.</w:t>
      </w:r>
    </w:p>
    <w:p w:rsidR="009F4443" w:rsidRPr="009F4443" w:rsidRDefault="009F4443" w:rsidP="009F4443">
      <w:pPr>
        <w:rPr>
          <w:lang w:val="de-DE" w:eastAsia="de-DE" w:bidi="de-DE"/>
        </w:rPr>
      </w:pPr>
      <w:bookmarkStart w:id="5" w:name="_GoBack"/>
      <w:bookmarkEnd w:id="5"/>
    </w:p>
    <w:p w:rsidR="009F4443" w:rsidRPr="009F4443" w:rsidRDefault="009F4443" w:rsidP="009F4443">
      <w:pPr>
        <w:rPr>
          <w:snapToGrid w:val="0"/>
          <w:lang w:val="de-DE" w:eastAsia="de-DE" w:bidi="de-DE"/>
        </w:rPr>
      </w:pPr>
      <w:r w:rsidRPr="009F4443">
        <w:rPr>
          <w:lang w:val="de-DE" w:eastAsia="de-DE" w:bidi="de-DE"/>
        </w:rPr>
        <w:fldChar w:fldCharType="begin"/>
      </w:r>
      <w:r w:rsidRPr="009F4443">
        <w:rPr>
          <w:lang w:val="de-DE" w:eastAsia="de-DE" w:bidi="de-DE"/>
        </w:rPr>
        <w:instrText xml:space="preserve"> AUTONUM  </w:instrText>
      </w:r>
      <w:r w:rsidRPr="009F4443">
        <w:rPr>
          <w:lang w:val="de-DE" w:eastAsia="de-DE" w:bidi="de-DE"/>
        </w:rPr>
        <w:fldChar w:fldCharType="end"/>
      </w:r>
      <w:r w:rsidRPr="009F4443">
        <w:rPr>
          <w:lang w:val="de-DE" w:eastAsia="de-DE" w:bidi="de-DE"/>
        </w:rPr>
        <w:tab/>
        <w:t xml:space="preserve"> Nach Ansicht des Verbandsbüros sind die materiellen Bestimmungen der Akte von 1991 des UPOV-Übereinkommens nicht von den zusätzlichen Änderungen, die nicht Teil der Entscheidung des Rates vom 22. März 2013 waren, betroffen.  </w:t>
      </w:r>
    </w:p>
    <w:p w:rsidR="009F4443" w:rsidRPr="009F4443" w:rsidRDefault="009F4443" w:rsidP="009F4443">
      <w:pPr>
        <w:rPr>
          <w:snapToGrid w:val="0"/>
          <w:lang w:val="de-DE" w:eastAsia="de-DE" w:bidi="de-DE"/>
        </w:rPr>
      </w:pPr>
    </w:p>
    <w:p w:rsidR="009F4443" w:rsidRPr="009F4443" w:rsidRDefault="009F4443" w:rsidP="009F4443">
      <w:pPr>
        <w:tabs>
          <w:tab w:val="left" w:pos="5387"/>
        </w:tabs>
        <w:ind w:left="4820"/>
        <w:rPr>
          <w:i/>
          <w:lang w:val="de-DE" w:eastAsia="de-DE" w:bidi="de-DE"/>
        </w:rPr>
      </w:pPr>
      <w:r w:rsidRPr="009F4443">
        <w:rPr>
          <w:i/>
          <w:lang w:val="de-DE" w:eastAsia="de-DE" w:bidi="de-DE"/>
        </w:rPr>
        <w:fldChar w:fldCharType="begin"/>
      </w:r>
      <w:r w:rsidRPr="009F4443">
        <w:rPr>
          <w:i/>
          <w:lang w:val="de-DE" w:eastAsia="de-DE" w:bidi="de-DE"/>
        </w:rPr>
        <w:instrText xml:space="preserve"> AUTONUM  </w:instrText>
      </w:r>
      <w:r w:rsidRPr="009F4443">
        <w:rPr>
          <w:i/>
          <w:lang w:val="de-DE" w:eastAsia="de-DE" w:bidi="de-DE"/>
        </w:rPr>
        <w:fldChar w:fldCharType="end"/>
      </w:r>
      <w:r w:rsidRPr="009F4443">
        <w:rPr>
          <w:lang w:val="de-DE" w:eastAsia="de-DE" w:bidi="de-DE"/>
        </w:rPr>
        <w:tab/>
      </w:r>
      <w:r w:rsidRPr="009F4443">
        <w:rPr>
          <w:i/>
          <w:lang w:val="de-DE" w:eastAsia="de-DE" w:bidi="de-DE"/>
        </w:rPr>
        <w:t>Der Rat wird ersucht,</w:t>
      </w:r>
    </w:p>
    <w:p w:rsidR="009F4443" w:rsidRPr="009F4443" w:rsidRDefault="009F4443" w:rsidP="009F4443">
      <w:pPr>
        <w:ind w:left="4820"/>
        <w:rPr>
          <w:i/>
          <w:lang w:val="de-DE" w:eastAsia="de-DE" w:bidi="de-DE"/>
        </w:rPr>
      </w:pPr>
    </w:p>
    <w:p w:rsidR="009F4443" w:rsidRPr="009F4443" w:rsidRDefault="009F4443" w:rsidP="009F4443">
      <w:pPr>
        <w:tabs>
          <w:tab w:val="left" w:pos="5387"/>
          <w:tab w:val="left" w:pos="5954"/>
        </w:tabs>
        <w:ind w:left="4820"/>
        <w:rPr>
          <w:rFonts w:cs="Arial"/>
          <w:i/>
          <w:lang w:val="de-DE" w:eastAsia="de-DE" w:bidi="de-DE"/>
        </w:rPr>
      </w:pPr>
      <w:r w:rsidRPr="009F4443">
        <w:rPr>
          <w:lang w:val="de-DE" w:eastAsia="de-DE" w:bidi="de-DE"/>
        </w:rPr>
        <w:tab/>
      </w:r>
      <w:r w:rsidRPr="009F4443">
        <w:rPr>
          <w:i/>
          <w:lang w:val="de-DE" w:eastAsia="de-DE" w:bidi="de-DE"/>
        </w:rPr>
        <w:t>a)</w:t>
      </w:r>
      <w:r w:rsidRPr="009F4443">
        <w:rPr>
          <w:lang w:val="de-DE" w:eastAsia="de-DE" w:bidi="de-DE"/>
        </w:rPr>
        <w:tab/>
      </w:r>
      <w:r w:rsidRPr="009F4443">
        <w:rPr>
          <w:i/>
          <w:lang w:val="de-DE" w:eastAsia="de-DE" w:bidi="de-DE"/>
        </w:rPr>
        <w:t>zur Kenntnis zu nehmen, daß das Gesetz für Pflanzenzüchter von Sansibar, das vom Repräsentantenhaus von Sansibar verabschiedet wurde, die Änderungen der Empfehlung des Rates vom</w:t>
      </w:r>
      <w:r w:rsidR="006E264A">
        <w:rPr>
          <w:i/>
          <w:lang w:val="de-DE" w:eastAsia="de-DE" w:bidi="de-DE"/>
        </w:rPr>
        <w:t xml:space="preserve"> </w:t>
      </w:r>
      <w:r w:rsidRPr="009F4443">
        <w:rPr>
          <w:i/>
          <w:lang w:val="de-DE" w:eastAsia="de-DE" w:bidi="de-DE"/>
        </w:rPr>
        <w:t>1. November 2012 enthält</w:t>
      </w:r>
      <w:r w:rsidRPr="009F4443">
        <w:rPr>
          <w:lang w:val="de-DE" w:eastAsia="de-DE" w:bidi="de-DE"/>
        </w:rPr>
        <w:t xml:space="preserve"> (</w:t>
      </w:r>
      <w:r w:rsidRPr="009F4443">
        <w:rPr>
          <w:i/>
          <w:lang w:val="de-DE" w:eastAsia="de-DE" w:bidi="de-DE"/>
        </w:rPr>
        <w:t xml:space="preserve">vergleiche Dokument C/30/8 „Bericht“, Absatz 13 und Absatz 2 oben);  </w:t>
      </w:r>
    </w:p>
    <w:p w:rsidR="009F4443" w:rsidRPr="009F4443" w:rsidRDefault="009F4443" w:rsidP="009F4443">
      <w:pPr>
        <w:tabs>
          <w:tab w:val="num" w:pos="5103"/>
          <w:tab w:val="left" w:pos="5387"/>
          <w:tab w:val="left" w:pos="5954"/>
        </w:tabs>
        <w:ind w:left="4820"/>
        <w:rPr>
          <w:i/>
          <w:lang w:val="de-DE" w:eastAsia="de-DE" w:bidi="de-DE"/>
        </w:rPr>
      </w:pPr>
    </w:p>
    <w:p w:rsidR="009F4443" w:rsidRPr="009F4443" w:rsidRDefault="009F4443" w:rsidP="009F4443">
      <w:pPr>
        <w:tabs>
          <w:tab w:val="left" w:pos="5387"/>
          <w:tab w:val="left" w:pos="5954"/>
        </w:tabs>
        <w:ind w:left="4820"/>
        <w:rPr>
          <w:i/>
          <w:spacing w:val="-2"/>
          <w:lang w:val="de-DE" w:eastAsia="de-DE" w:bidi="de-DE"/>
        </w:rPr>
      </w:pPr>
      <w:r w:rsidRPr="009F4443">
        <w:rPr>
          <w:lang w:val="de-DE" w:eastAsia="de-DE" w:bidi="de-DE"/>
        </w:rPr>
        <w:tab/>
      </w:r>
      <w:r w:rsidRPr="009F4443">
        <w:rPr>
          <w:i/>
          <w:lang w:val="de-DE" w:eastAsia="de-DE" w:bidi="de-DE"/>
        </w:rPr>
        <w:t>b)</w:t>
      </w:r>
      <w:r w:rsidRPr="009F4443">
        <w:rPr>
          <w:lang w:val="de-DE" w:eastAsia="de-DE" w:bidi="de-DE"/>
        </w:rPr>
        <w:tab/>
      </w:r>
      <w:r w:rsidRPr="009F4443">
        <w:rPr>
          <w:i/>
          <w:lang w:val="de-DE" w:eastAsia="de-DE" w:bidi="de-DE"/>
        </w:rPr>
        <w:t>zu vereinbaren, daß die zusätzlichen Änderungen, wie in der Anlage II dieses Dokuments dargelegt, die materiellen Bestimmungen der Akte von 1991 des UPOV-Übereinkommens</w:t>
      </w:r>
      <w:r w:rsidRPr="009F4443">
        <w:rPr>
          <w:lang w:val="de-DE" w:eastAsia="de-DE" w:bidi="de-DE"/>
        </w:rPr>
        <w:t xml:space="preserve"> </w:t>
      </w:r>
      <w:r w:rsidRPr="009F4443">
        <w:rPr>
          <w:i/>
          <w:lang w:val="de-DE" w:eastAsia="de-DE" w:bidi="de-DE"/>
        </w:rPr>
        <w:t>nicht betreffen und vorbehaltlich dieser Vereinbarung</w:t>
      </w:r>
      <w:r w:rsidRPr="009F4443">
        <w:rPr>
          <w:i/>
          <w:spacing w:val="-2"/>
          <w:lang w:val="de-DE" w:eastAsia="de-DE" w:bidi="de-DE"/>
        </w:rPr>
        <w:t xml:space="preserve"> </w:t>
      </w:r>
    </w:p>
    <w:p w:rsidR="009F4443" w:rsidRPr="009F4443" w:rsidRDefault="009F4443" w:rsidP="009F4443">
      <w:pPr>
        <w:tabs>
          <w:tab w:val="left" w:pos="5387"/>
          <w:tab w:val="left" w:pos="5954"/>
        </w:tabs>
        <w:ind w:left="4820"/>
        <w:rPr>
          <w:i/>
          <w:spacing w:val="-2"/>
          <w:lang w:val="de-DE" w:eastAsia="de-DE" w:bidi="de-DE"/>
        </w:rPr>
      </w:pPr>
    </w:p>
    <w:p w:rsidR="009F4443" w:rsidRPr="009F4443" w:rsidRDefault="009F4443" w:rsidP="009F4443">
      <w:pPr>
        <w:tabs>
          <w:tab w:val="left" w:pos="5387"/>
          <w:tab w:val="left" w:pos="5954"/>
        </w:tabs>
        <w:ind w:left="4820"/>
        <w:rPr>
          <w:i/>
          <w:spacing w:val="-2"/>
          <w:lang w:val="de-DE" w:eastAsia="de-DE" w:bidi="de-DE"/>
        </w:rPr>
      </w:pPr>
      <w:r w:rsidRPr="009F4443">
        <w:rPr>
          <w:lang w:val="de-DE" w:eastAsia="de-DE" w:bidi="de-DE"/>
        </w:rPr>
        <w:tab/>
      </w:r>
      <w:r w:rsidRPr="009F4443">
        <w:rPr>
          <w:i/>
          <w:lang w:val="de-DE" w:eastAsia="de-DE" w:bidi="de-DE"/>
        </w:rPr>
        <w:t>c) die Entscheidung über die Vereinbarkeit vom 22. März 2013 zu bestätigen und die Regierung der Vereinigten Republik Tansania darüber zu informieren, daß die Beitrittsurkunde hinterlegt werden kann.</w:t>
      </w:r>
    </w:p>
    <w:p w:rsidR="009F4443" w:rsidRPr="009F4443" w:rsidRDefault="009F4443" w:rsidP="009F4443">
      <w:pPr>
        <w:jc w:val="right"/>
        <w:rPr>
          <w:highlight w:val="cyan"/>
          <w:lang w:val="de-DE" w:eastAsia="de-DE" w:bidi="de-DE"/>
        </w:rPr>
      </w:pPr>
    </w:p>
    <w:p w:rsidR="009F4443" w:rsidRPr="009F4443" w:rsidRDefault="009F4443" w:rsidP="009F4443">
      <w:pPr>
        <w:jc w:val="right"/>
        <w:rPr>
          <w:highlight w:val="cyan"/>
          <w:lang w:val="de-DE" w:eastAsia="de-DE" w:bidi="de-DE"/>
        </w:rPr>
      </w:pPr>
    </w:p>
    <w:p w:rsidR="009F4443" w:rsidRPr="009F4443" w:rsidRDefault="009F4443" w:rsidP="009F4443">
      <w:pPr>
        <w:jc w:val="right"/>
        <w:rPr>
          <w:lang w:val="de-DE" w:eastAsia="de-DE" w:bidi="de-DE"/>
        </w:rPr>
      </w:pPr>
      <w:r w:rsidRPr="009F4443">
        <w:rPr>
          <w:lang w:val="de-DE" w:eastAsia="de-DE" w:bidi="de-DE"/>
        </w:rPr>
        <w:t>[Anlagen folgen]</w:t>
      </w:r>
    </w:p>
    <w:p w:rsidR="00123B23" w:rsidRPr="00123B23" w:rsidRDefault="00123B23" w:rsidP="00123B23"/>
    <w:p w:rsidR="00EF782B" w:rsidRDefault="00EF782B" w:rsidP="0067078A">
      <w:pPr>
        <w:jc w:val="left"/>
        <w:sectPr w:rsidR="00EF782B" w:rsidSect="00906DDC">
          <w:headerReference w:type="default" r:id="rId10"/>
          <w:pgSz w:w="11907" w:h="16840" w:code="9"/>
          <w:pgMar w:top="510" w:right="1134" w:bottom="1134" w:left="1134" w:header="510" w:footer="680" w:gutter="0"/>
          <w:cols w:space="720"/>
          <w:titlePg/>
        </w:sectPr>
      </w:pPr>
    </w:p>
    <w:p w:rsidR="00EF782B" w:rsidRDefault="00EF782B" w:rsidP="00EF782B">
      <w:pPr>
        <w:jc w:val="center"/>
      </w:pPr>
      <w:r>
        <w:lastRenderedPageBreak/>
        <w:t>C/48/18</w:t>
      </w:r>
    </w:p>
    <w:p w:rsidR="00EF782B" w:rsidRDefault="00EF782B" w:rsidP="00EF782B">
      <w:pPr>
        <w:jc w:val="center"/>
      </w:pPr>
    </w:p>
    <w:p w:rsidR="006B17D2" w:rsidRDefault="00232EC8" w:rsidP="00EF782B">
      <w:pPr>
        <w:jc w:val="center"/>
      </w:pPr>
      <w:r>
        <w:t>ANLAGE</w:t>
      </w:r>
      <w:r w:rsidR="00EF782B">
        <w:t xml:space="preserve"> I</w:t>
      </w:r>
    </w:p>
    <w:p w:rsidR="00535E19" w:rsidRDefault="00535E19">
      <w:pPr>
        <w:jc w:val="left"/>
      </w:pPr>
    </w:p>
    <w:p w:rsidR="006108F5" w:rsidRDefault="006108F5" w:rsidP="006108F5">
      <w:pPr>
        <w:jc w:val="center"/>
        <w:rPr>
          <w:rFonts w:cs="Arial"/>
          <w:lang w:val="de-CH"/>
        </w:rPr>
      </w:pPr>
      <w:r>
        <w:rPr>
          <w:rFonts w:cs="Arial"/>
          <w:lang w:val="de-CH"/>
        </w:rPr>
        <w:t>VEREINIGTE REPUBLIK TANSANIA</w:t>
      </w:r>
    </w:p>
    <w:p w:rsidR="006108F5" w:rsidRDefault="006108F5" w:rsidP="006108F5">
      <w:pPr>
        <w:jc w:val="center"/>
        <w:rPr>
          <w:rFonts w:cs="Arial"/>
          <w:lang w:val="de-CH"/>
        </w:rPr>
      </w:pPr>
      <w:r>
        <w:rPr>
          <w:rFonts w:cs="Arial"/>
          <w:lang w:val="de-CH"/>
        </w:rPr>
        <w:t>MINISTERIUM FÜR LANDWIRTSCHAFT, LEBENSMITTELSICHERHEIT UND KOOPERATIVEN</w:t>
      </w:r>
    </w:p>
    <w:p w:rsidR="006108F5" w:rsidRDefault="006108F5" w:rsidP="006108F5">
      <w:pPr>
        <w:rPr>
          <w:rFonts w:cs="Arial"/>
          <w:lang w:val="de-CH"/>
        </w:rPr>
      </w:pPr>
    </w:p>
    <w:p w:rsidR="006108F5" w:rsidRDefault="006108F5" w:rsidP="006108F5">
      <w:pPr>
        <w:rPr>
          <w:rFonts w:cs="Arial"/>
          <w:lang w:val="de-CH"/>
        </w:rPr>
      </w:pPr>
    </w:p>
    <w:p w:rsidR="006108F5" w:rsidRDefault="006108F5" w:rsidP="006108F5">
      <w:pPr>
        <w:rPr>
          <w:rFonts w:cs="Arial"/>
          <w:lang w:val="de-CH"/>
        </w:rPr>
      </w:pPr>
      <w:r>
        <w:rPr>
          <w:rFonts w:cs="Arial"/>
          <w:lang w:val="de-CH"/>
        </w:rPr>
        <w:t>Telegramm: „Kilimo Dar es Salaam</w:t>
      </w:r>
      <w:r w:rsidR="006E264A">
        <w:rPr>
          <w:rFonts w:cs="Arial"/>
          <w:lang w:val="de-CH"/>
        </w:rPr>
        <w:t>“</w:t>
      </w:r>
    </w:p>
    <w:p w:rsidR="006108F5" w:rsidRDefault="006108F5" w:rsidP="006108F5">
      <w:pPr>
        <w:rPr>
          <w:rFonts w:cs="Arial"/>
          <w:lang w:val="de-CH"/>
        </w:rPr>
      </w:pPr>
      <w:r>
        <w:rPr>
          <w:rFonts w:cs="Arial"/>
          <w:lang w:val="de-CH"/>
        </w:rPr>
        <w:t>Kilimo Complex</w:t>
      </w:r>
    </w:p>
    <w:p w:rsidR="006108F5" w:rsidRDefault="006108F5" w:rsidP="006108F5">
      <w:pPr>
        <w:rPr>
          <w:rFonts w:cs="Arial"/>
          <w:lang w:val="de-CH"/>
        </w:rPr>
      </w:pPr>
      <w:r>
        <w:rPr>
          <w:rFonts w:cs="Arial"/>
          <w:lang w:val="de-CH"/>
        </w:rPr>
        <w:t>1 Kilimo Street</w:t>
      </w:r>
    </w:p>
    <w:p w:rsidR="006108F5" w:rsidRDefault="006108F5" w:rsidP="006108F5">
      <w:pPr>
        <w:rPr>
          <w:rFonts w:cs="Arial"/>
          <w:lang w:val="de-CH"/>
        </w:rPr>
      </w:pPr>
      <w:r>
        <w:rPr>
          <w:rFonts w:cs="Arial"/>
          <w:lang w:val="de-CH"/>
        </w:rPr>
        <w:t>15471 Dar Es Salaam</w:t>
      </w:r>
    </w:p>
    <w:p w:rsidR="006108F5" w:rsidRDefault="006108F5" w:rsidP="006108F5">
      <w:pPr>
        <w:rPr>
          <w:rFonts w:cs="Arial"/>
          <w:lang w:val="de-CH"/>
        </w:rPr>
      </w:pPr>
      <w:r>
        <w:rPr>
          <w:rFonts w:cs="Arial"/>
          <w:lang w:val="de-CH"/>
        </w:rPr>
        <w:t>Tel. 2862064</w:t>
      </w:r>
    </w:p>
    <w:p w:rsidR="00B17694" w:rsidRDefault="00B17694" w:rsidP="006108F5">
      <w:pPr>
        <w:rPr>
          <w:rFonts w:cs="Arial"/>
          <w:lang w:val="de-CH"/>
        </w:rPr>
      </w:pPr>
      <w:r>
        <w:rPr>
          <w:rFonts w:cs="Arial"/>
          <w:lang w:val="de-CH"/>
        </w:rPr>
        <w:t>Fax: (255) 22-2862077</w:t>
      </w:r>
    </w:p>
    <w:p w:rsidR="006108F5" w:rsidRDefault="006108F5" w:rsidP="006108F5">
      <w:pPr>
        <w:rPr>
          <w:rFonts w:cs="Arial"/>
          <w:lang w:val="de-CH"/>
        </w:rPr>
      </w:pPr>
      <w:r>
        <w:rPr>
          <w:rFonts w:cs="Arial"/>
          <w:lang w:val="de-CH"/>
        </w:rPr>
        <w:t xml:space="preserve">E-Mail: </w:t>
      </w:r>
      <w:hyperlink r:id="rId11" w:history="1">
        <w:r w:rsidRPr="005535D7">
          <w:rPr>
            <w:rStyle w:val="Hyperlink"/>
            <w:rFonts w:cs="Arial"/>
            <w:lang w:val="de-CH"/>
          </w:rPr>
          <w:t>psk@kilimo.go.tz</w:t>
        </w:r>
      </w:hyperlink>
    </w:p>
    <w:p w:rsidR="006108F5" w:rsidRDefault="006108F5" w:rsidP="006108F5">
      <w:pPr>
        <w:rPr>
          <w:rFonts w:cs="Arial"/>
          <w:lang w:val="de-CH"/>
        </w:rPr>
      </w:pPr>
    </w:p>
    <w:p w:rsidR="006108F5" w:rsidRDefault="009A20DC" w:rsidP="006108F5">
      <w:pPr>
        <w:rPr>
          <w:rFonts w:cs="Arial"/>
          <w:lang w:val="de-CH"/>
        </w:rPr>
      </w:pPr>
      <w:r>
        <w:rPr>
          <w:rFonts w:cs="Arial"/>
          <w:lang w:val="de-CH"/>
        </w:rPr>
        <w:t xml:space="preserve">Bei </w:t>
      </w:r>
      <w:r w:rsidR="006108F5">
        <w:rPr>
          <w:rFonts w:cs="Arial"/>
          <w:lang w:val="de-CH"/>
        </w:rPr>
        <w:t>Antwort bitte angeben:</w:t>
      </w:r>
    </w:p>
    <w:p w:rsidR="006108F5" w:rsidRDefault="00B17694" w:rsidP="006108F5">
      <w:pPr>
        <w:rPr>
          <w:rFonts w:cs="Arial"/>
          <w:lang w:val="de-CH"/>
        </w:rPr>
      </w:pPr>
      <w:r>
        <w:rPr>
          <w:rFonts w:cs="Arial"/>
          <w:lang w:val="de-CH"/>
        </w:rPr>
        <w:tab/>
      </w:r>
    </w:p>
    <w:p w:rsidR="006108F5" w:rsidRDefault="006108F5" w:rsidP="006108F5">
      <w:pPr>
        <w:rPr>
          <w:rFonts w:cs="Arial"/>
          <w:lang w:val="de-CH"/>
        </w:rPr>
      </w:pPr>
      <w:r>
        <w:rPr>
          <w:rFonts w:cs="Arial"/>
          <w:lang w:val="de-CH"/>
        </w:rPr>
        <w:t>Ref. Nr. CAF 287/698/01//9</w:t>
      </w:r>
      <w:r>
        <w:rPr>
          <w:rFonts w:cs="Arial"/>
          <w:lang w:val="de-CH"/>
        </w:rPr>
        <w:tab/>
      </w:r>
      <w:r>
        <w:rPr>
          <w:rFonts w:cs="Arial"/>
          <w:lang w:val="de-CH"/>
        </w:rPr>
        <w:tab/>
      </w:r>
      <w:r>
        <w:rPr>
          <w:rFonts w:cs="Arial"/>
          <w:lang w:val="de-CH"/>
        </w:rPr>
        <w:tab/>
      </w:r>
      <w:r>
        <w:rPr>
          <w:rFonts w:cs="Arial"/>
          <w:lang w:val="de-CH"/>
        </w:rPr>
        <w:tab/>
      </w:r>
      <w:r>
        <w:rPr>
          <w:rFonts w:cs="Arial"/>
          <w:lang w:val="de-CH"/>
        </w:rPr>
        <w:tab/>
      </w:r>
      <w:r w:rsidR="00B17694">
        <w:rPr>
          <w:rFonts w:cs="Arial"/>
          <w:lang w:val="de-CH"/>
        </w:rPr>
        <w:tab/>
      </w:r>
      <w:r w:rsidR="00B17694">
        <w:rPr>
          <w:rFonts w:cs="Arial"/>
          <w:lang w:val="de-CH"/>
        </w:rPr>
        <w:tab/>
      </w:r>
      <w:r w:rsidR="00B17694">
        <w:rPr>
          <w:rFonts w:cs="Arial"/>
          <w:lang w:val="de-CH"/>
        </w:rPr>
        <w:tab/>
      </w:r>
      <w:r>
        <w:rPr>
          <w:rFonts w:cs="Arial"/>
          <w:lang w:val="de-CH"/>
        </w:rPr>
        <w:t>11. August 2014</w:t>
      </w:r>
    </w:p>
    <w:p w:rsidR="006108F5" w:rsidRDefault="006108F5" w:rsidP="006108F5">
      <w:pPr>
        <w:rPr>
          <w:rFonts w:cs="Arial"/>
          <w:lang w:val="de-CH"/>
        </w:rPr>
      </w:pPr>
    </w:p>
    <w:p w:rsidR="006108F5" w:rsidRDefault="006108F5" w:rsidP="006108F5">
      <w:pPr>
        <w:rPr>
          <w:rFonts w:cs="Arial"/>
          <w:lang w:val="de-CH"/>
        </w:rPr>
      </w:pPr>
      <w:r>
        <w:rPr>
          <w:rFonts w:cs="Arial"/>
          <w:lang w:val="de-CH"/>
        </w:rPr>
        <w:t>Herrn Francis Gurry</w:t>
      </w:r>
    </w:p>
    <w:p w:rsidR="006108F5" w:rsidRDefault="006108F5" w:rsidP="006108F5">
      <w:pPr>
        <w:rPr>
          <w:rFonts w:cs="Arial"/>
          <w:lang w:val="de-CH"/>
        </w:rPr>
      </w:pPr>
      <w:r>
        <w:rPr>
          <w:rFonts w:cs="Arial"/>
          <w:lang w:val="de-CH"/>
        </w:rPr>
        <w:t xml:space="preserve">Generalsekretär </w:t>
      </w:r>
    </w:p>
    <w:p w:rsidR="006108F5" w:rsidRDefault="006108F5" w:rsidP="006108F5">
      <w:pPr>
        <w:rPr>
          <w:rFonts w:cs="Arial"/>
          <w:lang w:val="de-CH"/>
        </w:rPr>
      </w:pPr>
      <w:r>
        <w:rPr>
          <w:rFonts w:cs="Arial"/>
          <w:lang w:val="de-CH"/>
        </w:rPr>
        <w:t xml:space="preserve">Internationaler Verband zum Schutz von Pflanzenzüchtungen (UPOV) </w:t>
      </w:r>
    </w:p>
    <w:p w:rsidR="006108F5" w:rsidRDefault="006108F5" w:rsidP="006108F5">
      <w:pPr>
        <w:rPr>
          <w:rFonts w:cs="Arial"/>
          <w:lang w:val="de-CH"/>
        </w:rPr>
      </w:pPr>
      <w:r>
        <w:rPr>
          <w:rFonts w:cs="Arial"/>
          <w:lang w:val="de-CH"/>
        </w:rPr>
        <w:t>34, chemin des Colombettes</w:t>
      </w:r>
    </w:p>
    <w:p w:rsidR="006108F5" w:rsidRDefault="006108F5" w:rsidP="006108F5">
      <w:pPr>
        <w:rPr>
          <w:rFonts w:cs="Arial"/>
          <w:lang w:val="de-CH"/>
        </w:rPr>
      </w:pPr>
      <w:r>
        <w:rPr>
          <w:rFonts w:cs="Arial"/>
          <w:lang w:val="de-CH"/>
        </w:rPr>
        <w:t xml:space="preserve">1211 Genf 20 </w:t>
      </w:r>
    </w:p>
    <w:p w:rsidR="006108F5" w:rsidRDefault="006108F5" w:rsidP="006108F5">
      <w:pPr>
        <w:rPr>
          <w:rFonts w:cs="Arial"/>
          <w:lang w:val="de-CH"/>
        </w:rPr>
      </w:pPr>
      <w:r w:rsidRPr="007A2D9F">
        <w:rPr>
          <w:rFonts w:cs="Arial"/>
          <w:lang w:val="de-CH"/>
        </w:rPr>
        <w:t>Schweiz</w:t>
      </w:r>
    </w:p>
    <w:p w:rsidR="006108F5" w:rsidRPr="007A2D9F" w:rsidRDefault="006108F5" w:rsidP="006108F5">
      <w:pPr>
        <w:rPr>
          <w:rFonts w:cs="Arial"/>
          <w:lang w:val="de-CH"/>
        </w:rPr>
      </w:pPr>
    </w:p>
    <w:p w:rsidR="006108F5" w:rsidRDefault="006108F5" w:rsidP="006108F5">
      <w:pPr>
        <w:rPr>
          <w:rFonts w:cs="Arial"/>
          <w:lang w:val="de-CH"/>
        </w:rPr>
      </w:pPr>
    </w:p>
    <w:p w:rsidR="006108F5" w:rsidRPr="00BB133E" w:rsidRDefault="006108F5" w:rsidP="006108F5">
      <w:pPr>
        <w:ind w:left="851" w:hanging="851"/>
        <w:rPr>
          <w:rFonts w:cs="Arial"/>
          <w:b/>
          <w:lang w:val="de-DE"/>
        </w:rPr>
      </w:pPr>
      <w:r w:rsidRPr="004E52A7">
        <w:rPr>
          <w:rFonts w:cs="Arial"/>
          <w:b/>
          <w:lang w:val="de-CH"/>
        </w:rPr>
        <w:t>Betreff:</w:t>
      </w:r>
      <w:r w:rsidRPr="004E52A7">
        <w:rPr>
          <w:rFonts w:cs="Arial"/>
          <w:b/>
          <w:lang w:val="de-CH"/>
        </w:rPr>
        <w:tab/>
      </w:r>
      <w:r w:rsidR="009E26E5">
        <w:rPr>
          <w:rFonts w:cs="Arial"/>
          <w:b/>
          <w:lang w:val="de-CH"/>
        </w:rPr>
        <w:t>Ersuchen um Bestätigung der Entscheidung des Rates der UPOV über die Vereinbarkeit des Gesetzes über Pflanzenzüchterrechte von Sansibar von 2014</w:t>
      </w:r>
    </w:p>
    <w:p w:rsidR="006108F5" w:rsidRPr="007A2D9F" w:rsidRDefault="006108F5" w:rsidP="006108F5">
      <w:pPr>
        <w:rPr>
          <w:rFonts w:cs="Arial"/>
          <w:lang w:val="de-CH"/>
        </w:rPr>
      </w:pPr>
    </w:p>
    <w:p w:rsidR="006108F5" w:rsidRDefault="009E26E5" w:rsidP="006108F5">
      <w:pPr>
        <w:rPr>
          <w:rFonts w:cs="Arial"/>
          <w:lang w:val="de-CH"/>
        </w:rPr>
      </w:pPr>
      <w:r>
        <w:rPr>
          <w:rFonts w:cs="Arial"/>
          <w:lang w:val="de-CH"/>
        </w:rPr>
        <w:tab/>
        <w:t>B</w:t>
      </w:r>
      <w:r w:rsidR="00ED2A66">
        <w:rPr>
          <w:rFonts w:cs="Arial"/>
          <w:lang w:val="de-CH"/>
        </w:rPr>
        <w:t>ezugnehmend auf oben stehenden</w:t>
      </w:r>
      <w:r>
        <w:rPr>
          <w:rFonts w:cs="Arial"/>
          <w:lang w:val="de-CH"/>
        </w:rPr>
        <w:t xml:space="preserve"> Betreff.</w:t>
      </w:r>
    </w:p>
    <w:p w:rsidR="006108F5" w:rsidRDefault="006108F5" w:rsidP="006108F5">
      <w:pPr>
        <w:rPr>
          <w:rFonts w:cs="Arial"/>
          <w:lang w:val="de-CH"/>
        </w:rPr>
      </w:pPr>
    </w:p>
    <w:p w:rsidR="006108F5" w:rsidRDefault="00AF3A6C" w:rsidP="006108F5">
      <w:pPr>
        <w:ind w:firstLine="708"/>
        <w:rPr>
          <w:rFonts w:cs="Arial"/>
          <w:lang w:val="de-CH"/>
        </w:rPr>
      </w:pPr>
      <w:r>
        <w:rPr>
          <w:rFonts w:cs="Arial"/>
          <w:lang w:val="de-CH"/>
        </w:rPr>
        <w:t>Zweck dieses Schreibens ist es, über die Entwicklungen betreffend das Gesetz über Pflanzenzüchterrechte von Sansibar zu berichten und den Rat der UPOV zu ersuchen, diese Entwicklungen in Bezug auf seine Entscheidung vom 22. März 2013 zu prüfen</w:t>
      </w:r>
      <w:r w:rsidR="006108F5">
        <w:rPr>
          <w:rFonts w:cs="Arial"/>
          <w:lang w:val="de-CH"/>
        </w:rPr>
        <w:t>.</w:t>
      </w:r>
    </w:p>
    <w:p w:rsidR="00C051EF" w:rsidRDefault="00C051EF" w:rsidP="006108F5">
      <w:pPr>
        <w:ind w:firstLine="708"/>
        <w:rPr>
          <w:rFonts w:cs="Arial"/>
          <w:lang w:val="de-CH"/>
        </w:rPr>
      </w:pPr>
    </w:p>
    <w:p w:rsidR="006108F5" w:rsidRDefault="00C051EF" w:rsidP="00C051EF">
      <w:pPr>
        <w:ind w:firstLine="708"/>
        <w:rPr>
          <w:rFonts w:cs="Arial"/>
          <w:lang w:val="de-CH"/>
        </w:rPr>
      </w:pPr>
      <w:r>
        <w:rPr>
          <w:rFonts w:cs="Arial"/>
          <w:lang w:val="de-CH"/>
        </w:rPr>
        <w:t xml:space="preserve">Ich möchte Sie darüber informieren, daß das Repräsentantenhaus von Sansibar das Gesetz über Pflanzenzüchterrechte von 2014 </w:t>
      </w:r>
      <w:r w:rsidR="00B17694">
        <w:rPr>
          <w:rFonts w:cs="Arial"/>
          <w:lang w:val="de-CH"/>
        </w:rPr>
        <w:t xml:space="preserve">am 22. Januar 2014 </w:t>
      </w:r>
      <w:r>
        <w:rPr>
          <w:rFonts w:cs="Arial"/>
          <w:lang w:val="de-CH"/>
        </w:rPr>
        <w:t>verabschiedet hat. Während des V</w:t>
      </w:r>
      <w:r w:rsidR="00B17694">
        <w:rPr>
          <w:rFonts w:cs="Arial"/>
          <w:lang w:val="de-CH"/>
        </w:rPr>
        <w:t>erabschiedungsverfahrens</w:t>
      </w:r>
      <w:r>
        <w:rPr>
          <w:rFonts w:cs="Arial"/>
          <w:lang w:val="de-CH"/>
        </w:rPr>
        <w:t xml:space="preserve"> wurden zusätzliche Änderungen eingeführt (vergleiche beiliegende englische Fassung des Gesetzes), die nicht Teil der Entscheidung des Rates der UPOV vom 22. März 2013 waren. Unserer Ansicht nach sind die materiellen Bestimmungen der Akte von 1991 des UPOV-Übereinkommens nicht von diesen Änderungen betroffen.</w:t>
      </w:r>
    </w:p>
    <w:p w:rsidR="006108F5" w:rsidRDefault="006108F5" w:rsidP="006108F5">
      <w:pPr>
        <w:ind w:firstLine="708"/>
        <w:rPr>
          <w:rFonts w:cs="Arial"/>
          <w:lang w:val="de-CH"/>
        </w:rPr>
      </w:pPr>
    </w:p>
    <w:p w:rsidR="006108F5" w:rsidRDefault="006108F5" w:rsidP="006108F5">
      <w:pPr>
        <w:ind w:firstLine="708"/>
        <w:rPr>
          <w:rFonts w:cs="Arial"/>
          <w:lang w:val="de-CH"/>
        </w:rPr>
      </w:pPr>
      <w:r>
        <w:rPr>
          <w:rFonts w:cs="Arial"/>
          <w:lang w:val="de-CH"/>
        </w:rPr>
        <w:t>Ich</w:t>
      </w:r>
      <w:r w:rsidR="00C051EF">
        <w:rPr>
          <w:rFonts w:cs="Arial"/>
          <w:lang w:val="de-CH"/>
        </w:rPr>
        <w:t xml:space="preserve"> wäre sehr dankbar</w:t>
      </w:r>
      <w:r>
        <w:rPr>
          <w:rFonts w:cs="Arial"/>
          <w:lang w:val="de-CH"/>
        </w:rPr>
        <w:t>, wenn</w:t>
      </w:r>
      <w:r w:rsidR="00C051EF">
        <w:rPr>
          <w:rFonts w:cs="Arial"/>
          <w:lang w:val="de-CH"/>
        </w:rPr>
        <w:t xml:space="preserve"> dem Rat der UPOV die zusätzlichen Änderungen, die während des Verabschiedungsverfahrens eingeführt wurden,</w:t>
      </w:r>
      <w:r>
        <w:rPr>
          <w:rFonts w:cs="Arial"/>
          <w:lang w:val="de-CH"/>
        </w:rPr>
        <w:t xml:space="preserve"> </w:t>
      </w:r>
      <w:r w:rsidR="00C051EF">
        <w:rPr>
          <w:rFonts w:cs="Arial"/>
          <w:color w:val="000000" w:themeColor="text1"/>
          <w:lang w:val="de-CH"/>
        </w:rPr>
        <w:t>vor</w:t>
      </w:r>
      <w:r w:rsidR="006D4583">
        <w:rPr>
          <w:rFonts w:cs="Arial"/>
          <w:color w:val="000000" w:themeColor="text1"/>
          <w:lang w:val="de-CH"/>
        </w:rPr>
        <w:t xml:space="preserve">gelegt werden könnten, um </w:t>
      </w:r>
      <w:r w:rsidR="009A20DC">
        <w:rPr>
          <w:rFonts w:cs="Arial"/>
          <w:color w:val="000000" w:themeColor="text1"/>
          <w:lang w:val="de-CH"/>
        </w:rPr>
        <w:t xml:space="preserve">vom Rat der UPOV </w:t>
      </w:r>
      <w:r w:rsidR="006D4583">
        <w:rPr>
          <w:rFonts w:cs="Arial"/>
          <w:color w:val="000000" w:themeColor="text1"/>
          <w:lang w:val="de-CH"/>
        </w:rPr>
        <w:t>die</w:t>
      </w:r>
      <w:r w:rsidR="00C051EF">
        <w:rPr>
          <w:rFonts w:cs="Arial"/>
          <w:color w:val="000000" w:themeColor="text1"/>
          <w:lang w:val="de-CH"/>
        </w:rPr>
        <w:t xml:space="preserve"> Bestätigung</w:t>
      </w:r>
      <w:r w:rsidR="00B17694">
        <w:rPr>
          <w:rFonts w:cs="Arial"/>
          <w:color w:val="000000" w:themeColor="text1"/>
          <w:lang w:val="de-CH"/>
        </w:rPr>
        <w:t xml:space="preserve"> seiner Entscheidung betreffend die Vereinbarkeit</w:t>
      </w:r>
      <w:r w:rsidR="006D4583">
        <w:rPr>
          <w:rFonts w:cs="Arial"/>
          <w:color w:val="000000" w:themeColor="text1"/>
          <w:lang w:val="de-CH"/>
        </w:rPr>
        <w:t xml:space="preserve"> vom 22. März 2013 </w:t>
      </w:r>
      <w:r w:rsidR="006D4583">
        <w:rPr>
          <w:rFonts w:cs="Arial"/>
          <w:lang w:val="de-CH"/>
        </w:rPr>
        <w:t>einzuholen</w:t>
      </w:r>
      <w:r>
        <w:rPr>
          <w:rFonts w:cs="Arial"/>
          <w:lang w:val="de-CH"/>
        </w:rPr>
        <w:t>.</w:t>
      </w:r>
    </w:p>
    <w:p w:rsidR="006108F5" w:rsidRDefault="006108F5" w:rsidP="006108F5">
      <w:pPr>
        <w:ind w:firstLine="708"/>
        <w:rPr>
          <w:rFonts w:cs="Arial"/>
          <w:lang w:val="de-CH"/>
        </w:rPr>
      </w:pPr>
    </w:p>
    <w:p w:rsidR="006108F5" w:rsidRDefault="009A20DC" w:rsidP="006108F5">
      <w:pPr>
        <w:ind w:firstLine="708"/>
        <w:rPr>
          <w:rFonts w:cs="Arial"/>
          <w:lang w:val="de-CH"/>
        </w:rPr>
      </w:pPr>
      <w:r>
        <w:rPr>
          <w:rFonts w:cs="Arial"/>
          <w:lang w:val="de-CH"/>
        </w:rPr>
        <w:t>Wie immer d</w:t>
      </w:r>
      <w:r w:rsidR="00B17694">
        <w:rPr>
          <w:rFonts w:cs="Arial"/>
          <w:lang w:val="de-CH"/>
        </w:rPr>
        <w:t>anke für Ihr</w:t>
      </w:r>
      <w:r>
        <w:rPr>
          <w:rFonts w:cs="Arial"/>
          <w:lang w:val="de-CH"/>
        </w:rPr>
        <w:t>e Zusammenarbeit in dieser Angelegenheit</w:t>
      </w:r>
      <w:r w:rsidR="005D169D">
        <w:rPr>
          <w:rFonts w:cs="Arial"/>
          <w:lang w:val="de-CH"/>
        </w:rPr>
        <w:t>!</w:t>
      </w:r>
    </w:p>
    <w:p w:rsidR="006108F5" w:rsidRDefault="006108F5" w:rsidP="006108F5">
      <w:pPr>
        <w:ind w:firstLine="708"/>
        <w:rPr>
          <w:rFonts w:cs="Arial"/>
          <w:lang w:val="de-CH"/>
        </w:rPr>
      </w:pPr>
    </w:p>
    <w:p w:rsidR="006108F5" w:rsidRDefault="006108F5" w:rsidP="006108F5">
      <w:pPr>
        <w:rPr>
          <w:rFonts w:cs="Arial"/>
          <w:lang w:val="de-CH"/>
        </w:rPr>
      </w:pPr>
      <w:r>
        <w:rPr>
          <w:rFonts w:cs="Arial"/>
          <w:lang w:val="de-CH"/>
        </w:rPr>
        <w:t xml:space="preserve">Mit freundlichen Grüßen    </w:t>
      </w:r>
    </w:p>
    <w:p w:rsidR="006108F5" w:rsidRDefault="006108F5" w:rsidP="006108F5">
      <w:pPr>
        <w:rPr>
          <w:rFonts w:cs="Arial"/>
          <w:lang w:val="de-CH"/>
        </w:rPr>
      </w:pPr>
    </w:p>
    <w:p w:rsidR="006108F5" w:rsidRDefault="009E26E5" w:rsidP="006108F5">
      <w:pPr>
        <w:rPr>
          <w:rFonts w:cs="Arial"/>
          <w:lang w:val="de-CH"/>
        </w:rPr>
      </w:pPr>
      <w:r>
        <w:rPr>
          <w:rFonts w:cs="Arial"/>
          <w:lang w:val="de-CH"/>
        </w:rPr>
        <w:t>[</w:t>
      </w:r>
      <w:r w:rsidR="00ED2A66">
        <w:rPr>
          <w:rFonts w:cs="Arial"/>
          <w:lang w:val="de-CH"/>
        </w:rPr>
        <w:t xml:space="preserve">Unterschrift: </w:t>
      </w:r>
      <w:r>
        <w:rPr>
          <w:rFonts w:cs="Arial"/>
          <w:lang w:val="de-CH"/>
        </w:rPr>
        <w:t>Sophia E. Kaduma</w:t>
      </w:r>
      <w:r w:rsidR="006108F5">
        <w:rPr>
          <w:rFonts w:cs="Arial"/>
          <w:lang w:val="de-CH"/>
        </w:rPr>
        <w:t>]</w:t>
      </w:r>
    </w:p>
    <w:p w:rsidR="009E26E5" w:rsidRDefault="009E26E5" w:rsidP="006108F5">
      <w:pPr>
        <w:rPr>
          <w:rFonts w:cs="Arial"/>
          <w:lang w:val="de-CH"/>
        </w:rPr>
      </w:pPr>
      <w:r>
        <w:rPr>
          <w:rFonts w:cs="Arial"/>
          <w:lang w:val="de-CH"/>
        </w:rPr>
        <w:t>Sophia E. Kaduma</w:t>
      </w:r>
    </w:p>
    <w:p w:rsidR="009E26E5" w:rsidRDefault="009E26E5" w:rsidP="006108F5">
      <w:pPr>
        <w:rPr>
          <w:rFonts w:cs="Arial"/>
          <w:lang w:val="de-CH"/>
        </w:rPr>
      </w:pPr>
      <w:r>
        <w:rPr>
          <w:rFonts w:cs="Arial"/>
          <w:lang w:val="de-CH"/>
        </w:rPr>
        <w:t>Staatssekretärin</w:t>
      </w:r>
    </w:p>
    <w:p w:rsidR="00AF3A6C" w:rsidRDefault="00AF3A6C" w:rsidP="006108F5">
      <w:pPr>
        <w:rPr>
          <w:rFonts w:cs="Arial"/>
          <w:lang w:val="de-CH"/>
        </w:rPr>
      </w:pPr>
    </w:p>
    <w:p w:rsidR="00AF3A6C" w:rsidRDefault="00AF3A6C" w:rsidP="006108F5">
      <w:pPr>
        <w:rPr>
          <w:rFonts w:cs="Arial"/>
          <w:lang w:val="de-CH"/>
        </w:rPr>
      </w:pPr>
      <w:r>
        <w:rPr>
          <w:rFonts w:cs="Arial"/>
          <w:lang w:val="de-CH"/>
        </w:rPr>
        <w:t>Kopien an:</w:t>
      </w:r>
      <w:r>
        <w:rPr>
          <w:rFonts w:cs="Arial"/>
          <w:lang w:val="de-CH"/>
        </w:rPr>
        <w:tab/>
        <w:t>Staatssekretär</w:t>
      </w:r>
    </w:p>
    <w:p w:rsidR="00AF3A6C" w:rsidRDefault="00AF3A6C" w:rsidP="006108F5">
      <w:pPr>
        <w:rPr>
          <w:rFonts w:cs="Arial"/>
          <w:lang w:val="de-CH"/>
        </w:rPr>
      </w:pPr>
      <w:r>
        <w:rPr>
          <w:rFonts w:cs="Arial"/>
          <w:lang w:val="de-CH"/>
        </w:rPr>
        <w:tab/>
      </w:r>
      <w:r>
        <w:rPr>
          <w:rFonts w:cs="Arial"/>
          <w:lang w:val="de-CH"/>
        </w:rPr>
        <w:tab/>
        <w:t>Ministerium für Landwirtschaft und natürliche Ressourcen</w:t>
      </w:r>
    </w:p>
    <w:p w:rsidR="00AF3A6C" w:rsidRDefault="00AF3A6C" w:rsidP="006108F5">
      <w:pPr>
        <w:rPr>
          <w:rFonts w:cs="Arial"/>
          <w:lang w:val="de-CH"/>
        </w:rPr>
      </w:pPr>
      <w:r>
        <w:rPr>
          <w:rFonts w:cs="Arial"/>
          <w:lang w:val="de-CH"/>
        </w:rPr>
        <w:tab/>
      </w:r>
      <w:r>
        <w:rPr>
          <w:rFonts w:cs="Arial"/>
          <w:lang w:val="de-CH"/>
        </w:rPr>
        <w:tab/>
        <w:t>Revolutionäre Regierung von Sansibar</w:t>
      </w:r>
    </w:p>
    <w:p w:rsidR="00AF3A6C" w:rsidRDefault="00AF3A6C" w:rsidP="00AF3A6C">
      <w:pPr>
        <w:ind w:left="567" w:firstLine="567"/>
        <w:rPr>
          <w:rFonts w:cs="Arial"/>
          <w:lang w:val="de-CH"/>
        </w:rPr>
      </w:pPr>
      <w:r>
        <w:rPr>
          <w:rFonts w:cs="Arial"/>
          <w:lang w:val="de-CH"/>
        </w:rPr>
        <w:t>Sansibar</w:t>
      </w:r>
    </w:p>
    <w:p w:rsidR="006108F5" w:rsidRDefault="006108F5" w:rsidP="006108F5">
      <w:pPr>
        <w:rPr>
          <w:rFonts w:cs="Arial"/>
          <w:lang w:val="de-CH"/>
        </w:rPr>
      </w:pPr>
    </w:p>
    <w:p w:rsidR="00AF3A6C" w:rsidRDefault="00AF3A6C" w:rsidP="006108F5">
      <w:pPr>
        <w:rPr>
          <w:rFonts w:cs="Arial"/>
          <w:lang w:val="de-CH"/>
        </w:rPr>
      </w:pPr>
      <w:r>
        <w:rPr>
          <w:rFonts w:cs="Arial"/>
          <w:lang w:val="de-CH"/>
        </w:rPr>
        <w:tab/>
      </w:r>
      <w:r>
        <w:rPr>
          <w:rFonts w:cs="Arial"/>
          <w:lang w:val="de-CH"/>
        </w:rPr>
        <w:tab/>
        <w:t>Ständige Vertretung der Vereinigten Republik Tansania</w:t>
      </w:r>
    </w:p>
    <w:p w:rsidR="00AF3A6C" w:rsidRDefault="00AF3A6C" w:rsidP="006108F5">
      <w:pPr>
        <w:rPr>
          <w:rFonts w:cs="Arial"/>
          <w:lang w:val="de-CH"/>
        </w:rPr>
      </w:pPr>
      <w:r>
        <w:rPr>
          <w:rFonts w:cs="Arial"/>
          <w:lang w:val="de-CH"/>
        </w:rPr>
        <w:tab/>
      </w:r>
      <w:r>
        <w:rPr>
          <w:rFonts w:cs="Arial"/>
          <w:lang w:val="de-CH"/>
        </w:rPr>
        <w:tab/>
        <w:t>Genf</w:t>
      </w:r>
    </w:p>
    <w:p w:rsidR="006108F5" w:rsidRPr="007A2D9F" w:rsidRDefault="00AF3A6C" w:rsidP="006108F5">
      <w:pPr>
        <w:rPr>
          <w:rFonts w:cs="Arial"/>
          <w:lang w:val="de-CH"/>
        </w:rPr>
      </w:pPr>
      <w:r>
        <w:rPr>
          <w:rFonts w:cs="Arial"/>
          <w:lang w:val="de-CH"/>
        </w:rPr>
        <w:tab/>
      </w:r>
      <w:r>
        <w:rPr>
          <w:rFonts w:cs="Arial"/>
          <w:lang w:val="de-CH"/>
        </w:rPr>
        <w:tab/>
        <w:t>Schweiz</w:t>
      </w:r>
    </w:p>
    <w:p w:rsidR="006108F5" w:rsidRDefault="006108F5" w:rsidP="00AF3A6C">
      <w:pPr>
        <w:rPr>
          <w:lang w:val="de-DE"/>
        </w:rPr>
      </w:pPr>
    </w:p>
    <w:p w:rsidR="006108F5" w:rsidRDefault="006108F5" w:rsidP="00B17694">
      <w:pPr>
        <w:jc w:val="right"/>
        <w:rPr>
          <w:lang w:val="de-DE"/>
        </w:rPr>
      </w:pPr>
      <w:r w:rsidRPr="00BD6E26">
        <w:rPr>
          <w:lang w:val="de-DE"/>
        </w:rPr>
        <w:t>[Anlage II folgt]</w:t>
      </w:r>
    </w:p>
    <w:p w:rsidR="00A02C74" w:rsidRDefault="00A02C74" w:rsidP="00535E19">
      <w:pPr>
        <w:jc w:val="center"/>
        <w:rPr>
          <w:lang w:val="fr-CH"/>
        </w:rPr>
        <w:sectPr w:rsidR="00A02C74" w:rsidSect="00A02C74">
          <w:headerReference w:type="default" r:id="rId12"/>
          <w:pgSz w:w="11907" w:h="16840" w:code="9"/>
          <w:pgMar w:top="510" w:right="1134" w:bottom="851" w:left="1134" w:header="510" w:footer="680" w:gutter="0"/>
          <w:pgNumType w:start="1"/>
          <w:cols w:space="720"/>
          <w:titlePg/>
        </w:sectPr>
      </w:pPr>
    </w:p>
    <w:p w:rsidR="00453227" w:rsidRDefault="00A02C74" w:rsidP="00453227">
      <w:pPr>
        <w:jc w:val="center"/>
        <w:rPr>
          <w:lang w:val="fr-FR"/>
        </w:rPr>
      </w:pPr>
      <w:r>
        <w:rPr>
          <w:lang w:val="fr-FR"/>
        </w:rPr>
        <w:lastRenderedPageBreak/>
        <w:t>C/48/18</w:t>
      </w:r>
    </w:p>
    <w:p w:rsidR="00A02C74" w:rsidRDefault="00A02C74" w:rsidP="00453227">
      <w:pPr>
        <w:jc w:val="center"/>
        <w:rPr>
          <w:lang w:val="fr-FR"/>
        </w:rPr>
      </w:pPr>
    </w:p>
    <w:p w:rsidR="00453227" w:rsidRPr="00E155CC" w:rsidRDefault="00453227" w:rsidP="00453227">
      <w:pPr>
        <w:jc w:val="center"/>
        <w:rPr>
          <w:lang w:val="fr-CH"/>
        </w:rPr>
      </w:pPr>
      <w:r w:rsidRPr="00E155CC">
        <w:rPr>
          <w:lang w:val="fr-CH"/>
        </w:rPr>
        <w:t>ANNEX II / ANNEXE II / ANLAGE II / ANEXO II</w:t>
      </w:r>
    </w:p>
    <w:p w:rsidR="00453227" w:rsidRPr="00E155CC" w:rsidRDefault="00453227" w:rsidP="00453227">
      <w:pPr>
        <w:jc w:val="center"/>
        <w:rPr>
          <w:szCs w:val="24"/>
          <w:lang w:val="fr-CH"/>
        </w:rPr>
      </w:pPr>
    </w:p>
    <w:p w:rsidR="00453227" w:rsidRPr="005571F0" w:rsidRDefault="00453227" w:rsidP="00453227">
      <w:pPr>
        <w:jc w:val="center"/>
      </w:pPr>
      <w:r w:rsidRPr="008E1FCE">
        <w:rPr>
          <w:szCs w:val="24"/>
        </w:rPr>
        <w:t>[In English only / En anglais seulement /</w:t>
      </w:r>
      <w:r w:rsidRPr="008E1FCE">
        <w:rPr>
          <w:szCs w:val="24"/>
        </w:rPr>
        <w:br/>
        <w:t>Nur auf Englisch / En Inglés solamente]</w:t>
      </w:r>
    </w:p>
    <w:p w:rsidR="00453227" w:rsidRPr="00872100" w:rsidRDefault="00453227" w:rsidP="00453227">
      <w:pPr>
        <w:pStyle w:val="Header"/>
        <w:rPr>
          <w:sz w:val="16"/>
          <w:szCs w:val="16"/>
          <w:lang w:val="en-US"/>
        </w:rPr>
      </w:pPr>
    </w:p>
    <w:p w:rsidR="00EF782B" w:rsidRPr="00872100" w:rsidRDefault="00EF782B" w:rsidP="00453227">
      <w:pPr>
        <w:jc w:val="center"/>
        <w:rPr>
          <w:sz w:val="16"/>
          <w:szCs w:val="16"/>
        </w:rPr>
      </w:pPr>
    </w:p>
    <w:p w:rsidR="00453227" w:rsidRPr="00053BE1" w:rsidRDefault="00453227" w:rsidP="00453227">
      <w:pPr>
        <w:jc w:val="center"/>
      </w:pPr>
      <w:r w:rsidRPr="00053BE1">
        <w:t xml:space="preserve">EXTRACT FROM </w:t>
      </w:r>
      <w:r>
        <w:t xml:space="preserve">THE ZANZIBAR </w:t>
      </w:r>
      <w:r w:rsidRPr="006362FE">
        <w:t xml:space="preserve">PLANT BREEDERS’ </w:t>
      </w:r>
      <w:r>
        <w:t>RIGHTS ACT, 2014</w:t>
      </w:r>
    </w:p>
    <w:p w:rsidR="00453227" w:rsidRDefault="00453227" w:rsidP="00453227">
      <w:pPr>
        <w:tabs>
          <w:tab w:val="left" w:pos="3969"/>
        </w:tabs>
      </w:pPr>
    </w:p>
    <w:p w:rsidR="00453227" w:rsidRPr="00F05C55" w:rsidRDefault="00453227" w:rsidP="00453227">
      <w:pPr>
        <w:tabs>
          <w:tab w:val="left" w:pos="3969"/>
        </w:tabs>
        <w:jc w:val="center"/>
      </w:pPr>
      <w:r w:rsidRPr="00F05C55">
        <w:t>(</w:t>
      </w:r>
      <w:r>
        <w:t xml:space="preserve">Changes to relevant Sections </w:t>
      </w:r>
      <w:r w:rsidRPr="00E0504F">
        <w:t xml:space="preserve">during the </w:t>
      </w:r>
      <w:r>
        <w:t xml:space="preserve">adoption procedure by </w:t>
      </w:r>
      <w:r>
        <w:rPr>
          <w:szCs w:val="22"/>
        </w:rPr>
        <w:t xml:space="preserve">the Zanzibar House of Representatives, on January 22, 2014, </w:t>
      </w:r>
      <w:r>
        <w:t xml:space="preserve">are </w:t>
      </w:r>
      <w:r w:rsidRPr="00F05C55">
        <w:t>presented in revision mode)</w:t>
      </w:r>
    </w:p>
    <w:p w:rsidR="00872100" w:rsidRDefault="00872100" w:rsidP="006249FC">
      <w:pPr>
        <w:autoSpaceDE w:val="0"/>
        <w:autoSpaceDN w:val="0"/>
        <w:adjustRightInd w:val="0"/>
        <w:jc w:val="center"/>
        <w:rPr>
          <w:rFonts w:cs="Arial"/>
          <w:b/>
          <w:bCs/>
          <w:color w:val="000000"/>
        </w:rPr>
      </w:pPr>
    </w:p>
    <w:p w:rsidR="006249FC" w:rsidRPr="00211089" w:rsidRDefault="006249FC" w:rsidP="006249FC">
      <w:pPr>
        <w:autoSpaceDE w:val="0"/>
        <w:autoSpaceDN w:val="0"/>
        <w:adjustRightInd w:val="0"/>
        <w:jc w:val="center"/>
        <w:rPr>
          <w:rFonts w:cs="Arial"/>
          <w:b/>
          <w:bCs/>
          <w:color w:val="000000"/>
        </w:rPr>
      </w:pPr>
      <w:r w:rsidRPr="00211089">
        <w:rPr>
          <w:rFonts w:cs="Arial"/>
          <w:b/>
          <w:bCs/>
          <w:color w:val="000000"/>
        </w:rPr>
        <w:t>ZANZIBAR PLANT BREEDERS’ RIGHTS ACT, 2014</w:t>
      </w:r>
    </w:p>
    <w:p w:rsidR="006249FC" w:rsidRPr="00211089" w:rsidRDefault="006249FC" w:rsidP="00453227">
      <w:pPr>
        <w:tabs>
          <w:tab w:val="left" w:pos="3969"/>
        </w:tabs>
        <w:rPr>
          <w:rFonts w:cs="Arial"/>
        </w:rPr>
      </w:pPr>
    </w:p>
    <w:p w:rsidR="00453227" w:rsidRPr="00211089" w:rsidRDefault="00453227" w:rsidP="00453227">
      <w:pPr>
        <w:tabs>
          <w:tab w:val="left" w:pos="200"/>
        </w:tabs>
        <w:autoSpaceDE w:val="0"/>
        <w:autoSpaceDN w:val="0"/>
        <w:adjustRightInd w:val="0"/>
        <w:jc w:val="center"/>
        <w:rPr>
          <w:rFonts w:cs="Arial"/>
          <w:bCs/>
          <w:color w:val="000000"/>
        </w:rPr>
      </w:pPr>
      <w:r w:rsidRPr="00211089">
        <w:rPr>
          <w:rFonts w:cs="Arial"/>
          <w:bCs/>
          <w:color w:val="000000"/>
        </w:rPr>
        <w:t>A</w:t>
      </w:r>
      <w:r w:rsidR="00E0116C" w:rsidRPr="00211089">
        <w:rPr>
          <w:rFonts w:cs="Arial"/>
          <w:bCs/>
          <w:color w:val="000000"/>
        </w:rPr>
        <w:t xml:space="preserve"> BILL</w:t>
      </w:r>
    </w:p>
    <w:p w:rsidR="00E0116C" w:rsidRPr="00211089" w:rsidRDefault="00E0116C" w:rsidP="00453227">
      <w:pPr>
        <w:tabs>
          <w:tab w:val="left" w:pos="200"/>
        </w:tabs>
        <w:autoSpaceDE w:val="0"/>
        <w:autoSpaceDN w:val="0"/>
        <w:adjustRightInd w:val="0"/>
        <w:jc w:val="center"/>
        <w:rPr>
          <w:rFonts w:cs="Arial"/>
          <w:bCs/>
          <w:color w:val="000000"/>
        </w:rPr>
      </w:pPr>
      <w:r w:rsidRPr="00211089">
        <w:rPr>
          <w:rFonts w:cs="Arial"/>
          <w:bCs/>
          <w:color w:val="000000"/>
        </w:rPr>
        <w:t>for</w:t>
      </w:r>
    </w:p>
    <w:p w:rsidR="00453227" w:rsidRPr="00211089" w:rsidRDefault="00E0116C" w:rsidP="00453227">
      <w:pPr>
        <w:tabs>
          <w:tab w:val="left" w:pos="200"/>
        </w:tabs>
        <w:autoSpaceDE w:val="0"/>
        <w:autoSpaceDN w:val="0"/>
        <w:adjustRightInd w:val="0"/>
        <w:jc w:val="center"/>
        <w:rPr>
          <w:rFonts w:cs="Arial"/>
          <w:bCs/>
          <w:color w:val="000000"/>
        </w:rPr>
      </w:pPr>
      <w:r w:rsidRPr="00211089">
        <w:rPr>
          <w:rFonts w:cs="Arial"/>
          <w:bCs/>
          <w:color w:val="000000"/>
        </w:rPr>
        <w:t>AN ACT TO ESTABLISH PLANT BREEDERS’ RIGHTS AND OTHER MATTER RELATED THEREWITH</w:t>
      </w:r>
    </w:p>
    <w:p w:rsidR="00453227" w:rsidRPr="00211089" w:rsidRDefault="00453227" w:rsidP="00453227">
      <w:pPr>
        <w:autoSpaceDE w:val="0"/>
        <w:autoSpaceDN w:val="0"/>
        <w:adjustRightInd w:val="0"/>
        <w:jc w:val="center"/>
        <w:rPr>
          <w:rFonts w:cs="Arial"/>
          <w:b/>
          <w:bCs/>
          <w:color w:val="000000"/>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284"/>
        <w:gridCol w:w="8571"/>
      </w:tblGrid>
      <w:tr w:rsidR="00987812" w:rsidRPr="00211089" w:rsidTr="00F66C5A">
        <w:tc>
          <w:tcPr>
            <w:tcW w:w="1284" w:type="dxa"/>
          </w:tcPr>
          <w:p w:rsidR="00F66C5A" w:rsidRPr="00211089" w:rsidRDefault="00F66C5A" w:rsidP="00F66C5A">
            <w:pPr>
              <w:autoSpaceDE w:val="0"/>
              <w:autoSpaceDN w:val="0"/>
              <w:adjustRightInd w:val="0"/>
              <w:jc w:val="left"/>
              <w:rPr>
                <w:rFonts w:cs="Arial"/>
                <w:bCs/>
                <w:sz w:val="18"/>
                <w:szCs w:val="18"/>
              </w:rPr>
            </w:pPr>
            <w:r w:rsidRPr="00211089">
              <w:rPr>
                <w:rFonts w:cs="Arial"/>
                <w:bCs/>
                <w:sz w:val="18"/>
                <w:szCs w:val="18"/>
              </w:rPr>
              <w:t>Short title and commence</w:t>
            </w:r>
            <w:r w:rsidRPr="00211089">
              <w:rPr>
                <w:rFonts w:cs="Arial"/>
                <w:bCs/>
                <w:sz w:val="18"/>
                <w:szCs w:val="18"/>
              </w:rPr>
              <w:softHyphen/>
              <w:t>ment.</w:t>
            </w:r>
          </w:p>
        </w:tc>
        <w:tc>
          <w:tcPr>
            <w:tcW w:w="8571" w:type="dxa"/>
          </w:tcPr>
          <w:p w:rsidR="00F66C5A" w:rsidRPr="00211089" w:rsidRDefault="00F66C5A" w:rsidP="00987812">
            <w:pPr>
              <w:tabs>
                <w:tab w:val="left" w:pos="340"/>
              </w:tabs>
              <w:autoSpaceDE w:val="0"/>
              <w:autoSpaceDN w:val="0"/>
              <w:adjustRightInd w:val="0"/>
              <w:rPr>
                <w:rFonts w:cs="Arial"/>
                <w:bCs/>
              </w:rPr>
            </w:pPr>
            <w:r w:rsidRPr="00211089">
              <w:rPr>
                <w:rFonts w:cs="Arial"/>
                <w:bCs/>
              </w:rPr>
              <w:tab/>
            </w:r>
            <w:r w:rsidRPr="00211089">
              <w:rPr>
                <w:rFonts w:cs="Arial"/>
                <w:b/>
                <w:bCs/>
              </w:rPr>
              <w:t>1.</w:t>
            </w:r>
            <w:r w:rsidR="006249FC" w:rsidRPr="00211089">
              <w:rPr>
                <w:rFonts w:cs="Arial"/>
                <w:b/>
                <w:bCs/>
              </w:rPr>
              <w:t xml:space="preserve"> </w:t>
            </w:r>
            <w:r w:rsidRPr="00211089">
              <w:rPr>
                <w:rFonts w:cs="Arial"/>
                <w:bCs/>
              </w:rPr>
              <w:t>[…]</w:t>
            </w:r>
          </w:p>
          <w:p w:rsidR="00F66C5A" w:rsidRPr="00211089" w:rsidRDefault="00F66C5A" w:rsidP="00F66C5A">
            <w:pPr>
              <w:autoSpaceDE w:val="0"/>
              <w:autoSpaceDN w:val="0"/>
              <w:adjustRightInd w:val="0"/>
              <w:rPr>
                <w:rFonts w:cs="Arial"/>
                <w:bCs/>
              </w:rPr>
            </w:pPr>
          </w:p>
          <w:p w:rsidR="00F66C5A" w:rsidRPr="00211089" w:rsidRDefault="00F66C5A" w:rsidP="00F66C5A">
            <w:pPr>
              <w:autoSpaceDE w:val="0"/>
              <w:autoSpaceDN w:val="0"/>
              <w:adjustRightInd w:val="0"/>
              <w:rPr>
                <w:rFonts w:cs="Arial"/>
                <w:u w:val="single"/>
              </w:rPr>
            </w:pPr>
            <w:r w:rsidRPr="00211089">
              <w:rPr>
                <w:rFonts w:cs="Arial"/>
              </w:rPr>
              <w:tab/>
            </w:r>
            <w:r w:rsidRPr="00CB39C3">
              <w:rPr>
                <w:rFonts w:cs="Arial"/>
                <w:highlight w:val="lightGray"/>
                <w:u w:val="single"/>
              </w:rPr>
              <w:t>(2)</w:t>
            </w:r>
            <w:r w:rsidRPr="00CB39C3">
              <w:rPr>
                <w:rFonts w:cs="Arial"/>
                <w:spacing w:val="33"/>
                <w:highlight w:val="lightGray"/>
                <w:u w:val="single"/>
              </w:rPr>
              <w:t xml:space="preserve"> </w:t>
            </w:r>
            <w:r w:rsidRPr="00CB39C3">
              <w:rPr>
                <w:rFonts w:cs="Arial"/>
                <w:highlight w:val="lightGray"/>
                <w:u w:val="single"/>
              </w:rPr>
              <w:t>Subject</w:t>
            </w:r>
            <w:r w:rsidRPr="00CB39C3">
              <w:rPr>
                <w:rFonts w:cs="Arial"/>
                <w:spacing w:val="41"/>
                <w:highlight w:val="lightGray"/>
                <w:u w:val="single"/>
              </w:rPr>
              <w:t xml:space="preserve"> </w:t>
            </w:r>
            <w:r w:rsidRPr="00CB39C3">
              <w:rPr>
                <w:rFonts w:cs="Arial"/>
                <w:highlight w:val="lightGray"/>
                <w:u w:val="single"/>
              </w:rPr>
              <w:t>to</w:t>
            </w:r>
            <w:r w:rsidRPr="00CB39C3">
              <w:rPr>
                <w:rFonts w:cs="Arial"/>
                <w:spacing w:val="39"/>
                <w:highlight w:val="lightGray"/>
                <w:u w:val="single"/>
              </w:rPr>
              <w:t xml:space="preserve"> </w:t>
            </w:r>
            <w:r w:rsidRPr="00CB39C3">
              <w:rPr>
                <w:rFonts w:cs="Arial"/>
                <w:highlight w:val="lightGray"/>
                <w:u w:val="single"/>
              </w:rPr>
              <w:t>sub</w:t>
            </w:r>
            <w:r w:rsidRPr="00CB39C3">
              <w:rPr>
                <w:rFonts w:cs="Arial"/>
                <w:spacing w:val="32"/>
                <w:highlight w:val="lightGray"/>
                <w:u w:val="single"/>
              </w:rPr>
              <w:t xml:space="preserve"> </w:t>
            </w:r>
            <w:r w:rsidRPr="00CB39C3">
              <w:rPr>
                <w:rFonts w:cs="Arial"/>
                <w:highlight w:val="lightGray"/>
                <w:u w:val="single"/>
              </w:rPr>
              <w:t>se</w:t>
            </w:r>
            <w:r w:rsidRPr="00CB39C3">
              <w:rPr>
                <w:rFonts w:cs="Arial"/>
                <w:spacing w:val="-2"/>
                <w:highlight w:val="lightGray"/>
                <w:u w:val="single"/>
              </w:rPr>
              <w:t>c</w:t>
            </w:r>
            <w:r w:rsidRPr="00CB39C3">
              <w:rPr>
                <w:rFonts w:cs="Arial"/>
                <w:spacing w:val="3"/>
                <w:highlight w:val="lightGray"/>
                <w:u w:val="single"/>
              </w:rPr>
              <w:t>t</w:t>
            </w:r>
            <w:r w:rsidRPr="00CB39C3">
              <w:rPr>
                <w:rFonts w:cs="Arial"/>
                <w:highlight w:val="lightGray"/>
                <w:u w:val="single"/>
              </w:rPr>
              <w:t>ion</w:t>
            </w:r>
            <w:r w:rsidRPr="00CB39C3">
              <w:rPr>
                <w:rFonts w:cs="Arial"/>
                <w:spacing w:val="29"/>
                <w:highlight w:val="lightGray"/>
                <w:u w:val="single"/>
              </w:rPr>
              <w:t xml:space="preserve"> </w:t>
            </w:r>
            <w:r w:rsidR="00CB39C3" w:rsidRPr="00CB39C3">
              <w:rPr>
                <w:rFonts w:eastAsia="Arial" w:cs="Arial"/>
                <w:highlight w:val="lightGray"/>
                <w:u w:val="single"/>
              </w:rPr>
              <w:t>(1) of this Section</w:t>
            </w:r>
            <w:r w:rsidR="00CB39C3">
              <w:rPr>
                <w:rFonts w:eastAsia="Arial" w:cs="Arial"/>
                <w:highlight w:val="lightGray"/>
                <w:u w:val="single"/>
              </w:rPr>
              <w:t>,</w:t>
            </w:r>
            <w:r w:rsidR="00CB39C3" w:rsidRPr="00CB39C3">
              <w:rPr>
                <w:rFonts w:eastAsia="Arial" w:cs="Arial"/>
                <w:highlight w:val="lightGray"/>
                <w:u w:val="single"/>
              </w:rPr>
              <w:t xml:space="preserve"> </w:t>
            </w:r>
            <w:r w:rsidRPr="00CB39C3">
              <w:rPr>
                <w:rFonts w:cs="Arial"/>
                <w:highlight w:val="lightGray"/>
                <w:u w:val="single"/>
              </w:rPr>
              <w:t>the</w:t>
            </w:r>
            <w:r w:rsidRPr="00CB39C3">
              <w:rPr>
                <w:rFonts w:cs="Arial"/>
                <w:spacing w:val="29"/>
                <w:highlight w:val="lightGray"/>
                <w:u w:val="single"/>
              </w:rPr>
              <w:t xml:space="preserve"> </w:t>
            </w:r>
            <w:r w:rsidRPr="00CB39C3">
              <w:rPr>
                <w:rFonts w:cs="Arial"/>
                <w:highlight w:val="lightGray"/>
                <w:u w:val="single"/>
              </w:rPr>
              <w:t>Minister</w:t>
            </w:r>
            <w:r w:rsidRPr="00CB39C3">
              <w:rPr>
                <w:rFonts w:cs="Arial"/>
                <w:spacing w:val="39"/>
                <w:highlight w:val="lightGray"/>
                <w:u w:val="single"/>
              </w:rPr>
              <w:t xml:space="preserve"> </w:t>
            </w:r>
            <w:r w:rsidRPr="00CB39C3">
              <w:rPr>
                <w:rFonts w:cs="Arial"/>
                <w:spacing w:val="2"/>
                <w:highlight w:val="lightGray"/>
                <w:u w:val="single"/>
              </w:rPr>
              <w:t>s</w:t>
            </w:r>
            <w:r w:rsidRPr="00CB39C3">
              <w:rPr>
                <w:rFonts w:cs="Arial"/>
                <w:spacing w:val="5"/>
                <w:highlight w:val="lightGray"/>
                <w:u w:val="single"/>
              </w:rPr>
              <w:t>h</w:t>
            </w:r>
            <w:r w:rsidRPr="00CB39C3">
              <w:rPr>
                <w:rFonts w:cs="Arial"/>
                <w:highlight w:val="lightGray"/>
                <w:u w:val="single"/>
              </w:rPr>
              <w:t>all</w:t>
            </w:r>
            <w:r w:rsidRPr="00CB39C3">
              <w:rPr>
                <w:rFonts w:cs="Arial"/>
                <w:spacing w:val="35"/>
                <w:highlight w:val="lightGray"/>
                <w:u w:val="single"/>
              </w:rPr>
              <w:t xml:space="preserve"> </w:t>
            </w:r>
            <w:r w:rsidRPr="00CB39C3">
              <w:rPr>
                <w:rFonts w:cs="Arial"/>
                <w:highlight w:val="lightGray"/>
                <w:u w:val="single"/>
              </w:rPr>
              <w:t>publish</w:t>
            </w:r>
            <w:r w:rsidRPr="00CB39C3">
              <w:rPr>
                <w:rFonts w:cs="Arial"/>
                <w:spacing w:val="26"/>
                <w:highlight w:val="lightGray"/>
                <w:u w:val="single"/>
              </w:rPr>
              <w:t xml:space="preserve"> </w:t>
            </w:r>
            <w:r w:rsidRPr="00CB39C3">
              <w:rPr>
                <w:rFonts w:cs="Arial"/>
                <w:highlight w:val="lightGray"/>
                <w:u w:val="single"/>
              </w:rPr>
              <w:t>in</w:t>
            </w:r>
            <w:r w:rsidRPr="00CB39C3">
              <w:rPr>
                <w:rFonts w:cs="Arial"/>
                <w:spacing w:val="35"/>
                <w:highlight w:val="lightGray"/>
                <w:u w:val="single"/>
              </w:rPr>
              <w:t xml:space="preserve"> </w:t>
            </w:r>
            <w:r w:rsidRPr="00CB39C3">
              <w:rPr>
                <w:rFonts w:cs="Arial"/>
                <w:w w:val="102"/>
                <w:highlight w:val="lightGray"/>
                <w:u w:val="single"/>
              </w:rPr>
              <w:t xml:space="preserve">the </w:t>
            </w:r>
            <w:r w:rsidRPr="00CB39C3">
              <w:rPr>
                <w:rFonts w:cs="Arial"/>
                <w:highlight w:val="lightGray"/>
                <w:u w:val="single"/>
              </w:rPr>
              <w:t>Gazette</w:t>
            </w:r>
            <w:r w:rsidRPr="00CB39C3">
              <w:rPr>
                <w:rFonts w:cs="Arial"/>
                <w:spacing w:val="3"/>
                <w:highlight w:val="lightGray"/>
                <w:u w:val="single"/>
              </w:rPr>
              <w:t xml:space="preserve"> </w:t>
            </w:r>
            <w:r w:rsidRPr="00CB39C3">
              <w:rPr>
                <w:rFonts w:cs="Arial"/>
                <w:highlight w:val="lightGray"/>
                <w:u w:val="single"/>
              </w:rPr>
              <w:t>not</w:t>
            </w:r>
            <w:r w:rsidRPr="00CB39C3">
              <w:rPr>
                <w:rFonts w:cs="Arial"/>
                <w:spacing w:val="5"/>
                <w:highlight w:val="lightGray"/>
                <w:u w:val="single"/>
              </w:rPr>
              <w:t xml:space="preserve"> </w:t>
            </w:r>
            <w:r w:rsidR="00CB39C3" w:rsidRPr="00CB39C3">
              <w:rPr>
                <w:rFonts w:cs="Arial"/>
                <w:highlight w:val="lightGray"/>
                <w:u w:val="single"/>
              </w:rPr>
              <w:t>more</w:t>
            </w:r>
            <w:r w:rsidRPr="00CB39C3">
              <w:rPr>
                <w:rFonts w:cs="Arial"/>
                <w:spacing w:val="2"/>
                <w:highlight w:val="lightGray"/>
                <w:u w:val="single"/>
              </w:rPr>
              <w:t xml:space="preserve"> </w:t>
            </w:r>
            <w:r w:rsidRPr="00CB39C3">
              <w:rPr>
                <w:rFonts w:cs="Arial"/>
                <w:highlight w:val="lightGray"/>
                <w:u w:val="single"/>
              </w:rPr>
              <w:t>than</w:t>
            </w:r>
            <w:r w:rsidRPr="00CB39C3">
              <w:rPr>
                <w:rFonts w:cs="Arial"/>
                <w:spacing w:val="7"/>
                <w:highlight w:val="lightGray"/>
                <w:u w:val="single"/>
              </w:rPr>
              <w:t xml:space="preserve"> </w:t>
            </w:r>
            <w:r w:rsidRPr="00CB39C3">
              <w:rPr>
                <w:rFonts w:cs="Arial"/>
                <w:spacing w:val="3"/>
                <w:highlight w:val="lightGray"/>
                <w:u w:val="single"/>
              </w:rPr>
              <w:t>s</w:t>
            </w:r>
            <w:r w:rsidRPr="00CB39C3">
              <w:rPr>
                <w:rFonts w:cs="Arial"/>
                <w:spacing w:val="7"/>
                <w:highlight w:val="lightGray"/>
                <w:u w:val="single"/>
              </w:rPr>
              <w:t>i</w:t>
            </w:r>
            <w:r w:rsidRPr="00CB39C3">
              <w:rPr>
                <w:rFonts w:cs="Arial"/>
                <w:highlight w:val="lightGray"/>
                <w:u w:val="single"/>
              </w:rPr>
              <w:t>x</w:t>
            </w:r>
            <w:r w:rsidRPr="00CB39C3">
              <w:rPr>
                <w:rFonts w:cs="Arial"/>
                <w:spacing w:val="-2"/>
                <w:highlight w:val="lightGray"/>
                <w:u w:val="single"/>
              </w:rPr>
              <w:t xml:space="preserve"> </w:t>
            </w:r>
            <w:r w:rsidRPr="00CB39C3">
              <w:rPr>
                <w:rFonts w:cs="Arial"/>
                <w:highlight w:val="lightGray"/>
                <w:u w:val="single"/>
              </w:rPr>
              <w:t xml:space="preserve">months </w:t>
            </w:r>
            <w:r w:rsidR="00CB39C3" w:rsidRPr="00CB39C3">
              <w:rPr>
                <w:rFonts w:cs="Arial"/>
                <w:w w:val="102"/>
                <w:highlight w:val="lightGray"/>
                <w:u w:val="single"/>
              </w:rPr>
              <w:t>since</w:t>
            </w:r>
            <w:r w:rsidR="001D5A90" w:rsidRPr="00CB39C3">
              <w:rPr>
                <w:rFonts w:cs="Arial"/>
                <w:spacing w:val="-6"/>
                <w:w w:val="102"/>
                <w:highlight w:val="lightGray"/>
                <w:u w:val="single"/>
              </w:rPr>
              <w:t xml:space="preserve"> </w:t>
            </w:r>
            <w:r w:rsidRPr="00CB39C3">
              <w:rPr>
                <w:rFonts w:cs="Arial"/>
                <w:highlight w:val="lightGray"/>
                <w:u w:val="single"/>
              </w:rPr>
              <w:t>the</w:t>
            </w:r>
            <w:r w:rsidRPr="00CB39C3">
              <w:rPr>
                <w:rFonts w:cs="Arial"/>
                <w:spacing w:val="-2"/>
                <w:highlight w:val="lightGray"/>
                <w:u w:val="single"/>
              </w:rPr>
              <w:t xml:space="preserve"> </w:t>
            </w:r>
            <w:r w:rsidRPr="00CB39C3">
              <w:rPr>
                <w:rFonts w:cs="Arial"/>
                <w:w w:val="102"/>
                <w:highlight w:val="lightGray"/>
                <w:u w:val="single"/>
              </w:rPr>
              <w:t>dat</w:t>
            </w:r>
            <w:r w:rsidRPr="00CB39C3">
              <w:rPr>
                <w:rFonts w:cs="Arial"/>
                <w:spacing w:val="4"/>
                <w:w w:val="102"/>
                <w:highlight w:val="lightGray"/>
                <w:u w:val="single"/>
              </w:rPr>
              <w:t>e</w:t>
            </w:r>
            <w:r w:rsidRPr="00CB39C3">
              <w:rPr>
                <w:rFonts w:cs="Arial"/>
                <w:w w:val="37"/>
                <w:highlight w:val="lightGray"/>
                <w:u w:val="single"/>
              </w:rPr>
              <w:t>.</w:t>
            </w:r>
            <w:r w:rsidRPr="00CB39C3">
              <w:rPr>
                <w:rFonts w:cs="Arial"/>
                <w:spacing w:val="-26"/>
                <w:highlight w:val="lightGray"/>
                <w:u w:val="single"/>
              </w:rPr>
              <w:t xml:space="preserve"> </w:t>
            </w:r>
            <w:r w:rsidRPr="00CB39C3">
              <w:rPr>
                <w:rFonts w:cs="Arial"/>
                <w:highlight w:val="lightGray"/>
                <w:u w:val="single"/>
              </w:rPr>
              <w:t xml:space="preserve">of </w:t>
            </w:r>
            <w:r w:rsidR="00CB39C3" w:rsidRPr="00CB39C3">
              <w:rPr>
                <w:rFonts w:cs="Arial"/>
                <w:highlight w:val="lightGray"/>
                <w:u w:val="single"/>
              </w:rPr>
              <w:t>assented by the president.</w:t>
            </w:r>
          </w:p>
          <w:p w:rsidR="00F66C5A" w:rsidRPr="00211089" w:rsidRDefault="00F66C5A" w:rsidP="00F66C5A">
            <w:pPr>
              <w:autoSpaceDE w:val="0"/>
              <w:autoSpaceDN w:val="0"/>
              <w:adjustRightInd w:val="0"/>
              <w:rPr>
                <w:rFonts w:cs="Arial"/>
                <w:bCs/>
              </w:rPr>
            </w:pPr>
          </w:p>
          <w:p w:rsidR="006249FC" w:rsidRPr="00211089" w:rsidRDefault="006249FC" w:rsidP="00F66C5A">
            <w:pPr>
              <w:autoSpaceDE w:val="0"/>
              <w:autoSpaceDN w:val="0"/>
              <w:adjustRightInd w:val="0"/>
              <w:rPr>
                <w:rFonts w:cs="Arial"/>
                <w:bCs/>
              </w:rPr>
            </w:pPr>
            <w:r w:rsidRPr="00211089">
              <w:rPr>
                <w:rFonts w:cs="Arial"/>
                <w:bCs/>
              </w:rPr>
              <w:tab/>
              <w:t>[…]</w:t>
            </w:r>
          </w:p>
          <w:p w:rsidR="006249FC" w:rsidRPr="00211089" w:rsidRDefault="006249FC" w:rsidP="00F66C5A">
            <w:pPr>
              <w:autoSpaceDE w:val="0"/>
              <w:autoSpaceDN w:val="0"/>
              <w:adjustRightInd w:val="0"/>
              <w:rPr>
                <w:rFonts w:cs="Arial"/>
                <w:bCs/>
              </w:rPr>
            </w:pPr>
          </w:p>
        </w:tc>
      </w:tr>
      <w:tr w:rsidR="00987812" w:rsidRPr="00211089" w:rsidTr="00F66C5A">
        <w:tc>
          <w:tcPr>
            <w:tcW w:w="1284" w:type="dxa"/>
          </w:tcPr>
          <w:p w:rsidR="00F66C5A" w:rsidRPr="00211089" w:rsidRDefault="00F66C5A" w:rsidP="00F66C5A">
            <w:pPr>
              <w:autoSpaceDE w:val="0"/>
              <w:autoSpaceDN w:val="0"/>
              <w:adjustRightInd w:val="0"/>
              <w:jc w:val="left"/>
              <w:rPr>
                <w:rFonts w:cs="Arial"/>
                <w:bCs/>
                <w:spacing w:val="-6"/>
                <w:sz w:val="18"/>
                <w:szCs w:val="18"/>
              </w:rPr>
            </w:pPr>
            <w:r w:rsidRPr="00211089">
              <w:rPr>
                <w:rFonts w:cs="Arial"/>
                <w:bCs/>
                <w:spacing w:val="-6"/>
                <w:sz w:val="18"/>
                <w:szCs w:val="18"/>
              </w:rPr>
              <w:t>Interpretation.</w:t>
            </w:r>
          </w:p>
        </w:tc>
        <w:tc>
          <w:tcPr>
            <w:tcW w:w="8571" w:type="dxa"/>
          </w:tcPr>
          <w:p w:rsidR="00A66554" w:rsidRPr="00211089" w:rsidRDefault="00A66554" w:rsidP="00987812">
            <w:pPr>
              <w:tabs>
                <w:tab w:val="left" w:pos="340"/>
              </w:tabs>
              <w:autoSpaceDE w:val="0"/>
              <w:autoSpaceDN w:val="0"/>
              <w:adjustRightInd w:val="0"/>
              <w:rPr>
                <w:rFonts w:cs="Arial"/>
                <w:bCs/>
              </w:rPr>
            </w:pPr>
            <w:r w:rsidRPr="00211089">
              <w:rPr>
                <w:rFonts w:cs="Arial"/>
                <w:bCs/>
              </w:rPr>
              <w:tab/>
            </w:r>
            <w:r w:rsidRPr="00211089">
              <w:rPr>
                <w:rFonts w:cs="Arial"/>
                <w:b/>
                <w:bCs/>
              </w:rPr>
              <w:t xml:space="preserve">2. </w:t>
            </w:r>
            <w:r w:rsidRPr="00211089">
              <w:rPr>
                <w:rFonts w:cs="Arial"/>
                <w:bCs/>
              </w:rPr>
              <w:t>[…]</w:t>
            </w:r>
          </w:p>
          <w:p w:rsidR="006249FC" w:rsidRPr="00211089" w:rsidRDefault="006249FC" w:rsidP="00A66554">
            <w:pPr>
              <w:autoSpaceDE w:val="0"/>
              <w:autoSpaceDN w:val="0"/>
              <w:adjustRightInd w:val="0"/>
              <w:rPr>
                <w:rFonts w:cs="Arial"/>
                <w:bCs/>
              </w:rPr>
            </w:pPr>
          </w:p>
          <w:p w:rsidR="00A66554" w:rsidRPr="00211089" w:rsidRDefault="00A66554" w:rsidP="00987812">
            <w:pPr>
              <w:autoSpaceDE w:val="0"/>
              <w:autoSpaceDN w:val="0"/>
              <w:adjustRightInd w:val="0"/>
              <w:rPr>
                <w:rFonts w:cs="Arial"/>
                <w:u w:val="single"/>
              </w:rPr>
            </w:pPr>
            <w:r w:rsidRPr="00211089">
              <w:rPr>
                <w:rFonts w:cs="Arial"/>
                <w:bCs/>
              </w:rPr>
              <w:tab/>
            </w:r>
            <w:r w:rsidRPr="00211089">
              <w:rPr>
                <w:rFonts w:cs="Arial"/>
                <w:highlight w:val="lightGray"/>
                <w:u w:val="single"/>
              </w:rPr>
              <w:t>"Certificate'' means</w:t>
            </w:r>
            <w:r w:rsidRPr="00211089">
              <w:rPr>
                <w:rFonts w:cs="Arial"/>
                <w:spacing w:val="41"/>
                <w:highlight w:val="lightGray"/>
                <w:u w:val="single"/>
              </w:rPr>
              <w:t xml:space="preserve"> </w:t>
            </w:r>
            <w:r w:rsidR="00CB39C3">
              <w:rPr>
                <w:rFonts w:cs="Arial"/>
                <w:highlight w:val="lightGray"/>
                <w:u w:val="single"/>
              </w:rPr>
              <w:t xml:space="preserve">a </w:t>
            </w:r>
            <w:r w:rsidRPr="00211089">
              <w:rPr>
                <w:rFonts w:cs="Arial"/>
                <w:highlight w:val="lightGray"/>
                <w:u w:val="single"/>
              </w:rPr>
              <w:t>certificate</w:t>
            </w:r>
            <w:r w:rsidRPr="00211089">
              <w:rPr>
                <w:rFonts w:cs="Arial"/>
                <w:spacing w:val="48"/>
                <w:highlight w:val="lightGray"/>
                <w:u w:val="single"/>
              </w:rPr>
              <w:t xml:space="preserve"> </w:t>
            </w:r>
            <w:r w:rsidR="00CB39C3">
              <w:rPr>
                <w:rFonts w:cs="Arial"/>
                <w:highlight w:val="lightGray"/>
                <w:u w:val="single"/>
              </w:rPr>
              <w:t xml:space="preserve">which approve the de[s]cription of </w:t>
            </w:r>
            <w:r w:rsidRPr="00211089">
              <w:rPr>
                <w:rFonts w:cs="Arial"/>
                <w:w w:val="102"/>
                <w:highlight w:val="lightGray"/>
                <w:u w:val="single"/>
              </w:rPr>
              <w:t xml:space="preserve">the </w:t>
            </w:r>
            <w:r w:rsidR="002E6F21">
              <w:rPr>
                <w:rFonts w:cs="Arial"/>
                <w:highlight w:val="lightGray"/>
                <w:u w:val="single"/>
              </w:rPr>
              <w:t>r</w:t>
            </w:r>
            <w:r w:rsidRPr="00211089">
              <w:rPr>
                <w:rFonts w:cs="Arial"/>
                <w:highlight w:val="lightGray"/>
                <w:u w:val="single"/>
              </w:rPr>
              <w:t>egister</w:t>
            </w:r>
            <w:r w:rsidRPr="00211089">
              <w:rPr>
                <w:rFonts w:cs="Arial"/>
                <w:spacing w:val="9"/>
                <w:highlight w:val="lightGray"/>
                <w:u w:val="single"/>
              </w:rPr>
              <w:t xml:space="preserve"> </w:t>
            </w:r>
            <w:r w:rsidRPr="00211089">
              <w:rPr>
                <w:rFonts w:cs="Arial"/>
                <w:highlight w:val="lightGray"/>
                <w:u w:val="single"/>
              </w:rPr>
              <w:t>as</w:t>
            </w:r>
            <w:r w:rsidRPr="00211089">
              <w:rPr>
                <w:rFonts w:cs="Arial"/>
                <w:spacing w:val="59"/>
                <w:highlight w:val="lightGray"/>
                <w:u w:val="single"/>
              </w:rPr>
              <w:t xml:space="preserve"> </w:t>
            </w:r>
            <w:r w:rsidR="002E6F21">
              <w:rPr>
                <w:rFonts w:cs="Arial"/>
                <w:highlight w:val="lightGray"/>
                <w:u w:val="single"/>
              </w:rPr>
              <w:t>prescribed</w:t>
            </w:r>
            <w:r w:rsidRPr="00211089">
              <w:rPr>
                <w:rFonts w:cs="Arial"/>
                <w:spacing w:val="23"/>
                <w:highlight w:val="lightGray"/>
                <w:u w:val="single"/>
              </w:rPr>
              <w:t xml:space="preserve"> </w:t>
            </w:r>
            <w:r w:rsidRPr="00211089">
              <w:rPr>
                <w:rFonts w:cs="Arial"/>
                <w:highlight w:val="lightGray"/>
                <w:u w:val="single"/>
              </w:rPr>
              <w:t>under</w:t>
            </w:r>
            <w:r w:rsidRPr="00211089">
              <w:rPr>
                <w:rFonts w:cs="Arial"/>
                <w:spacing w:val="-1"/>
                <w:highlight w:val="lightGray"/>
                <w:u w:val="single"/>
              </w:rPr>
              <w:t xml:space="preserve"> </w:t>
            </w:r>
            <w:r w:rsidRPr="00211089">
              <w:rPr>
                <w:rFonts w:cs="Arial"/>
                <w:highlight w:val="lightGray"/>
                <w:u w:val="single"/>
              </w:rPr>
              <w:t>Section</w:t>
            </w:r>
            <w:r w:rsidRPr="00211089">
              <w:rPr>
                <w:rFonts w:cs="Arial"/>
                <w:spacing w:val="3"/>
                <w:highlight w:val="lightGray"/>
                <w:u w:val="single"/>
              </w:rPr>
              <w:t xml:space="preserve"> </w:t>
            </w:r>
            <w:r w:rsidRPr="00211089">
              <w:rPr>
                <w:rFonts w:cs="Arial"/>
                <w:highlight w:val="lightGray"/>
                <w:u w:val="single"/>
              </w:rPr>
              <w:t>7</w:t>
            </w:r>
            <w:r w:rsidR="002E6F21">
              <w:rPr>
                <w:rFonts w:cs="Arial"/>
                <w:highlight w:val="lightGray"/>
                <w:u w:val="single"/>
              </w:rPr>
              <w:t xml:space="preserve"> of this Act</w:t>
            </w:r>
            <w:r w:rsidRPr="00211089">
              <w:rPr>
                <w:rFonts w:cs="Arial"/>
                <w:highlight w:val="lightGray"/>
                <w:u w:val="single"/>
              </w:rPr>
              <w:t>;</w:t>
            </w:r>
          </w:p>
          <w:p w:rsidR="006249FC" w:rsidRPr="00211089" w:rsidRDefault="006249FC" w:rsidP="006249FC">
            <w:pPr>
              <w:tabs>
                <w:tab w:val="left" w:pos="456"/>
              </w:tabs>
              <w:autoSpaceDE w:val="0"/>
              <w:autoSpaceDN w:val="0"/>
              <w:adjustRightInd w:val="0"/>
              <w:rPr>
                <w:rFonts w:cs="Arial"/>
                <w:bCs/>
              </w:rPr>
            </w:pPr>
          </w:p>
          <w:p w:rsidR="006249FC" w:rsidRPr="00211089" w:rsidRDefault="006249FC" w:rsidP="006249FC">
            <w:pPr>
              <w:tabs>
                <w:tab w:val="left" w:pos="456"/>
              </w:tabs>
              <w:autoSpaceDE w:val="0"/>
              <w:autoSpaceDN w:val="0"/>
              <w:adjustRightInd w:val="0"/>
              <w:rPr>
                <w:rFonts w:cs="Arial"/>
                <w:bCs/>
              </w:rPr>
            </w:pPr>
            <w:r w:rsidRPr="00211089">
              <w:rPr>
                <w:rFonts w:cs="Arial"/>
                <w:bCs/>
              </w:rPr>
              <w:tab/>
              <w:t>[…]</w:t>
            </w:r>
          </w:p>
          <w:p w:rsidR="006249FC" w:rsidRPr="00211089" w:rsidRDefault="006249FC" w:rsidP="006249FC">
            <w:pPr>
              <w:tabs>
                <w:tab w:val="left" w:pos="456"/>
              </w:tabs>
              <w:autoSpaceDE w:val="0"/>
              <w:autoSpaceDN w:val="0"/>
              <w:adjustRightInd w:val="0"/>
              <w:rPr>
                <w:rFonts w:cs="Arial"/>
                <w:bCs/>
                <w:u w:val="single"/>
              </w:rPr>
            </w:pPr>
          </w:p>
        </w:tc>
      </w:tr>
      <w:tr w:rsidR="006249FC" w:rsidRPr="00211089" w:rsidTr="00F66C5A">
        <w:tc>
          <w:tcPr>
            <w:tcW w:w="1284" w:type="dxa"/>
          </w:tcPr>
          <w:p w:rsidR="006249FC" w:rsidRPr="00211089" w:rsidRDefault="006249FC" w:rsidP="00F66C5A">
            <w:pPr>
              <w:autoSpaceDE w:val="0"/>
              <w:autoSpaceDN w:val="0"/>
              <w:adjustRightInd w:val="0"/>
              <w:jc w:val="left"/>
              <w:rPr>
                <w:rFonts w:cs="Arial"/>
                <w:bCs/>
                <w:spacing w:val="-6"/>
              </w:rPr>
            </w:pPr>
          </w:p>
        </w:tc>
        <w:tc>
          <w:tcPr>
            <w:tcW w:w="8571" w:type="dxa"/>
          </w:tcPr>
          <w:p w:rsidR="006249FC" w:rsidRPr="00211089" w:rsidRDefault="006249FC" w:rsidP="006249FC">
            <w:pPr>
              <w:ind w:left="2954" w:right="3030"/>
              <w:jc w:val="center"/>
              <w:rPr>
                <w:rFonts w:cs="Arial"/>
              </w:rPr>
            </w:pPr>
            <w:r w:rsidRPr="00211089">
              <w:rPr>
                <w:rFonts w:cs="Arial"/>
                <w:b/>
                <w:bCs/>
              </w:rPr>
              <w:t>PART</w:t>
            </w:r>
            <w:r w:rsidRPr="00211089">
              <w:rPr>
                <w:rFonts w:cs="Arial"/>
                <w:b/>
                <w:bCs/>
                <w:spacing w:val="-6"/>
              </w:rPr>
              <w:t xml:space="preserve"> </w:t>
            </w:r>
            <w:r w:rsidRPr="00211089">
              <w:rPr>
                <w:rFonts w:cs="Arial"/>
                <w:b/>
                <w:bCs/>
                <w:w w:val="104"/>
              </w:rPr>
              <w:t>II</w:t>
            </w:r>
          </w:p>
          <w:p w:rsidR="006249FC" w:rsidRPr="00211089" w:rsidRDefault="006249FC" w:rsidP="006249FC">
            <w:pPr>
              <w:spacing w:before="22"/>
              <w:ind w:left="1106" w:right="1183"/>
              <w:jc w:val="center"/>
              <w:rPr>
                <w:rFonts w:cs="Arial"/>
              </w:rPr>
            </w:pPr>
            <w:r w:rsidRPr="00211089">
              <w:rPr>
                <w:rFonts w:cs="Arial"/>
                <w:b/>
                <w:bCs/>
              </w:rPr>
              <w:t>PLANT</w:t>
            </w:r>
            <w:r w:rsidRPr="00211089">
              <w:rPr>
                <w:rFonts w:cs="Arial"/>
                <w:b/>
                <w:bCs/>
                <w:spacing w:val="39"/>
              </w:rPr>
              <w:t xml:space="preserve"> </w:t>
            </w:r>
            <w:r w:rsidRPr="00211089">
              <w:rPr>
                <w:rFonts w:cs="Arial"/>
                <w:b/>
                <w:bCs/>
              </w:rPr>
              <w:t xml:space="preserve">BREEDERS' </w:t>
            </w:r>
            <w:r w:rsidRPr="00211089">
              <w:rPr>
                <w:rFonts w:cs="Arial"/>
                <w:b/>
                <w:bCs/>
                <w:spacing w:val="4"/>
              </w:rPr>
              <w:t xml:space="preserve"> </w:t>
            </w:r>
            <w:r w:rsidRPr="00211089">
              <w:rPr>
                <w:rFonts w:cs="Arial"/>
                <w:b/>
                <w:bCs/>
              </w:rPr>
              <w:t>RIGHTS</w:t>
            </w:r>
            <w:r w:rsidRPr="00211089">
              <w:rPr>
                <w:rFonts w:cs="Arial"/>
                <w:b/>
                <w:bCs/>
                <w:spacing w:val="39"/>
              </w:rPr>
              <w:t xml:space="preserve"> </w:t>
            </w:r>
            <w:r w:rsidRPr="00211089">
              <w:rPr>
                <w:rFonts w:cs="Arial"/>
                <w:b/>
                <w:bCs/>
                <w:w w:val="103"/>
              </w:rPr>
              <w:t>REGISTRY</w:t>
            </w:r>
          </w:p>
          <w:p w:rsidR="006249FC" w:rsidRPr="00211089" w:rsidRDefault="006249FC" w:rsidP="00A66554">
            <w:pPr>
              <w:autoSpaceDE w:val="0"/>
              <w:autoSpaceDN w:val="0"/>
              <w:adjustRightInd w:val="0"/>
              <w:rPr>
                <w:rFonts w:cs="Arial"/>
                <w:bCs/>
              </w:rPr>
            </w:pPr>
          </w:p>
        </w:tc>
      </w:tr>
      <w:tr w:rsidR="00987812" w:rsidRPr="00211089" w:rsidTr="00F66C5A">
        <w:tc>
          <w:tcPr>
            <w:tcW w:w="1284" w:type="dxa"/>
          </w:tcPr>
          <w:p w:rsidR="00A66554" w:rsidRPr="00211089" w:rsidRDefault="006249FC" w:rsidP="00F66C5A">
            <w:pPr>
              <w:autoSpaceDE w:val="0"/>
              <w:autoSpaceDN w:val="0"/>
              <w:adjustRightInd w:val="0"/>
              <w:jc w:val="left"/>
              <w:rPr>
                <w:rFonts w:cs="Arial"/>
                <w:bCs/>
                <w:sz w:val="18"/>
                <w:szCs w:val="18"/>
              </w:rPr>
            </w:pPr>
            <w:r w:rsidRPr="00211089">
              <w:rPr>
                <w:rFonts w:cs="Arial"/>
                <w:bCs/>
                <w:sz w:val="18"/>
                <w:szCs w:val="18"/>
              </w:rPr>
              <w:t>Establish</w:t>
            </w:r>
            <w:r w:rsidRPr="00211089">
              <w:rPr>
                <w:rFonts w:cs="Arial"/>
                <w:bCs/>
                <w:sz w:val="18"/>
                <w:szCs w:val="18"/>
              </w:rPr>
              <w:softHyphen/>
              <w:t xml:space="preserve">ment of the </w:t>
            </w:r>
            <w:r w:rsidRPr="00211089">
              <w:rPr>
                <w:rFonts w:cs="Arial"/>
                <w:bCs/>
                <w:strike/>
                <w:sz w:val="18"/>
                <w:szCs w:val="18"/>
                <w:highlight w:val="lightGray"/>
              </w:rPr>
              <w:t>Registry</w:t>
            </w:r>
            <w:r w:rsidRPr="00211089">
              <w:rPr>
                <w:rFonts w:cs="Arial"/>
                <w:bCs/>
                <w:sz w:val="18"/>
                <w:szCs w:val="18"/>
                <w:highlight w:val="lightGray"/>
              </w:rPr>
              <w:t xml:space="preserve"> </w:t>
            </w:r>
            <w:r w:rsidRPr="00211089">
              <w:rPr>
                <w:rFonts w:cs="Arial"/>
                <w:bCs/>
                <w:sz w:val="18"/>
                <w:szCs w:val="18"/>
                <w:highlight w:val="lightGray"/>
                <w:u w:val="single"/>
              </w:rPr>
              <w:t>Office</w:t>
            </w:r>
            <w:r w:rsidR="00B40C9A" w:rsidRPr="00211089">
              <w:rPr>
                <w:rFonts w:cs="Arial"/>
                <w:bCs/>
                <w:sz w:val="18"/>
                <w:szCs w:val="18"/>
              </w:rPr>
              <w:t>.</w:t>
            </w:r>
          </w:p>
        </w:tc>
        <w:tc>
          <w:tcPr>
            <w:tcW w:w="8571" w:type="dxa"/>
          </w:tcPr>
          <w:p w:rsidR="00A66554" w:rsidRPr="00211089" w:rsidRDefault="006249FC" w:rsidP="00987812">
            <w:pPr>
              <w:tabs>
                <w:tab w:val="left" w:pos="340"/>
              </w:tabs>
              <w:autoSpaceDE w:val="0"/>
              <w:autoSpaceDN w:val="0"/>
              <w:adjustRightInd w:val="0"/>
              <w:rPr>
                <w:rFonts w:cs="Arial"/>
              </w:rPr>
            </w:pPr>
            <w:r w:rsidRPr="00211089">
              <w:rPr>
                <w:rFonts w:cs="Arial"/>
                <w:b/>
              </w:rPr>
              <w:tab/>
              <w:t>3.</w:t>
            </w:r>
            <w:r w:rsidRPr="00211089">
              <w:rPr>
                <w:rFonts w:cs="Arial"/>
                <w:spacing w:val="3"/>
              </w:rPr>
              <w:t xml:space="preserve"> </w:t>
            </w:r>
            <w:r w:rsidRPr="00211089">
              <w:rPr>
                <w:rFonts w:cs="Arial"/>
              </w:rPr>
              <w:t>There</w:t>
            </w:r>
            <w:r w:rsidRPr="00211089">
              <w:rPr>
                <w:rFonts w:cs="Arial"/>
                <w:spacing w:val="18"/>
              </w:rPr>
              <w:t xml:space="preserve"> </w:t>
            </w:r>
            <w:r w:rsidRPr="00211089">
              <w:rPr>
                <w:rFonts w:cs="Arial"/>
              </w:rPr>
              <w:t>is</w:t>
            </w:r>
            <w:r w:rsidRPr="00211089">
              <w:rPr>
                <w:rFonts w:cs="Arial"/>
                <w:spacing w:val="23"/>
              </w:rPr>
              <w:t xml:space="preserve"> </w:t>
            </w:r>
            <w:r w:rsidRPr="00211089">
              <w:rPr>
                <w:rFonts w:cs="Arial"/>
              </w:rPr>
              <w:t>hereby</w:t>
            </w:r>
            <w:r w:rsidRPr="00211089">
              <w:rPr>
                <w:rFonts w:cs="Arial"/>
                <w:spacing w:val="1"/>
              </w:rPr>
              <w:t xml:space="preserve"> </w:t>
            </w:r>
            <w:r w:rsidRPr="00211089">
              <w:rPr>
                <w:rFonts w:cs="Arial"/>
              </w:rPr>
              <w:t>established</w:t>
            </w:r>
            <w:r w:rsidRPr="00211089">
              <w:rPr>
                <w:rFonts w:cs="Arial"/>
                <w:spacing w:val="8"/>
              </w:rPr>
              <w:t xml:space="preserve"> </w:t>
            </w:r>
            <w:r w:rsidRPr="00211089">
              <w:rPr>
                <w:rFonts w:cs="Arial"/>
              </w:rPr>
              <w:t>within</w:t>
            </w:r>
            <w:r w:rsidRPr="00211089">
              <w:rPr>
                <w:rFonts w:cs="Arial"/>
                <w:spacing w:val="21"/>
              </w:rPr>
              <w:t xml:space="preserve"> </w:t>
            </w:r>
            <w:r w:rsidRPr="00211089">
              <w:rPr>
                <w:rFonts w:cs="Arial"/>
              </w:rPr>
              <w:t>the</w:t>
            </w:r>
            <w:r w:rsidRPr="00211089">
              <w:rPr>
                <w:rFonts w:cs="Arial"/>
                <w:spacing w:val="15"/>
              </w:rPr>
              <w:t xml:space="preserve"> </w:t>
            </w:r>
            <w:r w:rsidRPr="00211089">
              <w:rPr>
                <w:rFonts w:cs="Arial"/>
              </w:rPr>
              <w:t>Ministry</w:t>
            </w:r>
            <w:r w:rsidRPr="00211089">
              <w:rPr>
                <w:rFonts w:cs="Arial"/>
                <w:spacing w:val="8"/>
              </w:rPr>
              <w:t xml:space="preserve"> </w:t>
            </w:r>
            <w:r w:rsidRPr="00211089">
              <w:rPr>
                <w:rFonts w:cs="Arial"/>
              </w:rPr>
              <w:t>responsible for agricultur</w:t>
            </w:r>
            <w:r w:rsidRPr="00211089">
              <w:rPr>
                <w:rFonts w:cs="Arial"/>
                <w:spacing w:val="-2"/>
              </w:rPr>
              <w:t>e</w:t>
            </w:r>
            <w:r w:rsidR="00CB39C3" w:rsidRPr="00CB39C3">
              <w:rPr>
                <w:rFonts w:cs="Arial"/>
                <w:spacing w:val="-2"/>
                <w:highlight w:val="lightGray"/>
                <w:u w:val="single"/>
              </w:rPr>
              <w:t>,</w:t>
            </w:r>
            <w:r w:rsidR="003512C5" w:rsidRPr="00211089">
              <w:rPr>
                <w:rFonts w:cs="Arial"/>
                <w:spacing w:val="-2"/>
              </w:rPr>
              <w:t xml:space="preserve"> </w:t>
            </w:r>
            <w:r w:rsidR="00914A0C" w:rsidRPr="00914A0C">
              <w:rPr>
                <w:rFonts w:cs="Arial"/>
                <w:strike/>
                <w:spacing w:val="-2"/>
                <w:highlight w:val="lightGray"/>
              </w:rPr>
              <w:t>a</w:t>
            </w:r>
            <w:r w:rsidR="00914A0C">
              <w:rPr>
                <w:rFonts w:cs="Arial"/>
                <w:spacing w:val="-2"/>
              </w:rPr>
              <w:t xml:space="preserve"> </w:t>
            </w:r>
            <w:r w:rsidR="00914A0C" w:rsidRPr="00211089">
              <w:rPr>
                <w:rFonts w:cs="Arial"/>
                <w:strike/>
                <w:spacing w:val="7"/>
                <w:highlight w:val="lightGray"/>
              </w:rPr>
              <w:t>u</w:t>
            </w:r>
            <w:r w:rsidRPr="00211089">
              <w:rPr>
                <w:rFonts w:cs="Arial"/>
                <w:strike/>
                <w:spacing w:val="7"/>
                <w:highlight w:val="lightGray"/>
              </w:rPr>
              <w:t>nit</w:t>
            </w:r>
            <w:r w:rsidRPr="00211089">
              <w:rPr>
                <w:rFonts w:cs="Arial"/>
                <w:spacing w:val="7"/>
                <w:highlight w:val="lightGray"/>
              </w:rPr>
              <w:t xml:space="preserve"> </w:t>
            </w:r>
            <w:r w:rsidR="00914A0C" w:rsidRPr="00914A0C">
              <w:rPr>
                <w:rFonts w:cs="Arial"/>
                <w:spacing w:val="7"/>
                <w:highlight w:val="lightGray"/>
                <w:u w:val="single"/>
              </w:rPr>
              <w:t>an</w:t>
            </w:r>
            <w:r w:rsidR="00914A0C" w:rsidRPr="00914A0C">
              <w:rPr>
                <w:rFonts w:cs="Arial"/>
                <w:spacing w:val="7"/>
              </w:rPr>
              <w:t xml:space="preserve"> </w:t>
            </w:r>
            <w:r w:rsidRPr="00211089">
              <w:rPr>
                <w:rFonts w:cs="Arial"/>
                <w:highlight w:val="lightGray"/>
                <w:u w:val="single"/>
              </w:rPr>
              <w:t>Office</w:t>
            </w:r>
            <w:r w:rsidRPr="00211089">
              <w:rPr>
                <w:rFonts w:cs="Arial"/>
                <w:spacing w:val="-4"/>
              </w:rPr>
              <w:t xml:space="preserve"> </w:t>
            </w:r>
            <w:r w:rsidRPr="00211089">
              <w:rPr>
                <w:rFonts w:cs="Arial"/>
              </w:rPr>
              <w:t>to</w:t>
            </w:r>
            <w:r w:rsidRPr="00211089">
              <w:rPr>
                <w:rFonts w:cs="Arial"/>
                <w:spacing w:val="3"/>
              </w:rPr>
              <w:t xml:space="preserve"> </w:t>
            </w:r>
            <w:r w:rsidRPr="00211089">
              <w:rPr>
                <w:rFonts w:cs="Arial"/>
              </w:rPr>
              <w:t>be</w:t>
            </w:r>
            <w:r w:rsidRPr="00211089">
              <w:rPr>
                <w:rFonts w:cs="Arial"/>
                <w:spacing w:val="-1"/>
              </w:rPr>
              <w:t xml:space="preserve"> </w:t>
            </w:r>
            <w:r w:rsidRPr="00211089">
              <w:rPr>
                <w:rFonts w:cs="Arial"/>
              </w:rPr>
              <w:t>known</w:t>
            </w:r>
            <w:r w:rsidRPr="00211089">
              <w:rPr>
                <w:rFonts w:cs="Arial"/>
                <w:spacing w:val="2"/>
              </w:rPr>
              <w:t xml:space="preserve"> </w:t>
            </w:r>
            <w:r w:rsidRPr="00211089">
              <w:rPr>
                <w:rFonts w:cs="Arial"/>
              </w:rPr>
              <w:t>as</w:t>
            </w:r>
            <w:r w:rsidRPr="00211089">
              <w:rPr>
                <w:rFonts w:cs="Arial"/>
                <w:spacing w:val="-4"/>
              </w:rPr>
              <w:t xml:space="preserve"> </w:t>
            </w:r>
            <w:r w:rsidRPr="00211089">
              <w:rPr>
                <w:rFonts w:cs="Arial"/>
              </w:rPr>
              <w:t>the</w:t>
            </w:r>
            <w:r w:rsidRPr="00211089">
              <w:rPr>
                <w:rFonts w:cs="Arial"/>
                <w:spacing w:val="-2"/>
              </w:rPr>
              <w:t xml:space="preserve"> </w:t>
            </w:r>
            <w:r w:rsidRPr="00211089">
              <w:rPr>
                <w:rFonts w:cs="Arial"/>
              </w:rPr>
              <w:t>Plant</w:t>
            </w:r>
            <w:r w:rsidRPr="00211089">
              <w:rPr>
                <w:rFonts w:cs="Arial"/>
                <w:spacing w:val="8"/>
              </w:rPr>
              <w:t xml:space="preserve"> </w:t>
            </w:r>
            <w:r w:rsidRPr="00211089">
              <w:rPr>
                <w:rFonts w:cs="Arial"/>
              </w:rPr>
              <w:t>Breeders</w:t>
            </w:r>
            <w:r w:rsidRPr="00211089">
              <w:rPr>
                <w:rFonts w:cs="Arial"/>
                <w:spacing w:val="-12"/>
              </w:rPr>
              <w:t xml:space="preserve"> </w:t>
            </w:r>
            <w:r w:rsidRPr="00211089">
              <w:rPr>
                <w:rFonts w:cs="Arial"/>
              </w:rPr>
              <w:t>Rights</w:t>
            </w:r>
            <w:r w:rsidRPr="00211089">
              <w:rPr>
                <w:rFonts w:cs="Arial"/>
                <w:spacing w:val="-6"/>
              </w:rPr>
              <w:t xml:space="preserve"> </w:t>
            </w:r>
            <w:r w:rsidRPr="00211089">
              <w:rPr>
                <w:rFonts w:cs="Arial"/>
                <w:strike/>
                <w:spacing w:val="-6"/>
                <w:highlight w:val="lightGray"/>
              </w:rPr>
              <w:t>Registry</w:t>
            </w:r>
            <w:r w:rsidRPr="00211089">
              <w:rPr>
                <w:rFonts w:cs="Arial"/>
                <w:spacing w:val="-6"/>
                <w:highlight w:val="lightGray"/>
              </w:rPr>
              <w:t xml:space="preserve"> </w:t>
            </w:r>
            <w:r w:rsidRPr="00211089">
              <w:rPr>
                <w:rFonts w:cs="Arial"/>
                <w:highlight w:val="lightGray"/>
                <w:u w:val="single"/>
              </w:rPr>
              <w:t>Offic</w:t>
            </w:r>
            <w:r w:rsidRPr="00211089">
              <w:rPr>
                <w:rFonts w:cs="Arial"/>
                <w:spacing w:val="-6"/>
                <w:highlight w:val="lightGray"/>
                <w:u w:val="single"/>
              </w:rPr>
              <w:t>e</w:t>
            </w:r>
            <w:r w:rsidRPr="00211089">
              <w:rPr>
                <w:rFonts w:cs="Arial"/>
              </w:rPr>
              <w:t>.</w:t>
            </w:r>
          </w:p>
          <w:p w:rsidR="003512C5" w:rsidRPr="00211089" w:rsidRDefault="003512C5" w:rsidP="00F66C5A">
            <w:pPr>
              <w:autoSpaceDE w:val="0"/>
              <w:autoSpaceDN w:val="0"/>
              <w:adjustRightInd w:val="0"/>
              <w:rPr>
                <w:rFonts w:cs="Arial"/>
              </w:rPr>
            </w:pPr>
          </w:p>
          <w:p w:rsidR="003512C5" w:rsidRPr="00211089" w:rsidRDefault="003512C5" w:rsidP="00987812">
            <w:pPr>
              <w:tabs>
                <w:tab w:val="left" w:pos="340"/>
              </w:tabs>
              <w:autoSpaceDE w:val="0"/>
              <w:autoSpaceDN w:val="0"/>
              <w:adjustRightInd w:val="0"/>
              <w:rPr>
                <w:rFonts w:cs="Arial"/>
              </w:rPr>
            </w:pPr>
            <w:r w:rsidRPr="00211089">
              <w:rPr>
                <w:rFonts w:cs="Arial"/>
              </w:rPr>
              <w:tab/>
            </w:r>
            <w:r w:rsidRPr="00211089">
              <w:rPr>
                <w:rFonts w:cs="Arial"/>
                <w:b/>
              </w:rPr>
              <w:t xml:space="preserve">4. </w:t>
            </w:r>
            <w:r w:rsidRPr="00211089">
              <w:rPr>
                <w:rFonts w:cs="Arial"/>
              </w:rPr>
              <w:t>[…]</w:t>
            </w:r>
          </w:p>
          <w:p w:rsidR="003512C5" w:rsidRPr="00211089" w:rsidRDefault="003512C5" w:rsidP="00F66C5A">
            <w:pPr>
              <w:autoSpaceDE w:val="0"/>
              <w:autoSpaceDN w:val="0"/>
              <w:adjustRightInd w:val="0"/>
              <w:rPr>
                <w:rFonts w:cs="Arial"/>
                <w:bCs/>
              </w:rPr>
            </w:pPr>
          </w:p>
          <w:p w:rsidR="003512C5" w:rsidRPr="00211089" w:rsidRDefault="003512C5" w:rsidP="003512C5">
            <w:pPr>
              <w:autoSpaceDE w:val="0"/>
              <w:autoSpaceDN w:val="0"/>
              <w:adjustRightInd w:val="0"/>
              <w:rPr>
                <w:rFonts w:cs="Arial"/>
                <w:bCs/>
              </w:rPr>
            </w:pPr>
            <w:r w:rsidRPr="00211089">
              <w:rPr>
                <w:rFonts w:cs="Arial"/>
                <w:bCs/>
              </w:rPr>
              <w:tab/>
              <w:t>(3)  For the purpose of this section</w:t>
            </w:r>
            <w:r w:rsidR="002E6F21" w:rsidRPr="002E6F21">
              <w:rPr>
                <w:rFonts w:cs="Arial"/>
                <w:bCs/>
                <w:highlight w:val="lightGray"/>
                <w:u w:val="single"/>
              </w:rPr>
              <w:t>,</w:t>
            </w:r>
            <w:r w:rsidRPr="002E6F21">
              <w:rPr>
                <w:rFonts w:cs="Arial"/>
                <w:bCs/>
              </w:rPr>
              <w:t xml:space="preserve"> </w:t>
            </w:r>
            <w:r w:rsidRPr="00211089">
              <w:rPr>
                <w:rFonts w:cs="Arial"/>
                <w:bCs/>
              </w:rPr>
              <w:t>relevant qualification shall include at</w:t>
            </w:r>
            <w:r w:rsidR="002E6F21">
              <w:rPr>
                <w:rFonts w:cs="Arial"/>
                <w:bCs/>
              </w:rPr>
              <w:t>[]</w:t>
            </w:r>
            <w:r w:rsidRPr="00211089">
              <w:rPr>
                <w:rFonts w:cs="Arial"/>
                <w:bCs/>
              </w:rPr>
              <w:t xml:space="preserve">least </w:t>
            </w:r>
            <w:r w:rsidRPr="00211089">
              <w:rPr>
                <w:rFonts w:cs="Arial"/>
                <w:bCs/>
                <w:strike/>
                <w:highlight w:val="lightGray"/>
              </w:rPr>
              <w:t>Masters</w:t>
            </w:r>
            <w:r w:rsidRPr="00211089">
              <w:rPr>
                <w:rFonts w:cs="Arial"/>
                <w:bCs/>
                <w:highlight w:val="lightGray"/>
              </w:rPr>
              <w:t xml:space="preserve"> </w:t>
            </w:r>
            <w:r w:rsidR="002E6F21" w:rsidRPr="002E6F21">
              <w:rPr>
                <w:rFonts w:cs="Arial"/>
                <w:bCs/>
                <w:highlight w:val="lightGray"/>
                <w:u w:val="single"/>
              </w:rPr>
              <w:t>First</w:t>
            </w:r>
            <w:r w:rsidR="002E6F21" w:rsidRPr="002E6F21">
              <w:rPr>
                <w:rFonts w:cs="Arial"/>
                <w:bCs/>
              </w:rPr>
              <w:t xml:space="preserve"> </w:t>
            </w:r>
            <w:r w:rsidRPr="00211089">
              <w:rPr>
                <w:rFonts w:cs="Arial"/>
                <w:bCs/>
              </w:rPr>
              <w:t>Degree from any recognized institution in the field of agricultural science, law or related field with a minimum experience of five years in the said field.</w:t>
            </w:r>
          </w:p>
          <w:p w:rsidR="003512C5" w:rsidRPr="00211089" w:rsidRDefault="003512C5" w:rsidP="003512C5">
            <w:pPr>
              <w:autoSpaceDE w:val="0"/>
              <w:autoSpaceDN w:val="0"/>
              <w:adjustRightInd w:val="0"/>
              <w:rPr>
                <w:rFonts w:cs="Arial"/>
                <w:bCs/>
              </w:rPr>
            </w:pPr>
          </w:p>
          <w:p w:rsidR="003512C5" w:rsidRPr="00211089" w:rsidRDefault="003512C5" w:rsidP="00987812">
            <w:pPr>
              <w:tabs>
                <w:tab w:val="left" w:pos="366"/>
              </w:tabs>
              <w:autoSpaceDE w:val="0"/>
              <w:autoSpaceDN w:val="0"/>
              <w:adjustRightInd w:val="0"/>
              <w:rPr>
                <w:rFonts w:cs="Arial"/>
                <w:bCs/>
              </w:rPr>
            </w:pPr>
            <w:r w:rsidRPr="00211089">
              <w:rPr>
                <w:rFonts w:cs="Arial"/>
                <w:bCs/>
              </w:rPr>
              <w:tab/>
              <w:t>[…]</w:t>
            </w:r>
          </w:p>
          <w:p w:rsidR="003512C5" w:rsidRPr="00211089" w:rsidRDefault="003512C5" w:rsidP="003512C5">
            <w:pPr>
              <w:autoSpaceDE w:val="0"/>
              <w:autoSpaceDN w:val="0"/>
              <w:adjustRightInd w:val="0"/>
              <w:rPr>
                <w:rFonts w:cs="Arial"/>
                <w:bCs/>
              </w:rPr>
            </w:pPr>
          </w:p>
        </w:tc>
      </w:tr>
      <w:tr w:rsidR="00987812" w:rsidRPr="00211089" w:rsidTr="00F66C5A">
        <w:tc>
          <w:tcPr>
            <w:tcW w:w="1284" w:type="dxa"/>
          </w:tcPr>
          <w:p w:rsidR="003512C5" w:rsidRPr="00211089" w:rsidRDefault="003512C5" w:rsidP="00F66C5A">
            <w:pPr>
              <w:autoSpaceDE w:val="0"/>
              <w:autoSpaceDN w:val="0"/>
              <w:adjustRightInd w:val="0"/>
              <w:jc w:val="left"/>
              <w:rPr>
                <w:rFonts w:cs="Arial"/>
                <w:bCs/>
                <w:sz w:val="18"/>
                <w:szCs w:val="18"/>
              </w:rPr>
            </w:pPr>
            <w:r w:rsidRPr="00211089">
              <w:rPr>
                <w:rFonts w:cs="Arial"/>
                <w:bCs/>
                <w:sz w:val="18"/>
                <w:szCs w:val="18"/>
              </w:rPr>
              <w:t>Plant Breeders' Rights Advisory Committee</w:t>
            </w:r>
            <w:r w:rsidR="00B40C9A" w:rsidRPr="00211089">
              <w:rPr>
                <w:rFonts w:cs="Arial"/>
                <w:bCs/>
                <w:sz w:val="18"/>
                <w:szCs w:val="18"/>
              </w:rPr>
              <w:t>.</w:t>
            </w:r>
          </w:p>
        </w:tc>
        <w:tc>
          <w:tcPr>
            <w:tcW w:w="8571" w:type="dxa"/>
          </w:tcPr>
          <w:p w:rsidR="003512C5" w:rsidRPr="00211089" w:rsidRDefault="003512C5" w:rsidP="00987812">
            <w:pPr>
              <w:tabs>
                <w:tab w:val="left" w:pos="340"/>
              </w:tabs>
              <w:autoSpaceDE w:val="0"/>
              <w:autoSpaceDN w:val="0"/>
              <w:adjustRightInd w:val="0"/>
              <w:rPr>
                <w:rFonts w:cs="Arial"/>
              </w:rPr>
            </w:pPr>
            <w:r w:rsidRPr="00211089">
              <w:rPr>
                <w:rFonts w:cs="Arial"/>
                <w:b/>
              </w:rPr>
              <w:tab/>
              <w:t>9.</w:t>
            </w:r>
            <w:r w:rsidRPr="00211089">
              <w:rPr>
                <w:rFonts w:cs="Arial"/>
              </w:rPr>
              <w:t xml:space="preserve"> […]</w:t>
            </w:r>
          </w:p>
          <w:p w:rsidR="003512C5" w:rsidRPr="00211089" w:rsidRDefault="003512C5" w:rsidP="00F66C5A">
            <w:pPr>
              <w:autoSpaceDE w:val="0"/>
              <w:autoSpaceDN w:val="0"/>
              <w:adjustRightInd w:val="0"/>
              <w:rPr>
                <w:rFonts w:cs="Arial"/>
              </w:rPr>
            </w:pPr>
          </w:p>
          <w:p w:rsidR="003512C5" w:rsidRPr="00211089" w:rsidRDefault="003512C5" w:rsidP="00F66C5A">
            <w:pPr>
              <w:autoSpaceDE w:val="0"/>
              <w:autoSpaceDN w:val="0"/>
              <w:adjustRightInd w:val="0"/>
              <w:rPr>
                <w:rFonts w:cs="Arial"/>
              </w:rPr>
            </w:pPr>
            <w:r w:rsidRPr="00211089">
              <w:rPr>
                <w:rFonts w:cs="Arial"/>
              </w:rPr>
              <w:tab/>
              <w:t>(2)</w:t>
            </w:r>
            <w:r w:rsidR="00987812" w:rsidRPr="00211089">
              <w:rPr>
                <w:rFonts w:cs="Arial"/>
              </w:rPr>
              <w:t xml:space="preserve"> […]</w:t>
            </w:r>
          </w:p>
          <w:p w:rsidR="00987812" w:rsidRPr="00211089" w:rsidRDefault="00987812" w:rsidP="00F66C5A">
            <w:pPr>
              <w:autoSpaceDE w:val="0"/>
              <w:autoSpaceDN w:val="0"/>
              <w:adjustRightInd w:val="0"/>
              <w:rPr>
                <w:rFonts w:cs="Arial"/>
              </w:rPr>
            </w:pPr>
          </w:p>
          <w:p w:rsidR="00987812" w:rsidRPr="00211089" w:rsidRDefault="00987812" w:rsidP="00987812">
            <w:pPr>
              <w:tabs>
                <w:tab w:val="left" w:pos="984"/>
              </w:tabs>
              <w:autoSpaceDE w:val="0"/>
              <w:autoSpaceDN w:val="0"/>
              <w:adjustRightInd w:val="0"/>
              <w:rPr>
                <w:rFonts w:cs="Arial"/>
                <w:w w:val="102"/>
              </w:rPr>
            </w:pPr>
            <w:r w:rsidRPr="00211089">
              <w:rPr>
                <w:rFonts w:cs="Arial"/>
              </w:rPr>
              <w:tab/>
              <w:t xml:space="preserve">(a)  </w:t>
            </w:r>
            <w:r w:rsidR="00914A0C" w:rsidRPr="00914A0C">
              <w:rPr>
                <w:rFonts w:cs="Arial"/>
              </w:rPr>
              <w:t>one</w:t>
            </w:r>
            <w:r w:rsidR="00914A0C" w:rsidRPr="00914A0C">
              <w:rPr>
                <w:rFonts w:cs="Arial"/>
                <w:strike/>
                <w:highlight w:val="lightGray"/>
              </w:rPr>
              <w:t xml:space="preserve"> representative</w:t>
            </w:r>
            <w:r w:rsidR="00914A0C">
              <w:rPr>
                <w:rFonts w:cs="Arial"/>
              </w:rPr>
              <w:t xml:space="preserve"> </w:t>
            </w:r>
            <w:r w:rsidR="002E6F21" w:rsidRPr="002E6F21">
              <w:rPr>
                <w:rFonts w:cs="Arial"/>
                <w:highlight w:val="lightGray"/>
                <w:u w:val="single"/>
              </w:rPr>
              <w:t xml:space="preserve">senior </w:t>
            </w:r>
            <w:r w:rsidRPr="002E6F21">
              <w:rPr>
                <w:rFonts w:cs="Arial"/>
                <w:highlight w:val="lightGray"/>
                <w:u w:val="single"/>
              </w:rPr>
              <w:t>officer</w:t>
            </w:r>
            <w:r w:rsidR="00914A0C" w:rsidRPr="002E6F21">
              <w:rPr>
                <w:rFonts w:cs="Arial"/>
                <w:highlight w:val="lightGray"/>
                <w:u w:val="single"/>
              </w:rPr>
              <w:t xml:space="preserve"> </w:t>
            </w:r>
            <w:r w:rsidR="002E6F21" w:rsidRPr="002E6F21">
              <w:rPr>
                <w:rFonts w:cs="Arial"/>
                <w:highlight w:val="lightGray"/>
                <w:u w:val="single"/>
              </w:rPr>
              <w:t>with qualification</w:t>
            </w:r>
            <w:r w:rsidRPr="002E6F21">
              <w:rPr>
                <w:rFonts w:cs="Arial"/>
                <w:spacing w:val="46"/>
                <w:highlight w:val="lightGray"/>
                <w:u w:val="single"/>
              </w:rPr>
              <w:t xml:space="preserve"> </w:t>
            </w:r>
            <w:r w:rsidRPr="002E6F21">
              <w:rPr>
                <w:rFonts w:cs="Arial"/>
                <w:highlight w:val="lightGray"/>
                <w:u w:val="single"/>
              </w:rPr>
              <w:t>in</w:t>
            </w:r>
            <w:r w:rsidRPr="002E6F21">
              <w:rPr>
                <w:rFonts w:cs="Arial"/>
                <w:spacing w:val="16"/>
                <w:highlight w:val="lightGray"/>
                <w:u w:val="single"/>
              </w:rPr>
              <w:t xml:space="preserve"> </w:t>
            </w:r>
            <w:r w:rsidR="002E6F21" w:rsidRPr="002E6F21">
              <w:rPr>
                <w:rFonts w:cs="Arial"/>
                <w:highlight w:val="lightGray"/>
                <w:u w:val="single"/>
              </w:rPr>
              <w:t>a</w:t>
            </w:r>
            <w:r w:rsidRPr="002E6F21">
              <w:rPr>
                <w:rFonts w:cs="Arial"/>
                <w:highlight w:val="lightGray"/>
                <w:u w:val="single"/>
              </w:rPr>
              <w:t>gricultural</w:t>
            </w:r>
            <w:r w:rsidRPr="002E6F21">
              <w:rPr>
                <w:rFonts w:cs="Arial"/>
                <w:spacing w:val="47"/>
                <w:highlight w:val="lightGray"/>
                <w:u w:val="single"/>
              </w:rPr>
              <w:t xml:space="preserve"> </w:t>
            </w:r>
            <w:r w:rsidR="002E6F21" w:rsidRPr="002E6F21">
              <w:rPr>
                <w:rFonts w:cs="Arial"/>
                <w:w w:val="102"/>
                <w:highlight w:val="lightGray"/>
                <w:u w:val="single"/>
              </w:rPr>
              <w:t>s</w:t>
            </w:r>
            <w:r w:rsidRPr="002E6F21">
              <w:rPr>
                <w:rFonts w:cs="Arial"/>
                <w:w w:val="102"/>
                <w:highlight w:val="lightGray"/>
                <w:u w:val="single"/>
              </w:rPr>
              <w:t xml:space="preserve">cience </w:t>
            </w:r>
            <w:r w:rsidRPr="00914A0C">
              <w:rPr>
                <w:rFonts w:cs="Arial"/>
              </w:rPr>
              <w:t>from</w:t>
            </w:r>
            <w:r w:rsidRPr="00211089">
              <w:rPr>
                <w:rFonts w:cs="Arial"/>
                <w:spacing w:val="20"/>
              </w:rPr>
              <w:t xml:space="preserve"> </w:t>
            </w:r>
            <w:r w:rsidRPr="00211089">
              <w:rPr>
                <w:rFonts w:cs="Arial"/>
              </w:rPr>
              <w:t>the</w:t>
            </w:r>
            <w:r w:rsidRPr="00211089">
              <w:rPr>
                <w:rFonts w:cs="Arial"/>
                <w:spacing w:val="20"/>
              </w:rPr>
              <w:t xml:space="preserve"> </w:t>
            </w:r>
            <w:r w:rsidRPr="00211089">
              <w:rPr>
                <w:rFonts w:cs="Arial"/>
              </w:rPr>
              <w:t>Ministry,</w:t>
            </w:r>
            <w:r w:rsidRPr="00211089">
              <w:rPr>
                <w:rFonts w:cs="Arial"/>
                <w:spacing w:val="-6"/>
              </w:rPr>
              <w:t xml:space="preserve"> </w:t>
            </w:r>
            <w:r w:rsidRPr="00211089">
              <w:rPr>
                <w:rFonts w:cs="Arial"/>
              </w:rPr>
              <w:t>who</w:t>
            </w:r>
            <w:r w:rsidRPr="00211089">
              <w:rPr>
                <w:rFonts w:cs="Arial"/>
                <w:spacing w:val="18"/>
              </w:rPr>
              <w:t xml:space="preserve"> </w:t>
            </w:r>
            <w:r w:rsidRPr="00211089">
              <w:rPr>
                <w:rFonts w:cs="Arial"/>
              </w:rPr>
              <w:t>shall</w:t>
            </w:r>
            <w:r w:rsidRPr="00211089">
              <w:rPr>
                <w:rFonts w:cs="Arial"/>
                <w:spacing w:val="13"/>
              </w:rPr>
              <w:t xml:space="preserve"> </w:t>
            </w:r>
            <w:r w:rsidRPr="00211089">
              <w:rPr>
                <w:rFonts w:cs="Arial"/>
              </w:rPr>
              <w:t>be</w:t>
            </w:r>
            <w:r w:rsidRPr="00211089">
              <w:rPr>
                <w:rFonts w:cs="Arial"/>
                <w:spacing w:val="9"/>
              </w:rPr>
              <w:t xml:space="preserve"> </w:t>
            </w:r>
            <w:r w:rsidRPr="00211089">
              <w:rPr>
                <w:rFonts w:cs="Arial"/>
              </w:rPr>
              <w:t>the</w:t>
            </w:r>
            <w:r w:rsidRPr="00211089">
              <w:rPr>
                <w:rFonts w:cs="Arial"/>
                <w:spacing w:val="15"/>
              </w:rPr>
              <w:t xml:space="preserve"> </w:t>
            </w:r>
            <w:r w:rsidRPr="00211089">
              <w:rPr>
                <w:rFonts w:cs="Arial"/>
              </w:rPr>
              <w:t>Chairperson</w:t>
            </w:r>
            <w:r w:rsidRPr="00211089">
              <w:rPr>
                <w:rFonts w:cs="Arial"/>
                <w:spacing w:val="26"/>
              </w:rPr>
              <w:t xml:space="preserve"> </w:t>
            </w:r>
            <w:r w:rsidRPr="00211089">
              <w:rPr>
                <w:rFonts w:cs="Arial"/>
              </w:rPr>
              <w:t>to</w:t>
            </w:r>
            <w:r w:rsidRPr="00211089">
              <w:rPr>
                <w:rFonts w:cs="Arial"/>
                <w:spacing w:val="15"/>
              </w:rPr>
              <w:t xml:space="preserve"> </w:t>
            </w:r>
            <w:r w:rsidRPr="00211089">
              <w:rPr>
                <w:rFonts w:cs="Arial"/>
                <w:w w:val="102"/>
              </w:rPr>
              <w:t>the Committee;</w:t>
            </w:r>
          </w:p>
          <w:p w:rsidR="00987812" w:rsidRPr="00211089" w:rsidRDefault="00987812" w:rsidP="00F66C5A">
            <w:pPr>
              <w:autoSpaceDE w:val="0"/>
              <w:autoSpaceDN w:val="0"/>
              <w:adjustRightInd w:val="0"/>
              <w:rPr>
                <w:rFonts w:cs="Arial"/>
              </w:rPr>
            </w:pPr>
          </w:p>
          <w:p w:rsidR="00987812" w:rsidRPr="00211089" w:rsidRDefault="00987812" w:rsidP="00987812">
            <w:pPr>
              <w:tabs>
                <w:tab w:val="left" w:pos="981"/>
              </w:tabs>
              <w:autoSpaceDE w:val="0"/>
              <w:autoSpaceDN w:val="0"/>
              <w:adjustRightInd w:val="0"/>
              <w:rPr>
                <w:rFonts w:cs="Arial"/>
              </w:rPr>
            </w:pPr>
            <w:r w:rsidRPr="00211089">
              <w:rPr>
                <w:rFonts w:cs="Arial"/>
              </w:rPr>
              <w:tab/>
              <w:t>[…]</w:t>
            </w:r>
          </w:p>
          <w:p w:rsidR="00987812" w:rsidRPr="00211089" w:rsidRDefault="00987812" w:rsidP="00F66C5A">
            <w:pPr>
              <w:autoSpaceDE w:val="0"/>
              <w:autoSpaceDN w:val="0"/>
              <w:adjustRightInd w:val="0"/>
              <w:rPr>
                <w:rFonts w:cs="Arial"/>
              </w:rPr>
            </w:pPr>
          </w:p>
          <w:p w:rsidR="00987812" w:rsidRPr="00211089" w:rsidRDefault="00987812" w:rsidP="00987812">
            <w:pPr>
              <w:tabs>
                <w:tab w:val="left" w:pos="981"/>
              </w:tabs>
              <w:autoSpaceDE w:val="0"/>
              <w:autoSpaceDN w:val="0"/>
              <w:adjustRightInd w:val="0"/>
              <w:rPr>
                <w:rFonts w:cs="Arial"/>
                <w:u w:val="single"/>
              </w:rPr>
            </w:pPr>
            <w:r w:rsidRPr="00211089">
              <w:rPr>
                <w:rFonts w:cs="Arial"/>
              </w:rPr>
              <w:tab/>
            </w:r>
            <w:r w:rsidRPr="00211089">
              <w:rPr>
                <w:rFonts w:cs="Arial"/>
                <w:highlight w:val="lightGray"/>
                <w:u w:val="single"/>
              </w:rPr>
              <w:t xml:space="preserve">(g)  </w:t>
            </w:r>
            <w:r w:rsidR="002E6F21">
              <w:rPr>
                <w:rFonts w:cs="Arial"/>
                <w:highlight w:val="lightGray"/>
                <w:u w:val="single"/>
              </w:rPr>
              <w:t>A Legal Officer</w:t>
            </w:r>
            <w:r w:rsidRPr="00211089">
              <w:rPr>
                <w:rFonts w:cs="Arial"/>
                <w:highlight w:val="lightGray"/>
                <w:u w:val="single"/>
              </w:rPr>
              <w:t xml:space="preserve"> from the Ministry;</w:t>
            </w:r>
          </w:p>
          <w:p w:rsidR="00987812" w:rsidRPr="00211089" w:rsidRDefault="00987812" w:rsidP="00F66C5A">
            <w:pPr>
              <w:autoSpaceDE w:val="0"/>
              <w:autoSpaceDN w:val="0"/>
              <w:adjustRightInd w:val="0"/>
              <w:rPr>
                <w:rFonts w:cs="Arial"/>
              </w:rPr>
            </w:pPr>
          </w:p>
          <w:p w:rsidR="00987812" w:rsidRPr="00211089" w:rsidRDefault="00987812" w:rsidP="00062A3D">
            <w:pPr>
              <w:tabs>
                <w:tab w:val="left" w:pos="321"/>
              </w:tabs>
              <w:autoSpaceDE w:val="0"/>
              <w:autoSpaceDN w:val="0"/>
              <w:adjustRightInd w:val="0"/>
              <w:rPr>
                <w:rFonts w:cs="Arial"/>
                <w:b/>
              </w:rPr>
            </w:pPr>
            <w:r w:rsidRPr="00211089">
              <w:rPr>
                <w:rFonts w:cs="Arial"/>
              </w:rPr>
              <w:tab/>
              <w:t>[…]</w:t>
            </w:r>
          </w:p>
        </w:tc>
      </w:tr>
      <w:tr w:rsidR="00987812" w:rsidRPr="00211089" w:rsidTr="00F66C5A">
        <w:tc>
          <w:tcPr>
            <w:tcW w:w="1284" w:type="dxa"/>
          </w:tcPr>
          <w:p w:rsidR="00987812" w:rsidRPr="00211089" w:rsidRDefault="00643967" w:rsidP="00F66C5A">
            <w:pPr>
              <w:autoSpaceDE w:val="0"/>
              <w:autoSpaceDN w:val="0"/>
              <w:adjustRightInd w:val="0"/>
              <w:jc w:val="left"/>
              <w:rPr>
                <w:rFonts w:cs="Arial"/>
                <w:bCs/>
              </w:rPr>
            </w:pPr>
            <w:r w:rsidRPr="00211089">
              <w:rPr>
                <w:rFonts w:cs="Arial"/>
                <w:bCs/>
              </w:rPr>
              <w:t>[…]</w:t>
            </w:r>
          </w:p>
          <w:p w:rsidR="00987812" w:rsidRPr="00211089" w:rsidRDefault="00987812" w:rsidP="00F66C5A">
            <w:pPr>
              <w:autoSpaceDE w:val="0"/>
              <w:autoSpaceDN w:val="0"/>
              <w:adjustRightInd w:val="0"/>
              <w:jc w:val="left"/>
              <w:rPr>
                <w:rFonts w:cs="Arial"/>
                <w:bCs/>
              </w:rPr>
            </w:pPr>
          </w:p>
        </w:tc>
        <w:tc>
          <w:tcPr>
            <w:tcW w:w="8571" w:type="dxa"/>
          </w:tcPr>
          <w:p w:rsidR="00987812" w:rsidRPr="00211089" w:rsidRDefault="00987812" w:rsidP="00F66C5A">
            <w:pPr>
              <w:autoSpaceDE w:val="0"/>
              <w:autoSpaceDN w:val="0"/>
              <w:adjustRightInd w:val="0"/>
              <w:rPr>
                <w:rFonts w:cs="Arial"/>
              </w:rPr>
            </w:pPr>
          </w:p>
          <w:p w:rsidR="00987812" w:rsidRPr="00211089" w:rsidRDefault="00987812" w:rsidP="00F66C5A">
            <w:pPr>
              <w:autoSpaceDE w:val="0"/>
              <w:autoSpaceDN w:val="0"/>
              <w:adjustRightInd w:val="0"/>
              <w:rPr>
                <w:rFonts w:cs="Arial"/>
              </w:rPr>
            </w:pPr>
          </w:p>
        </w:tc>
      </w:tr>
      <w:tr w:rsidR="00987812" w:rsidRPr="00211089" w:rsidTr="00A02C74">
        <w:trPr>
          <w:cantSplit/>
        </w:trPr>
        <w:tc>
          <w:tcPr>
            <w:tcW w:w="1284" w:type="dxa"/>
          </w:tcPr>
          <w:p w:rsidR="00987812" w:rsidRPr="00211089" w:rsidRDefault="00987812" w:rsidP="00312E11">
            <w:pPr>
              <w:keepLines/>
              <w:autoSpaceDE w:val="0"/>
              <w:autoSpaceDN w:val="0"/>
              <w:adjustRightInd w:val="0"/>
              <w:jc w:val="left"/>
              <w:rPr>
                <w:rFonts w:cs="Arial"/>
                <w:bCs/>
                <w:sz w:val="18"/>
                <w:szCs w:val="18"/>
                <w:u w:val="single"/>
              </w:rPr>
            </w:pPr>
            <w:r w:rsidRPr="00211089">
              <w:rPr>
                <w:rFonts w:cs="Arial"/>
                <w:bCs/>
                <w:sz w:val="18"/>
                <w:szCs w:val="18"/>
                <w:highlight w:val="lightGray"/>
                <w:u w:val="single"/>
              </w:rPr>
              <w:lastRenderedPageBreak/>
              <w:t>Meeting</w:t>
            </w:r>
            <w:r w:rsidRPr="00211089">
              <w:rPr>
                <w:rFonts w:cs="Arial"/>
                <w:bCs/>
                <w:sz w:val="18"/>
                <w:szCs w:val="18"/>
                <w:highlight w:val="lightGray"/>
                <w:u w:val="single"/>
              </w:rPr>
              <w:br/>
              <w:t>and Procedure</w:t>
            </w:r>
            <w:r w:rsidRPr="00211089">
              <w:rPr>
                <w:rFonts w:cs="Arial"/>
                <w:bCs/>
                <w:sz w:val="18"/>
                <w:szCs w:val="18"/>
                <w:highlight w:val="lightGray"/>
                <w:u w:val="single"/>
              </w:rPr>
              <w:br/>
              <w:t>of the Committee</w:t>
            </w:r>
            <w:r w:rsidR="00B40C9A" w:rsidRPr="00211089">
              <w:rPr>
                <w:rFonts w:cs="Arial"/>
                <w:bCs/>
                <w:sz w:val="18"/>
                <w:szCs w:val="18"/>
              </w:rPr>
              <w:t>.</w:t>
            </w:r>
          </w:p>
        </w:tc>
        <w:tc>
          <w:tcPr>
            <w:tcW w:w="8571" w:type="dxa"/>
          </w:tcPr>
          <w:p w:rsidR="00987812" w:rsidRPr="00211089" w:rsidRDefault="00987812" w:rsidP="00987812">
            <w:pPr>
              <w:tabs>
                <w:tab w:val="left" w:pos="417"/>
              </w:tabs>
              <w:autoSpaceDE w:val="0"/>
              <w:autoSpaceDN w:val="0"/>
              <w:adjustRightInd w:val="0"/>
              <w:rPr>
                <w:rFonts w:cs="Arial"/>
                <w:highlight w:val="lightGray"/>
                <w:u w:val="single"/>
              </w:rPr>
            </w:pPr>
            <w:r w:rsidRPr="00211089">
              <w:rPr>
                <w:rFonts w:cs="Arial"/>
              </w:rPr>
              <w:tab/>
            </w:r>
            <w:r w:rsidRPr="00211089">
              <w:rPr>
                <w:rFonts w:cs="Arial"/>
                <w:b/>
                <w:highlight w:val="lightGray"/>
                <w:u w:val="single"/>
              </w:rPr>
              <w:t>11.</w:t>
            </w:r>
            <w:r w:rsidR="00914A0C">
              <w:rPr>
                <w:rFonts w:cs="Arial"/>
                <w:b/>
                <w:highlight w:val="lightGray"/>
                <w:u w:val="single"/>
              </w:rPr>
              <w:t xml:space="preserve"> </w:t>
            </w:r>
            <w:r w:rsidRPr="00211089">
              <w:rPr>
                <w:rFonts w:cs="Arial"/>
                <w:highlight w:val="lightGray"/>
                <w:u w:val="single"/>
              </w:rPr>
              <w:t>(1) The meetings of the Committee shall be convened by the Secretary of the Committee, in consultation with the Chairperson, once in every quarter of a year.</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highlight w:val="lightGray"/>
                <w:u w:val="single"/>
              </w:rPr>
            </w:pPr>
            <w:r w:rsidRPr="00211089">
              <w:rPr>
                <w:rFonts w:cs="Arial"/>
              </w:rPr>
              <w:tab/>
            </w:r>
            <w:r w:rsidR="002E6F21">
              <w:rPr>
                <w:rFonts w:cs="Arial"/>
                <w:highlight w:val="lightGray"/>
                <w:u w:val="single"/>
              </w:rPr>
              <w:t>(2) The C</w:t>
            </w:r>
            <w:r w:rsidRPr="00211089">
              <w:rPr>
                <w:rFonts w:cs="Arial"/>
                <w:highlight w:val="lightGray"/>
                <w:u w:val="single"/>
              </w:rPr>
              <w:t>hairperson may convene an extra ordinary meeting when deemed necessary.</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highlight w:val="lightGray"/>
                <w:u w:val="single"/>
              </w:rPr>
            </w:pPr>
            <w:r w:rsidRPr="00211089">
              <w:rPr>
                <w:rFonts w:cs="Arial"/>
              </w:rPr>
              <w:tab/>
            </w:r>
            <w:r w:rsidR="00643967" w:rsidRPr="00211089">
              <w:rPr>
                <w:rFonts w:cs="Arial"/>
                <w:highlight w:val="lightGray"/>
                <w:u w:val="single"/>
              </w:rPr>
              <w:t xml:space="preserve">(3) Subject to subsection </w:t>
            </w:r>
            <w:r w:rsidR="002E6F21">
              <w:rPr>
                <w:rFonts w:cs="Arial"/>
                <w:highlight w:val="lightGray"/>
                <w:u w:val="single"/>
              </w:rPr>
              <w:t>(1) of this s</w:t>
            </w:r>
            <w:r w:rsidRPr="00211089">
              <w:rPr>
                <w:rFonts w:cs="Arial"/>
                <w:highlight w:val="lightGray"/>
                <w:u w:val="single"/>
              </w:rPr>
              <w:t>ection</w:t>
            </w:r>
            <w:r w:rsidR="002E6F21">
              <w:rPr>
                <w:rFonts w:cs="Arial"/>
                <w:highlight w:val="lightGray"/>
                <w:u w:val="single"/>
              </w:rPr>
              <w:t>,</w:t>
            </w:r>
            <w:r w:rsidRPr="00211089">
              <w:rPr>
                <w:rFonts w:cs="Arial"/>
                <w:highlight w:val="lightGray"/>
                <w:u w:val="single"/>
              </w:rPr>
              <w:t xml:space="preserve"> the Secretary shall</w:t>
            </w:r>
            <w:r w:rsidR="00643967" w:rsidRPr="00211089">
              <w:rPr>
                <w:rFonts w:cs="Arial"/>
                <w:highlight w:val="lightGray"/>
                <w:u w:val="single"/>
              </w:rPr>
              <w:t xml:space="preserve"> </w:t>
            </w:r>
            <w:r w:rsidRPr="00211089">
              <w:rPr>
                <w:rFonts w:cs="Arial"/>
                <w:highlight w:val="lightGray"/>
                <w:u w:val="single"/>
              </w:rPr>
              <w:t>give at least seven days</w:t>
            </w:r>
            <w:r w:rsidR="002E6F21">
              <w:rPr>
                <w:rFonts w:cs="Arial"/>
                <w:highlight w:val="lightGray"/>
                <w:u w:val="single"/>
              </w:rPr>
              <w:t xml:space="preserve"> </w:t>
            </w:r>
            <w:r w:rsidRPr="00211089">
              <w:rPr>
                <w:rFonts w:cs="Arial"/>
                <w:highlight w:val="lightGray"/>
                <w:u w:val="single"/>
              </w:rPr>
              <w:t>notice in writing to each of</w:t>
            </w:r>
            <w:r w:rsidR="00643967" w:rsidRPr="00211089">
              <w:rPr>
                <w:rFonts w:cs="Arial"/>
                <w:highlight w:val="lightGray"/>
                <w:u w:val="single"/>
              </w:rPr>
              <w:t xml:space="preserve"> </w:t>
            </w:r>
            <w:r w:rsidRPr="00211089">
              <w:rPr>
                <w:rFonts w:cs="Arial"/>
                <w:highlight w:val="lightGray"/>
                <w:u w:val="single"/>
              </w:rPr>
              <w:t xml:space="preserve">the </w:t>
            </w:r>
            <w:r w:rsidR="00643967" w:rsidRPr="00211089">
              <w:rPr>
                <w:rFonts w:cs="Arial"/>
                <w:highlight w:val="lightGray"/>
                <w:u w:val="single"/>
              </w:rPr>
              <w:t xml:space="preserve">members </w:t>
            </w:r>
            <w:r w:rsidRPr="00211089">
              <w:rPr>
                <w:rFonts w:cs="Arial"/>
                <w:highlight w:val="lightGray"/>
                <w:u w:val="single"/>
              </w:rPr>
              <w:t>of the</w:t>
            </w:r>
            <w:r w:rsidR="00643967" w:rsidRPr="00211089">
              <w:rPr>
                <w:rFonts w:cs="Arial"/>
                <w:highlight w:val="lightGray"/>
                <w:u w:val="single"/>
              </w:rPr>
              <w:t xml:space="preserve"> </w:t>
            </w:r>
            <w:r w:rsidRPr="00211089">
              <w:rPr>
                <w:rFonts w:cs="Arial"/>
                <w:highlight w:val="lightGray"/>
                <w:u w:val="single"/>
              </w:rPr>
              <w:t>Committee specifying the time and place appointed for an</w:t>
            </w:r>
            <w:r w:rsidR="00643967" w:rsidRPr="00211089">
              <w:rPr>
                <w:rFonts w:cs="Arial"/>
                <w:highlight w:val="lightGray"/>
                <w:u w:val="single"/>
              </w:rPr>
              <w:t>d</w:t>
            </w:r>
            <w:r w:rsidRPr="00211089">
              <w:rPr>
                <w:rFonts w:cs="Arial"/>
                <w:highlight w:val="lightGray"/>
                <w:u w:val="single"/>
              </w:rPr>
              <w:t xml:space="preserve"> the business proposed to be transacted at </w:t>
            </w:r>
            <w:r w:rsidR="00643967" w:rsidRPr="00211089">
              <w:rPr>
                <w:rFonts w:cs="Arial"/>
                <w:highlight w:val="lightGray"/>
                <w:u w:val="single"/>
              </w:rPr>
              <w:t xml:space="preserve">a </w:t>
            </w:r>
            <w:r w:rsidR="002E6F21">
              <w:rPr>
                <w:rFonts w:cs="Arial"/>
                <w:highlight w:val="lightGray"/>
                <w:u w:val="single"/>
              </w:rPr>
              <w:t>meeting of the Committee;</w:t>
            </w:r>
            <w:r w:rsidRPr="00211089">
              <w:rPr>
                <w:rFonts w:cs="Arial"/>
                <w:highlight w:val="lightGray"/>
                <w:u w:val="single"/>
              </w:rPr>
              <w:t xml:space="preserve"> Provided that the extra ordinary meeting may be convened on no</w:t>
            </w:r>
            <w:r w:rsidR="00643967" w:rsidRPr="00211089">
              <w:rPr>
                <w:rFonts w:cs="Arial"/>
                <w:highlight w:val="lightGray"/>
                <w:u w:val="single"/>
              </w:rPr>
              <w:t xml:space="preserve">t </w:t>
            </w:r>
            <w:r w:rsidRPr="00211089">
              <w:rPr>
                <w:rFonts w:cs="Arial"/>
                <w:highlight w:val="lightGray"/>
                <w:u w:val="single"/>
              </w:rPr>
              <w:t xml:space="preserve">less than </w:t>
            </w:r>
            <w:r w:rsidR="00F225B1" w:rsidRPr="00211089">
              <w:rPr>
                <w:rFonts w:cs="Arial"/>
                <w:highlight w:val="lightGray"/>
                <w:u w:val="single"/>
              </w:rPr>
              <w:t>twenty-four</w:t>
            </w:r>
            <w:r w:rsidRPr="00211089">
              <w:rPr>
                <w:rFonts w:cs="Arial"/>
                <w:highlight w:val="lightGray"/>
                <w:u w:val="single"/>
              </w:rPr>
              <w:t xml:space="preserve"> hours' notice.</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highlight w:val="lightGray"/>
                <w:u w:val="single"/>
              </w:rPr>
            </w:pPr>
            <w:r w:rsidRPr="00211089">
              <w:rPr>
                <w:rFonts w:cs="Arial"/>
              </w:rPr>
              <w:tab/>
            </w:r>
            <w:r w:rsidR="00643967" w:rsidRPr="00211089">
              <w:rPr>
                <w:rFonts w:cs="Arial"/>
                <w:highlight w:val="lightGray"/>
                <w:u w:val="single"/>
              </w:rPr>
              <w:t>(4) Subjec</w:t>
            </w:r>
            <w:r w:rsidRPr="00211089">
              <w:rPr>
                <w:rFonts w:cs="Arial"/>
                <w:highlight w:val="lightGray"/>
                <w:u w:val="single"/>
              </w:rPr>
              <w:t>t to the oth</w:t>
            </w:r>
            <w:r w:rsidR="00643967" w:rsidRPr="00211089">
              <w:rPr>
                <w:rFonts w:cs="Arial"/>
                <w:highlight w:val="lightGray"/>
                <w:u w:val="single"/>
              </w:rPr>
              <w:t xml:space="preserve">er </w:t>
            </w:r>
            <w:r w:rsidRPr="00211089">
              <w:rPr>
                <w:rFonts w:cs="Arial"/>
                <w:highlight w:val="lightGray"/>
                <w:u w:val="single"/>
              </w:rPr>
              <w:t>provisions of this Secti</w:t>
            </w:r>
            <w:r w:rsidR="00643967" w:rsidRPr="00211089">
              <w:rPr>
                <w:rFonts w:cs="Arial"/>
                <w:highlight w:val="lightGray"/>
                <w:u w:val="single"/>
              </w:rPr>
              <w:t>on</w:t>
            </w:r>
            <w:r w:rsidRPr="00211089">
              <w:rPr>
                <w:rFonts w:cs="Arial"/>
                <w:highlight w:val="lightGray"/>
                <w:u w:val="single"/>
              </w:rPr>
              <w:t>,</w:t>
            </w:r>
            <w:r w:rsidR="00643967" w:rsidRPr="00211089">
              <w:rPr>
                <w:rFonts w:cs="Arial"/>
                <w:highlight w:val="lightGray"/>
                <w:u w:val="single"/>
              </w:rPr>
              <w:t xml:space="preserve"> </w:t>
            </w:r>
            <w:r w:rsidRPr="00211089">
              <w:rPr>
                <w:rFonts w:cs="Arial"/>
                <w:highlight w:val="lightGray"/>
                <w:u w:val="single"/>
              </w:rPr>
              <w:t xml:space="preserve">the Committee may </w:t>
            </w:r>
            <w:r w:rsidR="00643967" w:rsidRPr="00211089">
              <w:rPr>
                <w:rFonts w:cs="Arial"/>
                <w:highlight w:val="lightGray"/>
                <w:u w:val="single"/>
              </w:rPr>
              <w:t>determine the proceedi</w:t>
            </w:r>
            <w:r w:rsidRPr="00211089">
              <w:rPr>
                <w:rFonts w:cs="Arial"/>
                <w:highlight w:val="lightGray"/>
                <w:u w:val="single"/>
              </w:rPr>
              <w:t>ng of its meetings.</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 xml:space="preserve">(5) To constitute a quorum at a meeting of the </w:t>
            </w:r>
            <w:r w:rsidR="00643967" w:rsidRPr="00211089">
              <w:rPr>
                <w:rFonts w:cs="Arial"/>
                <w:highlight w:val="lightGray"/>
                <w:u w:val="single"/>
              </w:rPr>
              <w:t>Committee</w:t>
            </w:r>
            <w:r w:rsidRPr="00211089">
              <w:rPr>
                <w:rFonts w:cs="Arial"/>
                <w:highlight w:val="lightGray"/>
                <w:u w:val="single"/>
              </w:rPr>
              <w:t>, the number of members present shall be more than half.</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 xml:space="preserve">(6) Each </w:t>
            </w:r>
            <w:r w:rsidR="00643967" w:rsidRPr="00211089">
              <w:rPr>
                <w:rFonts w:cs="Arial"/>
                <w:highlight w:val="lightGray"/>
                <w:u w:val="single"/>
              </w:rPr>
              <w:t>m</w:t>
            </w:r>
            <w:r w:rsidRPr="00211089">
              <w:rPr>
                <w:rFonts w:cs="Arial"/>
                <w:highlight w:val="lightGray"/>
                <w:u w:val="single"/>
              </w:rPr>
              <w:t>ember of the Committee s</w:t>
            </w:r>
            <w:r w:rsidR="00643967" w:rsidRPr="00211089">
              <w:rPr>
                <w:rFonts w:cs="Arial"/>
                <w:highlight w:val="lightGray"/>
                <w:u w:val="single"/>
              </w:rPr>
              <w:t>hall have one vote and, in the</w:t>
            </w:r>
            <w:r w:rsidRPr="00211089">
              <w:rPr>
                <w:rFonts w:cs="Arial"/>
                <w:highlight w:val="lightGray"/>
                <w:u w:val="single"/>
              </w:rPr>
              <w:t xml:space="preserve"> event of equality of votes, the person presiding shall have a second or casting vote.</w:t>
            </w:r>
          </w:p>
          <w:p w:rsidR="00987812" w:rsidRPr="00211089" w:rsidRDefault="00987812" w:rsidP="00987812">
            <w:pPr>
              <w:autoSpaceDE w:val="0"/>
              <w:autoSpaceDN w:val="0"/>
              <w:adjustRightInd w:val="0"/>
              <w:rPr>
                <w:rFonts w:cs="Arial"/>
                <w:highlight w:val="lightGray"/>
                <w:u w:val="single"/>
              </w:rPr>
            </w:pPr>
          </w:p>
          <w:p w:rsidR="00987812" w:rsidRPr="00211089" w:rsidRDefault="00987812" w:rsidP="00987812">
            <w:pPr>
              <w:autoSpaceDE w:val="0"/>
              <w:autoSpaceDN w:val="0"/>
              <w:adjustRightInd w:val="0"/>
              <w:rPr>
                <w:rFonts w:cs="Arial"/>
                <w:u w:val="single"/>
              </w:rPr>
            </w:pPr>
            <w:r w:rsidRPr="00211089">
              <w:rPr>
                <w:rFonts w:cs="Arial"/>
              </w:rPr>
              <w:tab/>
            </w:r>
            <w:r w:rsidRPr="00211089">
              <w:rPr>
                <w:rFonts w:cs="Arial"/>
                <w:highlight w:val="lightGray"/>
                <w:u w:val="single"/>
              </w:rPr>
              <w:t>(7) No act</w:t>
            </w:r>
            <w:r w:rsidR="00643967" w:rsidRPr="00211089">
              <w:rPr>
                <w:rFonts w:cs="Arial"/>
                <w:highlight w:val="lightGray"/>
                <w:u w:val="single"/>
              </w:rPr>
              <w:t xml:space="preserve"> </w:t>
            </w:r>
            <w:r w:rsidRPr="00211089">
              <w:rPr>
                <w:rFonts w:cs="Arial"/>
                <w:highlight w:val="lightGray"/>
                <w:u w:val="single"/>
              </w:rPr>
              <w:t xml:space="preserve">or proceeding </w:t>
            </w:r>
            <w:r w:rsidR="00643967" w:rsidRPr="00211089">
              <w:rPr>
                <w:rFonts w:cs="Arial"/>
                <w:highlight w:val="lightGray"/>
                <w:u w:val="single"/>
              </w:rPr>
              <w:t xml:space="preserve">of the Committee </w:t>
            </w:r>
            <w:r w:rsidRPr="00211089">
              <w:rPr>
                <w:rFonts w:cs="Arial"/>
                <w:highlight w:val="lightGray"/>
                <w:u w:val="single"/>
              </w:rPr>
              <w:t>shall be invalid or called in question on the ground of any vacancy in the post of any member, or any deficiency in the proceeding of the Committee.</w:t>
            </w:r>
          </w:p>
          <w:p w:rsidR="00643967" w:rsidRPr="00211089" w:rsidRDefault="00643967" w:rsidP="00987812">
            <w:pPr>
              <w:autoSpaceDE w:val="0"/>
              <w:autoSpaceDN w:val="0"/>
              <w:adjustRightInd w:val="0"/>
              <w:rPr>
                <w:rFonts w:cs="Arial"/>
              </w:rPr>
            </w:pPr>
          </w:p>
        </w:tc>
      </w:tr>
      <w:tr w:rsidR="00643967" w:rsidRPr="00211089" w:rsidTr="00F66C5A">
        <w:tc>
          <w:tcPr>
            <w:tcW w:w="1284" w:type="dxa"/>
          </w:tcPr>
          <w:p w:rsidR="00643967" w:rsidRPr="00211089" w:rsidRDefault="00643967" w:rsidP="00A02C74">
            <w:pPr>
              <w:autoSpaceDE w:val="0"/>
              <w:autoSpaceDN w:val="0"/>
              <w:adjustRightInd w:val="0"/>
              <w:jc w:val="left"/>
              <w:rPr>
                <w:rFonts w:cs="Arial"/>
                <w:bCs/>
                <w:highlight w:val="lightGray"/>
              </w:rPr>
            </w:pPr>
            <w:r w:rsidRPr="00211089">
              <w:rPr>
                <w:rFonts w:cs="Arial"/>
                <w:bCs/>
              </w:rPr>
              <w:t>[…]</w:t>
            </w:r>
          </w:p>
        </w:tc>
        <w:tc>
          <w:tcPr>
            <w:tcW w:w="8571" w:type="dxa"/>
          </w:tcPr>
          <w:p w:rsidR="00643967" w:rsidRPr="00211089" w:rsidRDefault="00643967" w:rsidP="00987812">
            <w:pPr>
              <w:tabs>
                <w:tab w:val="left" w:pos="417"/>
              </w:tabs>
              <w:autoSpaceDE w:val="0"/>
              <w:autoSpaceDN w:val="0"/>
              <w:adjustRightInd w:val="0"/>
              <w:rPr>
                <w:rFonts w:cs="Arial"/>
              </w:rPr>
            </w:pPr>
          </w:p>
        </w:tc>
      </w:tr>
      <w:tr w:rsidR="00643967" w:rsidRPr="00211089" w:rsidTr="00F66C5A">
        <w:tc>
          <w:tcPr>
            <w:tcW w:w="1284" w:type="dxa"/>
          </w:tcPr>
          <w:p w:rsidR="00643967" w:rsidRPr="00211089" w:rsidRDefault="00643967" w:rsidP="00F66C5A">
            <w:pPr>
              <w:autoSpaceDE w:val="0"/>
              <w:autoSpaceDN w:val="0"/>
              <w:adjustRightInd w:val="0"/>
              <w:jc w:val="left"/>
              <w:rPr>
                <w:rFonts w:cs="Arial"/>
                <w:bCs/>
              </w:rPr>
            </w:pPr>
          </w:p>
        </w:tc>
        <w:tc>
          <w:tcPr>
            <w:tcW w:w="8571" w:type="dxa"/>
          </w:tcPr>
          <w:p w:rsidR="00643967" w:rsidRPr="00211089" w:rsidRDefault="00643967" w:rsidP="00643967">
            <w:pPr>
              <w:tabs>
                <w:tab w:val="left" w:pos="417"/>
              </w:tabs>
              <w:autoSpaceDE w:val="0"/>
              <w:autoSpaceDN w:val="0"/>
              <w:adjustRightInd w:val="0"/>
              <w:jc w:val="center"/>
              <w:rPr>
                <w:rFonts w:cs="Arial"/>
                <w:b/>
              </w:rPr>
            </w:pPr>
            <w:r w:rsidRPr="00211089">
              <w:rPr>
                <w:rFonts w:cs="Arial"/>
                <w:b/>
              </w:rPr>
              <w:t>PART V</w:t>
            </w:r>
          </w:p>
          <w:p w:rsidR="00643967" w:rsidRPr="00211089" w:rsidRDefault="00643967" w:rsidP="00643967">
            <w:pPr>
              <w:tabs>
                <w:tab w:val="left" w:pos="417"/>
              </w:tabs>
              <w:autoSpaceDE w:val="0"/>
              <w:autoSpaceDN w:val="0"/>
              <w:adjustRightInd w:val="0"/>
              <w:jc w:val="center"/>
              <w:rPr>
                <w:rFonts w:cs="Arial"/>
                <w:b/>
              </w:rPr>
            </w:pPr>
            <w:r w:rsidRPr="00211089">
              <w:rPr>
                <w:rFonts w:cs="Arial"/>
                <w:b/>
              </w:rPr>
              <w:t>CONSIDERATION AND DISPOSITION OF APPLICATION</w:t>
            </w:r>
          </w:p>
          <w:p w:rsidR="00643967" w:rsidRPr="00211089" w:rsidRDefault="00643967" w:rsidP="00643967">
            <w:pPr>
              <w:tabs>
                <w:tab w:val="left" w:pos="417"/>
              </w:tabs>
              <w:autoSpaceDE w:val="0"/>
              <w:autoSpaceDN w:val="0"/>
              <w:adjustRightInd w:val="0"/>
              <w:jc w:val="center"/>
              <w:rPr>
                <w:rFonts w:cs="Arial"/>
              </w:rPr>
            </w:pPr>
          </w:p>
        </w:tc>
      </w:tr>
      <w:tr w:rsidR="00643967" w:rsidRPr="00211089" w:rsidTr="00F66C5A">
        <w:tc>
          <w:tcPr>
            <w:tcW w:w="1284" w:type="dxa"/>
          </w:tcPr>
          <w:p w:rsidR="00643967" w:rsidRPr="00211089" w:rsidRDefault="00643967" w:rsidP="00F66C5A">
            <w:pPr>
              <w:autoSpaceDE w:val="0"/>
              <w:autoSpaceDN w:val="0"/>
              <w:adjustRightInd w:val="0"/>
              <w:jc w:val="left"/>
              <w:rPr>
                <w:rFonts w:cs="Arial"/>
                <w:bCs/>
                <w:sz w:val="18"/>
                <w:szCs w:val="18"/>
              </w:rPr>
            </w:pPr>
            <w:r w:rsidRPr="00211089">
              <w:rPr>
                <w:rFonts w:cs="Arial"/>
                <w:bCs/>
                <w:sz w:val="18"/>
                <w:szCs w:val="18"/>
              </w:rPr>
              <w:t>Filing date</w:t>
            </w:r>
            <w:r w:rsidRPr="00211089">
              <w:rPr>
                <w:rFonts w:cs="Arial"/>
                <w:bCs/>
                <w:sz w:val="18"/>
                <w:szCs w:val="18"/>
              </w:rPr>
              <w:br/>
              <w:t>of application</w:t>
            </w:r>
            <w:r w:rsidR="00B40C9A" w:rsidRPr="00211089">
              <w:rPr>
                <w:rFonts w:cs="Arial"/>
                <w:bCs/>
                <w:sz w:val="18"/>
                <w:szCs w:val="18"/>
              </w:rPr>
              <w:t>.</w:t>
            </w:r>
          </w:p>
        </w:tc>
        <w:tc>
          <w:tcPr>
            <w:tcW w:w="8571" w:type="dxa"/>
          </w:tcPr>
          <w:p w:rsidR="00D20697" w:rsidRPr="00211089" w:rsidRDefault="00D20697" w:rsidP="00D20697">
            <w:pPr>
              <w:tabs>
                <w:tab w:val="left" w:pos="417"/>
              </w:tabs>
              <w:autoSpaceDE w:val="0"/>
              <w:autoSpaceDN w:val="0"/>
              <w:adjustRightInd w:val="0"/>
              <w:rPr>
                <w:rFonts w:cs="Arial"/>
              </w:rPr>
            </w:pPr>
            <w:r w:rsidRPr="00211089">
              <w:rPr>
                <w:rFonts w:cs="Arial"/>
              </w:rPr>
              <w:tab/>
            </w:r>
            <w:r w:rsidRPr="00211089">
              <w:rPr>
                <w:rFonts w:cs="Arial"/>
                <w:b/>
              </w:rPr>
              <w:t xml:space="preserve">22. </w:t>
            </w:r>
            <w:r w:rsidRPr="00211089">
              <w:rPr>
                <w:rFonts w:cs="Arial"/>
              </w:rPr>
              <w:t>[…]</w:t>
            </w:r>
          </w:p>
          <w:p w:rsidR="00D20697" w:rsidRPr="00211089" w:rsidRDefault="00D20697" w:rsidP="00D20697">
            <w:pPr>
              <w:tabs>
                <w:tab w:val="left" w:pos="417"/>
              </w:tabs>
              <w:autoSpaceDE w:val="0"/>
              <w:autoSpaceDN w:val="0"/>
              <w:adjustRightInd w:val="0"/>
              <w:rPr>
                <w:rFonts w:cs="Arial"/>
              </w:rPr>
            </w:pPr>
          </w:p>
          <w:p w:rsidR="00D20697" w:rsidRPr="00211089" w:rsidRDefault="00D20697" w:rsidP="00D20697">
            <w:pPr>
              <w:autoSpaceDE w:val="0"/>
              <w:autoSpaceDN w:val="0"/>
              <w:adjustRightInd w:val="0"/>
              <w:rPr>
                <w:rFonts w:cs="Arial"/>
                <w:highlight w:val="lightGray"/>
                <w:u w:val="single"/>
              </w:rPr>
            </w:pPr>
            <w:r w:rsidRPr="00211089">
              <w:rPr>
                <w:rFonts w:cs="Arial"/>
              </w:rPr>
              <w:tab/>
            </w:r>
            <w:r w:rsidRPr="00211089">
              <w:rPr>
                <w:rFonts w:cs="Arial"/>
                <w:highlight w:val="lightGray"/>
                <w:u w:val="single"/>
              </w:rPr>
              <w:t>(3) The Minister shall enter into bilateral agreement with relevant Minister of Tanzania Mainland regulating the following:</w:t>
            </w:r>
          </w:p>
          <w:p w:rsidR="00D20697" w:rsidRPr="00211089" w:rsidRDefault="00D20697" w:rsidP="00D20697">
            <w:pPr>
              <w:autoSpaceDE w:val="0"/>
              <w:autoSpaceDN w:val="0"/>
              <w:adjustRightInd w:val="0"/>
              <w:rPr>
                <w:rFonts w:cs="Arial"/>
                <w:highlight w:val="lightGray"/>
                <w:u w:val="single"/>
              </w:rPr>
            </w:pPr>
          </w:p>
          <w:p w:rsidR="001E7D5D" w:rsidRPr="00211089" w:rsidRDefault="001E7D5D" w:rsidP="001E7D5D">
            <w:pPr>
              <w:tabs>
                <w:tab w:val="left" w:pos="701"/>
              </w:tabs>
              <w:autoSpaceDE w:val="0"/>
              <w:autoSpaceDN w:val="0"/>
              <w:adjustRightInd w:val="0"/>
              <w:rPr>
                <w:rFonts w:cs="Arial"/>
                <w:u w:val="single"/>
              </w:rPr>
            </w:pPr>
            <w:r w:rsidRPr="00211089">
              <w:rPr>
                <w:rFonts w:cs="Arial"/>
              </w:rPr>
              <w:tab/>
            </w:r>
            <w:r w:rsidR="00FD09EF" w:rsidRPr="00211089">
              <w:rPr>
                <w:rFonts w:cs="Arial"/>
                <w:strike/>
                <w:highlight w:val="lightGray"/>
              </w:rPr>
              <w:t>(3)</w:t>
            </w:r>
            <w:r w:rsidRPr="00211089">
              <w:rPr>
                <w:rFonts w:cs="Arial"/>
                <w:highlight w:val="lightGray"/>
                <w:u w:val="single"/>
              </w:rPr>
              <w:t>(a)</w:t>
            </w:r>
            <w:r w:rsidRPr="00211089">
              <w:rPr>
                <w:rFonts w:cs="Arial"/>
              </w:rPr>
              <w:t xml:space="preserve">  </w:t>
            </w:r>
            <w:r w:rsidR="00FD09EF" w:rsidRPr="00211089">
              <w:rPr>
                <w:rFonts w:cs="Arial"/>
              </w:rPr>
              <w:t xml:space="preserve">any application </w:t>
            </w:r>
            <w:r w:rsidRPr="00211089">
              <w:rPr>
                <w:rFonts w:cs="Arial"/>
              </w:rPr>
              <w:t xml:space="preserve">filed with </w:t>
            </w:r>
            <w:r w:rsidR="003E6068">
              <w:rPr>
                <w:rFonts w:cs="Arial"/>
              </w:rPr>
              <w:t>[</w:t>
            </w:r>
            <w:r w:rsidR="00FD09EF" w:rsidRPr="003E6068">
              <w:rPr>
                <w:rFonts w:cs="Arial"/>
              </w:rPr>
              <w:t>the</w:t>
            </w:r>
            <w:r w:rsidR="003E6068">
              <w:rPr>
                <w:rFonts w:cs="Arial"/>
              </w:rPr>
              <w:t>]</w:t>
            </w:r>
            <w:r w:rsidR="00FD09EF" w:rsidRPr="00211089">
              <w:rPr>
                <w:rFonts w:cs="Arial"/>
              </w:rPr>
              <w:t xml:space="preserve"> </w:t>
            </w:r>
            <w:r w:rsidRPr="00211089">
              <w:rPr>
                <w:rFonts w:cs="Arial"/>
              </w:rPr>
              <w:t>Registrar of Plant Breeders' Right</w:t>
            </w:r>
            <w:r w:rsidR="00FD09EF" w:rsidRPr="00211089">
              <w:rPr>
                <w:rFonts w:cs="Arial"/>
                <w:strike/>
                <w:highlight w:val="lightGray"/>
              </w:rPr>
              <w:t>s</w:t>
            </w:r>
            <w:r w:rsidR="00FD09EF" w:rsidRPr="00211089">
              <w:rPr>
                <w:rFonts w:cs="Arial"/>
              </w:rPr>
              <w:t xml:space="preserve"> of </w:t>
            </w:r>
            <w:r w:rsidR="00F225B1" w:rsidRPr="00211089">
              <w:rPr>
                <w:rFonts w:cs="Arial"/>
              </w:rPr>
              <w:t>Mainland</w:t>
            </w:r>
            <w:r w:rsidR="00FD09EF" w:rsidRPr="00211089">
              <w:rPr>
                <w:rFonts w:cs="Arial"/>
              </w:rPr>
              <w:t xml:space="preserve">  Tanzania </w:t>
            </w:r>
            <w:r w:rsidR="00FD09EF" w:rsidRPr="00211089">
              <w:rPr>
                <w:rFonts w:cs="Arial"/>
                <w:strike/>
                <w:highlight w:val="lightGray"/>
              </w:rPr>
              <w:t>shall</w:t>
            </w:r>
            <w:r w:rsidR="00FD09EF" w:rsidRPr="00211089">
              <w:rPr>
                <w:rFonts w:cs="Arial"/>
                <w:highlight w:val="lightGray"/>
              </w:rPr>
              <w:t xml:space="preserve"> </w:t>
            </w:r>
            <w:r w:rsidRPr="00211089">
              <w:rPr>
                <w:rFonts w:cs="Arial"/>
                <w:highlight w:val="lightGray"/>
                <w:u w:val="single"/>
              </w:rPr>
              <w:t>to</w:t>
            </w:r>
            <w:r w:rsidRPr="00211089">
              <w:rPr>
                <w:rFonts w:cs="Arial"/>
              </w:rPr>
              <w:t xml:space="preserve"> be recognized as an application, for the same variety, filed </w:t>
            </w:r>
            <w:r w:rsidR="003E6068">
              <w:rPr>
                <w:rFonts w:cs="Arial"/>
              </w:rPr>
              <w:t>[</w:t>
            </w:r>
            <w:r w:rsidR="00FD09EF" w:rsidRPr="003E6068">
              <w:rPr>
                <w:rFonts w:cs="Arial"/>
              </w:rPr>
              <w:t>with</w:t>
            </w:r>
            <w:r w:rsidR="003E6068">
              <w:rPr>
                <w:rFonts w:cs="Arial"/>
              </w:rPr>
              <w:t>]</w:t>
            </w:r>
            <w:r w:rsidR="00FD09EF" w:rsidRPr="003E6068">
              <w:rPr>
                <w:rFonts w:cs="Arial"/>
              </w:rPr>
              <w:t xml:space="preserve"> </w:t>
            </w:r>
            <w:r w:rsidRPr="00211089">
              <w:rPr>
                <w:rFonts w:cs="Arial"/>
              </w:rPr>
              <w:t>the Registrar.</w:t>
            </w:r>
          </w:p>
          <w:p w:rsidR="001E7D5D" w:rsidRPr="00211089" w:rsidRDefault="001E7D5D" w:rsidP="001E7D5D">
            <w:pPr>
              <w:tabs>
                <w:tab w:val="left" w:pos="417"/>
              </w:tabs>
              <w:autoSpaceDE w:val="0"/>
              <w:autoSpaceDN w:val="0"/>
              <w:adjustRightInd w:val="0"/>
              <w:rPr>
                <w:rFonts w:cs="Arial"/>
                <w:u w:val="single"/>
              </w:rPr>
            </w:pPr>
          </w:p>
          <w:p w:rsidR="00D20697" w:rsidRPr="00211089" w:rsidRDefault="001E7D5D" w:rsidP="001E7D5D">
            <w:pPr>
              <w:tabs>
                <w:tab w:val="left" w:pos="701"/>
              </w:tabs>
              <w:autoSpaceDE w:val="0"/>
              <w:autoSpaceDN w:val="0"/>
              <w:adjustRightInd w:val="0"/>
              <w:rPr>
                <w:rFonts w:cs="Arial"/>
                <w:highlight w:val="lightGray"/>
                <w:u w:val="single"/>
              </w:rPr>
            </w:pPr>
            <w:r w:rsidRPr="00211089">
              <w:rPr>
                <w:rFonts w:cs="Arial"/>
              </w:rPr>
              <w:tab/>
            </w:r>
            <w:r w:rsidRPr="00211089">
              <w:rPr>
                <w:rFonts w:cs="Arial"/>
                <w:highlight w:val="lightGray"/>
                <w:u w:val="single"/>
              </w:rPr>
              <w:t>(b)  a grant of breeder's right made by the Registrar of Mainland Tanzania to be recognized as the grant made by the Registrar.</w:t>
            </w:r>
          </w:p>
          <w:p w:rsidR="001E7D5D" w:rsidRPr="00211089" w:rsidRDefault="001E7D5D" w:rsidP="001E7D5D">
            <w:pPr>
              <w:tabs>
                <w:tab w:val="left" w:pos="417"/>
              </w:tabs>
              <w:autoSpaceDE w:val="0"/>
              <w:autoSpaceDN w:val="0"/>
              <w:adjustRightInd w:val="0"/>
              <w:rPr>
                <w:rFonts w:cs="Arial"/>
                <w:highlight w:val="lightGray"/>
                <w:u w:val="single"/>
              </w:rPr>
            </w:pPr>
          </w:p>
          <w:p w:rsidR="001E7D5D" w:rsidRPr="00211089" w:rsidRDefault="001E7D5D" w:rsidP="001E7D5D">
            <w:pPr>
              <w:tabs>
                <w:tab w:val="left" w:pos="417"/>
                <w:tab w:val="left" w:pos="701"/>
              </w:tabs>
              <w:autoSpaceDE w:val="0"/>
              <w:autoSpaceDN w:val="0"/>
              <w:adjustRightInd w:val="0"/>
              <w:rPr>
                <w:rFonts w:cs="Arial"/>
                <w:highlight w:val="lightGray"/>
                <w:u w:val="single"/>
              </w:rPr>
            </w:pPr>
            <w:r w:rsidRPr="00211089">
              <w:rPr>
                <w:rFonts w:cs="Arial"/>
                <w:highlight w:val="lightGray"/>
              </w:rPr>
              <w:tab/>
            </w:r>
            <w:r w:rsidR="003E6068">
              <w:rPr>
                <w:rFonts w:cs="Arial"/>
                <w:highlight w:val="lightGray"/>
              </w:rPr>
              <w:t xml:space="preserve">     </w:t>
            </w:r>
            <w:r w:rsidRPr="00211089">
              <w:rPr>
                <w:rFonts w:cs="Arial"/>
                <w:highlight w:val="lightGray"/>
                <w:u w:val="single"/>
              </w:rPr>
              <w:t>(c)   distribution of fees for registration of plant breeder's right.</w:t>
            </w:r>
          </w:p>
          <w:p w:rsidR="00643967" w:rsidRPr="00211089" w:rsidRDefault="00643967" w:rsidP="00643967">
            <w:pPr>
              <w:tabs>
                <w:tab w:val="left" w:pos="417"/>
              </w:tabs>
              <w:autoSpaceDE w:val="0"/>
              <w:autoSpaceDN w:val="0"/>
              <w:adjustRightInd w:val="0"/>
              <w:jc w:val="center"/>
              <w:rPr>
                <w:rFonts w:cs="Arial"/>
              </w:rPr>
            </w:pPr>
          </w:p>
        </w:tc>
      </w:tr>
      <w:tr w:rsidR="00037B26" w:rsidRPr="00211089" w:rsidTr="00BD7023">
        <w:tc>
          <w:tcPr>
            <w:tcW w:w="1284" w:type="dxa"/>
          </w:tcPr>
          <w:p w:rsidR="00037B26" w:rsidRPr="00211089" w:rsidRDefault="00037B26" w:rsidP="00A02C74">
            <w:pPr>
              <w:autoSpaceDE w:val="0"/>
              <w:autoSpaceDN w:val="0"/>
              <w:adjustRightInd w:val="0"/>
              <w:jc w:val="left"/>
              <w:rPr>
                <w:rFonts w:cs="Arial"/>
                <w:bCs/>
                <w:sz w:val="18"/>
                <w:szCs w:val="18"/>
                <w:highlight w:val="lightGray"/>
              </w:rPr>
            </w:pPr>
            <w:r w:rsidRPr="00211089">
              <w:rPr>
                <w:rFonts w:cs="Arial"/>
                <w:bCs/>
                <w:sz w:val="18"/>
                <w:szCs w:val="18"/>
              </w:rPr>
              <w:t>[…]</w:t>
            </w:r>
          </w:p>
        </w:tc>
        <w:tc>
          <w:tcPr>
            <w:tcW w:w="8571" w:type="dxa"/>
          </w:tcPr>
          <w:p w:rsidR="00037B26" w:rsidRPr="00211089" w:rsidRDefault="00037B26" w:rsidP="00BD7023">
            <w:pPr>
              <w:tabs>
                <w:tab w:val="left" w:pos="417"/>
              </w:tabs>
              <w:autoSpaceDE w:val="0"/>
              <w:autoSpaceDN w:val="0"/>
              <w:adjustRightInd w:val="0"/>
              <w:rPr>
                <w:rFonts w:cs="Arial"/>
              </w:rPr>
            </w:pPr>
          </w:p>
        </w:tc>
      </w:tr>
      <w:tr w:rsidR="001E7D5D" w:rsidRPr="00211089" w:rsidTr="00F66C5A">
        <w:tc>
          <w:tcPr>
            <w:tcW w:w="1284" w:type="dxa"/>
          </w:tcPr>
          <w:p w:rsidR="001E7D5D" w:rsidRPr="00211089" w:rsidRDefault="00037B26" w:rsidP="00F66C5A">
            <w:pPr>
              <w:autoSpaceDE w:val="0"/>
              <w:autoSpaceDN w:val="0"/>
              <w:adjustRightInd w:val="0"/>
              <w:jc w:val="left"/>
              <w:rPr>
                <w:rFonts w:cs="Arial"/>
                <w:bCs/>
                <w:sz w:val="18"/>
                <w:szCs w:val="18"/>
              </w:rPr>
            </w:pPr>
            <w:r w:rsidRPr="00211089">
              <w:rPr>
                <w:rFonts w:cs="Arial"/>
                <w:bCs/>
                <w:sz w:val="18"/>
                <w:szCs w:val="18"/>
              </w:rPr>
              <w:t>Disposition of application</w:t>
            </w:r>
            <w:r w:rsidR="00C67775">
              <w:rPr>
                <w:rFonts w:cs="Arial"/>
                <w:bCs/>
                <w:sz w:val="18"/>
                <w:szCs w:val="18"/>
              </w:rPr>
              <w:t>s</w:t>
            </w:r>
            <w:r w:rsidR="00B40C9A" w:rsidRPr="00211089">
              <w:rPr>
                <w:rFonts w:cs="Arial"/>
                <w:bCs/>
                <w:sz w:val="18"/>
                <w:szCs w:val="18"/>
              </w:rPr>
              <w:t>.</w:t>
            </w:r>
          </w:p>
        </w:tc>
        <w:tc>
          <w:tcPr>
            <w:tcW w:w="8571" w:type="dxa"/>
          </w:tcPr>
          <w:p w:rsidR="001E7D5D" w:rsidRPr="00211089" w:rsidRDefault="00423E04" w:rsidP="00D20697">
            <w:pPr>
              <w:tabs>
                <w:tab w:val="left" w:pos="417"/>
              </w:tabs>
              <w:autoSpaceDE w:val="0"/>
              <w:autoSpaceDN w:val="0"/>
              <w:adjustRightInd w:val="0"/>
              <w:rPr>
                <w:rFonts w:cs="Arial"/>
              </w:rPr>
            </w:pPr>
            <w:r w:rsidRPr="00211089">
              <w:rPr>
                <w:rFonts w:cs="Arial"/>
              </w:rPr>
              <w:tab/>
            </w:r>
            <w:r w:rsidR="00062A3D" w:rsidRPr="00211089">
              <w:rPr>
                <w:rFonts w:cs="Arial"/>
                <w:b/>
              </w:rPr>
              <w:t>29.</w:t>
            </w:r>
            <w:r w:rsidR="00037B26" w:rsidRPr="00211089">
              <w:rPr>
                <w:rFonts w:cs="Arial"/>
              </w:rPr>
              <w:t>[…]</w:t>
            </w:r>
          </w:p>
          <w:p w:rsidR="00037B26" w:rsidRPr="00211089" w:rsidRDefault="00037B26" w:rsidP="00D20697">
            <w:pPr>
              <w:tabs>
                <w:tab w:val="left" w:pos="417"/>
              </w:tabs>
              <w:autoSpaceDE w:val="0"/>
              <w:autoSpaceDN w:val="0"/>
              <w:adjustRightInd w:val="0"/>
              <w:rPr>
                <w:rFonts w:cs="Arial"/>
              </w:rPr>
            </w:pPr>
          </w:p>
          <w:p w:rsidR="00037B26" w:rsidRPr="00211089" w:rsidRDefault="00037B26" w:rsidP="00037B26">
            <w:pPr>
              <w:tabs>
                <w:tab w:val="left" w:pos="417"/>
              </w:tabs>
              <w:autoSpaceDE w:val="0"/>
              <w:autoSpaceDN w:val="0"/>
              <w:adjustRightInd w:val="0"/>
              <w:rPr>
                <w:rFonts w:cs="Arial"/>
              </w:rPr>
            </w:pPr>
            <w:r w:rsidRPr="00211089">
              <w:rPr>
                <w:rFonts w:cs="Arial"/>
              </w:rPr>
              <w:tab/>
              <w:t xml:space="preserve">(7) </w:t>
            </w:r>
            <w:r w:rsidRPr="00211089">
              <w:rPr>
                <w:rFonts w:cs="Arial"/>
                <w:highlight w:val="lightGray"/>
                <w:u w:val="single"/>
              </w:rPr>
              <w:t>Subject to a bilateral agreement made under Section 22(3) of this Act,</w:t>
            </w:r>
            <w:r w:rsidRPr="00211089">
              <w:rPr>
                <w:rFonts w:cs="Arial"/>
              </w:rPr>
              <w:t xml:space="preserve"> </w:t>
            </w:r>
            <w:r w:rsidR="00C67775" w:rsidRPr="00C67775">
              <w:rPr>
                <w:rFonts w:cs="Arial"/>
                <w:strike/>
                <w:highlight w:val="lightGray"/>
              </w:rPr>
              <w:t>Any</w:t>
            </w:r>
            <w:r w:rsidR="00C67775">
              <w:rPr>
                <w:rFonts w:cs="Arial"/>
              </w:rPr>
              <w:t xml:space="preserve"> </w:t>
            </w:r>
            <w:r w:rsidR="00C67775" w:rsidRPr="00C67775">
              <w:rPr>
                <w:rFonts w:cs="Arial"/>
                <w:highlight w:val="lightGray"/>
                <w:u w:val="single"/>
              </w:rPr>
              <w:t>any</w:t>
            </w:r>
            <w:r w:rsidR="00C67775" w:rsidRPr="00211089">
              <w:rPr>
                <w:rFonts w:cs="Arial"/>
              </w:rPr>
              <w:t xml:space="preserve"> </w:t>
            </w:r>
            <w:r w:rsidRPr="00211089">
              <w:rPr>
                <w:rFonts w:cs="Arial"/>
              </w:rPr>
              <w:t>grant of breeder's right made by the Registrar of Mainland Tanzania shall be recognized as the grant of breeder's right of the same variety made by the Registrar.</w:t>
            </w:r>
          </w:p>
          <w:p w:rsidR="00037B26" w:rsidRPr="00211089" w:rsidRDefault="00037B26" w:rsidP="00037B26">
            <w:pPr>
              <w:tabs>
                <w:tab w:val="left" w:pos="417"/>
              </w:tabs>
              <w:autoSpaceDE w:val="0"/>
              <w:autoSpaceDN w:val="0"/>
              <w:adjustRightInd w:val="0"/>
              <w:rPr>
                <w:rFonts w:cs="Arial"/>
              </w:rPr>
            </w:pPr>
          </w:p>
        </w:tc>
      </w:tr>
      <w:tr w:rsidR="00037B26" w:rsidRPr="00211089" w:rsidTr="00BD7023">
        <w:tc>
          <w:tcPr>
            <w:tcW w:w="1284" w:type="dxa"/>
          </w:tcPr>
          <w:p w:rsidR="00037B26" w:rsidRPr="00872100" w:rsidRDefault="00037B26" w:rsidP="00BD7023">
            <w:pPr>
              <w:autoSpaceDE w:val="0"/>
              <w:autoSpaceDN w:val="0"/>
              <w:adjustRightInd w:val="0"/>
              <w:jc w:val="left"/>
              <w:rPr>
                <w:rFonts w:cs="Arial"/>
                <w:bCs/>
              </w:rPr>
            </w:pPr>
            <w:r w:rsidRPr="00211089">
              <w:rPr>
                <w:rFonts w:cs="Arial"/>
                <w:bCs/>
              </w:rPr>
              <w:t>[…</w:t>
            </w:r>
            <w:r w:rsidR="00872100">
              <w:rPr>
                <w:rFonts w:cs="Arial"/>
                <w:bCs/>
              </w:rPr>
              <w:t>]</w:t>
            </w:r>
          </w:p>
        </w:tc>
        <w:tc>
          <w:tcPr>
            <w:tcW w:w="8571" w:type="dxa"/>
          </w:tcPr>
          <w:p w:rsidR="00037B26" w:rsidRPr="00211089" w:rsidRDefault="00037B26" w:rsidP="00BD7023">
            <w:pPr>
              <w:tabs>
                <w:tab w:val="left" w:pos="417"/>
              </w:tabs>
              <w:autoSpaceDE w:val="0"/>
              <w:autoSpaceDN w:val="0"/>
              <w:adjustRightInd w:val="0"/>
              <w:rPr>
                <w:rFonts w:cs="Arial"/>
              </w:rPr>
            </w:pPr>
          </w:p>
        </w:tc>
      </w:tr>
      <w:tr w:rsidR="00037B26" w:rsidRPr="00211089" w:rsidTr="00F66C5A">
        <w:tc>
          <w:tcPr>
            <w:tcW w:w="1284" w:type="dxa"/>
          </w:tcPr>
          <w:p w:rsidR="00037B26" w:rsidRPr="00211089" w:rsidRDefault="00037B26" w:rsidP="00F66C5A">
            <w:pPr>
              <w:autoSpaceDE w:val="0"/>
              <w:autoSpaceDN w:val="0"/>
              <w:adjustRightInd w:val="0"/>
              <w:jc w:val="left"/>
              <w:rPr>
                <w:rFonts w:cs="Arial"/>
                <w:bCs/>
              </w:rPr>
            </w:pPr>
          </w:p>
        </w:tc>
        <w:tc>
          <w:tcPr>
            <w:tcW w:w="8571" w:type="dxa"/>
          </w:tcPr>
          <w:p w:rsidR="009E04AA" w:rsidRPr="00211089" w:rsidRDefault="009E04AA" w:rsidP="009E04AA">
            <w:pPr>
              <w:tabs>
                <w:tab w:val="left" w:pos="417"/>
              </w:tabs>
              <w:autoSpaceDE w:val="0"/>
              <w:autoSpaceDN w:val="0"/>
              <w:adjustRightInd w:val="0"/>
              <w:jc w:val="center"/>
              <w:rPr>
                <w:rFonts w:cs="Arial"/>
                <w:b/>
              </w:rPr>
            </w:pPr>
            <w:r w:rsidRPr="00211089">
              <w:rPr>
                <w:rFonts w:cs="Arial"/>
                <w:b/>
              </w:rPr>
              <w:t>PART IX</w:t>
            </w:r>
          </w:p>
          <w:p w:rsidR="009E04AA" w:rsidRPr="00211089" w:rsidRDefault="009E04AA" w:rsidP="009E04AA">
            <w:pPr>
              <w:tabs>
                <w:tab w:val="left" w:pos="417"/>
              </w:tabs>
              <w:autoSpaceDE w:val="0"/>
              <w:autoSpaceDN w:val="0"/>
              <w:adjustRightInd w:val="0"/>
              <w:jc w:val="center"/>
              <w:rPr>
                <w:rFonts w:cs="Arial"/>
                <w:b/>
              </w:rPr>
            </w:pPr>
            <w:r w:rsidRPr="00211089">
              <w:rPr>
                <w:rFonts w:cs="Arial"/>
                <w:b/>
              </w:rPr>
              <w:t>APPEALS</w:t>
            </w:r>
          </w:p>
          <w:p w:rsidR="00037B26" w:rsidRPr="00211089" w:rsidRDefault="00037B26" w:rsidP="00D20697">
            <w:pPr>
              <w:tabs>
                <w:tab w:val="left" w:pos="417"/>
              </w:tabs>
              <w:autoSpaceDE w:val="0"/>
              <w:autoSpaceDN w:val="0"/>
              <w:adjustRightInd w:val="0"/>
              <w:rPr>
                <w:rFonts w:cs="Arial"/>
              </w:rPr>
            </w:pPr>
          </w:p>
        </w:tc>
      </w:tr>
      <w:tr w:rsidR="00423E04" w:rsidRPr="00211089" w:rsidTr="00BD7023">
        <w:tc>
          <w:tcPr>
            <w:tcW w:w="1284" w:type="dxa"/>
          </w:tcPr>
          <w:p w:rsidR="00423E04" w:rsidRPr="00211089" w:rsidRDefault="00423E04" w:rsidP="00423E04">
            <w:pPr>
              <w:autoSpaceDE w:val="0"/>
              <w:autoSpaceDN w:val="0"/>
              <w:adjustRightInd w:val="0"/>
              <w:jc w:val="left"/>
              <w:rPr>
                <w:rFonts w:cs="Arial"/>
                <w:bCs/>
                <w:sz w:val="18"/>
                <w:szCs w:val="18"/>
                <w:highlight w:val="lightGray"/>
              </w:rPr>
            </w:pPr>
            <w:r w:rsidRPr="00211089">
              <w:rPr>
                <w:rFonts w:cs="Arial"/>
                <w:bCs/>
                <w:sz w:val="18"/>
                <w:szCs w:val="18"/>
              </w:rPr>
              <w:t>Appeal's Board</w:t>
            </w:r>
            <w:r w:rsidR="00B40C9A" w:rsidRPr="00211089">
              <w:rPr>
                <w:rFonts w:cs="Arial"/>
                <w:bCs/>
                <w:sz w:val="18"/>
                <w:szCs w:val="18"/>
              </w:rPr>
              <w:t>.</w:t>
            </w:r>
          </w:p>
        </w:tc>
        <w:tc>
          <w:tcPr>
            <w:tcW w:w="8571" w:type="dxa"/>
          </w:tcPr>
          <w:p w:rsidR="00423E04" w:rsidRPr="00211089" w:rsidRDefault="00423E04" w:rsidP="00BD7023">
            <w:pPr>
              <w:tabs>
                <w:tab w:val="left" w:pos="417"/>
              </w:tabs>
              <w:autoSpaceDE w:val="0"/>
              <w:autoSpaceDN w:val="0"/>
              <w:adjustRightInd w:val="0"/>
              <w:rPr>
                <w:rFonts w:cs="Arial"/>
              </w:rPr>
            </w:pPr>
            <w:r w:rsidRPr="00211089">
              <w:rPr>
                <w:rFonts w:cs="Arial"/>
              </w:rPr>
              <w:tab/>
            </w:r>
            <w:r w:rsidRPr="00211089">
              <w:rPr>
                <w:rFonts w:cs="Arial"/>
                <w:b/>
              </w:rPr>
              <w:t>44.</w:t>
            </w:r>
            <w:r w:rsidRPr="00211089">
              <w:rPr>
                <w:rFonts w:cs="Arial"/>
              </w:rPr>
              <w:t xml:space="preserve">(1) The Minister shall appoint an Appeal's Board consisting of </w:t>
            </w:r>
            <w:r w:rsidRPr="00211089">
              <w:rPr>
                <w:rFonts w:cs="Arial"/>
                <w:strike/>
                <w:highlight w:val="lightGray"/>
              </w:rPr>
              <w:t>three</w:t>
            </w:r>
            <w:r w:rsidRPr="00211089">
              <w:rPr>
                <w:rFonts w:cs="Arial"/>
                <w:highlight w:val="lightGray"/>
              </w:rPr>
              <w:t xml:space="preserve"> </w:t>
            </w:r>
            <w:r w:rsidRPr="00211089">
              <w:rPr>
                <w:rFonts w:cs="Arial"/>
                <w:highlight w:val="lightGray"/>
                <w:u w:val="single"/>
              </w:rPr>
              <w:t>five</w:t>
            </w:r>
            <w:r w:rsidRPr="00211089">
              <w:rPr>
                <w:rFonts w:cs="Arial"/>
              </w:rPr>
              <w:t xml:space="preserve"> members in which </w:t>
            </w:r>
            <w:r w:rsidRPr="00211089">
              <w:rPr>
                <w:rFonts w:cs="Arial"/>
                <w:strike/>
                <w:highlight w:val="lightGray"/>
              </w:rPr>
              <w:t>one</w:t>
            </w:r>
            <w:r w:rsidRPr="00211089">
              <w:rPr>
                <w:rFonts w:cs="Arial"/>
                <w:highlight w:val="lightGray"/>
              </w:rPr>
              <w:t xml:space="preserve"> </w:t>
            </w:r>
            <w:r w:rsidRPr="00211089">
              <w:rPr>
                <w:rFonts w:cs="Arial"/>
                <w:highlight w:val="lightGray"/>
                <w:u w:val="single"/>
              </w:rPr>
              <w:t>two</w:t>
            </w:r>
            <w:r w:rsidRPr="00211089">
              <w:rPr>
                <w:rFonts w:cs="Arial"/>
              </w:rPr>
              <w:t xml:space="preserve"> member</w:t>
            </w:r>
            <w:r w:rsidR="00C67775">
              <w:rPr>
                <w:rFonts w:cs="Arial"/>
              </w:rPr>
              <w:t>[</w:t>
            </w:r>
            <w:r w:rsidRPr="00211089">
              <w:rPr>
                <w:rFonts w:cs="Arial"/>
              </w:rPr>
              <w:t>s</w:t>
            </w:r>
            <w:r w:rsidR="00C67775">
              <w:rPr>
                <w:rFonts w:cs="Arial"/>
              </w:rPr>
              <w:t>]</w:t>
            </w:r>
            <w:r w:rsidRPr="00211089">
              <w:rPr>
                <w:rFonts w:cs="Arial"/>
              </w:rPr>
              <w:t xml:space="preserve"> shall be </w:t>
            </w:r>
            <w:r w:rsidR="00A35A68" w:rsidRPr="00C67775">
              <w:rPr>
                <w:rFonts w:cs="Arial"/>
                <w:strike/>
              </w:rPr>
              <w:t>an</w:t>
            </w:r>
            <w:r w:rsidR="00A35A68">
              <w:rPr>
                <w:rFonts w:cs="Arial"/>
              </w:rPr>
              <w:t xml:space="preserve"> </w:t>
            </w:r>
            <w:r w:rsidRPr="00211089">
              <w:rPr>
                <w:rFonts w:cs="Arial"/>
              </w:rPr>
              <w:t>expert</w:t>
            </w:r>
            <w:r w:rsidRPr="00C67775">
              <w:rPr>
                <w:rFonts w:cs="Arial"/>
                <w:u w:val="single"/>
              </w:rPr>
              <w:t>s</w:t>
            </w:r>
            <w:r w:rsidRPr="00211089">
              <w:rPr>
                <w:rFonts w:cs="Arial"/>
              </w:rPr>
              <w:t xml:space="preserve"> in legal matters and </w:t>
            </w:r>
            <w:r w:rsidRPr="00211089">
              <w:rPr>
                <w:rFonts w:cs="Arial"/>
                <w:strike/>
                <w:highlight w:val="lightGray"/>
              </w:rPr>
              <w:t>two</w:t>
            </w:r>
            <w:r w:rsidRPr="00211089">
              <w:rPr>
                <w:rFonts w:cs="Arial"/>
                <w:highlight w:val="lightGray"/>
              </w:rPr>
              <w:t xml:space="preserve"> </w:t>
            </w:r>
            <w:r w:rsidRPr="00211089">
              <w:rPr>
                <w:rFonts w:cs="Arial"/>
                <w:highlight w:val="lightGray"/>
                <w:u w:val="single"/>
              </w:rPr>
              <w:t>three</w:t>
            </w:r>
            <w:r w:rsidRPr="00211089">
              <w:rPr>
                <w:rFonts w:cs="Arial"/>
              </w:rPr>
              <w:t xml:space="preserve"> other members shall be experts qualified in agricultural science.</w:t>
            </w:r>
            <w:r w:rsidR="00872100">
              <w:rPr>
                <w:rFonts w:cs="Arial"/>
              </w:rPr>
              <w:t xml:space="preserve"> […]</w:t>
            </w:r>
          </w:p>
        </w:tc>
      </w:tr>
      <w:tr w:rsidR="00FB4DDB" w:rsidRPr="00211089" w:rsidTr="00BD7023">
        <w:tc>
          <w:tcPr>
            <w:tcW w:w="1284" w:type="dxa"/>
          </w:tcPr>
          <w:p w:rsidR="00FB4DDB" w:rsidRPr="00211089" w:rsidRDefault="00FB4DDB" w:rsidP="00BD7023">
            <w:pPr>
              <w:autoSpaceDE w:val="0"/>
              <w:autoSpaceDN w:val="0"/>
              <w:adjustRightInd w:val="0"/>
              <w:jc w:val="left"/>
              <w:rPr>
                <w:rFonts w:cs="Arial"/>
                <w:bCs/>
                <w:sz w:val="18"/>
                <w:szCs w:val="18"/>
              </w:rPr>
            </w:pPr>
          </w:p>
        </w:tc>
        <w:tc>
          <w:tcPr>
            <w:tcW w:w="8571" w:type="dxa"/>
          </w:tcPr>
          <w:p w:rsidR="003E36C1" w:rsidRPr="00211089" w:rsidRDefault="003E36C1" w:rsidP="003E36C1">
            <w:pPr>
              <w:tabs>
                <w:tab w:val="left" w:pos="417"/>
              </w:tabs>
              <w:autoSpaceDE w:val="0"/>
              <w:autoSpaceDN w:val="0"/>
              <w:adjustRightInd w:val="0"/>
              <w:rPr>
                <w:rFonts w:cs="Arial"/>
              </w:rPr>
            </w:pPr>
          </w:p>
        </w:tc>
      </w:tr>
    </w:tbl>
    <w:p w:rsidR="00A02C74" w:rsidRDefault="00A02C74" w:rsidP="00062A3D">
      <w:pPr>
        <w:jc w:val="right"/>
      </w:pPr>
    </w:p>
    <w:p w:rsidR="00453227" w:rsidRDefault="00872100" w:rsidP="00062A3D">
      <w:pPr>
        <w:jc w:val="right"/>
      </w:pPr>
      <w:r>
        <w:t xml:space="preserve"> </w:t>
      </w:r>
      <w:r w:rsidR="00062A3D">
        <w:t>[End of Annex</w:t>
      </w:r>
      <w:r w:rsidR="00211089">
        <w:t xml:space="preserve"> II</w:t>
      </w:r>
      <w:r w:rsidR="00062A3D">
        <w:t xml:space="preserve"> and of document / </w:t>
      </w:r>
    </w:p>
    <w:p w:rsidR="00062A3D" w:rsidRPr="00E155CC" w:rsidRDefault="00062A3D" w:rsidP="00062A3D">
      <w:pPr>
        <w:jc w:val="right"/>
        <w:rPr>
          <w:lang w:val="fr-CH"/>
        </w:rPr>
      </w:pPr>
      <w:r w:rsidRPr="00E155CC">
        <w:rPr>
          <w:lang w:val="fr-CH"/>
        </w:rPr>
        <w:t xml:space="preserve">Fin de l’annexe </w:t>
      </w:r>
      <w:r w:rsidR="00211089">
        <w:rPr>
          <w:lang w:val="fr-CH"/>
        </w:rPr>
        <w:t xml:space="preserve">II </w:t>
      </w:r>
      <w:r w:rsidRPr="00E155CC">
        <w:rPr>
          <w:lang w:val="fr-CH"/>
        </w:rPr>
        <w:t>et du document /</w:t>
      </w:r>
    </w:p>
    <w:p w:rsidR="00062A3D" w:rsidRPr="00E155CC" w:rsidRDefault="00062A3D" w:rsidP="00062A3D">
      <w:pPr>
        <w:jc w:val="right"/>
        <w:rPr>
          <w:lang w:val="fr-CH"/>
        </w:rPr>
      </w:pPr>
      <w:r w:rsidRPr="00E155CC">
        <w:rPr>
          <w:lang w:val="fr-CH"/>
        </w:rPr>
        <w:t xml:space="preserve">Ende der Anlage </w:t>
      </w:r>
      <w:r w:rsidR="00211089">
        <w:rPr>
          <w:lang w:val="fr-CH"/>
        </w:rPr>
        <w:t xml:space="preserve">II </w:t>
      </w:r>
      <w:r w:rsidRPr="00E155CC">
        <w:rPr>
          <w:lang w:val="fr-CH"/>
        </w:rPr>
        <w:t xml:space="preserve">und des Dokuments / </w:t>
      </w:r>
    </w:p>
    <w:p w:rsidR="00F66C5A" w:rsidRPr="00E155CC" w:rsidRDefault="00062A3D" w:rsidP="00A02C74">
      <w:pPr>
        <w:jc w:val="right"/>
        <w:rPr>
          <w:lang w:val="es-ES"/>
        </w:rPr>
      </w:pPr>
      <w:r w:rsidRPr="00E155CC">
        <w:rPr>
          <w:lang w:val="es-ES"/>
        </w:rPr>
        <w:t xml:space="preserve">Fin del Anexo </w:t>
      </w:r>
      <w:r w:rsidR="00211089">
        <w:rPr>
          <w:lang w:val="es-ES"/>
        </w:rPr>
        <w:t xml:space="preserve">II </w:t>
      </w:r>
      <w:r w:rsidRPr="00E155CC">
        <w:rPr>
          <w:lang w:val="es-ES"/>
        </w:rPr>
        <w:t>y del documento]</w:t>
      </w:r>
    </w:p>
    <w:sectPr w:rsidR="00F66C5A" w:rsidRPr="00E155CC" w:rsidSect="00A02C74">
      <w:headerReference w:type="default" r:id="rId1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52" w:rsidRDefault="00D87052" w:rsidP="006655D3">
      <w:r>
        <w:separator/>
      </w:r>
    </w:p>
    <w:p w:rsidR="00D87052" w:rsidRDefault="00D87052" w:rsidP="006655D3"/>
    <w:p w:rsidR="00D87052" w:rsidRDefault="00D87052" w:rsidP="006655D3"/>
  </w:endnote>
  <w:endnote w:type="continuationSeparator" w:id="0">
    <w:p w:rsidR="00D87052" w:rsidRDefault="00D87052" w:rsidP="006655D3">
      <w:r>
        <w:separator/>
      </w:r>
    </w:p>
    <w:p w:rsidR="00D87052" w:rsidRPr="00560A6D" w:rsidRDefault="00D87052">
      <w:pPr>
        <w:pStyle w:val="Footer"/>
        <w:spacing w:after="60"/>
        <w:rPr>
          <w:sz w:val="18"/>
          <w:lang w:val="fr-FR"/>
        </w:rPr>
      </w:pPr>
      <w:r w:rsidRPr="00560A6D">
        <w:rPr>
          <w:sz w:val="18"/>
          <w:lang w:val="fr-FR"/>
        </w:rPr>
        <w:t>[Suite de la note de la page précédente]</w:t>
      </w:r>
    </w:p>
    <w:p w:rsidR="00D87052" w:rsidRPr="00560A6D" w:rsidRDefault="00D87052" w:rsidP="006655D3">
      <w:pPr>
        <w:rPr>
          <w:lang w:val="fr-FR"/>
        </w:rPr>
      </w:pPr>
    </w:p>
    <w:p w:rsidR="00D87052" w:rsidRPr="00560A6D" w:rsidRDefault="00D87052" w:rsidP="006655D3">
      <w:pPr>
        <w:rPr>
          <w:lang w:val="fr-FR"/>
        </w:rPr>
      </w:pPr>
    </w:p>
  </w:endnote>
  <w:endnote w:type="continuationNotice" w:id="1">
    <w:p w:rsidR="00D87052" w:rsidRPr="00560A6D" w:rsidRDefault="00D87052" w:rsidP="006655D3">
      <w:pPr>
        <w:rPr>
          <w:lang w:val="fr-FR"/>
        </w:rPr>
      </w:pPr>
      <w:r w:rsidRPr="00560A6D">
        <w:rPr>
          <w:lang w:val="fr-FR"/>
        </w:rPr>
        <w:t>[Suite de la note page suivante]</w:t>
      </w:r>
    </w:p>
    <w:p w:rsidR="00D87052" w:rsidRPr="00560A6D" w:rsidRDefault="00D87052" w:rsidP="006655D3">
      <w:pPr>
        <w:rPr>
          <w:lang w:val="fr-FR"/>
        </w:rPr>
      </w:pPr>
    </w:p>
    <w:p w:rsidR="00D87052" w:rsidRPr="00560A6D" w:rsidRDefault="00D870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52" w:rsidRDefault="00D87052" w:rsidP="00C95616">
      <w:pPr>
        <w:spacing w:before="120"/>
      </w:pPr>
      <w:r>
        <w:separator/>
      </w:r>
    </w:p>
  </w:footnote>
  <w:footnote w:type="continuationSeparator" w:id="0">
    <w:p w:rsidR="00D87052" w:rsidRDefault="00D87052" w:rsidP="006655D3">
      <w:r>
        <w:separator/>
      </w:r>
    </w:p>
  </w:footnote>
  <w:footnote w:type="continuationNotice" w:id="1">
    <w:p w:rsidR="00D87052" w:rsidRPr="00A56FAA" w:rsidRDefault="00D87052"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r w:rsidR="002B279A">
      <w:rPr>
        <w:rStyle w:val="PageNumber"/>
        <w:lang w:val="en-US"/>
      </w:rPr>
      <w:t>18</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50CF">
      <w:rPr>
        <w:rStyle w:val="PageNumber"/>
        <w:noProof/>
        <w:lang w:val="en-US"/>
      </w:rPr>
      <w:t>2</w:t>
    </w:r>
    <w:r w:rsidRPr="00C5280D">
      <w:rPr>
        <w:rStyle w:val="PageNumber"/>
        <w:lang w:val="en-US"/>
      </w:rPr>
      <w:fldChar w:fldCharType="end"/>
    </w:r>
  </w:p>
  <w:p w:rsidR="00A56FAA" w:rsidRPr="00C5280D" w:rsidRDefault="00A56FA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27" w:rsidRPr="00A02C74" w:rsidRDefault="00453227" w:rsidP="00A02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C74" w:rsidRPr="00E155CC" w:rsidRDefault="00A02C74" w:rsidP="00A02C74">
    <w:pPr>
      <w:pStyle w:val="Header"/>
      <w:rPr>
        <w:rStyle w:val="PageNumber"/>
        <w:lang w:val="fr-CH"/>
      </w:rPr>
    </w:pPr>
    <w:r w:rsidRPr="00E155CC">
      <w:rPr>
        <w:rStyle w:val="PageNumber"/>
        <w:lang w:val="fr-CH"/>
      </w:rPr>
      <w:t>C/48/18</w:t>
    </w:r>
  </w:p>
  <w:p w:rsidR="00A02C74" w:rsidRPr="00E155CC" w:rsidRDefault="00A02C74" w:rsidP="00A02C74">
    <w:pPr>
      <w:pStyle w:val="Header"/>
      <w:rPr>
        <w:lang w:val="fr-CH"/>
      </w:rPr>
    </w:pPr>
    <w:r w:rsidRPr="00E155CC">
      <w:rPr>
        <w:lang w:val="fr-CH"/>
      </w:rPr>
      <w:t xml:space="preserve">Annex II / Annexe II / Anlage II / Anexo II </w:t>
    </w:r>
  </w:p>
  <w:p w:rsidR="00A02C74" w:rsidRPr="00C5280D" w:rsidRDefault="00A02C74" w:rsidP="00A02C7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50CF">
      <w:rPr>
        <w:rStyle w:val="PageNumber"/>
        <w:noProof/>
        <w:lang w:val="en-US"/>
      </w:rPr>
      <w:t>2</w:t>
    </w:r>
    <w:r w:rsidRPr="00C5280D">
      <w:rPr>
        <w:rStyle w:val="PageNumber"/>
        <w:lang w:val="en-US"/>
      </w:rPr>
      <w:fldChar w:fldCharType="end"/>
    </w:r>
    <w:r>
      <w:rPr>
        <w:rStyle w:val="PageNumber"/>
        <w:lang w:val="en-US"/>
      </w:rPr>
      <w:t xml:space="preserve"> /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50CF">
      <w:rPr>
        <w:rStyle w:val="PageNumber"/>
        <w:noProof/>
        <w:lang w:val="en-US"/>
      </w:rPr>
      <w:t>2</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50CF">
      <w:rPr>
        <w:rStyle w:val="PageNumber"/>
        <w:noProof/>
        <w:lang w:val="en-US"/>
      </w:rPr>
      <w:t>2</w:t>
    </w:r>
    <w:r w:rsidRPr="00C5280D">
      <w:rPr>
        <w:rStyle w:val="PageNumber"/>
        <w:lang w:val="en-US"/>
      </w:rPr>
      <w:fldChar w:fldCharType="end"/>
    </w:r>
  </w:p>
  <w:p w:rsidR="00A02C74" w:rsidRPr="00A02C74" w:rsidRDefault="00A02C74" w:rsidP="00A02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23"/>
    <w:rsid w:val="00010CF3"/>
    <w:rsid w:val="00011E27"/>
    <w:rsid w:val="000148BC"/>
    <w:rsid w:val="00024AB8"/>
    <w:rsid w:val="00030854"/>
    <w:rsid w:val="00036028"/>
    <w:rsid w:val="00037B26"/>
    <w:rsid w:val="00044642"/>
    <w:rsid w:val="000446B9"/>
    <w:rsid w:val="00047E21"/>
    <w:rsid w:val="000550CF"/>
    <w:rsid w:val="00062A3D"/>
    <w:rsid w:val="00085505"/>
    <w:rsid w:val="000A68B4"/>
    <w:rsid w:val="000C7021"/>
    <w:rsid w:val="000D6BBC"/>
    <w:rsid w:val="000D7780"/>
    <w:rsid w:val="00105929"/>
    <w:rsid w:val="001131D5"/>
    <w:rsid w:val="00123B23"/>
    <w:rsid w:val="00141DB8"/>
    <w:rsid w:val="00153CA1"/>
    <w:rsid w:val="0017474A"/>
    <w:rsid w:val="001758C6"/>
    <w:rsid w:val="00182B99"/>
    <w:rsid w:val="001A0080"/>
    <w:rsid w:val="001D5A90"/>
    <w:rsid w:val="001E0CF9"/>
    <w:rsid w:val="001E5416"/>
    <w:rsid w:val="001E7D5D"/>
    <w:rsid w:val="00211089"/>
    <w:rsid w:val="0021332C"/>
    <w:rsid w:val="00213982"/>
    <w:rsid w:val="00232EC8"/>
    <w:rsid w:val="0024416D"/>
    <w:rsid w:val="00261292"/>
    <w:rsid w:val="00271994"/>
    <w:rsid w:val="002800A0"/>
    <w:rsid w:val="002801B3"/>
    <w:rsid w:val="0028098F"/>
    <w:rsid w:val="00281060"/>
    <w:rsid w:val="002940E8"/>
    <w:rsid w:val="002A6E50"/>
    <w:rsid w:val="002B279A"/>
    <w:rsid w:val="002C0CE5"/>
    <w:rsid w:val="002C256A"/>
    <w:rsid w:val="002E6F21"/>
    <w:rsid w:val="00305A7F"/>
    <w:rsid w:val="00312E11"/>
    <w:rsid w:val="00315280"/>
    <w:rsid w:val="003152FE"/>
    <w:rsid w:val="00327436"/>
    <w:rsid w:val="0033507D"/>
    <w:rsid w:val="00344BD6"/>
    <w:rsid w:val="003512C5"/>
    <w:rsid w:val="0035528D"/>
    <w:rsid w:val="00361821"/>
    <w:rsid w:val="0039442B"/>
    <w:rsid w:val="003D227C"/>
    <w:rsid w:val="003D2B4D"/>
    <w:rsid w:val="003E36C1"/>
    <w:rsid w:val="003E6068"/>
    <w:rsid w:val="00423E04"/>
    <w:rsid w:val="00444A88"/>
    <w:rsid w:val="00453227"/>
    <w:rsid w:val="00474DA4"/>
    <w:rsid w:val="00476B4D"/>
    <w:rsid w:val="004805FA"/>
    <w:rsid w:val="004C64F5"/>
    <w:rsid w:val="004C6A0F"/>
    <w:rsid w:val="004D047D"/>
    <w:rsid w:val="004F305A"/>
    <w:rsid w:val="00504E20"/>
    <w:rsid w:val="00512164"/>
    <w:rsid w:val="00520297"/>
    <w:rsid w:val="005338F9"/>
    <w:rsid w:val="00535E19"/>
    <w:rsid w:val="0054281C"/>
    <w:rsid w:val="0055268D"/>
    <w:rsid w:val="00560A6D"/>
    <w:rsid w:val="00576BE4"/>
    <w:rsid w:val="005A400A"/>
    <w:rsid w:val="005D169D"/>
    <w:rsid w:val="005E7EBF"/>
    <w:rsid w:val="005F05B6"/>
    <w:rsid w:val="005F7D08"/>
    <w:rsid w:val="006108F5"/>
    <w:rsid w:val="00612379"/>
    <w:rsid w:val="0061555F"/>
    <w:rsid w:val="006249FC"/>
    <w:rsid w:val="00641200"/>
    <w:rsid w:val="00643967"/>
    <w:rsid w:val="00663239"/>
    <w:rsid w:val="006655D3"/>
    <w:rsid w:val="0067078A"/>
    <w:rsid w:val="00687EB4"/>
    <w:rsid w:val="006B17D2"/>
    <w:rsid w:val="006C224E"/>
    <w:rsid w:val="006D4583"/>
    <w:rsid w:val="006D6D55"/>
    <w:rsid w:val="006D780A"/>
    <w:rsid w:val="006E264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43E38"/>
    <w:rsid w:val="00867AC1"/>
    <w:rsid w:val="00872100"/>
    <w:rsid w:val="008A3C6D"/>
    <w:rsid w:val="008A743F"/>
    <w:rsid w:val="008C0970"/>
    <w:rsid w:val="008C32B3"/>
    <w:rsid w:val="008D2CF7"/>
    <w:rsid w:val="00900C26"/>
    <w:rsid w:val="0090197F"/>
    <w:rsid w:val="00901A3F"/>
    <w:rsid w:val="00906DDC"/>
    <w:rsid w:val="00914A0C"/>
    <w:rsid w:val="00934E09"/>
    <w:rsid w:val="00936253"/>
    <w:rsid w:val="00947760"/>
    <w:rsid w:val="00952DD4"/>
    <w:rsid w:val="00970FED"/>
    <w:rsid w:val="00987812"/>
    <w:rsid w:val="00997029"/>
    <w:rsid w:val="009A20DC"/>
    <w:rsid w:val="009D1C67"/>
    <w:rsid w:val="009D690D"/>
    <w:rsid w:val="009E04AA"/>
    <w:rsid w:val="009E26E5"/>
    <w:rsid w:val="009E65B6"/>
    <w:rsid w:val="009F4443"/>
    <w:rsid w:val="009F7D0F"/>
    <w:rsid w:val="00A02C74"/>
    <w:rsid w:val="00A35A68"/>
    <w:rsid w:val="00A42AC3"/>
    <w:rsid w:val="00A430CF"/>
    <w:rsid w:val="00A54309"/>
    <w:rsid w:val="00A56FAA"/>
    <w:rsid w:val="00A66554"/>
    <w:rsid w:val="00AB2B93"/>
    <w:rsid w:val="00AB7E5B"/>
    <w:rsid w:val="00AE0EF1"/>
    <w:rsid w:val="00AE2937"/>
    <w:rsid w:val="00AF3A6C"/>
    <w:rsid w:val="00B07301"/>
    <w:rsid w:val="00B17694"/>
    <w:rsid w:val="00B224DE"/>
    <w:rsid w:val="00B40C9A"/>
    <w:rsid w:val="00B46575"/>
    <w:rsid w:val="00B84BBD"/>
    <w:rsid w:val="00BA43FB"/>
    <w:rsid w:val="00BC127D"/>
    <w:rsid w:val="00BC1FE6"/>
    <w:rsid w:val="00C051EF"/>
    <w:rsid w:val="00C061B6"/>
    <w:rsid w:val="00C2446C"/>
    <w:rsid w:val="00C36AE5"/>
    <w:rsid w:val="00C41F17"/>
    <w:rsid w:val="00C512FB"/>
    <w:rsid w:val="00C51D44"/>
    <w:rsid w:val="00C5280D"/>
    <w:rsid w:val="00C5791C"/>
    <w:rsid w:val="00C651CE"/>
    <w:rsid w:val="00C66290"/>
    <w:rsid w:val="00C67775"/>
    <w:rsid w:val="00C72B7A"/>
    <w:rsid w:val="00C95616"/>
    <w:rsid w:val="00C973F2"/>
    <w:rsid w:val="00CA304C"/>
    <w:rsid w:val="00CA774A"/>
    <w:rsid w:val="00CB39C3"/>
    <w:rsid w:val="00CC11B0"/>
    <w:rsid w:val="00CF7E36"/>
    <w:rsid w:val="00D04E2B"/>
    <w:rsid w:val="00D20697"/>
    <w:rsid w:val="00D3708D"/>
    <w:rsid w:val="00D40426"/>
    <w:rsid w:val="00D5275E"/>
    <w:rsid w:val="00D57C96"/>
    <w:rsid w:val="00D87052"/>
    <w:rsid w:val="00D91203"/>
    <w:rsid w:val="00D95174"/>
    <w:rsid w:val="00DA5C5A"/>
    <w:rsid w:val="00DA6F36"/>
    <w:rsid w:val="00DB596E"/>
    <w:rsid w:val="00DC00EA"/>
    <w:rsid w:val="00E0116C"/>
    <w:rsid w:val="00E155CC"/>
    <w:rsid w:val="00E32F7E"/>
    <w:rsid w:val="00E34E40"/>
    <w:rsid w:val="00E72D49"/>
    <w:rsid w:val="00E7593C"/>
    <w:rsid w:val="00E7678A"/>
    <w:rsid w:val="00E93007"/>
    <w:rsid w:val="00E935F1"/>
    <w:rsid w:val="00E94A81"/>
    <w:rsid w:val="00E96788"/>
    <w:rsid w:val="00EA1FFB"/>
    <w:rsid w:val="00EB048E"/>
    <w:rsid w:val="00ED2A66"/>
    <w:rsid w:val="00EE34DF"/>
    <w:rsid w:val="00EF2F89"/>
    <w:rsid w:val="00EF782B"/>
    <w:rsid w:val="00F1237A"/>
    <w:rsid w:val="00F225B1"/>
    <w:rsid w:val="00F22CBD"/>
    <w:rsid w:val="00F45372"/>
    <w:rsid w:val="00F560F7"/>
    <w:rsid w:val="00F56C99"/>
    <w:rsid w:val="00F6334D"/>
    <w:rsid w:val="00F66C5A"/>
    <w:rsid w:val="00F80602"/>
    <w:rsid w:val="00FA49AB"/>
    <w:rsid w:val="00FB4DDB"/>
    <w:rsid w:val="00FD09E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4C6A0F"/>
    <w:rPr>
      <w:rFonts w:ascii="Arial" w:hAnsi="Arial"/>
      <w:lang w:val="fr-FR"/>
    </w:rPr>
  </w:style>
  <w:style w:type="character" w:styleId="FollowedHyperlink">
    <w:name w:val="FollowedHyperlink"/>
    <w:basedOn w:val="DefaultParagraphFont"/>
    <w:rsid w:val="001E5416"/>
    <w:rPr>
      <w:color w:val="800080" w:themeColor="followedHyperlink"/>
      <w:u w:val="single"/>
    </w:rPr>
  </w:style>
  <w:style w:type="table" w:styleId="TableGrid">
    <w:name w:val="Table Grid"/>
    <w:basedOn w:val="TableNormal"/>
    <w:rsid w:val="00EF7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doc_path_name Char"/>
    <w:basedOn w:val="DefaultParagraphFont"/>
    <w:link w:val="Footer"/>
    <w:rsid w:val="006108F5"/>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4C6A0F"/>
    <w:rPr>
      <w:rFonts w:ascii="Arial" w:hAnsi="Arial"/>
      <w:lang w:val="fr-FR"/>
    </w:rPr>
  </w:style>
  <w:style w:type="character" w:styleId="FollowedHyperlink">
    <w:name w:val="FollowedHyperlink"/>
    <w:basedOn w:val="DefaultParagraphFont"/>
    <w:rsid w:val="001E5416"/>
    <w:rPr>
      <w:color w:val="800080" w:themeColor="followedHyperlink"/>
      <w:u w:val="single"/>
    </w:rPr>
  </w:style>
  <w:style w:type="table" w:styleId="TableGrid">
    <w:name w:val="Table Grid"/>
    <w:basedOn w:val="TableNormal"/>
    <w:rsid w:val="00EF7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doc_path_name Char"/>
    <w:basedOn w:val="DefaultParagraphFont"/>
    <w:link w:val="Footer"/>
    <w:rsid w:val="006108F5"/>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k@kilimo.go.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3338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3AD0-885D-4AA6-853D-BAA894C3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5</TotalTime>
  <Pages>5</Pages>
  <Words>1626</Words>
  <Characters>9921</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BESSE Ariane</dc:creator>
  <cp:lastModifiedBy>BESSE Ariane</cp:lastModifiedBy>
  <cp:revision>6</cp:revision>
  <cp:lastPrinted>2014-09-15T06:40:00Z</cp:lastPrinted>
  <dcterms:created xsi:type="dcterms:W3CDTF">2014-09-04T07:49:00Z</dcterms:created>
  <dcterms:modified xsi:type="dcterms:W3CDTF">2014-09-15T06:40:00Z</dcterms:modified>
</cp:coreProperties>
</file>