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7561F" w:rsidRPr="00EC62E9" w:rsidTr="00237E7B">
        <w:trPr>
          <w:trHeight w:val="1760"/>
        </w:trPr>
        <w:tc>
          <w:tcPr>
            <w:tcW w:w="3993" w:type="dxa"/>
          </w:tcPr>
          <w:p w:rsidR="00C7561F" w:rsidRPr="00EC62E9" w:rsidRDefault="00C7561F" w:rsidP="00237E7B">
            <w:pPr>
              <w:rPr>
                <w:lang w:val="de-DE"/>
              </w:rPr>
            </w:pPr>
            <w:bookmarkStart w:id="0" w:name="TitleOfDoc"/>
            <w:bookmarkStart w:id="1" w:name="_Toc336331192"/>
            <w:bookmarkStart w:id="2" w:name="_Toc336339182"/>
            <w:bookmarkEnd w:id="0"/>
          </w:p>
        </w:tc>
        <w:tc>
          <w:tcPr>
            <w:tcW w:w="1549" w:type="dxa"/>
            <w:vAlign w:val="center"/>
          </w:tcPr>
          <w:p w:rsidR="00C7561F" w:rsidRPr="009A51FE" w:rsidRDefault="00C7561F" w:rsidP="00237E7B">
            <w:pPr>
              <w:pStyle w:val="LogoUPOV"/>
              <w:rPr>
                <w:lang w:val="de-DE"/>
              </w:rPr>
            </w:pPr>
            <w:r w:rsidRPr="009A51FE">
              <w:rPr>
                <w:noProof/>
              </w:rPr>
              <w:drawing>
                <wp:inline distT="0" distB="0" distL="0" distR="0" wp14:anchorId="0CAFD445" wp14:editId="506F02E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C7561F" w:rsidRPr="009A51FE" w:rsidRDefault="00C7561F" w:rsidP="00237E7B">
            <w:pPr>
              <w:pStyle w:val="Lettrine"/>
              <w:rPr>
                <w:lang w:val="de-DE"/>
              </w:rPr>
            </w:pPr>
            <w:r w:rsidRPr="009A51FE">
              <w:rPr>
                <w:lang w:val="de-DE"/>
              </w:rPr>
              <w:t>G</w:t>
            </w:r>
          </w:p>
          <w:p w:rsidR="00C7561F" w:rsidRPr="009A51FE" w:rsidRDefault="00C7561F" w:rsidP="00237E7B">
            <w:pPr>
              <w:pStyle w:val="Docoriginal"/>
              <w:rPr>
                <w:lang w:val="de-DE"/>
              </w:rPr>
            </w:pPr>
            <w:r w:rsidRPr="009A51FE">
              <w:rPr>
                <w:lang w:val="de-DE"/>
              </w:rPr>
              <w:t>C/48/</w:t>
            </w:r>
            <w:bookmarkStart w:id="3" w:name="Code"/>
            <w:bookmarkEnd w:id="3"/>
            <w:r w:rsidRPr="009A51FE">
              <w:rPr>
                <w:lang w:val="de-DE"/>
              </w:rPr>
              <w:t>12</w:t>
            </w:r>
          </w:p>
          <w:p w:rsidR="00C7561F" w:rsidRPr="009A51FE" w:rsidRDefault="00C7561F" w:rsidP="00237E7B">
            <w:pPr>
              <w:pStyle w:val="Docoriginal"/>
              <w:rPr>
                <w:b w:val="0"/>
                <w:spacing w:val="0"/>
                <w:lang w:val="de-DE"/>
              </w:rPr>
            </w:pPr>
            <w:r w:rsidRPr="009A51FE">
              <w:rPr>
                <w:rStyle w:val="StyleDoclangBold"/>
                <w:b/>
                <w:spacing w:val="0"/>
                <w:lang w:val="de-DE"/>
              </w:rPr>
              <w:t>ORIGINAL:</w:t>
            </w:r>
            <w:r w:rsidRPr="009A51FE">
              <w:rPr>
                <w:rStyle w:val="StyleDocoriginalNotBold1"/>
                <w:spacing w:val="0"/>
                <w:lang w:val="de-DE"/>
              </w:rPr>
              <w:t xml:space="preserve"> </w:t>
            </w:r>
            <w:r w:rsidRPr="009A51FE">
              <w:rPr>
                <w:lang w:val="de-DE"/>
              </w:rPr>
              <w:t xml:space="preserve"> </w:t>
            </w:r>
            <w:bookmarkStart w:id="4" w:name="Original"/>
            <w:bookmarkEnd w:id="4"/>
            <w:r w:rsidRPr="009A51FE">
              <w:rPr>
                <w:b w:val="0"/>
                <w:spacing w:val="0"/>
                <w:lang w:val="de-DE"/>
              </w:rPr>
              <w:t>englisch</w:t>
            </w:r>
          </w:p>
          <w:p w:rsidR="00C7561F" w:rsidRPr="00EC62E9" w:rsidRDefault="00C7561F" w:rsidP="009A51FE">
            <w:pPr>
              <w:pStyle w:val="Docoriginal"/>
              <w:rPr>
                <w:lang w:val="de-DE"/>
              </w:rPr>
            </w:pPr>
            <w:r w:rsidRPr="009A51FE">
              <w:rPr>
                <w:lang w:val="de-DE"/>
              </w:rPr>
              <w:t xml:space="preserve">DATUM: </w:t>
            </w:r>
            <w:r w:rsidRPr="009A51FE">
              <w:rPr>
                <w:rStyle w:val="StyleDocoriginalNotBold1"/>
                <w:spacing w:val="0"/>
                <w:lang w:val="de-DE"/>
              </w:rPr>
              <w:t xml:space="preserve"> </w:t>
            </w:r>
            <w:bookmarkStart w:id="5" w:name="Date"/>
            <w:bookmarkEnd w:id="5"/>
            <w:r w:rsidR="009A51FE" w:rsidRPr="009A51FE">
              <w:rPr>
                <w:b w:val="0"/>
                <w:spacing w:val="0"/>
                <w:lang w:val="de-DE"/>
              </w:rPr>
              <w:t>17. September</w:t>
            </w:r>
            <w:r w:rsidRPr="009A51FE">
              <w:rPr>
                <w:b w:val="0"/>
                <w:spacing w:val="0"/>
                <w:lang w:val="de-DE"/>
              </w:rPr>
              <w:t xml:space="preserve"> 2014</w:t>
            </w:r>
            <w:bookmarkStart w:id="6" w:name="_GoBack"/>
            <w:bookmarkEnd w:id="6"/>
          </w:p>
        </w:tc>
      </w:tr>
      <w:tr w:rsidR="00C7561F" w:rsidRPr="00EC62E9" w:rsidTr="00237E7B">
        <w:tc>
          <w:tcPr>
            <w:tcW w:w="9534" w:type="dxa"/>
            <w:gridSpan w:val="3"/>
          </w:tcPr>
          <w:p w:rsidR="00C7561F" w:rsidRPr="00EC62E9" w:rsidRDefault="00C7561F" w:rsidP="00237E7B">
            <w:pPr>
              <w:pStyle w:val="upove"/>
              <w:rPr>
                <w:sz w:val="28"/>
                <w:lang w:val="de-DE"/>
              </w:rPr>
            </w:pPr>
            <w:r w:rsidRPr="00EC62E9">
              <w:rPr>
                <w:lang w:val="de-DE"/>
              </w:rPr>
              <w:t xml:space="preserve">INTERNATIONALER VERBAND ZUM SCHUTZ VON PFLANZENZÜCHTUNGEN </w:t>
            </w:r>
          </w:p>
        </w:tc>
      </w:tr>
      <w:tr w:rsidR="00C7561F" w:rsidRPr="00EC62E9" w:rsidTr="00237E7B">
        <w:tc>
          <w:tcPr>
            <w:tcW w:w="9534" w:type="dxa"/>
            <w:gridSpan w:val="3"/>
          </w:tcPr>
          <w:p w:rsidR="00C7561F" w:rsidRPr="00EC62E9" w:rsidRDefault="00C7561F" w:rsidP="00237E7B">
            <w:pPr>
              <w:pStyle w:val="Country"/>
              <w:rPr>
                <w:lang w:val="de-DE"/>
              </w:rPr>
            </w:pPr>
            <w:r w:rsidRPr="00EC62E9">
              <w:rPr>
                <w:lang w:val="de-DE"/>
              </w:rPr>
              <w:t>Genf</w:t>
            </w:r>
          </w:p>
        </w:tc>
      </w:tr>
    </w:tbl>
    <w:p w:rsidR="00C7561F" w:rsidRPr="00EC62E9" w:rsidRDefault="00C7561F" w:rsidP="00C7561F">
      <w:pPr>
        <w:pStyle w:val="Sessiontc"/>
        <w:rPr>
          <w:lang w:val="de-DE"/>
        </w:rPr>
      </w:pPr>
      <w:r w:rsidRPr="00EC62E9">
        <w:rPr>
          <w:lang w:val="de-DE"/>
        </w:rPr>
        <w:t>DER RAT</w:t>
      </w:r>
    </w:p>
    <w:p w:rsidR="00C7561F" w:rsidRPr="00EC62E9" w:rsidRDefault="00C7561F" w:rsidP="00C7561F">
      <w:pPr>
        <w:pStyle w:val="Sessiontcplacedate"/>
        <w:rPr>
          <w:lang w:val="de-DE"/>
        </w:rPr>
      </w:pPr>
      <w:r w:rsidRPr="00EC62E9">
        <w:rPr>
          <w:lang w:val="de-DE"/>
        </w:rPr>
        <w:t>Achtundvierzigste ordentliche Tagung</w:t>
      </w:r>
      <w:r w:rsidRPr="00EC62E9">
        <w:rPr>
          <w:lang w:val="de-DE"/>
        </w:rPr>
        <w:br/>
        <w:t>Genf, 16. Oktober 2014</w:t>
      </w:r>
    </w:p>
    <w:p w:rsidR="00C7561F" w:rsidRPr="00EC62E9" w:rsidRDefault="00C7561F" w:rsidP="00C7561F">
      <w:pPr>
        <w:pStyle w:val="Titleofdoc0"/>
        <w:rPr>
          <w:lang w:val="de-DE"/>
        </w:rPr>
      </w:pPr>
      <w:r w:rsidRPr="00EC62E9">
        <w:rPr>
          <w:lang w:val="de-DE"/>
        </w:rPr>
        <w:t>Ergebnisbericht für die Rechnungsperiode 2012-2013</w:t>
      </w:r>
    </w:p>
    <w:p w:rsidR="00C7561F" w:rsidRPr="00EC62E9" w:rsidRDefault="00C7561F" w:rsidP="00C7561F">
      <w:pPr>
        <w:pStyle w:val="preparedby1"/>
        <w:rPr>
          <w:lang w:val="de-DE"/>
        </w:rPr>
      </w:pPr>
      <w:bookmarkStart w:id="7" w:name="Prepared"/>
      <w:bookmarkEnd w:id="7"/>
      <w:r w:rsidRPr="00EC62E9">
        <w:rPr>
          <w:lang w:val="de-DE"/>
        </w:rPr>
        <w:t>vom Verbandsbüro erstellt</w:t>
      </w:r>
      <w:r w:rsidR="0031475F" w:rsidRPr="00EC62E9">
        <w:rPr>
          <w:lang w:val="de-DE"/>
        </w:rPr>
        <w:t xml:space="preserve"> </w:t>
      </w:r>
      <w:r w:rsidRPr="00EC62E9">
        <w:rPr>
          <w:lang w:val="de-DE"/>
        </w:rPr>
        <w:br/>
      </w:r>
      <w:r w:rsidRPr="00EC62E9">
        <w:rPr>
          <w:lang w:val="de-DE"/>
        </w:rPr>
        <w:br/>
      </w:r>
      <w:proofErr w:type="spellStart"/>
      <w:r w:rsidRPr="00EC62E9">
        <w:rPr>
          <w:color w:val="A6A6A6" w:themeColor="background1" w:themeShade="A6"/>
          <w:lang w:val="de-DE"/>
        </w:rPr>
        <w:t>Haftungsausschluß</w:t>
      </w:r>
      <w:proofErr w:type="spellEnd"/>
      <w:r w:rsidRPr="00EC62E9">
        <w:rPr>
          <w:color w:val="A6A6A6" w:themeColor="background1" w:themeShade="A6"/>
          <w:lang w:val="de-DE"/>
        </w:rPr>
        <w:t>:  dieses Dokument gibt nicht die Grundsätze oder eine Anleitung der UPOV wieder</w:t>
      </w:r>
    </w:p>
    <w:p w:rsidR="00C7561F" w:rsidRPr="00EC62E9" w:rsidRDefault="00C7561F" w:rsidP="00C7561F">
      <w:pPr>
        <w:rPr>
          <w:lang w:val="de-DE"/>
        </w:rPr>
      </w:pPr>
    </w:p>
    <w:p w:rsidR="00C7561F" w:rsidRPr="00EC62E9" w:rsidRDefault="00C7561F" w:rsidP="00C7561F">
      <w:pPr>
        <w:rPr>
          <w:lang w:val="de-DE"/>
        </w:rPr>
      </w:pPr>
      <w:r w:rsidRPr="00EC62E9">
        <w:rPr>
          <w:lang w:val="de-DE"/>
        </w:rPr>
        <w:t>Dieses Dokument enthält den Ergebnisbericht für die Rechnungsperiode 2012-2013 auf der Grundlage des vom Rat angenommenen Programms und Haushaltsplans für die Finanzperiode 2012-2013 (vergleiche Dokument C/45/4 Rev.2 „Programm und Haushaltsplan für die Finanzperiode 2012-2013“).</w:t>
      </w:r>
    </w:p>
    <w:p w:rsidR="00C7561F" w:rsidRPr="00EC62E9" w:rsidRDefault="00C7561F" w:rsidP="00C7561F">
      <w:pPr>
        <w:rPr>
          <w:lang w:val="de-DE"/>
        </w:rPr>
      </w:pPr>
    </w:p>
    <w:p w:rsidR="00C7561F" w:rsidRPr="00EC62E9" w:rsidRDefault="00C7561F" w:rsidP="00C7561F">
      <w:pPr>
        <w:jc w:val="left"/>
        <w:rPr>
          <w:snapToGrid w:val="0"/>
          <w:color w:val="000000" w:themeColor="text1"/>
          <w:lang w:val="de-DE"/>
        </w:rPr>
      </w:pPr>
      <w:r w:rsidRPr="00EC62E9">
        <w:rPr>
          <w:lang w:val="de-DE"/>
        </w:rPr>
        <w:br w:type="page"/>
      </w:r>
    </w:p>
    <w:p w:rsidR="00C7561F" w:rsidRPr="00EC62E9" w:rsidRDefault="00C7561F" w:rsidP="00C7561F">
      <w:pPr>
        <w:jc w:val="center"/>
        <w:rPr>
          <w:lang w:val="de-DE"/>
        </w:rPr>
      </w:pPr>
      <w:bookmarkStart w:id="8" w:name="_Toc207186207"/>
      <w:r w:rsidRPr="00EC62E9">
        <w:rPr>
          <w:lang w:val="de-DE"/>
        </w:rPr>
        <w:lastRenderedPageBreak/>
        <w:t>ERGEBNISTABELLE</w:t>
      </w:r>
      <w:bookmarkEnd w:id="8"/>
      <w:r w:rsidRPr="00EC62E9">
        <w:rPr>
          <w:lang w:val="de-DE"/>
        </w:rPr>
        <w:t xml:space="preserve"> FÜR DIE RECHNUNGSPERIODE 2012-2013</w:t>
      </w:r>
    </w:p>
    <w:p w:rsidR="00C7561F" w:rsidRPr="00EC62E9" w:rsidRDefault="00C7561F" w:rsidP="00C7561F">
      <w:pPr>
        <w:jc w:val="center"/>
        <w:rPr>
          <w:lang w:val="de-DE"/>
        </w:rPr>
      </w:pPr>
    </w:p>
    <w:p w:rsidR="00C7561F" w:rsidRPr="00EC62E9" w:rsidRDefault="00C7561F" w:rsidP="00C7561F">
      <w:pPr>
        <w:jc w:val="center"/>
        <w:rPr>
          <w:lang w:val="de-DE"/>
        </w:rPr>
      </w:pPr>
    </w:p>
    <w:p w:rsidR="00C7561F" w:rsidRPr="00EC62E9" w:rsidRDefault="00C7561F" w:rsidP="00C7561F">
      <w:pPr>
        <w:jc w:val="center"/>
        <w:rPr>
          <w:u w:val="single"/>
          <w:lang w:val="de-DE"/>
        </w:rPr>
      </w:pPr>
      <w:r w:rsidRPr="00EC62E9">
        <w:rPr>
          <w:u w:val="single"/>
          <w:lang w:val="de-DE"/>
        </w:rPr>
        <w:t>Inhalt</w:t>
      </w:r>
    </w:p>
    <w:p w:rsidR="00C7561F" w:rsidRPr="00EC62E9" w:rsidRDefault="00C7561F" w:rsidP="00C7561F">
      <w:pPr>
        <w:rPr>
          <w:lang w:val="de-DE"/>
        </w:rPr>
      </w:pPr>
    </w:p>
    <w:p w:rsidR="00E9766C" w:rsidRDefault="00C7561F">
      <w:pPr>
        <w:pStyle w:val="TOC3"/>
        <w:tabs>
          <w:tab w:val="left" w:pos="425"/>
        </w:tabs>
        <w:rPr>
          <w:rFonts w:asciiTheme="minorHAnsi" w:eastAsiaTheme="minorEastAsia" w:hAnsiTheme="minorHAnsi" w:cstheme="minorBidi"/>
          <w:b w:val="0"/>
          <w:noProof/>
          <w:sz w:val="22"/>
          <w:szCs w:val="22"/>
          <w:lang w:val="en-US"/>
        </w:rPr>
      </w:pPr>
      <w:r w:rsidRPr="00EC62E9">
        <w:rPr>
          <w:caps/>
          <w:lang w:val="de-DE"/>
        </w:rPr>
        <w:fldChar w:fldCharType="begin"/>
      </w:r>
      <w:r w:rsidRPr="00EC62E9">
        <w:rPr>
          <w:caps/>
          <w:lang w:val="de-DE"/>
        </w:rPr>
        <w:instrText xml:space="preserve"> TOC \o "3-9" \u </w:instrText>
      </w:r>
      <w:r w:rsidRPr="00EC62E9">
        <w:rPr>
          <w:caps/>
          <w:lang w:val="de-DE"/>
        </w:rPr>
        <w:fldChar w:fldCharType="separate"/>
      </w:r>
      <w:r w:rsidR="00E9766C" w:rsidRPr="007A17E6">
        <w:rPr>
          <w:noProof/>
          <w:lang w:val="de-DE"/>
        </w:rPr>
        <w:t>1.</w:t>
      </w:r>
      <w:r w:rsidR="00E9766C">
        <w:rPr>
          <w:rFonts w:asciiTheme="minorHAnsi" w:eastAsiaTheme="minorEastAsia" w:hAnsiTheme="minorHAnsi" w:cstheme="minorBidi"/>
          <w:b w:val="0"/>
          <w:noProof/>
          <w:sz w:val="22"/>
          <w:szCs w:val="22"/>
          <w:lang w:val="en-US"/>
        </w:rPr>
        <w:tab/>
      </w:r>
      <w:r w:rsidR="00E9766C" w:rsidRPr="007A17E6">
        <w:rPr>
          <w:noProof/>
          <w:lang w:val="de-DE"/>
        </w:rPr>
        <w:t>EINLEITUNG</w:t>
      </w:r>
      <w:r w:rsidR="00E9766C">
        <w:rPr>
          <w:noProof/>
        </w:rPr>
        <w:tab/>
      </w:r>
      <w:r w:rsidR="00E9766C">
        <w:rPr>
          <w:noProof/>
        </w:rPr>
        <w:fldChar w:fldCharType="begin"/>
      </w:r>
      <w:r w:rsidR="00E9766C">
        <w:rPr>
          <w:noProof/>
        </w:rPr>
        <w:instrText xml:space="preserve"> PAGEREF _Toc398736704 \h </w:instrText>
      </w:r>
      <w:r w:rsidR="00E9766C">
        <w:rPr>
          <w:noProof/>
        </w:rPr>
      </w:r>
      <w:r w:rsidR="00E9766C">
        <w:rPr>
          <w:noProof/>
        </w:rPr>
        <w:fldChar w:fldCharType="separate"/>
      </w:r>
      <w:r w:rsidR="001E086F">
        <w:rPr>
          <w:noProof/>
        </w:rPr>
        <w:t>5</w:t>
      </w:r>
      <w:r w:rsidR="00E9766C">
        <w:rPr>
          <w:noProof/>
        </w:rPr>
        <w:fldChar w:fldCharType="end"/>
      </w:r>
    </w:p>
    <w:p w:rsidR="00E9766C" w:rsidRDefault="00E9766C">
      <w:pPr>
        <w:pStyle w:val="TOC3"/>
        <w:tabs>
          <w:tab w:val="left" w:pos="425"/>
        </w:tabs>
        <w:rPr>
          <w:rFonts w:asciiTheme="minorHAnsi" w:eastAsiaTheme="minorEastAsia" w:hAnsiTheme="minorHAnsi" w:cstheme="minorBidi"/>
          <w:b w:val="0"/>
          <w:noProof/>
          <w:sz w:val="22"/>
          <w:szCs w:val="22"/>
          <w:lang w:val="en-US"/>
        </w:rPr>
      </w:pPr>
      <w:r w:rsidRPr="007A17E6">
        <w:rPr>
          <w:noProof/>
          <w:lang w:val="de-DE"/>
        </w:rPr>
        <w:t>2.</w:t>
      </w:r>
      <w:r>
        <w:rPr>
          <w:rFonts w:asciiTheme="minorHAnsi" w:eastAsiaTheme="minorEastAsia" w:hAnsiTheme="minorHAnsi" w:cstheme="minorBidi"/>
          <w:b w:val="0"/>
          <w:noProof/>
          <w:sz w:val="22"/>
          <w:szCs w:val="22"/>
          <w:lang w:val="en-US"/>
        </w:rPr>
        <w:tab/>
      </w:r>
      <w:r w:rsidRPr="007A17E6">
        <w:rPr>
          <w:noProof/>
          <w:lang w:val="de-DE"/>
        </w:rPr>
        <w:t>DURCHFÜHRUNG DES PROGRAMMS</w:t>
      </w:r>
      <w:r>
        <w:rPr>
          <w:noProof/>
        </w:rPr>
        <w:tab/>
      </w:r>
      <w:r>
        <w:rPr>
          <w:noProof/>
        </w:rPr>
        <w:fldChar w:fldCharType="begin"/>
      </w:r>
      <w:r>
        <w:rPr>
          <w:noProof/>
        </w:rPr>
        <w:instrText xml:space="preserve"> PAGEREF _Toc398736705 \h </w:instrText>
      </w:r>
      <w:r>
        <w:rPr>
          <w:noProof/>
        </w:rPr>
      </w:r>
      <w:r>
        <w:rPr>
          <w:noProof/>
        </w:rPr>
        <w:fldChar w:fldCharType="separate"/>
      </w:r>
      <w:r w:rsidR="001E086F">
        <w:rPr>
          <w:noProof/>
        </w:rPr>
        <w:t>7</w:t>
      </w:r>
      <w:r>
        <w:rPr>
          <w:noProof/>
        </w:rP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2.1</w:t>
      </w:r>
      <w:r>
        <w:rPr>
          <w:rFonts w:asciiTheme="minorHAnsi" w:eastAsiaTheme="minorEastAsia" w:hAnsiTheme="minorHAnsi" w:cstheme="minorBidi"/>
          <w:b w:val="0"/>
          <w:smallCaps w:val="0"/>
          <w:sz w:val="22"/>
          <w:szCs w:val="22"/>
          <w:lang w:val="en-US"/>
        </w:rPr>
        <w:tab/>
      </w:r>
      <w:r w:rsidRPr="007A17E6">
        <w:rPr>
          <w:lang w:val="de-DE"/>
        </w:rPr>
        <w:t>Unterprogramm UV.1:  Allgemeine Sortenschutzpolitik</w:t>
      </w:r>
      <w:r>
        <w:tab/>
      </w:r>
      <w:r>
        <w:fldChar w:fldCharType="begin"/>
      </w:r>
      <w:r>
        <w:instrText xml:space="preserve"> PAGEREF _Toc398736706 \h </w:instrText>
      </w:r>
      <w:r>
        <w:fldChar w:fldCharType="separate"/>
      </w:r>
      <w:r w:rsidR="001E086F">
        <w:t>7</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Ziele</w:t>
      </w:r>
      <w:r>
        <w:tab/>
      </w:r>
      <w:r>
        <w:fldChar w:fldCharType="begin"/>
      </w:r>
      <w:r>
        <w:instrText xml:space="preserve"> PAGEREF _Toc398736707 \h </w:instrText>
      </w:r>
      <w:r>
        <w:fldChar w:fldCharType="separate"/>
      </w:r>
      <w:r w:rsidR="001E086F">
        <w:t>7</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Erzielte Ergebnisse:  Ausgewählte Planerfüllungsindikatoren</w:t>
      </w:r>
      <w:r>
        <w:tab/>
      </w:r>
      <w:r>
        <w:fldChar w:fldCharType="begin"/>
      </w:r>
      <w:r>
        <w:instrText xml:space="preserve"> PAGEREF _Toc398736708 \h </w:instrText>
      </w:r>
      <w:r>
        <w:fldChar w:fldCharType="separate"/>
      </w:r>
      <w:r w:rsidR="001E086F">
        <w:t>7</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1.  ORGANISATION DER TAGUNGEN DES RATES UND DES BERATENDEN AUSSCHUSSES</w:t>
      </w:r>
      <w:r>
        <w:tab/>
      </w:r>
      <w:r>
        <w:fldChar w:fldCharType="begin"/>
      </w:r>
      <w:r>
        <w:instrText xml:space="preserve"> PAGEREF _Toc398736709 \h </w:instrText>
      </w:r>
      <w:r>
        <w:fldChar w:fldCharType="separate"/>
      </w:r>
      <w:r w:rsidR="001E086F">
        <w:t>7</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Teilnahme an den Tagungen des Rates und des Beratenden Ausschusses</w:t>
      </w:r>
      <w:r>
        <w:tab/>
      </w:r>
      <w:r>
        <w:fldChar w:fldCharType="begin"/>
      </w:r>
      <w:r>
        <w:instrText xml:space="preserve"> PAGEREF _Toc398736710 \h </w:instrText>
      </w:r>
      <w:r>
        <w:fldChar w:fldCharType="separate"/>
      </w:r>
      <w:r w:rsidR="001E086F">
        <w:t>7</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  Teilnahme an den ordentlichen Tagungen des Rates (Tagungen im Oktober)</w:t>
      </w:r>
      <w:r>
        <w:tab/>
      </w:r>
      <w:r>
        <w:fldChar w:fldCharType="begin"/>
      </w:r>
      <w:r>
        <w:instrText xml:space="preserve"> PAGEREF _Toc398736711 \h </w:instrText>
      </w:r>
      <w:r>
        <w:fldChar w:fldCharType="separate"/>
      </w:r>
      <w:r w:rsidR="001E086F">
        <w:t>7</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  Teilnahme</w:t>
      </w:r>
      <w:r w:rsidRPr="007A17E6">
        <w:rPr>
          <w:vertAlign w:val="superscript"/>
          <w:lang w:val="de-DE"/>
        </w:rPr>
        <w:t>*</w:t>
      </w:r>
      <w:r w:rsidRPr="007A17E6">
        <w:rPr>
          <w:lang w:val="de-DE"/>
        </w:rPr>
        <w:t xml:space="preserve"> an den außerordentlichen Tagungen des Rates (Tagungen im April)</w:t>
      </w:r>
      <w:r>
        <w:tab/>
      </w:r>
      <w:r>
        <w:fldChar w:fldCharType="begin"/>
      </w:r>
      <w:r>
        <w:instrText xml:space="preserve"> PAGEREF _Toc398736712 \h </w:instrText>
      </w:r>
      <w:r>
        <w:fldChar w:fldCharType="separate"/>
      </w:r>
      <w:r w:rsidR="001E086F">
        <w:t>7</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  Teilnahme</w:t>
      </w:r>
      <w:r w:rsidRPr="007A17E6">
        <w:rPr>
          <w:vertAlign w:val="superscript"/>
          <w:lang w:val="de-DE"/>
        </w:rPr>
        <w:t>*</w:t>
      </w:r>
      <w:r w:rsidRPr="007A17E6">
        <w:rPr>
          <w:lang w:val="de-DE"/>
        </w:rPr>
        <w:t xml:space="preserve"> an den Tagungen des Beratenden Ausschusses</w:t>
      </w:r>
      <w:r>
        <w:tab/>
      </w:r>
      <w:r>
        <w:fldChar w:fldCharType="begin"/>
      </w:r>
      <w:r>
        <w:instrText xml:space="preserve"> PAGEREF _Toc398736713 \h </w:instrText>
      </w:r>
      <w:r>
        <w:fldChar w:fldCharType="separate"/>
      </w:r>
      <w:r w:rsidR="001E086F">
        <w:t>7</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2.  Koordinierung, Überwachung und Ergebnisbewertung des Programms und Haushaltsplans für die Rechnungsperiode 2012-2013</w:t>
      </w:r>
      <w:r>
        <w:tab/>
      </w:r>
      <w:r>
        <w:fldChar w:fldCharType="begin"/>
      </w:r>
      <w:r>
        <w:instrText xml:space="preserve"> PAGEREF _Toc398736714 \h </w:instrText>
      </w:r>
      <w:r>
        <w:fldChar w:fldCharType="separate"/>
      </w:r>
      <w:r w:rsidR="001E086F">
        <w:t>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Abschluß des Programms im Rahmen des Haushaltsplans für die Rechnungsperiode 2012-2013</w:t>
      </w:r>
      <w:r>
        <w:tab/>
      </w:r>
      <w:r>
        <w:fldChar w:fldCharType="begin"/>
      </w:r>
      <w:r>
        <w:instrText xml:space="preserve"> PAGEREF _Toc398736715 \h </w:instrText>
      </w:r>
      <w:r>
        <w:fldChar w:fldCharType="separate"/>
      </w:r>
      <w:r w:rsidR="001E086F">
        <w:t>8</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3.  Aufstellung und Annahme des Programms und Haushaltsplans für die Rechnungsperiode 2014</w:t>
      </w:r>
      <w:r w:rsidRPr="007A17E6">
        <w:rPr>
          <w:lang w:val="de-DE"/>
        </w:rPr>
        <w:noBreakHyphen/>
        <w:t>2015</w:t>
      </w:r>
      <w:r>
        <w:tab/>
      </w:r>
      <w:r>
        <w:fldChar w:fldCharType="begin"/>
      </w:r>
      <w:r>
        <w:instrText xml:space="preserve"> PAGEREF _Toc398736716 \h </w:instrText>
      </w:r>
      <w:r>
        <w:fldChar w:fldCharType="separate"/>
      </w:r>
      <w:r w:rsidR="001E086F">
        <w:t>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Aufstellung und Annahme des Programms und Haushaltsplans für die Rechnungsperiode 2014-2015 gemäß der „Finanzordnung und ihre Durchführungsbestimmungen der UPOV”</w:t>
      </w:r>
      <w:r>
        <w:tab/>
      </w:r>
      <w:r>
        <w:fldChar w:fldCharType="begin"/>
      </w:r>
      <w:r>
        <w:instrText xml:space="preserve"> PAGEREF _Toc398736717 \h </w:instrText>
      </w:r>
      <w:r>
        <w:fldChar w:fldCharType="separate"/>
      </w:r>
      <w:r w:rsidR="001E086F">
        <w:t>8</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4.  Grundsätze des Rates</w:t>
      </w:r>
      <w:r>
        <w:tab/>
      </w:r>
      <w:r>
        <w:fldChar w:fldCharType="begin"/>
      </w:r>
      <w:r>
        <w:instrText xml:space="preserve"> PAGEREF _Toc398736718 \h </w:instrText>
      </w:r>
      <w:r>
        <w:fldChar w:fldCharType="separate"/>
      </w:r>
      <w:r w:rsidR="001E086F">
        <w:t>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Empfehlungen durch den Beratenden Ausschuß und Entscheidungen durch den Rat</w:t>
      </w:r>
      <w:r>
        <w:tab/>
      </w:r>
      <w:r>
        <w:fldChar w:fldCharType="begin"/>
      </w:r>
      <w:r>
        <w:instrText xml:space="preserve"> PAGEREF _Toc398736719 \h </w:instrText>
      </w:r>
      <w:r>
        <w:fldChar w:fldCharType="separate"/>
      </w:r>
      <w:r w:rsidR="001E086F">
        <w:t>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Andere Entscheidungen des Rates</w:t>
      </w:r>
      <w:r>
        <w:tab/>
      </w:r>
      <w:r>
        <w:fldChar w:fldCharType="begin"/>
      </w:r>
      <w:r>
        <w:instrText xml:space="preserve"> PAGEREF _Toc398736720 \h </w:instrText>
      </w:r>
      <w:r>
        <w:fldChar w:fldCharType="separate"/>
      </w:r>
      <w:r w:rsidR="001E086F">
        <w:t>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Sonstige Arbeit des Beratenden Ausschusses</w:t>
      </w:r>
      <w:r>
        <w:tab/>
      </w:r>
      <w:r>
        <w:fldChar w:fldCharType="begin"/>
      </w:r>
      <w:r>
        <w:instrText xml:space="preserve"> PAGEREF _Toc398736721 \h </w:instrText>
      </w:r>
      <w:r>
        <w:fldChar w:fldCharType="separate"/>
      </w:r>
      <w:r w:rsidR="001E086F">
        <w:t>9</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Annahme von Informations- und Positionspapieren durch den Rat</w:t>
      </w:r>
      <w:r>
        <w:tab/>
      </w:r>
      <w:r>
        <w:fldChar w:fldCharType="begin"/>
      </w:r>
      <w:r>
        <w:instrText xml:space="preserve"> PAGEREF _Toc398736722 \h </w:instrText>
      </w:r>
      <w:r>
        <w:fldChar w:fldCharType="separate"/>
      </w:r>
      <w:r w:rsidR="001E086F">
        <w:t>9</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2.2</w:t>
      </w:r>
      <w:r>
        <w:rPr>
          <w:rFonts w:asciiTheme="minorHAnsi" w:eastAsiaTheme="minorEastAsia" w:hAnsiTheme="minorHAnsi" w:cstheme="minorBidi"/>
          <w:b w:val="0"/>
          <w:smallCaps w:val="0"/>
          <w:sz w:val="22"/>
          <w:szCs w:val="22"/>
          <w:lang w:val="en-US"/>
        </w:rPr>
        <w:tab/>
      </w:r>
      <w:r w:rsidRPr="007A17E6">
        <w:rPr>
          <w:lang w:val="de-DE"/>
        </w:rPr>
        <w:t>Unterprogramm UV.2:  Dienstleistungen für den Verband zur Verbesserung der Wirksamkeit des UPOV-Systems</w:t>
      </w:r>
      <w:r>
        <w:tab/>
      </w:r>
      <w:r>
        <w:fldChar w:fldCharType="begin"/>
      </w:r>
      <w:r>
        <w:instrText xml:space="preserve"> PAGEREF _Toc398736723 \h </w:instrText>
      </w:r>
      <w:r>
        <w:fldChar w:fldCharType="separate"/>
      </w:r>
      <w:r w:rsidR="001E086F">
        <w:t>10</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Ziele</w:t>
      </w:r>
      <w:r>
        <w:tab/>
      </w:r>
      <w:r>
        <w:fldChar w:fldCharType="begin"/>
      </w:r>
      <w:r>
        <w:instrText xml:space="preserve"> PAGEREF _Toc398736724 \h </w:instrText>
      </w:r>
      <w:r>
        <w:fldChar w:fldCharType="separate"/>
      </w:r>
      <w:r w:rsidR="001E086F">
        <w:t>10</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Erzielte Ergebnisse:  Ausgewählte Planerfüllungsindikatoren</w:t>
      </w:r>
      <w:r>
        <w:tab/>
      </w:r>
      <w:r>
        <w:fldChar w:fldCharType="begin"/>
      </w:r>
      <w:r>
        <w:instrText xml:space="preserve"> PAGEREF _Toc398736725 \h </w:instrText>
      </w:r>
      <w:r>
        <w:fldChar w:fldCharType="separate"/>
      </w:r>
      <w:r w:rsidR="001E086F">
        <w:t>10</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1.  Anleitung zum UPOV-Übereinkommen und seiner Umsetzung sowie Informationen zu seiner Anwendung</w:t>
      </w:r>
      <w:r>
        <w:tab/>
      </w:r>
      <w:r>
        <w:fldChar w:fldCharType="begin"/>
      </w:r>
      <w:r>
        <w:instrText xml:space="preserve"> PAGEREF _Toc398736726 \h </w:instrText>
      </w:r>
      <w:r>
        <w:fldChar w:fldCharType="separate"/>
      </w:r>
      <w:r w:rsidR="001E086F">
        <w:t>10</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Annahme von neuem oder überarbeitetem Informationsmaterial zum UPOV-Übereinkommen</w:t>
      </w:r>
      <w:r>
        <w:tab/>
      </w:r>
      <w:r>
        <w:fldChar w:fldCharType="begin"/>
      </w:r>
      <w:r>
        <w:instrText xml:space="preserve"> PAGEREF _Toc398736727 \h </w:instrText>
      </w:r>
      <w:r>
        <w:fldChar w:fldCharType="separate"/>
      </w:r>
      <w:r w:rsidR="001E086F">
        <w:t>10</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Veröffentlichung der UPOV Gazette and Newsletter</w:t>
      </w:r>
      <w:r>
        <w:tab/>
      </w:r>
      <w:r>
        <w:fldChar w:fldCharType="begin"/>
      </w:r>
      <w:r>
        <w:instrText xml:space="preserve"> PAGEREF _Toc398736728 \h </w:instrText>
      </w:r>
      <w:r>
        <w:fldChar w:fldCharType="separate"/>
      </w:r>
      <w:r w:rsidR="001E086F">
        <w:t>11</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Aufnahme von Gesetzen der Verbandsmitglieder in die UPOV Lex-Datenbank</w:t>
      </w:r>
      <w:r>
        <w:tab/>
      </w:r>
      <w:r>
        <w:fldChar w:fldCharType="begin"/>
      </w:r>
      <w:r>
        <w:instrText xml:space="preserve"> PAGEREF _Toc398736729 \h </w:instrText>
      </w:r>
      <w:r>
        <w:fldChar w:fldCharType="separate"/>
      </w:r>
      <w:r w:rsidR="001E086F">
        <w:t>11</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UPOV Lex-Datenbank: Besuche auf der UPOV-Website im Jahr 2013</w:t>
      </w:r>
      <w:r>
        <w:tab/>
      </w:r>
      <w:r>
        <w:fldChar w:fldCharType="begin"/>
      </w:r>
      <w:r>
        <w:instrText xml:space="preserve"> PAGEREF _Toc398736730 \h </w:instrText>
      </w:r>
      <w:r>
        <w:fldChar w:fldCharType="separate"/>
      </w:r>
      <w:r w:rsidR="001E086F">
        <w:t>11</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Teilnahme an Seminaren und Symposien in Genf in Verbindung mit den Tagungen der UPOV</w:t>
      </w:r>
      <w:r>
        <w:tab/>
      </w:r>
      <w:r>
        <w:fldChar w:fldCharType="begin"/>
      </w:r>
      <w:r>
        <w:instrText xml:space="preserve"> PAGEREF _Toc398736731 \h </w:instrText>
      </w:r>
      <w:r>
        <w:fldChar w:fldCharType="separate"/>
      </w:r>
      <w:r w:rsidR="001E086F">
        <w:t>11</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2.  Anleitung zur Prüfung von Sorten</w:t>
      </w:r>
      <w:r>
        <w:tab/>
      </w:r>
      <w:r>
        <w:fldChar w:fldCharType="begin"/>
      </w:r>
      <w:r>
        <w:instrText xml:space="preserve"> PAGEREF _Toc398736732 \h </w:instrText>
      </w:r>
      <w:r>
        <w:fldChar w:fldCharType="separate"/>
      </w:r>
      <w:r w:rsidR="001E086F">
        <w:t>12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Annahme von neuen oder überarbeiteten TGP-Dokumenten und Informationsmaterialien</w:t>
      </w:r>
      <w:r>
        <w:tab/>
      </w:r>
      <w:r>
        <w:fldChar w:fldCharType="begin"/>
      </w:r>
      <w:r>
        <w:instrText xml:space="preserve"> PAGEREF _Toc398736733 \h </w:instrText>
      </w:r>
      <w:r>
        <w:fldChar w:fldCharType="separate"/>
      </w:r>
      <w:r w:rsidR="001E086F">
        <w:t>12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Annahme neuer oder überarbeiteter Prüfungsrichtlinien</w:t>
      </w:r>
      <w:r>
        <w:tab/>
      </w:r>
      <w:r>
        <w:fldChar w:fldCharType="begin"/>
      </w:r>
      <w:r>
        <w:instrText xml:space="preserve"> PAGEREF _Toc398736734 \h </w:instrText>
      </w:r>
      <w:r>
        <w:fldChar w:fldCharType="separate"/>
      </w:r>
      <w:r w:rsidR="001E086F">
        <w:t>12</w:t>
      </w:r>
      <w:r>
        <w:fldChar w:fldCharType="end"/>
      </w:r>
    </w:p>
    <w:p w:rsidR="00E9766C" w:rsidRDefault="00E9766C">
      <w:pPr>
        <w:pStyle w:val="TOC8"/>
        <w:rPr>
          <w:rFonts w:asciiTheme="minorHAnsi" w:eastAsiaTheme="minorEastAsia" w:hAnsiTheme="minorHAnsi" w:cstheme="minorBidi"/>
          <w:sz w:val="22"/>
          <w:szCs w:val="22"/>
        </w:rPr>
      </w:pPr>
      <w:r w:rsidRPr="007A17E6">
        <w:rPr>
          <w:rFonts w:eastAsiaTheme="minorEastAsia"/>
          <w:lang w:val="de-DE"/>
        </w:rPr>
        <w:t>Prüfungsrichtlinien: Besuche auf der UPOV-Website im Jahr 2013</w:t>
      </w:r>
      <w:r>
        <w:tab/>
      </w:r>
      <w:r>
        <w:fldChar w:fldCharType="begin"/>
      </w:r>
      <w:r>
        <w:instrText xml:space="preserve"> PAGEREF _Toc398736735 \h </w:instrText>
      </w:r>
      <w:r>
        <w:fldChar w:fldCharType="separate"/>
      </w:r>
      <w:r w:rsidR="001E086F">
        <w:t>13</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4.  Annahme von Prüfungsrichtlinien</w:t>
      </w:r>
      <w:r>
        <w:tab/>
      </w:r>
      <w:r>
        <w:fldChar w:fldCharType="begin"/>
      </w:r>
      <w:r>
        <w:instrText xml:space="preserve"> PAGEREF _Toc398736736 \h </w:instrText>
      </w:r>
      <w:r>
        <w:fldChar w:fldCharType="separate"/>
      </w:r>
      <w:r w:rsidR="001E086F">
        <w:t>13</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5.  Entwürfe von Prüfungsrichtlinien, die von den TWP erörtert wurden</w:t>
      </w:r>
      <w:r>
        <w:tab/>
      </w:r>
      <w:r>
        <w:fldChar w:fldCharType="begin"/>
      </w:r>
      <w:r>
        <w:instrText xml:space="preserve"> PAGEREF _Toc398736737 \h </w:instrText>
      </w:r>
      <w:r>
        <w:fldChar w:fldCharType="separate"/>
      </w:r>
      <w:r w:rsidR="001E086F">
        <w:t>13</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6.  Von Prüfungsrichtlinien erfaßte Züchterrechtseinträge in der Datenbank für Pflanzensorten</w:t>
      </w:r>
      <w:r>
        <w:tab/>
      </w:r>
      <w:r>
        <w:fldChar w:fldCharType="begin"/>
      </w:r>
      <w:r>
        <w:instrText xml:space="preserve"> PAGEREF _Toc398736738 \h </w:instrText>
      </w:r>
      <w:r>
        <w:fldChar w:fldCharType="separate"/>
      </w:r>
      <w:r w:rsidR="001E086F">
        <w:t>13</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Teilnahme an Seminaren und Symposien in Genf in Verbindung mit den Tagungen der UPOV</w:t>
      </w:r>
      <w:r>
        <w:tab/>
      </w:r>
      <w:r>
        <w:fldChar w:fldCharType="begin"/>
      </w:r>
      <w:r>
        <w:instrText xml:space="preserve"> PAGEREF _Toc398736739 \h </w:instrText>
      </w:r>
      <w:r>
        <w:fldChar w:fldCharType="separate"/>
      </w:r>
      <w:r w:rsidR="001E086F">
        <w:t>14</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3.  Zusammenarbeit in der Prüfung auf Erteilung des Züchterrechts</w:t>
      </w:r>
      <w:r>
        <w:tab/>
      </w:r>
      <w:r>
        <w:fldChar w:fldCharType="begin"/>
      </w:r>
      <w:r>
        <w:instrText xml:space="preserve"> PAGEREF _Toc398736740 \h </w:instrText>
      </w:r>
      <w:r>
        <w:fldChar w:fldCharType="separate"/>
      </w:r>
      <w:r w:rsidR="001E086F">
        <w:t>14</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GENIE-Datenbank: Besuche auf der UPOV-Website im Jahr 2013</w:t>
      </w:r>
      <w:r>
        <w:tab/>
      </w:r>
      <w:r>
        <w:fldChar w:fldCharType="begin"/>
      </w:r>
      <w:r>
        <w:instrText xml:space="preserve"> PAGEREF _Toc398736741 \h </w:instrText>
      </w:r>
      <w:r>
        <w:fldChar w:fldCharType="separate"/>
      </w:r>
      <w:r w:rsidR="001E086F">
        <w:t>14</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Gattungen und Arten, für die Verbandsmitglieder über praktische Erfahrung verfügen</w:t>
      </w:r>
      <w:r>
        <w:tab/>
      </w:r>
      <w:r>
        <w:fldChar w:fldCharType="begin"/>
      </w:r>
      <w:r>
        <w:instrText xml:space="preserve"> PAGEREF _Toc398736742 \h </w:instrText>
      </w:r>
      <w:r>
        <w:fldChar w:fldCharType="separate"/>
      </w:r>
      <w:r w:rsidR="001E086F">
        <w:t>15</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7.  Pflanzengattungen/-arten mit Vereinbarungen über Zusammenarbeit, praktischer Erfahrung und Züchterrechtseinträgen in der Datenbank für Pflanzensorten</w:t>
      </w:r>
      <w:r>
        <w:tab/>
      </w:r>
      <w:r>
        <w:fldChar w:fldCharType="begin"/>
      </w:r>
      <w:r>
        <w:instrText xml:space="preserve"> PAGEREF _Toc398736743 \h </w:instrText>
      </w:r>
      <w:r>
        <w:fldChar w:fldCharType="separate"/>
      </w:r>
      <w:r w:rsidR="001E086F">
        <w:t>15</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Gattungen und Arten, für die Verbandsmitglieder bei der DUS-Prüfung zusammenarbeiten, wie in der GENIE Datenbank angegeben</w:t>
      </w:r>
      <w:r>
        <w:tab/>
      </w:r>
      <w:r>
        <w:fldChar w:fldCharType="begin"/>
      </w:r>
      <w:r>
        <w:instrText xml:space="preserve"> PAGEREF _Toc398736744 \h </w:instrText>
      </w:r>
      <w:r>
        <w:fldChar w:fldCharType="separate"/>
      </w:r>
      <w:r w:rsidR="001E086F">
        <w:t>15</w:t>
      </w:r>
      <w:r>
        <w:fldChar w:fldCharType="end"/>
      </w:r>
    </w:p>
    <w:p w:rsidR="00E9766C" w:rsidRDefault="00E9766C">
      <w:pPr>
        <w:pStyle w:val="TOC8"/>
        <w:rPr>
          <w:rFonts w:asciiTheme="minorHAnsi" w:eastAsiaTheme="minorEastAsia" w:hAnsiTheme="minorHAnsi" w:cstheme="minorBidi"/>
          <w:sz w:val="22"/>
          <w:szCs w:val="22"/>
        </w:rPr>
      </w:pPr>
      <w:r w:rsidRPr="007A17E6">
        <w:rPr>
          <w:i/>
          <w:lang w:val="de-DE"/>
        </w:rPr>
        <w:t>-  Allgemeine Zusammenarbeit</w:t>
      </w:r>
      <w:r>
        <w:tab/>
      </w:r>
      <w:r>
        <w:fldChar w:fldCharType="begin"/>
      </w:r>
      <w:r>
        <w:instrText xml:space="preserve"> PAGEREF _Toc398736745 \h </w:instrText>
      </w:r>
      <w:r>
        <w:fldChar w:fldCharType="separate"/>
      </w:r>
      <w:r w:rsidR="001E086F">
        <w:t>15</w:t>
      </w:r>
      <w:r>
        <w:fldChar w:fldCharType="end"/>
      </w:r>
    </w:p>
    <w:p w:rsidR="00E9766C" w:rsidRDefault="00E9766C">
      <w:pPr>
        <w:pStyle w:val="TOC8"/>
        <w:rPr>
          <w:rFonts w:asciiTheme="minorHAnsi" w:eastAsiaTheme="minorEastAsia" w:hAnsiTheme="minorHAnsi" w:cstheme="minorBidi"/>
          <w:sz w:val="22"/>
          <w:szCs w:val="22"/>
        </w:rPr>
      </w:pPr>
      <w:r w:rsidRPr="007A17E6">
        <w:rPr>
          <w:i/>
          <w:lang w:val="de-DE"/>
        </w:rPr>
        <w:t>-  Anzahl spezifischer bilateraler und regionaler Sortenschutzvereinbarungen</w:t>
      </w:r>
      <w:r>
        <w:tab/>
      </w:r>
      <w:r>
        <w:fldChar w:fldCharType="begin"/>
      </w:r>
      <w:r>
        <w:instrText xml:space="preserve"> PAGEREF _Toc398736746 \h </w:instrText>
      </w:r>
      <w:r>
        <w:fldChar w:fldCharType="separate"/>
      </w:r>
      <w:r w:rsidR="001E086F">
        <w:t>15</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Verfahren für die Erarbeitung von Prüfungsrichtlinien</w:t>
      </w:r>
      <w:r>
        <w:tab/>
      </w:r>
      <w:r>
        <w:fldChar w:fldCharType="begin"/>
      </w:r>
      <w:r>
        <w:instrText xml:space="preserve"> PAGEREF _Toc398736747 \h </w:instrText>
      </w:r>
      <w:r>
        <w:fldChar w:fldCharType="separate"/>
      </w:r>
      <w:r w:rsidR="001E086F">
        <w:t>16</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8.  Gesamtzahl angenommener Prüfungsrichtlinien (nach Technischer Arbeitsgruppe)</w:t>
      </w:r>
      <w:r>
        <w:tab/>
      </w:r>
      <w:r>
        <w:fldChar w:fldCharType="begin"/>
      </w:r>
      <w:r>
        <w:instrText xml:space="preserve"> PAGEREF _Toc398736748 \h </w:instrText>
      </w:r>
      <w:r>
        <w:fldChar w:fldCharType="separate"/>
      </w:r>
      <w:r w:rsidR="001E086F">
        <w:t>16</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9.  Gesamtzahl der in Ausarbeitung begriffenen Prüfungsrichtlinien</w:t>
      </w:r>
      <w:r>
        <w:tab/>
      </w:r>
      <w:r>
        <w:fldChar w:fldCharType="begin"/>
      </w:r>
      <w:r>
        <w:instrText xml:space="preserve"> PAGEREF _Toc398736749 \h </w:instrText>
      </w:r>
      <w:r>
        <w:fldChar w:fldCharType="separate"/>
      </w:r>
      <w:r w:rsidR="001E086F">
        <w:t>16</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lastRenderedPageBreak/>
        <w:t>Abb. 10.  Gesamtzahl angenommener Prüfungsrichtlinien (nach Region des führenden Sachverständigen)</w:t>
      </w:r>
      <w:r>
        <w:tab/>
      </w:r>
      <w:r>
        <w:fldChar w:fldCharType="begin"/>
      </w:r>
      <w:r>
        <w:instrText xml:space="preserve"> PAGEREF _Toc398736750 \h </w:instrText>
      </w:r>
      <w:r>
        <w:fldChar w:fldCharType="separate"/>
      </w:r>
      <w:r w:rsidR="001E086F">
        <w:t>16</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11.  Gesamtzahl von in Ausarbeitung begriffenen Prüfungsrichtlinien</w:t>
      </w:r>
      <w:r>
        <w:tab/>
      </w:r>
      <w:r>
        <w:fldChar w:fldCharType="begin"/>
      </w:r>
      <w:r>
        <w:instrText xml:space="preserve"> PAGEREF _Toc398736751 \h </w:instrText>
      </w:r>
      <w:r>
        <w:fldChar w:fldCharType="separate"/>
      </w:r>
      <w:r w:rsidR="001E086F">
        <w:t>16</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12.  Zahl der an der Erstellung von Prüfungsrichtlinien beteiligten Verbandsmitglieder</w:t>
      </w:r>
      <w:r>
        <w:tab/>
      </w:r>
      <w:r>
        <w:fldChar w:fldCharType="begin"/>
      </w:r>
      <w:r>
        <w:instrText xml:space="preserve"> PAGEREF _Toc398736752 \h </w:instrText>
      </w:r>
      <w:r>
        <w:fldChar w:fldCharType="separate"/>
      </w:r>
      <w:r w:rsidR="001E086F">
        <w:t>17</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Qualität und Vollständigkeit von Daten in der Datenbank für Pflanzensorten und Qualität der Suchwerkzeuge; Einrichtungen zum Zugang zu anderen einschlägigen Daten</w:t>
      </w:r>
      <w:r>
        <w:tab/>
      </w:r>
      <w:r>
        <w:fldChar w:fldCharType="begin"/>
      </w:r>
      <w:r>
        <w:instrText xml:space="preserve"> PAGEREF _Toc398736753 \h </w:instrText>
      </w:r>
      <w:r>
        <w:fldChar w:fldCharType="separate"/>
      </w:r>
      <w:r w:rsidR="001E086F">
        <w:t>17</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PLUTO-Datenbank: Besuche auf der UPOV-Website im Jahr 2013</w:t>
      </w:r>
      <w:r>
        <w:tab/>
      </w:r>
      <w:r>
        <w:fldChar w:fldCharType="begin"/>
      </w:r>
      <w:r>
        <w:instrText xml:space="preserve"> PAGEREF _Toc398736754 \h </w:instrText>
      </w:r>
      <w:r>
        <w:fldChar w:fldCharType="separate"/>
      </w:r>
      <w:r w:rsidR="001E086F">
        <w:t>18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e)  In Dokument UPOV/INF/16 „Austauschbare Software“ aufgenommene Software</w:t>
      </w:r>
      <w:r>
        <w:tab/>
      </w:r>
      <w:r>
        <w:fldChar w:fldCharType="begin"/>
      </w:r>
      <w:r>
        <w:instrText xml:space="preserve"> PAGEREF _Toc398736755 \h </w:instrText>
      </w:r>
      <w:r>
        <w:fldChar w:fldCharType="separate"/>
      </w:r>
      <w:r w:rsidR="001E086F">
        <w:t>19</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4.  Mitwirkung von Verbandsmitgliedern und Betroffenen an den Tätigkeiten der Organe der UPOV</w:t>
      </w:r>
      <w:r>
        <w:tab/>
      </w:r>
      <w:r>
        <w:fldChar w:fldCharType="begin"/>
      </w:r>
      <w:r>
        <w:instrText xml:space="preserve"> PAGEREF _Toc398736756 \h </w:instrText>
      </w:r>
      <w:r>
        <w:fldChar w:fldCharType="separate"/>
      </w:r>
      <w:r w:rsidR="001E086F">
        <w:t>19</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Teilnahme am Verwaltungs- und Rechtsausschuß</w:t>
      </w:r>
      <w:r>
        <w:tab/>
      </w:r>
      <w:r>
        <w:fldChar w:fldCharType="begin"/>
      </w:r>
      <w:r>
        <w:instrText xml:space="preserve"> PAGEREF _Toc398736757 \h </w:instrText>
      </w:r>
      <w:r>
        <w:fldChar w:fldCharType="separate"/>
      </w:r>
      <w:r w:rsidR="001E086F">
        <w:t>19</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13.  Zahl der am CAJ teilnehmenden Verbandsmitglieder und Beobachterstaaten/-organisationen</w:t>
      </w:r>
      <w:r>
        <w:tab/>
      </w:r>
      <w:r>
        <w:fldChar w:fldCharType="begin"/>
      </w:r>
      <w:r>
        <w:instrText xml:space="preserve"> PAGEREF _Toc398736758 \h </w:instrText>
      </w:r>
      <w:r>
        <w:fldChar w:fldCharType="separate"/>
      </w:r>
      <w:r w:rsidR="001E086F">
        <w:t>19</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Teilnahme am Technischen Ausschuß</w:t>
      </w:r>
      <w:r>
        <w:tab/>
      </w:r>
      <w:r>
        <w:fldChar w:fldCharType="begin"/>
      </w:r>
      <w:r>
        <w:instrText xml:space="preserve"> PAGEREF _Toc398736759 \h </w:instrText>
      </w:r>
      <w:r>
        <w:fldChar w:fldCharType="separate"/>
      </w:r>
      <w:r w:rsidR="001E086F">
        <w:t>20</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14.  Zahl der am TC teilnehmenden Verbandsmitglieder und Beobachterstaaten/-organisationen</w:t>
      </w:r>
      <w:r>
        <w:tab/>
      </w:r>
      <w:r>
        <w:fldChar w:fldCharType="begin"/>
      </w:r>
      <w:r>
        <w:instrText xml:space="preserve"> PAGEREF _Toc398736760 \h </w:instrText>
      </w:r>
      <w:r>
        <w:fldChar w:fldCharType="separate"/>
      </w:r>
      <w:r w:rsidR="001E086F">
        <w:t>20</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Teilnahme an den Tagungen der Technischen Arbeitsgruppen</w:t>
      </w:r>
      <w:r>
        <w:tab/>
      </w:r>
      <w:r>
        <w:fldChar w:fldCharType="begin"/>
      </w:r>
      <w:r>
        <w:instrText xml:space="preserve"> PAGEREF _Toc398736761 \h </w:instrText>
      </w:r>
      <w:r>
        <w:fldChar w:fldCharType="separate"/>
      </w:r>
      <w:r w:rsidR="001E086F">
        <w:t>20</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15.  Zahl der an den TWP teilnehmenden Mitglieder und Beobachterstaaten/-organisationen</w:t>
      </w:r>
      <w:r>
        <w:tab/>
      </w:r>
      <w:r>
        <w:fldChar w:fldCharType="begin"/>
      </w:r>
      <w:r>
        <w:instrText xml:space="preserve"> PAGEREF _Toc398736762 \h </w:instrText>
      </w:r>
      <w:r>
        <w:fldChar w:fldCharType="separate"/>
      </w:r>
      <w:r w:rsidR="001E086F">
        <w:t>20</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Teilnahme an vorbereitenden Arbeitstagungen für die Tagungen der Technischen Arbeitsgruppen</w:t>
      </w:r>
      <w:r>
        <w:tab/>
      </w:r>
      <w:r>
        <w:fldChar w:fldCharType="begin"/>
      </w:r>
      <w:r>
        <w:instrText xml:space="preserve"> PAGEREF _Toc398736763 \h </w:instrText>
      </w:r>
      <w:r>
        <w:fldChar w:fldCharType="separate"/>
      </w:r>
      <w:r w:rsidR="001E086F">
        <w:t>21</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16</w:t>
      </w:r>
      <w:r>
        <w:tab/>
      </w:r>
      <w:r>
        <w:fldChar w:fldCharType="begin"/>
      </w:r>
      <w:r>
        <w:instrText xml:space="preserve"> PAGEREF _Toc398736764 \h </w:instrText>
      </w:r>
      <w:r>
        <w:fldChar w:fldCharType="separate"/>
      </w:r>
      <w:r w:rsidR="001E086F">
        <w:t>21</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i)  Anzahl einzelner Teilnehmer an vorbereitenden Arbeitstagungen: Mitglieder und Beobachter</w:t>
      </w:r>
      <w:r>
        <w:tab/>
      </w:r>
      <w:r>
        <w:fldChar w:fldCharType="begin"/>
      </w:r>
      <w:r>
        <w:instrText xml:space="preserve"> PAGEREF _Toc398736765 \h </w:instrText>
      </w:r>
      <w:r>
        <w:fldChar w:fldCharType="separate"/>
      </w:r>
      <w:r w:rsidR="001E086F">
        <w:t>21</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ii)  Anzahl einzelner Teilnehmer an den vorbereitenden Arbeitstagungen nach technischer Arbeitsgruppe</w:t>
      </w:r>
      <w:r>
        <w:tab/>
      </w:r>
      <w:r>
        <w:fldChar w:fldCharType="begin"/>
      </w:r>
      <w:r>
        <w:instrText xml:space="preserve"> PAGEREF _Toc398736766 \h </w:instrText>
      </w:r>
      <w:r>
        <w:fldChar w:fldCharType="separate"/>
      </w:r>
      <w:r w:rsidR="001E086F">
        <w:t>21</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e)  Maßnahmen zur Verbesserung der Effektivität des TC, der TWP und der vorbereitenden Arbeitstagungen</w:t>
      </w:r>
      <w:r>
        <w:tab/>
      </w:r>
      <w:r>
        <w:fldChar w:fldCharType="begin"/>
      </w:r>
      <w:r>
        <w:instrText xml:space="preserve"> PAGEREF _Toc398736767 \h </w:instrText>
      </w:r>
      <w:r>
        <w:fldChar w:fldCharType="separate"/>
      </w:r>
      <w:r w:rsidR="001E086F">
        <w:t>21</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5.  UPOV-Dokumente und Materialien in zusätzlichen Sprachen</w:t>
      </w:r>
      <w:r>
        <w:tab/>
      </w:r>
      <w:r>
        <w:fldChar w:fldCharType="begin"/>
      </w:r>
      <w:r>
        <w:instrText xml:space="preserve"> PAGEREF _Toc398736768 \h </w:instrText>
      </w:r>
      <w:r>
        <w:fldChar w:fldCharType="separate"/>
      </w:r>
      <w:r w:rsidR="001E086F">
        <w:t>22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Verfügbarkeit von UPOV-Dokumenten und Materialien in zusätzlichen Sprachen zu den Sprachen der UPOV (Englisch, Französisch, Deutsch und Spanisch)</w:t>
      </w:r>
      <w:r>
        <w:tab/>
      </w:r>
      <w:r>
        <w:fldChar w:fldCharType="begin"/>
      </w:r>
      <w:r>
        <w:instrText xml:space="preserve"> PAGEREF _Toc398736769 \h </w:instrText>
      </w:r>
      <w:r>
        <w:fldChar w:fldCharType="separate"/>
      </w:r>
      <w:r w:rsidR="001E086F">
        <w:t>22</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6.  Erleichterung der Anträge auf Erteilung von Züchterrechten</w:t>
      </w:r>
      <w:r>
        <w:tab/>
      </w:r>
      <w:r>
        <w:fldChar w:fldCharType="begin"/>
      </w:r>
      <w:r>
        <w:instrText xml:space="preserve"> PAGEREF _Toc398736770 \h </w:instrText>
      </w:r>
      <w:r>
        <w:fldChar w:fldCharType="separate"/>
      </w:r>
      <w:r w:rsidR="001E086F">
        <w:t>22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Anzahl Anträge auf Erteilung von Züchterrechten</w:t>
      </w:r>
      <w:r>
        <w:tab/>
      </w:r>
      <w:r>
        <w:fldChar w:fldCharType="begin"/>
      </w:r>
      <w:r>
        <w:instrText xml:space="preserve"> PAGEREF _Toc398736771 \h </w:instrText>
      </w:r>
      <w:r>
        <w:fldChar w:fldCharType="separate"/>
      </w:r>
      <w:r w:rsidR="001E086F">
        <w:t>22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Anzahl erteilte Schutztitel</w:t>
      </w:r>
      <w:r>
        <w:tab/>
      </w:r>
      <w:r>
        <w:fldChar w:fldCharType="begin"/>
      </w:r>
      <w:r>
        <w:instrText xml:space="preserve"> PAGEREF _Toc398736772 \h </w:instrText>
      </w:r>
      <w:r>
        <w:fldChar w:fldCharType="separate"/>
      </w:r>
      <w:r w:rsidR="001E086F">
        <w:t>22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Anzahl Schutztitel, die in Kraft sind</w:t>
      </w:r>
      <w:r>
        <w:tab/>
      </w:r>
      <w:r>
        <w:fldChar w:fldCharType="begin"/>
      </w:r>
      <w:r>
        <w:instrText xml:space="preserve"> PAGEREF _Toc398736773 \h </w:instrText>
      </w:r>
      <w:r>
        <w:fldChar w:fldCharType="separate"/>
      </w:r>
      <w:r w:rsidR="001E086F">
        <w:t>22</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17.  Anträge auf Erteilung von Züchterrechten</w:t>
      </w:r>
      <w:r>
        <w:tab/>
      </w:r>
      <w:r>
        <w:fldChar w:fldCharType="begin"/>
      </w:r>
      <w:r>
        <w:instrText xml:space="preserve"> PAGEREF _Toc398736774 \h </w:instrText>
      </w:r>
      <w:r>
        <w:fldChar w:fldCharType="separate"/>
      </w:r>
      <w:r w:rsidR="001E086F">
        <w:t>22</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18.  Schutztitel, die in Kraft sind</w:t>
      </w:r>
      <w:r>
        <w:tab/>
      </w:r>
      <w:r>
        <w:fldChar w:fldCharType="begin"/>
      </w:r>
      <w:r>
        <w:instrText xml:space="preserve"> PAGEREF _Toc398736775 \h </w:instrText>
      </w:r>
      <w:r>
        <w:fldChar w:fldCharType="separate"/>
      </w:r>
      <w:r w:rsidR="001E086F">
        <w:t>22</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19.  Anträge auf Erteilung von Züchterrechten nach Ansässigen/Nichtansässigen</w:t>
      </w:r>
      <w:r>
        <w:tab/>
      </w:r>
      <w:r>
        <w:fldChar w:fldCharType="begin"/>
      </w:r>
      <w:r>
        <w:instrText xml:space="preserve"> PAGEREF _Toc398736776 \h </w:instrText>
      </w:r>
      <w:r>
        <w:fldChar w:fldCharType="separate"/>
      </w:r>
      <w:r w:rsidR="001E086F">
        <w:t>22</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20.  Erteilte Züchterrechtstitel nach Ansässigen/Nichtansässigen</w:t>
      </w:r>
      <w:r>
        <w:tab/>
      </w:r>
      <w:r>
        <w:fldChar w:fldCharType="begin"/>
      </w:r>
      <w:r>
        <w:instrText xml:space="preserve"> PAGEREF _Toc398736777 \h </w:instrText>
      </w:r>
      <w:r>
        <w:fldChar w:fldCharType="separate"/>
      </w:r>
      <w:r w:rsidR="001E086F">
        <w:t>22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Anzahl Gattungen/Arten, die von den Verbandsmitgliedern geschützt werden.</w:t>
      </w:r>
      <w:r>
        <w:tab/>
      </w:r>
      <w:r>
        <w:fldChar w:fldCharType="begin"/>
      </w:r>
      <w:r>
        <w:instrText xml:space="preserve"> PAGEREF _Toc398736778 \h </w:instrText>
      </w:r>
      <w:r>
        <w:fldChar w:fldCharType="separate"/>
      </w:r>
      <w:r w:rsidR="001E086F">
        <w:t>23</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21.  Schutz von Gattungen und Arten im Jahr 2013</w:t>
      </w:r>
      <w:r>
        <w:tab/>
      </w:r>
      <w:r>
        <w:fldChar w:fldCharType="begin"/>
      </w:r>
      <w:r>
        <w:instrText xml:space="preserve"> PAGEREF _Toc398736779 \h </w:instrText>
      </w:r>
      <w:r>
        <w:fldChar w:fldCharType="separate"/>
      </w:r>
      <w:r w:rsidR="001E086F">
        <w:t>23</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22.  Entwicklung der Erteilung von Schutz für Pflanzengattungen und -arten</w:t>
      </w:r>
      <w:r>
        <w:tab/>
      </w:r>
      <w:r>
        <w:fldChar w:fldCharType="begin"/>
      </w:r>
      <w:r>
        <w:instrText xml:space="preserve"> PAGEREF _Toc398736780 \h </w:instrText>
      </w:r>
      <w:r>
        <w:fldChar w:fldCharType="separate"/>
      </w:r>
      <w:r w:rsidR="001E086F">
        <w:t>23</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e)  Anzahl Gattungen/Arten, deren Sorten den Schutz erhielten</w:t>
      </w:r>
      <w:r>
        <w:tab/>
      </w:r>
      <w:r>
        <w:fldChar w:fldCharType="begin"/>
      </w:r>
      <w:r>
        <w:instrText xml:space="preserve"> PAGEREF _Toc398736781 \h </w:instrText>
      </w:r>
      <w:r>
        <w:fldChar w:fldCharType="separate"/>
      </w:r>
      <w:r w:rsidR="001E086F">
        <w:t>24</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f)  Verwendung der Standardverweise der UPOV in Anmeldeformblättern</w:t>
      </w:r>
      <w:r>
        <w:tab/>
      </w:r>
      <w:r>
        <w:fldChar w:fldCharType="begin"/>
      </w:r>
      <w:r>
        <w:instrText xml:space="preserve"> PAGEREF _Toc398736782 \h </w:instrText>
      </w:r>
      <w:r>
        <w:fldChar w:fldCharType="separate"/>
      </w:r>
      <w:r w:rsidR="001E086F">
        <w:t>24</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g)  Verwendung von Blankoformblättern entsprechend dem „UPOV-Musterformblatt für die Anmeldung einer Sorte zur Erteilung des Sortenschutzes”</w:t>
      </w:r>
      <w:r>
        <w:tab/>
      </w:r>
      <w:r>
        <w:fldChar w:fldCharType="begin"/>
      </w:r>
      <w:r>
        <w:instrText xml:space="preserve"> PAGEREF _Toc398736783 \h </w:instrText>
      </w:r>
      <w:r>
        <w:fldChar w:fldCharType="separate"/>
      </w:r>
      <w:r w:rsidR="001E086F">
        <w:t>24</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7.  Erteilung von Auskünften über das UPOV-Übereinkommen an Interessensvertreter (Züchter, Produzenten, Landwirte, Saatguthändler usw.)</w:t>
      </w:r>
      <w:r>
        <w:tab/>
      </w:r>
      <w:r>
        <w:fldChar w:fldCharType="begin"/>
      </w:r>
      <w:r>
        <w:instrText xml:space="preserve"> PAGEREF _Toc398736784 \h </w:instrText>
      </w:r>
      <w:r>
        <w:fldChar w:fldCharType="separate"/>
      </w:r>
      <w:r w:rsidR="001E086F">
        <w:t>24</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Nutzerorientierte Informationen auf der UPOV-Website</w:t>
      </w:r>
      <w:r>
        <w:tab/>
      </w:r>
      <w:r>
        <w:fldChar w:fldCharType="begin"/>
      </w:r>
      <w:r>
        <w:instrText xml:space="preserve"> PAGEREF _Toc398736785 \h </w:instrText>
      </w:r>
      <w:r>
        <w:fldChar w:fldCharType="separate"/>
      </w:r>
      <w:r w:rsidR="001E086F">
        <w:t>24</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2.3</w:t>
      </w:r>
      <w:r>
        <w:rPr>
          <w:rFonts w:asciiTheme="minorHAnsi" w:eastAsiaTheme="minorEastAsia" w:hAnsiTheme="minorHAnsi" w:cstheme="minorBidi"/>
          <w:b w:val="0"/>
          <w:smallCaps w:val="0"/>
          <w:sz w:val="22"/>
          <w:szCs w:val="22"/>
          <w:lang w:val="en-US"/>
        </w:rPr>
        <w:tab/>
      </w:r>
      <w:r w:rsidRPr="007A17E6">
        <w:rPr>
          <w:lang w:val="de-DE"/>
        </w:rPr>
        <w:t>Unterprogramm UV.3:   Unterstützung bei der Einführung und Umsetzung des UPOV-Systems</w:t>
      </w:r>
      <w:r>
        <w:tab/>
      </w:r>
      <w:r>
        <w:fldChar w:fldCharType="begin"/>
      </w:r>
      <w:r>
        <w:instrText xml:space="preserve"> PAGEREF _Toc398736786 \h </w:instrText>
      </w:r>
      <w:r>
        <w:fldChar w:fldCharType="separate"/>
      </w:r>
      <w:r w:rsidR="001E086F">
        <w:t>25</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Ziele</w:t>
      </w:r>
      <w:r>
        <w:tab/>
      </w:r>
      <w:r>
        <w:fldChar w:fldCharType="begin"/>
      </w:r>
      <w:r>
        <w:instrText xml:space="preserve"> PAGEREF _Toc398736787 \h </w:instrText>
      </w:r>
      <w:r>
        <w:fldChar w:fldCharType="separate"/>
      </w:r>
      <w:r w:rsidR="001E086F">
        <w:t>25</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Erzielte Ergebnisse:  Ausgewählte Planerfüllungsindikatoren</w:t>
      </w:r>
      <w:r>
        <w:tab/>
      </w:r>
      <w:r>
        <w:fldChar w:fldCharType="begin"/>
      </w:r>
      <w:r>
        <w:instrText xml:space="preserve"> PAGEREF _Toc398736788 \h </w:instrText>
      </w:r>
      <w:r>
        <w:fldChar w:fldCharType="separate"/>
      </w:r>
      <w:r w:rsidR="001E086F">
        <w:t>25</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1.  Sensibilisierung für die Bedeutung von Sortenschutz gemäSS dem UPOV-Übereinkommen.</w:t>
      </w:r>
      <w:r>
        <w:tab/>
      </w:r>
      <w:r>
        <w:fldChar w:fldCharType="begin"/>
      </w:r>
      <w:r>
        <w:instrText xml:space="preserve"> PAGEREF _Toc398736789 \h </w:instrText>
      </w:r>
      <w:r>
        <w:fldChar w:fldCharType="separate"/>
      </w:r>
      <w:r w:rsidR="001E086F">
        <w:t>25</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Veröffentlichungen zur Rolle des Sortenschutzsystems, einschließlich Materialien auf der UPOV-Website</w:t>
      </w:r>
      <w:r>
        <w:tab/>
      </w:r>
      <w:r>
        <w:fldChar w:fldCharType="begin"/>
      </w:r>
      <w:r>
        <w:instrText xml:space="preserve"> PAGEREF _Toc398736790 \h </w:instrText>
      </w:r>
      <w:r>
        <w:fldChar w:fldCharType="separate"/>
      </w:r>
      <w:r w:rsidR="001E086F">
        <w:t>25</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Erteilte Auskünfte an Staaten und Organisationen bei Veranstaltungen der UPOV</w:t>
      </w:r>
      <w:r>
        <w:tab/>
      </w:r>
      <w:r>
        <w:fldChar w:fldCharType="begin"/>
      </w:r>
      <w:r>
        <w:instrText xml:space="preserve"> PAGEREF _Toc398736791 \h </w:instrText>
      </w:r>
      <w:r>
        <w:fldChar w:fldCharType="separate"/>
      </w:r>
      <w:r w:rsidR="001E086F">
        <w:t>25</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23.  Erteilte Auskünfte an Staaten bei Veranstaltungen der UPOV</w:t>
      </w:r>
      <w:r>
        <w:tab/>
      </w:r>
      <w:r>
        <w:fldChar w:fldCharType="begin"/>
      </w:r>
      <w:r>
        <w:instrText xml:space="preserve"> PAGEREF _Toc398736792 \h </w:instrText>
      </w:r>
      <w:r>
        <w:fldChar w:fldCharType="separate"/>
      </w:r>
      <w:r w:rsidR="001E086F">
        <w:t>25</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24.  Orte der UPOV-Veranstaltungen</w:t>
      </w:r>
      <w:r>
        <w:tab/>
      </w:r>
      <w:r>
        <w:fldChar w:fldCharType="begin"/>
      </w:r>
      <w:r>
        <w:instrText xml:space="preserve"> PAGEREF _Toc398736793 \h </w:instrText>
      </w:r>
      <w:r>
        <w:fldChar w:fldCharType="separate"/>
      </w:r>
      <w:r w:rsidR="001E086F">
        <w:t>26</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Staaten, die im Hinblick auf Unterstützung bei der Ausarbeitung von Rechtsvorschriften aufgrund des UPOV-Übereinkommens mit dem Verbandsbüro in Verbindung standen</w:t>
      </w:r>
      <w:r>
        <w:tab/>
      </w:r>
      <w:r>
        <w:fldChar w:fldCharType="begin"/>
      </w:r>
      <w:r>
        <w:instrText xml:space="preserve"> PAGEREF _Toc398736794 \h </w:instrText>
      </w:r>
      <w:r>
        <w:fldChar w:fldCharType="separate"/>
      </w:r>
      <w:r w:rsidR="001E086F">
        <w:t>26</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Staaten und Organisationen, die beim Rat der UPOV das Verfahren für den Beitritt zum UPOV-Übereinkommen eingeleitet haben</w:t>
      </w:r>
      <w:r>
        <w:tab/>
      </w:r>
      <w:r>
        <w:fldChar w:fldCharType="begin"/>
      </w:r>
      <w:r>
        <w:instrText xml:space="preserve"> PAGEREF _Toc398736795 \h </w:instrText>
      </w:r>
      <w:r>
        <w:fldChar w:fldCharType="separate"/>
      </w:r>
      <w:r w:rsidR="001E086F">
        <w:t>26</w:t>
      </w:r>
      <w:r>
        <w:fldChar w:fldCharType="end"/>
      </w:r>
    </w:p>
    <w:p w:rsidR="00E9766C" w:rsidRDefault="00E9766C">
      <w:pPr>
        <w:pStyle w:val="TOC9"/>
        <w:rPr>
          <w:rFonts w:asciiTheme="minorHAnsi" w:eastAsiaTheme="minorEastAsia" w:hAnsiTheme="minorHAnsi" w:cstheme="minorBidi"/>
          <w:sz w:val="22"/>
          <w:szCs w:val="22"/>
        </w:rPr>
      </w:pPr>
      <w:r w:rsidRPr="007A17E6">
        <w:rPr>
          <w:snapToGrid w:val="0"/>
          <w:color w:val="000000"/>
          <w:lang w:val="de-DE"/>
        </w:rPr>
        <w:t>A</w:t>
      </w:r>
      <w:r w:rsidRPr="007A17E6">
        <w:rPr>
          <w:lang w:val="de-DE"/>
        </w:rPr>
        <w:t>bb. 25.  Staaten und Organisationen, die das Verbandsbüro um Unterstützung bei der Ausarbeitung von Rechtsvorschriften zum Sortenschutz ersuchten und Staaten und Organisationen, die beim Rat der UPOV das Verfahren für den Beitritt zum UPOV-Übereinkommen eingeleitet haben</w:t>
      </w:r>
      <w:r>
        <w:tab/>
      </w:r>
      <w:r>
        <w:fldChar w:fldCharType="begin"/>
      </w:r>
      <w:r>
        <w:instrText xml:space="preserve"> PAGEREF _Toc398736796 \h </w:instrText>
      </w:r>
      <w:r>
        <w:fldChar w:fldCharType="separate"/>
      </w:r>
      <w:r w:rsidR="001E086F">
        <w:t>27</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e)  Teilnahme an Sensibilisierungsveranstaltungen der UPOV, oder Veranstaltungen mit beteiligtem Personal der UPOV oder UPOV-Ausbildern im Namen von Personal der UPOV</w:t>
      </w:r>
      <w:r>
        <w:tab/>
      </w:r>
      <w:r>
        <w:fldChar w:fldCharType="begin"/>
      </w:r>
      <w:r>
        <w:instrText xml:space="preserve"> PAGEREF _Toc398736797 \h </w:instrText>
      </w:r>
      <w:r>
        <w:fldChar w:fldCharType="separate"/>
      </w:r>
      <w:r w:rsidR="001E086F">
        <w:t>27</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26.  Orte der Veranstaltungen/Tagungen, bei denen die UPOV Referate gehalten hat</w:t>
      </w:r>
      <w:r>
        <w:tab/>
      </w:r>
      <w:r>
        <w:fldChar w:fldCharType="begin"/>
      </w:r>
      <w:r>
        <w:instrText xml:space="preserve"> PAGEREF _Toc398736798 \h </w:instrText>
      </w:r>
      <w:r>
        <w:fldChar w:fldCharType="separate"/>
      </w:r>
      <w:r w:rsidR="001E086F">
        <w:t>27</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2.  Unterstützung bei der Ausarbeitung von Rechtsvorschriften zum Sortenschutz gemäSS der Akte von 1991 des UPOV-Übereinkommens</w:t>
      </w:r>
      <w:r>
        <w:tab/>
      </w:r>
      <w:r>
        <w:fldChar w:fldCharType="begin"/>
      </w:r>
      <w:r>
        <w:instrText xml:space="preserve"> PAGEREF _Toc398736799 \h </w:instrText>
      </w:r>
      <w:r>
        <w:fldChar w:fldCharType="separate"/>
      </w:r>
      <w:r w:rsidR="001E086F">
        <w:t>28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Staaten und Organisationen, die Kommentare zu Rechtsvorschriften erhalten haben</w:t>
      </w:r>
      <w:r>
        <w:tab/>
      </w:r>
      <w:r>
        <w:fldChar w:fldCharType="begin"/>
      </w:r>
      <w:r>
        <w:instrText xml:space="preserve"> PAGEREF _Toc398736800 \h </w:instrText>
      </w:r>
      <w:r>
        <w:fldChar w:fldCharType="separate"/>
      </w:r>
      <w:r w:rsidR="001E086F">
        <w:t>28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Staaten und Organisationen, die eine positive Stellungnahme des Rates der UPOV erwirkt haben</w:t>
      </w:r>
      <w:r>
        <w:tab/>
      </w:r>
      <w:r>
        <w:fldChar w:fldCharType="begin"/>
      </w:r>
      <w:r>
        <w:instrText xml:space="preserve"> PAGEREF _Toc398736801 \h </w:instrText>
      </w:r>
      <w:r>
        <w:fldChar w:fldCharType="separate"/>
      </w:r>
      <w:r w:rsidR="001E086F">
        <w:t>28</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Sitzungen mit Regierungsbeamten</w:t>
      </w:r>
      <w:r>
        <w:tab/>
      </w:r>
      <w:r>
        <w:fldChar w:fldCharType="begin"/>
      </w:r>
      <w:r>
        <w:instrText xml:space="preserve"> PAGEREF _Toc398736802 \h </w:instrText>
      </w:r>
      <w:r>
        <w:fldChar w:fldCharType="separate"/>
      </w:r>
      <w:r w:rsidR="001E086F">
        <w:t>28</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27.  Unterstützung, die für die Ausarbeitung von Rechtsvorschriften zum Sortenschutz erteilt wurde</w:t>
      </w:r>
      <w:r>
        <w:tab/>
      </w:r>
      <w:r>
        <w:fldChar w:fldCharType="begin"/>
      </w:r>
      <w:r>
        <w:instrText xml:space="preserve"> PAGEREF _Toc398736803 \h </w:instrText>
      </w:r>
      <w:r>
        <w:fldChar w:fldCharType="separate"/>
      </w:r>
      <w:r w:rsidR="001E086F">
        <w:t>28</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3.  Unterstützung von Staaten und Organisationen beim Beitritt zur Akte von 1991 des UPOV-Übereinkommens</w:t>
      </w:r>
      <w:r>
        <w:tab/>
      </w:r>
      <w:r>
        <w:fldChar w:fldCharType="begin"/>
      </w:r>
      <w:r>
        <w:instrText xml:space="preserve"> PAGEREF _Toc398736804 \h </w:instrText>
      </w:r>
      <w:r>
        <w:fldChar w:fldCharType="separate"/>
      </w:r>
      <w:r w:rsidR="001E086F">
        <w:t>29</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Staaten, die zur Akte von 1991 des UPOV-Übereinkommens beigetreten sind oder sie ratifiziert haben</w:t>
      </w:r>
      <w:r>
        <w:tab/>
      </w:r>
      <w:r>
        <w:fldChar w:fldCharType="begin"/>
      </w:r>
      <w:r>
        <w:instrText xml:space="preserve"> PAGEREF _Toc398736805 \h </w:instrText>
      </w:r>
      <w:r>
        <w:fldChar w:fldCharType="separate"/>
      </w:r>
      <w:r w:rsidR="001E086F">
        <w:t>29</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Staaten und Organisationen, die der UPOV beigetreten sind</w:t>
      </w:r>
      <w:r>
        <w:tab/>
      </w:r>
      <w:r>
        <w:fldChar w:fldCharType="begin"/>
      </w:r>
      <w:r>
        <w:instrText xml:space="preserve"> PAGEREF _Toc398736806 \h </w:instrText>
      </w:r>
      <w:r>
        <w:fldChar w:fldCharType="separate"/>
      </w:r>
      <w:r w:rsidR="001E086F">
        <w:t>29</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28.  Staaten/Organisationen, die Kommentare zu Rechtsvorschriften erhalten haben</w:t>
      </w:r>
      <w:r>
        <w:tab/>
      </w:r>
      <w:r>
        <w:fldChar w:fldCharType="begin"/>
      </w:r>
      <w:r>
        <w:instrText xml:space="preserve"> PAGEREF _Toc398736807 \h </w:instrText>
      </w:r>
      <w:r>
        <w:fldChar w:fldCharType="separate"/>
      </w:r>
      <w:r w:rsidR="001E086F">
        <w:t>29</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29.  Staaten/Organisationen, die eine positive Stellungnahme des Rates erwirkt haben</w:t>
      </w:r>
      <w:r>
        <w:tab/>
      </w:r>
      <w:r>
        <w:fldChar w:fldCharType="begin"/>
      </w:r>
      <w:r>
        <w:instrText xml:space="preserve"> PAGEREF _Toc398736808 \h </w:instrText>
      </w:r>
      <w:r>
        <w:fldChar w:fldCharType="separate"/>
      </w:r>
      <w:r w:rsidR="001E086F">
        <w:t>29</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 xml:space="preserve">Abb. 30.  </w:t>
      </w:r>
      <w:r w:rsidRPr="007A17E6">
        <w:rPr>
          <w:color w:val="000000"/>
          <w:lang w:val="de-DE"/>
        </w:rPr>
        <w:t>Neue Verbandsmitglieder</w:t>
      </w:r>
      <w:r>
        <w:tab/>
      </w:r>
      <w:r>
        <w:fldChar w:fldCharType="begin"/>
      </w:r>
      <w:r>
        <w:instrText xml:space="preserve"> PAGEREF _Toc398736809 \h </w:instrText>
      </w:r>
      <w:r>
        <w:fldChar w:fldCharType="separate"/>
      </w:r>
      <w:r w:rsidR="001E086F">
        <w:t>29</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 xml:space="preserve">Abb. 31.  </w:t>
      </w:r>
      <w:r w:rsidRPr="007A17E6">
        <w:rPr>
          <w:color w:val="000000"/>
          <w:lang w:val="de-DE"/>
        </w:rPr>
        <w:t>Beitritt zur/Ratifizierung der Akte von 1991</w:t>
      </w:r>
      <w:r>
        <w:tab/>
      </w:r>
      <w:r>
        <w:fldChar w:fldCharType="begin"/>
      </w:r>
      <w:r>
        <w:instrText xml:space="preserve"> PAGEREF _Toc398736810 \h </w:instrText>
      </w:r>
      <w:r>
        <w:fldChar w:fldCharType="separate"/>
      </w:r>
      <w:r w:rsidR="001E086F">
        <w:t>29</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4.  Unterstützung bei der Ausarbeitung eines effektiven Sortenschutzsystems gemäSS der Akte von 1991 des UPOV-Übereinkommens</w:t>
      </w:r>
      <w:r>
        <w:tab/>
      </w:r>
      <w:r>
        <w:fldChar w:fldCharType="begin"/>
      </w:r>
      <w:r>
        <w:instrText xml:space="preserve"> PAGEREF _Toc398736811 \h </w:instrText>
      </w:r>
      <w:r>
        <w:fldChar w:fldCharType="separate"/>
      </w:r>
      <w:r w:rsidR="001E086F">
        <w:t>30</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Teilnahme an Fernlehrgängen</w:t>
      </w:r>
      <w:r>
        <w:tab/>
      </w:r>
      <w:r>
        <w:fldChar w:fldCharType="begin"/>
      </w:r>
      <w:r>
        <w:instrText xml:space="preserve"> PAGEREF _Toc398736812 \h </w:instrText>
      </w:r>
      <w:r>
        <w:fldChar w:fldCharType="separate"/>
      </w:r>
      <w:r w:rsidR="001E086F">
        <w:t>30</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32.  UPOV-Lehrgang  DL-205:  Teilnahme 2012 und 2013</w:t>
      </w:r>
      <w:r>
        <w:tab/>
      </w:r>
      <w:r>
        <w:fldChar w:fldCharType="begin"/>
      </w:r>
      <w:r>
        <w:instrText xml:space="preserve"> PAGEREF _Toc398736813 \h </w:instrText>
      </w:r>
      <w:r>
        <w:fldChar w:fldCharType="separate"/>
      </w:r>
      <w:r w:rsidR="001E086F">
        <w:t>30</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33.  Teilnehmer an den Hauptsitzungen des  DL-205-Lehrgangs  nach Anmeldekategorie</w:t>
      </w:r>
      <w:r>
        <w:tab/>
      </w:r>
      <w:r>
        <w:fldChar w:fldCharType="begin"/>
      </w:r>
      <w:r>
        <w:instrText xml:space="preserve"> PAGEREF _Toc398736814 \h </w:instrText>
      </w:r>
      <w:r>
        <w:fldChar w:fldCharType="separate"/>
      </w:r>
      <w:r w:rsidR="001E086F">
        <w:t>31</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34.  Teilnehmer an den Hauptsitzungen des  DL-205-Lehrgangs  nach Sprache</w:t>
      </w:r>
      <w:r>
        <w:tab/>
      </w:r>
      <w:r>
        <w:fldChar w:fldCharType="begin"/>
      </w:r>
      <w:r>
        <w:instrText xml:space="preserve"> PAGEREF _Toc398736815 \h </w:instrText>
      </w:r>
      <w:r>
        <w:fldChar w:fldCharType="separate"/>
      </w:r>
      <w:r w:rsidR="001E086F">
        <w:t>31</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Teilnahme von Beobachterstaaten und -organisationen an CAJ, TC, TWP und den damit verbundenen vorbereitenden Arbeitstagungen</w:t>
      </w:r>
      <w:r>
        <w:tab/>
      </w:r>
      <w:r>
        <w:fldChar w:fldCharType="begin"/>
      </w:r>
      <w:r>
        <w:instrText xml:space="preserve"> PAGEREF _Toc398736816 \h </w:instrText>
      </w:r>
      <w:r>
        <w:fldChar w:fldCharType="separate"/>
      </w:r>
      <w:r w:rsidR="001E086F">
        <w:t>32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c)  Teilnahme an Veranstaltungen der UPOV</w:t>
      </w:r>
      <w:r>
        <w:tab/>
      </w:r>
      <w:r>
        <w:fldChar w:fldCharType="begin"/>
      </w:r>
      <w:r>
        <w:instrText xml:space="preserve"> PAGEREF _Toc398736817 \h </w:instrText>
      </w:r>
      <w:r>
        <w:fldChar w:fldCharType="separate"/>
      </w:r>
      <w:r w:rsidR="001E086F">
        <w:t>32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d)  Teilnahme an Veranstaltungen mit beteiligtem Personal der UPOV oder UPOV-Ausbildern</w:t>
      </w:r>
      <w:r>
        <w:tab/>
      </w:r>
      <w:r>
        <w:fldChar w:fldCharType="begin"/>
      </w:r>
      <w:r>
        <w:instrText xml:space="preserve"> PAGEREF _Toc398736818 \h </w:instrText>
      </w:r>
      <w:r>
        <w:fldChar w:fldCharType="separate"/>
      </w:r>
      <w:r w:rsidR="001E086F">
        <w:t>32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e)  Ausbildung durch UPOV-Ausbilder an Nicht-UPOV-Veranstaltungen</w:t>
      </w:r>
      <w:r>
        <w:tab/>
      </w:r>
      <w:r>
        <w:fldChar w:fldCharType="begin"/>
      </w:r>
      <w:r>
        <w:instrText xml:space="preserve"> PAGEREF _Toc398736819 \h </w:instrText>
      </w:r>
      <w:r>
        <w:fldChar w:fldCharType="separate"/>
      </w:r>
      <w:r w:rsidR="001E086F">
        <w:t>32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f)  Durchführung von Projekten mit Partnerorganisationen und Gebern</w:t>
      </w:r>
      <w:r>
        <w:tab/>
      </w:r>
      <w:r>
        <w:fldChar w:fldCharType="begin"/>
      </w:r>
      <w:r>
        <w:instrText xml:space="preserve"> PAGEREF _Toc398736820 \h </w:instrText>
      </w:r>
      <w:r>
        <w:fldChar w:fldCharType="separate"/>
      </w:r>
      <w:r w:rsidR="001E086F">
        <w:t>32</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g)  Anwendung der Webseite „Unterstützung“ zur Erwirkung von Projektförderung</w:t>
      </w:r>
      <w:r>
        <w:tab/>
      </w:r>
      <w:r>
        <w:fldChar w:fldCharType="begin"/>
      </w:r>
      <w:r>
        <w:instrText xml:space="preserve"> PAGEREF _Toc398736821 \h </w:instrText>
      </w:r>
      <w:r>
        <w:fldChar w:fldCharType="separate"/>
      </w:r>
      <w:r w:rsidR="001E086F">
        <w:t>32</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2.4</w:t>
      </w:r>
      <w:r>
        <w:rPr>
          <w:rFonts w:asciiTheme="minorHAnsi" w:eastAsiaTheme="minorEastAsia" w:hAnsiTheme="minorHAnsi" w:cstheme="minorBidi"/>
          <w:b w:val="0"/>
          <w:smallCaps w:val="0"/>
          <w:sz w:val="22"/>
          <w:szCs w:val="22"/>
          <w:lang w:val="en-US"/>
        </w:rPr>
        <w:tab/>
      </w:r>
      <w:r w:rsidRPr="007A17E6">
        <w:rPr>
          <w:lang w:val="de-DE"/>
        </w:rPr>
        <w:t>Unterprogramm UV.4:  Externe Beziehungen</w:t>
      </w:r>
      <w:r>
        <w:tab/>
      </w:r>
      <w:r>
        <w:fldChar w:fldCharType="begin"/>
      </w:r>
      <w:r>
        <w:instrText xml:space="preserve"> PAGEREF _Toc398736822 \h </w:instrText>
      </w:r>
      <w:r>
        <w:fldChar w:fldCharType="separate"/>
      </w:r>
      <w:r w:rsidR="001E086F">
        <w:t>33</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Ziele</w:t>
      </w:r>
      <w:r>
        <w:tab/>
      </w:r>
      <w:r>
        <w:fldChar w:fldCharType="begin"/>
      </w:r>
      <w:r>
        <w:instrText xml:space="preserve"> PAGEREF _Toc398736823 \h </w:instrText>
      </w:r>
      <w:r>
        <w:fldChar w:fldCharType="separate"/>
      </w:r>
      <w:r w:rsidR="001E086F">
        <w:t>33</w:t>
      </w:r>
      <w:r>
        <w:fldChar w:fldCharType="end"/>
      </w:r>
    </w:p>
    <w:p w:rsidR="00E9766C" w:rsidRDefault="00E9766C">
      <w:pPr>
        <w:pStyle w:val="TOC5"/>
        <w:rPr>
          <w:rFonts w:asciiTheme="minorHAnsi" w:eastAsiaTheme="minorEastAsia" w:hAnsiTheme="minorHAnsi" w:cstheme="minorBidi"/>
          <w:b w:val="0"/>
          <w:sz w:val="22"/>
          <w:szCs w:val="22"/>
          <w:lang w:val="en-US"/>
        </w:rPr>
      </w:pPr>
      <w:r w:rsidRPr="007A17E6">
        <w:rPr>
          <w:lang w:val="de-DE"/>
        </w:rPr>
        <w:t>Erzielte Ergebnisse:  Ausgewählte Planerfüllungsindikatoren</w:t>
      </w:r>
      <w:r>
        <w:tab/>
      </w:r>
      <w:r>
        <w:fldChar w:fldCharType="begin"/>
      </w:r>
      <w:r>
        <w:instrText xml:space="preserve"> PAGEREF _Toc398736824 \h </w:instrText>
      </w:r>
      <w:r>
        <w:fldChar w:fldCharType="separate"/>
      </w:r>
      <w:r w:rsidR="001E086F">
        <w:t>33</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1.  Vertieftes öffentliches Verständnis der Rolle und Tätigkeit der UPOV</w:t>
      </w:r>
      <w:r>
        <w:tab/>
      </w:r>
      <w:r>
        <w:fldChar w:fldCharType="begin"/>
      </w:r>
      <w:r>
        <w:instrText xml:space="preserve"> PAGEREF _Toc398736825 \h </w:instrText>
      </w:r>
      <w:r>
        <w:fldChar w:fldCharType="separate"/>
      </w:r>
      <w:r w:rsidR="001E086F">
        <w:t>33</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a)  Verfügbarkeit öffentlichkeitsorientierter Informationen und Materialen auf der UPOV-Website</w:t>
      </w:r>
      <w:r>
        <w:tab/>
      </w:r>
      <w:r>
        <w:fldChar w:fldCharType="begin"/>
      </w:r>
      <w:r>
        <w:instrText xml:space="preserve"> PAGEREF _Toc398736826 \h </w:instrText>
      </w:r>
      <w:r>
        <w:fldChar w:fldCharType="separate"/>
      </w:r>
      <w:r w:rsidR="001E086F">
        <w:t>33</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b)  Besuche auf der Website</w:t>
      </w:r>
      <w:r>
        <w:tab/>
      </w:r>
      <w:r>
        <w:fldChar w:fldCharType="begin"/>
      </w:r>
      <w:r>
        <w:instrText xml:space="preserve"> PAGEREF _Toc398736827 \h </w:instrText>
      </w:r>
      <w:r>
        <w:fldChar w:fldCharType="separate"/>
      </w:r>
      <w:r w:rsidR="001E086F">
        <w:t>33</w:t>
      </w:r>
      <w:r>
        <w:fldChar w:fldCharType="end"/>
      </w:r>
    </w:p>
    <w:p w:rsidR="00E9766C" w:rsidRDefault="00E9766C">
      <w:pPr>
        <w:pStyle w:val="TOC6"/>
        <w:rPr>
          <w:rFonts w:asciiTheme="minorHAnsi" w:eastAsiaTheme="minorEastAsia" w:hAnsiTheme="minorHAnsi" w:cstheme="minorBidi"/>
          <w:caps w:val="0"/>
          <w:sz w:val="22"/>
          <w:szCs w:val="22"/>
        </w:rPr>
      </w:pPr>
      <w:r w:rsidRPr="007A17E6">
        <w:rPr>
          <w:lang w:val="de-DE"/>
        </w:rPr>
        <w:t>2.  Erteilung von Auskünften an andere Organisationen</w:t>
      </w:r>
      <w:r>
        <w:tab/>
      </w:r>
      <w:r>
        <w:fldChar w:fldCharType="begin"/>
      </w:r>
      <w:r>
        <w:instrText xml:space="preserve"> PAGEREF _Toc398736828 \h </w:instrText>
      </w:r>
      <w:r>
        <w:fldChar w:fldCharType="separate"/>
      </w:r>
      <w:r w:rsidR="001E086F">
        <w:t>35</w:t>
      </w:r>
      <w:r>
        <w:fldChar w:fldCharType="end"/>
      </w:r>
    </w:p>
    <w:p w:rsidR="00E9766C" w:rsidRDefault="00E9766C">
      <w:pPr>
        <w:pStyle w:val="TOC8"/>
        <w:rPr>
          <w:rFonts w:asciiTheme="minorHAnsi" w:eastAsiaTheme="minorEastAsia" w:hAnsiTheme="minorHAnsi" w:cstheme="minorBidi"/>
          <w:sz w:val="22"/>
          <w:szCs w:val="22"/>
        </w:rPr>
      </w:pPr>
      <w:r w:rsidRPr="007A17E6">
        <w:rPr>
          <w:lang w:val="de-DE"/>
        </w:rPr>
        <w:t>Teilnahme an Sitzungen und/oder Tätigkeiten mit maßgeblichen Organisationen</w:t>
      </w:r>
      <w:r>
        <w:tab/>
      </w:r>
      <w:r>
        <w:fldChar w:fldCharType="begin"/>
      </w:r>
      <w:r>
        <w:instrText xml:space="preserve"> PAGEREF _Toc398736829 \h </w:instrText>
      </w:r>
      <w:r>
        <w:fldChar w:fldCharType="separate"/>
      </w:r>
      <w:r w:rsidR="001E086F">
        <w:t>35</w:t>
      </w:r>
      <w:r>
        <w:fldChar w:fldCharType="end"/>
      </w:r>
    </w:p>
    <w:p w:rsidR="00E9766C" w:rsidRDefault="00E9766C">
      <w:pPr>
        <w:pStyle w:val="TOC3"/>
        <w:tabs>
          <w:tab w:val="left" w:pos="425"/>
        </w:tabs>
        <w:rPr>
          <w:rFonts w:asciiTheme="minorHAnsi" w:eastAsiaTheme="minorEastAsia" w:hAnsiTheme="minorHAnsi" w:cstheme="minorBidi"/>
          <w:b w:val="0"/>
          <w:noProof/>
          <w:sz w:val="22"/>
          <w:szCs w:val="22"/>
          <w:lang w:val="en-US"/>
        </w:rPr>
      </w:pPr>
      <w:r w:rsidRPr="007A17E6">
        <w:rPr>
          <w:noProof/>
          <w:lang w:val="de-DE"/>
        </w:rPr>
        <w:t>3.</w:t>
      </w:r>
      <w:r>
        <w:rPr>
          <w:rFonts w:asciiTheme="minorHAnsi" w:eastAsiaTheme="minorEastAsia" w:hAnsiTheme="minorHAnsi" w:cstheme="minorBidi"/>
          <w:b w:val="0"/>
          <w:noProof/>
          <w:sz w:val="22"/>
          <w:szCs w:val="22"/>
          <w:lang w:val="en-US"/>
        </w:rPr>
        <w:tab/>
      </w:r>
      <w:r w:rsidRPr="007A17E6">
        <w:rPr>
          <w:noProof/>
          <w:lang w:val="de-DE"/>
        </w:rPr>
        <w:t>BETRIEBSERGEBNIS</w:t>
      </w:r>
      <w:r>
        <w:rPr>
          <w:noProof/>
        </w:rPr>
        <w:tab/>
      </w:r>
      <w:r>
        <w:rPr>
          <w:noProof/>
        </w:rPr>
        <w:fldChar w:fldCharType="begin"/>
      </w:r>
      <w:r>
        <w:rPr>
          <w:noProof/>
        </w:rPr>
        <w:instrText xml:space="preserve"> PAGEREF _Toc398736830 \h </w:instrText>
      </w:r>
      <w:r>
        <w:rPr>
          <w:noProof/>
        </w:rPr>
      </w:r>
      <w:r>
        <w:rPr>
          <w:noProof/>
        </w:rPr>
        <w:fldChar w:fldCharType="separate"/>
      </w:r>
      <w:r w:rsidR="001E086F">
        <w:rPr>
          <w:noProof/>
        </w:rPr>
        <w:t>36</w:t>
      </w:r>
      <w:r>
        <w:rPr>
          <w:noProof/>
        </w:rP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3.1</w:t>
      </w:r>
      <w:r>
        <w:rPr>
          <w:rFonts w:asciiTheme="minorHAnsi" w:eastAsiaTheme="minorEastAsia" w:hAnsiTheme="minorHAnsi" w:cstheme="minorBidi"/>
          <w:b w:val="0"/>
          <w:smallCaps w:val="0"/>
          <w:sz w:val="22"/>
          <w:szCs w:val="22"/>
          <w:lang w:val="en-US"/>
        </w:rPr>
        <w:tab/>
      </w:r>
      <w:r w:rsidRPr="007A17E6">
        <w:rPr>
          <w:lang w:val="de-DE"/>
        </w:rPr>
        <w:t>Einnahmen, Ausgaben und Reserven</w:t>
      </w:r>
      <w:r>
        <w:tab/>
      </w:r>
      <w:r>
        <w:fldChar w:fldCharType="begin"/>
      </w:r>
      <w:r>
        <w:instrText xml:space="preserve"> PAGEREF _Toc398736831 \h </w:instrText>
      </w:r>
      <w:r>
        <w:fldChar w:fldCharType="separate"/>
      </w:r>
      <w:r w:rsidR="001E086F">
        <w:t>36</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3.2</w:t>
      </w:r>
      <w:r>
        <w:rPr>
          <w:rFonts w:asciiTheme="minorHAnsi" w:eastAsiaTheme="minorEastAsia" w:hAnsiTheme="minorHAnsi" w:cstheme="minorBidi"/>
          <w:b w:val="0"/>
          <w:smallCaps w:val="0"/>
          <w:sz w:val="22"/>
          <w:szCs w:val="22"/>
          <w:lang w:val="en-US"/>
        </w:rPr>
        <w:tab/>
      </w:r>
      <w:r w:rsidRPr="007A17E6">
        <w:rPr>
          <w:lang w:val="de-DE"/>
        </w:rPr>
        <w:t>Haushaltsstruktur</w:t>
      </w:r>
      <w:r>
        <w:tab/>
      </w:r>
      <w:r>
        <w:fldChar w:fldCharType="begin"/>
      </w:r>
      <w:r>
        <w:instrText xml:space="preserve"> PAGEREF _Toc398736832 \h </w:instrText>
      </w:r>
      <w:r>
        <w:fldChar w:fldCharType="separate"/>
      </w:r>
      <w:r w:rsidR="001E086F">
        <w:t>36</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3.3</w:t>
      </w:r>
      <w:r>
        <w:rPr>
          <w:rFonts w:asciiTheme="minorHAnsi" w:eastAsiaTheme="minorEastAsia" w:hAnsiTheme="minorHAnsi" w:cstheme="minorBidi"/>
          <w:b w:val="0"/>
          <w:smallCaps w:val="0"/>
          <w:sz w:val="22"/>
          <w:szCs w:val="22"/>
          <w:lang w:val="en-US"/>
        </w:rPr>
        <w:tab/>
      </w:r>
      <w:r w:rsidRPr="007A17E6">
        <w:rPr>
          <w:lang w:val="de-DE"/>
        </w:rPr>
        <w:t>Haushaltsveränderung nach Ausgabeposten</w:t>
      </w:r>
      <w:r>
        <w:tab/>
      </w:r>
      <w:r>
        <w:fldChar w:fldCharType="begin"/>
      </w:r>
      <w:r>
        <w:instrText xml:space="preserve"> PAGEREF _Toc398736833 \h </w:instrText>
      </w:r>
      <w:r>
        <w:fldChar w:fldCharType="separate"/>
      </w:r>
      <w:r w:rsidR="001E086F">
        <w:t>37</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35.  Einnahmen und Ausgaben (zwischen 2002 und 2013)</w:t>
      </w:r>
      <w:r>
        <w:tab/>
      </w:r>
      <w:r>
        <w:fldChar w:fldCharType="begin"/>
      </w:r>
      <w:r>
        <w:instrText xml:space="preserve"> PAGEREF _Toc398736834 \h </w:instrText>
      </w:r>
      <w:r>
        <w:fldChar w:fldCharType="separate"/>
      </w:r>
      <w:r w:rsidR="001E086F">
        <w:t>39</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3.4</w:t>
      </w:r>
      <w:r>
        <w:rPr>
          <w:rFonts w:asciiTheme="minorHAnsi" w:eastAsiaTheme="minorEastAsia" w:hAnsiTheme="minorHAnsi" w:cstheme="minorBidi"/>
          <w:b w:val="0"/>
          <w:smallCaps w:val="0"/>
          <w:sz w:val="22"/>
          <w:szCs w:val="22"/>
          <w:lang w:val="en-US"/>
        </w:rPr>
        <w:tab/>
      </w:r>
      <w:r w:rsidRPr="007A17E6">
        <w:rPr>
          <w:lang w:val="de-DE"/>
        </w:rPr>
        <w:t>Haushaltsplan 2010-2011:  Posten nach Kategorie</w:t>
      </w:r>
      <w:r>
        <w:tab/>
      </w:r>
      <w:r>
        <w:fldChar w:fldCharType="begin"/>
      </w:r>
      <w:r>
        <w:instrText xml:space="preserve"> PAGEREF _Toc398736835 \h </w:instrText>
      </w:r>
      <w:r>
        <w:fldChar w:fldCharType="separate"/>
      </w:r>
      <w:r w:rsidR="001E086F">
        <w:t>39</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3.5</w:t>
      </w:r>
      <w:r>
        <w:rPr>
          <w:rFonts w:asciiTheme="minorHAnsi" w:eastAsiaTheme="minorEastAsia" w:hAnsiTheme="minorHAnsi" w:cstheme="minorBidi"/>
          <w:b w:val="0"/>
          <w:smallCaps w:val="0"/>
          <w:sz w:val="22"/>
          <w:szCs w:val="22"/>
          <w:lang w:val="en-US"/>
        </w:rPr>
        <w:tab/>
      </w:r>
      <w:r w:rsidRPr="007A17E6">
        <w:rPr>
          <w:lang w:val="de-DE"/>
        </w:rPr>
        <w:t>Einnahmen:  Unterschiede nach Quellen</w:t>
      </w:r>
      <w:r>
        <w:tab/>
      </w:r>
      <w:r>
        <w:fldChar w:fldCharType="begin"/>
      </w:r>
      <w:r>
        <w:instrText xml:space="preserve"> PAGEREF _Toc398736836 \h </w:instrText>
      </w:r>
      <w:r>
        <w:fldChar w:fldCharType="separate"/>
      </w:r>
      <w:r w:rsidR="001E086F">
        <w:t>40</w:t>
      </w:r>
      <w:r>
        <w:fldChar w:fldCharType="end"/>
      </w:r>
    </w:p>
    <w:p w:rsidR="00E9766C" w:rsidRDefault="00E9766C">
      <w:pPr>
        <w:pStyle w:val="TOC4"/>
        <w:tabs>
          <w:tab w:val="left" w:pos="851"/>
        </w:tabs>
        <w:rPr>
          <w:rFonts w:asciiTheme="minorHAnsi" w:eastAsiaTheme="minorEastAsia" w:hAnsiTheme="minorHAnsi" w:cstheme="minorBidi"/>
          <w:b w:val="0"/>
          <w:smallCaps w:val="0"/>
          <w:sz w:val="22"/>
          <w:szCs w:val="22"/>
          <w:lang w:val="en-US"/>
        </w:rPr>
      </w:pPr>
      <w:r w:rsidRPr="007A17E6">
        <w:rPr>
          <w:lang w:val="de-DE"/>
        </w:rPr>
        <w:t>3.6</w:t>
      </w:r>
      <w:r>
        <w:rPr>
          <w:rFonts w:asciiTheme="minorHAnsi" w:eastAsiaTheme="minorEastAsia" w:hAnsiTheme="minorHAnsi" w:cstheme="minorBidi"/>
          <w:b w:val="0"/>
          <w:smallCaps w:val="0"/>
          <w:sz w:val="22"/>
          <w:szCs w:val="22"/>
          <w:lang w:val="en-US"/>
        </w:rPr>
        <w:tab/>
      </w:r>
      <w:r w:rsidRPr="007A17E6">
        <w:rPr>
          <w:lang w:val="de-DE"/>
        </w:rPr>
        <w:t>Einnahmen, Ausgaben und Reserven</w:t>
      </w:r>
      <w:r>
        <w:tab/>
      </w:r>
      <w:r>
        <w:fldChar w:fldCharType="begin"/>
      </w:r>
      <w:r>
        <w:instrText xml:space="preserve"> PAGEREF _Toc398736837 \h </w:instrText>
      </w:r>
      <w:r>
        <w:fldChar w:fldCharType="separate"/>
      </w:r>
      <w:r w:rsidR="001E086F">
        <w:t>41</w:t>
      </w:r>
      <w:r>
        <w:fldChar w:fldCharType="end"/>
      </w:r>
    </w:p>
    <w:p w:rsidR="00E9766C" w:rsidRDefault="00E9766C">
      <w:pPr>
        <w:pStyle w:val="TOC9"/>
        <w:rPr>
          <w:rFonts w:asciiTheme="minorHAnsi" w:eastAsiaTheme="minorEastAsia" w:hAnsiTheme="minorHAnsi" w:cstheme="minorBidi"/>
          <w:sz w:val="22"/>
          <w:szCs w:val="22"/>
        </w:rPr>
      </w:pPr>
      <w:r w:rsidRPr="007A17E6">
        <w:rPr>
          <w:lang w:val="de-DE"/>
        </w:rPr>
        <w:t>Abb. 36.  Einnahmen, Ausgaben und Reserven für 2003-2013 (in Tausend Schweizer Franken)</w:t>
      </w:r>
      <w:r>
        <w:tab/>
      </w:r>
      <w:r>
        <w:fldChar w:fldCharType="begin"/>
      </w:r>
      <w:r>
        <w:instrText xml:space="preserve"> PAGEREF _Toc398736838 \h </w:instrText>
      </w:r>
      <w:r>
        <w:fldChar w:fldCharType="separate"/>
      </w:r>
      <w:r w:rsidR="001E086F">
        <w:t>42</w:t>
      </w:r>
      <w:r>
        <w:fldChar w:fldCharType="end"/>
      </w:r>
    </w:p>
    <w:p w:rsidR="00C7561F" w:rsidRPr="00EC62E9" w:rsidRDefault="00C7561F" w:rsidP="0038713F">
      <w:pPr>
        <w:rPr>
          <w:sz w:val="18"/>
          <w:lang w:val="de-DE"/>
        </w:rPr>
      </w:pPr>
      <w:r w:rsidRPr="00EC62E9">
        <w:rPr>
          <w:lang w:val="de-DE"/>
        </w:rPr>
        <w:fldChar w:fldCharType="end"/>
      </w:r>
    </w:p>
    <w:p w:rsidR="0038713F" w:rsidRPr="00EC62E9" w:rsidRDefault="0038713F" w:rsidP="0038713F">
      <w:pPr>
        <w:rPr>
          <w:rFonts w:eastAsiaTheme="minorEastAsia"/>
          <w:sz w:val="18"/>
          <w:lang w:val="de-DE"/>
        </w:rPr>
      </w:pPr>
      <w:r w:rsidRPr="00EC62E9">
        <w:rPr>
          <w:sz w:val="18"/>
          <w:lang w:val="de-DE"/>
        </w:rPr>
        <w:t>Anhang</w:t>
      </w:r>
      <w:r w:rsidRPr="00EC62E9">
        <w:rPr>
          <w:sz w:val="18"/>
          <w:lang w:val="de-DE"/>
        </w:rPr>
        <w:tab/>
        <w:t>Akronyme und Abkürzungen</w:t>
      </w:r>
    </w:p>
    <w:p w:rsidR="00C7561F" w:rsidRPr="00EC62E9" w:rsidRDefault="00C7561F" w:rsidP="00C7561F">
      <w:pPr>
        <w:pStyle w:val="Heading3"/>
        <w:rPr>
          <w:lang w:val="de-DE"/>
        </w:rPr>
      </w:pPr>
      <w:r w:rsidRPr="00EC62E9">
        <w:rPr>
          <w:lang w:val="de-DE"/>
        </w:rPr>
        <w:br w:type="page"/>
      </w:r>
    </w:p>
    <w:p w:rsidR="00C7561F" w:rsidRPr="00EC62E9" w:rsidRDefault="00C7561F" w:rsidP="00C7561F">
      <w:pPr>
        <w:pStyle w:val="Heading3"/>
        <w:rPr>
          <w:lang w:val="de-DE"/>
        </w:rPr>
      </w:pPr>
      <w:bookmarkStart w:id="9" w:name="_Toc396137510"/>
      <w:bookmarkStart w:id="10" w:name="_Toc398736704"/>
      <w:r w:rsidRPr="00EC62E9">
        <w:rPr>
          <w:lang w:val="de-DE"/>
        </w:rPr>
        <w:t>1.</w:t>
      </w:r>
      <w:r w:rsidRPr="00EC62E9">
        <w:rPr>
          <w:lang w:val="de-DE"/>
        </w:rPr>
        <w:tab/>
        <w:t>EINLEITUNG</w:t>
      </w:r>
      <w:bookmarkEnd w:id="9"/>
      <w:bookmarkEnd w:id="10"/>
    </w:p>
    <w:p w:rsidR="00C7561F" w:rsidRPr="00EC62E9" w:rsidRDefault="00C7561F" w:rsidP="00C7561F">
      <w:pPr>
        <w:rPr>
          <w:caps/>
          <w:lang w:val="de-DE"/>
        </w:rPr>
      </w:pPr>
    </w:p>
    <w:p w:rsidR="00C7561F" w:rsidRPr="00EC62E9" w:rsidRDefault="00C7561F" w:rsidP="00C7561F">
      <w:pPr>
        <w:rPr>
          <w:lang w:val="de-DE"/>
        </w:rPr>
      </w:pPr>
      <w:r w:rsidRPr="00EC62E9">
        <w:rPr>
          <w:lang w:val="de-DE"/>
        </w:rPr>
        <w:t>1.</w:t>
      </w:r>
      <w:r w:rsidRPr="00EC62E9">
        <w:rPr>
          <w:lang w:val="de-DE"/>
        </w:rPr>
        <w:tab/>
        <w:t>Dieses Dokumen</w:t>
      </w:r>
      <w:r w:rsidR="00634166" w:rsidRPr="00EC62E9">
        <w:rPr>
          <w:lang w:val="de-DE"/>
        </w:rPr>
        <w:t>t enthält den Ergebnis</w:t>
      </w:r>
      <w:r w:rsidRPr="00EC62E9">
        <w:rPr>
          <w:lang w:val="de-DE"/>
        </w:rPr>
        <w:t>bericht für die Rechnungsperiode 2012-2013 auf der Grundlage des vom Rat auf seiner fünfundvierzigsten ordentlichen Tagung am 20. Oktober 2011 in Genf angenommenen Programms und Haushaltsplans für die Finanzperiode 2012-2013 (vergleiche Dokument C/45/4 Rev.2 „Programm und Haushaltsplan für die Finanzperiode 2012</w:t>
      </w:r>
      <w:r w:rsidRPr="00EC62E9">
        <w:rPr>
          <w:lang w:val="de-DE"/>
        </w:rPr>
        <w:noBreakHyphen/>
        <w:t>2013“).</w:t>
      </w:r>
    </w:p>
    <w:p w:rsidR="00C7561F" w:rsidRPr="00EC62E9" w:rsidRDefault="00C7561F" w:rsidP="00C7561F">
      <w:pPr>
        <w:rPr>
          <w:lang w:val="de-DE"/>
        </w:rPr>
      </w:pPr>
    </w:p>
    <w:p w:rsidR="00C7561F" w:rsidRPr="00EC62E9" w:rsidRDefault="00C7561F" w:rsidP="00C7561F">
      <w:pPr>
        <w:rPr>
          <w:snapToGrid w:val="0"/>
          <w:lang w:val="de-DE"/>
        </w:rPr>
      </w:pPr>
      <w:r w:rsidRPr="00EC62E9">
        <w:rPr>
          <w:lang w:val="de-DE"/>
        </w:rPr>
        <w:t>2.</w:t>
      </w:r>
      <w:r w:rsidRPr="00EC62E9">
        <w:rPr>
          <w:lang w:val="de-DE"/>
        </w:rPr>
        <w:tab/>
        <w:t>Der Ergebnisbericht für die Finanzperiode 2012-2013 liefert einen Überblick über die Ergebnisse der UPOV aufgrund von Informationen aus folgenden Dokumenten, die weitere detaillierte Informationen enthalten:</w:t>
      </w:r>
    </w:p>
    <w:p w:rsidR="00C7561F" w:rsidRPr="00EC62E9" w:rsidRDefault="00C7561F" w:rsidP="00C7561F">
      <w:pPr>
        <w:rPr>
          <w:snapToGrid w:val="0"/>
          <w:lang w:val="de-DE"/>
        </w:rPr>
      </w:pPr>
    </w:p>
    <w:p w:rsidR="00C7561F" w:rsidRPr="00EC62E9" w:rsidRDefault="00C7561F" w:rsidP="00EC62E9">
      <w:pPr>
        <w:spacing w:after="120"/>
        <w:ind w:left="1134" w:hanging="567"/>
        <w:rPr>
          <w:snapToGrid w:val="0"/>
          <w:lang w:val="de-DE"/>
        </w:rPr>
      </w:pPr>
      <w:r w:rsidRPr="00EC62E9">
        <w:rPr>
          <w:lang w:val="de-DE"/>
        </w:rPr>
        <w:t>a)</w:t>
      </w:r>
      <w:r w:rsidRPr="00EC62E9">
        <w:rPr>
          <w:lang w:val="de-DE"/>
        </w:rPr>
        <w:tab/>
        <w:t>Dokument C/45/4 Rev.2 „Programm und Haushaltsplan des Verbandes für die Finanzperiode 2012-2013“;</w:t>
      </w:r>
    </w:p>
    <w:p w:rsidR="00C7561F" w:rsidRPr="00EC62E9" w:rsidRDefault="00C7561F" w:rsidP="00C7561F">
      <w:pPr>
        <w:spacing w:after="120"/>
        <w:ind w:left="567"/>
        <w:rPr>
          <w:snapToGrid w:val="0"/>
          <w:lang w:val="de-DE"/>
        </w:rPr>
      </w:pPr>
      <w:r w:rsidRPr="00EC62E9">
        <w:rPr>
          <w:lang w:val="de-DE"/>
        </w:rPr>
        <w:t>b)</w:t>
      </w:r>
      <w:r w:rsidRPr="00EC62E9">
        <w:rPr>
          <w:lang w:val="de-DE"/>
        </w:rPr>
        <w:tab/>
        <w:t>Dokument C/47/2 „Jahresbericht des Generalsekretärs für 2012“;</w:t>
      </w:r>
    </w:p>
    <w:p w:rsidR="00C7561F" w:rsidRPr="00EC62E9" w:rsidRDefault="00C7561F" w:rsidP="00C7561F">
      <w:pPr>
        <w:spacing w:after="120"/>
        <w:ind w:left="567"/>
        <w:rPr>
          <w:snapToGrid w:val="0"/>
          <w:lang w:val="de-DE"/>
        </w:rPr>
      </w:pPr>
      <w:r w:rsidRPr="00EC62E9">
        <w:rPr>
          <w:lang w:val="de-DE"/>
        </w:rPr>
        <w:t>b)</w:t>
      </w:r>
      <w:r w:rsidRPr="00EC62E9">
        <w:rPr>
          <w:lang w:val="de-DE"/>
        </w:rPr>
        <w:tab/>
        <w:t>Dokument C/48/2 „Jahresbericht des Generalsekretärs für 2013“; und</w:t>
      </w:r>
    </w:p>
    <w:p w:rsidR="00C7561F" w:rsidRPr="00EC62E9" w:rsidRDefault="00C7561F" w:rsidP="00C7561F">
      <w:pPr>
        <w:spacing w:after="120"/>
        <w:ind w:left="567"/>
        <w:rPr>
          <w:snapToGrid w:val="0"/>
          <w:lang w:val="de-DE"/>
        </w:rPr>
      </w:pPr>
      <w:r w:rsidRPr="00EC62E9">
        <w:rPr>
          <w:lang w:val="de-DE"/>
        </w:rPr>
        <w:t>d)</w:t>
      </w:r>
      <w:r w:rsidRPr="00EC62E9">
        <w:rPr>
          <w:lang w:val="de-DE"/>
        </w:rPr>
        <w:tab/>
        <w:t>Dokument C/48/4 „Finanzverwaltungsbericht für die Rechnungsperiode 2012-2013“</w:t>
      </w:r>
      <w:r w:rsidR="00EC62E9" w:rsidRPr="00EC62E9">
        <w:rPr>
          <w:lang w:val="de-DE"/>
        </w:rPr>
        <w:t>.</w:t>
      </w:r>
    </w:p>
    <w:p w:rsidR="00C7561F" w:rsidRPr="00EC62E9" w:rsidRDefault="00C7561F" w:rsidP="00C7561F">
      <w:pPr>
        <w:rPr>
          <w:lang w:val="de-DE"/>
        </w:rPr>
      </w:pPr>
    </w:p>
    <w:p w:rsidR="00C7561F" w:rsidRPr="00EC62E9" w:rsidRDefault="00C7561F" w:rsidP="00C7561F">
      <w:pPr>
        <w:rPr>
          <w:lang w:val="de-DE"/>
        </w:rPr>
      </w:pPr>
      <w:r w:rsidRPr="00EC62E9">
        <w:rPr>
          <w:lang w:val="de-DE"/>
        </w:rPr>
        <w:t>3.</w:t>
      </w:r>
      <w:r w:rsidRPr="00EC62E9">
        <w:rPr>
          <w:lang w:val="de-DE"/>
        </w:rPr>
        <w:tab/>
        <w:t xml:space="preserve">Abschnitt 2 „Programmerfüllung“ liefert eine kurze Zusammenfassung über den im Hinblick auf den bei der Verwirklichung der Ziele auf Ebene der Unterprogramme erzielten Fortschritt, gefolgt von Tabellen mit Zusammenfassungen der Informationen über Zielsetzungen, erwartete Ergebnisse und Planerfüllungsindikatoren. Abschnitt 3 „Finanzergebnis“ liefert einen Überblick über das Finanzergebnis und die Anzahl der Posten für das Verbandsbüro in </w:t>
      </w:r>
      <w:proofErr w:type="spellStart"/>
      <w:r w:rsidRPr="00EC62E9">
        <w:rPr>
          <w:lang w:val="de-DE"/>
        </w:rPr>
        <w:t>bezug</w:t>
      </w:r>
      <w:proofErr w:type="spellEnd"/>
      <w:r w:rsidRPr="00EC62E9">
        <w:rPr>
          <w:lang w:val="de-DE"/>
        </w:rPr>
        <w:t xml:space="preserve"> zum Programm und Haushaltsplan für die Finanzperiode 2012-2013.</w:t>
      </w:r>
    </w:p>
    <w:p w:rsidR="00C7561F" w:rsidRPr="00EC62E9" w:rsidRDefault="00C7561F" w:rsidP="00C7561F">
      <w:pPr>
        <w:rPr>
          <w:lang w:val="de-DE"/>
        </w:rPr>
      </w:pPr>
    </w:p>
    <w:p w:rsidR="00C7561F" w:rsidRPr="00EC62E9" w:rsidRDefault="00C7561F" w:rsidP="00C7561F">
      <w:pPr>
        <w:rPr>
          <w:lang w:val="de-DE"/>
        </w:rPr>
      </w:pPr>
      <w:r w:rsidRPr="00EC62E9">
        <w:rPr>
          <w:lang w:val="de-DE"/>
        </w:rPr>
        <w:t>4.</w:t>
      </w:r>
      <w:r w:rsidRPr="00EC62E9">
        <w:rPr>
          <w:lang w:val="de-DE"/>
        </w:rPr>
        <w:tab/>
        <w:t xml:space="preserve">Folgende Karte gibt einen graphischen Überblick über den Stand in </w:t>
      </w:r>
      <w:proofErr w:type="spellStart"/>
      <w:r w:rsidRPr="00EC62E9">
        <w:rPr>
          <w:lang w:val="de-DE"/>
        </w:rPr>
        <w:t>bezug</w:t>
      </w:r>
      <w:proofErr w:type="spellEnd"/>
      <w:r w:rsidRPr="00EC62E9">
        <w:rPr>
          <w:lang w:val="de-DE"/>
        </w:rPr>
        <w:t xml:space="preserve"> auf die UPOV zum Ende der Rechnungsperiode 2012-2013.</w:t>
      </w:r>
    </w:p>
    <w:p w:rsidR="00C7561F" w:rsidRPr="00EC62E9" w:rsidRDefault="00C7561F" w:rsidP="00C7561F">
      <w:pPr>
        <w:rPr>
          <w:lang w:val="de-DE"/>
        </w:rPr>
      </w:pPr>
    </w:p>
    <w:p w:rsidR="00C7561F" w:rsidRPr="00EC62E9" w:rsidRDefault="00C7561F" w:rsidP="00C7561F">
      <w:pPr>
        <w:rPr>
          <w:lang w:val="de-DE"/>
        </w:rPr>
      </w:pPr>
      <w:r w:rsidRPr="00EC62E9">
        <w:rPr>
          <w:rFonts w:cs="Arial"/>
          <w:noProof/>
        </w:rPr>
        <w:drawing>
          <wp:inline distT="0" distB="0" distL="0" distR="0" wp14:anchorId="2F0BAE4D" wp14:editId="6E2A88CD">
            <wp:extent cx="6120765" cy="3100358"/>
            <wp:effectExtent l="0" t="0" r="0" b="5080"/>
            <wp:docPr id="13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100358"/>
                    </a:xfrm>
                    <a:prstGeom prst="rect">
                      <a:avLst/>
                    </a:prstGeom>
                    <a:noFill/>
                    <a:ln>
                      <a:noFill/>
                    </a:ln>
                    <a:extLst/>
                  </pic:spPr>
                </pic:pic>
              </a:graphicData>
            </a:graphic>
          </wp:inline>
        </w:drawing>
      </w:r>
    </w:p>
    <w:p w:rsidR="00C7561F" w:rsidRPr="00EC62E9" w:rsidRDefault="00C7561F" w:rsidP="00C7561F">
      <w:pPr>
        <w:pStyle w:val="BodyText"/>
        <w:spacing w:after="180"/>
        <w:rPr>
          <w:rFonts w:cs="Arial"/>
          <w:sz w:val="12"/>
          <w:szCs w:val="12"/>
          <w:lang w:val="de-DE"/>
        </w:rPr>
      </w:pPr>
      <w:r w:rsidRPr="00EC62E9">
        <w:rPr>
          <w:sz w:val="12"/>
          <w:lang w:val="de-DE"/>
        </w:rPr>
        <w:t xml:space="preserve">Die auf dieser Karte angezeigten Grenzverläufe sind keinesfalls Ausdruck irgendeiner Meinung seitens der UPOV in </w:t>
      </w:r>
      <w:proofErr w:type="spellStart"/>
      <w:r w:rsidRPr="00EC62E9">
        <w:rPr>
          <w:sz w:val="12"/>
          <w:lang w:val="de-DE"/>
        </w:rPr>
        <w:t>bezug</w:t>
      </w:r>
      <w:proofErr w:type="spellEnd"/>
      <w:r w:rsidRPr="00EC62E9">
        <w:rPr>
          <w:sz w:val="12"/>
          <w:lang w:val="de-DE"/>
        </w:rPr>
        <w:t xml:space="preserve"> auf den rechtlichen Status eines Landes oder Hoheitsgebietes</w:t>
      </w:r>
    </w:p>
    <w:p w:rsidR="00C7561F" w:rsidRPr="00EC62E9" w:rsidRDefault="00C7561F" w:rsidP="00C7561F">
      <w:pPr>
        <w:pStyle w:val="ListParagraph"/>
        <w:numPr>
          <w:ilvl w:val="0"/>
          <w:numId w:val="19"/>
        </w:numPr>
        <w:jc w:val="left"/>
        <w:rPr>
          <w:sz w:val="18"/>
          <w:lang w:val="de-DE"/>
        </w:rPr>
      </w:pPr>
      <w:r w:rsidRPr="00EC62E9">
        <w:rPr>
          <w:sz w:val="18"/>
          <w:lang w:val="de-DE"/>
        </w:rPr>
        <w:t>71 Mitglieder der UPOV</w:t>
      </w:r>
    </w:p>
    <w:p w:rsidR="00C7561F" w:rsidRPr="00EC62E9" w:rsidRDefault="00C7561F" w:rsidP="00C7561F">
      <w:pPr>
        <w:ind w:left="720"/>
        <w:jc w:val="left"/>
        <w:rPr>
          <w:sz w:val="4"/>
          <w:szCs w:val="6"/>
          <w:lang w:val="de-DE"/>
        </w:rPr>
      </w:pPr>
    </w:p>
    <w:p w:rsidR="00C7561F" w:rsidRPr="00EC62E9" w:rsidRDefault="00C7561F" w:rsidP="00C7561F">
      <w:pPr>
        <w:pStyle w:val="ListParagraph"/>
        <w:jc w:val="left"/>
        <w:rPr>
          <w:sz w:val="4"/>
          <w:szCs w:val="6"/>
          <w:lang w:val="de-DE"/>
        </w:rPr>
      </w:pPr>
    </w:p>
    <w:p w:rsidR="00C7561F" w:rsidRPr="00EC62E9" w:rsidRDefault="00C7561F" w:rsidP="00C7561F">
      <w:pPr>
        <w:pStyle w:val="ListParagraph"/>
        <w:numPr>
          <w:ilvl w:val="0"/>
          <w:numId w:val="22"/>
        </w:numPr>
        <w:jc w:val="left"/>
        <w:rPr>
          <w:sz w:val="18"/>
          <w:lang w:val="de-DE"/>
        </w:rPr>
      </w:pPr>
      <w:r w:rsidRPr="00EC62E9">
        <w:rPr>
          <w:sz w:val="18"/>
          <w:lang w:val="de-DE"/>
        </w:rPr>
        <w:t>16 Staaten und 1 zwischenstaatliche Organisation, die das Verfahren für den Beitritt zum UPOV-Übereinkommen eingeleitet haben</w:t>
      </w:r>
    </w:p>
    <w:p w:rsidR="00C7561F" w:rsidRPr="00EC62E9" w:rsidRDefault="00C7561F" w:rsidP="00C7561F">
      <w:pPr>
        <w:ind w:left="360"/>
        <w:jc w:val="left"/>
        <w:rPr>
          <w:sz w:val="4"/>
          <w:szCs w:val="6"/>
          <w:lang w:val="de-DE"/>
        </w:rPr>
      </w:pPr>
    </w:p>
    <w:p w:rsidR="00C7561F" w:rsidRPr="00EC62E9" w:rsidRDefault="00C7561F" w:rsidP="00C7561F">
      <w:pPr>
        <w:ind w:left="360"/>
        <w:jc w:val="left"/>
        <w:rPr>
          <w:sz w:val="4"/>
          <w:szCs w:val="6"/>
          <w:lang w:val="de-DE"/>
        </w:rPr>
      </w:pPr>
    </w:p>
    <w:p w:rsidR="00C7561F" w:rsidRPr="00EC62E9" w:rsidRDefault="00C7561F" w:rsidP="00C7561F">
      <w:pPr>
        <w:pStyle w:val="ListParagraph"/>
        <w:numPr>
          <w:ilvl w:val="0"/>
          <w:numId w:val="21"/>
        </w:numPr>
        <w:jc w:val="left"/>
        <w:rPr>
          <w:sz w:val="18"/>
          <w:lang w:val="de-DE"/>
        </w:rPr>
      </w:pPr>
      <w:r w:rsidRPr="00EC62E9">
        <w:rPr>
          <w:sz w:val="18"/>
          <w:lang w:val="de-DE"/>
        </w:rPr>
        <w:t>24 Staaten und 2 zwischenstaatliche Organisation, die im Hinblick auf Unterstützung bei der Ausarbeitung von Rechtsvorschriften aufgrund des UPOV-Übereinkommens mit dem Verbandsbüro in Verbindung standen</w:t>
      </w:r>
    </w:p>
    <w:p w:rsidR="00C7561F" w:rsidRPr="00EC62E9" w:rsidRDefault="00C7561F" w:rsidP="00C7561F">
      <w:pPr>
        <w:jc w:val="left"/>
        <w:rPr>
          <w:lang w:val="de-DE"/>
        </w:rPr>
      </w:pPr>
      <w:r w:rsidRPr="00EC62E9">
        <w:rPr>
          <w:lang w:val="de-DE"/>
        </w:rPr>
        <w:br w:type="page"/>
        <w:t>5.</w:t>
      </w:r>
      <w:r w:rsidRPr="00EC62E9">
        <w:rPr>
          <w:lang w:val="de-DE"/>
        </w:rPr>
        <w:tab/>
        <w:t xml:space="preserve">Folgende Tabellen enthalten detaillierte Information über den Stand in </w:t>
      </w:r>
      <w:proofErr w:type="spellStart"/>
      <w:r w:rsidRPr="00EC62E9">
        <w:rPr>
          <w:lang w:val="de-DE"/>
        </w:rPr>
        <w:t>bezug</w:t>
      </w:r>
      <w:proofErr w:type="spellEnd"/>
      <w:r w:rsidRPr="00EC62E9">
        <w:rPr>
          <w:lang w:val="de-DE"/>
        </w:rPr>
        <w:t xml:space="preserve"> auf die UPOV. </w:t>
      </w:r>
    </w:p>
    <w:p w:rsidR="00C7561F" w:rsidRPr="00EC62E9" w:rsidRDefault="00C7561F" w:rsidP="00C7561F">
      <w:pPr>
        <w:pStyle w:val="BodyText"/>
        <w:jc w:val="center"/>
        <w:rPr>
          <w:rFonts w:cs="Arial"/>
          <w:b/>
          <w:sz w:val="18"/>
          <w:lang w:val="de-DE"/>
        </w:rPr>
      </w:pPr>
    </w:p>
    <w:p w:rsidR="00544031" w:rsidRPr="00EC62E9" w:rsidRDefault="00544031" w:rsidP="00544031">
      <w:pPr>
        <w:pStyle w:val="BodyText"/>
        <w:jc w:val="center"/>
        <w:rPr>
          <w:rFonts w:cs="Arial"/>
          <w:b/>
          <w:sz w:val="18"/>
          <w:lang w:val="de-DE"/>
        </w:rPr>
      </w:pPr>
      <w:r w:rsidRPr="00EC62E9">
        <w:rPr>
          <w:b/>
          <w:sz w:val="18"/>
          <w:lang w:val="de-DE"/>
        </w:rPr>
        <w:t>UPOV-Mitglieder</w:t>
      </w:r>
    </w:p>
    <w:p w:rsidR="006677E7" w:rsidRDefault="006677E7" w:rsidP="006677E7">
      <w:pPr>
        <w:ind w:right="-840"/>
        <w:rPr>
          <w:rFonts w:cs="Arial"/>
          <w:sz w:val="16"/>
          <w:lang w:val="de-DE"/>
        </w:rPr>
      </w:pPr>
    </w:p>
    <w:tbl>
      <w:tblPr>
        <w:tblW w:w="10485" w:type="dxa"/>
        <w:tblInd w:w="-398" w:type="dxa"/>
        <w:tblLayout w:type="fixed"/>
        <w:tblCellMar>
          <w:left w:w="28" w:type="dxa"/>
          <w:right w:w="28" w:type="dxa"/>
        </w:tblCellMar>
        <w:tblLook w:val="0000" w:firstRow="0" w:lastRow="0" w:firstColumn="0" w:lastColumn="0" w:noHBand="0" w:noVBand="0"/>
      </w:tblPr>
      <w:tblGrid>
        <w:gridCol w:w="1826"/>
        <w:gridCol w:w="2128"/>
        <w:gridCol w:w="1226"/>
        <w:gridCol w:w="1581"/>
        <w:gridCol w:w="1914"/>
        <w:gridCol w:w="1810"/>
      </w:tblGrid>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Albanien</w:t>
            </w:r>
            <w:r w:rsidRPr="004D4082">
              <w:rPr>
                <w:rFonts w:cs="Arial"/>
                <w:sz w:val="16"/>
                <w:szCs w:val="16"/>
                <w:vertAlign w:val="superscript"/>
                <w:lang w:val="de-DE"/>
              </w:rPr>
              <w:t>3</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Dänemark</w:t>
            </w:r>
            <w:r w:rsidRPr="004D4082">
              <w:rPr>
                <w:rStyle w:val="FootnoteReference"/>
                <w:rFonts w:cs="Arial"/>
                <w:szCs w:val="16"/>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Israel</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Neuseeland</w:t>
            </w:r>
            <w:r w:rsidRPr="004D4082">
              <w:rPr>
                <w:rStyle w:val="FootnoteReference"/>
                <w:rFonts w:cs="Arial"/>
                <w:szCs w:val="16"/>
                <w:lang w:val="de-DE"/>
              </w:rPr>
              <w:t>2</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Rumänien</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Türkei</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Argentinien</w:t>
            </w:r>
            <w:r w:rsidRPr="004D4082">
              <w:rPr>
                <w:rStyle w:val="FootnoteReference"/>
                <w:rFonts w:cs="Arial"/>
                <w:szCs w:val="16"/>
                <w:lang w:val="de-DE"/>
              </w:rPr>
              <w:t>2</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Deutschland</w:t>
            </w:r>
            <w:r w:rsidRPr="004D4082">
              <w:rPr>
                <w:rStyle w:val="FootnoteReference"/>
                <w:rFonts w:cs="Arial"/>
                <w:szCs w:val="16"/>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Italien</w:t>
            </w:r>
            <w:r w:rsidRPr="004D4082">
              <w:rPr>
                <w:rStyle w:val="FootnoteReference"/>
                <w:rFonts w:cs="Arial"/>
                <w:szCs w:val="16"/>
                <w:lang w:val="de-DE"/>
              </w:rPr>
              <w:t>2</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Nicaragua</w:t>
            </w:r>
            <w:r w:rsidRPr="004D4082">
              <w:rPr>
                <w:rFonts w:cs="Arial"/>
                <w:sz w:val="16"/>
                <w:szCs w:val="16"/>
                <w:vertAlign w:val="superscript"/>
                <w:lang w:val="de-DE"/>
              </w:rPr>
              <w:t>2</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Russische Föderation</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Ukraine</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Aserbaidschan</w:t>
            </w:r>
            <w:r w:rsidRPr="004D4082">
              <w:rPr>
                <w:rFonts w:cs="Arial"/>
                <w:sz w:val="16"/>
                <w:szCs w:val="16"/>
                <w:vertAlign w:val="superscript"/>
                <w:lang w:val="de-DE"/>
              </w:rPr>
              <w:t>3</w:t>
            </w:r>
          </w:p>
        </w:tc>
        <w:tc>
          <w:tcPr>
            <w:tcW w:w="2128" w:type="dxa"/>
            <w:vAlign w:val="bottom"/>
          </w:tcPr>
          <w:p w:rsidR="006677E7" w:rsidRPr="004D4082" w:rsidRDefault="006677E7" w:rsidP="00E635A1">
            <w:pPr>
              <w:spacing w:before="40"/>
              <w:rPr>
                <w:rFonts w:cs="Arial"/>
                <w:sz w:val="16"/>
                <w:szCs w:val="16"/>
                <w:lang w:val="de-DE"/>
              </w:rPr>
            </w:pPr>
            <w:r w:rsidRPr="004D4082">
              <w:rPr>
                <w:rFonts w:cs="Arial"/>
                <w:sz w:val="16"/>
                <w:szCs w:val="16"/>
                <w:lang w:val="de-DE"/>
              </w:rPr>
              <w:t>Ehemalige jugoslawische</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Japan</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Niederlande</w:t>
            </w:r>
            <w:r w:rsidRPr="004D4082">
              <w:rPr>
                <w:rFonts w:cs="Arial"/>
                <w:sz w:val="16"/>
                <w:szCs w:val="16"/>
                <w:vertAlign w:val="superscript"/>
                <w:lang w:val="de-DE"/>
              </w:rPr>
              <w:t>3</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Schweden</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Ungarn</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Australien</w:t>
            </w:r>
            <w:r w:rsidRPr="004D4082">
              <w:rPr>
                <w:rFonts w:cs="Arial"/>
                <w:sz w:val="16"/>
                <w:szCs w:val="16"/>
                <w:vertAlign w:val="superscript"/>
                <w:lang w:val="de-DE"/>
              </w:rPr>
              <w:t>3</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 xml:space="preserve">  Republik Mazedonien</w:t>
            </w:r>
            <w:r w:rsidRPr="004D4082">
              <w:rPr>
                <w:rFonts w:cs="Arial"/>
                <w:sz w:val="16"/>
                <w:szCs w:val="16"/>
                <w:vertAlign w:val="superscript"/>
                <w:lang w:val="de-DE"/>
              </w:rPr>
              <w:t>3</w:t>
            </w:r>
            <w:r w:rsidRPr="004D4082">
              <w:rPr>
                <w:rFonts w:cs="Arial"/>
                <w:sz w:val="16"/>
                <w:szCs w:val="16"/>
                <w:lang w:val="de-DE"/>
              </w:rPr>
              <w:t xml:space="preserve">  </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Jordanien</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Norwegen</w:t>
            </w:r>
            <w:r w:rsidRPr="004D4082">
              <w:rPr>
                <w:rStyle w:val="FootnoteReference"/>
                <w:rFonts w:cs="Arial"/>
                <w:szCs w:val="16"/>
                <w:lang w:val="de-DE"/>
              </w:rPr>
              <w:t>2</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Schweiz</w:t>
            </w:r>
            <w:r w:rsidRPr="004D4082">
              <w:rPr>
                <w:rStyle w:val="FootnoteReference"/>
                <w:rFonts w:cs="Arial"/>
                <w:szCs w:val="16"/>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Uruguay</w:t>
            </w:r>
            <w:r w:rsidRPr="004D4082">
              <w:rPr>
                <w:rStyle w:val="FootnoteReference"/>
                <w:rFonts w:cs="Arial"/>
                <w:szCs w:val="16"/>
                <w:lang w:val="de-DE"/>
              </w:rPr>
              <w:t>2</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Belarus</w:t>
            </w:r>
            <w:r w:rsidRPr="004D4082">
              <w:rPr>
                <w:rFonts w:cs="Arial"/>
                <w:sz w:val="16"/>
                <w:szCs w:val="16"/>
                <w:vertAlign w:val="superscript"/>
                <w:lang w:val="de-DE"/>
              </w:rPr>
              <w:t>3</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Dominikanische Republik</w:t>
            </w:r>
            <w:r w:rsidRPr="004D4082">
              <w:rPr>
                <w:rFonts w:cs="Arial"/>
                <w:sz w:val="16"/>
                <w:szCs w:val="16"/>
                <w:vertAlign w:val="superscript"/>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Kanada</w:t>
            </w:r>
            <w:r w:rsidRPr="004D4082">
              <w:rPr>
                <w:rStyle w:val="FootnoteReference"/>
                <w:rFonts w:cs="Arial"/>
                <w:szCs w:val="16"/>
                <w:lang w:val="de-DE"/>
              </w:rPr>
              <w:t>2</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Oman</w:t>
            </w:r>
            <w:r w:rsidRPr="004D4082">
              <w:rPr>
                <w:rFonts w:cs="Arial"/>
                <w:sz w:val="16"/>
                <w:szCs w:val="16"/>
                <w:vertAlign w:val="superscript"/>
                <w:lang w:val="de-DE"/>
              </w:rPr>
              <w:t>3</w:t>
            </w:r>
          </w:p>
        </w:tc>
        <w:tc>
          <w:tcPr>
            <w:tcW w:w="1914" w:type="dxa"/>
          </w:tcPr>
          <w:p w:rsidR="006677E7" w:rsidRPr="004D4082" w:rsidRDefault="006677E7" w:rsidP="00E635A1">
            <w:pPr>
              <w:spacing w:before="40"/>
              <w:rPr>
                <w:rFonts w:cs="Arial"/>
                <w:sz w:val="16"/>
                <w:szCs w:val="16"/>
                <w:lang w:val="de-DE"/>
              </w:rPr>
            </w:pPr>
            <w:r>
              <w:rPr>
                <w:rFonts w:cs="Arial"/>
                <w:sz w:val="16"/>
                <w:szCs w:val="16"/>
                <w:lang w:val="de-DE"/>
              </w:rPr>
              <w:t>Serbien</w:t>
            </w:r>
            <w:r w:rsidRPr="00133FC7">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Usbekistan</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Belgien</w:t>
            </w:r>
            <w:r w:rsidRPr="004D4082">
              <w:rPr>
                <w:rStyle w:val="FootnoteReference"/>
                <w:rFonts w:cs="Arial"/>
                <w:szCs w:val="16"/>
                <w:lang w:val="de-DE"/>
              </w:rPr>
              <w:t>1</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Ecuador</w:t>
            </w:r>
            <w:r w:rsidRPr="004D4082">
              <w:rPr>
                <w:rFonts w:cs="Arial"/>
                <w:sz w:val="16"/>
                <w:szCs w:val="16"/>
                <w:vertAlign w:val="superscript"/>
                <w:lang w:val="de-DE"/>
              </w:rPr>
              <w:t>2</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Kenia</w:t>
            </w:r>
            <w:r w:rsidRPr="004D4082">
              <w:rPr>
                <w:rFonts w:cs="Arial"/>
                <w:sz w:val="16"/>
                <w:szCs w:val="16"/>
                <w:vertAlign w:val="superscript"/>
                <w:lang w:val="de-DE"/>
              </w:rPr>
              <w:t>2</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Österreich</w:t>
            </w:r>
            <w:r w:rsidRPr="004D4082">
              <w:rPr>
                <w:rStyle w:val="FootnoteReference"/>
                <w:rFonts w:cs="Arial"/>
                <w:szCs w:val="16"/>
                <w:lang w:val="de-DE"/>
              </w:rPr>
              <w:t>3</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Singapur</w:t>
            </w:r>
            <w:r w:rsidRPr="004D4082">
              <w:rPr>
                <w:rFonts w:cs="Arial"/>
                <w:sz w:val="16"/>
                <w:szCs w:val="16"/>
                <w:vertAlign w:val="superscript"/>
                <w:lang w:val="de-DE"/>
              </w:rPr>
              <w:t>3</w:t>
            </w:r>
          </w:p>
        </w:tc>
        <w:tc>
          <w:tcPr>
            <w:tcW w:w="1810" w:type="dxa"/>
            <w:vAlign w:val="bottom"/>
          </w:tcPr>
          <w:p w:rsidR="006677E7" w:rsidRPr="004D4082" w:rsidRDefault="006677E7" w:rsidP="00E635A1">
            <w:pPr>
              <w:spacing w:before="40"/>
              <w:rPr>
                <w:rFonts w:cs="Arial"/>
                <w:sz w:val="16"/>
                <w:szCs w:val="16"/>
                <w:lang w:val="de-DE"/>
              </w:rPr>
            </w:pPr>
            <w:r w:rsidRPr="004D4082">
              <w:rPr>
                <w:rFonts w:cs="Arial"/>
                <w:sz w:val="16"/>
                <w:szCs w:val="16"/>
                <w:lang w:val="de-DE"/>
              </w:rPr>
              <w:t>Vereinigte Staaten</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Bolivien (</w:t>
            </w:r>
            <w:proofErr w:type="spellStart"/>
            <w:r w:rsidRPr="004D4082">
              <w:rPr>
                <w:rFonts w:cs="Arial"/>
                <w:sz w:val="16"/>
                <w:szCs w:val="16"/>
                <w:lang w:val="de-DE"/>
              </w:rPr>
              <w:t>Plurinationaler</w:t>
            </w:r>
            <w:proofErr w:type="spellEnd"/>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Estland</w:t>
            </w:r>
            <w:r w:rsidRPr="004D4082">
              <w:rPr>
                <w:rFonts w:cs="Arial"/>
                <w:sz w:val="16"/>
                <w:szCs w:val="16"/>
                <w:vertAlign w:val="superscript"/>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Kirgisistan</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Panama</w:t>
            </w:r>
            <w:r w:rsidRPr="004D4082">
              <w:rPr>
                <w:rFonts w:cs="Arial"/>
                <w:sz w:val="16"/>
                <w:szCs w:val="16"/>
                <w:vertAlign w:val="superscript"/>
                <w:lang w:val="de-DE"/>
              </w:rPr>
              <w:t>3</w:t>
            </w:r>
          </w:p>
        </w:tc>
        <w:tc>
          <w:tcPr>
            <w:tcW w:w="1914"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Slowakei</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 xml:space="preserve">   von Amerika</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 xml:space="preserve">   Staat)</w:t>
            </w:r>
            <w:r w:rsidRPr="004D4082">
              <w:rPr>
                <w:rFonts w:cs="Arial"/>
                <w:sz w:val="16"/>
                <w:szCs w:val="16"/>
                <w:vertAlign w:val="superscript"/>
                <w:lang w:val="de-DE"/>
              </w:rPr>
              <w:t>2</w:t>
            </w:r>
          </w:p>
        </w:tc>
        <w:tc>
          <w:tcPr>
            <w:tcW w:w="2128"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Europäische Union</w:t>
            </w:r>
            <w:r w:rsidRPr="004D4082">
              <w:rPr>
                <w:rFonts w:cs="Arial"/>
                <w:sz w:val="16"/>
                <w:szCs w:val="16"/>
                <w:vertAlign w:val="superscript"/>
                <w:lang w:val="de-DE"/>
              </w:rPr>
              <w:t>3, 4</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Kolumbien</w:t>
            </w:r>
            <w:r w:rsidRPr="004D4082">
              <w:rPr>
                <w:rFonts w:cs="Arial"/>
                <w:sz w:val="16"/>
                <w:szCs w:val="16"/>
                <w:vertAlign w:val="superscript"/>
                <w:lang w:val="de-DE"/>
              </w:rPr>
              <w:t>2</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Paraguay</w:t>
            </w:r>
            <w:r w:rsidRPr="004D4082">
              <w:rPr>
                <w:rFonts w:cs="Arial"/>
                <w:sz w:val="16"/>
                <w:szCs w:val="16"/>
                <w:vertAlign w:val="superscript"/>
                <w:lang w:val="de-DE"/>
              </w:rPr>
              <w:t>2</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Slowenien</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Vereinigtes Königreich</w:t>
            </w:r>
            <w:r w:rsidRPr="004D4082">
              <w:rPr>
                <w:rStyle w:val="FootnoteReference"/>
                <w:rFonts w:cs="Arial"/>
                <w:szCs w:val="16"/>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Brasilien</w:t>
            </w:r>
            <w:r w:rsidRPr="004D4082">
              <w:rPr>
                <w:rFonts w:cs="Arial"/>
                <w:sz w:val="16"/>
                <w:szCs w:val="16"/>
                <w:vertAlign w:val="superscript"/>
                <w:lang w:val="de-DE"/>
              </w:rPr>
              <w:t>2</w:t>
            </w:r>
          </w:p>
        </w:tc>
        <w:tc>
          <w:tcPr>
            <w:tcW w:w="2128"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Finnland</w:t>
            </w:r>
            <w:r w:rsidRPr="004D4082">
              <w:rPr>
                <w:rStyle w:val="FootnoteReference"/>
                <w:rFonts w:cs="Arial"/>
                <w:szCs w:val="16"/>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Kroatien</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Peru</w:t>
            </w:r>
            <w:r w:rsidRPr="004D4082">
              <w:rPr>
                <w:rStyle w:val="FootnoteReference"/>
                <w:rFonts w:cs="Arial"/>
                <w:szCs w:val="16"/>
                <w:lang w:val="de-DE"/>
              </w:rPr>
              <w:t>3</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Spanien</w:t>
            </w:r>
            <w:r w:rsidRPr="004D4082">
              <w:rPr>
                <w:rFonts w:cs="Arial"/>
                <w:sz w:val="16"/>
                <w:szCs w:val="16"/>
                <w:vertAlign w:val="superscript"/>
                <w:lang w:val="de-DE"/>
              </w:rPr>
              <w:t>3</w:t>
            </w:r>
          </w:p>
        </w:tc>
        <w:tc>
          <w:tcPr>
            <w:tcW w:w="1810" w:type="dxa"/>
          </w:tcPr>
          <w:p w:rsidR="006677E7" w:rsidRPr="004D4082" w:rsidRDefault="006677E7" w:rsidP="00E635A1">
            <w:pPr>
              <w:spacing w:before="40"/>
              <w:rPr>
                <w:rFonts w:cs="Arial"/>
                <w:sz w:val="16"/>
                <w:szCs w:val="16"/>
                <w:lang w:val="de-DE"/>
              </w:rPr>
            </w:pPr>
            <w:r w:rsidRPr="004D4082">
              <w:rPr>
                <w:rFonts w:cs="Arial"/>
                <w:sz w:val="16"/>
                <w:szCs w:val="16"/>
                <w:lang w:val="de-DE"/>
              </w:rPr>
              <w:t>Vietnam</w:t>
            </w:r>
            <w:r w:rsidRPr="004D4082">
              <w:rPr>
                <w:rFonts w:cs="Arial"/>
                <w:sz w:val="16"/>
                <w:szCs w:val="16"/>
                <w:vertAlign w:val="superscript"/>
                <w:lang w:val="de-DE"/>
              </w:rPr>
              <w:t>3</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Bulgarien</w:t>
            </w:r>
            <w:r w:rsidRPr="004D4082">
              <w:rPr>
                <w:rFonts w:cs="Arial"/>
                <w:sz w:val="16"/>
                <w:szCs w:val="16"/>
                <w:vertAlign w:val="superscript"/>
                <w:lang w:val="de-DE"/>
              </w:rPr>
              <w:t>3</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Frankreich</w:t>
            </w:r>
            <w:r w:rsidRPr="004D4082">
              <w:rPr>
                <w:rStyle w:val="FootnoteReference"/>
                <w:rFonts w:cs="Arial"/>
                <w:szCs w:val="16"/>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Lettland</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Polen</w:t>
            </w:r>
            <w:r w:rsidRPr="004D4082">
              <w:rPr>
                <w:rStyle w:val="FootnoteReference"/>
                <w:rFonts w:cs="Arial"/>
                <w:szCs w:val="16"/>
                <w:lang w:val="de-DE"/>
              </w:rPr>
              <w:t>3</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Südafrika</w:t>
            </w:r>
            <w:r w:rsidRPr="004D4082">
              <w:rPr>
                <w:rFonts w:cs="Arial"/>
                <w:sz w:val="16"/>
                <w:szCs w:val="16"/>
                <w:vertAlign w:val="superscript"/>
                <w:lang w:val="de-DE"/>
              </w:rPr>
              <w:t>2</w:t>
            </w:r>
          </w:p>
        </w:tc>
        <w:tc>
          <w:tcPr>
            <w:tcW w:w="1810" w:type="dxa"/>
          </w:tcPr>
          <w:p w:rsidR="006677E7" w:rsidRPr="004D4082" w:rsidRDefault="006677E7" w:rsidP="00E635A1">
            <w:pPr>
              <w:spacing w:before="40"/>
              <w:jc w:val="right"/>
              <w:rPr>
                <w:rFonts w:cs="Arial"/>
                <w:sz w:val="16"/>
                <w:szCs w:val="16"/>
                <w:lang w:val="de-DE"/>
              </w:rPr>
            </w:pP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Chile</w:t>
            </w:r>
            <w:r w:rsidRPr="004D4082">
              <w:rPr>
                <w:rStyle w:val="FootnoteReference"/>
                <w:rFonts w:cs="Arial"/>
                <w:szCs w:val="16"/>
                <w:lang w:val="de-DE"/>
              </w:rPr>
              <w:t>2</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Georgien</w:t>
            </w:r>
            <w:r w:rsidRPr="004D4082">
              <w:rPr>
                <w:rFonts w:cs="Arial"/>
                <w:sz w:val="16"/>
                <w:szCs w:val="16"/>
                <w:vertAlign w:val="superscript"/>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Litauen</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Portugal</w:t>
            </w:r>
            <w:r w:rsidRPr="004D4082">
              <w:rPr>
                <w:rFonts w:cs="Arial"/>
                <w:sz w:val="16"/>
                <w:szCs w:val="16"/>
                <w:vertAlign w:val="superscript"/>
                <w:lang w:val="de-DE"/>
              </w:rPr>
              <w:t>2</w:t>
            </w:r>
          </w:p>
        </w:tc>
        <w:tc>
          <w:tcPr>
            <w:tcW w:w="1914" w:type="dxa"/>
          </w:tcPr>
          <w:p w:rsidR="006677E7" w:rsidRPr="004D4082" w:rsidRDefault="006677E7" w:rsidP="00E635A1">
            <w:pPr>
              <w:spacing w:before="40"/>
              <w:rPr>
                <w:rFonts w:cs="Arial"/>
                <w:sz w:val="16"/>
                <w:szCs w:val="16"/>
                <w:lang w:val="de-DE"/>
              </w:rPr>
            </w:pPr>
            <w:r w:rsidRPr="004D4082">
              <w:rPr>
                <w:rFonts w:cs="Arial"/>
                <w:sz w:val="16"/>
                <w:szCs w:val="16"/>
                <w:lang w:val="de-DE"/>
              </w:rPr>
              <w:t>Trinidad und Tobago</w:t>
            </w:r>
            <w:r w:rsidRPr="004D4082">
              <w:rPr>
                <w:rFonts w:cs="Arial"/>
                <w:sz w:val="16"/>
                <w:szCs w:val="16"/>
                <w:vertAlign w:val="superscript"/>
                <w:lang w:val="de-DE"/>
              </w:rPr>
              <w:t>2</w:t>
            </w:r>
          </w:p>
        </w:tc>
        <w:tc>
          <w:tcPr>
            <w:tcW w:w="1810" w:type="dxa"/>
          </w:tcPr>
          <w:p w:rsidR="006677E7" w:rsidRPr="004D4082" w:rsidRDefault="006677E7" w:rsidP="00E635A1">
            <w:pPr>
              <w:spacing w:before="40"/>
              <w:jc w:val="right"/>
              <w:rPr>
                <w:rFonts w:cs="Arial"/>
                <w:sz w:val="16"/>
                <w:szCs w:val="16"/>
                <w:lang w:val="de-DE"/>
              </w:rPr>
            </w:pPr>
            <w:r w:rsidRPr="004D4082">
              <w:rPr>
                <w:rFonts w:cs="Arial"/>
                <w:sz w:val="16"/>
                <w:szCs w:val="16"/>
                <w:lang w:val="de-DE"/>
              </w:rPr>
              <w:t>(Insgesamt: 7</w:t>
            </w:r>
            <w:r>
              <w:rPr>
                <w:rFonts w:cs="Arial"/>
                <w:sz w:val="16"/>
                <w:szCs w:val="16"/>
                <w:lang w:val="de-DE"/>
              </w:rPr>
              <w:t>1</w:t>
            </w:r>
            <w:r w:rsidRPr="004D4082">
              <w:rPr>
                <w:rFonts w:cs="Arial"/>
                <w:sz w:val="16"/>
                <w:szCs w:val="16"/>
                <w:lang w:val="de-DE"/>
              </w:rPr>
              <w:t>)</w:t>
            </w: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China</w:t>
            </w:r>
            <w:r w:rsidRPr="004D4082">
              <w:rPr>
                <w:rFonts w:cs="Arial"/>
                <w:sz w:val="16"/>
                <w:szCs w:val="16"/>
                <w:vertAlign w:val="superscript"/>
                <w:lang w:val="de-DE"/>
              </w:rPr>
              <w:t>2</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Irland</w:t>
            </w:r>
            <w:r w:rsidRPr="004D4082">
              <w:rPr>
                <w:rStyle w:val="FootnoteReference"/>
                <w:rFonts w:cs="Arial"/>
                <w:szCs w:val="16"/>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Marokko</w:t>
            </w:r>
            <w:r w:rsidRPr="004D4082">
              <w:rPr>
                <w:rFonts w:cs="Arial"/>
                <w:sz w:val="16"/>
                <w:szCs w:val="16"/>
                <w:vertAlign w:val="superscript"/>
                <w:lang w:val="de-DE"/>
              </w:rPr>
              <w:t>3</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Republik Korea</w:t>
            </w:r>
            <w:r w:rsidRPr="004D4082">
              <w:rPr>
                <w:rFonts w:cs="Arial"/>
                <w:sz w:val="16"/>
                <w:szCs w:val="16"/>
                <w:vertAlign w:val="superscript"/>
                <w:lang w:val="de-DE"/>
              </w:rPr>
              <w:t>3</w:t>
            </w:r>
          </w:p>
        </w:tc>
        <w:tc>
          <w:tcPr>
            <w:tcW w:w="1914"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Tschechische Republik</w:t>
            </w:r>
            <w:r w:rsidRPr="004D4082">
              <w:rPr>
                <w:rStyle w:val="FootnoteReference"/>
                <w:rFonts w:cs="Arial"/>
                <w:szCs w:val="16"/>
                <w:lang w:val="de-DE"/>
              </w:rPr>
              <w:t>3</w:t>
            </w:r>
          </w:p>
        </w:tc>
        <w:tc>
          <w:tcPr>
            <w:tcW w:w="1810" w:type="dxa"/>
          </w:tcPr>
          <w:p w:rsidR="006677E7" w:rsidRPr="004D4082" w:rsidRDefault="006677E7" w:rsidP="006677E7">
            <w:pPr>
              <w:spacing w:before="40"/>
              <w:jc w:val="right"/>
              <w:rPr>
                <w:rFonts w:cs="Arial"/>
                <w:sz w:val="16"/>
                <w:szCs w:val="16"/>
                <w:lang w:val="de-DE"/>
              </w:rPr>
            </w:pPr>
          </w:p>
        </w:tc>
      </w:tr>
      <w:tr w:rsidR="006677E7" w:rsidRPr="004D4082" w:rsidTr="006677E7">
        <w:trPr>
          <w:cantSplit/>
        </w:trPr>
        <w:tc>
          <w:tcPr>
            <w:tcW w:w="1826" w:type="dxa"/>
          </w:tcPr>
          <w:p w:rsidR="006677E7" w:rsidRPr="004D4082" w:rsidRDefault="006677E7" w:rsidP="00E635A1">
            <w:pPr>
              <w:spacing w:before="40"/>
              <w:rPr>
                <w:rFonts w:cs="Arial"/>
                <w:sz w:val="16"/>
                <w:szCs w:val="16"/>
                <w:lang w:val="de-DE"/>
              </w:rPr>
            </w:pPr>
            <w:r w:rsidRPr="004D4082">
              <w:rPr>
                <w:rFonts w:cs="Arial"/>
                <w:sz w:val="16"/>
                <w:szCs w:val="16"/>
                <w:lang w:val="de-DE"/>
              </w:rPr>
              <w:t>Costa Rica</w:t>
            </w:r>
            <w:r w:rsidRPr="004D4082">
              <w:rPr>
                <w:rFonts w:cs="Arial"/>
                <w:sz w:val="16"/>
                <w:szCs w:val="16"/>
                <w:vertAlign w:val="superscript"/>
                <w:lang w:val="de-DE"/>
              </w:rPr>
              <w:t>3</w:t>
            </w:r>
          </w:p>
        </w:tc>
        <w:tc>
          <w:tcPr>
            <w:tcW w:w="2128" w:type="dxa"/>
          </w:tcPr>
          <w:p w:rsidR="006677E7" w:rsidRPr="004D4082" w:rsidRDefault="006677E7" w:rsidP="00E635A1">
            <w:pPr>
              <w:spacing w:before="40"/>
              <w:rPr>
                <w:rFonts w:cs="Arial"/>
                <w:sz w:val="16"/>
                <w:szCs w:val="16"/>
                <w:lang w:val="de-DE"/>
              </w:rPr>
            </w:pPr>
            <w:r w:rsidRPr="004D4082">
              <w:rPr>
                <w:rFonts w:cs="Arial"/>
                <w:sz w:val="16"/>
                <w:szCs w:val="16"/>
                <w:lang w:val="de-DE"/>
              </w:rPr>
              <w:t>Island</w:t>
            </w:r>
            <w:r w:rsidRPr="004D4082">
              <w:rPr>
                <w:rFonts w:cs="Arial"/>
                <w:sz w:val="16"/>
                <w:szCs w:val="16"/>
                <w:vertAlign w:val="superscript"/>
                <w:lang w:val="de-DE"/>
              </w:rPr>
              <w:t>3</w:t>
            </w:r>
          </w:p>
        </w:tc>
        <w:tc>
          <w:tcPr>
            <w:tcW w:w="1226" w:type="dxa"/>
          </w:tcPr>
          <w:p w:rsidR="006677E7" w:rsidRPr="004D4082" w:rsidRDefault="006677E7" w:rsidP="00E635A1">
            <w:pPr>
              <w:spacing w:before="40"/>
              <w:rPr>
                <w:rFonts w:cs="Arial"/>
                <w:sz w:val="16"/>
                <w:szCs w:val="16"/>
                <w:lang w:val="de-DE"/>
              </w:rPr>
            </w:pPr>
            <w:r w:rsidRPr="004D4082">
              <w:rPr>
                <w:rFonts w:cs="Arial"/>
                <w:sz w:val="16"/>
                <w:szCs w:val="16"/>
                <w:lang w:val="de-DE"/>
              </w:rPr>
              <w:t>Mexiko</w:t>
            </w:r>
            <w:r w:rsidRPr="004D4082">
              <w:rPr>
                <w:rFonts w:cs="Arial"/>
                <w:sz w:val="16"/>
                <w:szCs w:val="16"/>
                <w:vertAlign w:val="superscript"/>
                <w:lang w:val="de-DE"/>
              </w:rPr>
              <w:t>2</w:t>
            </w:r>
          </w:p>
        </w:tc>
        <w:tc>
          <w:tcPr>
            <w:tcW w:w="1581" w:type="dxa"/>
          </w:tcPr>
          <w:p w:rsidR="006677E7" w:rsidRPr="004D4082" w:rsidRDefault="006677E7" w:rsidP="00E635A1">
            <w:pPr>
              <w:spacing w:before="40"/>
              <w:rPr>
                <w:rFonts w:cs="Arial"/>
                <w:sz w:val="16"/>
                <w:szCs w:val="16"/>
                <w:lang w:val="de-DE"/>
              </w:rPr>
            </w:pPr>
            <w:r w:rsidRPr="004D4082">
              <w:rPr>
                <w:rFonts w:cs="Arial"/>
                <w:sz w:val="16"/>
                <w:szCs w:val="16"/>
                <w:lang w:val="de-DE"/>
              </w:rPr>
              <w:t>Republik Moldau</w:t>
            </w:r>
            <w:r w:rsidRPr="004D4082">
              <w:rPr>
                <w:rFonts w:cs="Arial"/>
                <w:sz w:val="16"/>
                <w:szCs w:val="16"/>
                <w:vertAlign w:val="superscript"/>
                <w:lang w:val="de-DE"/>
              </w:rPr>
              <w:t>3</w:t>
            </w:r>
          </w:p>
        </w:tc>
        <w:tc>
          <w:tcPr>
            <w:tcW w:w="1914" w:type="dxa"/>
          </w:tcPr>
          <w:p w:rsidR="006677E7" w:rsidRPr="004D4082" w:rsidRDefault="006677E7" w:rsidP="00E635A1">
            <w:pPr>
              <w:spacing w:before="40"/>
              <w:rPr>
                <w:rFonts w:cs="Arial"/>
                <w:sz w:val="16"/>
                <w:szCs w:val="16"/>
                <w:vertAlign w:val="superscript"/>
                <w:lang w:val="de-DE"/>
              </w:rPr>
            </w:pPr>
            <w:r w:rsidRPr="004D4082">
              <w:rPr>
                <w:rFonts w:cs="Arial"/>
                <w:sz w:val="16"/>
                <w:szCs w:val="16"/>
                <w:lang w:val="de-DE"/>
              </w:rPr>
              <w:t>Tunesien</w:t>
            </w:r>
            <w:r w:rsidRPr="004D4082">
              <w:rPr>
                <w:rStyle w:val="FootnoteReference"/>
                <w:rFonts w:cs="Arial"/>
                <w:szCs w:val="16"/>
                <w:lang w:val="de-DE"/>
              </w:rPr>
              <w:t>3</w:t>
            </w:r>
          </w:p>
        </w:tc>
        <w:tc>
          <w:tcPr>
            <w:tcW w:w="1810" w:type="dxa"/>
          </w:tcPr>
          <w:p w:rsidR="006677E7" w:rsidRPr="004D4082" w:rsidRDefault="006677E7" w:rsidP="00E635A1">
            <w:pPr>
              <w:spacing w:before="40"/>
              <w:jc w:val="right"/>
              <w:rPr>
                <w:rFonts w:cs="Arial"/>
                <w:sz w:val="16"/>
                <w:szCs w:val="16"/>
                <w:lang w:val="de-DE"/>
              </w:rPr>
            </w:pPr>
          </w:p>
        </w:tc>
      </w:tr>
    </w:tbl>
    <w:p w:rsidR="006677E7" w:rsidRPr="0060702E" w:rsidRDefault="006677E7" w:rsidP="006677E7">
      <w:pPr>
        <w:tabs>
          <w:tab w:val="left" w:pos="1560"/>
        </w:tabs>
        <w:spacing w:after="60"/>
        <w:ind w:left="284"/>
        <w:rPr>
          <w:rFonts w:cs="Arial"/>
          <w:u w:val="single"/>
        </w:rPr>
      </w:pPr>
      <w:r w:rsidRPr="0060702E">
        <w:rPr>
          <w:rFonts w:cs="Arial"/>
          <w:u w:val="single"/>
        </w:rPr>
        <w:tab/>
      </w:r>
    </w:p>
    <w:p w:rsidR="00C7561F" w:rsidRPr="00EC62E9" w:rsidRDefault="00C7561F" w:rsidP="00E34872">
      <w:pPr>
        <w:spacing w:after="60"/>
        <w:ind w:left="567" w:hanging="283"/>
        <w:rPr>
          <w:rFonts w:cs="Arial"/>
          <w:sz w:val="18"/>
          <w:lang w:val="de-DE"/>
        </w:rPr>
      </w:pPr>
      <w:r w:rsidRPr="00EC62E9">
        <w:rPr>
          <w:vertAlign w:val="superscript"/>
          <w:lang w:val="de-DE"/>
        </w:rPr>
        <w:t>1</w:t>
      </w:r>
      <w:r w:rsidRPr="00EC62E9">
        <w:rPr>
          <w:lang w:val="de-DE"/>
        </w:rPr>
        <w:tab/>
      </w:r>
      <w:r w:rsidRPr="00EC62E9">
        <w:rPr>
          <w:sz w:val="18"/>
          <w:lang w:val="de-DE"/>
        </w:rPr>
        <w:t>Das Übereinkommen von 1961, in der durch die Zusatzakte von 1972 geänderten Fassung, ist die neueste A</w:t>
      </w:r>
      <w:r w:rsidR="00C34D78" w:rsidRPr="00EC62E9">
        <w:rPr>
          <w:sz w:val="18"/>
          <w:lang w:val="de-DE"/>
        </w:rPr>
        <w:t>kte, an die 1 Staat gebunden ist</w:t>
      </w:r>
      <w:r w:rsidRPr="00EC62E9">
        <w:rPr>
          <w:sz w:val="18"/>
          <w:lang w:val="de-DE"/>
        </w:rPr>
        <w:t>.</w:t>
      </w:r>
    </w:p>
    <w:p w:rsidR="00C7561F" w:rsidRPr="00EC62E9" w:rsidRDefault="00C7561F" w:rsidP="00E34872">
      <w:pPr>
        <w:spacing w:after="60"/>
        <w:ind w:left="567" w:hanging="283"/>
        <w:rPr>
          <w:rFonts w:cs="Arial"/>
          <w:sz w:val="18"/>
          <w:lang w:val="de-DE"/>
        </w:rPr>
      </w:pPr>
      <w:r w:rsidRPr="00EC62E9">
        <w:rPr>
          <w:sz w:val="18"/>
          <w:vertAlign w:val="superscript"/>
          <w:lang w:val="de-DE"/>
        </w:rPr>
        <w:t>2</w:t>
      </w:r>
      <w:r w:rsidRPr="00EC62E9">
        <w:rPr>
          <w:lang w:val="de-DE"/>
        </w:rPr>
        <w:tab/>
      </w:r>
      <w:r w:rsidRPr="00EC62E9">
        <w:rPr>
          <w:sz w:val="18"/>
          <w:lang w:val="de-DE"/>
        </w:rPr>
        <w:t xml:space="preserve">Die Akte von 1978 ist die neueste Akte, </w:t>
      </w:r>
      <w:r w:rsidR="00C34D78" w:rsidRPr="00EC62E9">
        <w:rPr>
          <w:sz w:val="18"/>
          <w:lang w:val="de-DE"/>
        </w:rPr>
        <w:t>an die 19 Staaten gebunden sind</w:t>
      </w:r>
      <w:r w:rsidRPr="00EC62E9">
        <w:rPr>
          <w:sz w:val="18"/>
          <w:lang w:val="de-DE"/>
        </w:rPr>
        <w:t>.</w:t>
      </w:r>
    </w:p>
    <w:p w:rsidR="00C7561F" w:rsidRPr="00EC62E9" w:rsidRDefault="00C7561F" w:rsidP="00E34872">
      <w:pPr>
        <w:spacing w:after="60"/>
        <w:ind w:left="567" w:hanging="283"/>
        <w:rPr>
          <w:rFonts w:cs="Arial"/>
          <w:sz w:val="18"/>
          <w:lang w:val="de-DE"/>
        </w:rPr>
      </w:pPr>
      <w:r w:rsidRPr="00EC62E9">
        <w:rPr>
          <w:sz w:val="18"/>
          <w:vertAlign w:val="superscript"/>
          <w:lang w:val="de-DE"/>
        </w:rPr>
        <w:t>3</w:t>
      </w:r>
      <w:r w:rsidRPr="00EC62E9">
        <w:rPr>
          <w:lang w:val="de-DE"/>
        </w:rPr>
        <w:tab/>
      </w:r>
      <w:r w:rsidRPr="00EC62E9">
        <w:rPr>
          <w:sz w:val="18"/>
          <w:lang w:val="de-DE"/>
        </w:rPr>
        <w:t>Die Akte von 1991 ist die neueste Akte, an die 50 Staaten u</w:t>
      </w:r>
      <w:r w:rsidR="00C34D78" w:rsidRPr="00EC62E9">
        <w:rPr>
          <w:sz w:val="18"/>
          <w:lang w:val="de-DE"/>
        </w:rPr>
        <w:t>nd 1 Organisation gebunden sind</w:t>
      </w:r>
      <w:r w:rsidRPr="00EC62E9">
        <w:rPr>
          <w:sz w:val="18"/>
          <w:lang w:val="de-DE"/>
        </w:rPr>
        <w:t>.</w:t>
      </w:r>
    </w:p>
    <w:p w:rsidR="00C7561F" w:rsidRPr="00EC62E9" w:rsidRDefault="00C7561F" w:rsidP="00E34872">
      <w:pPr>
        <w:spacing w:after="60"/>
        <w:ind w:left="567" w:hanging="283"/>
        <w:rPr>
          <w:rFonts w:cs="Arial"/>
          <w:sz w:val="18"/>
          <w:lang w:val="de-DE"/>
        </w:rPr>
      </w:pPr>
      <w:r w:rsidRPr="00EC62E9">
        <w:rPr>
          <w:sz w:val="18"/>
          <w:vertAlign w:val="superscript"/>
          <w:lang w:val="de-DE"/>
        </w:rPr>
        <w:t>4</w:t>
      </w:r>
      <w:r w:rsidRPr="00EC62E9">
        <w:rPr>
          <w:lang w:val="de-DE"/>
        </w:rPr>
        <w:tab/>
      </w:r>
      <w:r w:rsidRPr="00EC62E9">
        <w:rPr>
          <w:sz w:val="18"/>
          <w:lang w:val="de-DE"/>
        </w:rPr>
        <w:t>Verfügt über ein gemeinschaftliches (überstaatliches) Sortenschutzsystem, d</w:t>
      </w:r>
      <w:r w:rsidR="006677E7">
        <w:rPr>
          <w:sz w:val="18"/>
          <w:lang w:val="de-DE"/>
        </w:rPr>
        <w:t>as die Hoheitsgebiete seiner 28 </w:t>
      </w:r>
      <w:r w:rsidRPr="00EC62E9">
        <w:rPr>
          <w:sz w:val="18"/>
          <w:lang w:val="de-DE"/>
        </w:rPr>
        <w:t xml:space="preserve">Mitglieder </w:t>
      </w:r>
      <w:proofErr w:type="spellStart"/>
      <w:r w:rsidRPr="00EC62E9">
        <w:rPr>
          <w:sz w:val="18"/>
          <w:lang w:val="de-DE"/>
        </w:rPr>
        <w:t>umfaßt</w:t>
      </w:r>
      <w:proofErr w:type="spellEnd"/>
      <w:r w:rsidRPr="00EC62E9">
        <w:rPr>
          <w:sz w:val="18"/>
          <w:lang w:val="de-DE"/>
        </w:rPr>
        <w:t>.</w:t>
      </w:r>
    </w:p>
    <w:p w:rsidR="00C7561F" w:rsidRPr="00EC62E9" w:rsidRDefault="00C7561F" w:rsidP="00C7561F">
      <w:pPr>
        <w:pStyle w:val="BodyText3"/>
        <w:tabs>
          <w:tab w:val="left" w:pos="284"/>
        </w:tabs>
        <w:spacing w:after="0"/>
        <w:jc w:val="both"/>
        <w:rPr>
          <w:rFonts w:ascii="Arial" w:hAnsi="Arial" w:cs="Arial"/>
          <w:sz w:val="20"/>
          <w:szCs w:val="20"/>
          <w:lang w:val="de-DE"/>
        </w:rPr>
      </w:pPr>
    </w:p>
    <w:p w:rsidR="00C7561F" w:rsidRPr="00EC62E9" w:rsidRDefault="00C7561F" w:rsidP="00C7561F">
      <w:pPr>
        <w:pStyle w:val="BodyText3"/>
        <w:tabs>
          <w:tab w:val="left" w:pos="284"/>
        </w:tabs>
        <w:spacing w:after="0"/>
        <w:jc w:val="both"/>
        <w:rPr>
          <w:rFonts w:ascii="Arial" w:hAnsi="Arial" w:cs="Arial"/>
          <w:sz w:val="20"/>
          <w:szCs w:val="20"/>
          <w:lang w:val="de-DE"/>
        </w:rPr>
      </w:pPr>
    </w:p>
    <w:p w:rsidR="00C7561F" w:rsidRPr="00EC62E9" w:rsidRDefault="00C7561F" w:rsidP="00C7561F">
      <w:pPr>
        <w:tabs>
          <w:tab w:val="left" w:pos="0"/>
        </w:tabs>
        <w:jc w:val="center"/>
        <w:rPr>
          <w:rFonts w:cs="Arial"/>
          <w:b/>
          <w:spacing w:val="-2"/>
          <w:sz w:val="18"/>
          <w:lang w:val="de-DE"/>
        </w:rPr>
      </w:pPr>
      <w:r w:rsidRPr="00EC62E9">
        <w:rPr>
          <w:b/>
          <w:spacing w:val="-2"/>
          <w:sz w:val="18"/>
          <w:lang w:val="de-DE"/>
        </w:rPr>
        <w:t>Staaten und zwischenstaatliche Organisationen, die das Verfahren für den Beitritt zum UPOV-Übereinkommen eingeleitet haben</w:t>
      </w:r>
    </w:p>
    <w:p w:rsidR="00C7561F" w:rsidRPr="00EC62E9" w:rsidRDefault="00C7561F" w:rsidP="00C7561F">
      <w:pPr>
        <w:tabs>
          <w:tab w:val="left" w:pos="284"/>
        </w:tabs>
        <w:ind w:left="284"/>
        <w:rPr>
          <w:rFonts w:cs="Arial"/>
          <w:sz w:val="18"/>
          <w:lang w:val="de-DE"/>
        </w:rPr>
      </w:pPr>
    </w:p>
    <w:p w:rsidR="00C7561F" w:rsidRPr="00EC62E9" w:rsidRDefault="00C7561F" w:rsidP="00C7561F">
      <w:pPr>
        <w:pStyle w:val="BodyText3"/>
        <w:tabs>
          <w:tab w:val="left" w:pos="284"/>
        </w:tabs>
        <w:spacing w:after="0"/>
        <w:jc w:val="both"/>
        <w:rPr>
          <w:rFonts w:ascii="Arial" w:hAnsi="Arial" w:cs="Arial"/>
          <w:sz w:val="18"/>
          <w:szCs w:val="20"/>
          <w:lang w:val="de-DE"/>
        </w:rPr>
      </w:pPr>
      <w:r w:rsidRPr="00EC62E9">
        <w:rPr>
          <w:rFonts w:ascii="Arial" w:hAnsi="Arial"/>
          <w:sz w:val="18"/>
          <w:lang w:val="de-DE"/>
        </w:rPr>
        <w:t>Ägypten, Armenien, Bosnien-Herzegowina, Ghana, Guatemala, Honduras, Indien, Kasachstan, Malaysia, Mauritius, Montenegro, Philippinen, Simbabwe, Tadschikistan, Venezuela (Bolivarische Republik) und Vereinigte Republik Tansa</w:t>
      </w:r>
      <w:r w:rsidR="00536E8D" w:rsidRPr="00EC62E9">
        <w:rPr>
          <w:rFonts w:ascii="Arial" w:hAnsi="Arial"/>
          <w:sz w:val="18"/>
          <w:lang w:val="de-DE"/>
        </w:rPr>
        <w:t>nia sowie auch die Afrikanische</w:t>
      </w:r>
      <w:r w:rsidRPr="00EC62E9">
        <w:rPr>
          <w:rFonts w:ascii="Arial" w:hAnsi="Arial"/>
          <w:sz w:val="18"/>
          <w:lang w:val="de-DE"/>
        </w:rPr>
        <w:t xml:space="preserve"> Organisation für geistiges Eigentum (OAPI). </w:t>
      </w:r>
    </w:p>
    <w:p w:rsidR="00C7561F" w:rsidRPr="00EC62E9" w:rsidRDefault="00C7561F" w:rsidP="00C7561F">
      <w:pPr>
        <w:pStyle w:val="BodyText3"/>
        <w:tabs>
          <w:tab w:val="left" w:pos="284"/>
        </w:tabs>
        <w:spacing w:after="0"/>
        <w:jc w:val="both"/>
        <w:rPr>
          <w:rFonts w:ascii="Arial" w:hAnsi="Arial" w:cs="Arial"/>
          <w:sz w:val="18"/>
          <w:szCs w:val="20"/>
          <w:lang w:val="de-DE"/>
        </w:rPr>
      </w:pPr>
    </w:p>
    <w:p w:rsidR="00C7561F" w:rsidRPr="00EC62E9" w:rsidRDefault="00C7561F" w:rsidP="00C7561F">
      <w:pPr>
        <w:pStyle w:val="BodyText3"/>
        <w:tabs>
          <w:tab w:val="left" w:pos="284"/>
        </w:tabs>
        <w:spacing w:after="0"/>
        <w:jc w:val="both"/>
        <w:rPr>
          <w:rFonts w:ascii="Arial" w:hAnsi="Arial" w:cs="Arial"/>
          <w:sz w:val="18"/>
          <w:szCs w:val="20"/>
          <w:lang w:val="de-DE"/>
        </w:rPr>
      </w:pPr>
    </w:p>
    <w:p w:rsidR="00C7561F" w:rsidRPr="00EC62E9" w:rsidRDefault="00C7561F" w:rsidP="00C7561F">
      <w:pPr>
        <w:jc w:val="center"/>
        <w:rPr>
          <w:rFonts w:cs="Arial"/>
          <w:b/>
          <w:sz w:val="18"/>
          <w:lang w:val="de-DE"/>
        </w:rPr>
      </w:pPr>
      <w:r w:rsidRPr="00EC62E9">
        <w:rPr>
          <w:b/>
          <w:sz w:val="18"/>
          <w:lang w:val="de-DE"/>
        </w:rPr>
        <w:t>Staaten und zwischenstaatliche Organisation, die im Hinblick auf Unterstützung bei der Ausarbeitung von Rechtsvorschriften aufgrund des UPOV-Übereinkommens mit dem Verbandsbüro in Verbindung standen</w:t>
      </w:r>
    </w:p>
    <w:p w:rsidR="00C7561F" w:rsidRPr="00EC62E9" w:rsidRDefault="00C7561F" w:rsidP="00C7561F">
      <w:pPr>
        <w:jc w:val="center"/>
        <w:rPr>
          <w:rFonts w:cs="Arial"/>
          <w:b/>
          <w:sz w:val="18"/>
          <w:lang w:val="de-DE"/>
        </w:rPr>
      </w:pPr>
    </w:p>
    <w:p w:rsidR="00C7561F" w:rsidRPr="00EC62E9" w:rsidRDefault="00C7561F" w:rsidP="00C7561F">
      <w:pPr>
        <w:rPr>
          <w:rFonts w:cs="Arial"/>
          <w:sz w:val="18"/>
          <w:lang w:val="de-DE"/>
        </w:rPr>
      </w:pPr>
      <w:r w:rsidRPr="00EC62E9">
        <w:rPr>
          <w:sz w:val="18"/>
          <w:lang w:val="de-DE"/>
        </w:rPr>
        <w:t xml:space="preserve">Algerien, Bahrain, Barbados, Brunei Darussalam, Demokratische Volksrepublik Laos, </w:t>
      </w:r>
      <w:proofErr w:type="spellStart"/>
      <w:r w:rsidRPr="00EC62E9">
        <w:rPr>
          <w:sz w:val="18"/>
          <w:lang w:val="de-DE"/>
        </w:rPr>
        <w:t>El</w:t>
      </w:r>
      <w:proofErr w:type="spellEnd"/>
      <w:r w:rsidRPr="00EC62E9">
        <w:rPr>
          <w:sz w:val="18"/>
          <w:lang w:val="de-DE"/>
        </w:rPr>
        <w:t xml:space="preserve"> Salvador, Indonesien, Irak, Iran (Islamische Republik), Kambodscha, Kuba, Libyen, Mosambik, Myanmar, Namibia, Pakistan, Saudi-Arabien, Sambia, Sudan, Thailand, Tonga, Turkmenistan, Vereinigte Arabische Emirate, Zypern sowie auch die Afrikanische Regionalorganisation zum Schutz Geistigen Eigentums (ARIPO) und die Entwicklungsgemeinschaft des südlichen Afrika (SADC). </w:t>
      </w:r>
    </w:p>
    <w:p w:rsidR="00C7561F" w:rsidRPr="00EC62E9" w:rsidRDefault="00C7561F" w:rsidP="00C7561F">
      <w:pPr>
        <w:rPr>
          <w:rFonts w:cs="Arial"/>
          <w:sz w:val="18"/>
          <w:lang w:val="de-DE"/>
        </w:rPr>
      </w:pPr>
    </w:p>
    <w:p w:rsidR="00C7561F" w:rsidRPr="00EC62E9" w:rsidRDefault="00C7561F" w:rsidP="00C7561F">
      <w:pPr>
        <w:pStyle w:val="Heading3"/>
        <w:ind w:left="0" w:firstLine="0"/>
        <w:rPr>
          <w:lang w:val="de-DE"/>
        </w:rPr>
      </w:pPr>
      <w:r w:rsidRPr="00EC62E9">
        <w:rPr>
          <w:lang w:val="de-DE"/>
        </w:rPr>
        <w:br w:type="page"/>
      </w:r>
      <w:bookmarkStart w:id="11" w:name="_Toc396137511"/>
      <w:bookmarkStart w:id="12" w:name="_Toc398736705"/>
      <w:r w:rsidRPr="00EC62E9">
        <w:rPr>
          <w:lang w:val="de-DE"/>
        </w:rPr>
        <w:t>2.</w:t>
      </w:r>
      <w:r w:rsidRPr="00EC62E9">
        <w:rPr>
          <w:lang w:val="de-DE"/>
        </w:rPr>
        <w:tab/>
        <w:t>DURCHFÜHRUNG DES PROGRAMMS</w:t>
      </w:r>
      <w:bookmarkEnd w:id="11"/>
      <w:bookmarkEnd w:id="12"/>
    </w:p>
    <w:p w:rsidR="00C7561F" w:rsidRPr="00EC62E9" w:rsidRDefault="00C7561F" w:rsidP="00C7561F">
      <w:pPr>
        <w:rPr>
          <w:lang w:val="de-DE"/>
        </w:rPr>
      </w:pPr>
    </w:p>
    <w:p w:rsidR="00C7561F" w:rsidRPr="00EC62E9" w:rsidRDefault="00C7561F" w:rsidP="001E671A">
      <w:pPr>
        <w:pStyle w:val="Heading4"/>
        <w:rPr>
          <w:lang w:val="de-DE"/>
        </w:rPr>
      </w:pPr>
      <w:bookmarkStart w:id="13" w:name="_Toc396137512"/>
      <w:bookmarkStart w:id="14" w:name="_Toc398736706"/>
      <w:r w:rsidRPr="00EC62E9">
        <w:rPr>
          <w:lang w:val="de-DE"/>
        </w:rPr>
        <w:t>2.1</w:t>
      </w:r>
      <w:r w:rsidRPr="00EC62E9">
        <w:rPr>
          <w:lang w:val="de-DE"/>
        </w:rPr>
        <w:tab/>
        <w:t>Unterprogramm UV.1:  Allgemeine Sortenschutzpolitik</w:t>
      </w:r>
      <w:bookmarkEnd w:id="13"/>
      <w:bookmarkEnd w:id="14"/>
    </w:p>
    <w:p w:rsidR="00C7561F" w:rsidRPr="00EC62E9" w:rsidRDefault="00C7561F" w:rsidP="00C7561F">
      <w:pPr>
        <w:rPr>
          <w:sz w:val="18"/>
          <w:szCs w:val="18"/>
          <w:lang w:val="de-DE"/>
        </w:rPr>
      </w:pPr>
    </w:p>
    <w:p w:rsidR="00C7561F" w:rsidRPr="00EC62E9" w:rsidRDefault="00C7561F" w:rsidP="00C7561F">
      <w:pPr>
        <w:rPr>
          <w:sz w:val="18"/>
          <w:szCs w:val="18"/>
          <w:lang w:val="de-DE"/>
        </w:rPr>
      </w:pPr>
      <w:r w:rsidRPr="00EC62E9">
        <w:rPr>
          <w:sz w:val="18"/>
          <w:lang w:val="de-DE"/>
        </w:rPr>
        <w:t xml:space="preserve">Die Tagungen des Rates und des Beratenden Ausschusses bildeten die Grundlage für </w:t>
      </w:r>
      <w:proofErr w:type="spellStart"/>
      <w:r w:rsidRPr="00EC62E9">
        <w:rPr>
          <w:sz w:val="18"/>
          <w:lang w:val="de-DE"/>
        </w:rPr>
        <w:t>Beschlußfassung</w:t>
      </w:r>
      <w:proofErr w:type="spellEnd"/>
      <w:r w:rsidRPr="00EC62E9">
        <w:rPr>
          <w:sz w:val="18"/>
          <w:lang w:val="de-DE"/>
        </w:rPr>
        <w:t>, Verwaltung und Koordinierung aller Tätigkeiten des Hauptprogramms der UPOV.</w:t>
      </w:r>
    </w:p>
    <w:p w:rsidR="00C7561F" w:rsidRDefault="00C7561F" w:rsidP="00C7561F">
      <w:pPr>
        <w:rPr>
          <w:sz w:val="18"/>
          <w:szCs w:val="18"/>
          <w:lang w:val="de-DE"/>
        </w:rPr>
      </w:pPr>
    </w:p>
    <w:p w:rsidR="00E739CC" w:rsidRPr="00EC62E9" w:rsidRDefault="00E739CC" w:rsidP="00C7561F">
      <w:pPr>
        <w:rPr>
          <w:sz w:val="18"/>
          <w:szCs w:val="18"/>
          <w:lang w:val="de-DE"/>
        </w:rPr>
      </w:pPr>
    </w:p>
    <w:tbl>
      <w:tblPr>
        <w:tblW w:w="9889" w:type="dxa"/>
        <w:tblLayout w:type="fixed"/>
        <w:tblLook w:val="0000" w:firstRow="0" w:lastRow="0" w:firstColumn="0" w:lastColumn="0" w:noHBand="0" w:noVBand="0"/>
      </w:tblPr>
      <w:tblGrid>
        <w:gridCol w:w="1951"/>
        <w:gridCol w:w="7938"/>
      </w:tblGrid>
      <w:tr w:rsidR="00C7561F" w:rsidRPr="00EC62E9" w:rsidTr="00237E7B">
        <w:tc>
          <w:tcPr>
            <w:tcW w:w="1951" w:type="dxa"/>
          </w:tcPr>
          <w:p w:rsidR="00C7561F" w:rsidRPr="00EC62E9" w:rsidRDefault="00C7561F" w:rsidP="00237E7B">
            <w:pPr>
              <w:pStyle w:val="Heading5"/>
              <w:rPr>
                <w:lang w:val="de-DE"/>
              </w:rPr>
            </w:pPr>
            <w:bookmarkStart w:id="15" w:name="_Toc396137513"/>
            <w:bookmarkStart w:id="16" w:name="_Toc398736707"/>
            <w:r w:rsidRPr="00EC62E9">
              <w:rPr>
                <w:lang w:val="de-DE"/>
              </w:rPr>
              <w:t>Ziele</w:t>
            </w:r>
            <w:bookmarkEnd w:id="15"/>
            <w:bookmarkEnd w:id="16"/>
          </w:p>
        </w:tc>
        <w:tc>
          <w:tcPr>
            <w:tcW w:w="7938" w:type="dxa"/>
            <w:vAlign w:val="center"/>
          </w:tcPr>
          <w:p w:rsidR="00C7561F" w:rsidRPr="00EC62E9" w:rsidRDefault="00C7561F" w:rsidP="00237E7B">
            <w:pPr>
              <w:keepNext/>
              <w:keepLines/>
              <w:widowControl w:val="0"/>
              <w:numPr>
                <w:ilvl w:val="0"/>
                <w:numId w:val="1"/>
              </w:numPr>
              <w:jc w:val="left"/>
              <w:rPr>
                <w:b/>
                <w:i/>
                <w:sz w:val="18"/>
                <w:szCs w:val="18"/>
                <w:lang w:val="de-DE"/>
              </w:rPr>
            </w:pPr>
            <w:r w:rsidRPr="00EC62E9">
              <w:rPr>
                <w:sz w:val="18"/>
                <w:lang w:val="de-DE"/>
              </w:rPr>
              <w:t>Politische Orientierung und Geschäftsführung.</w:t>
            </w:r>
          </w:p>
          <w:p w:rsidR="00C7561F" w:rsidRPr="00EC62E9" w:rsidRDefault="00C7561F" w:rsidP="00237E7B">
            <w:pPr>
              <w:keepNext/>
              <w:keepLines/>
              <w:widowControl w:val="0"/>
              <w:numPr>
                <w:ilvl w:val="0"/>
                <w:numId w:val="1"/>
              </w:numPr>
              <w:jc w:val="left"/>
              <w:rPr>
                <w:b/>
                <w:sz w:val="18"/>
                <w:szCs w:val="18"/>
                <w:lang w:val="de-DE"/>
              </w:rPr>
            </w:pPr>
            <w:r w:rsidRPr="00EC62E9">
              <w:rPr>
                <w:sz w:val="18"/>
                <w:lang w:val="de-DE"/>
              </w:rPr>
              <w:t>Planung, Umsetzung und Bewertung des Programms und des Haushaltsplans.</w:t>
            </w:r>
          </w:p>
        </w:tc>
      </w:tr>
    </w:tbl>
    <w:p w:rsidR="00C7561F" w:rsidRDefault="00C7561F" w:rsidP="00C7561F">
      <w:pPr>
        <w:rPr>
          <w:sz w:val="18"/>
          <w:szCs w:val="18"/>
          <w:lang w:val="de-DE"/>
        </w:rPr>
      </w:pPr>
    </w:p>
    <w:p w:rsidR="00E739CC" w:rsidRPr="00EC62E9" w:rsidRDefault="00E739CC" w:rsidP="00C7561F">
      <w:pPr>
        <w:rPr>
          <w:sz w:val="18"/>
          <w:szCs w:val="18"/>
          <w:lang w:val="de-DE"/>
        </w:rPr>
      </w:pPr>
    </w:p>
    <w:p w:rsidR="00C7561F" w:rsidRPr="00EC62E9" w:rsidRDefault="00C7561F" w:rsidP="00E34872">
      <w:pPr>
        <w:pStyle w:val="Heading5"/>
        <w:rPr>
          <w:lang w:val="de-DE"/>
        </w:rPr>
      </w:pPr>
      <w:bookmarkStart w:id="17" w:name="_Toc398736708"/>
      <w:r w:rsidRPr="00EC62E9">
        <w:rPr>
          <w:lang w:val="de-DE"/>
        </w:rPr>
        <w:t>Erzielte Ergebnisse:  Ausgewählte Planerfüllungsindikatoren</w:t>
      </w:r>
      <w:bookmarkEnd w:id="17"/>
    </w:p>
    <w:p w:rsidR="00C7561F" w:rsidRPr="00EC62E9" w:rsidRDefault="00C7561F" w:rsidP="00C7561F">
      <w:pPr>
        <w:rPr>
          <w:sz w:val="18"/>
          <w:szCs w:val="18"/>
          <w:lang w:val="de-DE"/>
        </w:rPr>
      </w:pPr>
    </w:p>
    <w:p w:rsidR="00C7561F" w:rsidRPr="00EC62E9" w:rsidRDefault="00C7561F" w:rsidP="00C7561F">
      <w:pPr>
        <w:pStyle w:val="Heading6"/>
        <w:rPr>
          <w:lang w:val="de-DE"/>
        </w:rPr>
      </w:pPr>
      <w:bookmarkStart w:id="18" w:name="_Toc396137514"/>
      <w:bookmarkStart w:id="19" w:name="_Toc398736709"/>
      <w:r w:rsidRPr="00EC62E9">
        <w:rPr>
          <w:lang w:val="de-DE"/>
        </w:rPr>
        <w:t>1.  ORGANISATION DER TAGUNGEN DES RATES UND DES BERATENDEN AUSSCHUSSES</w:t>
      </w:r>
      <w:bookmarkEnd w:id="18"/>
      <w:bookmarkEnd w:id="19"/>
    </w:p>
    <w:p w:rsidR="00C7561F" w:rsidRPr="00EC62E9" w:rsidRDefault="00C7561F" w:rsidP="00C7561F">
      <w:pPr>
        <w:rPr>
          <w:sz w:val="18"/>
          <w:szCs w:val="18"/>
          <w:lang w:val="de-DE"/>
        </w:rPr>
      </w:pPr>
    </w:p>
    <w:p w:rsidR="00C7561F" w:rsidRPr="00EC62E9" w:rsidRDefault="00C7561F" w:rsidP="00C7561F">
      <w:pPr>
        <w:pStyle w:val="Heading8"/>
        <w:rPr>
          <w:lang w:val="de-DE"/>
        </w:rPr>
      </w:pPr>
      <w:bookmarkStart w:id="20" w:name="_Toc396137515"/>
      <w:bookmarkStart w:id="21" w:name="_Toc398736710"/>
      <w:r w:rsidRPr="00EC62E9">
        <w:rPr>
          <w:lang w:val="de-DE"/>
        </w:rPr>
        <w:t>a)  Teilnahme an den Tagungen des Rates und des Beratenden Ausschusses</w:t>
      </w:r>
      <w:bookmarkEnd w:id="20"/>
      <w:bookmarkEnd w:id="21"/>
    </w:p>
    <w:p w:rsidR="00C7561F" w:rsidRPr="00EC62E9" w:rsidRDefault="00536E8D" w:rsidP="00C7561F">
      <w:pPr>
        <w:rPr>
          <w:sz w:val="18"/>
          <w:lang w:val="de-DE"/>
        </w:rPr>
      </w:pPr>
      <w:r w:rsidRPr="00EC62E9">
        <w:rPr>
          <w:sz w:val="18"/>
          <w:lang w:val="de-DE"/>
        </w:rPr>
        <w:t>(siehe</w:t>
      </w:r>
      <w:r w:rsidR="00C7561F" w:rsidRPr="00EC62E9">
        <w:rPr>
          <w:sz w:val="18"/>
          <w:lang w:val="de-DE"/>
        </w:rPr>
        <w:t xml:space="preserve"> Abbildungen 1 bis 3)</w:t>
      </w:r>
    </w:p>
    <w:p w:rsidR="00C7561F" w:rsidRPr="00EC62E9" w:rsidRDefault="00C7561F" w:rsidP="00C7561F">
      <w:pPr>
        <w:rPr>
          <w:lang w:val="de-DE"/>
        </w:rPr>
      </w:pPr>
    </w:p>
    <w:tbl>
      <w:tblPr>
        <w:tblW w:w="9889" w:type="dxa"/>
        <w:tblInd w:w="-38" w:type="dxa"/>
        <w:tblLayout w:type="fixed"/>
        <w:tblCellMar>
          <w:left w:w="70" w:type="dxa"/>
          <w:right w:w="70" w:type="dxa"/>
        </w:tblCellMar>
        <w:tblLook w:val="0000" w:firstRow="0" w:lastRow="0" w:firstColumn="0" w:lastColumn="0" w:noHBand="0" w:noVBand="0"/>
      </w:tblPr>
      <w:tblGrid>
        <w:gridCol w:w="4909"/>
        <w:gridCol w:w="4942"/>
        <w:gridCol w:w="38"/>
      </w:tblGrid>
      <w:tr w:rsidR="00C7561F" w:rsidRPr="00EC62E9" w:rsidTr="00066E70">
        <w:tc>
          <w:tcPr>
            <w:tcW w:w="4909" w:type="dxa"/>
          </w:tcPr>
          <w:p w:rsidR="00C7561F" w:rsidRPr="00EC62E9" w:rsidRDefault="00C7561F" w:rsidP="00237E7B">
            <w:pPr>
              <w:pStyle w:val="Heading9"/>
              <w:spacing w:after="120"/>
              <w:rPr>
                <w:lang w:val="de-DE"/>
              </w:rPr>
            </w:pPr>
            <w:bookmarkStart w:id="22" w:name="_Toc395864968"/>
            <w:bookmarkStart w:id="23" w:name="_Toc396137516"/>
            <w:bookmarkStart w:id="24" w:name="_Toc398736711"/>
            <w:r w:rsidRPr="00EC62E9">
              <w:rPr>
                <w:lang w:val="de-DE"/>
              </w:rPr>
              <w:t>Abb. 1.  Teilnahme</w:t>
            </w:r>
            <w:r w:rsidRPr="00EC62E9">
              <w:rPr>
                <w:rStyle w:val="FootnoteReference"/>
                <w:lang w:val="de-DE"/>
              </w:rPr>
              <w:footnoteReference w:customMarkFollows="1" w:id="2"/>
              <w:t>*</w:t>
            </w:r>
            <w:r w:rsidRPr="00EC62E9">
              <w:rPr>
                <w:lang w:val="de-DE"/>
              </w:rPr>
              <w:t xml:space="preserve"> an den ordentlichen Tagungen des Rates (Tagungen im Oktober)</w:t>
            </w:r>
            <w:bookmarkEnd w:id="22"/>
            <w:bookmarkEnd w:id="23"/>
            <w:bookmarkEnd w:id="24"/>
          </w:p>
          <w:p w:rsidR="00C7561F" w:rsidRPr="00EC62E9" w:rsidRDefault="0096765D" w:rsidP="00237E7B">
            <w:pPr>
              <w:keepNext/>
              <w:keepLines/>
              <w:widowControl w:val="0"/>
              <w:jc w:val="left"/>
              <w:rPr>
                <w:sz w:val="18"/>
                <w:szCs w:val="18"/>
                <w:lang w:val="de-DE"/>
              </w:rPr>
            </w:pPr>
            <w:r w:rsidRPr="00EC62E9">
              <w:rPr>
                <w:noProof/>
              </w:rPr>
              <w:drawing>
                <wp:inline distT="0" distB="0" distL="0" distR="0" wp14:anchorId="70CF0F97" wp14:editId="5295FC14">
                  <wp:extent cx="2988000" cy="2268000"/>
                  <wp:effectExtent l="0" t="0" r="3175" b="0"/>
                  <wp:docPr id="293" name="Diagramm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561F" w:rsidRPr="00EC62E9" w:rsidRDefault="00C7561F" w:rsidP="00237E7B">
            <w:pPr>
              <w:keepNext/>
              <w:keepLines/>
              <w:widowControl w:val="0"/>
              <w:jc w:val="left"/>
              <w:rPr>
                <w:sz w:val="18"/>
                <w:szCs w:val="18"/>
                <w:lang w:val="de-DE"/>
              </w:rPr>
            </w:pPr>
          </w:p>
        </w:tc>
        <w:tc>
          <w:tcPr>
            <w:tcW w:w="4980" w:type="dxa"/>
            <w:gridSpan w:val="2"/>
          </w:tcPr>
          <w:p w:rsidR="00C7561F" w:rsidRPr="00EC62E9" w:rsidRDefault="00C7561F" w:rsidP="00237E7B">
            <w:pPr>
              <w:pStyle w:val="Heading9"/>
              <w:spacing w:after="120"/>
              <w:rPr>
                <w:szCs w:val="18"/>
                <w:lang w:val="de-DE"/>
              </w:rPr>
            </w:pPr>
            <w:bookmarkStart w:id="25" w:name="_Toc395864969"/>
            <w:bookmarkStart w:id="26" w:name="_Toc396137517"/>
            <w:bookmarkStart w:id="27" w:name="_Toc398736712"/>
            <w:r w:rsidRPr="00EC62E9">
              <w:rPr>
                <w:lang w:val="de-DE"/>
              </w:rPr>
              <w:t>Abb. 2.  Teilnahme</w:t>
            </w:r>
            <w:r w:rsidRPr="00EC62E9">
              <w:rPr>
                <w:noProof/>
                <w:vertAlign w:val="superscript"/>
                <w:lang w:val="de-DE"/>
              </w:rPr>
              <w:t>*</w:t>
            </w:r>
            <w:r w:rsidRPr="00EC62E9">
              <w:rPr>
                <w:lang w:val="de-DE"/>
              </w:rPr>
              <w:t xml:space="preserve"> an den außerordentlichen Tagungen des Rates (Tagungen im April)</w:t>
            </w:r>
            <w:bookmarkEnd w:id="25"/>
            <w:bookmarkEnd w:id="26"/>
            <w:bookmarkEnd w:id="27"/>
          </w:p>
          <w:p w:rsidR="00C7561F" w:rsidRPr="00EC62E9" w:rsidRDefault="00066E70" w:rsidP="00237E7B">
            <w:pPr>
              <w:keepNext/>
              <w:keepLines/>
              <w:widowControl w:val="0"/>
              <w:jc w:val="left"/>
              <w:rPr>
                <w:sz w:val="18"/>
                <w:szCs w:val="18"/>
                <w:lang w:val="de-DE"/>
              </w:rPr>
            </w:pPr>
            <w:r w:rsidRPr="00EC62E9">
              <w:rPr>
                <w:noProof/>
              </w:rPr>
              <w:drawing>
                <wp:inline distT="0" distB="0" distL="0" distR="0" wp14:anchorId="5EF47E94" wp14:editId="64A8E282">
                  <wp:extent cx="3168000" cy="2268000"/>
                  <wp:effectExtent l="0" t="0" r="0" b="0"/>
                  <wp:docPr id="294" name="Diagramm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7561F" w:rsidRPr="00EC62E9" w:rsidTr="0096765D">
        <w:tblPrEx>
          <w:tblCellMar>
            <w:left w:w="108" w:type="dxa"/>
            <w:right w:w="108" w:type="dxa"/>
          </w:tblCellMar>
        </w:tblPrEx>
        <w:trPr>
          <w:gridAfter w:val="1"/>
          <w:wAfter w:w="38" w:type="dxa"/>
        </w:trPr>
        <w:tc>
          <w:tcPr>
            <w:tcW w:w="9851" w:type="dxa"/>
            <w:gridSpan w:val="2"/>
          </w:tcPr>
          <w:tbl>
            <w:tblPr>
              <w:tblW w:w="6105" w:type="dxa"/>
              <w:jc w:val="center"/>
              <w:tblLayout w:type="fixed"/>
              <w:tblLook w:val="0000" w:firstRow="0" w:lastRow="0" w:firstColumn="0" w:lastColumn="0" w:noHBand="0" w:noVBand="0"/>
            </w:tblPr>
            <w:tblGrid>
              <w:gridCol w:w="6105"/>
            </w:tblGrid>
            <w:tr w:rsidR="00C7561F" w:rsidRPr="00EC62E9" w:rsidTr="00E739CC">
              <w:trPr>
                <w:cantSplit/>
                <w:jc w:val="center"/>
              </w:trPr>
              <w:tc>
                <w:tcPr>
                  <w:tcW w:w="6105" w:type="dxa"/>
                  <w:tcMar>
                    <w:top w:w="57" w:type="dxa"/>
                    <w:left w:w="57" w:type="dxa"/>
                    <w:bottom w:w="57" w:type="dxa"/>
                    <w:right w:w="57" w:type="dxa"/>
                  </w:tcMar>
                </w:tcPr>
                <w:p w:rsidR="00C7561F" w:rsidRPr="00EC62E9" w:rsidRDefault="00C7561F" w:rsidP="00237E7B">
                  <w:pPr>
                    <w:pStyle w:val="Heading9"/>
                    <w:spacing w:after="0"/>
                    <w:rPr>
                      <w:noProof/>
                      <w:lang w:val="de-DE"/>
                    </w:rPr>
                  </w:pPr>
                  <w:bookmarkStart w:id="28" w:name="_Toc395864970"/>
                  <w:bookmarkStart w:id="29" w:name="_Toc396137518"/>
                  <w:bookmarkStart w:id="30" w:name="_Toc398736713"/>
                  <w:r w:rsidRPr="00EC62E9">
                    <w:rPr>
                      <w:lang w:val="de-DE"/>
                    </w:rPr>
                    <w:t>Abb. 3.  Teilnahme</w:t>
                  </w:r>
                  <w:r w:rsidRPr="00EC62E9">
                    <w:rPr>
                      <w:noProof/>
                      <w:vertAlign w:val="superscript"/>
                      <w:lang w:val="de-DE"/>
                    </w:rPr>
                    <w:t>*</w:t>
                  </w:r>
                  <w:r w:rsidRPr="00EC62E9">
                    <w:rPr>
                      <w:lang w:val="de-DE"/>
                    </w:rPr>
                    <w:t xml:space="preserve"> an den Tagungen des Beratenden Ausschusses</w:t>
                  </w:r>
                  <w:bookmarkEnd w:id="28"/>
                  <w:bookmarkEnd w:id="29"/>
                  <w:bookmarkEnd w:id="30"/>
                </w:p>
              </w:tc>
            </w:tr>
            <w:tr w:rsidR="00C7561F" w:rsidRPr="00EC62E9" w:rsidTr="00E739CC">
              <w:tblPrEx>
                <w:tblCellMar>
                  <w:left w:w="70" w:type="dxa"/>
                  <w:right w:w="70" w:type="dxa"/>
                </w:tblCellMar>
              </w:tblPrEx>
              <w:trPr>
                <w:cantSplit/>
                <w:jc w:val="center"/>
              </w:trPr>
              <w:tc>
                <w:tcPr>
                  <w:tcW w:w="6105" w:type="dxa"/>
                </w:tcPr>
                <w:p w:rsidR="00C7561F" w:rsidRPr="00EC62E9" w:rsidRDefault="006A1093" w:rsidP="00237E7B">
                  <w:pPr>
                    <w:jc w:val="center"/>
                    <w:rPr>
                      <w:noProof/>
                      <w:lang w:val="de-DE"/>
                    </w:rPr>
                  </w:pPr>
                  <w:r w:rsidRPr="00EC62E9">
                    <w:rPr>
                      <w:noProof/>
                    </w:rPr>
                    <w:drawing>
                      <wp:inline distT="0" distB="0" distL="0" distR="0" wp14:anchorId="3E0680E6" wp14:editId="1A8BD212">
                        <wp:extent cx="3381555" cy="2518913"/>
                        <wp:effectExtent l="0" t="0" r="0" b="0"/>
                        <wp:docPr id="296" name="Diagramm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7561F" w:rsidRPr="00EC62E9" w:rsidRDefault="00C7561F" w:rsidP="00237E7B">
            <w:pPr>
              <w:rPr>
                <w:lang w:val="de-DE"/>
              </w:rPr>
            </w:pPr>
          </w:p>
        </w:tc>
      </w:tr>
    </w:tbl>
    <w:p w:rsidR="00C7561F" w:rsidRPr="00EC62E9" w:rsidRDefault="00C7561F" w:rsidP="00C7561F">
      <w:pPr>
        <w:rPr>
          <w:sz w:val="18"/>
          <w:szCs w:val="18"/>
          <w:lang w:val="de-DE"/>
        </w:rPr>
      </w:pPr>
    </w:p>
    <w:p w:rsidR="00E34872" w:rsidRPr="00EC62E9" w:rsidRDefault="00E34872">
      <w:pPr>
        <w:jc w:val="left"/>
        <w:rPr>
          <w:bCs/>
          <w:caps/>
          <w:sz w:val="18"/>
          <w:szCs w:val="22"/>
          <w:lang w:val="de-DE"/>
        </w:rPr>
      </w:pPr>
      <w:bookmarkStart w:id="31" w:name="_Toc396137519"/>
      <w:r w:rsidRPr="00EC62E9">
        <w:rPr>
          <w:lang w:val="de-DE"/>
        </w:rPr>
        <w:br w:type="page"/>
      </w:r>
    </w:p>
    <w:p w:rsidR="00C7561F" w:rsidRPr="00EC62E9" w:rsidRDefault="00C7561F" w:rsidP="00C7561F">
      <w:pPr>
        <w:pStyle w:val="Heading6"/>
        <w:rPr>
          <w:lang w:val="de-DE"/>
        </w:rPr>
      </w:pPr>
      <w:bookmarkStart w:id="32" w:name="_Toc398736714"/>
      <w:r w:rsidRPr="00EC62E9">
        <w:rPr>
          <w:lang w:val="de-DE"/>
        </w:rPr>
        <w:t>2.  Koordinierung, Überwachung und Ergebnisbewertung des Programms und Haushaltsplans für die Rechnungsperiode 2012-2013</w:t>
      </w:r>
      <w:bookmarkEnd w:id="31"/>
      <w:bookmarkEnd w:id="32"/>
    </w:p>
    <w:p w:rsidR="00C7561F" w:rsidRPr="00EC62E9" w:rsidRDefault="00C7561F" w:rsidP="00C7561F">
      <w:pPr>
        <w:rPr>
          <w:sz w:val="18"/>
          <w:szCs w:val="18"/>
          <w:lang w:val="de-DE"/>
        </w:rPr>
      </w:pPr>
    </w:p>
    <w:p w:rsidR="00C7561F" w:rsidRPr="00EC62E9" w:rsidRDefault="0084619A" w:rsidP="00C7561F">
      <w:pPr>
        <w:pStyle w:val="Heading8"/>
        <w:rPr>
          <w:lang w:val="de-DE"/>
        </w:rPr>
      </w:pPr>
      <w:bookmarkStart w:id="33" w:name="_Toc395864972"/>
      <w:bookmarkStart w:id="34" w:name="_Toc396137520"/>
      <w:bookmarkStart w:id="35" w:name="_Toc398736715"/>
      <w:r w:rsidRPr="00EC62E9">
        <w:rPr>
          <w:lang w:val="de-DE"/>
        </w:rPr>
        <w:t xml:space="preserve">a) </w:t>
      </w:r>
      <w:r w:rsidR="00E25A9D">
        <w:rPr>
          <w:lang w:val="de-DE"/>
        </w:rPr>
        <w:t xml:space="preserve"> </w:t>
      </w:r>
      <w:proofErr w:type="spellStart"/>
      <w:r w:rsidRPr="00EC62E9">
        <w:rPr>
          <w:lang w:val="de-DE"/>
        </w:rPr>
        <w:t>Abschluß</w:t>
      </w:r>
      <w:proofErr w:type="spellEnd"/>
      <w:r w:rsidR="00C7561F" w:rsidRPr="00EC62E9">
        <w:rPr>
          <w:lang w:val="de-DE"/>
        </w:rPr>
        <w:t xml:space="preserve"> des Programms im Rahmen des Haushaltsplans für die Rechnungsperiode 2012-2013</w:t>
      </w:r>
      <w:bookmarkEnd w:id="33"/>
      <w:bookmarkEnd w:id="34"/>
      <w:bookmarkEnd w:id="35"/>
    </w:p>
    <w:p w:rsidR="00C7561F" w:rsidRPr="00EC62E9" w:rsidRDefault="00C7561F" w:rsidP="00C7561F">
      <w:pPr>
        <w:widowControl w:val="0"/>
        <w:rPr>
          <w:sz w:val="18"/>
          <w:szCs w:val="18"/>
          <w:lang w:val="de-DE"/>
        </w:rPr>
      </w:pPr>
      <w:r w:rsidRPr="00EC62E9">
        <w:rPr>
          <w:sz w:val="18"/>
          <w:lang w:val="de-DE"/>
        </w:rPr>
        <w:t>Siehe Abschnitt 3 „Betriebsergebnis“</w:t>
      </w:r>
    </w:p>
    <w:p w:rsidR="00C7561F" w:rsidRPr="00EC62E9" w:rsidRDefault="00C7561F" w:rsidP="00C7561F">
      <w:pPr>
        <w:rPr>
          <w:sz w:val="18"/>
          <w:szCs w:val="18"/>
          <w:lang w:val="de-DE"/>
        </w:rPr>
      </w:pPr>
    </w:p>
    <w:p w:rsidR="00C7561F" w:rsidRPr="00EC62E9" w:rsidRDefault="00C7561F" w:rsidP="00C7561F">
      <w:pPr>
        <w:rPr>
          <w:sz w:val="18"/>
          <w:szCs w:val="18"/>
          <w:lang w:val="de-DE"/>
        </w:rPr>
      </w:pPr>
    </w:p>
    <w:p w:rsidR="00C7561F" w:rsidRPr="00EC62E9" w:rsidRDefault="00C7561F" w:rsidP="00C7561F">
      <w:pPr>
        <w:pStyle w:val="Heading6"/>
        <w:rPr>
          <w:lang w:val="de-DE"/>
        </w:rPr>
      </w:pPr>
      <w:bookmarkStart w:id="36" w:name="_Toc395864973"/>
      <w:bookmarkStart w:id="37" w:name="_Toc396137521"/>
      <w:bookmarkStart w:id="38" w:name="_Toc398736716"/>
      <w:r w:rsidRPr="00EC62E9">
        <w:rPr>
          <w:lang w:val="de-DE"/>
        </w:rPr>
        <w:t>3.  Aufstellung und Annahme des Programms und Haushaltsplans für die Rechnungsperiode 2014</w:t>
      </w:r>
      <w:r w:rsidRPr="00EC62E9">
        <w:rPr>
          <w:lang w:val="de-DE"/>
        </w:rPr>
        <w:noBreakHyphen/>
        <w:t>2015</w:t>
      </w:r>
      <w:bookmarkEnd w:id="36"/>
      <w:bookmarkEnd w:id="37"/>
      <w:bookmarkEnd w:id="38"/>
    </w:p>
    <w:p w:rsidR="00C7561F" w:rsidRPr="00EC62E9" w:rsidRDefault="00C7561F" w:rsidP="00C7561F">
      <w:pPr>
        <w:rPr>
          <w:sz w:val="18"/>
          <w:szCs w:val="18"/>
          <w:lang w:val="de-DE"/>
        </w:rPr>
      </w:pPr>
    </w:p>
    <w:p w:rsidR="00C7561F" w:rsidRPr="00EC62E9" w:rsidRDefault="00C7561F" w:rsidP="00C7561F">
      <w:pPr>
        <w:pStyle w:val="Heading8"/>
        <w:rPr>
          <w:lang w:val="de-DE"/>
        </w:rPr>
      </w:pPr>
      <w:bookmarkStart w:id="39" w:name="_Toc395864974"/>
      <w:bookmarkStart w:id="40" w:name="_Toc396137522"/>
      <w:bookmarkStart w:id="41" w:name="_Toc398736717"/>
      <w:r w:rsidRPr="00EC62E9">
        <w:rPr>
          <w:lang w:val="de-DE"/>
        </w:rPr>
        <w:t>a)  Aufstellung und Annahme des Programms und Haushaltsplans für die Rechnungsperiode 2014-2015 gemäß der „Finanzordnung und ihre Durchführungsbestimmungen der UPOV”</w:t>
      </w:r>
      <w:bookmarkEnd w:id="39"/>
      <w:bookmarkEnd w:id="40"/>
      <w:bookmarkEnd w:id="41"/>
    </w:p>
    <w:p w:rsidR="00C7561F" w:rsidRPr="00EC62E9" w:rsidRDefault="00C7561F" w:rsidP="00C7561F">
      <w:pPr>
        <w:widowControl w:val="0"/>
        <w:rPr>
          <w:sz w:val="18"/>
          <w:szCs w:val="18"/>
          <w:lang w:val="de-DE"/>
        </w:rPr>
      </w:pPr>
      <w:r w:rsidRPr="00EC62E9">
        <w:rPr>
          <w:sz w:val="18"/>
          <w:szCs w:val="18"/>
          <w:lang w:val="de-DE"/>
        </w:rPr>
        <w:t xml:space="preserve">Das Programm und der Haushaltsplan für die Rechnungsperiode 2014-2015 wurde vom Rat auf seiner siebenundvierzigsten ordentlichen Tagung am 24. Oktober 2013 angenommen (vergleiche Dokument C/47/4 </w:t>
      </w:r>
      <w:proofErr w:type="spellStart"/>
      <w:r w:rsidRPr="00EC62E9">
        <w:rPr>
          <w:sz w:val="18"/>
          <w:szCs w:val="18"/>
          <w:lang w:val="de-DE"/>
        </w:rPr>
        <w:t>Rev</w:t>
      </w:r>
      <w:proofErr w:type="spellEnd"/>
      <w:r w:rsidRPr="00EC62E9">
        <w:rPr>
          <w:sz w:val="18"/>
          <w:szCs w:val="18"/>
          <w:lang w:val="de-DE"/>
        </w:rPr>
        <w:t>.)</w:t>
      </w:r>
    </w:p>
    <w:p w:rsidR="00C7561F" w:rsidRDefault="00C7561F" w:rsidP="00C7561F">
      <w:pPr>
        <w:rPr>
          <w:sz w:val="18"/>
          <w:szCs w:val="18"/>
          <w:lang w:val="de-DE"/>
        </w:rPr>
      </w:pPr>
    </w:p>
    <w:p w:rsidR="00E739CC" w:rsidRPr="00EC62E9" w:rsidRDefault="00E739CC" w:rsidP="00C7561F">
      <w:pPr>
        <w:rPr>
          <w:sz w:val="18"/>
          <w:szCs w:val="18"/>
          <w:lang w:val="de-DE"/>
        </w:rPr>
      </w:pPr>
    </w:p>
    <w:p w:rsidR="00C7561F" w:rsidRPr="00EC62E9" w:rsidRDefault="00C7561F" w:rsidP="00C7561F">
      <w:pPr>
        <w:pStyle w:val="Heading6"/>
        <w:rPr>
          <w:lang w:val="de-DE"/>
        </w:rPr>
      </w:pPr>
      <w:bookmarkStart w:id="42" w:name="_Toc395864975"/>
      <w:bookmarkStart w:id="43" w:name="_Toc396137523"/>
      <w:bookmarkStart w:id="44" w:name="_Toc398736718"/>
      <w:r w:rsidRPr="00EC62E9">
        <w:rPr>
          <w:lang w:val="de-DE"/>
        </w:rPr>
        <w:t>4.  Grundsätze des Rates</w:t>
      </w:r>
      <w:bookmarkEnd w:id="42"/>
      <w:bookmarkEnd w:id="43"/>
      <w:bookmarkEnd w:id="44"/>
    </w:p>
    <w:p w:rsidR="00C7561F" w:rsidRPr="00EC62E9" w:rsidRDefault="00C7561F" w:rsidP="00C7561F">
      <w:pPr>
        <w:rPr>
          <w:sz w:val="18"/>
          <w:szCs w:val="18"/>
          <w:lang w:val="de-DE"/>
        </w:rPr>
      </w:pPr>
    </w:p>
    <w:p w:rsidR="00C7561F" w:rsidRPr="00EC62E9" w:rsidRDefault="00C7561F" w:rsidP="00C7561F">
      <w:pPr>
        <w:pStyle w:val="Heading8"/>
        <w:rPr>
          <w:lang w:val="de-DE"/>
        </w:rPr>
      </w:pPr>
      <w:bookmarkStart w:id="45" w:name="_Toc395864976"/>
      <w:bookmarkStart w:id="46" w:name="_Toc396137524"/>
      <w:bookmarkStart w:id="47" w:name="_Toc398736719"/>
      <w:r w:rsidRPr="00EC62E9">
        <w:rPr>
          <w:lang w:val="de-DE"/>
        </w:rPr>
        <w:t xml:space="preserve">a)  Empfehlungen durch den Beratenden </w:t>
      </w:r>
      <w:proofErr w:type="spellStart"/>
      <w:r w:rsidRPr="00EC62E9">
        <w:rPr>
          <w:lang w:val="de-DE"/>
        </w:rPr>
        <w:t>Ausschuß</w:t>
      </w:r>
      <w:proofErr w:type="spellEnd"/>
      <w:r w:rsidRPr="00EC62E9">
        <w:rPr>
          <w:lang w:val="de-DE"/>
        </w:rPr>
        <w:t xml:space="preserve"> und Entscheidungen durch den Rat</w:t>
      </w:r>
      <w:bookmarkEnd w:id="45"/>
      <w:bookmarkEnd w:id="46"/>
      <w:bookmarkEnd w:id="47"/>
    </w:p>
    <w:p w:rsidR="00C7561F" w:rsidRPr="00EC62E9" w:rsidRDefault="00C7561F" w:rsidP="00C7561F">
      <w:pPr>
        <w:spacing w:after="120"/>
        <w:rPr>
          <w:rFonts w:cs="Arial"/>
          <w:sz w:val="18"/>
          <w:szCs w:val="18"/>
          <w:lang w:val="de-DE"/>
        </w:rPr>
      </w:pPr>
      <w:r w:rsidRPr="00EC62E9">
        <w:rPr>
          <w:sz w:val="18"/>
          <w:lang w:val="de-DE"/>
        </w:rPr>
        <w:t xml:space="preserve">Der Rat traf aufgrund von Empfehlungen durch den Beratenden </w:t>
      </w:r>
      <w:proofErr w:type="spellStart"/>
      <w:r w:rsidRPr="00EC62E9">
        <w:rPr>
          <w:sz w:val="18"/>
          <w:lang w:val="de-DE"/>
        </w:rPr>
        <w:t>Ausschuß</w:t>
      </w:r>
      <w:proofErr w:type="spellEnd"/>
      <w:r w:rsidRPr="00EC62E9">
        <w:rPr>
          <w:sz w:val="18"/>
          <w:lang w:val="de-DE"/>
        </w:rPr>
        <w:t xml:space="preserve"> Entscheidungen betreffend folgende Punkte:</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Prüfung der Vereinbarkeit von zwei Gesetzentwürfen und einem Gesetz mit den Bestimmungen der Akte von 1991 des Internationalen Übereinkommens zum Schutz von Pflanzenzüchtungen; </w:t>
      </w:r>
    </w:p>
    <w:p w:rsidR="00C7561F" w:rsidRPr="00EC62E9" w:rsidRDefault="00C7561F" w:rsidP="00C7561F">
      <w:pPr>
        <w:numPr>
          <w:ilvl w:val="0"/>
          <w:numId w:val="5"/>
        </w:numPr>
        <w:spacing w:after="60"/>
        <w:rPr>
          <w:rFonts w:cs="Arial"/>
          <w:sz w:val="18"/>
          <w:szCs w:val="18"/>
          <w:lang w:val="de-DE"/>
        </w:rPr>
      </w:pPr>
      <w:r w:rsidRPr="00EC62E9">
        <w:rPr>
          <w:sz w:val="18"/>
          <w:lang w:val="de-DE"/>
        </w:rPr>
        <w:t>Annahme von Informationsmaterialien (über die Annahme von Informationsmaterialien durch den Rat wird in Unterprogramm UV.2 berichtet);</w:t>
      </w:r>
    </w:p>
    <w:p w:rsidR="00C7561F" w:rsidRPr="00EC62E9" w:rsidRDefault="00C7561F" w:rsidP="00C7561F">
      <w:pPr>
        <w:numPr>
          <w:ilvl w:val="0"/>
          <w:numId w:val="5"/>
        </w:numPr>
        <w:spacing w:after="60"/>
        <w:rPr>
          <w:rFonts w:cs="Arial"/>
          <w:sz w:val="18"/>
          <w:szCs w:val="18"/>
          <w:lang w:val="de-DE"/>
        </w:rPr>
      </w:pPr>
      <w:r w:rsidRPr="00EC62E9">
        <w:rPr>
          <w:sz w:val="18"/>
          <w:lang w:val="de-DE"/>
        </w:rPr>
        <w:t>Tagungskalender;</w:t>
      </w:r>
    </w:p>
    <w:p w:rsidR="00C7561F" w:rsidRPr="00EC62E9" w:rsidRDefault="00C7561F" w:rsidP="00C7561F">
      <w:pPr>
        <w:numPr>
          <w:ilvl w:val="0"/>
          <w:numId w:val="5"/>
        </w:numPr>
        <w:spacing w:after="60"/>
        <w:rPr>
          <w:rFonts w:cs="Arial"/>
          <w:sz w:val="18"/>
          <w:szCs w:val="18"/>
          <w:lang w:val="de-DE"/>
        </w:rPr>
      </w:pPr>
      <w:r w:rsidRPr="00EC62E9">
        <w:rPr>
          <w:sz w:val="18"/>
          <w:lang w:val="de-DE"/>
        </w:rPr>
        <w:t>Pressemitteilungen;</w:t>
      </w:r>
    </w:p>
    <w:p w:rsidR="00C7561F" w:rsidRPr="00EC62E9" w:rsidRDefault="00C7561F" w:rsidP="00C7561F">
      <w:pPr>
        <w:numPr>
          <w:ilvl w:val="0"/>
          <w:numId w:val="5"/>
        </w:numPr>
        <w:spacing w:after="60"/>
        <w:rPr>
          <w:rFonts w:cs="Arial"/>
          <w:sz w:val="18"/>
          <w:szCs w:val="18"/>
          <w:lang w:val="de-DE"/>
        </w:rPr>
      </w:pPr>
      <w:r w:rsidRPr="00EC62E9">
        <w:rPr>
          <w:sz w:val="18"/>
          <w:lang w:val="de-DE"/>
        </w:rPr>
        <w:t>Verlängerung der Amtszeit des Stellvertretenden Generalsekretärs;</w:t>
      </w:r>
    </w:p>
    <w:p w:rsidR="00C7561F" w:rsidRPr="00EC62E9" w:rsidRDefault="00C7561F" w:rsidP="00C7561F">
      <w:pPr>
        <w:numPr>
          <w:ilvl w:val="0"/>
          <w:numId w:val="5"/>
        </w:numPr>
        <w:spacing w:after="60"/>
        <w:rPr>
          <w:rFonts w:cs="Arial"/>
          <w:sz w:val="18"/>
          <w:szCs w:val="18"/>
          <w:lang w:val="de-DE"/>
        </w:rPr>
      </w:pPr>
      <w:r w:rsidRPr="00EC62E9">
        <w:rPr>
          <w:sz w:val="18"/>
          <w:lang w:val="de-DE"/>
        </w:rPr>
        <w:t>Überarbeitung der Regeln für die Erteilung des Beobachterstatus an Staaten, zwischenstaatliche Organisationen und internationale Nichtregierungsorganisationen bei UPOV-Organen;</w:t>
      </w:r>
    </w:p>
    <w:p w:rsidR="00C7561F" w:rsidRPr="00EC62E9" w:rsidRDefault="00C7561F" w:rsidP="00C7561F">
      <w:pPr>
        <w:numPr>
          <w:ilvl w:val="0"/>
          <w:numId w:val="5"/>
        </w:numPr>
        <w:spacing w:after="60"/>
        <w:rPr>
          <w:rFonts w:cs="Arial"/>
          <w:sz w:val="18"/>
          <w:szCs w:val="18"/>
          <w:lang w:val="de-DE"/>
        </w:rPr>
      </w:pPr>
      <w:r w:rsidRPr="00EC62E9">
        <w:rPr>
          <w:sz w:val="18"/>
          <w:lang w:val="de-DE"/>
        </w:rPr>
        <w:t>Überarbeitung der Regeln für den Zugang zu UPOV-Dokumenten;</w:t>
      </w:r>
    </w:p>
    <w:p w:rsidR="00C7561F" w:rsidRPr="00EC62E9" w:rsidRDefault="00C7561F" w:rsidP="00C7561F">
      <w:pPr>
        <w:numPr>
          <w:ilvl w:val="0"/>
          <w:numId w:val="5"/>
        </w:numPr>
        <w:spacing w:after="60"/>
        <w:rPr>
          <w:rFonts w:cs="Arial"/>
          <w:sz w:val="18"/>
          <w:szCs w:val="18"/>
          <w:lang w:val="de-DE"/>
        </w:rPr>
      </w:pPr>
      <w:r w:rsidRPr="00EC62E9">
        <w:rPr>
          <w:sz w:val="18"/>
          <w:lang w:val="de-DE"/>
        </w:rPr>
        <w:t>Finanzlage des Internationalen Verbandes zum Schutz von Pflanzenzüchtungen zum 31. Dezember 2011;</w:t>
      </w:r>
    </w:p>
    <w:p w:rsidR="00C7561F" w:rsidRPr="00EC62E9" w:rsidRDefault="00C7561F" w:rsidP="00C7561F">
      <w:pPr>
        <w:numPr>
          <w:ilvl w:val="0"/>
          <w:numId w:val="5"/>
        </w:numPr>
        <w:spacing w:after="60"/>
        <w:rPr>
          <w:rFonts w:cs="Arial"/>
          <w:sz w:val="18"/>
          <w:szCs w:val="18"/>
          <w:lang w:val="de-DE"/>
        </w:rPr>
      </w:pPr>
      <w:r w:rsidRPr="00EC62E9">
        <w:rPr>
          <w:sz w:val="18"/>
          <w:lang w:val="de-DE"/>
        </w:rPr>
        <w:t>Rückständige Beitragszahlungen zum 30. September 2012;</w:t>
      </w:r>
    </w:p>
    <w:p w:rsidR="00C7561F" w:rsidRPr="00EC62E9" w:rsidRDefault="00C7561F" w:rsidP="00C7561F">
      <w:pPr>
        <w:numPr>
          <w:ilvl w:val="0"/>
          <w:numId w:val="5"/>
        </w:numPr>
        <w:spacing w:after="60"/>
        <w:rPr>
          <w:rFonts w:cs="Arial"/>
          <w:sz w:val="18"/>
          <w:szCs w:val="18"/>
          <w:lang w:val="de-DE"/>
        </w:rPr>
      </w:pPr>
      <w:proofErr w:type="spellStart"/>
      <w:r w:rsidRPr="00EC62E9">
        <w:rPr>
          <w:sz w:val="18"/>
          <w:lang w:val="de-DE"/>
        </w:rPr>
        <w:t>Jahresabschluß</w:t>
      </w:r>
      <w:proofErr w:type="spellEnd"/>
      <w:r w:rsidRPr="00EC62E9">
        <w:rPr>
          <w:sz w:val="18"/>
          <w:lang w:val="de-DE"/>
        </w:rPr>
        <w:t xml:space="preserve"> für die Rechnungsperiode 2010-2011; </w:t>
      </w:r>
    </w:p>
    <w:p w:rsidR="00C7561F" w:rsidRPr="00EC62E9" w:rsidRDefault="00C7561F" w:rsidP="00C7561F">
      <w:pPr>
        <w:numPr>
          <w:ilvl w:val="0"/>
          <w:numId w:val="5"/>
        </w:numPr>
        <w:spacing w:after="60"/>
        <w:rPr>
          <w:rFonts w:cs="Arial"/>
          <w:sz w:val="18"/>
          <w:szCs w:val="18"/>
          <w:lang w:val="de-DE"/>
        </w:rPr>
      </w:pPr>
      <w:r w:rsidRPr="00EC62E9">
        <w:rPr>
          <w:sz w:val="18"/>
          <w:lang w:val="de-DE"/>
        </w:rPr>
        <w:t>Entwurf eines Programms und Haushaltsplans des Verbandes für die Rechnungsperiode 2014-2015;</w:t>
      </w:r>
    </w:p>
    <w:p w:rsidR="00C7561F" w:rsidRPr="00EC62E9" w:rsidRDefault="00C7561F" w:rsidP="00C7561F">
      <w:pPr>
        <w:numPr>
          <w:ilvl w:val="0"/>
          <w:numId w:val="5"/>
        </w:numPr>
        <w:spacing w:after="60"/>
        <w:rPr>
          <w:rFonts w:cs="Arial"/>
          <w:sz w:val="18"/>
          <w:szCs w:val="18"/>
          <w:lang w:val="de-DE"/>
        </w:rPr>
      </w:pPr>
      <w:proofErr w:type="spellStart"/>
      <w:r w:rsidRPr="00EC62E9">
        <w:rPr>
          <w:sz w:val="18"/>
          <w:lang w:val="de-DE"/>
        </w:rPr>
        <w:t>Jahresabschluß</w:t>
      </w:r>
      <w:proofErr w:type="spellEnd"/>
      <w:r w:rsidRPr="00EC62E9">
        <w:rPr>
          <w:sz w:val="18"/>
          <w:lang w:val="de-DE"/>
        </w:rPr>
        <w:t xml:space="preserve"> für 2012;</w:t>
      </w:r>
    </w:p>
    <w:p w:rsidR="00C7561F" w:rsidRPr="00EC62E9" w:rsidRDefault="00C7561F" w:rsidP="00C7561F">
      <w:pPr>
        <w:numPr>
          <w:ilvl w:val="0"/>
          <w:numId w:val="5"/>
        </w:numPr>
        <w:spacing w:after="60"/>
        <w:rPr>
          <w:rFonts w:cs="Arial"/>
          <w:sz w:val="18"/>
          <w:szCs w:val="18"/>
          <w:lang w:val="de-DE"/>
        </w:rPr>
      </w:pPr>
      <w:r w:rsidRPr="00EC62E9">
        <w:rPr>
          <w:sz w:val="18"/>
          <w:lang w:val="de-DE"/>
        </w:rPr>
        <w:t>Rückständige Beitragszahlungen zum 30. September 2013;</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Einrichtung eines UPOV-Sonderkontos, das zur Finanzierung außeretatmäßiger, vom Rat gebilligter Projekte verwendet würde, für den Fall, </w:t>
      </w:r>
      <w:proofErr w:type="spellStart"/>
      <w:r w:rsidRPr="00EC62E9">
        <w:rPr>
          <w:sz w:val="18"/>
          <w:lang w:val="de-DE"/>
        </w:rPr>
        <w:t>daß</w:t>
      </w:r>
      <w:proofErr w:type="spellEnd"/>
      <w:r w:rsidRPr="00EC62E9">
        <w:rPr>
          <w:sz w:val="18"/>
          <w:lang w:val="de-DE"/>
        </w:rPr>
        <w:t xml:space="preserve"> der Betrag des Reservefonds 15 Prozent der Gesamteinnahmen der Rechnungsperiode 2012-2013 übersteigt;</w:t>
      </w:r>
    </w:p>
    <w:p w:rsidR="00C7561F" w:rsidRPr="00EC62E9" w:rsidRDefault="00C7561F" w:rsidP="00C7561F">
      <w:pPr>
        <w:numPr>
          <w:ilvl w:val="0"/>
          <w:numId w:val="5"/>
        </w:numPr>
        <w:spacing w:after="240"/>
        <w:ind w:left="714" w:hanging="357"/>
        <w:rPr>
          <w:rFonts w:cs="Arial"/>
          <w:sz w:val="18"/>
          <w:szCs w:val="18"/>
          <w:lang w:val="de-DE"/>
        </w:rPr>
      </w:pPr>
      <w:r w:rsidRPr="00EC62E9">
        <w:rPr>
          <w:sz w:val="18"/>
          <w:lang w:val="de-DE"/>
        </w:rPr>
        <w:t xml:space="preserve">Auf-Kopie-Setzen bezeichneter Verbandsmitglieder im Technischen </w:t>
      </w:r>
      <w:proofErr w:type="spellStart"/>
      <w:r w:rsidRPr="00EC62E9">
        <w:rPr>
          <w:sz w:val="18"/>
          <w:lang w:val="de-DE"/>
        </w:rPr>
        <w:t>Ausschuß</w:t>
      </w:r>
      <w:proofErr w:type="spellEnd"/>
      <w:r w:rsidRPr="00EC62E9">
        <w:rPr>
          <w:sz w:val="18"/>
          <w:lang w:val="de-DE"/>
        </w:rPr>
        <w:t xml:space="preserve"> (TC) im Falle von Ersuchen um Information betreffend Zusammenarbeit bei der Prüfung, z.B. siehe C/xx/5.</w:t>
      </w:r>
    </w:p>
    <w:p w:rsidR="00C7561F" w:rsidRPr="00EC62E9" w:rsidRDefault="00C7561F" w:rsidP="00C7561F">
      <w:pPr>
        <w:pStyle w:val="Heading8"/>
        <w:rPr>
          <w:lang w:val="de-DE"/>
        </w:rPr>
      </w:pPr>
      <w:bookmarkStart w:id="48" w:name="_Toc395864977"/>
      <w:bookmarkStart w:id="49" w:name="_Toc396137525"/>
      <w:bookmarkStart w:id="50" w:name="_Toc398736720"/>
      <w:r w:rsidRPr="00EC62E9">
        <w:rPr>
          <w:lang w:val="de-DE"/>
        </w:rPr>
        <w:t>b)  Andere Entscheidungen des Rates</w:t>
      </w:r>
      <w:bookmarkEnd w:id="48"/>
      <w:bookmarkEnd w:id="49"/>
      <w:bookmarkEnd w:id="50"/>
    </w:p>
    <w:p w:rsidR="00C7561F" w:rsidRPr="00EC62E9" w:rsidRDefault="00C7561F" w:rsidP="00C7561F">
      <w:pPr>
        <w:spacing w:after="120"/>
        <w:rPr>
          <w:rFonts w:cs="Arial"/>
          <w:sz w:val="18"/>
          <w:szCs w:val="18"/>
          <w:lang w:val="de-DE"/>
        </w:rPr>
      </w:pPr>
      <w:r w:rsidRPr="00EC62E9">
        <w:rPr>
          <w:sz w:val="18"/>
          <w:lang w:val="de-DE"/>
        </w:rPr>
        <w:t>Der Rat traf auch Entscheidungen betreffend folgende Angelegenheiten:</w:t>
      </w:r>
    </w:p>
    <w:p w:rsidR="00C7561F" w:rsidRPr="00EC62E9" w:rsidRDefault="00C7561F" w:rsidP="00C7561F">
      <w:pPr>
        <w:numPr>
          <w:ilvl w:val="0"/>
          <w:numId w:val="5"/>
        </w:numPr>
        <w:spacing w:after="60"/>
        <w:rPr>
          <w:rFonts w:cs="Arial"/>
          <w:sz w:val="18"/>
          <w:szCs w:val="18"/>
          <w:lang w:val="de-DE"/>
        </w:rPr>
      </w:pPr>
      <w:r w:rsidRPr="00EC62E9">
        <w:rPr>
          <w:sz w:val="18"/>
          <w:lang w:val="de-DE"/>
        </w:rPr>
        <w:t>Arbeitsprogramme des Verwaltungs- und Rechtsausschusses (CAJ), des Technischen Ausschusses (TC), der Technischen Arbeitsgruppen (TWP) und der Arbeitsgruppe für biochemische und molekulare Verfahren und insbesondere für DNS</w:t>
      </w:r>
      <w:r w:rsidRPr="00EC62E9">
        <w:rPr>
          <w:lang w:val="de-DE"/>
        </w:rPr>
        <w:noBreakHyphen/>
      </w:r>
      <w:r w:rsidRPr="00EC62E9">
        <w:rPr>
          <w:sz w:val="18"/>
          <w:lang w:val="de-DE"/>
        </w:rPr>
        <w:t>Profilierungsverfahren (BMT)</w:t>
      </w:r>
    </w:p>
    <w:p w:rsidR="00C7561F" w:rsidRPr="00EC62E9" w:rsidRDefault="00C7561F" w:rsidP="00C7561F">
      <w:pPr>
        <w:numPr>
          <w:ilvl w:val="0"/>
          <w:numId w:val="5"/>
        </w:numPr>
        <w:spacing w:after="60"/>
        <w:rPr>
          <w:rFonts w:cs="Arial"/>
          <w:sz w:val="18"/>
          <w:szCs w:val="18"/>
          <w:lang w:val="de-DE"/>
        </w:rPr>
      </w:pPr>
      <w:r w:rsidRPr="00EC62E9">
        <w:rPr>
          <w:sz w:val="18"/>
          <w:lang w:val="de-DE"/>
        </w:rPr>
        <w:t>Wahl:</w:t>
      </w:r>
    </w:p>
    <w:p w:rsidR="00C7561F" w:rsidRPr="00EC62E9" w:rsidRDefault="00C7561F" w:rsidP="00C7561F">
      <w:pPr>
        <w:numPr>
          <w:ilvl w:val="1"/>
          <w:numId w:val="5"/>
        </w:numPr>
        <w:spacing w:after="60"/>
        <w:rPr>
          <w:rFonts w:cs="Arial"/>
          <w:sz w:val="18"/>
          <w:szCs w:val="18"/>
          <w:lang w:val="de-DE"/>
        </w:rPr>
      </w:pPr>
      <w:r w:rsidRPr="00EC62E9">
        <w:rPr>
          <w:sz w:val="18"/>
          <w:lang w:val="de-DE"/>
        </w:rPr>
        <w:t>des Präsidenten und stellvertretenden Präsidenten des Rates</w:t>
      </w:r>
    </w:p>
    <w:p w:rsidR="00C7561F" w:rsidRPr="00EC62E9" w:rsidRDefault="00C7561F" w:rsidP="00C7561F">
      <w:pPr>
        <w:numPr>
          <w:ilvl w:val="1"/>
          <w:numId w:val="5"/>
        </w:numPr>
        <w:spacing w:after="60"/>
        <w:rPr>
          <w:rFonts w:cs="Arial"/>
          <w:sz w:val="18"/>
          <w:szCs w:val="18"/>
          <w:lang w:val="de-DE"/>
        </w:rPr>
      </w:pPr>
      <w:r w:rsidRPr="00EC62E9">
        <w:rPr>
          <w:sz w:val="18"/>
          <w:lang w:val="de-DE"/>
        </w:rPr>
        <w:t>des Vorsitzenden und Stellvertretenden Vorsitzenden des CAJ</w:t>
      </w:r>
    </w:p>
    <w:p w:rsidR="00C7561F" w:rsidRPr="00EC62E9" w:rsidRDefault="00C7561F" w:rsidP="00C7561F">
      <w:pPr>
        <w:numPr>
          <w:ilvl w:val="1"/>
          <w:numId w:val="5"/>
        </w:numPr>
        <w:spacing w:after="60"/>
        <w:rPr>
          <w:rFonts w:cs="Arial"/>
          <w:sz w:val="18"/>
          <w:szCs w:val="18"/>
          <w:lang w:val="de-DE"/>
        </w:rPr>
      </w:pPr>
      <w:r w:rsidRPr="00EC62E9">
        <w:rPr>
          <w:sz w:val="18"/>
          <w:lang w:val="de-DE"/>
        </w:rPr>
        <w:t>des Vorsitzenden und Stellvertretenden Vorsitzenden des TC</w:t>
      </w:r>
    </w:p>
    <w:p w:rsidR="00C7561F" w:rsidRPr="00EC62E9" w:rsidRDefault="00C7561F" w:rsidP="00C7561F">
      <w:pPr>
        <w:spacing w:after="60"/>
        <w:ind w:left="1440"/>
        <w:rPr>
          <w:rFonts w:cs="Arial"/>
          <w:sz w:val="18"/>
          <w:szCs w:val="18"/>
          <w:lang w:val="de-DE"/>
        </w:rPr>
      </w:pPr>
    </w:p>
    <w:p w:rsidR="00C7561F" w:rsidRPr="00EC62E9" w:rsidRDefault="00C7561F" w:rsidP="00C7561F">
      <w:pPr>
        <w:pStyle w:val="Heading8"/>
        <w:keepNext/>
        <w:keepLines/>
        <w:widowControl w:val="0"/>
        <w:rPr>
          <w:lang w:val="de-DE"/>
        </w:rPr>
      </w:pPr>
      <w:bookmarkStart w:id="51" w:name="_Toc395864978"/>
      <w:bookmarkStart w:id="52" w:name="_Toc396137526"/>
      <w:bookmarkStart w:id="53" w:name="_Toc398736721"/>
      <w:r w:rsidRPr="00EC62E9">
        <w:rPr>
          <w:lang w:val="de-DE"/>
        </w:rPr>
        <w:t>c)  Sonstige Arbeit des Beratenden Ausschusses</w:t>
      </w:r>
      <w:bookmarkEnd w:id="51"/>
      <w:bookmarkEnd w:id="52"/>
      <w:bookmarkEnd w:id="53"/>
    </w:p>
    <w:p w:rsidR="00C7561F" w:rsidRPr="00EC62E9" w:rsidRDefault="00C7561F" w:rsidP="00C7561F">
      <w:pPr>
        <w:keepNext/>
        <w:keepLines/>
        <w:widowControl w:val="0"/>
        <w:spacing w:after="60"/>
        <w:rPr>
          <w:rFonts w:cs="Arial"/>
          <w:sz w:val="18"/>
          <w:szCs w:val="18"/>
          <w:lang w:val="de-DE"/>
        </w:rPr>
      </w:pPr>
      <w:r w:rsidRPr="00EC62E9">
        <w:rPr>
          <w:sz w:val="18"/>
          <w:lang w:val="de-DE"/>
        </w:rPr>
        <w:t xml:space="preserve">Der Beratende </w:t>
      </w:r>
      <w:proofErr w:type="spellStart"/>
      <w:r w:rsidRPr="00EC62E9">
        <w:rPr>
          <w:sz w:val="18"/>
          <w:lang w:val="de-DE"/>
        </w:rPr>
        <w:t>Ausschuß</w:t>
      </w:r>
      <w:proofErr w:type="spellEnd"/>
      <w:r w:rsidRPr="00EC62E9">
        <w:rPr>
          <w:sz w:val="18"/>
          <w:lang w:val="de-DE"/>
        </w:rPr>
        <w:t>:</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erteilte dem Afrikanischen Saatguthandelsverband (AFSTA)) den Beobachterstatus für den Rat, den Verwaltungs- und </w:t>
      </w:r>
      <w:proofErr w:type="spellStart"/>
      <w:r w:rsidRPr="00EC62E9">
        <w:rPr>
          <w:sz w:val="18"/>
          <w:lang w:val="de-DE"/>
        </w:rPr>
        <w:t>Rechtsausschuß</w:t>
      </w:r>
      <w:proofErr w:type="spellEnd"/>
      <w:r w:rsidRPr="00EC62E9">
        <w:rPr>
          <w:sz w:val="18"/>
          <w:lang w:val="de-DE"/>
        </w:rPr>
        <w:t xml:space="preserve"> (CAJ), den Technischen </w:t>
      </w:r>
      <w:proofErr w:type="spellStart"/>
      <w:r w:rsidRPr="00EC62E9">
        <w:rPr>
          <w:sz w:val="18"/>
          <w:lang w:val="de-DE"/>
        </w:rPr>
        <w:t>Ausschuß</w:t>
      </w:r>
      <w:proofErr w:type="spellEnd"/>
      <w:r w:rsidRPr="00EC62E9">
        <w:rPr>
          <w:sz w:val="18"/>
          <w:lang w:val="de-DE"/>
        </w:rPr>
        <w:t xml:space="preserve"> (TC) und die Technischen Arbeitsgruppen (TWP);</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vereinbarte die folgenden Punkte hinsichtlich des „Symposium über die Vorteile des Sortenschutzes für Landwirte und Pflanzer” in Genf am 2. November 2012: </w:t>
      </w:r>
    </w:p>
    <w:p w:rsidR="00C7561F" w:rsidRPr="00EC62E9" w:rsidRDefault="00C7561F" w:rsidP="00C7561F">
      <w:pPr>
        <w:numPr>
          <w:ilvl w:val="1"/>
          <w:numId w:val="5"/>
        </w:numPr>
        <w:contextualSpacing/>
        <w:rPr>
          <w:rFonts w:cs="Arial"/>
          <w:sz w:val="18"/>
          <w:szCs w:val="18"/>
          <w:lang w:val="de-DE"/>
        </w:rPr>
      </w:pPr>
      <w:proofErr w:type="spellStart"/>
      <w:r w:rsidRPr="00EC62E9">
        <w:rPr>
          <w:sz w:val="18"/>
          <w:lang w:val="de-DE"/>
        </w:rPr>
        <w:t>daß</w:t>
      </w:r>
      <w:proofErr w:type="spellEnd"/>
      <w:r w:rsidRPr="00EC62E9">
        <w:rPr>
          <w:sz w:val="18"/>
          <w:lang w:val="de-DE"/>
        </w:rPr>
        <w:t xml:space="preserve"> vorbehaltlich der räumlichen Kapazitäten auch der Öffentlichkeit die Teilnahme ermöglicht werde, wobei Teilnehmer aus Verbandsmitgliedern, Beobachterstaaten und Beobachterorganisationen Vorrang haben  </w:t>
      </w:r>
    </w:p>
    <w:p w:rsidR="00C7561F" w:rsidRPr="00EC62E9" w:rsidRDefault="00C7561F" w:rsidP="00C7561F">
      <w:pPr>
        <w:numPr>
          <w:ilvl w:val="1"/>
          <w:numId w:val="5"/>
        </w:numPr>
        <w:contextualSpacing/>
        <w:rPr>
          <w:rFonts w:cs="Arial"/>
          <w:sz w:val="18"/>
          <w:szCs w:val="18"/>
          <w:lang w:val="de-DE"/>
        </w:rPr>
      </w:pPr>
      <w:r w:rsidRPr="00EC62E9">
        <w:rPr>
          <w:sz w:val="18"/>
          <w:lang w:val="de-DE"/>
        </w:rPr>
        <w:t xml:space="preserve">er billigte die Übertragung des Symposiums mittels </w:t>
      </w:r>
      <w:proofErr w:type="spellStart"/>
      <w:r w:rsidRPr="00EC62E9">
        <w:rPr>
          <w:sz w:val="18"/>
          <w:lang w:val="de-DE"/>
        </w:rPr>
        <w:t>Webcasting</w:t>
      </w:r>
      <w:proofErr w:type="spellEnd"/>
    </w:p>
    <w:p w:rsidR="00C7561F" w:rsidRPr="00EC62E9" w:rsidRDefault="00C7561F" w:rsidP="00C7561F">
      <w:pPr>
        <w:numPr>
          <w:ilvl w:val="1"/>
          <w:numId w:val="5"/>
        </w:numPr>
        <w:spacing w:after="60"/>
        <w:ind w:left="1434" w:hanging="357"/>
        <w:rPr>
          <w:rFonts w:cs="Arial"/>
          <w:sz w:val="18"/>
          <w:szCs w:val="18"/>
          <w:lang w:val="de-DE"/>
        </w:rPr>
      </w:pPr>
      <w:r w:rsidRPr="00EC62E9">
        <w:rPr>
          <w:sz w:val="18"/>
          <w:lang w:val="de-DE"/>
        </w:rPr>
        <w:t>vereinbarte die Erläuterung des Ziels des Symposiums</w:t>
      </w:r>
      <w:r w:rsidR="0084619A" w:rsidRPr="00EC62E9">
        <w:rPr>
          <w:sz w:val="18"/>
          <w:lang w:val="de-DE"/>
        </w:rPr>
        <w:t>;</w:t>
      </w:r>
    </w:p>
    <w:p w:rsidR="00C7561F" w:rsidRPr="00EC62E9" w:rsidRDefault="00C7561F" w:rsidP="00C7561F">
      <w:pPr>
        <w:numPr>
          <w:ilvl w:val="0"/>
          <w:numId w:val="5"/>
        </w:numPr>
        <w:spacing w:after="60"/>
        <w:rPr>
          <w:rFonts w:cs="Arial"/>
          <w:sz w:val="18"/>
          <w:szCs w:val="18"/>
          <w:lang w:val="de-DE"/>
        </w:rPr>
      </w:pPr>
      <w:r w:rsidRPr="00EC62E9">
        <w:rPr>
          <w:sz w:val="18"/>
          <w:lang w:val="de-DE"/>
        </w:rPr>
        <w:t>befürwortete die Pläne für den Entwurf eines Programms für das Symposium und vereinbarte, einen der von der APBREBES empfohlenen Referenten in das Programm aufzunehmen, um in Einklang mit dem Ziel des Symposiums ein Referat zu halten;</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die Teilnahme des Verbandsbüros am Rahmen für die Gestaltung entwicklungsförderlicher nationaler Strategien für geistiges Eigentum der Weltorganisation für geistiges Eigentum (WIPO);</w:t>
      </w:r>
    </w:p>
    <w:p w:rsidR="00C7561F" w:rsidRPr="00EC62E9" w:rsidRDefault="00C7561F" w:rsidP="00C7561F">
      <w:pPr>
        <w:numPr>
          <w:ilvl w:val="0"/>
          <w:numId w:val="5"/>
        </w:numPr>
        <w:spacing w:after="120"/>
        <w:rPr>
          <w:rFonts w:cs="Arial"/>
          <w:sz w:val="18"/>
          <w:szCs w:val="18"/>
          <w:lang w:val="de-DE"/>
        </w:rPr>
      </w:pPr>
      <w:r w:rsidRPr="00EC62E9">
        <w:rPr>
          <w:sz w:val="18"/>
          <w:lang w:val="de-DE"/>
        </w:rPr>
        <w:t>billigte den Beitrag des Verbandsbüros zur Ausarbeitung des WIPO-Fragebogens „zur Einschätzung des aktuellen Standes der nationalen Systeme des geistigen Eigentums sowie der strategischen Ziele und Bedürfnisse nach Maßgabe der nationalen Entwicklungsprioritäten“;</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den Einsatz von Webkonferenzen durch UPOV-Organe, sofern vom betreffenden UPOV-Organ als zweckmäßig erachtet, um Verbandsmitgliedern und Beobachtern im Einklang mit bestehenden Verfahren die Teilnahme an Sitzungen zu erleichtern;</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den Einsatz von Webkonferenzen durch das Verbandsbüro, um die Teilnahme der zu seinen Sitzungen eingeladenen Teilnehmer, falls vom Verbandsbüro als zweckmäßig betrachtet, zu erleichtern;</w:t>
      </w:r>
    </w:p>
    <w:p w:rsidR="00C7561F" w:rsidRPr="00EC62E9" w:rsidRDefault="00C7561F" w:rsidP="00C7561F">
      <w:pPr>
        <w:numPr>
          <w:ilvl w:val="0"/>
          <w:numId w:val="5"/>
        </w:numPr>
        <w:spacing w:after="120"/>
        <w:rPr>
          <w:rFonts w:cs="Arial"/>
          <w:sz w:val="18"/>
          <w:szCs w:val="18"/>
          <w:lang w:val="de-DE"/>
        </w:rPr>
      </w:pPr>
      <w:r w:rsidRPr="00EC62E9">
        <w:rPr>
          <w:sz w:val="18"/>
          <w:lang w:val="de-DE"/>
        </w:rPr>
        <w:t xml:space="preserve">billigte die Nutzung von </w:t>
      </w:r>
      <w:proofErr w:type="spellStart"/>
      <w:r w:rsidRPr="00EC62E9">
        <w:rPr>
          <w:sz w:val="18"/>
          <w:lang w:val="de-DE"/>
        </w:rPr>
        <w:t>Webcastings</w:t>
      </w:r>
      <w:proofErr w:type="spellEnd"/>
      <w:r w:rsidRPr="00EC62E9">
        <w:rPr>
          <w:sz w:val="18"/>
          <w:lang w:val="de-DE"/>
        </w:rPr>
        <w:t xml:space="preserve"> der Tagungen der UPOV-Organe, die in Einklang mit bestehenden Verfahren nur von Verbandsmitgliedern und Beobachtern angesehen werden dürfen, sofern vom betreffenden UPOV-Organ als zweckmäßig erachtet, und vereinbarte, </w:t>
      </w:r>
      <w:proofErr w:type="spellStart"/>
      <w:r w:rsidRPr="00EC62E9">
        <w:rPr>
          <w:sz w:val="18"/>
          <w:lang w:val="de-DE"/>
        </w:rPr>
        <w:t>daß</w:t>
      </w:r>
      <w:proofErr w:type="spellEnd"/>
      <w:r w:rsidRPr="00EC62E9">
        <w:rPr>
          <w:sz w:val="18"/>
          <w:lang w:val="de-DE"/>
        </w:rPr>
        <w:t xml:space="preserve"> in allen anderen Fällen von </w:t>
      </w:r>
      <w:proofErr w:type="spellStart"/>
      <w:r w:rsidRPr="00EC62E9">
        <w:rPr>
          <w:sz w:val="18"/>
          <w:lang w:val="de-DE"/>
        </w:rPr>
        <w:t>Webcasting</w:t>
      </w:r>
      <w:proofErr w:type="spellEnd"/>
      <w:r w:rsidRPr="00EC62E9">
        <w:rPr>
          <w:sz w:val="18"/>
          <w:lang w:val="de-DE"/>
        </w:rPr>
        <w:t xml:space="preserve"> der Beratende </w:t>
      </w:r>
      <w:proofErr w:type="spellStart"/>
      <w:r w:rsidRPr="00EC62E9">
        <w:rPr>
          <w:sz w:val="18"/>
          <w:lang w:val="de-DE"/>
        </w:rPr>
        <w:t>Ausschuß</w:t>
      </w:r>
      <w:proofErr w:type="spellEnd"/>
      <w:r w:rsidRPr="00EC62E9">
        <w:rPr>
          <w:sz w:val="18"/>
          <w:lang w:val="de-DE"/>
        </w:rPr>
        <w:t xml:space="preserve"> darum ersucht werden solle, alle Vorkehrungen für ein mögliches </w:t>
      </w:r>
      <w:proofErr w:type="spellStart"/>
      <w:r w:rsidRPr="00EC62E9">
        <w:rPr>
          <w:sz w:val="18"/>
          <w:lang w:val="de-DE"/>
        </w:rPr>
        <w:t>Webcasting</w:t>
      </w:r>
      <w:proofErr w:type="spellEnd"/>
      <w:r w:rsidRPr="00EC62E9">
        <w:rPr>
          <w:sz w:val="18"/>
          <w:lang w:val="de-DE"/>
        </w:rPr>
        <w:t xml:space="preserve"> zu billigen;</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vereinbarte, </w:t>
      </w:r>
      <w:proofErr w:type="spellStart"/>
      <w:r w:rsidRPr="00EC62E9">
        <w:rPr>
          <w:sz w:val="18"/>
          <w:lang w:val="de-DE"/>
        </w:rPr>
        <w:t>daß</w:t>
      </w:r>
      <w:proofErr w:type="spellEnd"/>
      <w:r w:rsidRPr="00EC62E9">
        <w:rPr>
          <w:sz w:val="18"/>
          <w:lang w:val="de-DE"/>
        </w:rPr>
        <w:t xml:space="preserve"> das </w:t>
      </w:r>
      <w:proofErr w:type="spellStart"/>
      <w:r w:rsidRPr="00EC62E9">
        <w:rPr>
          <w:sz w:val="18"/>
          <w:lang w:val="de-DE"/>
        </w:rPr>
        <w:t>Webcasting</w:t>
      </w:r>
      <w:proofErr w:type="spellEnd"/>
      <w:r w:rsidRPr="00EC62E9">
        <w:rPr>
          <w:sz w:val="18"/>
          <w:lang w:val="de-DE"/>
        </w:rPr>
        <w:t xml:space="preserve"> des „Symposiums über die Vorteile des Sortenschutzes für Landwirte und Pflanzer“ am 2. November 2012 in Genf nach entsprechender Übertragungsverzögerung auf der UPOV-Website zur Verfügung gestellt werden solle;</w:t>
      </w:r>
    </w:p>
    <w:p w:rsidR="00C7561F" w:rsidRPr="00EC62E9" w:rsidRDefault="00C7561F" w:rsidP="00C7561F">
      <w:pPr>
        <w:numPr>
          <w:ilvl w:val="0"/>
          <w:numId w:val="5"/>
        </w:numPr>
        <w:spacing w:after="60"/>
        <w:rPr>
          <w:rFonts w:cs="Arial"/>
          <w:sz w:val="18"/>
          <w:szCs w:val="18"/>
          <w:lang w:val="de-DE"/>
        </w:rPr>
      </w:pPr>
      <w:r w:rsidRPr="00EC62E9">
        <w:rPr>
          <w:sz w:val="18"/>
          <w:lang w:val="de-DE"/>
        </w:rPr>
        <w:t xml:space="preserve">billigte die Lancierung der Webseite „Unterstützung” auf der Grundlage des Prototyps in einem Bereich der UPOV-Website, der über den eingeschränkten Bereich und über einen gesonderten Link sowie ein </w:t>
      </w:r>
      <w:proofErr w:type="spellStart"/>
      <w:r w:rsidRPr="00EC62E9">
        <w:rPr>
          <w:sz w:val="18"/>
          <w:lang w:val="de-DE"/>
        </w:rPr>
        <w:t>Paßwort</w:t>
      </w:r>
      <w:proofErr w:type="spellEnd"/>
      <w:r w:rsidRPr="00EC62E9">
        <w:rPr>
          <w:sz w:val="18"/>
          <w:lang w:val="de-DE"/>
        </w:rPr>
        <w:t>, das jedem Vertreter und Stellvertreter jedes Verbandsmitglieds im Rat erteilt werde, zugänglich sein werde;</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die Veröffentlichung eines Dokuments mit der Liste von UPOV-Mitgliedern, der Liste von Staaten und zwischenstaatlichen Organisationen, die das Verfahren für den Beitritt zum UPOV</w:t>
      </w:r>
      <w:r w:rsidRPr="00EC62E9">
        <w:rPr>
          <w:lang w:val="de-DE"/>
        </w:rPr>
        <w:noBreakHyphen/>
      </w:r>
      <w:r w:rsidRPr="00EC62E9">
        <w:rPr>
          <w:sz w:val="18"/>
          <w:lang w:val="de-DE"/>
        </w:rPr>
        <w:t>Übereinkommen eingeleitet haben, und der Liste von Staaten und zwischenstaatlichen Organisationen, die im Hinblick auf Unterstützung bei der Ausarbeitung von Rechtsvorschriften aufgrund des UPOV Übereinkommens mit dem Verbandsbüro in Verbindung standen, auf der UPOV-Website;</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die Ausstellung einer Einladung an Georgien, auf der sechsundachtzigsten Tagung des Beratenden Ausschusses im Oktober 2013 Bericht über mögliche Bereiche der Unterstützung bei der Umsetzung des UPOV-Systems zu erstatten;</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die Teilnahme des Verbandbüros an der Plattform für die gemeinsame Entwicklung und den Transfer von Technologien des Internationalen Vertrags über pflanzengenetische Ressourcen für Ernährung und Landwirtschaft (ITPGRFA);</w:t>
      </w:r>
    </w:p>
    <w:p w:rsidR="00C7561F" w:rsidRPr="00EC62E9" w:rsidRDefault="00C7561F" w:rsidP="00C7561F">
      <w:pPr>
        <w:numPr>
          <w:ilvl w:val="0"/>
          <w:numId w:val="5"/>
        </w:numPr>
        <w:spacing w:after="60"/>
        <w:rPr>
          <w:rFonts w:cs="Arial"/>
          <w:sz w:val="18"/>
          <w:szCs w:val="18"/>
          <w:lang w:val="de-DE"/>
        </w:rPr>
      </w:pPr>
      <w:r w:rsidRPr="00EC62E9">
        <w:rPr>
          <w:sz w:val="18"/>
          <w:lang w:val="de-DE"/>
        </w:rPr>
        <w:t>nahm den Bericht des Verbandsbüros über die sechste Tagung der Zwischenstaatlichen Technischen Arbeitsgruppe für pflanzengenetische Ressourcen für Ernährung und Landwirtschaft der Kommission für genetische Ressourcen für Ernährung und Landwirtschaft (CGRFA) zur Kenntnis und billigte die Vorlage ähnlicher Berichte auf künftigen Tagungen, die sich auf alle Akte des UPOV-Übereinkommens beziehen;</w:t>
      </w:r>
    </w:p>
    <w:p w:rsidR="00C7561F" w:rsidRPr="00EC62E9" w:rsidRDefault="00C7561F" w:rsidP="00C7561F">
      <w:pPr>
        <w:numPr>
          <w:ilvl w:val="0"/>
          <w:numId w:val="5"/>
        </w:numPr>
        <w:spacing w:after="60"/>
        <w:rPr>
          <w:rFonts w:cs="Arial"/>
          <w:sz w:val="18"/>
          <w:szCs w:val="18"/>
          <w:lang w:val="de-DE"/>
        </w:rPr>
      </w:pPr>
      <w:r w:rsidRPr="00EC62E9">
        <w:rPr>
          <w:sz w:val="18"/>
          <w:lang w:val="de-DE"/>
        </w:rPr>
        <w:t>billigte die Teilnahme der UPOV an der WIPO-Initiative für nachhaltige Weizenerzeugung in der Vereinigten Republik Tansania.</w:t>
      </w:r>
    </w:p>
    <w:p w:rsidR="00C7561F" w:rsidRPr="00EC62E9" w:rsidRDefault="00C7561F" w:rsidP="00C7561F">
      <w:pPr>
        <w:widowControl w:val="0"/>
        <w:jc w:val="left"/>
        <w:rPr>
          <w:sz w:val="18"/>
          <w:szCs w:val="18"/>
          <w:lang w:val="de-DE"/>
        </w:rPr>
      </w:pPr>
    </w:p>
    <w:p w:rsidR="00C7561F" w:rsidRPr="00EC62E9" w:rsidRDefault="00E25A9D" w:rsidP="00C7561F">
      <w:pPr>
        <w:pStyle w:val="Heading8"/>
        <w:rPr>
          <w:lang w:val="de-DE"/>
        </w:rPr>
      </w:pPr>
      <w:bookmarkStart w:id="54" w:name="_Toc395864979"/>
      <w:bookmarkStart w:id="55" w:name="_Toc396137527"/>
      <w:bookmarkStart w:id="56" w:name="_Toc398736722"/>
      <w:r>
        <w:rPr>
          <w:lang w:val="de-DE"/>
        </w:rPr>
        <w:t xml:space="preserve">d)  </w:t>
      </w:r>
      <w:r w:rsidR="00C7561F" w:rsidRPr="00EC62E9">
        <w:rPr>
          <w:lang w:val="de-DE"/>
        </w:rPr>
        <w:t>Annahme von Informations- und Positionspapieren durch den Rat</w:t>
      </w:r>
      <w:bookmarkEnd w:id="54"/>
      <w:bookmarkEnd w:id="55"/>
      <w:bookmarkEnd w:id="56"/>
    </w:p>
    <w:p w:rsidR="00C7561F" w:rsidRPr="00EC62E9" w:rsidRDefault="00C7561F" w:rsidP="00C7561F">
      <w:pPr>
        <w:keepNext/>
        <w:rPr>
          <w:b/>
          <w:smallCaps/>
          <w:lang w:val="de-DE"/>
        </w:rPr>
      </w:pPr>
      <w:r w:rsidRPr="00EC62E9">
        <w:rPr>
          <w:sz w:val="18"/>
          <w:lang w:val="de-DE"/>
        </w:rPr>
        <w:t>Über die Annahme von Informations- und Positionspapieren durch den Rat wird in Unterprogramm UV.2 berichtet.</w:t>
      </w:r>
    </w:p>
    <w:p w:rsidR="00D3715A" w:rsidRPr="00EC62E9" w:rsidRDefault="00D3715A" w:rsidP="002D6F42">
      <w:pPr>
        <w:rPr>
          <w:sz w:val="18"/>
          <w:szCs w:val="18"/>
          <w:lang w:val="de-DE"/>
        </w:rPr>
      </w:pPr>
    </w:p>
    <w:p w:rsidR="00D3715A" w:rsidRPr="00EC62E9" w:rsidRDefault="00D3715A" w:rsidP="002D6F42">
      <w:pPr>
        <w:rPr>
          <w:sz w:val="18"/>
          <w:szCs w:val="18"/>
          <w:lang w:val="de-DE"/>
        </w:rPr>
      </w:pPr>
    </w:p>
    <w:p w:rsidR="00D3715A" w:rsidRPr="00EC62E9" w:rsidRDefault="00D3715A" w:rsidP="002D6F42">
      <w:pPr>
        <w:rPr>
          <w:sz w:val="18"/>
          <w:szCs w:val="18"/>
          <w:lang w:val="de-DE"/>
        </w:rPr>
      </w:pPr>
    </w:p>
    <w:p w:rsidR="004F2670" w:rsidRPr="00EC62E9" w:rsidRDefault="004F2670">
      <w:pPr>
        <w:jc w:val="left"/>
        <w:rPr>
          <w:b/>
          <w:smallCaps/>
          <w:lang w:val="de-DE"/>
        </w:rPr>
      </w:pPr>
      <w:r w:rsidRPr="00EC62E9">
        <w:rPr>
          <w:lang w:val="de-DE"/>
        </w:rPr>
        <w:br w:type="page"/>
      </w:r>
    </w:p>
    <w:p w:rsidR="00D3322A" w:rsidRPr="00EC62E9" w:rsidRDefault="0000674F" w:rsidP="001E671A">
      <w:pPr>
        <w:pStyle w:val="Heading4"/>
        <w:rPr>
          <w:lang w:val="de-DE"/>
        </w:rPr>
      </w:pPr>
      <w:bookmarkStart w:id="57" w:name="_Toc396137528"/>
      <w:bookmarkStart w:id="58" w:name="_Toc398736723"/>
      <w:r w:rsidRPr="00EC62E9">
        <w:rPr>
          <w:lang w:val="de-DE"/>
        </w:rPr>
        <w:t>2.2</w:t>
      </w:r>
      <w:r w:rsidRPr="00EC62E9">
        <w:rPr>
          <w:lang w:val="de-DE"/>
        </w:rPr>
        <w:tab/>
      </w:r>
      <w:bookmarkEnd w:id="1"/>
      <w:bookmarkEnd w:id="2"/>
      <w:bookmarkEnd w:id="57"/>
      <w:r w:rsidR="00D3322A" w:rsidRPr="00EC62E9">
        <w:rPr>
          <w:lang w:val="de-DE"/>
        </w:rPr>
        <w:t>Unterprogramm UV.2:  Dienstleistungen für den Verband zur Verbesserung der Wirksamkeit des UPOV-Systems</w:t>
      </w:r>
      <w:bookmarkEnd w:id="58"/>
    </w:p>
    <w:p w:rsidR="00D3322A" w:rsidRPr="00EC62E9" w:rsidRDefault="00D3322A" w:rsidP="00D3322A">
      <w:pPr>
        <w:rPr>
          <w:sz w:val="18"/>
          <w:szCs w:val="18"/>
          <w:lang w:val="de-DE"/>
        </w:rPr>
      </w:pPr>
    </w:p>
    <w:p w:rsidR="00D3322A" w:rsidRPr="00EC62E9" w:rsidRDefault="00D3322A" w:rsidP="00D3322A">
      <w:pPr>
        <w:tabs>
          <w:tab w:val="left" w:pos="2410"/>
          <w:tab w:val="left" w:pos="4536"/>
          <w:tab w:val="left" w:pos="9072"/>
        </w:tabs>
        <w:rPr>
          <w:color w:val="000000"/>
          <w:sz w:val="18"/>
          <w:lang w:val="de-DE"/>
        </w:rPr>
      </w:pPr>
      <w:r w:rsidRPr="00EC62E9">
        <w:rPr>
          <w:sz w:val="18"/>
          <w:lang w:val="de-DE"/>
        </w:rPr>
        <w:t xml:space="preserve">Die UPOV nahm weiterhin neue und überarbeitete Informations- und Anleitungsdokumente an, die das Verständnis und die Umsetzung der Bestimmungen des Übereinkommens in international harmonisierter und wirksamer Weise verstärken und dadurch die Qualität des Schutzes weiter verbessern und dessen Kosten auf nationaler oder regionaler Ebene reduzieren. Derartige Maßnahmen werden in Anbetracht der Tatsache, </w:t>
      </w:r>
      <w:proofErr w:type="spellStart"/>
      <w:r w:rsidRPr="00EC62E9">
        <w:rPr>
          <w:sz w:val="18"/>
          <w:lang w:val="de-DE"/>
        </w:rPr>
        <w:t>daß</w:t>
      </w:r>
      <w:proofErr w:type="spellEnd"/>
      <w:r w:rsidRPr="00EC62E9">
        <w:rPr>
          <w:sz w:val="18"/>
          <w:lang w:val="de-DE"/>
        </w:rPr>
        <w:t xml:space="preserve"> die Zahl der Verbandsmitglieder, die Schutz für alle Pflanzengattungen und -arten bieten, laufend größer wird, auch weiterhin immer wichtiger für neue Verbandsmitglieder. 2013 </w:t>
      </w:r>
      <w:proofErr w:type="spellStart"/>
      <w:r w:rsidRPr="00EC62E9">
        <w:rPr>
          <w:sz w:val="18"/>
          <w:lang w:val="de-DE"/>
        </w:rPr>
        <w:t>erfaßten</w:t>
      </w:r>
      <w:proofErr w:type="spellEnd"/>
      <w:r w:rsidRPr="00EC62E9">
        <w:rPr>
          <w:sz w:val="18"/>
          <w:lang w:val="de-DE"/>
        </w:rPr>
        <w:t xml:space="preserve"> die angenommen Prüfungsrichtlinien weiterhin 91% aller Einträge bezüglich Züchterrechten in die Datenbank für Pflanzensorten. Um mögliche Maßnahmen zur Verbesserung der Effektivität des TC, der TWP und der vorbereitenden Arbeitstagungen zu erkunden, hat der TC eine Reihe von Befragungen befürwortet. Um die Zusammenarbeit zwischen Verbandsmitgliedern zu verbessern, wurde die Information der GENIE-Datenbank, der Datenbank für Pflanzensorten (PLUTO-Datenbank) und der Datenbank für Gesetze von Verbandsmitgliedern (UPOV Lex) mittels einer Reihe von Maßnahmen verbessert, die in Bezug auf das Programm für Verbesserungen der PLUTO-Datenbank ergriffen wurden.</w:t>
      </w:r>
      <w:r w:rsidRPr="00EC62E9">
        <w:rPr>
          <w:color w:val="000000"/>
          <w:sz w:val="18"/>
          <w:lang w:val="de-DE"/>
        </w:rPr>
        <w:t xml:space="preserve"> Das Projekt für die Entwicklung eines elektronischen UPOV-Antragsformulars hat beträchtliche Fortschritte gemacht, darunter die Schaffung eines Mo</w:t>
      </w:r>
      <w:r w:rsidR="002D5ABA" w:rsidRPr="00EC62E9">
        <w:rPr>
          <w:color w:val="000000"/>
          <w:sz w:val="18"/>
          <w:lang w:val="de-DE"/>
        </w:rPr>
        <w:t>dells zu Demonstrationszwecken.</w:t>
      </w:r>
    </w:p>
    <w:p w:rsidR="002D5ABA" w:rsidRDefault="002D5ABA" w:rsidP="00D3322A">
      <w:pPr>
        <w:tabs>
          <w:tab w:val="left" w:pos="2410"/>
          <w:tab w:val="left" w:pos="4536"/>
          <w:tab w:val="left" w:pos="9072"/>
        </w:tabs>
        <w:rPr>
          <w:sz w:val="18"/>
          <w:szCs w:val="18"/>
          <w:lang w:val="de-DE"/>
        </w:rPr>
      </w:pPr>
    </w:p>
    <w:p w:rsidR="0085478D" w:rsidRPr="00EC62E9" w:rsidRDefault="0085478D" w:rsidP="00D3322A">
      <w:pPr>
        <w:tabs>
          <w:tab w:val="left" w:pos="2410"/>
          <w:tab w:val="left" w:pos="4536"/>
          <w:tab w:val="left" w:pos="9072"/>
        </w:tabs>
        <w:rPr>
          <w:sz w:val="18"/>
          <w:szCs w:val="18"/>
          <w:lang w:val="de-DE"/>
        </w:rPr>
      </w:pPr>
    </w:p>
    <w:tbl>
      <w:tblPr>
        <w:tblW w:w="9889" w:type="dxa"/>
        <w:tblLayout w:type="fixed"/>
        <w:tblLook w:val="0000" w:firstRow="0" w:lastRow="0" w:firstColumn="0" w:lastColumn="0" w:noHBand="0" w:noVBand="0"/>
      </w:tblPr>
      <w:tblGrid>
        <w:gridCol w:w="1951"/>
        <w:gridCol w:w="7938"/>
      </w:tblGrid>
      <w:tr w:rsidR="00D3322A" w:rsidRPr="00EC62E9" w:rsidTr="00847FAE">
        <w:tc>
          <w:tcPr>
            <w:tcW w:w="1951" w:type="dxa"/>
          </w:tcPr>
          <w:p w:rsidR="00D3322A" w:rsidRPr="00EC62E9" w:rsidRDefault="00D3322A" w:rsidP="00847FAE">
            <w:pPr>
              <w:pStyle w:val="Heading5"/>
              <w:rPr>
                <w:lang w:val="de-DE"/>
              </w:rPr>
            </w:pPr>
            <w:bookmarkStart w:id="59" w:name="_Toc396137529"/>
            <w:bookmarkStart w:id="60" w:name="_Toc398736724"/>
            <w:r w:rsidRPr="00EC62E9">
              <w:rPr>
                <w:lang w:val="de-DE"/>
              </w:rPr>
              <w:t>Ziele</w:t>
            </w:r>
            <w:bookmarkEnd w:id="59"/>
            <w:bookmarkEnd w:id="60"/>
          </w:p>
        </w:tc>
        <w:tc>
          <w:tcPr>
            <w:tcW w:w="7938" w:type="dxa"/>
            <w:vAlign w:val="center"/>
          </w:tcPr>
          <w:p w:rsidR="00D3322A" w:rsidRPr="00EC62E9" w:rsidRDefault="00D3322A" w:rsidP="00847FAE">
            <w:pPr>
              <w:keepNext/>
              <w:keepLines/>
              <w:widowControl w:val="0"/>
              <w:numPr>
                <w:ilvl w:val="0"/>
                <w:numId w:val="1"/>
              </w:numPr>
              <w:jc w:val="left"/>
              <w:rPr>
                <w:b/>
                <w:i/>
                <w:sz w:val="18"/>
                <w:szCs w:val="18"/>
                <w:lang w:val="de-DE"/>
              </w:rPr>
            </w:pPr>
            <w:r w:rsidRPr="00EC62E9">
              <w:rPr>
                <w:sz w:val="18"/>
                <w:lang w:val="de-DE"/>
              </w:rPr>
              <w:t>Wahrung und Verbesserung der Wirksamkeit des UPOV-Systems.</w:t>
            </w:r>
          </w:p>
          <w:p w:rsidR="00D3322A" w:rsidRPr="00EC62E9" w:rsidRDefault="00D3322A" w:rsidP="00847FAE">
            <w:pPr>
              <w:keepNext/>
              <w:keepLines/>
              <w:widowControl w:val="0"/>
              <w:numPr>
                <w:ilvl w:val="0"/>
                <w:numId w:val="1"/>
              </w:numPr>
              <w:jc w:val="left"/>
              <w:rPr>
                <w:b/>
                <w:sz w:val="18"/>
                <w:szCs w:val="18"/>
                <w:lang w:val="de-DE"/>
              </w:rPr>
            </w:pPr>
            <w:r w:rsidRPr="00EC62E9">
              <w:rPr>
                <w:sz w:val="18"/>
                <w:lang w:val="de-DE"/>
              </w:rPr>
              <w:t>Bereitstellung und Entwicklung der rechtlichen, administrativen und technischen Grundlage für die internationale Zusammenarbeit auf dem Gebiet des Sortenschutzes nach dem UPOV-Übereinkommen.</w:t>
            </w:r>
          </w:p>
        </w:tc>
      </w:tr>
    </w:tbl>
    <w:p w:rsidR="00D3322A" w:rsidRDefault="00D3322A" w:rsidP="00D3322A">
      <w:pPr>
        <w:tabs>
          <w:tab w:val="left" w:pos="2410"/>
          <w:tab w:val="left" w:pos="4536"/>
          <w:tab w:val="left" w:pos="9072"/>
        </w:tabs>
        <w:rPr>
          <w:sz w:val="18"/>
          <w:szCs w:val="18"/>
          <w:lang w:val="de-DE"/>
        </w:rPr>
      </w:pPr>
    </w:p>
    <w:p w:rsidR="0085478D" w:rsidRPr="00EC62E9" w:rsidRDefault="0085478D" w:rsidP="00D3322A">
      <w:pPr>
        <w:tabs>
          <w:tab w:val="left" w:pos="2410"/>
          <w:tab w:val="left" w:pos="4536"/>
          <w:tab w:val="left" w:pos="9072"/>
        </w:tabs>
        <w:rPr>
          <w:sz w:val="18"/>
          <w:szCs w:val="18"/>
          <w:lang w:val="de-DE"/>
        </w:rPr>
      </w:pPr>
    </w:p>
    <w:p w:rsidR="00E34872" w:rsidRPr="00EC62E9" w:rsidRDefault="00E34872" w:rsidP="00E34872">
      <w:pPr>
        <w:pStyle w:val="Heading5"/>
        <w:rPr>
          <w:lang w:val="de-DE"/>
        </w:rPr>
      </w:pPr>
      <w:bookmarkStart w:id="61" w:name="_Toc398736725"/>
      <w:r w:rsidRPr="00EC62E9">
        <w:rPr>
          <w:lang w:val="de-DE"/>
        </w:rPr>
        <w:t>Erzielte Ergebnisse:  Ausgewählte Planerfüllungsindikatoren</w:t>
      </w:r>
      <w:bookmarkEnd w:id="61"/>
    </w:p>
    <w:p w:rsidR="00D3322A" w:rsidRPr="00EC62E9" w:rsidRDefault="00D3322A" w:rsidP="00D3322A">
      <w:pPr>
        <w:tabs>
          <w:tab w:val="left" w:pos="2410"/>
          <w:tab w:val="left" w:pos="4536"/>
          <w:tab w:val="left" w:pos="9072"/>
        </w:tabs>
        <w:rPr>
          <w:sz w:val="18"/>
          <w:szCs w:val="18"/>
          <w:lang w:val="de-DE"/>
        </w:rPr>
      </w:pPr>
    </w:p>
    <w:p w:rsidR="00D3322A" w:rsidRPr="00EC62E9" w:rsidRDefault="00D3322A" w:rsidP="00D3322A">
      <w:pPr>
        <w:pStyle w:val="Heading6"/>
        <w:rPr>
          <w:lang w:val="de-DE"/>
        </w:rPr>
      </w:pPr>
      <w:bookmarkStart w:id="62" w:name="_Toc396137531"/>
      <w:bookmarkStart w:id="63" w:name="_Toc398736726"/>
      <w:r w:rsidRPr="00EC62E9">
        <w:rPr>
          <w:lang w:val="de-DE"/>
        </w:rPr>
        <w:t>1.  Anleitung zum UPOV-Übereinkommen und seiner Umsetzung sowie Informationen zu seiner Anwendung</w:t>
      </w:r>
      <w:bookmarkEnd w:id="62"/>
      <w:bookmarkEnd w:id="63"/>
    </w:p>
    <w:p w:rsidR="00D3322A" w:rsidRPr="00EC62E9" w:rsidRDefault="00D3322A" w:rsidP="00D3322A">
      <w:pPr>
        <w:rPr>
          <w:lang w:val="de-DE"/>
        </w:rPr>
      </w:pPr>
    </w:p>
    <w:p w:rsidR="00D3322A" w:rsidRPr="00EC62E9" w:rsidRDefault="00E25A9D" w:rsidP="00D3322A">
      <w:pPr>
        <w:pStyle w:val="Heading8"/>
        <w:rPr>
          <w:lang w:val="de-DE"/>
        </w:rPr>
      </w:pPr>
      <w:bookmarkStart w:id="64" w:name="_Toc396137532"/>
      <w:bookmarkStart w:id="65" w:name="_Toc398736727"/>
      <w:r>
        <w:rPr>
          <w:lang w:val="de-DE"/>
        </w:rPr>
        <w:t xml:space="preserve">a)  </w:t>
      </w:r>
      <w:r w:rsidR="00D3322A" w:rsidRPr="00EC62E9">
        <w:rPr>
          <w:lang w:val="de-DE"/>
        </w:rPr>
        <w:t>Annahme von neuem oder überarbeitetem Informationsmaterial zum UPOV-Übereinkommen</w:t>
      </w:r>
      <w:bookmarkEnd w:id="64"/>
      <w:bookmarkEnd w:id="65"/>
    </w:p>
    <w:p w:rsidR="00D3322A" w:rsidRPr="00EC62E9" w:rsidRDefault="00D3322A" w:rsidP="0085478D">
      <w:pPr>
        <w:keepNext/>
        <w:keepLines/>
        <w:spacing w:after="120"/>
        <w:ind w:right="176"/>
        <w:jc w:val="left"/>
        <w:rPr>
          <w:color w:val="000000"/>
          <w:sz w:val="18"/>
          <w:szCs w:val="18"/>
          <w:lang w:val="de-DE"/>
        </w:rPr>
      </w:pPr>
      <w:r w:rsidRPr="00EC62E9">
        <w:rPr>
          <w:color w:val="000000"/>
          <w:sz w:val="18"/>
          <w:lang w:val="de-DE"/>
        </w:rPr>
        <w:t>Der Rat nahm folgendes an:</w:t>
      </w:r>
    </w:p>
    <w:p w:rsidR="00D3322A" w:rsidRPr="00EC62E9" w:rsidRDefault="00D3322A" w:rsidP="00D3322A">
      <w:pPr>
        <w:tabs>
          <w:tab w:val="num" w:pos="2160"/>
        </w:tabs>
        <w:spacing w:after="60"/>
        <w:ind w:left="1950" w:hanging="1593"/>
        <w:jc w:val="left"/>
        <w:rPr>
          <w:sz w:val="18"/>
          <w:szCs w:val="18"/>
          <w:lang w:val="de-DE"/>
        </w:rPr>
      </w:pPr>
      <w:r w:rsidRPr="00EC62E9">
        <w:rPr>
          <w:sz w:val="18"/>
          <w:lang w:val="de-DE"/>
        </w:rPr>
        <w:t>- 1 neues Informationsdokument</w:t>
      </w:r>
    </w:p>
    <w:p w:rsidR="00D3322A" w:rsidRPr="00EC62E9" w:rsidRDefault="00D3322A" w:rsidP="00D3322A">
      <w:pPr>
        <w:tabs>
          <w:tab w:val="num" w:pos="2444"/>
        </w:tabs>
        <w:spacing w:after="60"/>
        <w:ind w:left="743"/>
        <w:jc w:val="left"/>
        <w:rPr>
          <w:sz w:val="18"/>
          <w:szCs w:val="18"/>
          <w:lang w:val="de-DE"/>
        </w:rPr>
      </w:pPr>
      <w:r w:rsidRPr="00EC62E9">
        <w:rPr>
          <w:sz w:val="18"/>
          <w:szCs w:val="18"/>
          <w:lang w:val="de-DE"/>
        </w:rPr>
        <w:t>UPOV/INF/21/1</w:t>
      </w:r>
      <w:r w:rsidRPr="00EC62E9">
        <w:rPr>
          <w:sz w:val="18"/>
          <w:szCs w:val="18"/>
          <w:lang w:val="de-DE"/>
        </w:rPr>
        <w:tab/>
        <w:t>Alternative Mechanismen zur Streitbeilegung</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- 11 Überarbeitungen bereits früher angenommener Informationsdokumente</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UPOV/INF/4/2:</w:t>
      </w:r>
      <w:r w:rsidRPr="00EC62E9">
        <w:rPr>
          <w:sz w:val="18"/>
          <w:szCs w:val="18"/>
          <w:lang w:val="de-DE"/>
        </w:rPr>
        <w:tab/>
        <w:t xml:space="preserve">Finanzordnung und ihre Durchführungsbestimmungen der UPOV (Überarbeitung) </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UPOV/INF/4/3:</w:t>
      </w:r>
      <w:r w:rsidRPr="00EC62E9">
        <w:rPr>
          <w:sz w:val="18"/>
          <w:szCs w:val="18"/>
          <w:lang w:val="de-DE"/>
        </w:rPr>
        <w:tab/>
        <w:t xml:space="preserve">Finanzordnung und ihre Durchführungsbestimmungen der UPOV (Überarbeitung) </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UPOV/INF/6/3</w:t>
      </w:r>
      <w:r w:rsidRPr="00EC62E9">
        <w:rPr>
          <w:sz w:val="18"/>
          <w:szCs w:val="18"/>
          <w:lang w:val="de-DE"/>
        </w:rPr>
        <w:tab/>
        <w:t>Anleitung zur Ausarbeitung von Rechtsvorschriften aufgrund der Akte von 1991 des UPOV Übereinkommens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UPOV/INF/15/2</w:t>
      </w:r>
      <w:r w:rsidRPr="00EC62E9">
        <w:rPr>
          <w:sz w:val="18"/>
          <w:szCs w:val="18"/>
          <w:lang w:val="de-DE"/>
        </w:rPr>
        <w:tab/>
        <w:t xml:space="preserve">Anleitung über die laufenden Verpflichtungen der Verbandsmitglieder und die damit verbundenen </w:t>
      </w:r>
      <w:proofErr w:type="spellStart"/>
      <w:r w:rsidRPr="00EC62E9">
        <w:rPr>
          <w:sz w:val="18"/>
          <w:szCs w:val="18"/>
          <w:lang w:val="de-DE"/>
        </w:rPr>
        <w:t>Notifizierungen</w:t>
      </w:r>
      <w:proofErr w:type="spellEnd"/>
      <w:r w:rsidRPr="00EC62E9">
        <w:rPr>
          <w:sz w:val="18"/>
          <w:szCs w:val="18"/>
          <w:lang w:val="de-DE"/>
        </w:rPr>
        <w:t xml:space="preserve"> und über die Bereitstellung von Information zur Verbesserung der Zusammenarbeit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UPOV/INF/16/3</w:t>
      </w:r>
      <w:r w:rsidRPr="00EC62E9">
        <w:rPr>
          <w:sz w:val="18"/>
          <w:szCs w:val="18"/>
          <w:lang w:val="de-DE"/>
        </w:rPr>
        <w:tab/>
        <w:t>Austauschbare Software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UPOV/INF/19/1</w:t>
      </w:r>
      <w:r w:rsidRPr="00EC62E9">
        <w:rPr>
          <w:sz w:val="18"/>
          <w:szCs w:val="18"/>
          <w:lang w:val="de-DE"/>
        </w:rPr>
        <w:tab/>
        <w:t>Regeln für die Erteilung des Beobachterstatus an Staaten, zwischenstaatliche Organisationen und internationale Nichtregierungsorganisationen bei UPOV-Organen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UPOV/INF/20/1</w:t>
      </w:r>
      <w:r w:rsidRPr="00EC62E9">
        <w:rPr>
          <w:sz w:val="18"/>
          <w:szCs w:val="18"/>
          <w:lang w:val="de-DE"/>
        </w:rPr>
        <w:tab/>
        <w:t>Regeln für den Zugang zu UPOV-Dokumenten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UPOV/INF-EXN/2:</w:t>
      </w:r>
      <w:r w:rsidRPr="00EC62E9">
        <w:rPr>
          <w:sz w:val="18"/>
          <w:szCs w:val="18"/>
          <w:lang w:val="de-DE"/>
        </w:rPr>
        <w:tab/>
        <w:t xml:space="preserve">Liste der INF-EXN-Dokumente und Datum der jüngsten Ausgabe (Überarbeitung) </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UPOV/INF-EXN/3</w:t>
      </w:r>
      <w:r w:rsidRPr="00EC62E9">
        <w:rPr>
          <w:sz w:val="18"/>
          <w:szCs w:val="18"/>
          <w:lang w:val="de-DE"/>
        </w:rPr>
        <w:tab/>
        <w:t>Liste der INF/EXN-Dokumente und Datum der jüngsten Ausgabe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UPOV/INF-EXN/4</w:t>
      </w:r>
      <w:r w:rsidRPr="00EC62E9">
        <w:rPr>
          <w:sz w:val="18"/>
          <w:szCs w:val="18"/>
          <w:lang w:val="de-DE"/>
        </w:rPr>
        <w:tab/>
        <w:t>Liste der INF/EXN-Dokumente und Datum der jüngsten Ausgabe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UPOV/INF-EXN/5</w:t>
      </w:r>
      <w:r w:rsidRPr="00EC62E9">
        <w:rPr>
          <w:sz w:val="18"/>
          <w:szCs w:val="18"/>
          <w:lang w:val="de-DE"/>
        </w:rPr>
        <w:tab/>
        <w:t>Liste der INF/EXN-Dokumente und Datum der jüngsten Ausgabe (Überarbeitung)</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- 2 neue Erläuterungen</w:t>
      </w:r>
    </w:p>
    <w:p w:rsidR="00D3322A" w:rsidRPr="00EC62E9" w:rsidRDefault="00D3322A" w:rsidP="00D3322A">
      <w:pPr>
        <w:tabs>
          <w:tab w:val="num" w:pos="2160"/>
        </w:tabs>
        <w:spacing w:before="120" w:after="60"/>
        <w:ind w:left="1950" w:hanging="1593"/>
        <w:jc w:val="left"/>
        <w:rPr>
          <w:sz w:val="18"/>
          <w:szCs w:val="18"/>
          <w:lang w:val="de-DE"/>
        </w:rPr>
      </w:pP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UPOV/EXN/BRD/1</w:t>
      </w:r>
      <w:r w:rsidRPr="00EC62E9">
        <w:rPr>
          <w:sz w:val="18"/>
          <w:szCs w:val="18"/>
          <w:lang w:val="de-DE"/>
        </w:rPr>
        <w:tab/>
        <w:t>Erläuterungen zur Begriffsbestimmung des Züchters nach der Akte von 1991 des UPOV-Übereinkommens</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UPOV/EXN/HRV/1</w:t>
      </w:r>
      <w:r w:rsidRPr="00EC62E9">
        <w:rPr>
          <w:sz w:val="18"/>
          <w:szCs w:val="18"/>
          <w:lang w:val="de-DE"/>
        </w:rPr>
        <w:tab/>
        <w:t xml:space="preserve">Erläuterungen zu Handlungen in </w:t>
      </w:r>
      <w:proofErr w:type="spellStart"/>
      <w:r w:rsidRPr="00EC62E9">
        <w:rPr>
          <w:sz w:val="18"/>
          <w:szCs w:val="18"/>
          <w:lang w:val="de-DE"/>
        </w:rPr>
        <w:t>bezug</w:t>
      </w:r>
      <w:proofErr w:type="spellEnd"/>
      <w:r w:rsidRPr="00EC62E9">
        <w:rPr>
          <w:sz w:val="18"/>
          <w:szCs w:val="18"/>
          <w:lang w:val="de-DE"/>
        </w:rPr>
        <w:t xml:space="preserve"> auf </w:t>
      </w:r>
      <w:proofErr w:type="spellStart"/>
      <w:r w:rsidRPr="00EC62E9">
        <w:rPr>
          <w:sz w:val="18"/>
          <w:szCs w:val="18"/>
          <w:lang w:val="de-DE"/>
        </w:rPr>
        <w:t>Erntegut</w:t>
      </w:r>
      <w:proofErr w:type="spellEnd"/>
      <w:r w:rsidRPr="00EC62E9">
        <w:rPr>
          <w:sz w:val="18"/>
          <w:szCs w:val="18"/>
          <w:lang w:val="de-DE"/>
        </w:rPr>
        <w:t xml:space="preserve"> nach der Akte von 1991 des UPOV-Übereinkommens</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lang w:val="de-DE"/>
        </w:rPr>
        <w:t>- 1 Überarbeitung bereits früher angenommener Erläuterungen</w:t>
      </w:r>
    </w:p>
    <w:p w:rsidR="00D3322A" w:rsidRDefault="00D3322A" w:rsidP="00D3322A">
      <w:pPr>
        <w:tabs>
          <w:tab w:val="num" w:pos="2444"/>
        </w:tabs>
        <w:spacing w:after="60"/>
        <w:ind w:left="2444" w:hanging="1701"/>
        <w:jc w:val="left"/>
        <w:rPr>
          <w:sz w:val="18"/>
          <w:szCs w:val="18"/>
          <w:lang w:val="de-DE"/>
        </w:rPr>
      </w:pPr>
      <w:r w:rsidRPr="00EC62E9">
        <w:rPr>
          <w:sz w:val="18"/>
          <w:szCs w:val="18"/>
          <w:lang w:val="de-DE"/>
        </w:rPr>
        <w:t xml:space="preserve">UPOV/INF/12/4 </w:t>
      </w:r>
      <w:r w:rsidRPr="00EC62E9">
        <w:rPr>
          <w:sz w:val="18"/>
          <w:szCs w:val="18"/>
          <w:lang w:val="de-DE"/>
        </w:rPr>
        <w:tab/>
        <w:t>Erläuterungen zu Sortenbezeichnungen nach dem UPOV-Übereinkommen (Überarbeitung)</w:t>
      </w:r>
    </w:p>
    <w:p w:rsidR="0085478D" w:rsidRPr="0085478D" w:rsidRDefault="0085478D" w:rsidP="0085478D">
      <w:pPr>
        <w:rPr>
          <w:sz w:val="18"/>
        </w:rPr>
      </w:pPr>
    </w:p>
    <w:p w:rsidR="00D3322A" w:rsidRPr="00EC62E9" w:rsidRDefault="00D3322A" w:rsidP="00D3322A">
      <w:pPr>
        <w:spacing w:after="240"/>
        <w:jc w:val="left"/>
        <w:rPr>
          <w:color w:val="000000"/>
          <w:sz w:val="18"/>
          <w:szCs w:val="18"/>
          <w:lang w:val="de-DE"/>
        </w:rPr>
      </w:pPr>
      <w:r w:rsidRPr="00EC62E9">
        <w:rPr>
          <w:color w:val="000000"/>
          <w:sz w:val="18"/>
          <w:szCs w:val="18"/>
          <w:lang w:val="de-DE"/>
        </w:rPr>
        <w:t xml:space="preserve">Der CAJ prüfte zusammen mit der Beratungsgruppe des Verwaltungs- und Rechtsausschusses ((CAJ-AG) und gegebenenfalls dem TC Entwürfe folgender Dokumente: </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- 2 neue Informationsdokumente</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UPOV/INF/15</w:t>
      </w:r>
      <w:r w:rsidRPr="00EC62E9">
        <w:rPr>
          <w:sz w:val="18"/>
          <w:szCs w:val="18"/>
          <w:lang w:val="de-DE"/>
        </w:rPr>
        <w:tab/>
        <w:t xml:space="preserve">Anleitung über die laufenden Verpflichtungen der Verbandsmitglieder und die damit verbundenen </w:t>
      </w:r>
      <w:proofErr w:type="spellStart"/>
      <w:r w:rsidRPr="00EC62E9">
        <w:rPr>
          <w:sz w:val="18"/>
          <w:szCs w:val="18"/>
          <w:lang w:val="de-DE"/>
        </w:rPr>
        <w:t>Notifizierungen</w:t>
      </w:r>
      <w:proofErr w:type="spellEnd"/>
      <w:r w:rsidRPr="00EC62E9">
        <w:rPr>
          <w:sz w:val="18"/>
          <w:szCs w:val="18"/>
          <w:lang w:val="de-DE"/>
        </w:rPr>
        <w:t xml:space="preserve"> und über die Bereitstellung von Information zur Verbesserung der Zusammenarbeit</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UPOV/INF/ADS</w:t>
      </w:r>
      <w:r w:rsidRPr="00EC62E9">
        <w:rPr>
          <w:sz w:val="18"/>
          <w:szCs w:val="18"/>
          <w:lang w:val="de-DE"/>
        </w:rPr>
        <w:tab/>
        <w:t>Alternative Mechanismen zur Streitbeilegung</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- 1 Überarbeitung bereits früher angenommener Informationsdokumente</w:t>
      </w:r>
    </w:p>
    <w:p w:rsidR="00D3322A" w:rsidRPr="00EC62E9" w:rsidRDefault="00D3322A" w:rsidP="00D3322A">
      <w:pPr>
        <w:tabs>
          <w:tab w:val="num" w:pos="2444"/>
        </w:tabs>
        <w:spacing w:after="60"/>
        <w:ind w:left="743"/>
        <w:jc w:val="left"/>
        <w:rPr>
          <w:sz w:val="18"/>
          <w:szCs w:val="18"/>
          <w:lang w:val="de-DE"/>
        </w:rPr>
      </w:pPr>
      <w:r w:rsidRPr="00EC62E9">
        <w:rPr>
          <w:sz w:val="18"/>
          <w:szCs w:val="18"/>
          <w:lang w:val="de-DE"/>
        </w:rPr>
        <w:t>UPOV/INF/16</w:t>
      </w:r>
      <w:r w:rsidRPr="00EC62E9">
        <w:rPr>
          <w:sz w:val="18"/>
          <w:szCs w:val="18"/>
          <w:lang w:val="de-DE"/>
        </w:rPr>
        <w:tab/>
        <w:t>Austauschbare Software (Überarbeitung)</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- 3 neue Erläuterungen</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UPOV/EXN/BRD</w:t>
      </w:r>
      <w:r w:rsidRPr="00EC62E9">
        <w:rPr>
          <w:sz w:val="18"/>
          <w:szCs w:val="18"/>
          <w:lang w:val="de-DE"/>
        </w:rPr>
        <w:tab/>
        <w:t>Erläuterungen zur Begriffsbestimmung des Züchters nach der Akte von 1991 des UPOV-Übereinkommens</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UPOV/EXN/HRV</w:t>
      </w:r>
      <w:r w:rsidRPr="00EC62E9">
        <w:rPr>
          <w:sz w:val="18"/>
          <w:szCs w:val="18"/>
          <w:lang w:val="de-DE"/>
        </w:rPr>
        <w:tab/>
        <w:t xml:space="preserve">Erläuterungen zu Handlungen in </w:t>
      </w:r>
      <w:proofErr w:type="spellStart"/>
      <w:r w:rsidRPr="00EC62E9">
        <w:rPr>
          <w:sz w:val="18"/>
          <w:szCs w:val="18"/>
          <w:lang w:val="de-DE"/>
        </w:rPr>
        <w:t>bezug</w:t>
      </w:r>
      <w:proofErr w:type="spellEnd"/>
      <w:r w:rsidRPr="00EC62E9">
        <w:rPr>
          <w:sz w:val="18"/>
          <w:szCs w:val="18"/>
          <w:lang w:val="de-DE"/>
        </w:rPr>
        <w:t xml:space="preserve"> auf </w:t>
      </w:r>
      <w:proofErr w:type="spellStart"/>
      <w:r w:rsidRPr="00EC62E9">
        <w:rPr>
          <w:sz w:val="18"/>
          <w:szCs w:val="18"/>
          <w:lang w:val="de-DE"/>
        </w:rPr>
        <w:t>Erntegut</w:t>
      </w:r>
      <w:proofErr w:type="spellEnd"/>
      <w:r w:rsidRPr="00EC62E9">
        <w:rPr>
          <w:sz w:val="18"/>
          <w:szCs w:val="18"/>
          <w:lang w:val="de-DE"/>
        </w:rPr>
        <w:t xml:space="preserve"> nach der Akte von 1991 des UPOV-Übereinkommens</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- 1 Überarbeitung bereits früher angenommener Erläuterungen</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UPOV/EXN/EDV</w:t>
      </w:r>
      <w:r w:rsidRPr="00EC62E9">
        <w:rPr>
          <w:sz w:val="18"/>
          <w:szCs w:val="18"/>
          <w:lang w:val="de-DE"/>
        </w:rPr>
        <w:tab/>
        <w:t xml:space="preserve">Erläuterungen zu den im </w:t>
      </w:r>
      <w:proofErr w:type="gramStart"/>
      <w:r w:rsidRPr="00EC62E9">
        <w:rPr>
          <w:sz w:val="18"/>
          <w:szCs w:val="18"/>
          <w:lang w:val="de-DE"/>
        </w:rPr>
        <w:t>wesentlichen</w:t>
      </w:r>
      <w:proofErr w:type="gramEnd"/>
      <w:r w:rsidRPr="00EC62E9">
        <w:rPr>
          <w:sz w:val="18"/>
          <w:szCs w:val="18"/>
          <w:lang w:val="de-DE"/>
        </w:rPr>
        <w:t xml:space="preserve"> abgeleiteten Sorten nach der Akte von 1991 des UPOV-Übereinkommens (Überarbeitung)</w:t>
      </w:r>
    </w:p>
    <w:p w:rsidR="00D3322A" w:rsidRPr="00EC62E9" w:rsidRDefault="00D3322A" w:rsidP="0085478D">
      <w:pPr>
        <w:spacing w:before="120" w:after="60"/>
        <w:ind w:left="470" w:hanging="113"/>
        <w:jc w:val="left"/>
        <w:rPr>
          <w:sz w:val="18"/>
          <w:szCs w:val="18"/>
          <w:lang w:val="de-DE"/>
        </w:rPr>
      </w:pPr>
      <w:r w:rsidRPr="00EC62E9">
        <w:rPr>
          <w:sz w:val="18"/>
          <w:lang w:val="de-DE"/>
        </w:rPr>
        <w:t xml:space="preserve">- für </w:t>
      </w:r>
      <w:r w:rsidRPr="0085478D">
        <w:rPr>
          <w:sz w:val="18"/>
          <w:szCs w:val="18"/>
          <w:lang w:val="de-DE"/>
        </w:rPr>
        <w:t>TGP</w:t>
      </w:r>
      <w:r w:rsidRPr="00EC62E9">
        <w:rPr>
          <w:sz w:val="18"/>
          <w:lang w:val="de-DE"/>
        </w:rPr>
        <w:t>-Dokumente siehe Abschnitt 2.2 „Unterprogramm UV.2”, Erwartetes Ergebnis „2. Anleitung zur Prüfung von Sorten“ und „a) Annahme von neuen oder überarbeiteten TGP-Dokumenten und Informationsmaterialien“</w:t>
      </w:r>
    </w:p>
    <w:p w:rsidR="00D3322A" w:rsidRDefault="00D3322A" w:rsidP="00D3322A">
      <w:pPr>
        <w:rPr>
          <w:sz w:val="18"/>
          <w:szCs w:val="18"/>
          <w:lang w:val="de-DE"/>
        </w:rPr>
      </w:pPr>
    </w:p>
    <w:p w:rsidR="00C27AC4" w:rsidRPr="00EC62E9" w:rsidRDefault="00C27AC4" w:rsidP="00D3322A">
      <w:pPr>
        <w:rPr>
          <w:sz w:val="18"/>
          <w:szCs w:val="18"/>
          <w:lang w:val="de-DE"/>
        </w:rPr>
      </w:pPr>
    </w:p>
    <w:p w:rsidR="00D3322A" w:rsidRPr="00EC62E9" w:rsidRDefault="00E25A9D" w:rsidP="00D3322A">
      <w:pPr>
        <w:pStyle w:val="Heading8"/>
        <w:rPr>
          <w:lang w:val="de-DE"/>
        </w:rPr>
      </w:pPr>
      <w:bookmarkStart w:id="66" w:name="_Toc396137533"/>
      <w:bookmarkStart w:id="67" w:name="_Toc398736728"/>
      <w:r>
        <w:rPr>
          <w:lang w:val="de-DE"/>
        </w:rPr>
        <w:t xml:space="preserve">b)  </w:t>
      </w:r>
      <w:r w:rsidR="00D3322A" w:rsidRPr="00EC62E9">
        <w:rPr>
          <w:lang w:val="de-DE"/>
        </w:rPr>
        <w:t xml:space="preserve">Veröffentlichung der UPOV Gazette </w:t>
      </w:r>
      <w:proofErr w:type="spellStart"/>
      <w:r w:rsidR="00D3322A" w:rsidRPr="00EC62E9">
        <w:rPr>
          <w:lang w:val="de-DE"/>
        </w:rPr>
        <w:t>and</w:t>
      </w:r>
      <w:proofErr w:type="spellEnd"/>
      <w:r w:rsidR="00D3322A" w:rsidRPr="00EC62E9">
        <w:rPr>
          <w:lang w:val="de-DE"/>
        </w:rPr>
        <w:t xml:space="preserve"> Newsletter</w:t>
      </w:r>
      <w:bookmarkEnd w:id="66"/>
      <w:bookmarkEnd w:id="67"/>
    </w:p>
    <w:p w:rsidR="00D3322A" w:rsidRPr="00EC62E9" w:rsidRDefault="00D3322A" w:rsidP="00D3322A">
      <w:pPr>
        <w:rPr>
          <w:color w:val="000000"/>
          <w:sz w:val="18"/>
          <w:szCs w:val="18"/>
          <w:lang w:val="de-DE"/>
        </w:rPr>
      </w:pPr>
      <w:r w:rsidRPr="00EC62E9">
        <w:rPr>
          <w:color w:val="000000"/>
          <w:sz w:val="18"/>
          <w:lang w:val="de-DE"/>
        </w:rPr>
        <w:t>Zwei Ausgaben der UPOV-Publikation Nr. 438 „</w:t>
      </w:r>
      <w:r w:rsidRPr="00EC62E9">
        <w:rPr>
          <w:i/>
          <w:color w:val="000000"/>
          <w:sz w:val="18"/>
          <w:lang w:val="de-DE"/>
        </w:rPr>
        <w:t xml:space="preserve">Plant </w:t>
      </w:r>
      <w:proofErr w:type="spellStart"/>
      <w:r w:rsidRPr="00EC62E9">
        <w:rPr>
          <w:i/>
          <w:color w:val="000000"/>
          <w:sz w:val="18"/>
          <w:lang w:val="de-DE"/>
        </w:rPr>
        <w:t>Variety</w:t>
      </w:r>
      <w:proofErr w:type="spellEnd"/>
      <w:r w:rsidRPr="00EC62E9">
        <w:rPr>
          <w:i/>
          <w:color w:val="000000"/>
          <w:sz w:val="18"/>
          <w:lang w:val="de-DE"/>
        </w:rPr>
        <w:t xml:space="preserve"> </w:t>
      </w:r>
      <w:proofErr w:type="spellStart"/>
      <w:r w:rsidRPr="00EC62E9">
        <w:rPr>
          <w:i/>
          <w:color w:val="000000"/>
          <w:sz w:val="18"/>
          <w:lang w:val="de-DE"/>
        </w:rPr>
        <w:t>Protection</w:t>
      </w:r>
      <w:proofErr w:type="spellEnd"/>
      <w:r w:rsidRPr="00EC62E9">
        <w:rPr>
          <w:i/>
          <w:color w:val="000000"/>
          <w:sz w:val="18"/>
          <w:lang w:val="de-DE"/>
        </w:rPr>
        <w:t xml:space="preserve"> Gazette </w:t>
      </w:r>
      <w:proofErr w:type="spellStart"/>
      <w:r w:rsidRPr="00EC62E9">
        <w:rPr>
          <w:i/>
          <w:color w:val="000000"/>
          <w:sz w:val="18"/>
          <w:lang w:val="de-DE"/>
        </w:rPr>
        <w:t>and</w:t>
      </w:r>
      <w:proofErr w:type="spellEnd"/>
      <w:r w:rsidRPr="00EC62E9">
        <w:rPr>
          <w:i/>
          <w:color w:val="000000"/>
          <w:sz w:val="18"/>
          <w:lang w:val="de-DE"/>
        </w:rPr>
        <w:t xml:space="preserve"> Newsletter</w:t>
      </w:r>
      <w:r w:rsidRPr="00EC62E9">
        <w:rPr>
          <w:color w:val="000000"/>
          <w:sz w:val="18"/>
          <w:lang w:val="de-DE"/>
        </w:rPr>
        <w:t xml:space="preserve">” (nur in </w:t>
      </w:r>
      <w:r w:rsidR="00847FAE" w:rsidRPr="00EC62E9">
        <w:rPr>
          <w:color w:val="000000"/>
          <w:sz w:val="18"/>
          <w:lang w:val="de-DE"/>
        </w:rPr>
        <w:t>English) wurden in der Finanz</w:t>
      </w:r>
      <w:r w:rsidRPr="00EC62E9">
        <w:rPr>
          <w:color w:val="000000"/>
          <w:sz w:val="18"/>
          <w:lang w:val="de-DE"/>
        </w:rPr>
        <w:t>periode 2012-2013 veröffentlicht.</w:t>
      </w:r>
    </w:p>
    <w:p w:rsidR="00D3322A" w:rsidRDefault="00D3322A" w:rsidP="00D3322A">
      <w:pPr>
        <w:rPr>
          <w:color w:val="000000"/>
          <w:sz w:val="18"/>
          <w:szCs w:val="18"/>
          <w:lang w:val="de-DE"/>
        </w:rPr>
      </w:pPr>
    </w:p>
    <w:p w:rsidR="00C27AC4" w:rsidRPr="00EC62E9" w:rsidRDefault="00C27AC4" w:rsidP="00D3322A">
      <w:pPr>
        <w:rPr>
          <w:color w:val="000000"/>
          <w:sz w:val="18"/>
          <w:szCs w:val="18"/>
          <w:lang w:val="de-DE"/>
        </w:rPr>
      </w:pPr>
    </w:p>
    <w:p w:rsidR="00D3322A" w:rsidRPr="00EC62E9" w:rsidRDefault="00D3322A" w:rsidP="00D3322A">
      <w:pPr>
        <w:pStyle w:val="Heading8"/>
        <w:rPr>
          <w:szCs w:val="18"/>
          <w:lang w:val="de-DE"/>
        </w:rPr>
      </w:pPr>
      <w:bookmarkStart w:id="68" w:name="_Toc396137534"/>
      <w:bookmarkStart w:id="69" w:name="_Toc398736729"/>
      <w:r w:rsidRPr="00EC62E9">
        <w:rPr>
          <w:lang w:val="de-DE"/>
        </w:rPr>
        <w:t>c)</w:t>
      </w:r>
      <w:r w:rsidR="00E25A9D">
        <w:rPr>
          <w:lang w:val="de-DE"/>
        </w:rPr>
        <w:t xml:space="preserve">  </w:t>
      </w:r>
      <w:r w:rsidRPr="00EC62E9">
        <w:rPr>
          <w:lang w:val="de-DE"/>
        </w:rPr>
        <w:t>Aufnahme von Gesetzen der Verbandsmitglieder in die UPOV Lex-Datenbank</w:t>
      </w:r>
      <w:bookmarkEnd w:id="68"/>
      <w:bookmarkEnd w:id="69"/>
    </w:p>
    <w:p w:rsidR="00D3322A" w:rsidRPr="00EC62E9" w:rsidRDefault="00D3322A" w:rsidP="00D3322A">
      <w:pPr>
        <w:keepNext/>
        <w:keepLines/>
        <w:numPr>
          <w:ilvl w:val="0"/>
          <w:numId w:val="2"/>
        </w:numPr>
        <w:spacing w:after="120"/>
        <w:ind w:right="176"/>
        <w:jc w:val="left"/>
        <w:rPr>
          <w:sz w:val="18"/>
          <w:szCs w:val="18"/>
          <w:lang w:val="de-DE"/>
        </w:rPr>
      </w:pPr>
      <w:r w:rsidRPr="00EC62E9">
        <w:rPr>
          <w:sz w:val="18"/>
          <w:lang w:val="de-DE"/>
        </w:rPr>
        <w:t>11 Gesetze betreffend 9 Verbandsmitglieder wurden in die UPOV Lex-Datenbank aufgenommen (Australien, Frankreich, Irland, Kroatien, Panama, Polen, Serbien, Vereinigte Staaten von Amerika und Vietnam)</w:t>
      </w:r>
    </w:p>
    <w:p w:rsidR="00C27AC4" w:rsidRDefault="00C27AC4" w:rsidP="00D3322A">
      <w:pPr>
        <w:rPr>
          <w:lang w:val="de-DE"/>
        </w:rPr>
      </w:pPr>
    </w:p>
    <w:p w:rsidR="00D3322A" w:rsidRPr="00EC62E9" w:rsidRDefault="00C27AC4" w:rsidP="00C27AC4">
      <w:pPr>
        <w:pStyle w:val="Heading8"/>
        <w:jc w:val="center"/>
        <w:rPr>
          <w:lang w:val="de-DE"/>
        </w:rPr>
      </w:pPr>
      <w:bookmarkStart w:id="70" w:name="_Toc398736730"/>
      <w:r w:rsidRPr="00C27AC4">
        <w:rPr>
          <w:lang w:val="de-DE"/>
        </w:rPr>
        <w:t>UPOV Lex-Datenbank: Besuche auf der UPOV-Website</w:t>
      </w:r>
      <w:r w:rsidRPr="00EC62E9">
        <w:rPr>
          <w:rStyle w:val="EndnoteReference"/>
          <w:b/>
          <w:lang w:val="de-DE"/>
        </w:rPr>
        <w:endnoteReference w:id="2"/>
      </w:r>
      <w:r w:rsidRPr="00C27AC4">
        <w:rPr>
          <w:lang w:val="de-DE"/>
        </w:rPr>
        <w:t xml:space="preserve"> im Jahr 2013</w:t>
      </w:r>
      <w:bookmarkEnd w:id="70"/>
    </w:p>
    <w:tbl>
      <w:tblPr>
        <w:tblW w:w="4501" w:type="dxa"/>
        <w:jc w:val="center"/>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374"/>
        <w:gridCol w:w="1843"/>
      </w:tblGrid>
      <w:tr w:rsidR="00D3322A" w:rsidRPr="00EC62E9" w:rsidTr="00C27AC4">
        <w:trPr>
          <w:trHeight w:val="143"/>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Sprache </w:t>
            </w:r>
          </w:p>
        </w:tc>
        <w:tc>
          <w:tcPr>
            <w:tcW w:w="137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Seitenaufrufe </w:t>
            </w:r>
          </w:p>
        </w:tc>
        <w:tc>
          <w:tcPr>
            <w:tcW w:w="1843" w:type="dxa"/>
          </w:tcPr>
          <w:p w:rsidR="00D3322A" w:rsidRPr="00EC62E9" w:rsidRDefault="00D3322A" w:rsidP="00847FAE">
            <w:pPr>
              <w:autoSpaceDE w:val="0"/>
              <w:autoSpaceDN w:val="0"/>
              <w:adjustRightInd w:val="0"/>
              <w:jc w:val="left"/>
              <w:rPr>
                <w:rFonts w:cs="Arial"/>
                <w:bCs/>
                <w:color w:val="000000"/>
                <w:sz w:val="18"/>
                <w:szCs w:val="22"/>
                <w:lang w:val="de-DE"/>
              </w:rPr>
            </w:pPr>
            <w:r w:rsidRPr="00EC62E9">
              <w:rPr>
                <w:color w:val="000000"/>
                <w:sz w:val="18"/>
                <w:lang w:val="de-DE"/>
              </w:rPr>
              <w:t xml:space="preserve">Einzelseitenaufrufe </w:t>
            </w:r>
          </w:p>
          <w:p w:rsidR="00D3322A" w:rsidRPr="00EC62E9" w:rsidRDefault="00D3322A" w:rsidP="00847FAE">
            <w:pPr>
              <w:autoSpaceDE w:val="0"/>
              <w:autoSpaceDN w:val="0"/>
              <w:adjustRightInd w:val="0"/>
              <w:jc w:val="left"/>
              <w:rPr>
                <w:rFonts w:cs="Arial"/>
                <w:color w:val="000000"/>
                <w:sz w:val="18"/>
                <w:szCs w:val="22"/>
                <w:lang w:val="de-DE"/>
              </w:rPr>
            </w:pPr>
          </w:p>
        </w:tc>
      </w:tr>
      <w:tr w:rsidR="00D3322A" w:rsidRPr="00EC62E9" w:rsidTr="00C27AC4">
        <w:trPr>
          <w:trHeight w:val="148"/>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Englisch </w:t>
            </w:r>
          </w:p>
        </w:tc>
        <w:tc>
          <w:tcPr>
            <w:tcW w:w="1374" w:type="dxa"/>
          </w:tcPr>
          <w:p w:rsidR="00D3322A" w:rsidRPr="00EC62E9" w:rsidRDefault="00D3322A" w:rsidP="00C27AC4">
            <w:pPr>
              <w:autoSpaceDE w:val="0"/>
              <w:autoSpaceDN w:val="0"/>
              <w:adjustRightInd w:val="0"/>
              <w:ind w:right="157"/>
              <w:jc w:val="right"/>
              <w:rPr>
                <w:rFonts w:cs="Arial"/>
                <w:color w:val="000000"/>
                <w:sz w:val="18"/>
                <w:szCs w:val="22"/>
                <w:lang w:val="de-DE"/>
              </w:rPr>
            </w:pPr>
            <w:r w:rsidRPr="00EC62E9">
              <w:rPr>
                <w:color w:val="000000"/>
                <w:sz w:val="18"/>
                <w:lang w:val="de-DE"/>
              </w:rPr>
              <w:t xml:space="preserve">58.442 </w:t>
            </w:r>
          </w:p>
        </w:tc>
        <w:tc>
          <w:tcPr>
            <w:tcW w:w="1843" w:type="dxa"/>
          </w:tcPr>
          <w:p w:rsidR="00D3322A" w:rsidRPr="00EC62E9" w:rsidRDefault="00D3322A" w:rsidP="00847FAE">
            <w:pPr>
              <w:tabs>
                <w:tab w:val="decimal" w:pos="1062"/>
              </w:tabs>
              <w:autoSpaceDE w:val="0"/>
              <w:autoSpaceDN w:val="0"/>
              <w:adjustRightInd w:val="0"/>
              <w:jc w:val="left"/>
              <w:rPr>
                <w:rFonts w:cs="Arial"/>
                <w:color w:val="000000"/>
                <w:sz w:val="18"/>
                <w:szCs w:val="22"/>
                <w:lang w:val="de-DE"/>
              </w:rPr>
            </w:pPr>
            <w:r w:rsidRPr="00EC62E9">
              <w:rPr>
                <w:color w:val="000000"/>
                <w:sz w:val="18"/>
                <w:lang w:val="de-DE"/>
              </w:rPr>
              <w:t xml:space="preserve">40.221 </w:t>
            </w:r>
          </w:p>
        </w:tc>
      </w:tr>
      <w:tr w:rsidR="00D3322A" w:rsidRPr="00EC62E9" w:rsidTr="00C27AC4">
        <w:trPr>
          <w:trHeight w:val="142"/>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Spanisch </w:t>
            </w:r>
          </w:p>
        </w:tc>
        <w:tc>
          <w:tcPr>
            <w:tcW w:w="1374" w:type="dxa"/>
          </w:tcPr>
          <w:p w:rsidR="00D3322A" w:rsidRPr="00EC62E9" w:rsidRDefault="00D3322A" w:rsidP="00C27AC4">
            <w:pPr>
              <w:autoSpaceDE w:val="0"/>
              <w:autoSpaceDN w:val="0"/>
              <w:adjustRightInd w:val="0"/>
              <w:ind w:right="157"/>
              <w:jc w:val="right"/>
              <w:rPr>
                <w:rFonts w:cs="Arial"/>
                <w:color w:val="000000"/>
                <w:sz w:val="18"/>
                <w:szCs w:val="22"/>
                <w:lang w:val="de-DE"/>
              </w:rPr>
            </w:pPr>
            <w:r w:rsidRPr="00EC62E9">
              <w:rPr>
                <w:color w:val="000000"/>
                <w:sz w:val="18"/>
                <w:lang w:val="de-DE"/>
              </w:rPr>
              <w:t xml:space="preserve">20.246 </w:t>
            </w:r>
          </w:p>
        </w:tc>
        <w:tc>
          <w:tcPr>
            <w:tcW w:w="1843" w:type="dxa"/>
          </w:tcPr>
          <w:p w:rsidR="00D3322A" w:rsidRPr="00EC62E9" w:rsidRDefault="00D3322A" w:rsidP="00847FAE">
            <w:pPr>
              <w:tabs>
                <w:tab w:val="decimal" w:pos="1062"/>
              </w:tabs>
              <w:autoSpaceDE w:val="0"/>
              <w:autoSpaceDN w:val="0"/>
              <w:adjustRightInd w:val="0"/>
              <w:jc w:val="left"/>
              <w:rPr>
                <w:rFonts w:cs="Arial"/>
                <w:color w:val="000000"/>
                <w:sz w:val="18"/>
                <w:szCs w:val="22"/>
                <w:lang w:val="de-DE"/>
              </w:rPr>
            </w:pPr>
            <w:r w:rsidRPr="00EC62E9">
              <w:rPr>
                <w:color w:val="000000"/>
                <w:sz w:val="18"/>
                <w:lang w:val="de-DE"/>
              </w:rPr>
              <w:t xml:space="preserve">14.057 </w:t>
            </w:r>
          </w:p>
        </w:tc>
      </w:tr>
      <w:tr w:rsidR="00D3322A" w:rsidRPr="00EC62E9" w:rsidTr="00C27AC4">
        <w:trPr>
          <w:trHeight w:val="148"/>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Französisch </w:t>
            </w:r>
          </w:p>
        </w:tc>
        <w:tc>
          <w:tcPr>
            <w:tcW w:w="1374" w:type="dxa"/>
          </w:tcPr>
          <w:p w:rsidR="00D3322A" w:rsidRPr="00EC62E9" w:rsidRDefault="00D3322A" w:rsidP="00C27AC4">
            <w:pPr>
              <w:autoSpaceDE w:val="0"/>
              <w:autoSpaceDN w:val="0"/>
              <w:adjustRightInd w:val="0"/>
              <w:ind w:right="157"/>
              <w:jc w:val="right"/>
              <w:rPr>
                <w:rFonts w:cs="Arial"/>
                <w:color w:val="000000"/>
                <w:sz w:val="18"/>
                <w:szCs w:val="22"/>
                <w:lang w:val="de-DE"/>
              </w:rPr>
            </w:pPr>
            <w:r w:rsidRPr="00EC62E9">
              <w:rPr>
                <w:color w:val="000000"/>
                <w:sz w:val="18"/>
                <w:lang w:val="de-DE"/>
              </w:rPr>
              <w:t xml:space="preserve">7.216 </w:t>
            </w:r>
          </w:p>
        </w:tc>
        <w:tc>
          <w:tcPr>
            <w:tcW w:w="1843" w:type="dxa"/>
          </w:tcPr>
          <w:p w:rsidR="00D3322A" w:rsidRPr="00EC62E9" w:rsidRDefault="00D3322A" w:rsidP="00847FAE">
            <w:pPr>
              <w:tabs>
                <w:tab w:val="decimal" w:pos="1062"/>
              </w:tabs>
              <w:autoSpaceDE w:val="0"/>
              <w:autoSpaceDN w:val="0"/>
              <w:adjustRightInd w:val="0"/>
              <w:jc w:val="left"/>
              <w:rPr>
                <w:rFonts w:cs="Arial"/>
                <w:color w:val="000000"/>
                <w:sz w:val="18"/>
                <w:szCs w:val="22"/>
                <w:lang w:val="de-DE"/>
              </w:rPr>
            </w:pPr>
            <w:r w:rsidRPr="00EC62E9">
              <w:rPr>
                <w:color w:val="000000"/>
                <w:sz w:val="18"/>
                <w:lang w:val="de-DE"/>
              </w:rPr>
              <w:t xml:space="preserve">5.152 </w:t>
            </w:r>
          </w:p>
        </w:tc>
      </w:tr>
      <w:tr w:rsidR="00D3322A" w:rsidRPr="00EC62E9" w:rsidTr="00C27AC4">
        <w:trPr>
          <w:trHeight w:val="142"/>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Deutsch </w:t>
            </w:r>
          </w:p>
        </w:tc>
        <w:tc>
          <w:tcPr>
            <w:tcW w:w="1374" w:type="dxa"/>
          </w:tcPr>
          <w:p w:rsidR="00D3322A" w:rsidRPr="00EC62E9" w:rsidRDefault="00D3322A" w:rsidP="00C27AC4">
            <w:pPr>
              <w:autoSpaceDE w:val="0"/>
              <w:autoSpaceDN w:val="0"/>
              <w:adjustRightInd w:val="0"/>
              <w:ind w:right="157"/>
              <w:jc w:val="right"/>
              <w:rPr>
                <w:rFonts w:cs="Arial"/>
                <w:color w:val="000000"/>
                <w:sz w:val="18"/>
                <w:szCs w:val="22"/>
                <w:lang w:val="de-DE"/>
              </w:rPr>
            </w:pPr>
            <w:r w:rsidRPr="00EC62E9">
              <w:rPr>
                <w:color w:val="000000"/>
                <w:sz w:val="18"/>
                <w:lang w:val="de-DE"/>
              </w:rPr>
              <w:t xml:space="preserve">2.629 </w:t>
            </w:r>
          </w:p>
        </w:tc>
        <w:tc>
          <w:tcPr>
            <w:tcW w:w="1843" w:type="dxa"/>
          </w:tcPr>
          <w:p w:rsidR="00D3322A" w:rsidRPr="00EC62E9" w:rsidRDefault="00D3322A" w:rsidP="00847FAE">
            <w:pPr>
              <w:tabs>
                <w:tab w:val="decimal" w:pos="1062"/>
              </w:tabs>
              <w:autoSpaceDE w:val="0"/>
              <w:autoSpaceDN w:val="0"/>
              <w:adjustRightInd w:val="0"/>
              <w:jc w:val="left"/>
              <w:rPr>
                <w:rFonts w:cs="Arial"/>
                <w:color w:val="000000"/>
                <w:sz w:val="18"/>
                <w:szCs w:val="22"/>
                <w:lang w:val="de-DE"/>
              </w:rPr>
            </w:pPr>
            <w:r w:rsidRPr="00EC62E9">
              <w:rPr>
                <w:color w:val="000000"/>
                <w:sz w:val="18"/>
                <w:lang w:val="de-DE"/>
              </w:rPr>
              <w:t xml:space="preserve">1.800 </w:t>
            </w:r>
          </w:p>
        </w:tc>
      </w:tr>
    </w:tbl>
    <w:p w:rsidR="00D3322A" w:rsidRPr="00EC62E9" w:rsidRDefault="00D3322A" w:rsidP="00C27AC4">
      <w:pPr>
        <w:jc w:val="center"/>
        <w:rPr>
          <w:lang w:val="de-DE"/>
        </w:rPr>
      </w:pPr>
    </w:p>
    <w:p w:rsidR="00D3322A" w:rsidRPr="00EC62E9" w:rsidRDefault="00847FAE" w:rsidP="00C27AC4">
      <w:pPr>
        <w:keepNext/>
        <w:tabs>
          <w:tab w:val="left" w:pos="389"/>
        </w:tabs>
        <w:jc w:val="center"/>
        <w:rPr>
          <w:rFonts w:eastAsiaTheme="minorEastAsia"/>
          <w:bCs/>
          <w:sz w:val="18"/>
          <w:szCs w:val="22"/>
          <w:lang w:val="de-DE"/>
        </w:rPr>
      </w:pPr>
      <w:r w:rsidRPr="00EC62E9">
        <w:rPr>
          <w:rFonts w:eastAsiaTheme="minorEastAsia"/>
          <w:sz w:val="18"/>
          <w:lang w:val="de-DE"/>
        </w:rPr>
        <w:t>Entwicklung der Seitenaufrufe</w:t>
      </w:r>
    </w:p>
    <w:p w:rsidR="00D3322A" w:rsidRPr="00EC62E9" w:rsidRDefault="00D3322A" w:rsidP="00C27AC4">
      <w:pPr>
        <w:keepNext/>
        <w:jc w:val="center"/>
        <w:rPr>
          <w:rFonts w:eastAsiaTheme="minorEastAsia"/>
          <w:sz w:val="14"/>
          <w:szCs w:val="18"/>
          <w:lang w:val="de-DE"/>
        </w:rPr>
      </w:pPr>
    </w:p>
    <w:tbl>
      <w:tblPr>
        <w:tblW w:w="0" w:type="auto"/>
        <w:jc w:val="center"/>
        <w:tblInd w:w="4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260"/>
        <w:gridCol w:w="129"/>
        <w:gridCol w:w="1843"/>
      </w:tblGrid>
      <w:tr w:rsidR="00D3322A" w:rsidRPr="00EC62E9" w:rsidTr="00C27AC4">
        <w:trPr>
          <w:trHeight w:val="143"/>
          <w:jc w:val="center"/>
        </w:trPr>
        <w:tc>
          <w:tcPr>
            <w:tcW w:w="1284" w:type="dxa"/>
          </w:tcPr>
          <w:p w:rsidR="00D3322A" w:rsidRPr="00EC62E9" w:rsidRDefault="00D3322A" w:rsidP="00847FAE">
            <w:pPr>
              <w:keepNext/>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 xml:space="preserve">Jahr </w:t>
            </w:r>
          </w:p>
        </w:tc>
        <w:tc>
          <w:tcPr>
            <w:tcW w:w="1389" w:type="dxa"/>
            <w:gridSpan w:val="2"/>
          </w:tcPr>
          <w:p w:rsidR="00D3322A" w:rsidRPr="00EC62E9" w:rsidRDefault="00D3322A" w:rsidP="00847FAE">
            <w:pPr>
              <w:keepNext/>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Seitenaufrufe</w:t>
            </w:r>
          </w:p>
        </w:tc>
        <w:tc>
          <w:tcPr>
            <w:tcW w:w="1843" w:type="dxa"/>
          </w:tcPr>
          <w:p w:rsidR="00D3322A" w:rsidRPr="00EC62E9" w:rsidRDefault="00D3322A" w:rsidP="00847FAE">
            <w:pPr>
              <w:keepNext/>
              <w:autoSpaceDE w:val="0"/>
              <w:autoSpaceDN w:val="0"/>
              <w:adjustRightInd w:val="0"/>
              <w:jc w:val="left"/>
              <w:rPr>
                <w:rFonts w:eastAsiaTheme="minorEastAsia" w:cs="Arial"/>
                <w:bCs/>
                <w:color w:val="000000"/>
                <w:sz w:val="18"/>
                <w:szCs w:val="22"/>
                <w:lang w:val="de-DE"/>
              </w:rPr>
            </w:pPr>
            <w:r w:rsidRPr="00EC62E9">
              <w:rPr>
                <w:rFonts w:eastAsiaTheme="minorEastAsia"/>
                <w:color w:val="000000"/>
                <w:sz w:val="18"/>
                <w:lang w:val="de-DE"/>
              </w:rPr>
              <w:t xml:space="preserve">Einzelseitenaufrufe </w:t>
            </w:r>
          </w:p>
          <w:p w:rsidR="00D3322A" w:rsidRPr="00EC62E9" w:rsidRDefault="00D3322A" w:rsidP="00847FAE">
            <w:pPr>
              <w:keepNext/>
              <w:autoSpaceDE w:val="0"/>
              <w:autoSpaceDN w:val="0"/>
              <w:adjustRightInd w:val="0"/>
              <w:jc w:val="left"/>
              <w:rPr>
                <w:rFonts w:eastAsiaTheme="minorEastAsia" w:cs="Arial"/>
                <w:color w:val="000000"/>
                <w:sz w:val="18"/>
                <w:szCs w:val="22"/>
                <w:lang w:val="de-DE"/>
              </w:rPr>
            </w:pPr>
          </w:p>
        </w:tc>
      </w:tr>
      <w:tr w:rsidR="00D3322A" w:rsidRPr="00EC62E9" w:rsidTr="00C27AC4">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2013 </w:t>
            </w:r>
          </w:p>
        </w:tc>
        <w:tc>
          <w:tcPr>
            <w:tcW w:w="1260" w:type="dxa"/>
          </w:tcPr>
          <w:p w:rsidR="00D3322A" w:rsidRPr="00EC62E9" w:rsidRDefault="00D3322A" w:rsidP="00847FAE">
            <w:pPr>
              <w:pStyle w:val="Default"/>
              <w:tabs>
                <w:tab w:val="decimal" w:pos="874"/>
              </w:tabs>
              <w:rPr>
                <w:sz w:val="18"/>
                <w:szCs w:val="18"/>
                <w:lang w:val="de-DE"/>
              </w:rPr>
            </w:pPr>
            <w:r w:rsidRPr="00EC62E9">
              <w:rPr>
                <w:sz w:val="18"/>
                <w:lang w:val="de-DE"/>
              </w:rPr>
              <w:t>88.533</w:t>
            </w:r>
          </w:p>
        </w:tc>
        <w:tc>
          <w:tcPr>
            <w:tcW w:w="1972" w:type="dxa"/>
            <w:gridSpan w:val="2"/>
          </w:tcPr>
          <w:p w:rsidR="00D3322A" w:rsidRPr="00EC62E9" w:rsidRDefault="00D3322A" w:rsidP="00847FAE">
            <w:pPr>
              <w:pStyle w:val="Default"/>
              <w:tabs>
                <w:tab w:val="decimal" w:pos="1057"/>
              </w:tabs>
              <w:rPr>
                <w:sz w:val="18"/>
                <w:szCs w:val="18"/>
                <w:lang w:val="de-DE"/>
              </w:rPr>
            </w:pPr>
            <w:r w:rsidRPr="00EC62E9">
              <w:rPr>
                <w:sz w:val="18"/>
                <w:lang w:val="de-DE"/>
              </w:rPr>
              <w:t>61.230</w:t>
            </w:r>
          </w:p>
        </w:tc>
      </w:tr>
      <w:tr w:rsidR="00D3322A" w:rsidRPr="00EC62E9" w:rsidTr="00C27AC4">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2012 </w:t>
            </w:r>
          </w:p>
        </w:tc>
        <w:tc>
          <w:tcPr>
            <w:tcW w:w="1260" w:type="dxa"/>
          </w:tcPr>
          <w:p w:rsidR="00D3322A" w:rsidRPr="00EC62E9" w:rsidRDefault="00D3322A" w:rsidP="00847FAE">
            <w:pPr>
              <w:pStyle w:val="Default"/>
              <w:tabs>
                <w:tab w:val="decimal" w:pos="874"/>
              </w:tabs>
              <w:rPr>
                <w:sz w:val="18"/>
                <w:szCs w:val="18"/>
                <w:lang w:val="de-DE"/>
              </w:rPr>
            </w:pPr>
            <w:r w:rsidRPr="00EC62E9">
              <w:rPr>
                <w:sz w:val="18"/>
                <w:lang w:val="de-DE"/>
              </w:rPr>
              <w:t>91.245</w:t>
            </w:r>
          </w:p>
        </w:tc>
        <w:tc>
          <w:tcPr>
            <w:tcW w:w="1972" w:type="dxa"/>
            <w:gridSpan w:val="2"/>
          </w:tcPr>
          <w:p w:rsidR="00D3322A" w:rsidRPr="00EC62E9" w:rsidRDefault="00D3322A" w:rsidP="00847FAE">
            <w:pPr>
              <w:pStyle w:val="Default"/>
              <w:tabs>
                <w:tab w:val="decimal" w:pos="1057"/>
              </w:tabs>
              <w:rPr>
                <w:sz w:val="18"/>
                <w:szCs w:val="18"/>
                <w:lang w:val="de-DE"/>
              </w:rPr>
            </w:pPr>
            <w:r w:rsidRPr="00EC62E9">
              <w:rPr>
                <w:sz w:val="18"/>
                <w:lang w:val="de-DE"/>
              </w:rPr>
              <w:t>62.411</w:t>
            </w:r>
          </w:p>
        </w:tc>
      </w:tr>
      <w:tr w:rsidR="00D3322A" w:rsidRPr="00EC62E9" w:rsidTr="00C27AC4">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2011 </w:t>
            </w:r>
          </w:p>
        </w:tc>
        <w:tc>
          <w:tcPr>
            <w:tcW w:w="1260" w:type="dxa"/>
          </w:tcPr>
          <w:p w:rsidR="00D3322A" w:rsidRPr="00EC62E9" w:rsidRDefault="00D3322A" w:rsidP="00847FAE">
            <w:pPr>
              <w:pStyle w:val="Default"/>
              <w:tabs>
                <w:tab w:val="decimal" w:pos="874"/>
              </w:tabs>
              <w:rPr>
                <w:sz w:val="18"/>
                <w:szCs w:val="18"/>
                <w:lang w:val="de-DE"/>
              </w:rPr>
            </w:pPr>
            <w:r w:rsidRPr="00EC62E9">
              <w:rPr>
                <w:sz w:val="18"/>
                <w:lang w:val="de-DE"/>
              </w:rPr>
              <w:t>19.269</w:t>
            </w:r>
          </w:p>
        </w:tc>
        <w:tc>
          <w:tcPr>
            <w:tcW w:w="1972" w:type="dxa"/>
            <w:gridSpan w:val="2"/>
          </w:tcPr>
          <w:p w:rsidR="00D3322A" w:rsidRPr="00EC62E9" w:rsidRDefault="00D3322A" w:rsidP="00847FAE">
            <w:pPr>
              <w:pStyle w:val="Default"/>
              <w:tabs>
                <w:tab w:val="decimal" w:pos="1057"/>
              </w:tabs>
              <w:rPr>
                <w:sz w:val="18"/>
                <w:szCs w:val="18"/>
                <w:lang w:val="de-DE"/>
              </w:rPr>
            </w:pPr>
            <w:r w:rsidRPr="00EC62E9">
              <w:rPr>
                <w:sz w:val="18"/>
                <w:lang w:val="de-DE"/>
              </w:rPr>
              <w:t>12.575</w:t>
            </w:r>
          </w:p>
        </w:tc>
      </w:tr>
    </w:tbl>
    <w:p w:rsidR="00D3322A" w:rsidRPr="00EC62E9" w:rsidRDefault="00D3322A" w:rsidP="00D3322A">
      <w:pPr>
        <w:rPr>
          <w:lang w:val="de-DE"/>
        </w:rPr>
      </w:pPr>
    </w:p>
    <w:p w:rsidR="00D3322A" w:rsidRPr="00EC62E9" w:rsidRDefault="00D3322A" w:rsidP="00D3322A">
      <w:pPr>
        <w:rPr>
          <w:lang w:val="de-DE"/>
        </w:rPr>
      </w:pPr>
    </w:p>
    <w:p w:rsidR="00D3322A" w:rsidRPr="00EC62E9" w:rsidRDefault="00E25A9D" w:rsidP="00D3322A">
      <w:pPr>
        <w:pStyle w:val="Heading8"/>
        <w:rPr>
          <w:i/>
          <w:szCs w:val="18"/>
          <w:lang w:val="de-DE"/>
        </w:rPr>
      </w:pPr>
      <w:bookmarkStart w:id="71" w:name="_Toc396137535"/>
      <w:bookmarkStart w:id="72" w:name="_Toc398736731"/>
      <w:r>
        <w:rPr>
          <w:lang w:val="de-DE"/>
        </w:rPr>
        <w:t xml:space="preserve">d)  </w:t>
      </w:r>
      <w:r w:rsidR="00D3322A" w:rsidRPr="00EC62E9">
        <w:rPr>
          <w:lang w:val="de-DE"/>
        </w:rPr>
        <w:t>Teilnahme an Seminaren und Symposien in Genf in Verbindung mit den Tagungen der UPOV</w:t>
      </w:r>
      <w:bookmarkEnd w:id="71"/>
      <w:bookmarkEnd w:id="72"/>
    </w:p>
    <w:p w:rsidR="00D3322A" w:rsidRPr="00EC62E9" w:rsidRDefault="00D3322A" w:rsidP="00D3322A">
      <w:pPr>
        <w:keepNext/>
        <w:keepLines/>
        <w:numPr>
          <w:ilvl w:val="0"/>
          <w:numId w:val="2"/>
        </w:numPr>
        <w:spacing w:after="120"/>
        <w:ind w:right="176"/>
        <w:jc w:val="left"/>
        <w:rPr>
          <w:sz w:val="18"/>
          <w:szCs w:val="18"/>
          <w:lang w:val="de-DE"/>
        </w:rPr>
      </w:pPr>
      <w:r w:rsidRPr="00EC62E9">
        <w:rPr>
          <w:sz w:val="18"/>
          <w:lang w:val="de-DE"/>
        </w:rPr>
        <w:t xml:space="preserve">Symposium über die Vorteile des Pflanzenschutzes </w:t>
      </w:r>
      <w:r w:rsidRPr="00EC62E9">
        <w:rPr>
          <w:sz w:val="18"/>
          <w:szCs w:val="18"/>
          <w:lang w:val="de-DE"/>
        </w:rPr>
        <w:br/>
      </w:r>
      <w:r w:rsidRPr="00EC62E9">
        <w:rPr>
          <w:sz w:val="18"/>
          <w:lang w:val="de-DE"/>
        </w:rPr>
        <w:t xml:space="preserve">für Landwirte und Pflanzer, 2. November 2012:  </w:t>
      </w:r>
      <w:r w:rsidRPr="00EC62E9">
        <w:rPr>
          <w:sz w:val="18"/>
          <w:szCs w:val="18"/>
          <w:lang w:val="de-DE"/>
        </w:rPr>
        <w:br/>
      </w:r>
      <w:r w:rsidRPr="00EC62E9">
        <w:rPr>
          <w:sz w:val="18"/>
          <w:lang w:val="de-DE"/>
        </w:rPr>
        <w:t xml:space="preserve">118 Teilnehmer </w:t>
      </w:r>
    </w:p>
    <w:p w:rsidR="00D3322A" w:rsidRPr="00EC62E9" w:rsidRDefault="00D3322A" w:rsidP="00D3322A">
      <w:pPr>
        <w:keepNext/>
        <w:keepLines/>
        <w:numPr>
          <w:ilvl w:val="0"/>
          <w:numId w:val="2"/>
        </w:numPr>
        <w:spacing w:after="120"/>
        <w:ind w:right="176"/>
        <w:jc w:val="left"/>
        <w:rPr>
          <w:sz w:val="18"/>
          <w:szCs w:val="18"/>
          <w:lang w:val="de-DE"/>
        </w:rPr>
      </w:pPr>
      <w:r w:rsidRPr="00EC62E9">
        <w:rPr>
          <w:sz w:val="18"/>
          <w:lang w:val="de-DE"/>
        </w:rPr>
        <w:t>Seminar über im wesentlichen abgeleitete Sorten, 22. Oktober 2013:  177 Teilnehmer</w:t>
      </w:r>
    </w:p>
    <w:p w:rsidR="00D3322A" w:rsidRPr="00EC62E9" w:rsidRDefault="00D3322A" w:rsidP="00D3322A">
      <w:pPr>
        <w:rPr>
          <w:lang w:val="de-DE"/>
        </w:rPr>
      </w:pPr>
    </w:p>
    <w:p w:rsidR="00C27AC4" w:rsidRDefault="00C27AC4">
      <w:pPr>
        <w:jc w:val="left"/>
        <w:rPr>
          <w:bCs/>
          <w:caps/>
          <w:sz w:val="18"/>
          <w:szCs w:val="22"/>
          <w:lang w:val="de-DE"/>
        </w:rPr>
      </w:pPr>
      <w:bookmarkStart w:id="73" w:name="_Toc396137536"/>
      <w:r>
        <w:rPr>
          <w:lang w:val="de-DE"/>
        </w:rPr>
        <w:br w:type="page"/>
      </w:r>
    </w:p>
    <w:p w:rsidR="00D3322A" w:rsidRPr="00EC62E9" w:rsidRDefault="00D3322A" w:rsidP="00D3322A">
      <w:pPr>
        <w:pStyle w:val="Heading6"/>
        <w:rPr>
          <w:lang w:val="de-DE"/>
        </w:rPr>
      </w:pPr>
      <w:bookmarkStart w:id="74" w:name="_Toc398736732"/>
      <w:r w:rsidRPr="00EC62E9">
        <w:rPr>
          <w:lang w:val="de-DE"/>
        </w:rPr>
        <w:t>2.  Anleitung zur Prüfung von Sorten</w:t>
      </w:r>
      <w:bookmarkEnd w:id="73"/>
      <w:bookmarkEnd w:id="74"/>
    </w:p>
    <w:p w:rsidR="00D3322A" w:rsidRPr="00EC62E9" w:rsidRDefault="00D3322A" w:rsidP="00D3322A">
      <w:pPr>
        <w:rPr>
          <w:lang w:val="de-DE"/>
        </w:rPr>
      </w:pPr>
    </w:p>
    <w:p w:rsidR="00D3322A" w:rsidRPr="00EC62E9" w:rsidRDefault="00D3322A" w:rsidP="00D3322A">
      <w:pPr>
        <w:pStyle w:val="Heading8"/>
        <w:rPr>
          <w:lang w:val="de-DE"/>
        </w:rPr>
      </w:pPr>
      <w:bookmarkStart w:id="75" w:name="_Toc396137537"/>
      <w:bookmarkStart w:id="76" w:name="_Toc398736733"/>
      <w:r w:rsidRPr="00EC62E9">
        <w:rPr>
          <w:lang w:val="de-DE"/>
        </w:rPr>
        <w:t>a)  Annahme von neuen oder überarbeiteten TGP-Dokumenten und Informationsmaterialien</w:t>
      </w:r>
      <w:bookmarkEnd w:id="75"/>
      <w:bookmarkEnd w:id="76"/>
    </w:p>
    <w:p w:rsidR="00D3322A" w:rsidRPr="00EC62E9" w:rsidRDefault="00D3322A" w:rsidP="00D3322A">
      <w:pPr>
        <w:keepNext/>
        <w:keepLines/>
        <w:numPr>
          <w:ilvl w:val="0"/>
          <w:numId w:val="2"/>
        </w:numPr>
        <w:spacing w:after="120"/>
        <w:ind w:left="357" w:right="176" w:hanging="357"/>
        <w:jc w:val="left"/>
        <w:rPr>
          <w:i/>
          <w:color w:val="000000"/>
          <w:sz w:val="18"/>
          <w:szCs w:val="18"/>
          <w:lang w:val="de-DE"/>
        </w:rPr>
      </w:pPr>
      <w:r w:rsidRPr="00EC62E9">
        <w:rPr>
          <w:color w:val="000000"/>
          <w:sz w:val="18"/>
          <w:lang w:val="de-DE"/>
        </w:rPr>
        <w:t>Angenommene und auf der UPOV-Website veröffentlichte Dokumente:</w:t>
      </w:r>
    </w:p>
    <w:p w:rsidR="00D3322A" w:rsidRPr="00EC62E9" w:rsidRDefault="00D3322A" w:rsidP="00D3322A">
      <w:pPr>
        <w:tabs>
          <w:tab w:val="num" w:pos="2160"/>
        </w:tabs>
        <w:spacing w:before="120" w:after="60"/>
        <w:ind w:left="1950" w:hanging="1593"/>
        <w:jc w:val="left"/>
        <w:rPr>
          <w:i/>
          <w:color w:val="000000"/>
          <w:sz w:val="18"/>
          <w:szCs w:val="18"/>
          <w:lang w:val="de-DE"/>
        </w:rPr>
      </w:pPr>
      <w:r w:rsidRPr="00EC62E9">
        <w:rPr>
          <w:sz w:val="18"/>
          <w:lang w:val="de-DE"/>
        </w:rPr>
        <w:t>- 1 neues TGP-Dokument</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 xml:space="preserve">TGP/15/1 </w:t>
      </w:r>
      <w:r w:rsidRPr="00EC62E9">
        <w:rPr>
          <w:sz w:val="18"/>
          <w:szCs w:val="18"/>
          <w:lang w:val="de-DE"/>
        </w:rPr>
        <w:tab/>
        <w:t>Anleitung zur Verwendung biochemischer und molekularer Marker bei der Prüfung der Unterscheidbarkeit, der Homogenität und der Beständigkeit (DUS)</w:t>
      </w:r>
    </w:p>
    <w:p w:rsidR="00D3322A" w:rsidRPr="00EC62E9" w:rsidRDefault="00D3322A" w:rsidP="00D3322A">
      <w:pPr>
        <w:tabs>
          <w:tab w:val="num" w:pos="2160"/>
        </w:tabs>
        <w:spacing w:before="120" w:after="60"/>
        <w:ind w:left="1950" w:hanging="1593"/>
        <w:jc w:val="left"/>
        <w:rPr>
          <w:i/>
          <w:color w:val="000000"/>
          <w:sz w:val="18"/>
          <w:szCs w:val="18"/>
          <w:lang w:val="de-DE"/>
        </w:rPr>
      </w:pPr>
      <w:r w:rsidRPr="00EC62E9">
        <w:rPr>
          <w:sz w:val="18"/>
          <w:szCs w:val="18"/>
          <w:lang w:val="de-DE"/>
        </w:rPr>
        <w:t>- 4 Überarbeitungen bereits früher angenommener Informationsdokumente</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 xml:space="preserve">TGP12/2 </w:t>
      </w:r>
      <w:r w:rsidRPr="00EC62E9">
        <w:rPr>
          <w:sz w:val="18"/>
          <w:szCs w:val="18"/>
          <w:lang w:val="de-DE"/>
        </w:rPr>
        <w:tab/>
        <w:t>Anleitung zu bestimmten physiologischen Merkmalen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TGP/14/2</w:t>
      </w:r>
      <w:r w:rsidRPr="00EC62E9">
        <w:rPr>
          <w:sz w:val="18"/>
          <w:szCs w:val="18"/>
          <w:lang w:val="de-DE"/>
        </w:rPr>
        <w:tab/>
        <w:t>Glossar der in den UPOV-Dokumenten verwendeten Begriffe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TGP/0/5</w:t>
      </w:r>
      <w:r w:rsidRPr="00EC62E9">
        <w:rPr>
          <w:sz w:val="18"/>
          <w:szCs w:val="18"/>
          <w:lang w:val="de-DE"/>
        </w:rPr>
        <w:tab/>
        <w:t>Liste der TGP-Dokumente und Datum der jüngsten Ausgabe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TGP/0/6</w:t>
      </w:r>
      <w:r w:rsidRPr="00EC62E9">
        <w:rPr>
          <w:sz w:val="18"/>
          <w:szCs w:val="18"/>
          <w:lang w:val="de-DE"/>
        </w:rPr>
        <w:tab/>
        <w:t xml:space="preserve">Liste der TGP-Dokumente und Datum der jüngsten Ausgabe (Überarbeitung) </w:t>
      </w:r>
    </w:p>
    <w:p w:rsidR="00D3322A" w:rsidRPr="00EC62E9" w:rsidRDefault="00D3322A" w:rsidP="00D3322A">
      <w:pPr>
        <w:keepNext/>
        <w:keepLines/>
        <w:numPr>
          <w:ilvl w:val="0"/>
          <w:numId w:val="2"/>
        </w:numPr>
        <w:spacing w:before="120" w:after="120"/>
        <w:ind w:left="357" w:right="176" w:hanging="357"/>
        <w:jc w:val="left"/>
        <w:rPr>
          <w:i/>
          <w:color w:val="000000"/>
          <w:sz w:val="18"/>
          <w:szCs w:val="18"/>
          <w:lang w:val="de-DE"/>
        </w:rPr>
      </w:pPr>
      <w:r w:rsidRPr="00EC62E9">
        <w:rPr>
          <w:color w:val="000000"/>
          <w:sz w:val="18"/>
          <w:szCs w:val="18"/>
          <w:lang w:val="de-DE"/>
        </w:rPr>
        <w:t>Entwürfe folgender TGP-Dokumente wurden im CAJ, im TC und/oder in den TWP weitergeführt</w:t>
      </w:r>
    </w:p>
    <w:p w:rsidR="00D3322A" w:rsidRPr="00EC62E9" w:rsidRDefault="00D3322A" w:rsidP="00D3322A">
      <w:pPr>
        <w:tabs>
          <w:tab w:val="num" w:pos="2160"/>
        </w:tabs>
        <w:spacing w:before="120" w:after="60"/>
        <w:ind w:left="1950" w:hanging="1593"/>
        <w:jc w:val="left"/>
        <w:rPr>
          <w:sz w:val="18"/>
          <w:szCs w:val="18"/>
          <w:lang w:val="de-DE"/>
        </w:rPr>
      </w:pPr>
      <w:r w:rsidRPr="00EC62E9">
        <w:rPr>
          <w:sz w:val="18"/>
          <w:szCs w:val="18"/>
          <w:lang w:val="de-DE"/>
        </w:rPr>
        <w:t>- 3 Überarbeitungen bereits früher angenommener TGP-Dokumente</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TGP/7</w:t>
      </w:r>
      <w:r w:rsidRPr="00EC62E9">
        <w:rPr>
          <w:sz w:val="18"/>
          <w:szCs w:val="18"/>
          <w:lang w:val="de-DE"/>
        </w:rPr>
        <w:tab/>
        <w:t>Erstellung von Prüfungsrichtlinien</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TGP/8</w:t>
      </w:r>
      <w:r w:rsidRPr="00EC62E9">
        <w:rPr>
          <w:sz w:val="18"/>
          <w:szCs w:val="18"/>
          <w:lang w:val="de-DE"/>
        </w:rPr>
        <w:tab/>
        <w:t>Prüfungsanlage und Verfahren für die Prüfung der Unterscheidbarkeit, der Homogenität und der Beständigkeit</w:t>
      </w:r>
    </w:p>
    <w:p w:rsidR="00D3322A" w:rsidRPr="00EC62E9" w:rsidRDefault="00D3322A" w:rsidP="00D3322A">
      <w:pPr>
        <w:keepNext/>
        <w:keepLines/>
        <w:numPr>
          <w:ilvl w:val="0"/>
          <w:numId w:val="2"/>
        </w:numPr>
        <w:tabs>
          <w:tab w:val="num" w:pos="2160"/>
        </w:tabs>
        <w:spacing w:before="120" w:after="120"/>
        <w:ind w:left="357" w:right="176" w:hanging="357"/>
        <w:jc w:val="left"/>
        <w:rPr>
          <w:i/>
          <w:color w:val="000000"/>
          <w:sz w:val="18"/>
          <w:szCs w:val="18"/>
          <w:lang w:val="de-DE"/>
        </w:rPr>
      </w:pPr>
      <w:r w:rsidRPr="00EC62E9">
        <w:rPr>
          <w:color w:val="000000"/>
          <w:sz w:val="18"/>
          <w:szCs w:val="18"/>
          <w:lang w:val="de-DE"/>
        </w:rPr>
        <w:t>Im CAJ, im TC und/oder in den TWP weitergeführte Entwürfe von Informationsmaterial</w:t>
      </w:r>
    </w:p>
    <w:p w:rsidR="00D3322A" w:rsidRPr="00EC62E9" w:rsidRDefault="00D3322A" w:rsidP="00D3322A">
      <w:pPr>
        <w:tabs>
          <w:tab w:val="num" w:pos="2160"/>
        </w:tabs>
        <w:spacing w:before="120" w:after="60"/>
        <w:ind w:left="1950" w:hanging="1593"/>
        <w:jc w:val="left"/>
        <w:rPr>
          <w:color w:val="000000"/>
          <w:sz w:val="18"/>
          <w:szCs w:val="18"/>
          <w:lang w:val="de-DE"/>
        </w:rPr>
      </w:pPr>
      <w:r w:rsidRPr="00EC62E9">
        <w:rPr>
          <w:sz w:val="18"/>
          <w:szCs w:val="18"/>
          <w:lang w:val="de-DE"/>
        </w:rPr>
        <w:t>- 2 Überarbeitungen von bereits früher angenommenem Informationsmaterial</w:t>
      </w:r>
    </w:p>
    <w:p w:rsidR="00D3322A" w:rsidRPr="00EC62E9" w:rsidRDefault="00D3322A" w:rsidP="00D3322A">
      <w:pPr>
        <w:tabs>
          <w:tab w:val="num" w:pos="2444"/>
        </w:tabs>
        <w:spacing w:after="60"/>
        <w:ind w:left="2444" w:hanging="1701"/>
        <w:jc w:val="left"/>
        <w:rPr>
          <w:color w:val="000000"/>
          <w:sz w:val="18"/>
          <w:szCs w:val="18"/>
          <w:lang w:val="de-DE"/>
        </w:rPr>
      </w:pPr>
      <w:r w:rsidRPr="00EC62E9">
        <w:rPr>
          <w:sz w:val="18"/>
          <w:szCs w:val="18"/>
          <w:lang w:val="de-DE"/>
        </w:rPr>
        <w:t xml:space="preserve">UPOV/INF/12 </w:t>
      </w:r>
      <w:r w:rsidRPr="00EC62E9">
        <w:rPr>
          <w:sz w:val="18"/>
          <w:szCs w:val="18"/>
          <w:lang w:val="de-DE"/>
        </w:rPr>
        <w:tab/>
        <w:t>Erläuterungen zu Sortenbezeichnungen nach dem UPOV-Übereinkommen (Überarbeitung)</w:t>
      </w:r>
    </w:p>
    <w:p w:rsidR="00D3322A" w:rsidRPr="00EC62E9" w:rsidRDefault="00D3322A" w:rsidP="00D3322A">
      <w:pPr>
        <w:tabs>
          <w:tab w:val="num" w:pos="2444"/>
        </w:tabs>
        <w:spacing w:after="60"/>
        <w:ind w:left="2444" w:hanging="1701"/>
        <w:jc w:val="left"/>
        <w:rPr>
          <w:sz w:val="18"/>
          <w:szCs w:val="18"/>
          <w:lang w:val="de-DE"/>
        </w:rPr>
      </w:pPr>
      <w:r w:rsidRPr="00EC62E9">
        <w:rPr>
          <w:sz w:val="18"/>
          <w:szCs w:val="18"/>
          <w:lang w:val="de-DE"/>
        </w:rPr>
        <w:t>UPOV/INF/16</w:t>
      </w:r>
      <w:r w:rsidRPr="00EC62E9">
        <w:rPr>
          <w:sz w:val="18"/>
          <w:szCs w:val="18"/>
          <w:lang w:val="de-DE"/>
        </w:rPr>
        <w:tab/>
        <w:t>Austauschbare Software (Überarbeitung)</w:t>
      </w:r>
    </w:p>
    <w:p w:rsidR="00D3322A" w:rsidRPr="00EC62E9" w:rsidRDefault="00D3322A" w:rsidP="00D3322A">
      <w:pPr>
        <w:rPr>
          <w:sz w:val="18"/>
          <w:szCs w:val="18"/>
          <w:lang w:val="de-DE"/>
        </w:rPr>
      </w:pPr>
    </w:p>
    <w:p w:rsidR="00D3322A" w:rsidRPr="00EC62E9" w:rsidRDefault="00D3322A" w:rsidP="00D3322A">
      <w:pPr>
        <w:pStyle w:val="Heading8"/>
        <w:rPr>
          <w:lang w:val="de-DE"/>
        </w:rPr>
      </w:pPr>
      <w:bookmarkStart w:id="77" w:name="_Toc396137538"/>
      <w:bookmarkStart w:id="78" w:name="_Toc398736734"/>
      <w:r w:rsidRPr="00EC62E9">
        <w:rPr>
          <w:lang w:val="de-DE"/>
        </w:rPr>
        <w:t>b)  Annahme neuer oder überarbeiteter Prüfungsrichtlinien</w:t>
      </w:r>
      <w:bookmarkEnd w:id="77"/>
      <w:bookmarkEnd w:id="78"/>
    </w:p>
    <w:p w:rsidR="00D3322A" w:rsidRPr="00EC62E9" w:rsidRDefault="00D3322A" w:rsidP="00D3322A">
      <w:pPr>
        <w:keepNext/>
        <w:keepLines/>
        <w:spacing w:after="120"/>
        <w:jc w:val="left"/>
        <w:rPr>
          <w:i/>
          <w:sz w:val="18"/>
          <w:szCs w:val="18"/>
          <w:lang w:val="de-DE"/>
        </w:rPr>
      </w:pPr>
      <w:r w:rsidRPr="00EC62E9">
        <w:rPr>
          <w:i/>
          <w:sz w:val="18"/>
          <w:lang w:val="de-DE"/>
        </w:rPr>
        <w:t>Angenommene Prüfungsrichtlinien</w:t>
      </w:r>
    </w:p>
    <w:p w:rsidR="00D3322A" w:rsidRPr="00EC62E9" w:rsidRDefault="00D3322A" w:rsidP="00D3322A">
      <w:pPr>
        <w:keepNext/>
        <w:keepLines/>
        <w:numPr>
          <w:ilvl w:val="0"/>
          <w:numId w:val="3"/>
        </w:numPr>
        <w:tabs>
          <w:tab w:val="num" w:pos="318"/>
        </w:tabs>
        <w:spacing w:after="120"/>
        <w:ind w:left="357" w:hanging="357"/>
        <w:jc w:val="left"/>
        <w:rPr>
          <w:i/>
          <w:color w:val="000000"/>
          <w:sz w:val="18"/>
          <w:szCs w:val="18"/>
          <w:lang w:val="de-DE"/>
        </w:rPr>
      </w:pPr>
      <w:r w:rsidRPr="00EC62E9">
        <w:rPr>
          <w:color w:val="000000"/>
          <w:sz w:val="18"/>
          <w:lang w:val="de-DE"/>
        </w:rPr>
        <w:t xml:space="preserve">42 Prüfungsrichtlinien wurden vom TC angenommen, darunter: </w:t>
      </w:r>
    </w:p>
    <w:p w:rsidR="00D3322A" w:rsidRPr="00EC62E9" w:rsidRDefault="00D3322A" w:rsidP="00D3322A">
      <w:pPr>
        <w:tabs>
          <w:tab w:val="left" w:pos="756"/>
          <w:tab w:val="left" w:pos="2444"/>
        </w:tabs>
        <w:spacing w:after="60"/>
        <w:ind w:left="2444" w:hanging="2087"/>
        <w:jc w:val="left"/>
        <w:rPr>
          <w:i/>
          <w:color w:val="000000"/>
          <w:sz w:val="18"/>
          <w:szCs w:val="18"/>
          <w:lang w:val="de-DE"/>
        </w:rPr>
      </w:pPr>
      <w:r w:rsidRPr="00EC62E9">
        <w:rPr>
          <w:color w:val="000000"/>
          <w:sz w:val="18"/>
          <w:lang w:val="de-DE"/>
        </w:rPr>
        <w:t>–</w:t>
      </w:r>
      <w:r w:rsidRPr="00EC62E9">
        <w:rPr>
          <w:lang w:val="de-DE"/>
        </w:rPr>
        <w:tab/>
      </w:r>
      <w:r w:rsidRPr="00EC62E9">
        <w:rPr>
          <w:color w:val="000000"/>
          <w:sz w:val="18"/>
          <w:lang w:val="de-DE"/>
        </w:rPr>
        <w:t>23 neue Prüfungsrichtlinien</w:t>
      </w:r>
    </w:p>
    <w:p w:rsidR="00D3322A" w:rsidRPr="00EC62E9" w:rsidRDefault="00D3322A" w:rsidP="00D3322A">
      <w:pPr>
        <w:tabs>
          <w:tab w:val="left" w:pos="756"/>
          <w:tab w:val="left" w:pos="2444"/>
        </w:tabs>
        <w:spacing w:after="60"/>
        <w:ind w:left="2444" w:hanging="2087"/>
        <w:jc w:val="left"/>
        <w:rPr>
          <w:color w:val="000000"/>
          <w:sz w:val="18"/>
          <w:szCs w:val="18"/>
          <w:lang w:val="de-DE"/>
        </w:rPr>
      </w:pPr>
      <w:r w:rsidRPr="00EC62E9">
        <w:rPr>
          <w:color w:val="000000"/>
          <w:sz w:val="18"/>
          <w:lang w:val="de-DE"/>
        </w:rPr>
        <w:t>–</w:t>
      </w:r>
      <w:r w:rsidRPr="00EC62E9">
        <w:rPr>
          <w:lang w:val="de-DE"/>
        </w:rPr>
        <w:tab/>
      </w:r>
      <w:r w:rsidRPr="00EC62E9">
        <w:rPr>
          <w:color w:val="000000"/>
          <w:sz w:val="18"/>
          <w:lang w:val="de-DE"/>
        </w:rPr>
        <w:t>11 überarbeitete Prüfungsrichtlinien</w:t>
      </w:r>
    </w:p>
    <w:p w:rsidR="00D3322A" w:rsidRPr="00EC62E9" w:rsidRDefault="00D3322A" w:rsidP="00D3322A">
      <w:pPr>
        <w:spacing w:after="120"/>
        <w:ind w:left="743" w:hanging="386"/>
        <w:jc w:val="left"/>
        <w:rPr>
          <w:color w:val="000000"/>
          <w:sz w:val="18"/>
          <w:szCs w:val="18"/>
          <w:lang w:val="de-DE"/>
        </w:rPr>
      </w:pPr>
      <w:r w:rsidRPr="00EC62E9">
        <w:rPr>
          <w:color w:val="000000"/>
          <w:sz w:val="18"/>
          <w:lang w:val="de-DE"/>
        </w:rPr>
        <w:t>–</w:t>
      </w:r>
      <w:r w:rsidRPr="00EC62E9">
        <w:rPr>
          <w:lang w:val="de-DE"/>
        </w:rPr>
        <w:tab/>
      </w:r>
      <w:r w:rsidRPr="00EC62E9">
        <w:rPr>
          <w:color w:val="000000"/>
          <w:sz w:val="18"/>
          <w:lang w:val="de-DE"/>
        </w:rPr>
        <w:t>8 teilweise überarbeitete Prüfungsrichtlinien</w:t>
      </w:r>
    </w:p>
    <w:p w:rsidR="00D3322A" w:rsidRPr="00EC62E9" w:rsidRDefault="00003E23" w:rsidP="00D3322A">
      <w:pPr>
        <w:spacing w:after="120"/>
        <w:ind w:left="743" w:hanging="386"/>
        <w:jc w:val="left"/>
        <w:rPr>
          <w:color w:val="000000"/>
          <w:sz w:val="18"/>
          <w:szCs w:val="18"/>
          <w:lang w:val="de-DE"/>
        </w:rPr>
      </w:pPr>
      <w:r w:rsidRPr="00EC62E9">
        <w:rPr>
          <w:color w:val="000000"/>
          <w:sz w:val="18"/>
          <w:lang w:val="de-DE"/>
        </w:rPr>
        <w:t>(sieht Abb.</w:t>
      </w:r>
      <w:r w:rsidR="00D3322A" w:rsidRPr="00EC62E9">
        <w:rPr>
          <w:color w:val="000000"/>
          <w:sz w:val="18"/>
          <w:lang w:val="de-DE"/>
        </w:rPr>
        <w:t xml:space="preserve"> 4)</w:t>
      </w:r>
    </w:p>
    <w:p w:rsidR="00D3322A" w:rsidRPr="00EC62E9" w:rsidRDefault="00D3322A" w:rsidP="00D3322A">
      <w:pPr>
        <w:keepNext/>
        <w:keepLines/>
        <w:spacing w:after="120"/>
        <w:jc w:val="left"/>
        <w:rPr>
          <w:sz w:val="18"/>
          <w:szCs w:val="18"/>
          <w:lang w:val="de-DE"/>
        </w:rPr>
      </w:pPr>
      <w:r w:rsidRPr="00EC62E9">
        <w:rPr>
          <w:sz w:val="18"/>
          <w:lang w:val="de-DE"/>
        </w:rPr>
        <w:t xml:space="preserve">Ende 2013 </w:t>
      </w:r>
      <w:proofErr w:type="spellStart"/>
      <w:r w:rsidRPr="00EC62E9">
        <w:rPr>
          <w:sz w:val="18"/>
          <w:lang w:val="de-DE"/>
        </w:rPr>
        <w:t>erfaßten</w:t>
      </w:r>
      <w:proofErr w:type="spellEnd"/>
      <w:r w:rsidRPr="00EC62E9">
        <w:rPr>
          <w:sz w:val="18"/>
          <w:lang w:val="de-DE"/>
        </w:rPr>
        <w:t xml:space="preserve"> die angenommen Prüfungsrichtlinien 91% aller Einträge bezüglich Züchterrechten in die Datenbank für Pflanzensorten (217.298 </w:t>
      </w:r>
      <w:r w:rsidR="00847FAE" w:rsidRPr="00EC62E9">
        <w:rPr>
          <w:sz w:val="18"/>
          <w:lang w:val="de-DE"/>
        </w:rPr>
        <w:t xml:space="preserve">von 247.818), </w:t>
      </w:r>
      <w:r w:rsidRPr="00EC62E9">
        <w:rPr>
          <w:sz w:val="18"/>
          <w:lang w:val="de-DE"/>
        </w:rPr>
        <w:t xml:space="preserve">90% </w:t>
      </w:r>
      <w:r w:rsidR="00003E23" w:rsidRPr="00EC62E9">
        <w:rPr>
          <w:sz w:val="18"/>
          <w:lang w:val="de-DE"/>
        </w:rPr>
        <w:t>Ende 2011 (201.873 von 224.189)</w:t>
      </w:r>
    </w:p>
    <w:p w:rsidR="00D3322A" w:rsidRPr="00EC62E9" w:rsidRDefault="00847FAE" w:rsidP="00D3322A">
      <w:pPr>
        <w:spacing w:after="120"/>
        <w:ind w:left="743" w:hanging="386"/>
        <w:jc w:val="left"/>
        <w:rPr>
          <w:color w:val="000000"/>
          <w:sz w:val="18"/>
          <w:szCs w:val="18"/>
          <w:lang w:val="de-DE"/>
        </w:rPr>
      </w:pPr>
      <w:r w:rsidRPr="00EC62E9">
        <w:rPr>
          <w:color w:val="000000"/>
          <w:sz w:val="18"/>
          <w:lang w:val="de-DE"/>
        </w:rPr>
        <w:t>(siehe</w:t>
      </w:r>
      <w:r w:rsidR="00D3322A" w:rsidRPr="00EC62E9">
        <w:rPr>
          <w:color w:val="000000"/>
          <w:sz w:val="18"/>
          <w:lang w:val="de-DE"/>
        </w:rPr>
        <w:t xml:space="preserve"> Abb. 6)</w:t>
      </w:r>
    </w:p>
    <w:p w:rsidR="00D3322A" w:rsidRPr="00EC62E9" w:rsidRDefault="00D3322A" w:rsidP="00D3322A">
      <w:pPr>
        <w:spacing w:after="120"/>
        <w:jc w:val="left"/>
        <w:rPr>
          <w:i/>
          <w:color w:val="000000"/>
          <w:sz w:val="18"/>
          <w:szCs w:val="18"/>
          <w:lang w:val="de-DE"/>
        </w:rPr>
      </w:pPr>
      <w:r w:rsidRPr="00EC62E9">
        <w:rPr>
          <w:i/>
          <w:color w:val="000000"/>
          <w:sz w:val="18"/>
          <w:lang w:val="de-DE"/>
        </w:rPr>
        <w:t>Von den Technischen Arbeitsgruppen fortgeführte Prüfungsrichtlinien</w:t>
      </w:r>
    </w:p>
    <w:p w:rsidR="00D3322A" w:rsidRPr="00EC62E9" w:rsidRDefault="00D3322A" w:rsidP="00D3322A">
      <w:pPr>
        <w:keepNext/>
        <w:keepLines/>
        <w:numPr>
          <w:ilvl w:val="0"/>
          <w:numId w:val="3"/>
        </w:numPr>
        <w:tabs>
          <w:tab w:val="num" w:pos="318"/>
        </w:tabs>
        <w:spacing w:after="120"/>
        <w:ind w:left="357" w:hanging="357"/>
        <w:jc w:val="left"/>
        <w:rPr>
          <w:i/>
          <w:color w:val="000000"/>
          <w:sz w:val="18"/>
          <w:szCs w:val="18"/>
          <w:lang w:val="de-DE"/>
        </w:rPr>
      </w:pPr>
      <w:r w:rsidRPr="00EC62E9">
        <w:rPr>
          <w:color w:val="000000"/>
          <w:sz w:val="18"/>
          <w:lang w:val="de-DE"/>
        </w:rPr>
        <w:t>2012 wurden 59 Prüfungsrichtlinien von den TWP fortgeführt, darunter</w:t>
      </w:r>
    </w:p>
    <w:p w:rsidR="00D3322A" w:rsidRPr="00EC62E9" w:rsidRDefault="00D3322A" w:rsidP="00D3322A">
      <w:pPr>
        <w:spacing w:after="60"/>
        <w:ind w:left="743" w:hanging="386"/>
        <w:jc w:val="left"/>
        <w:rPr>
          <w:i/>
          <w:color w:val="000000"/>
          <w:sz w:val="18"/>
          <w:szCs w:val="18"/>
          <w:lang w:val="de-DE"/>
        </w:rPr>
      </w:pPr>
      <w:r w:rsidRPr="00EC62E9">
        <w:rPr>
          <w:color w:val="000000"/>
          <w:sz w:val="18"/>
          <w:lang w:val="de-DE"/>
        </w:rPr>
        <w:t>–</w:t>
      </w:r>
      <w:r w:rsidRPr="00EC62E9">
        <w:rPr>
          <w:lang w:val="de-DE"/>
        </w:rPr>
        <w:tab/>
      </w:r>
      <w:r w:rsidRPr="00EC62E9">
        <w:rPr>
          <w:color w:val="000000"/>
          <w:sz w:val="18"/>
          <w:lang w:val="de-DE"/>
        </w:rPr>
        <w:t>36 neue Prüfungsrichtlinien</w:t>
      </w:r>
    </w:p>
    <w:p w:rsidR="00D3322A" w:rsidRPr="00EC62E9" w:rsidRDefault="00D3322A" w:rsidP="00D3322A">
      <w:pPr>
        <w:tabs>
          <w:tab w:val="left" w:pos="756"/>
          <w:tab w:val="left" w:pos="2444"/>
        </w:tabs>
        <w:spacing w:after="60"/>
        <w:ind w:left="2444" w:hanging="2087"/>
        <w:jc w:val="left"/>
        <w:rPr>
          <w:color w:val="000000"/>
          <w:sz w:val="18"/>
          <w:szCs w:val="18"/>
          <w:lang w:val="de-DE"/>
        </w:rPr>
      </w:pPr>
      <w:r w:rsidRPr="00EC62E9">
        <w:rPr>
          <w:color w:val="000000"/>
          <w:sz w:val="18"/>
          <w:lang w:val="de-DE"/>
        </w:rPr>
        <w:t>–</w:t>
      </w:r>
      <w:r w:rsidRPr="00EC62E9">
        <w:rPr>
          <w:lang w:val="de-DE"/>
        </w:rPr>
        <w:tab/>
      </w:r>
      <w:r w:rsidRPr="00EC62E9">
        <w:rPr>
          <w:sz w:val="18"/>
          <w:szCs w:val="18"/>
          <w:lang w:val="de-DE"/>
        </w:rPr>
        <w:t>16 Überarbeitungen</w:t>
      </w:r>
    </w:p>
    <w:p w:rsidR="00D3322A" w:rsidRPr="00EC62E9" w:rsidRDefault="00D3322A" w:rsidP="00D3322A">
      <w:pPr>
        <w:tabs>
          <w:tab w:val="left" w:pos="756"/>
          <w:tab w:val="left" w:pos="2444"/>
        </w:tabs>
        <w:spacing w:after="120"/>
        <w:ind w:left="2444" w:hanging="2087"/>
        <w:jc w:val="left"/>
        <w:rPr>
          <w:color w:val="000000"/>
          <w:sz w:val="18"/>
          <w:szCs w:val="18"/>
          <w:lang w:val="de-DE"/>
        </w:rPr>
      </w:pPr>
      <w:r w:rsidRPr="00EC62E9">
        <w:rPr>
          <w:color w:val="000000"/>
          <w:sz w:val="18"/>
          <w:lang w:val="de-DE"/>
        </w:rPr>
        <w:t>–</w:t>
      </w:r>
      <w:r w:rsidRPr="00EC62E9">
        <w:rPr>
          <w:lang w:val="de-DE"/>
        </w:rPr>
        <w:tab/>
      </w:r>
      <w:r w:rsidRPr="00EC62E9">
        <w:rPr>
          <w:color w:val="000000"/>
          <w:sz w:val="18"/>
          <w:lang w:val="de-DE"/>
        </w:rPr>
        <w:t>7 Teilüberarbeitungen</w:t>
      </w:r>
    </w:p>
    <w:p w:rsidR="00D3322A" w:rsidRPr="00EC62E9" w:rsidRDefault="00D3322A" w:rsidP="00D3322A">
      <w:pPr>
        <w:keepNext/>
        <w:keepLines/>
        <w:numPr>
          <w:ilvl w:val="0"/>
          <w:numId w:val="3"/>
        </w:numPr>
        <w:tabs>
          <w:tab w:val="num" w:pos="318"/>
        </w:tabs>
        <w:spacing w:after="120"/>
        <w:ind w:left="357" w:hanging="357"/>
        <w:jc w:val="left"/>
        <w:rPr>
          <w:i/>
          <w:color w:val="000000"/>
          <w:sz w:val="18"/>
          <w:szCs w:val="18"/>
          <w:lang w:val="de-DE"/>
        </w:rPr>
      </w:pPr>
      <w:r w:rsidRPr="00EC62E9">
        <w:rPr>
          <w:color w:val="000000"/>
          <w:sz w:val="18"/>
          <w:lang w:val="de-DE"/>
        </w:rPr>
        <w:t>2013 wurden 49 Entwürfe von Prüfungsrichtlinien von den TWP fortgeführt, darunter</w:t>
      </w:r>
    </w:p>
    <w:p w:rsidR="00D3322A" w:rsidRPr="00EC62E9" w:rsidRDefault="00D3322A" w:rsidP="00D3322A">
      <w:pPr>
        <w:spacing w:after="60"/>
        <w:ind w:left="743" w:hanging="386"/>
        <w:jc w:val="left"/>
        <w:rPr>
          <w:i/>
          <w:color w:val="000000"/>
          <w:sz w:val="18"/>
          <w:szCs w:val="18"/>
          <w:lang w:val="de-DE"/>
        </w:rPr>
      </w:pPr>
      <w:r w:rsidRPr="00EC62E9">
        <w:rPr>
          <w:color w:val="000000"/>
          <w:sz w:val="18"/>
          <w:lang w:val="de-DE"/>
        </w:rPr>
        <w:t>–</w:t>
      </w:r>
      <w:r w:rsidRPr="00EC62E9">
        <w:rPr>
          <w:lang w:val="de-DE"/>
        </w:rPr>
        <w:tab/>
      </w:r>
      <w:r w:rsidRPr="00EC62E9">
        <w:rPr>
          <w:color w:val="000000"/>
          <w:sz w:val="18"/>
          <w:szCs w:val="18"/>
          <w:lang w:val="de-DE"/>
        </w:rPr>
        <w:t>30 neue Prüfungsrichtlinien</w:t>
      </w:r>
    </w:p>
    <w:p w:rsidR="00D3322A" w:rsidRPr="00EC62E9" w:rsidRDefault="00D3322A" w:rsidP="00D3322A">
      <w:pPr>
        <w:tabs>
          <w:tab w:val="left" w:pos="756"/>
          <w:tab w:val="left" w:pos="2444"/>
        </w:tabs>
        <w:spacing w:after="60"/>
        <w:ind w:left="2444" w:hanging="2087"/>
        <w:jc w:val="left"/>
        <w:rPr>
          <w:color w:val="000000"/>
          <w:sz w:val="18"/>
          <w:szCs w:val="18"/>
          <w:lang w:val="de-DE"/>
        </w:rPr>
      </w:pPr>
      <w:r w:rsidRPr="00EC62E9">
        <w:rPr>
          <w:color w:val="000000"/>
          <w:sz w:val="18"/>
          <w:szCs w:val="18"/>
          <w:lang w:val="de-DE"/>
        </w:rPr>
        <w:t>–</w:t>
      </w:r>
      <w:r w:rsidRPr="00EC62E9">
        <w:rPr>
          <w:sz w:val="18"/>
          <w:szCs w:val="18"/>
          <w:lang w:val="de-DE"/>
        </w:rPr>
        <w:tab/>
        <w:t>13 Überarbeitungen</w:t>
      </w:r>
    </w:p>
    <w:p w:rsidR="00D3322A" w:rsidRPr="00EC62E9" w:rsidRDefault="00D3322A" w:rsidP="00D3322A">
      <w:pPr>
        <w:tabs>
          <w:tab w:val="left" w:pos="756"/>
          <w:tab w:val="left" w:pos="2444"/>
        </w:tabs>
        <w:spacing w:after="60"/>
        <w:ind w:left="2444" w:hanging="2087"/>
        <w:jc w:val="left"/>
        <w:rPr>
          <w:color w:val="000000"/>
          <w:sz w:val="18"/>
          <w:szCs w:val="18"/>
          <w:lang w:val="de-DE"/>
        </w:rPr>
      </w:pPr>
      <w:r w:rsidRPr="00EC62E9">
        <w:rPr>
          <w:color w:val="000000"/>
          <w:sz w:val="18"/>
          <w:szCs w:val="18"/>
          <w:lang w:val="de-DE"/>
        </w:rPr>
        <w:t>–</w:t>
      </w:r>
      <w:r w:rsidRPr="00EC62E9">
        <w:rPr>
          <w:sz w:val="18"/>
          <w:szCs w:val="18"/>
          <w:lang w:val="de-DE"/>
        </w:rPr>
        <w:tab/>
      </w:r>
      <w:r w:rsidRPr="00EC62E9">
        <w:rPr>
          <w:color w:val="000000"/>
          <w:sz w:val="18"/>
          <w:szCs w:val="18"/>
          <w:lang w:val="de-DE"/>
        </w:rPr>
        <w:t>6 Teilüberarbeitungen</w:t>
      </w:r>
    </w:p>
    <w:p w:rsidR="00D3322A" w:rsidRPr="00EC62E9" w:rsidRDefault="00D3322A" w:rsidP="00D3322A">
      <w:pPr>
        <w:rPr>
          <w:color w:val="000000"/>
          <w:sz w:val="18"/>
          <w:szCs w:val="18"/>
          <w:lang w:val="de-DE"/>
        </w:rPr>
      </w:pPr>
      <w:r w:rsidRPr="00EC62E9">
        <w:rPr>
          <w:sz w:val="18"/>
          <w:szCs w:val="18"/>
          <w:lang w:val="de-DE"/>
        </w:rPr>
        <w:tab/>
      </w:r>
      <w:r w:rsidR="00D25164" w:rsidRPr="00EC62E9">
        <w:rPr>
          <w:color w:val="000000"/>
          <w:sz w:val="18"/>
          <w:szCs w:val="18"/>
          <w:lang w:val="de-DE"/>
        </w:rPr>
        <w:t>(siehe</w:t>
      </w:r>
      <w:r w:rsidRPr="00EC62E9">
        <w:rPr>
          <w:color w:val="000000"/>
          <w:sz w:val="18"/>
          <w:szCs w:val="18"/>
          <w:lang w:val="de-DE"/>
        </w:rPr>
        <w:t xml:space="preserve"> Abb. 5)</w:t>
      </w:r>
    </w:p>
    <w:p w:rsidR="00D3322A" w:rsidRPr="00EC62E9" w:rsidRDefault="00D3322A" w:rsidP="00D3322A">
      <w:pPr>
        <w:rPr>
          <w:sz w:val="18"/>
          <w:szCs w:val="18"/>
          <w:lang w:val="de-DE"/>
        </w:rPr>
      </w:pPr>
    </w:p>
    <w:p w:rsidR="00D3322A" w:rsidRPr="00EC62E9" w:rsidRDefault="00D3322A" w:rsidP="00D3322A">
      <w:pPr>
        <w:rPr>
          <w:lang w:val="de-DE"/>
        </w:rPr>
      </w:pPr>
    </w:p>
    <w:p w:rsidR="00963DF0" w:rsidRDefault="00963DF0">
      <w:pPr>
        <w:jc w:val="left"/>
        <w:rPr>
          <w:rFonts w:eastAsiaTheme="minorEastAsia"/>
          <w:iCs/>
          <w:sz w:val="18"/>
          <w:szCs w:val="24"/>
          <w:u w:val="single"/>
          <w:lang w:val="de-DE"/>
        </w:rPr>
      </w:pPr>
      <w:r>
        <w:rPr>
          <w:rFonts w:eastAsiaTheme="minorEastAsia"/>
          <w:lang w:val="de-DE"/>
        </w:rPr>
        <w:br w:type="page"/>
      </w:r>
    </w:p>
    <w:p w:rsidR="00D3322A" w:rsidRPr="00EC62E9" w:rsidRDefault="00963DF0" w:rsidP="00963DF0">
      <w:pPr>
        <w:pStyle w:val="Heading8"/>
        <w:jc w:val="center"/>
        <w:rPr>
          <w:rFonts w:eastAsiaTheme="minorEastAsia"/>
          <w:lang w:val="de-DE"/>
        </w:rPr>
      </w:pPr>
      <w:bookmarkStart w:id="79" w:name="_Toc398736735"/>
      <w:r w:rsidRPr="00963DF0">
        <w:rPr>
          <w:rFonts w:eastAsiaTheme="minorEastAsia"/>
          <w:lang w:val="de-DE"/>
        </w:rPr>
        <w:t>Prüfungsrichtlinien: Besuche auf der UPOV-Website im Jahr 2013</w:t>
      </w:r>
      <w:bookmarkEnd w:id="79"/>
    </w:p>
    <w:tbl>
      <w:tblPr>
        <w:tblW w:w="4486" w:type="dxa"/>
        <w:jc w:val="center"/>
        <w:tblInd w:w="4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359"/>
        <w:gridCol w:w="1843"/>
      </w:tblGrid>
      <w:tr w:rsidR="00D3322A" w:rsidRPr="00EC62E9" w:rsidTr="00963DF0">
        <w:trPr>
          <w:trHeight w:val="143"/>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Sprache </w:t>
            </w:r>
          </w:p>
        </w:tc>
        <w:tc>
          <w:tcPr>
            <w:tcW w:w="1359"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Seitenaufrufe </w:t>
            </w:r>
          </w:p>
        </w:tc>
        <w:tc>
          <w:tcPr>
            <w:tcW w:w="1843" w:type="dxa"/>
          </w:tcPr>
          <w:p w:rsidR="00D3322A" w:rsidRPr="00EC62E9" w:rsidRDefault="00D3322A" w:rsidP="00847FAE">
            <w:pPr>
              <w:autoSpaceDE w:val="0"/>
              <w:autoSpaceDN w:val="0"/>
              <w:adjustRightInd w:val="0"/>
              <w:jc w:val="left"/>
              <w:rPr>
                <w:rFonts w:cs="Arial"/>
                <w:bCs/>
                <w:color w:val="000000"/>
                <w:sz w:val="18"/>
                <w:szCs w:val="22"/>
                <w:lang w:val="de-DE"/>
              </w:rPr>
            </w:pPr>
            <w:r w:rsidRPr="00EC62E9">
              <w:rPr>
                <w:color w:val="000000"/>
                <w:sz w:val="18"/>
                <w:lang w:val="de-DE"/>
              </w:rPr>
              <w:t xml:space="preserve">Einzelseitenaufrufe </w:t>
            </w:r>
          </w:p>
          <w:p w:rsidR="00D3322A" w:rsidRPr="00EC62E9" w:rsidRDefault="00D3322A" w:rsidP="00847FAE">
            <w:pPr>
              <w:autoSpaceDE w:val="0"/>
              <w:autoSpaceDN w:val="0"/>
              <w:adjustRightInd w:val="0"/>
              <w:jc w:val="left"/>
              <w:rPr>
                <w:rFonts w:cs="Arial"/>
                <w:color w:val="000000"/>
                <w:sz w:val="18"/>
                <w:szCs w:val="22"/>
                <w:lang w:val="de-DE"/>
              </w:rPr>
            </w:pPr>
          </w:p>
        </w:tc>
      </w:tr>
      <w:tr w:rsidR="00D3322A" w:rsidRPr="00EC62E9" w:rsidTr="00963DF0">
        <w:trPr>
          <w:trHeight w:val="148"/>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Englisch </w:t>
            </w:r>
          </w:p>
        </w:tc>
        <w:tc>
          <w:tcPr>
            <w:tcW w:w="1359" w:type="dxa"/>
          </w:tcPr>
          <w:p w:rsidR="00D3322A" w:rsidRPr="00EC62E9" w:rsidRDefault="00D3322A" w:rsidP="00847FAE">
            <w:pPr>
              <w:pStyle w:val="Default"/>
              <w:tabs>
                <w:tab w:val="decimal" w:pos="849"/>
              </w:tabs>
              <w:rPr>
                <w:sz w:val="18"/>
                <w:szCs w:val="18"/>
                <w:lang w:val="de-DE"/>
              </w:rPr>
            </w:pPr>
            <w:r w:rsidRPr="00EC62E9">
              <w:rPr>
                <w:sz w:val="18"/>
                <w:lang w:val="de-DE"/>
              </w:rPr>
              <w:t xml:space="preserve">55.559 </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 xml:space="preserve">31.498 </w:t>
            </w:r>
          </w:p>
        </w:tc>
      </w:tr>
      <w:tr w:rsidR="00D3322A" w:rsidRPr="00EC62E9" w:rsidTr="00963DF0">
        <w:trPr>
          <w:trHeight w:val="142"/>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Spanisch </w:t>
            </w:r>
          </w:p>
        </w:tc>
        <w:tc>
          <w:tcPr>
            <w:tcW w:w="1359" w:type="dxa"/>
          </w:tcPr>
          <w:p w:rsidR="00D3322A" w:rsidRPr="00EC62E9" w:rsidRDefault="00D3322A" w:rsidP="00847FAE">
            <w:pPr>
              <w:pStyle w:val="Default"/>
              <w:tabs>
                <w:tab w:val="decimal" w:pos="849"/>
              </w:tabs>
              <w:rPr>
                <w:sz w:val="18"/>
                <w:szCs w:val="18"/>
                <w:lang w:val="de-DE"/>
              </w:rPr>
            </w:pPr>
            <w:r w:rsidRPr="00EC62E9">
              <w:rPr>
                <w:sz w:val="18"/>
                <w:lang w:val="de-DE"/>
              </w:rPr>
              <w:t>8.591</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 xml:space="preserve">4.802 </w:t>
            </w:r>
          </w:p>
        </w:tc>
      </w:tr>
      <w:tr w:rsidR="00D3322A" w:rsidRPr="00EC62E9" w:rsidTr="00963DF0">
        <w:trPr>
          <w:trHeight w:val="155"/>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Französisch </w:t>
            </w:r>
          </w:p>
        </w:tc>
        <w:tc>
          <w:tcPr>
            <w:tcW w:w="1359" w:type="dxa"/>
          </w:tcPr>
          <w:p w:rsidR="00D3322A" w:rsidRPr="00EC62E9" w:rsidRDefault="00D3322A" w:rsidP="00847FAE">
            <w:pPr>
              <w:pStyle w:val="Default"/>
              <w:tabs>
                <w:tab w:val="decimal" w:pos="849"/>
              </w:tabs>
              <w:rPr>
                <w:sz w:val="18"/>
                <w:szCs w:val="18"/>
                <w:lang w:val="de-DE"/>
              </w:rPr>
            </w:pPr>
            <w:r w:rsidRPr="00EC62E9">
              <w:rPr>
                <w:sz w:val="18"/>
                <w:lang w:val="de-DE"/>
              </w:rPr>
              <w:t xml:space="preserve">3.071 </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 xml:space="preserve">1.898 </w:t>
            </w:r>
          </w:p>
        </w:tc>
      </w:tr>
      <w:tr w:rsidR="00D3322A" w:rsidRPr="00EC62E9" w:rsidTr="00963DF0">
        <w:trPr>
          <w:trHeight w:val="142"/>
          <w:jc w:val="center"/>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Deutsch </w:t>
            </w:r>
          </w:p>
        </w:tc>
        <w:tc>
          <w:tcPr>
            <w:tcW w:w="1359" w:type="dxa"/>
          </w:tcPr>
          <w:p w:rsidR="00D3322A" w:rsidRPr="00EC62E9" w:rsidRDefault="00D3322A" w:rsidP="00847FAE">
            <w:pPr>
              <w:pStyle w:val="Default"/>
              <w:tabs>
                <w:tab w:val="decimal" w:pos="849"/>
              </w:tabs>
              <w:rPr>
                <w:sz w:val="18"/>
                <w:szCs w:val="18"/>
                <w:lang w:val="de-DE"/>
              </w:rPr>
            </w:pPr>
            <w:r w:rsidRPr="00EC62E9">
              <w:rPr>
                <w:sz w:val="18"/>
                <w:lang w:val="de-DE"/>
              </w:rPr>
              <w:t xml:space="preserve">1.258 </w:t>
            </w:r>
          </w:p>
        </w:tc>
        <w:tc>
          <w:tcPr>
            <w:tcW w:w="1843" w:type="dxa"/>
          </w:tcPr>
          <w:p w:rsidR="00D3322A" w:rsidRPr="00EC62E9" w:rsidRDefault="00D3322A" w:rsidP="00D25164">
            <w:pPr>
              <w:pStyle w:val="Default"/>
              <w:tabs>
                <w:tab w:val="decimal" w:pos="1409"/>
              </w:tabs>
              <w:rPr>
                <w:sz w:val="18"/>
                <w:szCs w:val="18"/>
                <w:lang w:val="de-DE"/>
              </w:rPr>
            </w:pPr>
            <w:r w:rsidRPr="00EC62E9">
              <w:rPr>
                <w:sz w:val="18"/>
                <w:lang w:val="de-DE"/>
              </w:rPr>
              <w:t>781</w:t>
            </w:r>
          </w:p>
        </w:tc>
      </w:tr>
    </w:tbl>
    <w:p w:rsidR="00D3322A" w:rsidRPr="00EC62E9" w:rsidRDefault="00D3322A" w:rsidP="00963DF0">
      <w:pPr>
        <w:jc w:val="center"/>
        <w:rPr>
          <w:lang w:val="de-DE"/>
        </w:rPr>
      </w:pPr>
    </w:p>
    <w:p w:rsidR="00D3322A" w:rsidRPr="00EC62E9" w:rsidRDefault="00D25164" w:rsidP="00963DF0">
      <w:pPr>
        <w:keepNext/>
        <w:tabs>
          <w:tab w:val="left" w:pos="374"/>
        </w:tabs>
        <w:jc w:val="center"/>
        <w:rPr>
          <w:rFonts w:eastAsiaTheme="minorEastAsia"/>
          <w:bCs/>
          <w:sz w:val="18"/>
          <w:szCs w:val="22"/>
          <w:lang w:val="de-DE"/>
        </w:rPr>
      </w:pPr>
      <w:r w:rsidRPr="00EC62E9">
        <w:rPr>
          <w:rFonts w:eastAsiaTheme="minorEastAsia"/>
          <w:sz w:val="18"/>
          <w:lang w:val="de-DE"/>
        </w:rPr>
        <w:t>Entwicklung der Seitenaufrufe</w:t>
      </w:r>
    </w:p>
    <w:p w:rsidR="00D3322A" w:rsidRPr="00EC62E9" w:rsidRDefault="00D3322A" w:rsidP="00963DF0">
      <w:pPr>
        <w:jc w:val="center"/>
        <w:rPr>
          <w:lang w:val="de-DE"/>
        </w:rPr>
      </w:pPr>
    </w:p>
    <w:tbl>
      <w:tblPr>
        <w:tblW w:w="0" w:type="auto"/>
        <w:jc w:val="center"/>
        <w:tblInd w:w="4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734"/>
        <w:gridCol w:w="1985"/>
      </w:tblGrid>
      <w:tr w:rsidR="00D3322A" w:rsidRPr="00EC62E9" w:rsidTr="00963DF0">
        <w:trPr>
          <w:trHeight w:val="143"/>
          <w:jc w:val="center"/>
        </w:trPr>
        <w:tc>
          <w:tcPr>
            <w:tcW w:w="1284" w:type="dxa"/>
          </w:tcPr>
          <w:p w:rsidR="00D3322A" w:rsidRPr="00EC62E9" w:rsidRDefault="00D3322A" w:rsidP="00847FAE">
            <w:pPr>
              <w:keepNext/>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 xml:space="preserve">Jahr </w:t>
            </w:r>
          </w:p>
        </w:tc>
        <w:tc>
          <w:tcPr>
            <w:tcW w:w="1734" w:type="dxa"/>
          </w:tcPr>
          <w:p w:rsidR="00D3322A" w:rsidRPr="00EC62E9" w:rsidRDefault="00D3322A" w:rsidP="00963DF0">
            <w:pPr>
              <w:keepNext/>
              <w:autoSpaceDE w:val="0"/>
              <w:autoSpaceDN w:val="0"/>
              <w:adjustRightInd w:val="0"/>
              <w:jc w:val="center"/>
              <w:rPr>
                <w:rFonts w:eastAsiaTheme="minorEastAsia" w:cs="Arial"/>
                <w:color w:val="000000"/>
                <w:sz w:val="18"/>
                <w:szCs w:val="22"/>
                <w:lang w:val="de-DE"/>
              </w:rPr>
            </w:pPr>
            <w:r w:rsidRPr="00EC62E9">
              <w:rPr>
                <w:rFonts w:eastAsiaTheme="minorEastAsia"/>
                <w:color w:val="000000"/>
                <w:sz w:val="18"/>
                <w:lang w:val="de-DE"/>
              </w:rPr>
              <w:t>Seitenaufrufe</w:t>
            </w:r>
          </w:p>
        </w:tc>
        <w:tc>
          <w:tcPr>
            <w:tcW w:w="1985" w:type="dxa"/>
          </w:tcPr>
          <w:p w:rsidR="00D3322A" w:rsidRPr="00EC62E9" w:rsidRDefault="00D3322A" w:rsidP="00963DF0">
            <w:pPr>
              <w:keepNext/>
              <w:autoSpaceDE w:val="0"/>
              <w:autoSpaceDN w:val="0"/>
              <w:adjustRightInd w:val="0"/>
              <w:jc w:val="center"/>
              <w:rPr>
                <w:rFonts w:eastAsiaTheme="minorEastAsia" w:cs="Arial"/>
                <w:bCs/>
                <w:color w:val="000000"/>
                <w:sz w:val="18"/>
                <w:szCs w:val="22"/>
                <w:lang w:val="de-DE"/>
              </w:rPr>
            </w:pPr>
            <w:r w:rsidRPr="00EC62E9">
              <w:rPr>
                <w:rFonts w:eastAsiaTheme="minorEastAsia"/>
                <w:color w:val="000000"/>
                <w:sz w:val="18"/>
                <w:lang w:val="de-DE"/>
              </w:rPr>
              <w:t>Einzelseitenaufrufe</w:t>
            </w:r>
          </w:p>
          <w:p w:rsidR="00D3322A" w:rsidRPr="00EC62E9" w:rsidRDefault="00D3322A" w:rsidP="00963DF0">
            <w:pPr>
              <w:keepNext/>
              <w:autoSpaceDE w:val="0"/>
              <w:autoSpaceDN w:val="0"/>
              <w:adjustRightInd w:val="0"/>
              <w:jc w:val="center"/>
              <w:rPr>
                <w:rFonts w:eastAsiaTheme="minorEastAsia" w:cs="Arial"/>
                <w:color w:val="000000"/>
                <w:sz w:val="18"/>
                <w:szCs w:val="22"/>
                <w:lang w:val="de-DE"/>
              </w:rPr>
            </w:pPr>
          </w:p>
        </w:tc>
      </w:tr>
      <w:tr w:rsidR="00D3322A" w:rsidRPr="00EC62E9" w:rsidTr="00963DF0">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2013 </w:t>
            </w:r>
          </w:p>
        </w:tc>
        <w:tc>
          <w:tcPr>
            <w:tcW w:w="1734" w:type="dxa"/>
          </w:tcPr>
          <w:p w:rsidR="00D3322A" w:rsidRPr="00EC62E9" w:rsidRDefault="00D3322A" w:rsidP="00963DF0">
            <w:pPr>
              <w:pStyle w:val="Default"/>
              <w:ind w:right="177"/>
              <w:jc w:val="right"/>
              <w:rPr>
                <w:sz w:val="18"/>
                <w:szCs w:val="18"/>
                <w:lang w:val="de-DE"/>
              </w:rPr>
            </w:pPr>
            <w:r w:rsidRPr="00EC62E9">
              <w:rPr>
                <w:sz w:val="18"/>
                <w:lang w:val="de-DE"/>
              </w:rPr>
              <w:t xml:space="preserve">68.479 </w:t>
            </w:r>
          </w:p>
        </w:tc>
        <w:tc>
          <w:tcPr>
            <w:tcW w:w="1985" w:type="dxa"/>
          </w:tcPr>
          <w:p w:rsidR="00D3322A" w:rsidRPr="00EC62E9" w:rsidRDefault="00D3322A" w:rsidP="00963DF0">
            <w:pPr>
              <w:pStyle w:val="Default"/>
              <w:ind w:right="267"/>
              <w:jc w:val="right"/>
              <w:rPr>
                <w:sz w:val="18"/>
                <w:szCs w:val="18"/>
                <w:lang w:val="de-DE"/>
              </w:rPr>
            </w:pPr>
            <w:r w:rsidRPr="00EC62E9">
              <w:rPr>
                <w:sz w:val="18"/>
                <w:lang w:val="de-DE"/>
              </w:rPr>
              <w:t xml:space="preserve">38.979 </w:t>
            </w:r>
          </w:p>
        </w:tc>
      </w:tr>
      <w:tr w:rsidR="00D3322A" w:rsidRPr="00EC62E9" w:rsidTr="00963DF0">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2012 </w:t>
            </w:r>
          </w:p>
        </w:tc>
        <w:tc>
          <w:tcPr>
            <w:tcW w:w="1734" w:type="dxa"/>
          </w:tcPr>
          <w:p w:rsidR="00D3322A" w:rsidRPr="00EC62E9" w:rsidRDefault="00D3322A" w:rsidP="00963DF0">
            <w:pPr>
              <w:pStyle w:val="Default"/>
              <w:ind w:right="177"/>
              <w:jc w:val="right"/>
              <w:rPr>
                <w:sz w:val="18"/>
                <w:szCs w:val="18"/>
                <w:lang w:val="de-DE"/>
              </w:rPr>
            </w:pPr>
            <w:r w:rsidRPr="00EC62E9">
              <w:rPr>
                <w:sz w:val="18"/>
                <w:lang w:val="de-DE"/>
              </w:rPr>
              <w:t xml:space="preserve">65.471 </w:t>
            </w:r>
          </w:p>
        </w:tc>
        <w:tc>
          <w:tcPr>
            <w:tcW w:w="1985" w:type="dxa"/>
          </w:tcPr>
          <w:p w:rsidR="00D3322A" w:rsidRPr="00EC62E9" w:rsidRDefault="00D3322A" w:rsidP="00963DF0">
            <w:pPr>
              <w:pStyle w:val="Default"/>
              <w:ind w:right="267"/>
              <w:jc w:val="right"/>
              <w:rPr>
                <w:sz w:val="18"/>
                <w:szCs w:val="18"/>
                <w:lang w:val="de-DE"/>
              </w:rPr>
            </w:pPr>
            <w:r w:rsidRPr="00EC62E9">
              <w:rPr>
                <w:sz w:val="18"/>
                <w:lang w:val="de-DE"/>
              </w:rPr>
              <w:t xml:space="preserve">37.227 </w:t>
            </w:r>
          </w:p>
        </w:tc>
      </w:tr>
      <w:tr w:rsidR="00D3322A" w:rsidRPr="00EC62E9" w:rsidTr="00963DF0">
        <w:trPr>
          <w:trHeight w:val="148"/>
          <w:jc w:val="center"/>
        </w:trPr>
        <w:tc>
          <w:tcPr>
            <w:tcW w:w="1284" w:type="dxa"/>
          </w:tcPr>
          <w:p w:rsidR="00D3322A" w:rsidRPr="00EC62E9" w:rsidRDefault="00D3322A" w:rsidP="00847FAE">
            <w:pPr>
              <w:pStyle w:val="Default"/>
              <w:rPr>
                <w:sz w:val="18"/>
                <w:szCs w:val="18"/>
                <w:lang w:val="de-DE"/>
              </w:rPr>
            </w:pPr>
            <w:r w:rsidRPr="00EC62E9">
              <w:rPr>
                <w:sz w:val="18"/>
                <w:lang w:val="de-DE"/>
              </w:rPr>
              <w:t xml:space="preserve">2011 </w:t>
            </w:r>
          </w:p>
        </w:tc>
        <w:tc>
          <w:tcPr>
            <w:tcW w:w="1734" w:type="dxa"/>
          </w:tcPr>
          <w:p w:rsidR="00D3322A" w:rsidRPr="00EC62E9" w:rsidRDefault="00D3322A" w:rsidP="00963DF0">
            <w:pPr>
              <w:pStyle w:val="Default"/>
              <w:ind w:right="177"/>
              <w:jc w:val="right"/>
              <w:rPr>
                <w:sz w:val="18"/>
                <w:szCs w:val="18"/>
                <w:lang w:val="de-DE"/>
              </w:rPr>
            </w:pPr>
            <w:r w:rsidRPr="00EC62E9">
              <w:rPr>
                <w:sz w:val="18"/>
                <w:lang w:val="de-DE"/>
              </w:rPr>
              <w:t xml:space="preserve">nicht verfügbar </w:t>
            </w:r>
          </w:p>
        </w:tc>
        <w:tc>
          <w:tcPr>
            <w:tcW w:w="1985" w:type="dxa"/>
          </w:tcPr>
          <w:p w:rsidR="00D3322A" w:rsidRPr="00EC62E9" w:rsidRDefault="00D3322A" w:rsidP="00963DF0">
            <w:pPr>
              <w:pStyle w:val="Default"/>
              <w:ind w:right="267"/>
              <w:jc w:val="right"/>
              <w:rPr>
                <w:sz w:val="18"/>
                <w:szCs w:val="18"/>
                <w:lang w:val="de-DE"/>
              </w:rPr>
            </w:pPr>
            <w:r w:rsidRPr="00EC62E9">
              <w:rPr>
                <w:sz w:val="18"/>
                <w:lang w:val="de-DE"/>
              </w:rPr>
              <w:t xml:space="preserve">nicht verfügbar </w:t>
            </w:r>
          </w:p>
        </w:tc>
      </w:tr>
    </w:tbl>
    <w:p w:rsidR="00D3322A" w:rsidRDefault="00D3322A" w:rsidP="00D3322A">
      <w:pPr>
        <w:tabs>
          <w:tab w:val="left" w:pos="2410"/>
          <w:tab w:val="left" w:pos="4536"/>
          <w:tab w:val="left" w:pos="9072"/>
        </w:tabs>
        <w:rPr>
          <w:sz w:val="18"/>
          <w:szCs w:val="18"/>
          <w:lang w:val="de-DE"/>
        </w:rPr>
      </w:pPr>
    </w:p>
    <w:p w:rsidR="00963DF0" w:rsidRPr="00EC62E9" w:rsidRDefault="00963DF0" w:rsidP="00D3322A">
      <w:pPr>
        <w:tabs>
          <w:tab w:val="left" w:pos="2410"/>
          <w:tab w:val="left" w:pos="4536"/>
          <w:tab w:val="left" w:pos="9072"/>
        </w:tabs>
        <w:rPr>
          <w:sz w:val="18"/>
          <w:szCs w:val="18"/>
          <w:lang w:val="de-DE"/>
        </w:rPr>
      </w:pPr>
    </w:p>
    <w:tbl>
      <w:tblPr>
        <w:tblW w:w="9889" w:type="dxa"/>
        <w:tblInd w:w="-38" w:type="dxa"/>
        <w:tblLayout w:type="fixed"/>
        <w:tblCellMar>
          <w:left w:w="70" w:type="dxa"/>
          <w:right w:w="70" w:type="dxa"/>
        </w:tblCellMar>
        <w:tblLook w:val="0000" w:firstRow="0" w:lastRow="0" w:firstColumn="0" w:lastColumn="0" w:noHBand="0" w:noVBand="0"/>
      </w:tblPr>
      <w:tblGrid>
        <w:gridCol w:w="4944"/>
        <w:gridCol w:w="4945"/>
      </w:tblGrid>
      <w:tr w:rsidR="00D3322A" w:rsidRPr="00EC62E9" w:rsidTr="00213AD9">
        <w:trPr>
          <w:cantSplit/>
          <w:trHeight w:val="4755"/>
        </w:trPr>
        <w:tc>
          <w:tcPr>
            <w:tcW w:w="4944" w:type="dxa"/>
          </w:tcPr>
          <w:p w:rsidR="00D3322A" w:rsidRPr="00EC62E9" w:rsidRDefault="00D3322A" w:rsidP="00847FAE">
            <w:pPr>
              <w:pStyle w:val="Heading9"/>
              <w:keepLines/>
              <w:rPr>
                <w:lang w:val="de-DE"/>
              </w:rPr>
            </w:pPr>
            <w:bookmarkStart w:id="80" w:name="_Toc396137539"/>
            <w:bookmarkStart w:id="81" w:name="_Toc398736736"/>
            <w:r w:rsidRPr="00EC62E9">
              <w:rPr>
                <w:lang w:val="de-DE"/>
              </w:rPr>
              <w:t>Abb. 4.  Annahme von Prüfungsrichtlinien</w:t>
            </w:r>
            <w:bookmarkEnd w:id="80"/>
            <w:bookmarkEnd w:id="81"/>
          </w:p>
          <w:p w:rsidR="00D3322A" w:rsidRPr="00EC62E9" w:rsidRDefault="00E0710F" w:rsidP="00847FAE">
            <w:pPr>
              <w:keepNext/>
              <w:keepLines/>
              <w:rPr>
                <w:lang w:val="de-DE"/>
              </w:rPr>
            </w:pPr>
            <w:r w:rsidRPr="00EC62E9">
              <w:rPr>
                <w:noProof/>
              </w:rPr>
              <w:drawing>
                <wp:inline distT="0" distB="0" distL="0" distR="0" wp14:anchorId="65621DA3" wp14:editId="0017F0E0">
                  <wp:extent cx="3132000" cy="2484000"/>
                  <wp:effectExtent l="0" t="0" r="0" b="0"/>
                  <wp:docPr id="298" name="Diagramm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45" w:type="dxa"/>
          </w:tcPr>
          <w:p w:rsidR="00D3322A" w:rsidRPr="00EC62E9" w:rsidRDefault="00D3322A" w:rsidP="00963DF0">
            <w:pPr>
              <w:jc w:val="center"/>
              <w:rPr>
                <w:lang w:val="de-DE"/>
              </w:rPr>
            </w:pPr>
            <w:bookmarkStart w:id="82" w:name="_Toc396137540"/>
            <w:bookmarkStart w:id="83" w:name="_Toc398736737"/>
            <w:r w:rsidRPr="00EC62E9">
              <w:rPr>
                <w:rStyle w:val="Heading9Char"/>
                <w:lang w:val="de-DE"/>
              </w:rPr>
              <w:t>Abb. 5.  Entwürfe von Prüfungsrichtlinien, die von den TWP erörtert wurden</w:t>
            </w:r>
            <w:bookmarkEnd w:id="82"/>
            <w:bookmarkEnd w:id="83"/>
            <w:r w:rsidR="00FC6DE8" w:rsidRPr="00EC62E9">
              <w:rPr>
                <w:noProof/>
                <w:lang w:val="de-DE" w:eastAsia="de-DE"/>
              </w:rPr>
              <w:t xml:space="preserve"> </w:t>
            </w:r>
          </w:p>
          <w:p w:rsidR="00D3322A" w:rsidRPr="00EC62E9" w:rsidRDefault="00213AD9" w:rsidP="00847FAE">
            <w:pPr>
              <w:rPr>
                <w:lang w:val="de-DE"/>
              </w:rPr>
            </w:pPr>
            <w:r w:rsidRPr="00EC62E9">
              <w:rPr>
                <w:noProof/>
              </w:rPr>
              <w:drawing>
                <wp:inline distT="0" distB="0" distL="0" distR="0" wp14:anchorId="3180821D" wp14:editId="2A0C69FB">
                  <wp:extent cx="3076575" cy="2447925"/>
                  <wp:effectExtent l="0" t="0" r="9525" b="9525"/>
                  <wp:docPr id="299" name="Diagramm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D3322A" w:rsidRPr="00EC62E9" w:rsidRDefault="00D3322A" w:rsidP="00D3322A">
      <w:pPr>
        <w:rPr>
          <w:bCs/>
          <w:caps/>
          <w:lang w:val="de-DE"/>
        </w:rPr>
      </w:pPr>
    </w:p>
    <w:p w:rsidR="00D3322A" w:rsidRPr="00EC62E9" w:rsidRDefault="00D3322A" w:rsidP="00D3322A">
      <w:pPr>
        <w:pStyle w:val="Heading9"/>
        <w:spacing w:before="120" w:after="120"/>
        <w:rPr>
          <w:lang w:val="de-DE"/>
        </w:rPr>
      </w:pPr>
      <w:bookmarkStart w:id="84" w:name="_Toc396137541"/>
      <w:bookmarkStart w:id="85" w:name="_Toc398736738"/>
      <w:r w:rsidRPr="00EC62E9">
        <w:rPr>
          <w:lang w:val="de-DE"/>
        </w:rPr>
        <w:t xml:space="preserve">Abb. 6.  Von Prüfungsrichtlinien </w:t>
      </w:r>
      <w:proofErr w:type="spellStart"/>
      <w:r w:rsidRPr="00EC62E9">
        <w:rPr>
          <w:lang w:val="de-DE"/>
        </w:rPr>
        <w:t>erfaßte</w:t>
      </w:r>
      <w:proofErr w:type="spellEnd"/>
      <w:r w:rsidRPr="00EC62E9">
        <w:rPr>
          <w:lang w:val="de-DE"/>
        </w:rPr>
        <w:t xml:space="preserve"> Züchterrechtseinträge in der Datenbank für Pflanzensorten</w:t>
      </w:r>
      <w:bookmarkEnd w:id="84"/>
      <w:bookmarkEnd w:id="85"/>
    </w:p>
    <w:p w:rsidR="00D3322A" w:rsidRPr="00EC62E9" w:rsidRDefault="00D3322A" w:rsidP="00D3322A">
      <w:pPr>
        <w:pStyle w:val="Heading6"/>
        <w:rPr>
          <w:lang w:val="de-DE"/>
        </w:rPr>
      </w:pPr>
    </w:p>
    <w:p w:rsidR="00D3322A" w:rsidRPr="00EC62E9" w:rsidRDefault="00DA753C" w:rsidP="00D3322A">
      <w:pPr>
        <w:jc w:val="center"/>
        <w:rPr>
          <w:lang w:val="de-DE"/>
        </w:rPr>
      </w:pPr>
      <w:r w:rsidRPr="00EC62E9">
        <w:rPr>
          <w:noProof/>
        </w:rPr>
        <w:drawing>
          <wp:inline distT="0" distB="0" distL="0" distR="0" wp14:anchorId="072BD473" wp14:editId="3781E6F7">
            <wp:extent cx="4680000" cy="2556000"/>
            <wp:effectExtent l="0" t="0" r="25400" b="15875"/>
            <wp:docPr id="300" name="Diagramm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322A" w:rsidRPr="00EC62E9" w:rsidRDefault="00D3322A" w:rsidP="00D3322A">
      <w:pPr>
        <w:jc w:val="center"/>
        <w:rPr>
          <w:lang w:val="de-DE"/>
        </w:rPr>
      </w:pPr>
    </w:p>
    <w:p w:rsidR="00963DF0" w:rsidRDefault="00963DF0">
      <w:pPr>
        <w:jc w:val="left"/>
        <w:rPr>
          <w:iCs/>
          <w:sz w:val="18"/>
          <w:szCs w:val="24"/>
          <w:u w:val="single"/>
          <w:lang w:val="de-DE"/>
        </w:rPr>
      </w:pPr>
      <w:bookmarkStart w:id="86" w:name="_Toc396137542"/>
      <w:r>
        <w:rPr>
          <w:lang w:val="de-DE"/>
        </w:rPr>
        <w:br w:type="page"/>
      </w:r>
    </w:p>
    <w:p w:rsidR="00D3322A" w:rsidRPr="00EC62E9" w:rsidRDefault="00E25A9D" w:rsidP="00D3322A">
      <w:pPr>
        <w:pStyle w:val="Heading8"/>
        <w:rPr>
          <w:i/>
          <w:szCs w:val="18"/>
          <w:lang w:val="de-DE"/>
        </w:rPr>
      </w:pPr>
      <w:bookmarkStart w:id="87" w:name="_Toc398736739"/>
      <w:r>
        <w:rPr>
          <w:lang w:val="de-DE"/>
        </w:rPr>
        <w:t xml:space="preserve">c)  </w:t>
      </w:r>
      <w:r w:rsidR="00D3322A" w:rsidRPr="00EC62E9">
        <w:rPr>
          <w:lang w:val="de-DE"/>
        </w:rPr>
        <w:t>Teilnahme an Seminaren und Symposien in Genf in Verbindung mit den Tagungen der UPOV</w:t>
      </w:r>
      <w:bookmarkEnd w:id="86"/>
      <w:bookmarkEnd w:id="87"/>
    </w:p>
    <w:p w:rsidR="00D3322A" w:rsidRPr="00EC62E9" w:rsidRDefault="00D3322A" w:rsidP="00D3322A">
      <w:pPr>
        <w:keepNext/>
        <w:keepLines/>
        <w:numPr>
          <w:ilvl w:val="0"/>
          <w:numId w:val="2"/>
        </w:numPr>
        <w:spacing w:after="120"/>
        <w:ind w:right="176"/>
        <w:jc w:val="left"/>
        <w:rPr>
          <w:sz w:val="18"/>
          <w:szCs w:val="18"/>
          <w:lang w:val="de-DE"/>
        </w:rPr>
      </w:pPr>
      <w:r w:rsidRPr="00EC62E9">
        <w:rPr>
          <w:sz w:val="18"/>
          <w:lang w:val="de-DE"/>
        </w:rPr>
        <w:t>2012 geführte Erörterungen von Verbandsmitgliedern über Erfahrungen mit Maßnahmen zur Verbesserung der Effizienz und Wirksamkeit von DUS-Prüfungen:</w:t>
      </w:r>
    </w:p>
    <w:p w:rsidR="00D3322A" w:rsidRPr="00EC62E9" w:rsidRDefault="00D3322A" w:rsidP="00D3322A">
      <w:pPr>
        <w:ind w:firstLine="360"/>
        <w:jc w:val="left"/>
        <w:rPr>
          <w:sz w:val="18"/>
          <w:szCs w:val="18"/>
          <w:lang w:val="de-DE"/>
        </w:rPr>
      </w:pPr>
      <w:r w:rsidRPr="00EC62E9">
        <w:rPr>
          <w:sz w:val="18"/>
          <w:lang w:val="de-DE"/>
        </w:rPr>
        <w:t>89 Teilnehmer aus 42 Verbandsmitgliedern, 4 Beobachterstaaten und 5 Beobachterorganisationen</w:t>
      </w:r>
    </w:p>
    <w:p w:rsidR="00D3322A" w:rsidRPr="00EC62E9" w:rsidRDefault="00D3322A" w:rsidP="00D3322A">
      <w:pPr>
        <w:jc w:val="left"/>
        <w:rPr>
          <w:lang w:val="de-DE"/>
        </w:rPr>
      </w:pPr>
    </w:p>
    <w:p w:rsidR="00D3322A" w:rsidRPr="00EC62E9" w:rsidRDefault="00D3322A" w:rsidP="00D3322A">
      <w:pPr>
        <w:rPr>
          <w:bCs/>
          <w:caps/>
          <w:lang w:val="de-DE"/>
        </w:rPr>
      </w:pPr>
    </w:p>
    <w:p w:rsidR="00D3322A" w:rsidRPr="00EC62E9" w:rsidRDefault="00D3322A" w:rsidP="00D3322A">
      <w:pPr>
        <w:pStyle w:val="Heading6"/>
        <w:rPr>
          <w:lang w:val="de-DE"/>
        </w:rPr>
      </w:pPr>
      <w:bookmarkStart w:id="88" w:name="_Toc396137543"/>
      <w:bookmarkStart w:id="89" w:name="_Toc398736740"/>
      <w:r w:rsidRPr="00EC62E9">
        <w:rPr>
          <w:lang w:val="de-DE"/>
        </w:rPr>
        <w:t>3.  Zusammenarbeit in der Prüfung auf Erteilung des Züchterrechts</w:t>
      </w:r>
      <w:bookmarkEnd w:id="88"/>
      <w:bookmarkEnd w:id="89"/>
    </w:p>
    <w:p w:rsidR="00D3322A" w:rsidRDefault="00D3322A" w:rsidP="00963DF0">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5664"/>
      </w:tblGrid>
      <w:tr w:rsidR="00963DF0" w:rsidRPr="00963DF0" w:rsidTr="00E635A1">
        <w:trPr>
          <w:jc w:val="center"/>
        </w:trPr>
        <w:tc>
          <w:tcPr>
            <w:tcW w:w="798" w:type="dxa"/>
            <w:tcMar>
              <w:left w:w="0" w:type="dxa"/>
              <w:right w:w="0" w:type="dxa"/>
            </w:tcMar>
            <w:vAlign w:val="bottom"/>
          </w:tcPr>
          <w:p w:rsidR="00963DF0" w:rsidRPr="00963DF0" w:rsidRDefault="00963DF0" w:rsidP="00E635A1">
            <w:pPr>
              <w:jc w:val="right"/>
              <w:rPr>
                <w:sz w:val="18"/>
                <w:lang w:val="de-DE"/>
              </w:rPr>
            </w:pPr>
            <w:r w:rsidRPr="00963DF0">
              <w:rPr>
                <w:noProof/>
              </w:rPr>
              <w:drawing>
                <wp:inline distT="0" distB="0" distL="0" distR="0" wp14:anchorId="4ADE4DBF" wp14:editId="4D598196">
                  <wp:extent cx="305435" cy="4679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2-Genie-logo-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435" cy="467995"/>
                          </a:xfrm>
                          <a:prstGeom prst="rect">
                            <a:avLst/>
                          </a:prstGeom>
                        </pic:spPr>
                      </pic:pic>
                    </a:graphicData>
                  </a:graphic>
                </wp:inline>
              </w:drawing>
            </w:r>
          </w:p>
        </w:tc>
        <w:tc>
          <w:tcPr>
            <w:tcW w:w="5664" w:type="dxa"/>
            <w:tcMar>
              <w:left w:w="0" w:type="dxa"/>
              <w:right w:w="0" w:type="dxa"/>
            </w:tcMar>
            <w:vAlign w:val="bottom"/>
          </w:tcPr>
          <w:p w:rsidR="00963DF0" w:rsidRPr="00963DF0" w:rsidRDefault="00963DF0" w:rsidP="00E635A1">
            <w:pPr>
              <w:pStyle w:val="Heading8"/>
              <w:spacing w:after="0"/>
              <w:outlineLvl w:val="7"/>
              <w:rPr>
                <w:lang w:val="de-DE"/>
              </w:rPr>
            </w:pPr>
            <w:bookmarkStart w:id="90" w:name="_Toc398736741"/>
            <w:r w:rsidRPr="00963DF0">
              <w:rPr>
                <w:lang w:val="de-DE"/>
              </w:rPr>
              <w:t>GENIE-Datenbank: Besuche auf der UPOV-Website im Jahr 2013</w:t>
            </w:r>
            <w:bookmarkEnd w:id="90"/>
          </w:p>
        </w:tc>
      </w:tr>
    </w:tbl>
    <w:p w:rsidR="00D3322A" w:rsidRPr="00EC62E9" w:rsidRDefault="00D3322A" w:rsidP="00D3322A">
      <w:pPr>
        <w:rPr>
          <w:bCs/>
          <w:caps/>
          <w:lang w:val="de-DE"/>
        </w:rPr>
      </w:pPr>
    </w:p>
    <w:tbl>
      <w:tblPr>
        <w:tblW w:w="9889" w:type="dxa"/>
        <w:tblLayout w:type="fixed"/>
        <w:tblLook w:val="0000" w:firstRow="0" w:lastRow="0" w:firstColumn="0" w:lastColumn="0" w:noHBand="0" w:noVBand="0"/>
      </w:tblPr>
      <w:tblGrid>
        <w:gridCol w:w="4698"/>
        <w:gridCol w:w="5191"/>
      </w:tblGrid>
      <w:tr w:rsidR="00D3322A" w:rsidRPr="00EC62E9" w:rsidTr="00847FAE">
        <w:tc>
          <w:tcPr>
            <w:tcW w:w="4698" w:type="dxa"/>
          </w:tcPr>
          <w:tbl>
            <w:tblPr>
              <w:tblW w:w="4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75"/>
              <w:gridCol w:w="2250"/>
            </w:tblGrid>
            <w:tr w:rsidR="00D3322A" w:rsidRPr="00EC62E9" w:rsidTr="00847FAE">
              <w:trPr>
                <w:trHeight w:val="148"/>
              </w:trPr>
              <w:tc>
                <w:tcPr>
                  <w:tcW w:w="1975" w:type="dxa"/>
                </w:tcPr>
                <w:p w:rsidR="00D3322A" w:rsidRPr="00EC62E9" w:rsidRDefault="00D3322A" w:rsidP="00847FAE">
                  <w:pPr>
                    <w:pStyle w:val="Default"/>
                    <w:ind w:firstLine="6"/>
                    <w:rPr>
                      <w:sz w:val="18"/>
                      <w:szCs w:val="18"/>
                      <w:lang w:val="de-DE"/>
                    </w:rPr>
                  </w:pPr>
                  <w:r w:rsidRPr="00EC62E9">
                    <w:rPr>
                      <w:sz w:val="18"/>
                      <w:lang w:val="de-DE"/>
                    </w:rPr>
                    <w:t xml:space="preserve">Sitzungen </w:t>
                  </w:r>
                </w:p>
              </w:tc>
              <w:tc>
                <w:tcPr>
                  <w:tcW w:w="2250" w:type="dxa"/>
                </w:tcPr>
                <w:p w:rsidR="00D3322A" w:rsidRPr="00EC62E9" w:rsidRDefault="00D3322A" w:rsidP="00847FAE">
                  <w:pPr>
                    <w:pStyle w:val="Default"/>
                    <w:tabs>
                      <w:tab w:val="decimal" w:pos="775"/>
                    </w:tabs>
                    <w:ind w:right="432" w:hanging="18"/>
                    <w:jc w:val="right"/>
                    <w:rPr>
                      <w:sz w:val="18"/>
                      <w:szCs w:val="18"/>
                      <w:lang w:val="de-DE"/>
                    </w:rPr>
                  </w:pPr>
                  <w:r w:rsidRPr="00EC62E9">
                    <w:rPr>
                      <w:sz w:val="18"/>
                      <w:lang w:val="de-DE"/>
                    </w:rPr>
                    <w:t>16.545</w:t>
                  </w:r>
                </w:p>
              </w:tc>
            </w:tr>
            <w:tr w:rsidR="00D3322A" w:rsidRPr="00EC62E9" w:rsidTr="00847FAE">
              <w:trPr>
                <w:trHeight w:val="148"/>
              </w:trPr>
              <w:tc>
                <w:tcPr>
                  <w:tcW w:w="1975" w:type="dxa"/>
                </w:tcPr>
                <w:p w:rsidR="00D3322A" w:rsidRPr="00EC62E9" w:rsidRDefault="00D3322A" w:rsidP="00847FAE">
                  <w:pPr>
                    <w:pStyle w:val="Default"/>
                    <w:ind w:firstLine="6"/>
                    <w:rPr>
                      <w:sz w:val="18"/>
                      <w:szCs w:val="18"/>
                      <w:lang w:val="de-DE"/>
                    </w:rPr>
                  </w:pPr>
                  <w:r w:rsidRPr="00EC62E9">
                    <w:rPr>
                      <w:sz w:val="18"/>
                      <w:lang w:val="de-DE"/>
                    </w:rPr>
                    <w:t xml:space="preserve">Nutzer </w:t>
                  </w:r>
                </w:p>
              </w:tc>
              <w:tc>
                <w:tcPr>
                  <w:tcW w:w="2250" w:type="dxa"/>
                </w:tcPr>
                <w:p w:rsidR="00D3322A" w:rsidRPr="00EC62E9" w:rsidRDefault="00D3322A" w:rsidP="00847FAE">
                  <w:pPr>
                    <w:pStyle w:val="Default"/>
                    <w:tabs>
                      <w:tab w:val="decimal" w:pos="775"/>
                    </w:tabs>
                    <w:ind w:right="432" w:hanging="18"/>
                    <w:jc w:val="right"/>
                    <w:rPr>
                      <w:sz w:val="18"/>
                      <w:szCs w:val="18"/>
                      <w:lang w:val="de-DE"/>
                    </w:rPr>
                  </w:pPr>
                  <w:r w:rsidRPr="00EC62E9">
                    <w:rPr>
                      <w:sz w:val="18"/>
                      <w:lang w:val="de-DE"/>
                    </w:rPr>
                    <w:t>8.913</w:t>
                  </w:r>
                </w:p>
              </w:tc>
            </w:tr>
            <w:tr w:rsidR="00D3322A" w:rsidRPr="00EC62E9" w:rsidTr="00847FAE">
              <w:trPr>
                <w:trHeight w:val="148"/>
              </w:trPr>
              <w:tc>
                <w:tcPr>
                  <w:tcW w:w="1975" w:type="dxa"/>
                </w:tcPr>
                <w:p w:rsidR="00D3322A" w:rsidRPr="00EC62E9" w:rsidRDefault="00D3322A" w:rsidP="00847FAE">
                  <w:pPr>
                    <w:pStyle w:val="Default"/>
                    <w:ind w:firstLine="6"/>
                    <w:rPr>
                      <w:sz w:val="18"/>
                      <w:szCs w:val="18"/>
                      <w:lang w:val="de-DE"/>
                    </w:rPr>
                  </w:pPr>
                  <w:r w:rsidRPr="00EC62E9">
                    <w:rPr>
                      <w:sz w:val="18"/>
                      <w:lang w:val="de-DE"/>
                    </w:rPr>
                    <w:t xml:space="preserve">Seitenaufrufe </w:t>
                  </w:r>
                </w:p>
              </w:tc>
              <w:tc>
                <w:tcPr>
                  <w:tcW w:w="2250" w:type="dxa"/>
                </w:tcPr>
                <w:p w:rsidR="00D3322A" w:rsidRPr="00EC62E9" w:rsidRDefault="00D3322A" w:rsidP="00847FAE">
                  <w:pPr>
                    <w:pStyle w:val="Default"/>
                    <w:tabs>
                      <w:tab w:val="decimal" w:pos="775"/>
                    </w:tabs>
                    <w:ind w:right="432" w:hanging="18"/>
                    <w:jc w:val="right"/>
                    <w:rPr>
                      <w:sz w:val="18"/>
                      <w:szCs w:val="18"/>
                      <w:lang w:val="de-DE"/>
                    </w:rPr>
                  </w:pPr>
                  <w:r w:rsidRPr="00EC62E9">
                    <w:rPr>
                      <w:sz w:val="18"/>
                      <w:lang w:val="de-DE"/>
                    </w:rPr>
                    <w:t>84.306</w:t>
                  </w:r>
                </w:p>
              </w:tc>
            </w:tr>
            <w:tr w:rsidR="00D3322A" w:rsidRPr="00EC62E9" w:rsidTr="00847FAE">
              <w:trPr>
                <w:trHeight w:val="148"/>
              </w:trPr>
              <w:tc>
                <w:tcPr>
                  <w:tcW w:w="1975" w:type="dxa"/>
                </w:tcPr>
                <w:p w:rsidR="00D3322A" w:rsidRPr="00EC62E9" w:rsidRDefault="00D3322A" w:rsidP="00847FAE">
                  <w:pPr>
                    <w:pStyle w:val="Default"/>
                    <w:ind w:firstLine="6"/>
                    <w:rPr>
                      <w:sz w:val="18"/>
                      <w:szCs w:val="18"/>
                      <w:lang w:val="de-DE"/>
                    </w:rPr>
                  </w:pPr>
                  <w:r w:rsidRPr="00EC62E9">
                    <w:rPr>
                      <w:sz w:val="18"/>
                      <w:lang w:val="de-DE"/>
                    </w:rPr>
                    <w:t xml:space="preserve">Neue Besucher </w:t>
                  </w:r>
                </w:p>
              </w:tc>
              <w:tc>
                <w:tcPr>
                  <w:tcW w:w="2250" w:type="dxa"/>
                </w:tcPr>
                <w:p w:rsidR="00D3322A" w:rsidRPr="00EC62E9" w:rsidRDefault="00D3322A" w:rsidP="00847FAE">
                  <w:pPr>
                    <w:pStyle w:val="Default"/>
                    <w:tabs>
                      <w:tab w:val="decimal" w:pos="849"/>
                    </w:tabs>
                    <w:ind w:right="432"/>
                    <w:jc w:val="right"/>
                    <w:rPr>
                      <w:sz w:val="18"/>
                      <w:szCs w:val="18"/>
                      <w:lang w:val="de-DE"/>
                    </w:rPr>
                  </w:pPr>
                  <w:r w:rsidRPr="00EC62E9">
                    <w:rPr>
                      <w:sz w:val="18"/>
                      <w:lang w:val="de-DE"/>
                    </w:rPr>
                    <w:t xml:space="preserve"> 48%</w:t>
                  </w:r>
                </w:p>
              </w:tc>
            </w:tr>
            <w:tr w:rsidR="00D3322A" w:rsidRPr="00EC62E9" w:rsidTr="00847FAE">
              <w:trPr>
                <w:trHeight w:val="148"/>
              </w:trPr>
              <w:tc>
                <w:tcPr>
                  <w:tcW w:w="1975" w:type="dxa"/>
                </w:tcPr>
                <w:p w:rsidR="00D3322A" w:rsidRPr="00EC62E9" w:rsidRDefault="00D3322A" w:rsidP="00847FAE">
                  <w:pPr>
                    <w:ind w:firstLine="6"/>
                    <w:jc w:val="left"/>
                    <w:rPr>
                      <w:sz w:val="18"/>
                      <w:szCs w:val="18"/>
                      <w:lang w:val="de-DE"/>
                    </w:rPr>
                  </w:pPr>
                  <w:r w:rsidRPr="00EC62E9">
                    <w:rPr>
                      <w:sz w:val="18"/>
                      <w:lang w:val="de-DE"/>
                    </w:rPr>
                    <w:t xml:space="preserve">Wiederkehrende Besucher </w:t>
                  </w:r>
                </w:p>
              </w:tc>
              <w:tc>
                <w:tcPr>
                  <w:tcW w:w="2250" w:type="dxa"/>
                </w:tcPr>
                <w:p w:rsidR="00D3322A" w:rsidRPr="00EC62E9" w:rsidRDefault="00D3322A" w:rsidP="00847FAE">
                  <w:pPr>
                    <w:pStyle w:val="Default"/>
                    <w:tabs>
                      <w:tab w:val="decimal" w:pos="849"/>
                    </w:tabs>
                    <w:ind w:right="432"/>
                    <w:jc w:val="right"/>
                    <w:rPr>
                      <w:sz w:val="18"/>
                      <w:szCs w:val="18"/>
                      <w:lang w:val="de-DE"/>
                    </w:rPr>
                  </w:pPr>
                  <w:r w:rsidRPr="00EC62E9">
                    <w:rPr>
                      <w:sz w:val="18"/>
                      <w:lang w:val="de-DE"/>
                    </w:rPr>
                    <w:t>52%</w:t>
                  </w:r>
                </w:p>
              </w:tc>
            </w:tr>
          </w:tbl>
          <w:p w:rsidR="00D3322A" w:rsidRPr="00EC62E9" w:rsidRDefault="00D3322A" w:rsidP="00847FAE">
            <w:pPr>
              <w:pStyle w:val="Heading9"/>
              <w:rPr>
                <w:lang w:val="de-DE"/>
              </w:rPr>
            </w:pPr>
          </w:p>
        </w:tc>
        <w:tc>
          <w:tcPr>
            <w:tcW w:w="5191" w:type="dxa"/>
          </w:tcPr>
          <w:tbl>
            <w:tblPr>
              <w:tblW w:w="0" w:type="auto"/>
              <w:tblInd w:w="4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384"/>
              <w:gridCol w:w="1843"/>
            </w:tblGrid>
            <w:tr w:rsidR="00D3322A" w:rsidRPr="00EC62E9" w:rsidTr="00963DF0">
              <w:trPr>
                <w:trHeight w:val="143"/>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Sprache </w:t>
                  </w:r>
                </w:p>
              </w:tc>
              <w:tc>
                <w:tcPr>
                  <w:tcW w:w="13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Seitenaufrufe </w:t>
                  </w:r>
                </w:p>
              </w:tc>
              <w:tc>
                <w:tcPr>
                  <w:tcW w:w="1843" w:type="dxa"/>
                </w:tcPr>
                <w:p w:rsidR="00D3322A" w:rsidRPr="00EC62E9" w:rsidRDefault="00D3322A" w:rsidP="00847FAE">
                  <w:pPr>
                    <w:autoSpaceDE w:val="0"/>
                    <w:autoSpaceDN w:val="0"/>
                    <w:adjustRightInd w:val="0"/>
                    <w:jc w:val="left"/>
                    <w:rPr>
                      <w:rFonts w:cs="Arial"/>
                      <w:bCs/>
                      <w:color w:val="000000"/>
                      <w:sz w:val="18"/>
                      <w:szCs w:val="22"/>
                      <w:lang w:val="de-DE"/>
                    </w:rPr>
                  </w:pPr>
                  <w:r w:rsidRPr="00EC62E9">
                    <w:rPr>
                      <w:color w:val="000000"/>
                      <w:sz w:val="18"/>
                      <w:lang w:val="de-DE"/>
                    </w:rPr>
                    <w:t xml:space="preserve">Einzelseitenaufrufe </w:t>
                  </w:r>
                </w:p>
                <w:p w:rsidR="00D3322A" w:rsidRPr="00EC62E9" w:rsidRDefault="00D3322A" w:rsidP="00847FAE">
                  <w:pPr>
                    <w:autoSpaceDE w:val="0"/>
                    <w:autoSpaceDN w:val="0"/>
                    <w:adjustRightInd w:val="0"/>
                    <w:jc w:val="left"/>
                    <w:rPr>
                      <w:rFonts w:cs="Arial"/>
                      <w:color w:val="000000"/>
                      <w:sz w:val="18"/>
                      <w:szCs w:val="22"/>
                      <w:lang w:val="de-DE"/>
                    </w:rPr>
                  </w:pPr>
                </w:p>
              </w:tc>
            </w:tr>
            <w:tr w:rsidR="00D3322A" w:rsidRPr="00EC62E9" w:rsidTr="00963DF0">
              <w:trPr>
                <w:trHeight w:val="148"/>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Englisch </w:t>
                  </w:r>
                </w:p>
              </w:tc>
              <w:tc>
                <w:tcPr>
                  <w:tcW w:w="1384" w:type="dxa"/>
                </w:tcPr>
                <w:p w:rsidR="00D3322A" w:rsidRPr="00EC62E9" w:rsidRDefault="00D3322A" w:rsidP="00847FAE">
                  <w:pPr>
                    <w:pStyle w:val="Default"/>
                    <w:tabs>
                      <w:tab w:val="decimal" w:pos="849"/>
                    </w:tabs>
                    <w:rPr>
                      <w:sz w:val="18"/>
                      <w:szCs w:val="18"/>
                      <w:lang w:val="de-DE"/>
                    </w:rPr>
                  </w:pPr>
                  <w:r w:rsidRPr="00EC62E9">
                    <w:rPr>
                      <w:sz w:val="18"/>
                      <w:lang w:val="de-DE"/>
                    </w:rPr>
                    <w:t xml:space="preserve">61.335 </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35.992</w:t>
                  </w:r>
                </w:p>
              </w:tc>
            </w:tr>
            <w:tr w:rsidR="00D3322A" w:rsidRPr="00EC62E9" w:rsidTr="00963DF0">
              <w:trPr>
                <w:trHeight w:val="142"/>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Spanisch </w:t>
                  </w:r>
                </w:p>
              </w:tc>
              <w:tc>
                <w:tcPr>
                  <w:tcW w:w="1384" w:type="dxa"/>
                </w:tcPr>
                <w:p w:rsidR="00D3322A" w:rsidRPr="00EC62E9" w:rsidRDefault="00D3322A" w:rsidP="00847FAE">
                  <w:pPr>
                    <w:pStyle w:val="Default"/>
                    <w:tabs>
                      <w:tab w:val="decimal" w:pos="849"/>
                    </w:tabs>
                    <w:rPr>
                      <w:sz w:val="18"/>
                      <w:szCs w:val="18"/>
                      <w:lang w:val="de-DE"/>
                    </w:rPr>
                  </w:pPr>
                  <w:r w:rsidRPr="00EC62E9">
                    <w:rPr>
                      <w:sz w:val="18"/>
                      <w:lang w:val="de-DE"/>
                    </w:rPr>
                    <w:t xml:space="preserve">10.610 </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6.074</w:t>
                  </w:r>
                </w:p>
              </w:tc>
            </w:tr>
            <w:tr w:rsidR="00D3322A" w:rsidRPr="00EC62E9" w:rsidTr="00963DF0">
              <w:trPr>
                <w:trHeight w:val="148"/>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Französisch </w:t>
                  </w:r>
                </w:p>
              </w:tc>
              <w:tc>
                <w:tcPr>
                  <w:tcW w:w="1384" w:type="dxa"/>
                </w:tcPr>
                <w:p w:rsidR="00D3322A" w:rsidRPr="00EC62E9" w:rsidRDefault="00D3322A" w:rsidP="00847FAE">
                  <w:pPr>
                    <w:pStyle w:val="Default"/>
                    <w:tabs>
                      <w:tab w:val="decimal" w:pos="849"/>
                    </w:tabs>
                    <w:rPr>
                      <w:sz w:val="18"/>
                      <w:szCs w:val="18"/>
                      <w:lang w:val="de-DE"/>
                    </w:rPr>
                  </w:pPr>
                  <w:r w:rsidRPr="00EC62E9">
                    <w:rPr>
                      <w:sz w:val="18"/>
                      <w:lang w:val="de-DE"/>
                    </w:rPr>
                    <w:t>7.050</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4.252</w:t>
                  </w:r>
                </w:p>
              </w:tc>
            </w:tr>
            <w:tr w:rsidR="00D3322A" w:rsidRPr="00EC62E9" w:rsidTr="00963DF0">
              <w:trPr>
                <w:trHeight w:val="142"/>
              </w:trPr>
              <w:tc>
                <w:tcPr>
                  <w:tcW w:w="1284" w:type="dxa"/>
                </w:tcPr>
                <w:p w:rsidR="00D3322A" w:rsidRPr="00EC62E9" w:rsidRDefault="00D3322A" w:rsidP="00847FAE">
                  <w:pPr>
                    <w:autoSpaceDE w:val="0"/>
                    <w:autoSpaceDN w:val="0"/>
                    <w:adjustRightInd w:val="0"/>
                    <w:jc w:val="left"/>
                    <w:rPr>
                      <w:rFonts w:cs="Arial"/>
                      <w:color w:val="000000"/>
                      <w:sz w:val="18"/>
                      <w:szCs w:val="22"/>
                      <w:lang w:val="de-DE"/>
                    </w:rPr>
                  </w:pPr>
                  <w:r w:rsidRPr="00EC62E9">
                    <w:rPr>
                      <w:color w:val="000000"/>
                      <w:sz w:val="18"/>
                      <w:lang w:val="de-DE"/>
                    </w:rPr>
                    <w:t xml:space="preserve">Deutsch </w:t>
                  </w:r>
                </w:p>
              </w:tc>
              <w:tc>
                <w:tcPr>
                  <w:tcW w:w="1384" w:type="dxa"/>
                </w:tcPr>
                <w:p w:rsidR="00D3322A" w:rsidRPr="00EC62E9" w:rsidRDefault="00D3322A" w:rsidP="00847FAE">
                  <w:pPr>
                    <w:pStyle w:val="Default"/>
                    <w:tabs>
                      <w:tab w:val="decimal" w:pos="849"/>
                    </w:tabs>
                    <w:rPr>
                      <w:sz w:val="18"/>
                      <w:szCs w:val="18"/>
                      <w:lang w:val="de-DE"/>
                    </w:rPr>
                  </w:pPr>
                  <w:r w:rsidRPr="00EC62E9">
                    <w:rPr>
                      <w:sz w:val="18"/>
                      <w:lang w:val="de-DE"/>
                    </w:rPr>
                    <w:t>2.360</w:t>
                  </w:r>
                </w:p>
              </w:tc>
              <w:tc>
                <w:tcPr>
                  <w:tcW w:w="1843" w:type="dxa"/>
                </w:tcPr>
                <w:p w:rsidR="00D3322A" w:rsidRPr="00EC62E9" w:rsidRDefault="00D3322A" w:rsidP="00847FAE">
                  <w:pPr>
                    <w:pStyle w:val="Default"/>
                    <w:tabs>
                      <w:tab w:val="decimal" w:pos="1057"/>
                    </w:tabs>
                    <w:rPr>
                      <w:sz w:val="18"/>
                      <w:szCs w:val="18"/>
                      <w:lang w:val="de-DE"/>
                    </w:rPr>
                  </w:pPr>
                  <w:r w:rsidRPr="00EC62E9">
                    <w:rPr>
                      <w:sz w:val="18"/>
                      <w:lang w:val="de-DE"/>
                    </w:rPr>
                    <w:t>1.072</w:t>
                  </w:r>
                </w:p>
              </w:tc>
            </w:tr>
          </w:tbl>
          <w:p w:rsidR="00D3322A" w:rsidRPr="00EC62E9" w:rsidRDefault="00D3322A" w:rsidP="00847FAE">
            <w:pPr>
              <w:rPr>
                <w:lang w:val="de-DE"/>
              </w:rPr>
            </w:pPr>
          </w:p>
        </w:tc>
      </w:tr>
    </w:tbl>
    <w:p w:rsidR="00D3322A" w:rsidRPr="00EC62E9" w:rsidRDefault="00D3322A" w:rsidP="00D3322A">
      <w:pPr>
        <w:rPr>
          <w:lang w:val="de-DE"/>
        </w:rPr>
      </w:pPr>
    </w:p>
    <w:p w:rsidR="00D3322A" w:rsidRPr="00EC62E9" w:rsidRDefault="00D3322A" w:rsidP="00D3322A">
      <w:pPr>
        <w:keepNext/>
        <w:rPr>
          <w:rFonts w:eastAsiaTheme="minorEastAsia"/>
          <w:b/>
          <w:bCs/>
          <w:noProof/>
          <w:sz w:val="18"/>
          <w:szCs w:val="22"/>
          <w:lang w:val="de-DE"/>
        </w:rPr>
      </w:pPr>
    </w:p>
    <w:p w:rsidR="00D3322A" w:rsidRPr="00EC62E9" w:rsidRDefault="00D3322A" w:rsidP="00D3322A">
      <w:pPr>
        <w:keepNext/>
        <w:jc w:val="center"/>
        <w:rPr>
          <w:rFonts w:eastAsiaTheme="minorEastAsia"/>
          <w:bCs/>
          <w:sz w:val="18"/>
          <w:szCs w:val="22"/>
          <w:lang w:val="de-DE"/>
        </w:rPr>
      </w:pPr>
      <w:r w:rsidRPr="00EC62E9">
        <w:rPr>
          <w:rFonts w:eastAsiaTheme="minorEastAsia"/>
          <w:sz w:val="18"/>
          <w:lang w:val="de-DE"/>
        </w:rPr>
        <w:t>Die 10 Länder, die die GENIE-Datenbank im Jahr 2013 am häufigsten besucht haben</w:t>
      </w:r>
    </w:p>
    <w:p w:rsidR="00D3322A" w:rsidRPr="00EC62E9" w:rsidRDefault="00D3322A" w:rsidP="00D3322A">
      <w:pPr>
        <w:keepNext/>
        <w:rPr>
          <w:rFonts w:eastAsiaTheme="minorEastAsia"/>
          <w:b/>
          <w:bCs/>
          <w:sz w:val="18"/>
          <w:szCs w:val="22"/>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18"/>
        <w:gridCol w:w="1681"/>
        <w:gridCol w:w="1858"/>
        <w:gridCol w:w="1681"/>
      </w:tblGrid>
      <w:tr w:rsidR="00D3322A" w:rsidRPr="00EC62E9" w:rsidTr="001229E9">
        <w:trPr>
          <w:trHeight w:val="143"/>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Land / Hoheitsgebiet </w:t>
            </w:r>
          </w:p>
        </w:tc>
        <w:tc>
          <w:tcPr>
            <w:tcW w:w="1681"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Sitzungen </w:t>
            </w:r>
          </w:p>
        </w:tc>
        <w:tc>
          <w:tcPr>
            <w:tcW w:w="185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 Neue Sitzungen </w:t>
            </w:r>
          </w:p>
        </w:tc>
        <w:tc>
          <w:tcPr>
            <w:tcW w:w="1681" w:type="dxa"/>
          </w:tcPr>
          <w:p w:rsidR="00D3322A" w:rsidRPr="00EC62E9" w:rsidRDefault="00D3322A" w:rsidP="00847FAE">
            <w:pPr>
              <w:autoSpaceDE w:val="0"/>
              <w:autoSpaceDN w:val="0"/>
              <w:adjustRightInd w:val="0"/>
              <w:jc w:val="left"/>
              <w:rPr>
                <w:rFonts w:cs="Arial"/>
                <w:bCs/>
                <w:color w:val="000000"/>
                <w:sz w:val="18"/>
                <w:szCs w:val="18"/>
                <w:lang w:val="de-DE"/>
              </w:rPr>
            </w:pPr>
            <w:r w:rsidRPr="00EC62E9">
              <w:rPr>
                <w:color w:val="000000"/>
                <w:sz w:val="18"/>
                <w:lang w:val="de-DE"/>
              </w:rPr>
              <w:t xml:space="preserve">Neue Nutzer </w:t>
            </w:r>
          </w:p>
          <w:p w:rsidR="00D3322A" w:rsidRPr="00EC62E9" w:rsidRDefault="00D3322A" w:rsidP="00847FAE">
            <w:pPr>
              <w:autoSpaceDE w:val="0"/>
              <w:autoSpaceDN w:val="0"/>
              <w:adjustRightInd w:val="0"/>
              <w:jc w:val="left"/>
              <w:rPr>
                <w:rFonts w:cs="Arial"/>
                <w:color w:val="000000"/>
                <w:sz w:val="18"/>
                <w:szCs w:val="18"/>
                <w:lang w:val="de-DE"/>
              </w:rPr>
            </w:pPr>
          </w:p>
        </w:tc>
      </w:tr>
      <w:tr w:rsidR="00D3322A" w:rsidRPr="00EC62E9" w:rsidTr="001229E9">
        <w:trPr>
          <w:trHeight w:val="148"/>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Frankreich </w:t>
            </w:r>
          </w:p>
        </w:tc>
        <w:tc>
          <w:tcPr>
            <w:tcW w:w="1681" w:type="dxa"/>
          </w:tcPr>
          <w:p w:rsidR="00D3322A" w:rsidRPr="00EC62E9" w:rsidRDefault="00D3322A" w:rsidP="00847FAE">
            <w:pPr>
              <w:autoSpaceDE w:val="0"/>
              <w:autoSpaceDN w:val="0"/>
              <w:adjustRightInd w:val="0"/>
              <w:ind w:right="289"/>
              <w:jc w:val="right"/>
              <w:rPr>
                <w:rFonts w:cs="Arial"/>
                <w:color w:val="000000"/>
                <w:sz w:val="18"/>
                <w:szCs w:val="18"/>
                <w:lang w:val="de-DE"/>
              </w:rPr>
            </w:pPr>
            <w:r w:rsidRPr="00EC62E9">
              <w:rPr>
                <w:color w:val="000000"/>
                <w:sz w:val="18"/>
                <w:lang w:val="de-DE"/>
              </w:rPr>
              <w:t xml:space="preserve">1.637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55,65%</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911 </w:t>
            </w:r>
          </w:p>
        </w:tc>
      </w:tr>
      <w:tr w:rsidR="00D3322A" w:rsidRPr="00EC62E9" w:rsidTr="001229E9">
        <w:trPr>
          <w:trHeight w:val="142"/>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Schweiz </w:t>
            </w:r>
          </w:p>
        </w:tc>
        <w:tc>
          <w:tcPr>
            <w:tcW w:w="1681" w:type="dxa"/>
          </w:tcPr>
          <w:p w:rsidR="00D3322A" w:rsidRPr="00EC62E9" w:rsidRDefault="00D3322A" w:rsidP="00847FAE">
            <w:pPr>
              <w:autoSpaceDE w:val="0"/>
              <w:autoSpaceDN w:val="0"/>
              <w:adjustRightInd w:val="0"/>
              <w:ind w:right="289"/>
              <w:jc w:val="right"/>
              <w:rPr>
                <w:rFonts w:cs="Arial"/>
                <w:color w:val="000000"/>
                <w:sz w:val="18"/>
                <w:szCs w:val="18"/>
                <w:lang w:val="de-DE"/>
              </w:rPr>
            </w:pPr>
            <w:r w:rsidRPr="00EC62E9">
              <w:rPr>
                <w:color w:val="000000"/>
                <w:sz w:val="18"/>
                <w:lang w:val="de-DE"/>
              </w:rPr>
              <w:t xml:space="preserve">1.070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25,79%</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276 </w:t>
            </w:r>
          </w:p>
        </w:tc>
      </w:tr>
      <w:tr w:rsidR="00D3322A" w:rsidRPr="00EC62E9" w:rsidTr="001229E9">
        <w:trPr>
          <w:trHeight w:val="148"/>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Vereinigte Staaten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914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68,27%</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624 </w:t>
            </w:r>
          </w:p>
        </w:tc>
      </w:tr>
      <w:tr w:rsidR="00D3322A" w:rsidRPr="00EC62E9" w:rsidTr="001229E9">
        <w:trPr>
          <w:trHeight w:val="142"/>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Deutschland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857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70,36%</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603 </w:t>
            </w:r>
          </w:p>
        </w:tc>
      </w:tr>
      <w:tr w:rsidR="00D3322A" w:rsidRPr="00EC62E9" w:rsidTr="001229E9">
        <w:trPr>
          <w:trHeight w:val="148"/>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Japan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754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21,75%</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164 </w:t>
            </w:r>
          </w:p>
        </w:tc>
      </w:tr>
      <w:tr w:rsidR="00D3322A" w:rsidRPr="00EC62E9" w:rsidTr="001229E9">
        <w:trPr>
          <w:trHeight w:val="142"/>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Spanien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748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67,38%</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504 </w:t>
            </w:r>
          </w:p>
        </w:tc>
      </w:tr>
      <w:tr w:rsidR="00D3322A" w:rsidRPr="00EC62E9" w:rsidTr="001229E9">
        <w:trPr>
          <w:trHeight w:val="148"/>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Indien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662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74,17%</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491 </w:t>
            </w:r>
          </w:p>
        </w:tc>
      </w:tr>
      <w:tr w:rsidR="00D3322A" w:rsidRPr="00EC62E9" w:rsidTr="001229E9">
        <w:trPr>
          <w:trHeight w:val="142"/>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Mexiko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633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52,13%</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330 </w:t>
            </w:r>
          </w:p>
        </w:tc>
      </w:tr>
      <w:tr w:rsidR="00D3322A" w:rsidRPr="00EC62E9" w:rsidTr="001229E9">
        <w:trPr>
          <w:trHeight w:val="148"/>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Niederlande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541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31,98%</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173 </w:t>
            </w:r>
          </w:p>
        </w:tc>
      </w:tr>
      <w:tr w:rsidR="00D3322A" w:rsidRPr="00EC62E9" w:rsidTr="001229E9">
        <w:trPr>
          <w:trHeight w:val="142"/>
          <w:jc w:val="center"/>
        </w:trPr>
        <w:tc>
          <w:tcPr>
            <w:tcW w:w="2018"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Australien </w:t>
            </w:r>
          </w:p>
        </w:tc>
        <w:tc>
          <w:tcPr>
            <w:tcW w:w="1681" w:type="dxa"/>
          </w:tcPr>
          <w:p w:rsidR="00D3322A" w:rsidRPr="00EC62E9" w:rsidRDefault="00D3322A" w:rsidP="00847FAE">
            <w:pPr>
              <w:tabs>
                <w:tab w:val="decimal" w:pos="1115"/>
              </w:tabs>
              <w:autoSpaceDE w:val="0"/>
              <w:autoSpaceDN w:val="0"/>
              <w:adjustRightInd w:val="0"/>
              <w:ind w:right="289"/>
              <w:jc w:val="right"/>
              <w:rPr>
                <w:rFonts w:cs="Arial"/>
                <w:color w:val="000000"/>
                <w:sz w:val="18"/>
                <w:szCs w:val="18"/>
                <w:lang w:val="de-DE"/>
              </w:rPr>
            </w:pPr>
            <w:r w:rsidRPr="00EC62E9">
              <w:rPr>
                <w:color w:val="000000"/>
                <w:sz w:val="18"/>
                <w:lang w:val="de-DE"/>
              </w:rPr>
              <w:t xml:space="preserve">535 </w:t>
            </w:r>
          </w:p>
        </w:tc>
        <w:tc>
          <w:tcPr>
            <w:tcW w:w="1858" w:type="dxa"/>
          </w:tcPr>
          <w:p w:rsidR="00D3322A" w:rsidRPr="00EC62E9" w:rsidRDefault="00D3322A" w:rsidP="00847FAE">
            <w:pPr>
              <w:autoSpaceDE w:val="0"/>
              <w:autoSpaceDN w:val="0"/>
              <w:adjustRightInd w:val="0"/>
              <w:jc w:val="center"/>
              <w:rPr>
                <w:rFonts w:cs="Arial"/>
                <w:color w:val="000000"/>
                <w:sz w:val="18"/>
                <w:szCs w:val="18"/>
                <w:lang w:val="de-DE"/>
              </w:rPr>
            </w:pPr>
            <w:r w:rsidRPr="00EC62E9">
              <w:rPr>
                <w:color w:val="000000"/>
                <w:sz w:val="18"/>
                <w:lang w:val="de-DE"/>
              </w:rPr>
              <w:t>34,39%</w:t>
            </w:r>
          </w:p>
        </w:tc>
        <w:tc>
          <w:tcPr>
            <w:tcW w:w="1681" w:type="dxa"/>
          </w:tcPr>
          <w:p w:rsidR="00D3322A" w:rsidRPr="00EC62E9" w:rsidRDefault="00D3322A" w:rsidP="00847FAE">
            <w:pPr>
              <w:tabs>
                <w:tab w:val="decimal" w:pos="1083"/>
              </w:tabs>
              <w:autoSpaceDE w:val="0"/>
              <w:autoSpaceDN w:val="0"/>
              <w:adjustRightInd w:val="0"/>
              <w:jc w:val="left"/>
              <w:rPr>
                <w:rFonts w:cs="Arial"/>
                <w:color w:val="000000"/>
                <w:sz w:val="18"/>
                <w:szCs w:val="18"/>
                <w:lang w:val="de-DE"/>
              </w:rPr>
            </w:pPr>
            <w:r w:rsidRPr="00EC62E9">
              <w:rPr>
                <w:color w:val="000000"/>
                <w:sz w:val="18"/>
                <w:lang w:val="de-DE"/>
              </w:rPr>
              <w:t xml:space="preserve">184 </w:t>
            </w:r>
          </w:p>
        </w:tc>
      </w:tr>
    </w:tbl>
    <w:p w:rsidR="00D3322A" w:rsidRPr="00EC62E9" w:rsidRDefault="00D3322A" w:rsidP="00D3322A">
      <w:pPr>
        <w:keepNext/>
        <w:rPr>
          <w:rFonts w:eastAsiaTheme="minorEastAsia"/>
          <w:b/>
          <w:bCs/>
          <w:sz w:val="18"/>
          <w:szCs w:val="22"/>
          <w:lang w:val="de-DE"/>
        </w:rPr>
      </w:pPr>
    </w:p>
    <w:p w:rsidR="00D3322A" w:rsidRPr="00EC62E9" w:rsidRDefault="00D3322A" w:rsidP="00D3322A">
      <w:pPr>
        <w:keepNext/>
        <w:jc w:val="center"/>
        <w:rPr>
          <w:rFonts w:eastAsiaTheme="minorEastAsia"/>
          <w:bCs/>
          <w:sz w:val="18"/>
          <w:szCs w:val="22"/>
          <w:lang w:val="de-DE"/>
        </w:rPr>
      </w:pPr>
      <w:r w:rsidRPr="00EC62E9">
        <w:rPr>
          <w:rFonts w:eastAsiaTheme="minorEastAsia"/>
          <w:sz w:val="18"/>
          <w:lang w:val="de-DE"/>
        </w:rPr>
        <w:t>Entwicklung der Besuche</w:t>
      </w:r>
    </w:p>
    <w:p w:rsidR="00D3322A" w:rsidRPr="00EC62E9" w:rsidRDefault="00D3322A" w:rsidP="00D3322A">
      <w:pPr>
        <w:keepNext/>
        <w:jc w:val="center"/>
        <w:rPr>
          <w:rFonts w:eastAsiaTheme="minorEastAsia"/>
          <w:sz w:val="14"/>
          <w:szCs w:val="18"/>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710"/>
        <w:gridCol w:w="1872"/>
      </w:tblGrid>
      <w:tr w:rsidR="00D3322A" w:rsidRPr="00EC62E9" w:rsidTr="005B583E">
        <w:trPr>
          <w:trHeight w:val="143"/>
          <w:jc w:val="center"/>
        </w:trPr>
        <w:tc>
          <w:tcPr>
            <w:tcW w:w="1644" w:type="dxa"/>
          </w:tcPr>
          <w:p w:rsidR="00D3322A" w:rsidRPr="00EC62E9" w:rsidRDefault="00D3322A" w:rsidP="00847FAE">
            <w:pPr>
              <w:keepNext/>
              <w:autoSpaceDE w:val="0"/>
              <w:autoSpaceDN w:val="0"/>
              <w:adjustRightInd w:val="0"/>
              <w:jc w:val="center"/>
              <w:rPr>
                <w:rFonts w:eastAsiaTheme="minorEastAsia" w:cs="Arial"/>
                <w:color w:val="000000"/>
                <w:sz w:val="18"/>
                <w:szCs w:val="22"/>
                <w:lang w:val="de-DE"/>
              </w:rPr>
            </w:pPr>
            <w:r w:rsidRPr="00EC62E9">
              <w:rPr>
                <w:rFonts w:eastAsiaTheme="minorEastAsia"/>
                <w:color w:val="000000"/>
                <w:sz w:val="18"/>
                <w:lang w:val="de-DE"/>
              </w:rPr>
              <w:t>Jahr</w:t>
            </w:r>
          </w:p>
        </w:tc>
        <w:tc>
          <w:tcPr>
            <w:tcW w:w="1710" w:type="dxa"/>
          </w:tcPr>
          <w:p w:rsidR="00D3322A" w:rsidRPr="00EC62E9" w:rsidRDefault="00D3322A" w:rsidP="00847FAE">
            <w:pPr>
              <w:keepNext/>
              <w:autoSpaceDE w:val="0"/>
              <w:autoSpaceDN w:val="0"/>
              <w:adjustRightInd w:val="0"/>
              <w:jc w:val="center"/>
              <w:rPr>
                <w:rFonts w:eastAsiaTheme="minorEastAsia" w:cs="Arial"/>
                <w:color w:val="000000"/>
                <w:sz w:val="18"/>
                <w:szCs w:val="22"/>
                <w:lang w:val="de-DE"/>
              </w:rPr>
            </w:pPr>
            <w:r w:rsidRPr="00EC62E9">
              <w:rPr>
                <w:rFonts w:eastAsiaTheme="minorEastAsia"/>
                <w:color w:val="000000"/>
                <w:sz w:val="18"/>
                <w:lang w:val="de-DE"/>
              </w:rPr>
              <w:t>Seitenaufrufe</w:t>
            </w:r>
          </w:p>
        </w:tc>
        <w:tc>
          <w:tcPr>
            <w:tcW w:w="1872" w:type="dxa"/>
          </w:tcPr>
          <w:p w:rsidR="00D3322A" w:rsidRPr="00EC62E9" w:rsidRDefault="00D3322A" w:rsidP="00847FAE">
            <w:pPr>
              <w:keepNext/>
              <w:autoSpaceDE w:val="0"/>
              <w:autoSpaceDN w:val="0"/>
              <w:adjustRightInd w:val="0"/>
              <w:jc w:val="center"/>
              <w:rPr>
                <w:rFonts w:eastAsiaTheme="minorEastAsia" w:cs="Arial"/>
                <w:bCs/>
                <w:color w:val="000000"/>
                <w:sz w:val="18"/>
                <w:szCs w:val="22"/>
                <w:lang w:val="de-DE"/>
              </w:rPr>
            </w:pPr>
            <w:r w:rsidRPr="00EC62E9">
              <w:rPr>
                <w:rFonts w:eastAsiaTheme="minorEastAsia"/>
                <w:color w:val="000000"/>
                <w:sz w:val="18"/>
                <w:lang w:val="de-DE"/>
              </w:rPr>
              <w:t>Einzelseitenaufrufe</w:t>
            </w:r>
          </w:p>
          <w:p w:rsidR="00D3322A" w:rsidRPr="00EC62E9" w:rsidRDefault="00D3322A" w:rsidP="00847FAE">
            <w:pPr>
              <w:keepNext/>
              <w:autoSpaceDE w:val="0"/>
              <w:autoSpaceDN w:val="0"/>
              <w:adjustRightInd w:val="0"/>
              <w:jc w:val="center"/>
              <w:rPr>
                <w:rFonts w:eastAsiaTheme="minorEastAsia" w:cs="Arial"/>
                <w:color w:val="000000"/>
                <w:sz w:val="18"/>
                <w:szCs w:val="22"/>
                <w:lang w:val="de-DE"/>
              </w:rPr>
            </w:pP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2013</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84.306</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49.280</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2012</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85.149</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46.122</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2011</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59.735</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32.839</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2010</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51.457</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28.565</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2009</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11.474</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5.337</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2008</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14.063</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5.763</w:t>
            </w:r>
          </w:p>
        </w:tc>
      </w:tr>
      <w:tr w:rsidR="00D3322A" w:rsidRPr="00EC62E9" w:rsidTr="005B583E">
        <w:trPr>
          <w:trHeight w:val="148"/>
          <w:jc w:val="center"/>
        </w:trPr>
        <w:tc>
          <w:tcPr>
            <w:tcW w:w="1644" w:type="dxa"/>
          </w:tcPr>
          <w:p w:rsidR="00D3322A" w:rsidRPr="00EC62E9" w:rsidRDefault="00D3322A" w:rsidP="00847FAE">
            <w:pPr>
              <w:pStyle w:val="Default"/>
              <w:jc w:val="center"/>
              <w:rPr>
                <w:sz w:val="18"/>
                <w:szCs w:val="18"/>
                <w:lang w:val="de-DE"/>
              </w:rPr>
            </w:pPr>
            <w:r w:rsidRPr="00EC62E9">
              <w:rPr>
                <w:sz w:val="18"/>
                <w:lang w:val="de-DE"/>
              </w:rPr>
              <w:t>2007</w:t>
            </w:r>
          </w:p>
        </w:tc>
        <w:tc>
          <w:tcPr>
            <w:tcW w:w="1710" w:type="dxa"/>
          </w:tcPr>
          <w:p w:rsidR="00D3322A" w:rsidRPr="00EC62E9" w:rsidRDefault="00D3322A" w:rsidP="00847FAE">
            <w:pPr>
              <w:pStyle w:val="Default"/>
              <w:tabs>
                <w:tab w:val="decimal" w:pos="874"/>
              </w:tabs>
              <w:jc w:val="center"/>
              <w:rPr>
                <w:sz w:val="18"/>
                <w:szCs w:val="18"/>
                <w:lang w:val="de-DE"/>
              </w:rPr>
            </w:pPr>
            <w:r w:rsidRPr="00EC62E9">
              <w:rPr>
                <w:sz w:val="18"/>
                <w:lang w:val="de-DE"/>
              </w:rPr>
              <w:t>5.357</w:t>
            </w:r>
          </w:p>
        </w:tc>
        <w:tc>
          <w:tcPr>
            <w:tcW w:w="1872" w:type="dxa"/>
          </w:tcPr>
          <w:p w:rsidR="00D3322A" w:rsidRPr="00EC62E9" w:rsidRDefault="00D3322A" w:rsidP="00847FAE">
            <w:pPr>
              <w:pStyle w:val="Default"/>
              <w:tabs>
                <w:tab w:val="decimal" w:pos="1057"/>
              </w:tabs>
              <w:jc w:val="center"/>
              <w:rPr>
                <w:sz w:val="18"/>
                <w:szCs w:val="18"/>
                <w:lang w:val="de-DE"/>
              </w:rPr>
            </w:pPr>
            <w:r w:rsidRPr="00EC62E9">
              <w:rPr>
                <w:sz w:val="18"/>
                <w:lang w:val="de-DE"/>
              </w:rPr>
              <w:t>2.530</w:t>
            </w:r>
          </w:p>
        </w:tc>
      </w:tr>
    </w:tbl>
    <w:p w:rsidR="00D3322A" w:rsidRPr="00EC62E9" w:rsidRDefault="00D3322A" w:rsidP="00D3322A">
      <w:pPr>
        <w:keepNext/>
        <w:rPr>
          <w:rFonts w:eastAsiaTheme="minorEastAsia"/>
          <w:sz w:val="18"/>
          <w:szCs w:val="18"/>
          <w:lang w:val="de-DE"/>
        </w:rPr>
      </w:pPr>
    </w:p>
    <w:p w:rsidR="00D3322A" w:rsidRPr="00EC62E9" w:rsidRDefault="00D3322A" w:rsidP="00D3322A">
      <w:pPr>
        <w:rPr>
          <w:lang w:val="de-DE"/>
        </w:rPr>
      </w:pPr>
    </w:p>
    <w:p w:rsidR="001961E5" w:rsidRDefault="001961E5">
      <w:pPr>
        <w:jc w:val="left"/>
        <w:rPr>
          <w:iCs/>
          <w:sz w:val="18"/>
          <w:szCs w:val="24"/>
          <w:u w:val="single"/>
          <w:lang w:val="de-DE"/>
        </w:rPr>
      </w:pPr>
      <w:bookmarkStart w:id="91" w:name="_Toc396137544"/>
      <w:r>
        <w:rPr>
          <w:lang w:val="de-DE"/>
        </w:rPr>
        <w:br w:type="page"/>
      </w:r>
    </w:p>
    <w:p w:rsidR="00D3322A" w:rsidRPr="00EC62E9" w:rsidRDefault="00D3322A" w:rsidP="00D3322A">
      <w:pPr>
        <w:pStyle w:val="Heading8"/>
        <w:rPr>
          <w:lang w:val="de-DE"/>
        </w:rPr>
      </w:pPr>
      <w:bookmarkStart w:id="92" w:name="_Toc398736742"/>
      <w:r w:rsidRPr="00EC62E9">
        <w:rPr>
          <w:lang w:val="de-DE"/>
        </w:rPr>
        <w:t>a)  Gattungen und Arten, für die Verbandsmitglieder über praktische Erfahrung verfügen</w:t>
      </w:r>
      <w:bookmarkEnd w:id="91"/>
      <w:bookmarkEnd w:id="92"/>
    </w:p>
    <w:p w:rsidR="00D3322A" w:rsidRPr="00EC62E9" w:rsidRDefault="00D3322A" w:rsidP="00D3322A">
      <w:pPr>
        <w:keepNext/>
        <w:rPr>
          <w:sz w:val="18"/>
          <w:szCs w:val="18"/>
          <w:lang w:val="de-DE"/>
        </w:rPr>
      </w:pPr>
      <w:r w:rsidRPr="00EC62E9">
        <w:rPr>
          <w:sz w:val="18"/>
          <w:lang w:val="de-DE"/>
        </w:rPr>
        <w:t>Praktische Erfahrungen mit der DUS-Prüfung wurden 2013 für rund 2.589 Gattungen oder Arten mitgeteilt (2.726 im Jahr 2012; 2.679 im Jahr 2011; 2.254 im Jahr 2010) (vgl. Abb. 7)</w:t>
      </w:r>
    </w:p>
    <w:p w:rsidR="00D3322A" w:rsidRPr="00EC62E9" w:rsidRDefault="00D3322A" w:rsidP="00D3322A">
      <w:pPr>
        <w:rPr>
          <w:sz w:val="18"/>
          <w:lang w:val="de-DE"/>
        </w:rPr>
      </w:pPr>
    </w:p>
    <w:p w:rsidR="00D3322A" w:rsidRDefault="00D3322A" w:rsidP="00D3322A">
      <w:pPr>
        <w:pStyle w:val="Heading9"/>
        <w:spacing w:before="120" w:after="120"/>
        <w:rPr>
          <w:lang w:val="de-DE"/>
        </w:rPr>
      </w:pPr>
      <w:bookmarkStart w:id="93" w:name="_Toc396137545"/>
      <w:bookmarkStart w:id="94" w:name="_Toc398736743"/>
      <w:r w:rsidRPr="00EC62E9">
        <w:rPr>
          <w:lang w:val="de-DE"/>
        </w:rPr>
        <w:t>Abb. 7.  Pflanzengattungen/-arten mit Vereinbarungen über Zusammenarbeit, praktischer Erfahrung und Züchterrechtseinträgen in der Datenbank für Pflanzensorten</w:t>
      </w:r>
      <w:bookmarkEnd w:id="93"/>
      <w:bookmarkEnd w:id="94"/>
    </w:p>
    <w:p w:rsidR="00D3322A" w:rsidRPr="00EC62E9" w:rsidRDefault="00393196" w:rsidP="00D3322A">
      <w:pPr>
        <w:jc w:val="center"/>
        <w:rPr>
          <w:lang w:val="de-DE"/>
        </w:rPr>
      </w:pPr>
      <w:r w:rsidRPr="00EC62E9">
        <w:rPr>
          <w:noProof/>
        </w:rPr>
        <w:drawing>
          <wp:inline distT="0" distB="0" distL="0" distR="0" wp14:anchorId="5F71629D" wp14:editId="1BE11540">
            <wp:extent cx="5004000" cy="3312000"/>
            <wp:effectExtent l="0" t="0" r="25400" b="22225"/>
            <wp:docPr id="301" name="Diagramm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322A" w:rsidRDefault="00D3322A" w:rsidP="00D3322A">
      <w:pPr>
        <w:rPr>
          <w:lang w:val="de-DE"/>
        </w:rPr>
      </w:pPr>
    </w:p>
    <w:p w:rsidR="001A3545" w:rsidRPr="00EC62E9" w:rsidRDefault="001A3545" w:rsidP="00D3322A">
      <w:pPr>
        <w:rPr>
          <w:lang w:val="de-DE"/>
        </w:rPr>
      </w:pPr>
    </w:p>
    <w:p w:rsidR="00D3322A" w:rsidRPr="00EC62E9" w:rsidRDefault="00D3322A" w:rsidP="00D3322A">
      <w:pPr>
        <w:pStyle w:val="Heading8"/>
        <w:rPr>
          <w:lang w:val="de-DE"/>
        </w:rPr>
      </w:pPr>
      <w:bookmarkStart w:id="95" w:name="_Toc396137546"/>
      <w:bookmarkStart w:id="96" w:name="_Toc398736744"/>
      <w:r w:rsidRPr="00EC62E9">
        <w:rPr>
          <w:lang w:val="de-DE"/>
        </w:rPr>
        <w:t>b)  Gattungen und Arten, für die Verbandsmitglieder bei der DUS-Prüfung zusammenarbeiten, wie in der GENIE Datenbank angegeben</w:t>
      </w:r>
      <w:bookmarkEnd w:id="95"/>
      <w:bookmarkEnd w:id="96"/>
    </w:p>
    <w:p w:rsidR="00D3322A" w:rsidRPr="00EC62E9" w:rsidRDefault="00D3322A" w:rsidP="00D3322A">
      <w:pPr>
        <w:pStyle w:val="Heading8"/>
        <w:rPr>
          <w:i/>
          <w:u w:val="none"/>
          <w:lang w:val="de-DE"/>
        </w:rPr>
      </w:pPr>
      <w:bookmarkStart w:id="97" w:name="_Toc336339236"/>
      <w:bookmarkStart w:id="98" w:name="_Toc336613838"/>
      <w:bookmarkStart w:id="99" w:name="_Toc396137547"/>
      <w:bookmarkStart w:id="100" w:name="_Toc398736745"/>
      <w:r w:rsidRPr="00EC62E9">
        <w:rPr>
          <w:i/>
          <w:u w:val="none"/>
          <w:lang w:val="de-DE"/>
        </w:rPr>
        <w:t>-  Allgemeine Zusammenarbeit</w:t>
      </w:r>
      <w:bookmarkEnd w:id="97"/>
      <w:bookmarkEnd w:id="98"/>
      <w:bookmarkEnd w:id="99"/>
      <w:bookmarkEnd w:id="100"/>
      <w:r w:rsidRPr="00EC62E9">
        <w:rPr>
          <w:i/>
          <w:u w:val="none"/>
          <w:lang w:val="de-DE"/>
        </w:rPr>
        <w:t xml:space="preserve"> </w:t>
      </w:r>
    </w:p>
    <w:p w:rsidR="00D3322A" w:rsidRPr="00EC62E9" w:rsidRDefault="00D3322A" w:rsidP="00D3322A">
      <w:pPr>
        <w:keepNext/>
        <w:jc w:val="left"/>
        <w:rPr>
          <w:color w:val="000000"/>
          <w:sz w:val="18"/>
          <w:szCs w:val="18"/>
          <w:lang w:val="de-DE"/>
        </w:rPr>
      </w:pPr>
      <w:r w:rsidRPr="00EC62E9">
        <w:rPr>
          <w:color w:val="000000"/>
          <w:sz w:val="18"/>
          <w:lang w:val="de-DE"/>
        </w:rPr>
        <w:t>Anzahl an Behörden, die allen Verbandsmitgliedern bestehende DUS-Berichte überlassen würden:</w:t>
      </w:r>
    </w:p>
    <w:p w:rsidR="00D3322A" w:rsidRPr="00EC62E9" w:rsidRDefault="00D3322A" w:rsidP="00D3322A">
      <w:pPr>
        <w:keepNext/>
        <w:ind w:left="317"/>
        <w:jc w:val="left"/>
        <w:rPr>
          <w:color w:val="000000"/>
          <w:sz w:val="18"/>
          <w:szCs w:val="18"/>
          <w:lang w:val="de-DE"/>
        </w:rPr>
      </w:pPr>
      <w:r w:rsidRPr="00EC62E9">
        <w:rPr>
          <w:color w:val="000000"/>
          <w:sz w:val="18"/>
          <w:lang w:val="de-DE"/>
        </w:rPr>
        <w:t>2 im Jahr 2013 (1 im Jahr 2011)</w:t>
      </w:r>
    </w:p>
    <w:p w:rsidR="00D3322A" w:rsidRPr="00EC62E9" w:rsidRDefault="00D3322A" w:rsidP="00D3322A">
      <w:pPr>
        <w:keepNext/>
        <w:ind w:left="176" w:hanging="176"/>
        <w:jc w:val="left"/>
        <w:rPr>
          <w:color w:val="000000"/>
          <w:sz w:val="18"/>
          <w:szCs w:val="18"/>
          <w:lang w:val="de-DE"/>
        </w:rPr>
      </w:pPr>
    </w:p>
    <w:p w:rsidR="00D3322A" w:rsidRPr="00EC62E9" w:rsidRDefault="00D3322A" w:rsidP="00D3322A">
      <w:pPr>
        <w:keepNext/>
        <w:jc w:val="left"/>
        <w:rPr>
          <w:color w:val="000000"/>
          <w:sz w:val="18"/>
          <w:szCs w:val="18"/>
          <w:lang w:val="de-DE"/>
        </w:rPr>
      </w:pPr>
      <w:r w:rsidRPr="00EC62E9">
        <w:rPr>
          <w:color w:val="000000"/>
          <w:sz w:val="18"/>
          <w:lang w:val="de-DE"/>
        </w:rPr>
        <w:t xml:space="preserve">Anzahl an Behörden, die allen Verbandsmitgliedern bestehende DUS-Berichte für alle Arten, überlassen werden, für die sie über praktische Erfahrung bei der DUS-Prüfung verfügen:  </w:t>
      </w:r>
    </w:p>
    <w:p w:rsidR="00D3322A" w:rsidRPr="00EC62E9" w:rsidRDefault="00D3322A" w:rsidP="00D3322A">
      <w:pPr>
        <w:keepNext/>
        <w:ind w:left="317"/>
        <w:jc w:val="left"/>
        <w:rPr>
          <w:color w:val="000000"/>
          <w:sz w:val="18"/>
          <w:szCs w:val="18"/>
          <w:lang w:val="de-DE"/>
        </w:rPr>
      </w:pPr>
      <w:r w:rsidRPr="00EC62E9">
        <w:rPr>
          <w:color w:val="000000"/>
          <w:sz w:val="18"/>
          <w:lang w:val="de-DE"/>
        </w:rPr>
        <w:t>6 im Jahr 2013 (5 im Jahr 2011)</w:t>
      </w:r>
    </w:p>
    <w:p w:rsidR="00D3322A" w:rsidRPr="00EC62E9" w:rsidRDefault="00D3322A" w:rsidP="00D3322A">
      <w:pPr>
        <w:keepNext/>
        <w:jc w:val="left"/>
        <w:rPr>
          <w:color w:val="000000"/>
          <w:sz w:val="18"/>
          <w:szCs w:val="18"/>
          <w:lang w:val="de-DE"/>
        </w:rPr>
      </w:pPr>
    </w:p>
    <w:p w:rsidR="00D3322A" w:rsidRPr="00EC62E9" w:rsidRDefault="00D3322A" w:rsidP="00D3322A">
      <w:pPr>
        <w:keepNext/>
        <w:jc w:val="left"/>
        <w:rPr>
          <w:color w:val="000000"/>
          <w:sz w:val="18"/>
          <w:szCs w:val="18"/>
          <w:lang w:val="de-DE"/>
        </w:rPr>
      </w:pPr>
      <w:r w:rsidRPr="00EC62E9">
        <w:rPr>
          <w:color w:val="000000"/>
          <w:sz w:val="18"/>
          <w:lang w:val="de-DE"/>
        </w:rPr>
        <w:t xml:space="preserve">Anzahl an Behörden, die DUS-Berichte von allen anderen Verbandsmitgliedern übernehmen würden: </w:t>
      </w:r>
    </w:p>
    <w:p w:rsidR="00D3322A" w:rsidRPr="00EC62E9" w:rsidRDefault="00D3322A" w:rsidP="00D3322A">
      <w:pPr>
        <w:keepNext/>
        <w:ind w:left="317"/>
        <w:jc w:val="left"/>
        <w:rPr>
          <w:color w:val="000000"/>
          <w:sz w:val="18"/>
          <w:szCs w:val="18"/>
          <w:lang w:val="de-DE"/>
        </w:rPr>
      </w:pPr>
      <w:r w:rsidRPr="00EC62E9">
        <w:rPr>
          <w:color w:val="000000"/>
          <w:sz w:val="18"/>
          <w:lang w:val="de-DE"/>
        </w:rPr>
        <w:t>1 im Jahr 2013 (1 im Jahr 2011)</w:t>
      </w:r>
    </w:p>
    <w:p w:rsidR="00D3322A" w:rsidRPr="00EC62E9" w:rsidRDefault="00D3322A" w:rsidP="00D3322A">
      <w:pPr>
        <w:keepNext/>
        <w:jc w:val="left"/>
        <w:rPr>
          <w:color w:val="000000"/>
          <w:sz w:val="18"/>
          <w:szCs w:val="18"/>
          <w:lang w:val="de-DE"/>
        </w:rPr>
      </w:pPr>
    </w:p>
    <w:p w:rsidR="00D3322A" w:rsidRPr="00EC62E9" w:rsidRDefault="00D3322A" w:rsidP="00D3322A">
      <w:pPr>
        <w:keepNext/>
        <w:jc w:val="left"/>
        <w:rPr>
          <w:color w:val="000000"/>
          <w:sz w:val="18"/>
          <w:szCs w:val="18"/>
          <w:lang w:val="de-DE"/>
        </w:rPr>
      </w:pPr>
      <w:r w:rsidRPr="00EC62E9">
        <w:rPr>
          <w:color w:val="000000"/>
          <w:sz w:val="18"/>
          <w:lang w:val="de-DE"/>
        </w:rPr>
        <w:t>Anzahl an Behörden, die DUS-Berichte unter gewissen Umständen von allen anderen Verbandsmitgliedern übernehmen würden:</w:t>
      </w:r>
    </w:p>
    <w:p w:rsidR="00D3322A" w:rsidRPr="00EC62E9" w:rsidRDefault="00D3322A" w:rsidP="00D3322A">
      <w:pPr>
        <w:keepNext/>
        <w:ind w:left="317"/>
        <w:jc w:val="left"/>
        <w:rPr>
          <w:color w:val="000000"/>
          <w:sz w:val="18"/>
          <w:szCs w:val="18"/>
          <w:lang w:val="de-DE"/>
        </w:rPr>
      </w:pPr>
      <w:r w:rsidRPr="00EC62E9">
        <w:rPr>
          <w:color w:val="000000"/>
          <w:sz w:val="18"/>
          <w:lang w:val="de-DE"/>
        </w:rPr>
        <w:t>2 im Jahr 2013 (2 im Jahr 2011)</w:t>
      </w:r>
    </w:p>
    <w:p w:rsidR="00D3322A" w:rsidRPr="00EC62E9" w:rsidRDefault="00D3322A" w:rsidP="00D3322A">
      <w:pPr>
        <w:keepNext/>
        <w:jc w:val="left"/>
        <w:rPr>
          <w:color w:val="000000"/>
          <w:sz w:val="18"/>
          <w:szCs w:val="18"/>
          <w:lang w:val="de-DE"/>
        </w:rPr>
      </w:pPr>
    </w:p>
    <w:p w:rsidR="00D3322A" w:rsidRPr="00EC62E9" w:rsidRDefault="00D3322A" w:rsidP="00D3322A">
      <w:pPr>
        <w:pStyle w:val="Heading8"/>
        <w:rPr>
          <w:i/>
          <w:u w:val="none"/>
          <w:lang w:val="de-DE"/>
        </w:rPr>
      </w:pPr>
      <w:bookmarkStart w:id="101" w:name="_Toc336339237"/>
      <w:bookmarkStart w:id="102" w:name="_Toc336613839"/>
      <w:bookmarkStart w:id="103" w:name="_Toc396137548"/>
      <w:bookmarkStart w:id="104" w:name="_Toc398736746"/>
      <w:r w:rsidRPr="00EC62E9">
        <w:rPr>
          <w:i/>
          <w:u w:val="none"/>
          <w:lang w:val="de-DE"/>
        </w:rPr>
        <w:t xml:space="preserve">- </w:t>
      </w:r>
      <w:r w:rsidR="00E25A9D">
        <w:rPr>
          <w:i/>
          <w:u w:val="none"/>
          <w:lang w:val="de-DE"/>
        </w:rPr>
        <w:t xml:space="preserve"> </w:t>
      </w:r>
      <w:r w:rsidRPr="00EC62E9">
        <w:rPr>
          <w:i/>
          <w:u w:val="none"/>
          <w:lang w:val="de-DE"/>
        </w:rPr>
        <w:t>Anzahl spezifischer bilateraler und regionaler Sortenschutzvereinbarungen</w:t>
      </w:r>
      <w:bookmarkEnd w:id="101"/>
      <w:bookmarkEnd w:id="102"/>
      <w:bookmarkEnd w:id="103"/>
      <w:bookmarkEnd w:id="104"/>
    </w:p>
    <w:p w:rsidR="00D3322A" w:rsidRPr="00EC62E9" w:rsidRDefault="00D3322A" w:rsidP="00D3322A">
      <w:pPr>
        <w:rPr>
          <w:sz w:val="18"/>
          <w:lang w:val="de-DE"/>
        </w:rPr>
      </w:pPr>
      <w:r w:rsidRPr="00EC62E9">
        <w:rPr>
          <w:sz w:val="18"/>
          <w:lang w:val="de-DE"/>
        </w:rPr>
        <w:t xml:space="preserve">Die Vereinbarung für die Zusammenarbeit bei der Sortenprüfung erstreckte sich auf rund 1.997 Gattungen oder Arten (1.991 im Jahr 2012; 1.990 im Jahr 2011; 1.417 im Jahr 2010) – ohne die allgemeine </w:t>
      </w:r>
      <w:r w:rsidR="001A3545">
        <w:rPr>
          <w:sz w:val="18"/>
          <w:lang w:val="de-DE"/>
        </w:rPr>
        <w:t>Zusammenarbeit (vergleiche Abb. </w:t>
      </w:r>
      <w:r w:rsidRPr="00EC62E9">
        <w:rPr>
          <w:sz w:val="18"/>
          <w:lang w:val="de-DE"/>
        </w:rPr>
        <w:t>7 und Dokument C/48/5)</w:t>
      </w:r>
    </w:p>
    <w:p w:rsidR="00D3322A" w:rsidRPr="00EC62E9" w:rsidRDefault="00D3322A" w:rsidP="00D3322A">
      <w:pPr>
        <w:rPr>
          <w:lang w:val="de-DE"/>
        </w:rPr>
      </w:pPr>
    </w:p>
    <w:p w:rsidR="001A3545" w:rsidRDefault="001A3545">
      <w:pPr>
        <w:jc w:val="left"/>
        <w:rPr>
          <w:iCs/>
          <w:sz w:val="18"/>
          <w:szCs w:val="24"/>
          <w:u w:val="single"/>
          <w:lang w:val="de-DE"/>
        </w:rPr>
      </w:pPr>
      <w:bookmarkStart w:id="105" w:name="_Toc396137549"/>
      <w:r>
        <w:rPr>
          <w:lang w:val="de-DE"/>
        </w:rPr>
        <w:br w:type="page"/>
      </w:r>
    </w:p>
    <w:p w:rsidR="00D3322A" w:rsidRPr="00EC62E9" w:rsidRDefault="00D3322A" w:rsidP="00D3322A">
      <w:pPr>
        <w:pStyle w:val="Heading8"/>
        <w:keepNext/>
        <w:rPr>
          <w:szCs w:val="18"/>
          <w:lang w:val="de-DE"/>
        </w:rPr>
      </w:pPr>
      <w:bookmarkStart w:id="106" w:name="_Toc398736747"/>
      <w:r w:rsidRPr="00EC62E9">
        <w:rPr>
          <w:lang w:val="de-DE"/>
        </w:rPr>
        <w:t xml:space="preserve">c) </w:t>
      </w:r>
      <w:r w:rsidR="001A3545">
        <w:rPr>
          <w:lang w:val="de-DE"/>
        </w:rPr>
        <w:t xml:space="preserve"> </w:t>
      </w:r>
      <w:r w:rsidRPr="00EC62E9">
        <w:rPr>
          <w:lang w:val="de-DE"/>
        </w:rPr>
        <w:t>Verfahren für die Erarbeitung von Prüfungsrichtlinien</w:t>
      </w:r>
      <w:bookmarkEnd w:id="105"/>
      <w:bookmarkEnd w:id="106"/>
    </w:p>
    <w:p w:rsidR="00D3322A" w:rsidRPr="00EC62E9" w:rsidRDefault="00D3322A" w:rsidP="00D3322A">
      <w:pPr>
        <w:keepNext/>
        <w:rPr>
          <w:sz w:val="18"/>
          <w:lang w:val="de-DE"/>
        </w:rPr>
      </w:pPr>
      <w:r w:rsidRPr="00EC62E9">
        <w:rPr>
          <w:sz w:val="18"/>
          <w:lang w:val="de-DE"/>
        </w:rPr>
        <w:t>Ein Überblick über die Teilnahme an der Entwicklung von Prüfungsrichtlinien nach TWP und Region des führenden Sachverständigen ist in den Abb. 8 bis 11 gegeben</w:t>
      </w:r>
    </w:p>
    <w:p w:rsidR="00D3322A" w:rsidRPr="00EC62E9" w:rsidRDefault="00D3322A" w:rsidP="00D3322A">
      <w:pPr>
        <w:rPr>
          <w:lang w:val="de-DE"/>
        </w:rPr>
      </w:pPr>
    </w:p>
    <w:p w:rsidR="00D3322A" w:rsidRPr="00EC62E9" w:rsidRDefault="00D3322A" w:rsidP="00D3322A">
      <w:pPr>
        <w:rPr>
          <w:lang w:val="de-DE"/>
        </w:rPr>
      </w:pPr>
    </w:p>
    <w:tbl>
      <w:tblPr>
        <w:tblW w:w="9889" w:type="dxa"/>
        <w:tblLayout w:type="fixed"/>
        <w:tblLook w:val="0000" w:firstRow="0" w:lastRow="0" w:firstColumn="0" w:lastColumn="0" w:noHBand="0" w:noVBand="0"/>
      </w:tblPr>
      <w:tblGrid>
        <w:gridCol w:w="5038"/>
        <w:gridCol w:w="4813"/>
        <w:gridCol w:w="38"/>
      </w:tblGrid>
      <w:tr w:rsidR="00D3322A" w:rsidRPr="00EC62E9" w:rsidTr="00847FAE">
        <w:trPr>
          <w:gridAfter w:val="1"/>
          <w:wAfter w:w="38" w:type="dxa"/>
          <w:trHeight w:val="5295"/>
        </w:trPr>
        <w:tc>
          <w:tcPr>
            <w:tcW w:w="5058" w:type="dxa"/>
          </w:tcPr>
          <w:p w:rsidR="00D3322A" w:rsidRPr="00EC62E9" w:rsidRDefault="00D3322A" w:rsidP="00847FAE">
            <w:pPr>
              <w:pStyle w:val="Heading9"/>
              <w:rPr>
                <w:lang w:val="de-DE"/>
              </w:rPr>
            </w:pPr>
            <w:bookmarkStart w:id="107" w:name="_Toc396137550"/>
            <w:bookmarkStart w:id="108" w:name="_Toc398736748"/>
            <w:r w:rsidRPr="00EC62E9">
              <w:rPr>
                <w:lang w:val="de-DE"/>
              </w:rPr>
              <w:t>Abb. 8.  Gesamtzahl angenommener</w:t>
            </w:r>
            <w:r w:rsidRPr="00EC62E9">
              <w:rPr>
                <w:lang w:val="de-DE"/>
              </w:rPr>
              <w:br/>
              <w:t>Prüfungsrichtlinien</w:t>
            </w:r>
            <w:r w:rsidRPr="00EC62E9">
              <w:rPr>
                <w:lang w:val="de-DE"/>
              </w:rPr>
              <w:br/>
            </w:r>
            <w:r w:rsidRPr="00EC62E9">
              <w:rPr>
                <w:b w:val="0"/>
                <w:lang w:val="de-DE"/>
              </w:rPr>
              <w:t>(nach Technischer Arbeitsgruppe)</w:t>
            </w:r>
            <w:bookmarkEnd w:id="107"/>
            <w:bookmarkEnd w:id="108"/>
          </w:p>
          <w:p w:rsidR="00D3322A" w:rsidRPr="00EC62E9" w:rsidRDefault="00D3322A" w:rsidP="00847FAE">
            <w:pPr>
              <w:rPr>
                <w:lang w:val="de-DE"/>
              </w:rPr>
            </w:pPr>
            <w:r w:rsidRPr="00EC62E9">
              <w:rPr>
                <w:noProof/>
              </w:rPr>
              <w:drawing>
                <wp:inline distT="0" distB="0" distL="0" distR="0" wp14:anchorId="24F90787" wp14:editId="00A28044">
                  <wp:extent cx="3019425" cy="2390775"/>
                  <wp:effectExtent l="0" t="0" r="0" b="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831" w:type="dxa"/>
          </w:tcPr>
          <w:p w:rsidR="00D3322A" w:rsidRPr="00EC62E9" w:rsidRDefault="002D5ABA" w:rsidP="00847FAE">
            <w:pPr>
              <w:jc w:val="center"/>
              <w:rPr>
                <w:lang w:val="de-DE"/>
              </w:rPr>
            </w:pPr>
            <w:bookmarkStart w:id="109" w:name="_Toc396137551"/>
            <w:bookmarkStart w:id="110" w:name="_Toc398736749"/>
            <w:r w:rsidRPr="00EC62E9">
              <w:rPr>
                <w:rStyle w:val="Heading9Char"/>
                <w:lang w:val="de-DE"/>
              </w:rPr>
              <w:t>Abb. 9.  Gesamtzahl der</w:t>
            </w:r>
            <w:r w:rsidR="00D3322A" w:rsidRPr="00EC62E9">
              <w:rPr>
                <w:rStyle w:val="Heading9Char"/>
                <w:lang w:val="de-DE"/>
              </w:rPr>
              <w:t xml:space="preserve"> in Ausarbeitung</w:t>
            </w:r>
            <w:r w:rsidR="00D3322A" w:rsidRPr="00EC62E9">
              <w:rPr>
                <w:rStyle w:val="Heading9Char"/>
                <w:lang w:val="de-DE"/>
              </w:rPr>
              <w:br/>
              <w:t>begriffenen Prüfungsrichtlinien</w:t>
            </w:r>
            <w:bookmarkEnd w:id="109"/>
            <w:bookmarkEnd w:id="110"/>
            <w:r w:rsidR="00D3322A" w:rsidRPr="00EC62E9">
              <w:rPr>
                <w:lang w:val="de-DE"/>
              </w:rPr>
              <w:t xml:space="preserve"> </w:t>
            </w:r>
          </w:p>
          <w:p w:rsidR="00D3322A" w:rsidRPr="00EC62E9" w:rsidRDefault="00D3322A" w:rsidP="00847FAE">
            <w:pPr>
              <w:jc w:val="center"/>
              <w:rPr>
                <w:sz w:val="18"/>
                <w:lang w:val="de-DE"/>
              </w:rPr>
            </w:pPr>
            <w:r w:rsidRPr="00EC62E9">
              <w:rPr>
                <w:sz w:val="18"/>
                <w:lang w:val="de-DE"/>
              </w:rPr>
              <w:t>(nach Technischer Arbeitsgruppe)</w:t>
            </w:r>
          </w:p>
          <w:p w:rsidR="00D3322A" w:rsidRPr="00EC62E9" w:rsidRDefault="00D3322A" w:rsidP="00847FAE">
            <w:pPr>
              <w:jc w:val="center"/>
              <w:rPr>
                <w:lang w:val="de-DE"/>
              </w:rPr>
            </w:pPr>
          </w:p>
          <w:p w:rsidR="00D3322A" w:rsidRPr="00EC62E9" w:rsidRDefault="00D3322A" w:rsidP="00847FAE">
            <w:pPr>
              <w:rPr>
                <w:lang w:val="de-DE"/>
              </w:rPr>
            </w:pPr>
            <w:r w:rsidRPr="00EC62E9">
              <w:rPr>
                <w:noProof/>
              </w:rPr>
              <w:drawing>
                <wp:inline distT="0" distB="0" distL="0" distR="0" wp14:anchorId="751F6959" wp14:editId="51196176">
                  <wp:extent cx="3067050" cy="246697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322A" w:rsidRPr="00EC62E9" w:rsidRDefault="00D3322A" w:rsidP="00847FAE">
            <w:pPr>
              <w:rPr>
                <w:lang w:val="de-DE"/>
              </w:rPr>
            </w:pPr>
          </w:p>
        </w:tc>
      </w:tr>
      <w:tr w:rsidR="00D3322A" w:rsidRPr="00EC62E9" w:rsidTr="00B9474C">
        <w:tblPrEx>
          <w:tblCellMar>
            <w:left w:w="70" w:type="dxa"/>
            <w:right w:w="70" w:type="dxa"/>
          </w:tblCellMar>
        </w:tblPrEx>
        <w:tc>
          <w:tcPr>
            <w:tcW w:w="5058" w:type="dxa"/>
          </w:tcPr>
          <w:p w:rsidR="00D3322A" w:rsidRPr="00EC62E9" w:rsidRDefault="00D3322A" w:rsidP="00847FAE">
            <w:pPr>
              <w:pStyle w:val="Heading9"/>
              <w:rPr>
                <w:lang w:val="de-DE"/>
              </w:rPr>
            </w:pPr>
            <w:bookmarkStart w:id="111" w:name="_Toc396137552"/>
            <w:bookmarkStart w:id="112" w:name="_Toc398736750"/>
            <w:r w:rsidRPr="00EC62E9">
              <w:rPr>
                <w:lang w:val="de-DE"/>
              </w:rPr>
              <w:t>Abb. 10.  Gesamtzahl angenommener</w:t>
            </w:r>
            <w:r w:rsidRPr="00EC62E9">
              <w:rPr>
                <w:lang w:val="de-DE"/>
              </w:rPr>
              <w:br/>
              <w:t>Prüfungsrichtlinien</w:t>
            </w:r>
            <w:r w:rsidRPr="00EC62E9">
              <w:rPr>
                <w:lang w:val="de-DE"/>
              </w:rPr>
              <w:br/>
            </w:r>
            <w:r w:rsidRPr="00EC62E9">
              <w:rPr>
                <w:b w:val="0"/>
                <w:lang w:val="de-DE"/>
              </w:rPr>
              <w:t>(nach Region des führenden Sachverständigen)</w:t>
            </w:r>
            <w:bookmarkEnd w:id="111"/>
            <w:bookmarkEnd w:id="112"/>
          </w:p>
          <w:p w:rsidR="00D3322A" w:rsidRPr="00EC62E9" w:rsidRDefault="00B9474C" w:rsidP="00847FAE">
            <w:pPr>
              <w:rPr>
                <w:lang w:val="de-DE"/>
              </w:rPr>
            </w:pPr>
            <w:r w:rsidRPr="00EC62E9">
              <w:rPr>
                <w:noProof/>
              </w:rPr>
              <w:drawing>
                <wp:inline distT="0" distB="0" distL="0" distR="0" wp14:anchorId="55BCC0E9" wp14:editId="45418AB4">
                  <wp:extent cx="3132000" cy="2196000"/>
                  <wp:effectExtent l="0" t="0" r="11430" b="1397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831" w:type="dxa"/>
            <w:gridSpan w:val="2"/>
          </w:tcPr>
          <w:p w:rsidR="00D3322A" w:rsidRPr="00EC62E9" w:rsidRDefault="00D3322A" w:rsidP="00847FAE">
            <w:pPr>
              <w:jc w:val="center"/>
              <w:rPr>
                <w:sz w:val="18"/>
                <w:szCs w:val="18"/>
                <w:lang w:val="de-DE"/>
              </w:rPr>
            </w:pPr>
            <w:bookmarkStart w:id="113" w:name="_Toc396137553"/>
            <w:bookmarkStart w:id="114" w:name="_Toc398736751"/>
            <w:r w:rsidRPr="00EC62E9">
              <w:rPr>
                <w:rStyle w:val="Heading9Char"/>
                <w:lang w:val="de-DE"/>
              </w:rPr>
              <w:t>Abb. 11.  Gesamtzahl von in Ausarbeitung</w:t>
            </w:r>
            <w:r w:rsidRPr="00EC62E9">
              <w:rPr>
                <w:rStyle w:val="Heading9Char"/>
                <w:lang w:val="de-DE"/>
              </w:rPr>
              <w:br/>
              <w:t>begriffenen Prüfungsrichtlinien</w:t>
            </w:r>
            <w:bookmarkEnd w:id="113"/>
            <w:bookmarkEnd w:id="114"/>
            <w:r w:rsidRPr="00EC62E9">
              <w:rPr>
                <w:lang w:val="de-DE"/>
              </w:rPr>
              <w:br/>
            </w:r>
            <w:r w:rsidRPr="00EC62E9">
              <w:rPr>
                <w:sz w:val="18"/>
                <w:szCs w:val="18"/>
                <w:lang w:val="de-DE"/>
              </w:rPr>
              <w:t>(nach Region des führenden Sachverständigen)</w:t>
            </w:r>
          </w:p>
          <w:p w:rsidR="00D3322A" w:rsidRPr="00EC62E9" w:rsidRDefault="00D3322A" w:rsidP="00847FAE">
            <w:pPr>
              <w:jc w:val="center"/>
              <w:rPr>
                <w:b/>
                <w:lang w:val="de-DE"/>
              </w:rPr>
            </w:pPr>
          </w:p>
          <w:p w:rsidR="00D3322A" w:rsidRPr="00EC62E9" w:rsidRDefault="00B9474C" w:rsidP="00847FAE">
            <w:pPr>
              <w:jc w:val="center"/>
              <w:rPr>
                <w:lang w:val="de-DE"/>
              </w:rPr>
            </w:pPr>
            <w:r w:rsidRPr="00EC62E9">
              <w:rPr>
                <w:noProof/>
              </w:rPr>
              <w:drawing>
                <wp:inline distT="0" distB="0" distL="0" distR="0" wp14:anchorId="7E72EFFB" wp14:editId="1A6D7329">
                  <wp:extent cx="3132000" cy="2196000"/>
                  <wp:effectExtent l="0" t="0" r="11430" b="1397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D3322A" w:rsidRPr="00EC62E9" w:rsidRDefault="00D3322A" w:rsidP="00D3322A">
      <w:pPr>
        <w:rPr>
          <w:lang w:val="de-DE"/>
        </w:rPr>
      </w:pPr>
    </w:p>
    <w:p w:rsidR="00D3322A" w:rsidRPr="00EC62E9" w:rsidRDefault="00D3322A" w:rsidP="00D3322A">
      <w:pPr>
        <w:keepNext/>
        <w:keepLines/>
        <w:rPr>
          <w:sz w:val="18"/>
          <w:szCs w:val="18"/>
          <w:lang w:val="de-DE"/>
        </w:rPr>
      </w:pPr>
      <w:r w:rsidRPr="00EC62E9">
        <w:rPr>
          <w:sz w:val="18"/>
          <w:lang w:val="de-DE"/>
        </w:rPr>
        <w:t>Insgesamt nahmen 20 Verbandsmitglieder an der Erstellung von Prüfungsrichtlinien teil (AR, AU, BR, CA, CN, CO, DE, ES, FR, GB, IL, JP, KE, KR, MX, NL, NZ, PL, QZ, ZA).</w:t>
      </w:r>
    </w:p>
    <w:p w:rsidR="00D3322A" w:rsidRPr="00EC62E9" w:rsidRDefault="00D3322A" w:rsidP="00D3322A">
      <w:pPr>
        <w:keepNext/>
        <w:keepLines/>
        <w:jc w:val="left"/>
        <w:rPr>
          <w:sz w:val="18"/>
          <w:szCs w:val="18"/>
          <w:lang w:val="de-DE"/>
        </w:rPr>
      </w:pPr>
      <w:r w:rsidRPr="00EC62E9">
        <w:rPr>
          <w:sz w:val="18"/>
          <w:lang w:val="de-DE"/>
        </w:rPr>
        <w:t>(siehe Abb. 12)</w:t>
      </w:r>
    </w:p>
    <w:p w:rsidR="00D3322A" w:rsidRPr="00EC62E9" w:rsidRDefault="00D3322A" w:rsidP="00D3322A">
      <w:pPr>
        <w:keepNext/>
        <w:keepLines/>
        <w:jc w:val="left"/>
        <w:rPr>
          <w:sz w:val="18"/>
          <w:szCs w:val="18"/>
          <w:lang w:val="de-DE"/>
        </w:rPr>
      </w:pPr>
    </w:p>
    <w:p w:rsidR="00D3322A" w:rsidRPr="00EC62E9" w:rsidRDefault="002D5ABA" w:rsidP="00D3322A">
      <w:pPr>
        <w:pStyle w:val="Heading9"/>
        <w:keepLines/>
        <w:widowControl w:val="0"/>
        <w:spacing w:before="120" w:after="120"/>
        <w:rPr>
          <w:lang w:val="de-DE"/>
        </w:rPr>
      </w:pPr>
      <w:bookmarkStart w:id="115" w:name="_Toc396137554"/>
      <w:bookmarkStart w:id="116" w:name="_Toc398736752"/>
      <w:r w:rsidRPr="00EC62E9">
        <w:rPr>
          <w:lang w:val="de-DE"/>
        </w:rPr>
        <w:t>Abb. 12.  Z</w:t>
      </w:r>
      <w:r w:rsidR="00D3322A" w:rsidRPr="00EC62E9">
        <w:rPr>
          <w:lang w:val="de-DE"/>
        </w:rPr>
        <w:t>ahl der an der Erstellung von Prüfungsrichtlinien beteiligten Verbandsmitglieder</w:t>
      </w:r>
      <w:bookmarkEnd w:id="115"/>
      <w:bookmarkEnd w:id="116"/>
    </w:p>
    <w:p w:rsidR="00D3322A" w:rsidRPr="00EC62E9" w:rsidRDefault="00D3322A" w:rsidP="00D3322A">
      <w:pPr>
        <w:keepNext/>
        <w:rPr>
          <w:lang w:val="de-DE"/>
        </w:rPr>
      </w:pPr>
    </w:p>
    <w:p w:rsidR="00D3322A" w:rsidRPr="00EC62E9" w:rsidRDefault="002D5ABA" w:rsidP="00D3322A">
      <w:pPr>
        <w:keepNext/>
        <w:jc w:val="center"/>
        <w:rPr>
          <w:lang w:val="de-DE"/>
        </w:rPr>
      </w:pPr>
      <w:r w:rsidRPr="00EC62E9">
        <w:rPr>
          <w:noProof/>
        </w:rPr>
        <w:drawing>
          <wp:inline distT="0" distB="0" distL="0" distR="0" wp14:anchorId="73E7B2D9" wp14:editId="1AC52F90">
            <wp:extent cx="4248000" cy="2556000"/>
            <wp:effectExtent l="0" t="0" r="19685" b="1587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322A" w:rsidRDefault="00D3322A" w:rsidP="00D3322A">
      <w:pPr>
        <w:rPr>
          <w:lang w:val="de-DE"/>
        </w:rPr>
      </w:pPr>
    </w:p>
    <w:p w:rsidR="007C02C5" w:rsidRPr="00EC62E9" w:rsidRDefault="007C02C5" w:rsidP="00D3322A">
      <w:pPr>
        <w:rPr>
          <w:lang w:val="de-DE"/>
        </w:rPr>
      </w:pPr>
    </w:p>
    <w:p w:rsidR="00D3322A" w:rsidRPr="00EC62E9" w:rsidRDefault="00D3322A" w:rsidP="00D3322A">
      <w:pPr>
        <w:pStyle w:val="Heading8"/>
        <w:rPr>
          <w:lang w:val="de-DE"/>
        </w:rPr>
      </w:pPr>
      <w:bookmarkStart w:id="117" w:name="_Toc396137555"/>
      <w:bookmarkStart w:id="118" w:name="_Toc398736753"/>
      <w:r w:rsidRPr="00EC62E9">
        <w:rPr>
          <w:lang w:val="de-DE"/>
        </w:rPr>
        <w:t>d)  Qualität und Vollständigkeit von Daten in der Datenbank für Pflanzensorten und Qualität der Suchwerkzeuge; Einrichtungen zum Zugang zu anderen einschlägigen Daten</w:t>
      </w:r>
      <w:bookmarkEnd w:id="117"/>
      <w:bookmarkEnd w:id="118"/>
    </w:p>
    <w:p w:rsidR="00D3322A" w:rsidRPr="00EC62E9" w:rsidRDefault="00D3322A" w:rsidP="00D3322A">
      <w:pPr>
        <w:tabs>
          <w:tab w:val="left" w:pos="210"/>
          <w:tab w:val="left" w:pos="2302"/>
        </w:tabs>
        <w:spacing w:after="120"/>
        <w:ind w:left="459" w:hanging="459"/>
        <w:jc w:val="left"/>
        <w:rPr>
          <w:sz w:val="18"/>
          <w:szCs w:val="18"/>
          <w:lang w:val="de-DE"/>
        </w:rPr>
      </w:pPr>
      <w:r w:rsidRPr="00EC62E9">
        <w:rPr>
          <w:sz w:val="18"/>
          <w:lang w:val="de-DE"/>
        </w:rPr>
        <w:t xml:space="preserve">- </w:t>
      </w:r>
      <w:r w:rsidRPr="00EC62E9">
        <w:rPr>
          <w:lang w:val="de-DE"/>
        </w:rPr>
        <w:tab/>
      </w:r>
      <w:r w:rsidRPr="00EC62E9">
        <w:rPr>
          <w:sz w:val="18"/>
          <w:szCs w:val="18"/>
          <w:lang w:val="de-DE"/>
        </w:rPr>
        <w:t>Gesamtanzahl Einträge in der PLUTO-Datenbank Ende 2013:</w:t>
      </w:r>
      <w:r w:rsidRPr="00EC62E9">
        <w:rPr>
          <w:sz w:val="18"/>
          <w:szCs w:val="18"/>
          <w:lang w:val="de-DE"/>
        </w:rPr>
        <w:br/>
        <w:t>645.068   (620.517 Ende 2012;  575.378 Ende 2011)</w:t>
      </w:r>
    </w:p>
    <w:p w:rsidR="00D3322A" w:rsidRPr="00EC62E9" w:rsidRDefault="00D3322A" w:rsidP="00D3322A">
      <w:pPr>
        <w:tabs>
          <w:tab w:val="left" w:pos="210"/>
        </w:tabs>
        <w:ind w:left="176" w:hanging="176"/>
        <w:jc w:val="left"/>
        <w:rPr>
          <w:sz w:val="18"/>
          <w:szCs w:val="18"/>
          <w:lang w:val="de-DE"/>
        </w:rPr>
      </w:pPr>
      <w:r w:rsidRPr="00EC62E9">
        <w:rPr>
          <w:sz w:val="18"/>
          <w:szCs w:val="18"/>
          <w:lang w:val="de-DE"/>
        </w:rPr>
        <w:t xml:space="preserve">- </w:t>
      </w:r>
      <w:r w:rsidRPr="00EC62E9">
        <w:rPr>
          <w:sz w:val="18"/>
          <w:szCs w:val="18"/>
          <w:lang w:val="de-DE"/>
        </w:rPr>
        <w:tab/>
        <w:t xml:space="preserve">Anzahl Beiträge von neuen Daten in den Jahren 2012 und 2013 (jeder Beitragsleistende wurde ersucht, 6 Beiträge im Jahr 2013 zu leisten):  </w:t>
      </w:r>
    </w:p>
    <w:p w:rsidR="00D3322A" w:rsidRPr="00EC62E9" w:rsidRDefault="00D3322A" w:rsidP="00D3322A">
      <w:pPr>
        <w:tabs>
          <w:tab w:val="left" w:pos="210"/>
        </w:tabs>
        <w:spacing w:after="120"/>
        <w:ind w:left="459"/>
        <w:jc w:val="left"/>
        <w:rPr>
          <w:sz w:val="18"/>
          <w:szCs w:val="18"/>
          <w:lang w:val="de-DE"/>
        </w:rPr>
      </w:pPr>
      <w:r w:rsidRPr="00EC62E9">
        <w:rPr>
          <w:sz w:val="18"/>
          <w:szCs w:val="18"/>
          <w:lang w:val="de-DE"/>
        </w:rPr>
        <w:t>163 im Jahr 2013; 167 im Jahr 2012   (164 im Jahr 2011; 161 im Jahr 2010)</w:t>
      </w:r>
    </w:p>
    <w:p w:rsidR="00D3322A" w:rsidRPr="00EC62E9" w:rsidRDefault="00D3322A" w:rsidP="00D3322A">
      <w:pPr>
        <w:tabs>
          <w:tab w:val="left" w:pos="210"/>
        </w:tabs>
        <w:spacing w:after="120"/>
        <w:ind w:left="459" w:hanging="459"/>
        <w:jc w:val="left"/>
        <w:rPr>
          <w:sz w:val="18"/>
          <w:szCs w:val="18"/>
          <w:lang w:val="de-DE"/>
        </w:rPr>
      </w:pPr>
      <w:r w:rsidRPr="00EC62E9">
        <w:rPr>
          <w:sz w:val="18"/>
          <w:szCs w:val="18"/>
          <w:lang w:val="de-DE"/>
        </w:rPr>
        <w:t xml:space="preserve">- </w:t>
      </w:r>
      <w:r w:rsidRPr="00EC62E9">
        <w:rPr>
          <w:sz w:val="18"/>
          <w:szCs w:val="18"/>
          <w:lang w:val="de-DE"/>
        </w:rPr>
        <w:tab/>
        <w:t>Anzahl Beitragsleistende zur PLUTO-Datenbank Ende 2012 und 2013:</w:t>
      </w:r>
      <w:r w:rsidRPr="00EC62E9">
        <w:rPr>
          <w:sz w:val="18"/>
          <w:szCs w:val="18"/>
          <w:lang w:val="de-DE"/>
        </w:rPr>
        <w:br/>
        <w:t>56 im Jahr 2013; 52 im Jahr 2012   (48 im Jahr 2011; 41 im Jahr 2010)</w:t>
      </w:r>
    </w:p>
    <w:p w:rsidR="00D3322A" w:rsidRPr="00EC62E9" w:rsidRDefault="00D3322A" w:rsidP="00D3322A">
      <w:pPr>
        <w:tabs>
          <w:tab w:val="left" w:pos="210"/>
          <w:tab w:val="left" w:pos="2302"/>
        </w:tabs>
        <w:spacing w:after="120"/>
        <w:ind w:left="459" w:hanging="459"/>
        <w:jc w:val="left"/>
        <w:rPr>
          <w:sz w:val="18"/>
          <w:szCs w:val="18"/>
          <w:lang w:val="de-DE"/>
        </w:rPr>
      </w:pPr>
      <w:r w:rsidRPr="00EC62E9">
        <w:rPr>
          <w:sz w:val="18"/>
          <w:szCs w:val="18"/>
          <w:lang w:val="de-DE"/>
        </w:rPr>
        <w:t xml:space="preserve">- </w:t>
      </w:r>
      <w:r w:rsidRPr="00EC62E9">
        <w:rPr>
          <w:sz w:val="18"/>
          <w:szCs w:val="18"/>
          <w:lang w:val="de-DE"/>
        </w:rPr>
        <w:tab/>
        <w:t>Anzahl Verbandsmitglieder, die 2012 und 2013 Daten beigetragen haben:</w:t>
      </w:r>
      <w:r w:rsidRPr="00EC62E9">
        <w:rPr>
          <w:sz w:val="18"/>
          <w:szCs w:val="18"/>
          <w:lang w:val="de-DE"/>
        </w:rPr>
        <w:br/>
        <w:t>45 im Jahr 2013; 45 im Jahr 2012   (41 im Jahr 2011; 41 im Jahr 2010)</w:t>
      </w:r>
    </w:p>
    <w:p w:rsidR="00D3322A" w:rsidRPr="00EC62E9" w:rsidRDefault="00D3322A" w:rsidP="00D3322A">
      <w:pPr>
        <w:tabs>
          <w:tab w:val="left" w:pos="210"/>
        </w:tabs>
        <w:spacing w:after="120"/>
        <w:ind w:left="459" w:hanging="459"/>
        <w:jc w:val="left"/>
        <w:rPr>
          <w:sz w:val="18"/>
          <w:szCs w:val="18"/>
          <w:lang w:val="de-DE"/>
        </w:rPr>
      </w:pPr>
      <w:r w:rsidRPr="00EC62E9">
        <w:rPr>
          <w:sz w:val="18"/>
          <w:szCs w:val="18"/>
          <w:lang w:val="de-DE"/>
        </w:rPr>
        <w:t xml:space="preserve">- </w:t>
      </w:r>
      <w:r w:rsidRPr="00EC62E9">
        <w:rPr>
          <w:sz w:val="18"/>
          <w:szCs w:val="18"/>
          <w:lang w:val="de-DE"/>
        </w:rPr>
        <w:tab/>
        <w:t>Anzahl Verbandsmitglieder, die 2012 und 2013 erstmals Daten beigetragen haben:</w:t>
      </w:r>
      <w:r w:rsidRPr="00EC62E9">
        <w:rPr>
          <w:sz w:val="18"/>
          <w:szCs w:val="18"/>
          <w:lang w:val="de-DE"/>
        </w:rPr>
        <w:br/>
        <w:t>4 im Jahr 2013 (GE, KE, PE, RS)   (4 im Jahr 2012;  3 im Jahr 2011;  0 im Jahr 2010)</w:t>
      </w:r>
    </w:p>
    <w:p w:rsidR="00D3322A" w:rsidRPr="00EC62E9" w:rsidRDefault="00D3322A" w:rsidP="00D3322A">
      <w:pPr>
        <w:tabs>
          <w:tab w:val="left" w:pos="210"/>
        </w:tabs>
        <w:ind w:left="450" w:hanging="450"/>
        <w:jc w:val="left"/>
        <w:rPr>
          <w:sz w:val="18"/>
          <w:szCs w:val="18"/>
          <w:lang w:val="de-DE"/>
        </w:rPr>
      </w:pPr>
      <w:r w:rsidRPr="00EC62E9">
        <w:rPr>
          <w:sz w:val="18"/>
          <w:szCs w:val="18"/>
          <w:lang w:val="de-DE"/>
        </w:rPr>
        <w:t xml:space="preserve">- </w:t>
      </w:r>
      <w:r w:rsidRPr="00EC62E9">
        <w:rPr>
          <w:sz w:val="18"/>
          <w:szCs w:val="18"/>
          <w:lang w:val="de-DE"/>
        </w:rPr>
        <w:tab/>
        <w:t xml:space="preserve">Anzahl anderer </w:t>
      </w:r>
      <w:proofErr w:type="spellStart"/>
      <w:r w:rsidRPr="00EC62E9">
        <w:rPr>
          <w:sz w:val="18"/>
          <w:szCs w:val="18"/>
          <w:lang w:val="de-DE"/>
        </w:rPr>
        <w:t>Beitragleistender</w:t>
      </w:r>
      <w:proofErr w:type="spellEnd"/>
      <w:r w:rsidRPr="00EC62E9">
        <w:rPr>
          <w:sz w:val="18"/>
          <w:szCs w:val="18"/>
          <w:lang w:val="de-DE"/>
        </w:rPr>
        <w:t xml:space="preserve"> in den Jahren 2012 und 2013:</w:t>
      </w:r>
      <w:r w:rsidRPr="00EC62E9">
        <w:rPr>
          <w:sz w:val="18"/>
          <w:szCs w:val="18"/>
          <w:lang w:val="de-DE"/>
        </w:rPr>
        <w:br/>
        <w:t>1 in den Jahren 2013 und 2012 (OECD)   (1 im Jahr 2011;  1 im Jahr 2010)</w:t>
      </w:r>
    </w:p>
    <w:p w:rsidR="00D3322A" w:rsidRPr="00EC62E9" w:rsidRDefault="00D3322A" w:rsidP="00D3322A">
      <w:pPr>
        <w:rPr>
          <w:lang w:val="de-DE"/>
        </w:rPr>
      </w:pPr>
    </w:p>
    <w:p w:rsidR="00D3322A" w:rsidRPr="00EC62E9" w:rsidRDefault="00D3322A" w:rsidP="00D3322A">
      <w:pPr>
        <w:rPr>
          <w:lang w:val="de-DE"/>
        </w:rPr>
      </w:pPr>
    </w:p>
    <w:p w:rsidR="00D3322A" w:rsidRDefault="00D3322A" w:rsidP="00D3322A">
      <w:pPr>
        <w:jc w:val="left"/>
        <w:rPr>
          <w:lang w:val="de-DE"/>
        </w:rPr>
      </w:pPr>
      <w:r w:rsidRPr="00EC62E9">
        <w:rPr>
          <w:lang w:val="de-DE"/>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5664"/>
      </w:tblGrid>
      <w:tr w:rsidR="007C02C5" w:rsidRPr="007C02C5" w:rsidTr="00E635A1">
        <w:trPr>
          <w:jc w:val="center"/>
        </w:trPr>
        <w:tc>
          <w:tcPr>
            <w:tcW w:w="798" w:type="dxa"/>
            <w:tcMar>
              <w:left w:w="0" w:type="dxa"/>
              <w:right w:w="0" w:type="dxa"/>
            </w:tcMar>
            <w:vAlign w:val="bottom"/>
          </w:tcPr>
          <w:p w:rsidR="007C02C5" w:rsidRPr="007C02C5" w:rsidRDefault="007C02C5" w:rsidP="00E635A1">
            <w:pPr>
              <w:jc w:val="right"/>
              <w:rPr>
                <w:sz w:val="18"/>
                <w:lang w:val="de-DE"/>
              </w:rPr>
            </w:pPr>
            <w:r w:rsidRPr="007C02C5">
              <w:rPr>
                <w:noProof/>
              </w:rPr>
              <w:drawing>
                <wp:inline distT="0" distB="0" distL="0" distR="0" wp14:anchorId="3C0D1488" wp14:editId="5CD97A00">
                  <wp:extent cx="392541" cy="395785"/>
                  <wp:effectExtent l="0" t="0" r="762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Logo_Pluto-def.jpg"/>
                          <pic:cNvPicPr/>
                        </pic:nvPicPr>
                        <pic:blipFill rotWithShape="1">
                          <a:blip r:embed="rId24" cstate="print">
                            <a:extLst>
                              <a:ext uri="{28A0092B-C50C-407E-A947-70E740481C1C}">
                                <a14:useLocalDpi xmlns:a14="http://schemas.microsoft.com/office/drawing/2010/main" val="0"/>
                              </a:ext>
                            </a:extLst>
                          </a:blip>
                          <a:srcRect t="12162" b="9460"/>
                          <a:stretch/>
                        </pic:blipFill>
                        <pic:spPr bwMode="auto">
                          <a:xfrm>
                            <a:off x="0" y="0"/>
                            <a:ext cx="392541" cy="395785"/>
                          </a:xfrm>
                          <a:prstGeom prst="rect">
                            <a:avLst/>
                          </a:prstGeom>
                          <a:ln>
                            <a:noFill/>
                          </a:ln>
                          <a:extLst>
                            <a:ext uri="{53640926-AAD7-44D8-BBD7-CCE9431645EC}">
                              <a14:shadowObscured xmlns:a14="http://schemas.microsoft.com/office/drawing/2010/main"/>
                            </a:ext>
                          </a:extLst>
                        </pic:spPr>
                      </pic:pic>
                    </a:graphicData>
                  </a:graphic>
                </wp:inline>
              </w:drawing>
            </w:r>
          </w:p>
        </w:tc>
        <w:tc>
          <w:tcPr>
            <w:tcW w:w="5664" w:type="dxa"/>
            <w:tcMar>
              <w:left w:w="0" w:type="dxa"/>
              <w:right w:w="0" w:type="dxa"/>
            </w:tcMar>
            <w:vAlign w:val="bottom"/>
          </w:tcPr>
          <w:p w:rsidR="007C02C5" w:rsidRPr="007C02C5" w:rsidRDefault="007C02C5" w:rsidP="00E635A1">
            <w:pPr>
              <w:pStyle w:val="Heading8"/>
              <w:spacing w:after="0"/>
              <w:outlineLvl w:val="7"/>
              <w:rPr>
                <w:lang w:val="de-DE"/>
              </w:rPr>
            </w:pPr>
            <w:bookmarkStart w:id="119" w:name="_Toc398736754"/>
            <w:r w:rsidRPr="007C02C5">
              <w:rPr>
                <w:lang w:val="de-DE"/>
              </w:rPr>
              <w:t>PLUTO-Datenbank: Besuche auf der UPOV-Website im Jahr 2013</w:t>
            </w:r>
            <w:bookmarkEnd w:id="119"/>
          </w:p>
        </w:tc>
      </w:tr>
    </w:tbl>
    <w:p w:rsidR="00D3322A" w:rsidRPr="00EC62E9" w:rsidRDefault="00D3322A" w:rsidP="00D3322A">
      <w:pPr>
        <w:rPr>
          <w:lang w:val="de-DE"/>
        </w:rPr>
      </w:pPr>
    </w:p>
    <w:tbl>
      <w:tblPr>
        <w:tblW w:w="9889" w:type="dxa"/>
        <w:tblLayout w:type="fixed"/>
        <w:tblLook w:val="0000" w:firstRow="0" w:lastRow="0" w:firstColumn="0" w:lastColumn="0" w:noHBand="0" w:noVBand="0"/>
      </w:tblPr>
      <w:tblGrid>
        <w:gridCol w:w="5058"/>
        <w:gridCol w:w="4831"/>
      </w:tblGrid>
      <w:tr w:rsidR="00D3322A" w:rsidRPr="00EC62E9" w:rsidTr="00847FAE">
        <w:trPr>
          <w:cantSplit/>
        </w:trPr>
        <w:tc>
          <w:tcPr>
            <w:tcW w:w="5058"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55"/>
              <w:gridCol w:w="1800"/>
            </w:tblGrid>
            <w:tr w:rsidR="00D3322A" w:rsidRPr="00EC62E9" w:rsidTr="00847FAE">
              <w:trPr>
                <w:trHeight w:val="148"/>
              </w:trPr>
              <w:tc>
                <w:tcPr>
                  <w:tcW w:w="2155" w:type="dxa"/>
                </w:tcPr>
                <w:p w:rsidR="00D3322A" w:rsidRPr="00EC62E9" w:rsidRDefault="00D3322A" w:rsidP="00847FAE">
                  <w:pPr>
                    <w:pStyle w:val="Default"/>
                    <w:keepNext/>
                    <w:keepLines/>
                    <w:widowControl w:val="0"/>
                    <w:ind w:firstLine="6"/>
                    <w:rPr>
                      <w:sz w:val="18"/>
                      <w:szCs w:val="18"/>
                      <w:lang w:val="de-DE"/>
                    </w:rPr>
                  </w:pPr>
                  <w:r w:rsidRPr="00EC62E9">
                    <w:rPr>
                      <w:sz w:val="18"/>
                      <w:lang w:val="de-DE"/>
                    </w:rPr>
                    <w:t xml:space="preserve">Sitzungen </w:t>
                  </w:r>
                </w:p>
              </w:tc>
              <w:tc>
                <w:tcPr>
                  <w:tcW w:w="1800" w:type="dxa"/>
                </w:tcPr>
                <w:p w:rsidR="00D3322A" w:rsidRPr="00EC62E9" w:rsidRDefault="00D3322A" w:rsidP="00847FAE">
                  <w:pPr>
                    <w:pStyle w:val="Default"/>
                    <w:keepNext/>
                    <w:keepLines/>
                    <w:widowControl w:val="0"/>
                    <w:ind w:firstLine="276"/>
                    <w:rPr>
                      <w:sz w:val="18"/>
                      <w:szCs w:val="18"/>
                      <w:lang w:val="de-DE"/>
                    </w:rPr>
                  </w:pPr>
                  <w:r w:rsidRPr="00EC62E9">
                    <w:rPr>
                      <w:sz w:val="18"/>
                      <w:lang w:val="de-DE"/>
                    </w:rPr>
                    <w:t>41.957</w:t>
                  </w:r>
                </w:p>
              </w:tc>
            </w:tr>
            <w:tr w:rsidR="00D3322A" w:rsidRPr="00EC62E9" w:rsidTr="00847FAE">
              <w:trPr>
                <w:trHeight w:val="148"/>
              </w:trPr>
              <w:tc>
                <w:tcPr>
                  <w:tcW w:w="2155" w:type="dxa"/>
                </w:tcPr>
                <w:p w:rsidR="00D3322A" w:rsidRPr="00EC62E9" w:rsidRDefault="00D3322A" w:rsidP="00847FAE">
                  <w:pPr>
                    <w:pStyle w:val="Default"/>
                    <w:keepNext/>
                    <w:keepLines/>
                    <w:widowControl w:val="0"/>
                    <w:ind w:firstLine="6"/>
                    <w:rPr>
                      <w:sz w:val="18"/>
                      <w:szCs w:val="18"/>
                      <w:lang w:val="de-DE"/>
                    </w:rPr>
                  </w:pPr>
                  <w:r w:rsidRPr="00EC62E9">
                    <w:rPr>
                      <w:sz w:val="18"/>
                      <w:lang w:val="de-DE"/>
                    </w:rPr>
                    <w:t xml:space="preserve">Nutzer </w:t>
                  </w:r>
                </w:p>
              </w:tc>
              <w:tc>
                <w:tcPr>
                  <w:tcW w:w="1800" w:type="dxa"/>
                </w:tcPr>
                <w:p w:rsidR="00D3322A" w:rsidRPr="00EC62E9" w:rsidRDefault="00D3322A" w:rsidP="00847FAE">
                  <w:pPr>
                    <w:pStyle w:val="Default"/>
                    <w:keepNext/>
                    <w:keepLines/>
                    <w:widowControl w:val="0"/>
                    <w:ind w:firstLine="276"/>
                    <w:rPr>
                      <w:sz w:val="18"/>
                      <w:szCs w:val="18"/>
                      <w:lang w:val="de-DE"/>
                    </w:rPr>
                  </w:pPr>
                  <w:r w:rsidRPr="00EC62E9">
                    <w:rPr>
                      <w:sz w:val="18"/>
                      <w:lang w:val="de-DE"/>
                    </w:rPr>
                    <w:t>12.145</w:t>
                  </w:r>
                </w:p>
              </w:tc>
            </w:tr>
            <w:tr w:rsidR="00D3322A" w:rsidRPr="00EC62E9" w:rsidTr="00847FAE">
              <w:trPr>
                <w:trHeight w:val="148"/>
              </w:trPr>
              <w:tc>
                <w:tcPr>
                  <w:tcW w:w="2155" w:type="dxa"/>
                </w:tcPr>
                <w:p w:rsidR="00D3322A" w:rsidRPr="00EC62E9" w:rsidRDefault="00D3322A" w:rsidP="00847FAE">
                  <w:pPr>
                    <w:pStyle w:val="Default"/>
                    <w:keepNext/>
                    <w:keepLines/>
                    <w:widowControl w:val="0"/>
                    <w:ind w:firstLine="6"/>
                    <w:rPr>
                      <w:sz w:val="18"/>
                      <w:szCs w:val="18"/>
                      <w:lang w:val="de-DE"/>
                    </w:rPr>
                  </w:pPr>
                  <w:r w:rsidRPr="00EC62E9">
                    <w:rPr>
                      <w:sz w:val="18"/>
                      <w:lang w:val="de-DE"/>
                    </w:rPr>
                    <w:t xml:space="preserve">Seitenaufrufe </w:t>
                  </w:r>
                </w:p>
              </w:tc>
              <w:tc>
                <w:tcPr>
                  <w:tcW w:w="1800" w:type="dxa"/>
                </w:tcPr>
                <w:p w:rsidR="00D3322A" w:rsidRPr="00EC62E9" w:rsidRDefault="00D3322A" w:rsidP="00847FAE">
                  <w:pPr>
                    <w:pStyle w:val="Default"/>
                    <w:keepNext/>
                    <w:keepLines/>
                    <w:widowControl w:val="0"/>
                    <w:ind w:firstLine="276"/>
                    <w:rPr>
                      <w:sz w:val="18"/>
                      <w:szCs w:val="18"/>
                      <w:lang w:val="de-DE"/>
                    </w:rPr>
                  </w:pPr>
                  <w:r w:rsidRPr="00EC62E9">
                    <w:rPr>
                      <w:sz w:val="18"/>
                      <w:lang w:val="de-DE"/>
                    </w:rPr>
                    <w:t>70.739</w:t>
                  </w:r>
                </w:p>
              </w:tc>
            </w:tr>
            <w:tr w:rsidR="00D3322A" w:rsidRPr="00EC62E9" w:rsidTr="00847FAE">
              <w:trPr>
                <w:trHeight w:val="148"/>
              </w:trPr>
              <w:tc>
                <w:tcPr>
                  <w:tcW w:w="2155" w:type="dxa"/>
                </w:tcPr>
                <w:p w:rsidR="00D3322A" w:rsidRPr="00EC62E9" w:rsidRDefault="00D3322A" w:rsidP="00847FAE">
                  <w:pPr>
                    <w:pStyle w:val="Default"/>
                    <w:keepNext/>
                    <w:keepLines/>
                    <w:widowControl w:val="0"/>
                    <w:ind w:firstLine="6"/>
                    <w:rPr>
                      <w:sz w:val="18"/>
                      <w:szCs w:val="18"/>
                      <w:lang w:val="de-DE"/>
                    </w:rPr>
                  </w:pPr>
                  <w:r w:rsidRPr="00EC62E9">
                    <w:rPr>
                      <w:sz w:val="18"/>
                      <w:lang w:val="de-DE"/>
                    </w:rPr>
                    <w:t xml:space="preserve">Neue Besucher </w:t>
                  </w:r>
                </w:p>
              </w:tc>
              <w:tc>
                <w:tcPr>
                  <w:tcW w:w="1800" w:type="dxa"/>
                </w:tcPr>
                <w:p w:rsidR="00D3322A" w:rsidRPr="00EC62E9" w:rsidRDefault="00D3322A" w:rsidP="00847FAE">
                  <w:pPr>
                    <w:pStyle w:val="Default"/>
                    <w:keepNext/>
                    <w:keepLines/>
                    <w:widowControl w:val="0"/>
                    <w:ind w:firstLine="276"/>
                    <w:rPr>
                      <w:sz w:val="18"/>
                      <w:szCs w:val="18"/>
                      <w:lang w:val="de-DE"/>
                    </w:rPr>
                  </w:pPr>
                  <w:r w:rsidRPr="00EC62E9">
                    <w:rPr>
                      <w:sz w:val="18"/>
                      <w:lang w:val="de-DE"/>
                    </w:rPr>
                    <w:t xml:space="preserve"> 27,4%</w:t>
                  </w:r>
                </w:p>
              </w:tc>
            </w:tr>
            <w:tr w:rsidR="00D3322A" w:rsidRPr="00EC62E9" w:rsidTr="00847FAE">
              <w:trPr>
                <w:trHeight w:val="148"/>
              </w:trPr>
              <w:tc>
                <w:tcPr>
                  <w:tcW w:w="2155" w:type="dxa"/>
                </w:tcPr>
                <w:p w:rsidR="00D3322A" w:rsidRPr="00EC62E9" w:rsidRDefault="00D3322A" w:rsidP="00847FAE">
                  <w:pPr>
                    <w:keepNext/>
                    <w:keepLines/>
                    <w:widowControl w:val="0"/>
                    <w:ind w:firstLine="6"/>
                    <w:jc w:val="left"/>
                    <w:rPr>
                      <w:sz w:val="18"/>
                      <w:szCs w:val="18"/>
                      <w:lang w:val="de-DE"/>
                    </w:rPr>
                  </w:pPr>
                  <w:r w:rsidRPr="00EC62E9">
                    <w:rPr>
                      <w:sz w:val="18"/>
                      <w:lang w:val="de-DE"/>
                    </w:rPr>
                    <w:t xml:space="preserve">Wiederkehrende Besucher </w:t>
                  </w:r>
                </w:p>
              </w:tc>
              <w:tc>
                <w:tcPr>
                  <w:tcW w:w="1800" w:type="dxa"/>
                </w:tcPr>
                <w:p w:rsidR="00D3322A" w:rsidRPr="00EC62E9" w:rsidRDefault="00D3322A" w:rsidP="00847FAE">
                  <w:pPr>
                    <w:keepNext/>
                    <w:keepLines/>
                    <w:widowControl w:val="0"/>
                    <w:ind w:firstLine="276"/>
                    <w:jc w:val="left"/>
                    <w:rPr>
                      <w:sz w:val="18"/>
                      <w:szCs w:val="18"/>
                      <w:lang w:val="de-DE"/>
                    </w:rPr>
                  </w:pPr>
                  <w:r w:rsidRPr="00EC62E9">
                    <w:rPr>
                      <w:sz w:val="18"/>
                      <w:lang w:val="de-DE"/>
                    </w:rPr>
                    <w:t xml:space="preserve"> 72,6%</w:t>
                  </w:r>
                </w:p>
              </w:tc>
            </w:tr>
          </w:tbl>
          <w:p w:rsidR="00D3322A" w:rsidRPr="00EC62E9" w:rsidRDefault="00D3322A" w:rsidP="00847FAE">
            <w:pPr>
              <w:keepNext/>
              <w:keepLines/>
              <w:widowControl w:val="0"/>
              <w:ind w:firstLine="659"/>
              <w:rPr>
                <w:noProof/>
                <w:lang w:val="de-DE"/>
              </w:rPr>
            </w:pPr>
          </w:p>
        </w:tc>
        <w:tc>
          <w:tcPr>
            <w:tcW w:w="4831" w:type="dxa"/>
            <w:shd w:val="clear" w:color="auto" w:fill="auto"/>
          </w:tcPr>
          <w:tbl>
            <w:tblPr>
              <w:tblW w:w="4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308"/>
              <w:gridCol w:w="1752"/>
            </w:tblGrid>
            <w:tr w:rsidR="00D3322A" w:rsidRPr="00EC62E9" w:rsidTr="0043408C">
              <w:trPr>
                <w:trHeight w:val="143"/>
              </w:trPr>
              <w:tc>
                <w:tcPr>
                  <w:tcW w:w="1284"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Sprache </w:t>
                  </w:r>
                </w:p>
              </w:tc>
              <w:tc>
                <w:tcPr>
                  <w:tcW w:w="1308"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Seitenaufrufe </w:t>
                  </w:r>
                </w:p>
              </w:tc>
              <w:tc>
                <w:tcPr>
                  <w:tcW w:w="1752" w:type="dxa"/>
                </w:tcPr>
                <w:p w:rsidR="00D3322A" w:rsidRPr="00EC62E9" w:rsidRDefault="00D3322A" w:rsidP="003916F9">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Einzelseitenaufrufe </w:t>
                  </w:r>
                </w:p>
              </w:tc>
            </w:tr>
            <w:tr w:rsidR="00D3322A" w:rsidRPr="00EC62E9" w:rsidTr="003916F9">
              <w:trPr>
                <w:trHeight w:val="148"/>
              </w:trPr>
              <w:tc>
                <w:tcPr>
                  <w:tcW w:w="1284"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Englisch </w:t>
                  </w:r>
                </w:p>
              </w:tc>
              <w:tc>
                <w:tcPr>
                  <w:tcW w:w="1308" w:type="dxa"/>
                </w:tcPr>
                <w:p w:rsidR="00D3322A" w:rsidRPr="00EC62E9" w:rsidRDefault="00D3322A" w:rsidP="00847FAE">
                  <w:pPr>
                    <w:pStyle w:val="Default"/>
                    <w:keepNext/>
                    <w:keepLines/>
                    <w:widowControl w:val="0"/>
                    <w:ind w:right="209"/>
                    <w:jc w:val="right"/>
                    <w:rPr>
                      <w:sz w:val="18"/>
                      <w:szCs w:val="18"/>
                      <w:lang w:val="de-DE"/>
                    </w:rPr>
                  </w:pPr>
                  <w:r w:rsidRPr="00EC62E9">
                    <w:rPr>
                      <w:sz w:val="18"/>
                      <w:lang w:val="de-DE"/>
                    </w:rPr>
                    <w:t>41.058</w:t>
                  </w:r>
                </w:p>
              </w:tc>
              <w:tc>
                <w:tcPr>
                  <w:tcW w:w="1752" w:type="dxa"/>
                </w:tcPr>
                <w:p w:rsidR="00D3322A" w:rsidRPr="00EC62E9" w:rsidRDefault="00D3322A" w:rsidP="00847FAE">
                  <w:pPr>
                    <w:pStyle w:val="Default"/>
                    <w:keepNext/>
                    <w:keepLines/>
                    <w:widowControl w:val="0"/>
                    <w:tabs>
                      <w:tab w:val="decimal" w:pos="1057"/>
                    </w:tabs>
                    <w:rPr>
                      <w:sz w:val="18"/>
                      <w:szCs w:val="18"/>
                      <w:lang w:val="de-DE"/>
                    </w:rPr>
                  </w:pPr>
                  <w:r w:rsidRPr="00EC62E9">
                    <w:rPr>
                      <w:sz w:val="18"/>
                      <w:lang w:val="de-DE"/>
                    </w:rPr>
                    <w:t>25.785</w:t>
                  </w:r>
                </w:p>
              </w:tc>
            </w:tr>
            <w:tr w:rsidR="00D3322A" w:rsidRPr="00EC62E9" w:rsidTr="003916F9">
              <w:trPr>
                <w:trHeight w:val="142"/>
              </w:trPr>
              <w:tc>
                <w:tcPr>
                  <w:tcW w:w="1284"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Spanisch </w:t>
                  </w:r>
                </w:p>
              </w:tc>
              <w:tc>
                <w:tcPr>
                  <w:tcW w:w="1308" w:type="dxa"/>
                </w:tcPr>
                <w:p w:rsidR="00D3322A" w:rsidRPr="00EC62E9" w:rsidRDefault="00D3322A" w:rsidP="00847FAE">
                  <w:pPr>
                    <w:pStyle w:val="Default"/>
                    <w:keepNext/>
                    <w:keepLines/>
                    <w:widowControl w:val="0"/>
                    <w:ind w:right="209"/>
                    <w:jc w:val="right"/>
                    <w:rPr>
                      <w:sz w:val="18"/>
                      <w:szCs w:val="18"/>
                      <w:lang w:val="de-DE"/>
                    </w:rPr>
                  </w:pPr>
                  <w:r w:rsidRPr="00EC62E9">
                    <w:rPr>
                      <w:sz w:val="18"/>
                      <w:lang w:val="de-DE"/>
                    </w:rPr>
                    <w:t>3.528</w:t>
                  </w:r>
                </w:p>
              </w:tc>
              <w:tc>
                <w:tcPr>
                  <w:tcW w:w="1752" w:type="dxa"/>
                </w:tcPr>
                <w:p w:rsidR="00D3322A" w:rsidRPr="00EC62E9" w:rsidRDefault="00D3322A" w:rsidP="00847FAE">
                  <w:pPr>
                    <w:pStyle w:val="Default"/>
                    <w:keepNext/>
                    <w:keepLines/>
                    <w:widowControl w:val="0"/>
                    <w:tabs>
                      <w:tab w:val="decimal" w:pos="1057"/>
                    </w:tabs>
                    <w:rPr>
                      <w:sz w:val="18"/>
                      <w:szCs w:val="18"/>
                      <w:lang w:val="de-DE"/>
                    </w:rPr>
                  </w:pPr>
                  <w:r w:rsidRPr="00EC62E9">
                    <w:rPr>
                      <w:sz w:val="18"/>
                      <w:lang w:val="de-DE"/>
                    </w:rPr>
                    <w:t>2.045</w:t>
                  </w:r>
                </w:p>
              </w:tc>
            </w:tr>
            <w:tr w:rsidR="00D3322A" w:rsidRPr="00EC62E9" w:rsidTr="003916F9">
              <w:trPr>
                <w:trHeight w:val="148"/>
              </w:trPr>
              <w:tc>
                <w:tcPr>
                  <w:tcW w:w="1284"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Französisch </w:t>
                  </w:r>
                </w:p>
              </w:tc>
              <w:tc>
                <w:tcPr>
                  <w:tcW w:w="1308" w:type="dxa"/>
                </w:tcPr>
                <w:p w:rsidR="00D3322A" w:rsidRPr="00EC62E9" w:rsidRDefault="00D3322A" w:rsidP="00847FAE">
                  <w:pPr>
                    <w:pStyle w:val="Default"/>
                    <w:keepNext/>
                    <w:keepLines/>
                    <w:widowControl w:val="0"/>
                    <w:ind w:right="209"/>
                    <w:jc w:val="right"/>
                    <w:rPr>
                      <w:sz w:val="18"/>
                      <w:szCs w:val="18"/>
                      <w:lang w:val="de-DE"/>
                    </w:rPr>
                  </w:pPr>
                  <w:r w:rsidRPr="00EC62E9">
                    <w:rPr>
                      <w:sz w:val="18"/>
                      <w:lang w:val="de-DE"/>
                    </w:rPr>
                    <w:t>3.850</w:t>
                  </w:r>
                </w:p>
              </w:tc>
              <w:tc>
                <w:tcPr>
                  <w:tcW w:w="1752" w:type="dxa"/>
                </w:tcPr>
                <w:p w:rsidR="00D3322A" w:rsidRPr="00EC62E9" w:rsidRDefault="00D3322A" w:rsidP="00847FAE">
                  <w:pPr>
                    <w:pStyle w:val="Default"/>
                    <w:keepNext/>
                    <w:keepLines/>
                    <w:widowControl w:val="0"/>
                    <w:tabs>
                      <w:tab w:val="decimal" w:pos="1057"/>
                    </w:tabs>
                    <w:rPr>
                      <w:sz w:val="18"/>
                      <w:szCs w:val="18"/>
                      <w:lang w:val="de-DE"/>
                    </w:rPr>
                  </w:pPr>
                  <w:r w:rsidRPr="00EC62E9">
                    <w:rPr>
                      <w:sz w:val="18"/>
                      <w:lang w:val="de-DE"/>
                    </w:rPr>
                    <w:t>2.525</w:t>
                  </w:r>
                </w:p>
              </w:tc>
            </w:tr>
            <w:tr w:rsidR="00D3322A" w:rsidRPr="00EC62E9" w:rsidTr="003916F9">
              <w:trPr>
                <w:trHeight w:val="142"/>
              </w:trPr>
              <w:tc>
                <w:tcPr>
                  <w:tcW w:w="1284" w:type="dxa"/>
                </w:tcPr>
                <w:p w:rsidR="00D3322A" w:rsidRPr="00EC62E9" w:rsidRDefault="00D3322A" w:rsidP="00847FAE">
                  <w:pPr>
                    <w:keepNext/>
                    <w:keepLines/>
                    <w:widowControl w:val="0"/>
                    <w:autoSpaceDE w:val="0"/>
                    <w:autoSpaceDN w:val="0"/>
                    <w:adjustRightInd w:val="0"/>
                    <w:jc w:val="left"/>
                    <w:rPr>
                      <w:rFonts w:cs="Arial"/>
                      <w:color w:val="000000"/>
                      <w:sz w:val="18"/>
                      <w:szCs w:val="22"/>
                      <w:lang w:val="de-DE"/>
                    </w:rPr>
                  </w:pPr>
                  <w:r w:rsidRPr="00EC62E9">
                    <w:rPr>
                      <w:color w:val="000000"/>
                      <w:sz w:val="18"/>
                      <w:lang w:val="de-DE"/>
                    </w:rPr>
                    <w:t xml:space="preserve">Deutsch </w:t>
                  </w:r>
                </w:p>
              </w:tc>
              <w:tc>
                <w:tcPr>
                  <w:tcW w:w="1308" w:type="dxa"/>
                </w:tcPr>
                <w:p w:rsidR="00D3322A" w:rsidRPr="00EC62E9" w:rsidRDefault="00D3322A" w:rsidP="00847FAE">
                  <w:pPr>
                    <w:pStyle w:val="Default"/>
                    <w:keepNext/>
                    <w:keepLines/>
                    <w:widowControl w:val="0"/>
                    <w:ind w:right="209"/>
                    <w:jc w:val="right"/>
                    <w:rPr>
                      <w:sz w:val="18"/>
                      <w:szCs w:val="18"/>
                      <w:lang w:val="de-DE"/>
                    </w:rPr>
                  </w:pPr>
                  <w:r w:rsidRPr="00EC62E9">
                    <w:rPr>
                      <w:sz w:val="18"/>
                      <w:lang w:val="de-DE"/>
                    </w:rPr>
                    <w:t>971</w:t>
                  </w:r>
                </w:p>
              </w:tc>
              <w:tc>
                <w:tcPr>
                  <w:tcW w:w="1752" w:type="dxa"/>
                </w:tcPr>
                <w:p w:rsidR="00D3322A" w:rsidRPr="00EC62E9" w:rsidRDefault="00D3322A" w:rsidP="00847FAE">
                  <w:pPr>
                    <w:pStyle w:val="Default"/>
                    <w:keepNext/>
                    <w:keepLines/>
                    <w:widowControl w:val="0"/>
                    <w:tabs>
                      <w:tab w:val="decimal" w:pos="1057"/>
                    </w:tabs>
                    <w:rPr>
                      <w:sz w:val="18"/>
                      <w:szCs w:val="18"/>
                      <w:lang w:val="de-DE"/>
                    </w:rPr>
                  </w:pPr>
                  <w:r w:rsidRPr="00EC62E9">
                    <w:rPr>
                      <w:sz w:val="18"/>
                      <w:lang w:val="de-DE"/>
                    </w:rPr>
                    <w:t>603</w:t>
                  </w:r>
                </w:p>
              </w:tc>
            </w:tr>
          </w:tbl>
          <w:p w:rsidR="00D3322A" w:rsidRPr="00EC62E9" w:rsidRDefault="00D3322A" w:rsidP="00847FAE">
            <w:pPr>
              <w:keepNext/>
              <w:keepLines/>
              <w:widowControl w:val="0"/>
              <w:ind w:hanging="18"/>
              <w:rPr>
                <w:noProof/>
                <w:lang w:val="de-DE"/>
              </w:rPr>
            </w:pPr>
          </w:p>
        </w:tc>
      </w:tr>
    </w:tbl>
    <w:p w:rsidR="00D3322A" w:rsidRPr="00EC62E9" w:rsidRDefault="00D3322A" w:rsidP="00D3322A">
      <w:pPr>
        <w:rPr>
          <w:lang w:val="de-DE"/>
        </w:rPr>
      </w:pPr>
    </w:p>
    <w:p w:rsidR="00D3322A" w:rsidRPr="00EC62E9" w:rsidRDefault="00D3322A" w:rsidP="00B63C72">
      <w:pPr>
        <w:widowControl w:val="0"/>
        <w:jc w:val="center"/>
        <w:rPr>
          <w:rFonts w:eastAsiaTheme="minorEastAsia"/>
          <w:bCs/>
          <w:sz w:val="18"/>
          <w:szCs w:val="22"/>
          <w:lang w:val="de-DE"/>
        </w:rPr>
      </w:pPr>
      <w:r w:rsidRPr="00EC62E9">
        <w:rPr>
          <w:rFonts w:eastAsiaTheme="minorEastAsia"/>
          <w:sz w:val="18"/>
          <w:lang w:val="de-DE"/>
        </w:rPr>
        <w:t>Die 10 Länder, die die PLUTO-Datenbank im Jahr 2013 am häufigsten besucht haben</w:t>
      </w:r>
    </w:p>
    <w:p w:rsidR="00D3322A" w:rsidRPr="00EC62E9" w:rsidRDefault="00D3322A" w:rsidP="00B63C72">
      <w:pPr>
        <w:widowControl w:val="0"/>
        <w:jc w:val="center"/>
        <w:rPr>
          <w:rFonts w:eastAsiaTheme="minorEastAsia"/>
          <w:b/>
          <w:bCs/>
          <w:sz w:val="18"/>
          <w:szCs w:val="22"/>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18"/>
        <w:gridCol w:w="1681"/>
        <w:gridCol w:w="1858"/>
        <w:gridCol w:w="1681"/>
      </w:tblGrid>
      <w:tr w:rsidR="00D3322A" w:rsidRPr="00EC62E9" w:rsidTr="00B63C72">
        <w:trPr>
          <w:trHeight w:val="143"/>
          <w:jc w:val="center"/>
        </w:trPr>
        <w:tc>
          <w:tcPr>
            <w:tcW w:w="2018"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Land / Hoheitsgebiet </w:t>
            </w:r>
          </w:p>
        </w:tc>
        <w:tc>
          <w:tcPr>
            <w:tcW w:w="1681"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Sitzungen </w:t>
            </w:r>
          </w:p>
        </w:tc>
        <w:tc>
          <w:tcPr>
            <w:tcW w:w="1858"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 Neue Sitzungen </w:t>
            </w:r>
          </w:p>
        </w:tc>
        <w:tc>
          <w:tcPr>
            <w:tcW w:w="1681" w:type="dxa"/>
          </w:tcPr>
          <w:p w:rsidR="00D3322A" w:rsidRPr="00EC62E9" w:rsidRDefault="00D3322A" w:rsidP="003916F9">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Neue Nutzer </w:t>
            </w:r>
          </w:p>
        </w:tc>
      </w:tr>
      <w:tr w:rsidR="00D3322A" w:rsidRPr="00EC62E9" w:rsidTr="00B63C72">
        <w:trPr>
          <w:trHeight w:val="148"/>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Frankreich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4.225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29,35%</w:t>
            </w:r>
          </w:p>
        </w:tc>
        <w:tc>
          <w:tcPr>
            <w:tcW w:w="1681" w:type="dxa"/>
          </w:tcPr>
          <w:p w:rsidR="00D3322A" w:rsidRPr="00EC62E9" w:rsidRDefault="00D3322A" w:rsidP="00847FAE">
            <w:pPr>
              <w:pStyle w:val="Default"/>
              <w:widowControl w:val="0"/>
              <w:ind w:right="321"/>
              <w:jc w:val="right"/>
              <w:rPr>
                <w:sz w:val="18"/>
                <w:szCs w:val="18"/>
                <w:lang w:val="de-DE"/>
              </w:rPr>
            </w:pPr>
            <w:r w:rsidRPr="00EC62E9">
              <w:rPr>
                <w:sz w:val="18"/>
                <w:lang w:val="de-DE"/>
              </w:rPr>
              <w:t xml:space="preserve">1.240 </w:t>
            </w:r>
          </w:p>
        </w:tc>
      </w:tr>
      <w:tr w:rsidR="00D3322A" w:rsidRPr="00EC62E9" w:rsidTr="00B63C72">
        <w:trPr>
          <w:trHeight w:val="142"/>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Vereinigte Staaten</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4.054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23,36%</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947 </w:t>
            </w:r>
          </w:p>
        </w:tc>
      </w:tr>
      <w:tr w:rsidR="00D3322A" w:rsidRPr="00EC62E9" w:rsidTr="00B63C72">
        <w:trPr>
          <w:trHeight w:val="148"/>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Niederlande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3.613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21,87%</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790 </w:t>
            </w:r>
          </w:p>
        </w:tc>
      </w:tr>
      <w:tr w:rsidR="00D3322A" w:rsidRPr="00EC62E9" w:rsidTr="00B63C72">
        <w:trPr>
          <w:trHeight w:val="142"/>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Australien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2.513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12,06%</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303 </w:t>
            </w:r>
          </w:p>
        </w:tc>
      </w:tr>
      <w:tr w:rsidR="00D3322A" w:rsidRPr="00EC62E9" w:rsidTr="00B63C72">
        <w:trPr>
          <w:trHeight w:val="148"/>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Brasilien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2.359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33,36%</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787 </w:t>
            </w:r>
          </w:p>
        </w:tc>
      </w:tr>
      <w:tr w:rsidR="00D3322A" w:rsidRPr="00EC62E9" w:rsidTr="00B63C72">
        <w:trPr>
          <w:trHeight w:val="142"/>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Ukraine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2.180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13,12%</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286 </w:t>
            </w:r>
          </w:p>
        </w:tc>
      </w:tr>
      <w:tr w:rsidR="00D3322A" w:rsidRPr="00EC62E9" w:rsidTr="00B63C72">
        <w:trPr>
          <w:trHeight w:val="148"/>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Russland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1.583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15,41%</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244 </w:t>
            </w:r>
          </w:p>
        </w:tc>
      </w:tr>
      <w:tr w:rsidR="00D3322A" w:rsidRPr="00EC62E9" w:rsidTr="00B63C72">
        <w:trPr>
          <w:trHeight w:val="142"/>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Deutschland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1.579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34,07%</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538 </w:t>
            </w:r>
          </w:p>
        </w:tc>
      </w:tr>
      <w:tr w:rsidR="00D3322A" w:rsidRPr="00EC62E9" w:rsidTr="00B63C72">
        <w:trPr>
          <w:trHeight w:val="148"/>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Japan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1.506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27,56%</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415 </w:t>
            </w:r>
          </w:p>
        </w:tc>
      </w:tr>
      <w:tr w:rsidR="00D3322A" w:rsidRPr="00EC62E9" w:rsidTr="00B63C72">
        <w:trPr>
          <w:trHeight w:val="142"/>
          <w:jc w:val="center"/>
        </w:trPr>
        <w:tc>
          <w:tcPr>
            <w:tcW w:w="2018" w:type="dxa"/>
          </w:tcPr>
          <w:p w:rsidR="00D3322A" w:rsidRPr="00EC62E9" w:rsidRDefault="00D3322A" w:rsidP="00847FAE">
            <w:pPr>
              <w:pStyle w:val="Default"/>
              <w:widowControl w:val="0"/>
              <w:rPr>
                <w:sz w:val="18"/>
                <w:szCs w:val="18"/>
                <w:lang w:val="de-DE"/>
              </w:rPr>
            </w:pPr>
            <w:r w:rsidRPr="00EC62E9">
              <w:rPr>
                <w:sz w:val="18"/>
                <w:lang w:val="de-DE"/>
              </w:rPr>
              <w:t xml:space="preserve">Schweiz </w:t>
            </w:r>
          </w:p>
        </w:tc>
        <w:tc>
          <w:tcPr>
            <w:tcW w:w="1681" w:type="dxa"/>
          </w:tcPr>
          <w:p w:rsidR="00D3322A" w:rsidRPr="00EC62E9" w:rsidRDefault="00D3322A" w:rsidP="00847FAE">
            <w:pPr>
              <w:pStyle w:val="Default"/>
              <w:widowControl w:val="0"/>
              <w:tabs>
                <w:tab w:val="decimal" w:pos="1025"/>
              </w:tabs>
              <w:rPr>
                <w:sz w:val="18"/>
                <w:szCs w:val="18"/>
                <w:lang w:val="de-DE"/>
              </w:rPr>
            </w:pPr>
            <w:r w:rsidRPr="00EC62E9">
              <w:rPr>
                <w:sz w:val="18"/>
                <w:lang w:val="de-DE"/>
              </w:rPr>
              <w:t xml:space="preserve">1.338 </w:t>
            </w:r>
          </w:p>
        </w:tc>
        <w:tc>
          <w:tcPr>
            <w:tcW w:w="1858" w:type="dxa"/>
          </w:tcPr>
          <w:p w:rsidR="00D3322A" w:rsidRPr="00EC62E9" w:rsidRDefault="00D3322A" w:rsidP="00847FAE">
            <w:pPr>
              <w:pStyle w:val="Default"/>
              <w:widowControl w:val="0"/>
              <w:jc w:val="center"/>
              <w:rPr>
                <w:sz w:val="18"/>
                <w:szCs w:val="18"/>
                <w:lang w:val="de-DE"/>
              </w:rPr>
            </w:pPr>
            <w:r w:rsidRPr="00EC62E9">
              <w:rPr>
                <w:sz w:val="18"/>
                <w:lang w:val="de-DE"/>
              </w:rPr>
              <w:t>22,94%</w:t>
            </w:r>
          </w:p>
        </w:tc>
        <w:tc>
          <w:tcPr>
            <w:tcW w:w="1681" w:type="dxa"/>
          </w:tcPr>
          <w:p w:rsidR="00D3322A" w:rsidRPr="00EC62E9" w:rsidRDefault="00D3322A" w:rsidP="00847FAE">
            <w:pPr>
              <w:pStyle w:val="Default"/>
              <w:widowControl w:val="0"/>
              <w:tabs>
                <w:tab w:val="decimal" w:pos="1133"/>
              </w:tabs>
              <w:ind w:right="321"/>
              <w:jc w:val="right"/>
              <w:rPr>
                <w:sz w:val="18"/>
                <w:szCs w:val="18"/>
                <w:lang w:val="de-DE"/>
              </w:rPr>
            </w:pPr>
            <w:r w:rsidRPr="00EC62E9">
              <w:rPr>
                <w:sz w:val="18"/>
                <w:lang w:val="de-DE"/>
              </w:rPr>
              <w:t xml:space="preserve">307 </w:t>
            </w:r>
          </w:p>
        </w:tc>
      </w:tr>
    </w:tbl>
    <w:p w:rsidR="00D3322A" w:rsidRPr="00EC62E9" w:rsidRDefault="00D3322A" w:rsidP="00B63C72">
      <w:pPr>
        <w:widowControl w:val="0"/>
        <w:jc w:val="center"/>
        <w:rPr>
          <w:rFonts w:eastAsiaTheme="minorEastAsia"/>
          <w:b/>
          <w:bCs/>
          <w:sz w:val="18"/>
          <w:szCs w:val="22"/>
          <w:lang w:val="de-DE"/>
        </w:rPr>
      </w:pPr>
    </w:p>
    <w:p w:rsidR="00D3322A" w:rsidRPr="00EC62E9" w:rsidRDefault="00D3322A" w:rsidP="00B63C72">
      <w:pPr>
        <w:widowControl w:val="0"/>
        <w:jc w:val="center"/>
        <w:rPr>
          <w:rFonts w:eastAsiaTheme="minorEastAsia"/>
          <w:bCs/>
          <w:sz w:val="18"/>
          <w:szCs w:val="22"/>
          <w:lang w:val="de-DE"/>
        </w:rPr>
      </w:pPr>
      <w:r w:rsidRPr="00EC62E9">
        <w:rPr>
          <w:rFonts w:eastAsiaTheme="minorEastAsia"/>
          <w:sz w:val="18"/>
          <w:lang w:val="de-DE"/>
        </w:rPr>
        <w:t>Entwicklung der Besuche</w:t>
      </w:r>
    </w:p>
    <w:p w:rsidR="00D3322A" w:rsidRPr="00EC62E9" w:rsidRDefault="00D3322A" w:rsidP="00B63C72">
      <w:pPr>
        <w:widowControl w:val="0"/>
        <w:jc w:val="center"/>
        <w:rPr>
          <w:rFonts w:eastAsiaTheme="minorEastAsia"/>
          <w:sz w:val="14"/>
          <w:szCs w:val="18"/>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710"/>
        <w:gridCol w:w="1985"/>
      </w:tblGrid>
      <w:tr w:rsidR="00D3322A" w:rsidRPr="00EC62E9" w:rsidTr="00B63C72">
        <w:trPr>
          <w:trHeight w:val="143"/>
          <w:jc w:val="center"/>
        </w:trPr>
        <w:tc>
          <w:tcPr>
            <w:tcW w:w="1644" w:type="dxa"/>
          </w:tcPr>
          <w:p w:rsidR="00D3322A" w:rsidRPr="00EC62E9" w:rsidRDefault="00D3322A" w:rsidP="00847FAE">
            <w:pPr>
              <w:widowControl w:val="0"/>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 xml:space="preserve">Jahr </w:t>
            </w:r>
          </w:p>
        </w:tc>
        <w:tc>
          <w:tcPr>
            <w:tcW w:w="1710" w:type="dxa"/>
          </w:tcPr>
          <w:p w:rsidR="00D3322A" w:rsidRPr="00EC62E9" w:rsidRDefault="00D3322A" w:rsidP="00847FAE">
            <w:pPr>
              <w:widowControl w:val="0"/>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Seitenaufrufe</w:t>
            </w:r>
          </w:p>
        </w:tc>
        <w:tc>
          <w:tcPr>
            <w:tcW w:w="1985" w:type="dxa"/>
          </w:tcPr>
          <w:p w:rsidR="00D3322A" w:rsidRPr="00EC62E9" w:rsidRDefault="00D3322A" w:rsidP="003916F9">
            <w:pPr>
              <w:widowControl w:val="0"/>
              <w:autoSpaceDE w:val="0"/>
              <w:autoSpaceDN w:val="0"/>
              <w:adjustRightInd w:val="0"/>
              <w:jc w:val="left"/>
              <w:rPr>
                <w:rFonts w:eastAsiaTheme="minorEastAsia" w:cs="Arial"/>
                <w:color w:val="000000"/>
                <w:sz w:val="18"/>
                <w:szCs w:val="22"/>
                <w:lang w:val="de-DE"/>
              </w:rPr>
            </w:pPr>
            <w:r w:rsidRPr="00EC62E9">
              <w:rPr>
                <w:rFonts w:eastAsiaTheme="minorEastAsia"/>
                <w:color w:val="000000"/>
                <w:sz w:val="18"/>
                <w:lang w:val="de-DE"/>
              </w:rPr>
              <w:t>Einzelseitenaufrufe</w:t>
            </w:r>
          </w:p>
        </w:tc>
      </w:tr>
      <w:tr w:rsidR="00D3322A" w:rsidRPr="00EC62E9" w:rsidTr="00B63C72">
        <w:trPr>
          <w:trHeight w:val="148"/>
          <w:jc w:val="center"/>
        </w:trPr>
        <w:tc>
          <w:tcPr>
            <w:tcW w:w="1644"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2013 </w:t>
            </w:r>
          </w:p>
        </w:tc>
        <w:tc>
          <w:tcPr>
            <w:tcW w:w="1710" w:type="dxa"/>
          </w:tcPr>
          <w:p w:rsidR="00D3322A" w:rsidRPr="00EC62E9" w:rsidRDefault="00D3322A" w:rsidP="00847FAE">
            <w:pPr>
              <w:widowControl w:val="0"/>
              <w:tabs>
                <w:tab w:val="decimal" w:pos="874"/>
              </w:tabs>
              <w:autoSpaceDE w:val="0"/>
              <w:autoSpaceDN w:val="0"/>
              <w:adjustRightInd w:val="0"/>
              <w:jc w:val="left"/>
              <w:rPr>
                <w:rFonts w:cs="Arial"/>
                <w:color w:val="000000"/>
                <w:sz w:val="18"/>
                <w:szCs w:val="18"/>
                <w:lang w:val="de-DE"/>
              </w:rPr>
            </w:pPr>
            <w:r w:rsidRPr="00EC62E9">
              <w:rPr>
                <w:color w:val="000000"/>
                <w:sz w:val="18"/>
                <w:lang w:val="de-DE"/>
              </w:rPr>
              <w:t xml:space="preserve">70.739 </w:t>
            </w:r>
          </w:p>
        </w:tc>
        <w:tc>
          <w:tcPr>
            <w:tcW w:w="1985" w:type="dxa"/>
          </w:tcPr>
          <w:p w:rsidR="00D3322A" w:rsidRPr="00EC62E9" w:rsidRDefault="00D3322A" w:rsidP="00847FAE">
            <w:pPr>
              <w:widowControl w:val="0"/>
              <w:tabs>
                <w:tab w:val="decimal" w:pos="1057"/>
              </w:tabs>
              <w:autoSpaceDE w:val="0"/>
              <w:autoSpaceDN w:val="0"/>
              <w:adjustRightInd w:val="0"/>
              <w:jc w:val="left"/>
              <w:rPr>
                <w:rFonts w:cs="Arial"/>
                <w:color w:val="000000"/>
                <w:sz w:val="18"/>
                <w:szCs w:val="18"/>
                <w:lang w:val="de-DE"/>
              </w:rPr>
            </w:pPr>
            <w:r w:rsidRPr="00EC62E9">
              <w:rPr>
                <w:color w:val="000000"/>
                <w:sz w:val="18"/>
                <w:lang w:val="de-DE"/>
              </w:rPr>
              <w:t>44.370</w:t>
            </w:r>
          </w:p>
        </w:tc>
      </w:tr>
      <w:tr w:rsidR="00D3322A" w:rsidRPr="00EC62E9" w:rsidTr="00B63C72">
        <w:trPr>
          <w:trHeight w:val="148"/>
          <w:jc w:val="center"/>
        </w:trPr>
        <w:tc>
          <w:tcPr>
            <w:tcW w:w="1644"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2012 </w:t>
            </w:r>
          </w:p>
        </w:tc>
        <w:tc>
          <w:tcPr>
            <w:tcW w:w="1710" w:type="dxa"/>
          </w:tcPr>
          <w:p w:rsidR="00D3322A" w:rsidRPr="00EC62E9" w:rsidRDefault="00D3322A" w:rsidP="00847FAE">
            <w:pPr>
              <w:widowControl w:val="0"/>
              <w:tabs>
                <w:tab w:val="decimal" w:pos="874"/>
              </w:tabs>
              <w:autoSpaceDE w:val="0"/>
              <w:autoSpaceDN w:val="0"/>
              <w:adjustRightInd w:val="0"/>
              <w:jc w:val="left"/>
              <w:rPr>
                <w:rFonts w:cs="Arial"/>
                <w:color w:val="000000"/>
                <w:sz w:val="18"/>
                <w:szCs w:val="18"/>
                <w:lang w:val="de-DE"/>
              </w:rPr>
            </w:pPr>
            <w:r w:rsidRPr="00EC62E9">
              <w:rPr>
                <w:color w:val="000000"/>
                <w:sz w:val="18"/>
                <w:lang w:val="de-DE"/>
              </w:rPr>
              <w:t>255.108</w:t>
            </w:r>
          </w:p>
        </w:tc>
        <w:tc>
          <w:tcPr>
            <w:tcW w:w="1985" w:type="dxa"/>
          </w:tcPr>
          <w:p w:rsidR="00D3322A" w:rsidRPr="00EC62E9" w:rsidRDefault="00D3322A" w:rsidP="00847FAE">
            <w:pPr>
              <w:widowControl w:val="0"/>
              <w:tabs>
                <w:tab w:val="decimal" w:pos="1057"/>
              </w:tabs>
              <w:autoSpaceDE w:val="0"/>
              <w:autoSpaceDN w:val="0"/>
              <w:adjustRightInd w:val="0"/>
              <w:jc w:val="left"/>
              <w:rPr>
                <w:rFonts w:cs="Arial"/>
                <w:color w:val="000000"/>
                <w:sz w:val="18"/>
                <w:szCs w:val="18"/>
                <w:lang w:val="de-DE"/>
              </w:rPr>
            </w:pPr>
            <w:r w:rsidRPr="00EC62E9">
              <w:rPr>
                <w:color w:val="000000"/>
                <w:sz w:val="18"/>
                <w:lang w:val="de-DE"/>
              </w:rPr>
              <w:t>51.111</w:t>
            </w:r>
          </w:p>
        </w:tc>
      </w:tr>
      <w:tr w:rsidR="00D3322A" w:rsidRPr="00EC62E9" w:rsidTr="00B63C72">
        <w:trPr>
          <w:trHeight w:val="148"/>
          <w:jc w:val="center"/>
        </w:trPr>
        <w:tc>
          <w:tcPr>
            <w:tcW w:w="1644"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 xml:space="preserve">2011 </w:t>
            </w:r>
          </w:p>
        </w:tc>
        <w:tc>
          <w:tcPr>
            <w:tcW w:w="1710" w:type="dxa"/>
          </w:tcPr>
          <w:p w:rsidR="00D3322A" w:rsidRPr="00EC62E9" w:rsidRDefault="00D3322A" w:rsidP="00847FAE">
            <w:pPr>
              <w:widowControl w:val="0"/>
              <w:tabs>
                <w:tab w:val="decimal" w:pos="874"/>
              </w:tabs>
              <w:autoSpaceDE w:val="0"/>
              <w:autoSpaceDN w:val="0"/>
              <w:adjustRightInd w:val="0"/>
              <w:jc w:val="left"/>
              <w:rPr>
                <w:rFonts w:cs="Arial"/>
                <w:color w:val="000000"/>
                <w:sz w:val="18"/>
                <w:szCs w:val="18"/>
                <w:lang w:val="de-DE"/>
              </w:rPr>
            </w:pPr>
            <w:r w:rsidRPr="00EC62E9">
              <w:rPr>
                <w:color w:val="000000"/>
                <w:sz w:val="18"/>
                <w:lang w:val="de-DE"/>
              </w:rPr>
              <w:t>30.226</w:t>
            </w:r>
          </w:p>
        </w:tc>
        <w:tc>
          <w:tcPr>
            <w:tcW w:w="1985" w:type="dxa"/>
          </w:tcPr>
          <w:p w:rsidR="00D3322A" w:rsidRPr="00EC62E9" w:rsidRDefault="00D3322A" w:rsidP="00847FAE">
            <w:pPr>
              <w:widowControl w:val="0"/>
              <w:tabs>
                <w:tab w:val="decimal" w:pos="1057"/>
              </w:tabs>
              <w:autoSpaceDE w:val="0"/>
              <w:autoSpaceDN w:val="0"/>
              <w:adjustRightInd w:val="0"/>
              <w:jc w:val="left"/>
              <w:rPr>
                <w:rFonts w:cs="Arial"/>
                <w:color w:val="000000"/>
                <w:sz w:val="18"/>
                <w:szCs w:val="18"/>
                <w:lang w:val="de-DE"/>
              </w:rPr>
            </w:pPr>
            <w:r w:rsidRPr="00EC62E9">
              <w:rPr>
                <w:color w:val="000000"/>
                <w:sz w:val="18"/>
                <w:lang w:val="de-DE"/>
              </w:rPr>
              <w:t>6.316</w:t>
            </w:r>
          </w:p>
        </w:tc>
      </w:tr>
    </w:tbl>
    <w:p w:rsidR="00D3322A" w:rsidRDefault="00D3322A" w:rsidP="00D3322A">
      <w:pPr>
        <w:widowControl w:val="0"/>
        <w:rPr>
          <w:rFonts w:eastAsiaTheme="minorEastAsia"/>
          <w:sz w:val="18"/>
          <w:szCs w:val="18"/>
          <w:lang w:val="de-DE"/>
        </w:rPr>
      </w:pPr>
    </w:p>
    <w:p w:rsidR="00E635A1" w:rsidRPr="00EC62E9" w:rsidRDefault="00E635A1" w:rsidP="00D3322A">
      <w:pPr>
        <w:widowControl w:val="0"/>
        <w:rPr>
          <w:rFonts w:eastAsiaTheme="minorEastAsia"/>
          <w:sz w:val="18"/>
          <w:szCs w:val="18"/>
          <w:lang w:val="de-DE"/>
        </w:rPr>
      </w:pPr>
    </w:p>
    <w:p w:rsidR="00D3322A" w:rsidRPr="00EC62E9" w:rsidRDefault="00D3322A" w:rsidP="00D3322A">
      <w:pPr>
        <w:widowControl w:val="0"/>
        <w:jc w:val="left"/>
        <w:rPr>
          <w:sz w:val="18"/>
          <w:szCs w:val="18"/>
          <w:lang w:val="de-DE"/>
        </w:rPr>
      </w:pPr>
      <w:r w:rsidRPr="00EC62E9">
        <w:rPr>
          <w:sz w:val="18"/>
          <w:lang w:val="de-DE"/>
        </w:rPr>
        <w:t xml:space="preserve">Verbesserungen betreffend die Datenbank für Pflanzensorten (PLUTO-Datenbank) </w:t>
      </w:r>
      <w:proofErr w:type="spellStart"/>
      <w:r w:rsidRPr="00EC62E9">
        <w:rPr>
          <w:sz w:val="18"/>
          <w:lang w:val="de-DE"/>
        </w:rPr>
        <w:t>umfaßten</w:t>
      </w:r>
      <w:proofErr w:type="spellEnd"/>
      <w:r w:rsidRPr="00EC62E9">
        <w:rPr>
          <w:sz w:val="18"/>
          <w:lang w:val="de-DE"/>
        </w:rPr>
        <w:t>:</w:t>
      </w:r>
    </w:p>
    <w:p w:rsidR="00D3322A" w:rsidRPr="00EC62E9" w:rsidRDefault="00D3322A" w:rsidP="00D3322A">
      <w:pPr>
        <w:widowControl w:val="0"/>
        <w:jc w:val="left"/>
        <w:rPr>
          <w:sz w:val="18"/>
          <w:szCs w:val="18"/>
          <w:lang w:val="de-DE"/>
        </w:rPr>
      </w:pPr>
    </w:p>
    <w:p w:rsidR="00D3322A" w:rsidRPr="00EC62E9" w:rsidRDefault="00D3322A" w:rsidP="00E635A1">
      <w:pPr>
        <w:widowControl w:val="0"/>
        <w:spacing w:after="120"/>
        <w:jc w:val="left"/>
        <w:rPr>
          <w:sz w:val="18"/>
          <w:szCs w:val="18"/>
          <w:lang w:val="de-DE"/>
        </w:rPr>
      </w:pPr>
      <w:r w:rsidRPr="00EC62E9">
        <w:rPr>
          <w:sz w:val="18"/>
          <w:lang w:val="de-DE"/>
        </w:rPr>
        <w:t>Im Jahr 2012:</w:t>
      </w:r>
    </w:p>
    <w:p w:rsidR="00D3322A" w:rsidRPr="00EC62E9" w:rsidRDefault="00D3322A" w:rsidP="00E635A1">
      <w:pPr>
        <w:pStyle w:val="ListParagraph"/>
        <w:widowControl w:val="0"/>
        <w:numPr>
          <w:ilvl w:val="0"/>
          <w:numId w:val="3"/>
        </w:numPr>
        <w:spacing w:after="120"/>
        <w:ind w:left="714" w:hanging="357"/>
        <w:contextualSpacing w:val="0"/>
        <w:jc w:val="left"/>
        <w:rPr>
          <w:sz w:val="18"/>
          <w:szCs w:val="18"/>
          <w:lang w:val="de-DE"/>
        </w:rPr>
      </w:pPr>
      <w:r w:rsidRPr="00EC62E9">
        <w:rPr>
          <w:sz w:val="18"/>
          <w:lang w:val="de-DE"/>
        </w:rPr>
        <w:t>Neue Funktionen:</w:t>
      </w:r>
    </w:p>
    <w:p w:rsidR="00D3322A" w:rsidRPr="00EC62E9" w:rsidRDefault="00D3322A" w:rsidP="00D3322A">
      <w:pPr>
        <w:pStyle w:val="ListParagraph"/>
        <w:widowControl w:val="0"/>
        <w:numPr>
          <w:ilvl w:val="0"/>
          <w:numId w:val="7"/>
        </w:numPr>
        <w:spacing w:after="60"/>
        <w:ind w:left="1162" w:hanging="357"/>
        <w:contextualSpacing w:val="0"/>
        <w:jc w:val="left"/>
        <w:rPr>
          <w:sz w:val="18"/>
          <w:szCs w:val="18"/>
          <w:lang w:val="de-DE"/>
        </w:rPr>
      </w:pPr>
      <w:r w:rsidRPr="00EC62E9">
        <w:rPr>
          <w:sz w:val="18"/>
          <w:lang w:val="de-DE"/>
        </w:rPr>
        <w:t>Seite zum Suchen von Sortenbezeichnungen;</w:t>
      </w:r>
    </w:p>
    <w:p w:rsidR="00D3322A" w:rsidRPr="00EC62E9" w:rsidRDefault="00D3322A" w:rsidP="00D3322A">
      <w:pPr>
        <w:pStyle w:val="ListParagraph"/>
        <w:widowControl w:val="0"/>
        <w:numPr>
          <w:ilvl w:val="0"/>
          <w:numId w:val="7"/>
        </w:numPr>
        <w:spacing w:after="60"/>
        <w:ind w:left="1162" w:hanging="357"/>
        <w:contextualSpacing w:val="0"/>
        <w:jc w:val="left"/>
        <w:rPr>
          <w:sz w:val="18"/>
          <w:szCs w:val="18"/>
          <w:lang w:val="de-DE"/>
        </w:rPr>
      </w:pPr>
      <w:r w:rsidRPr="00EC62E9">
        <w:rPr>
          <w:sz w:val="18"/>
          <w:lang w:val="de-DE"/>
        </w:rPr>
        <w:t>Optionen zum Speichern der Sucheinstellungen für die PLUTO-Datenbank;</w:t>
      </w:r>
    </w:p>
    <w:p w:rsidR="00D3322A" w:rsidRPr="00EC62E9" w:rsidRDefault="00D3322A" w:rsidP="00D3322A">
      <w:pPr>
        <w:pStyle w:val="ListParagraph"/>
        <w:widowControl w:val="0"/>
        <w:numPr>
          <w:ilvl w:val="0"/>
          <w:numId w:val="7"/>
        </w:numPr>
        <w:spacing w:after="60"/>
        <w:ind w:left="1162" w:hanging="357"/>
        <w:contextualSpacing w:val="0"/>
        <w:jc w:val="left"/>
        <w:rPr>
          <w:sz w:val="18"/>
          <w:szCs w:val="18"/>
          <w:lang w:val="de-DE"/>
        </w:rPr>
      </w:pPr>
      <w:r w:rsidRPr="00EC62E9">
        <w:rPr>
          <w:sz w:val="18"/>
          <w:lang w:val="de-DE"/>
        </w:rPr>
        <w:t xml:space="preserve">Anforderung an die Nutzer, sich zu registrieren, um die PLUTO-Datenbank nutzen zu können, um die daraus gewonnenen Erkenntnisse für künftige Verbesserungen heranziehen zu können; </w:t>
      </w:r>
    </w:p>
    <w:p w:rsidR="00D3322A" w:rsidRPr="00EC62E9" w:rsidRDefault="00D3322A" w:rsidP="00D3322A">
      <w:pPr>
        <w:pStyle w:val="ListParagraph"/>
        <w:widowControl w:val="0"/>
        <w:numPr>
          <w:ilvl w:val="0"/>
          <w:numId w:val="7"/>
        </w:numPr>
        <w:spacing w:after="60"/>
        <w:ind w:left="1162" w:hanging="357"/>
        <w:contextualSpacing w:val="0"/>
        <w:jc w:val="left"/>
        <w:rPr>
          <w:sz w:val="18"/>
          <w:szCs w:val="18"/>
          <w:lang w:val="de-DE"/>
        </w:rPr>
      </w:pPr>
      <w:r w:rsidRPr="00EC62E9">
        <w:rPr>
          <w:sz w:val="18"/>
          <w:lang w:val="de-DE"/>
        </w:rPr>
        <w:t>Einführung der Möglichkeit der Einstellung von Daten im ursprünglichen Alphabet zusätzlich zur Bereitstellung im lateinischen Alphabet; und</w:t>
      </w:r>
    </w:p>
    <w:p w:rsidR="00D3322A" w:rsidRPr="00EC62E9" w:rsidRDefault="00D3322A" w:rsidP="00D3322A">
      <w:pPr>
        <w:pStyle w:val="ListParagraph"/>
        <w:widowControl w:val="0"/>
        <w:numPr>
          <w:ilvl w:val="0"/>
          <w:numId w:val="7"/>
        </w:numPr>
        <w:ind w:left="1168"/>
        <w:jc w:val="left"/>
        <w:rPr>
          <w:sz w:val="18"/>
          <w:szCs w:val="18"/>
          <w:lang w:val="de-DE"/>
        </w:rPr>
      </w:pPr>
      <w:r w:rsidRPr="00EC62E9">
        <w:rPr>
          <w:sz w:val="18"/>
          <w:lang w:val="de-DE"/>
        </w:rPr>
        <w:t>Einführung der Möglichkeit für Beitragsleistende der Datenbank für Pflanzensorten, die Informationen über die Zeitpunkte anzugeben, zu denen eine Sorte erstmals im Hoheitsgebiet des Antrags und in anderen Hoheitsgebieten gewerbsmäßig vertrieben wurde.</w:t>
      </w:r>
    </w:p>
    <w:p w:rsidR="00D3322A" w:rsidRPr="00EC62E9" w:rsidRDefault="00D3322A" w:rsidP="003916F9">
      <w:pPr>
        <w:pStyle w:val="ListParagraph"/>
        <w:widowControl w:val="0"/>
        <w:numPr>
          <w:ilvl w:val="0"/>
          <w:numId w:val="3"/>
        </w:numPr>
        <w:spacing w:before="120"/>
        <w:contextualSpacing w:val="0"/>
        <w:jc w:val="left"/>
        <w:rPr>
          <w:sz w:val="18"/>
          <w:szCs w:val="18"/>
          <w:lang w:val="de-DE"/>
        </w:rPr>
      </w:pPr>
      <w:r w:rsidRPr="00EC62E9">
        <w:rPr>
          <w:sz w:val="18"/>
          <w:lang w:val="de-DE"/>
        </w:rPr>
        <w:t>Lösungen, die den Beitrag von Daten in einem Nicht-TAG-Format für Kenia und Südafrika ermöglichen.</w:t>
      </w:r>
    </w:p>
    <w:p w:rsidR="00D3322A" w:rsidRPr="00EC62E9" w:rsidRDefault="00D3322A" w:rsidP="003916F9">
      <w:pPr>
        <w:pStyle w:val="ListParagraph"/>
        <w:widowControl w:val="0"/>
        <w:numPr>
          <w:ilvl w:val="0"/>
          <w:numId w:val="3"/>
        </w:numPr>
        <w:spacing w:before="120"/>
        <w:contextualSpacing w:val="0"/>
        <w:jc w:val="left"/>
        <w:rPr>
          <w:sz w:val="18"/>
          <w:szCs w:val="18"/>
          <w:lang w:val="de-DE"/>
        </w:rPr>
      </w:pPr>
      <w:r w:rsidRPr="00EC62E9">
        <w:rPr>
          <w:sz w:val="18"/>
          <w:lang w:val="de-DE"/>
        </w:rPr>
        <w:t xml:space="preserve">Methode zur Erstellung fehlender UPOV-Codes für Daten, die für die Datenbank für Pflanzensorten eingereicht werden, entwickelt von der WIPO-Abteilung „Brand Database“. Auf dieser Grundlage wurden praktisch allen Einträgen in die Datenbank für Pflanzensorten UPOV-Codes zugeordnet.  </w:t>
      </w:r>
    </w:p>
    <w:p w:rsidR="00D3322A" w:rsidRPr="00EC62E9" w:rsidRDefault="00D3322A" w:rsidP="003916F9">
      <w:pPr>
        <w:pStyle w:val="ListParagraph"/>
        <w:widowControl w:val="0"/>
        <w:numPr>
          <w:ilvl w:val="0"/>
          <w:numId w:val="3"/>
        </w:numPr>
        <w:spacing w:before="120"/>
        <w:contextualSpacing w:val="0"/>
        <w:jc w:val="left"/>
        <w:rPr>
          <w:sz w:val="18"/>
          <w:szCs w:val="18"/>
          <w:lang w:val="de-DE"/>
        </w:rPr>
      </w:pPr>
      <w:r w:rsidRPr="00EC62E9">
        <w:rPr>
          <w:sz w:val="18"/>
          <w:lang w:val="de-DE"/>
        </w:rPr>
        <w:t>Entwicklung UPOVs eigener Version der UPOV-ROM.</w:t>
      </w:r>
    </w:p>
    <w:p w:rsidR="00D3322A" w:rsidRPr="00EC62E9" w:rsidRDefault="00D3322A" w:rsidP="00D3322A">
      <w:pPr>
        <w:widowControl w:val="0"/>
        <w:jc w:val="left"/>
        <w:rPr>
          <w:sz w:val="18"/>
          <w:szCs w:val="18"/>
          <w:lang w:val="de-DE"/>
        </w:rPr>
      </w:pPr>
    </w:p>
    <w:p w:rsidR="00D3322A" w:rsidRPr="00EC62E9" w:rsidRDefault="00D3322A" w:rsidP="003916F9">
      <w:pPr>
        <w:keepNext/>
        <w:keepLines/>
        <w:widowControl w:val="0"/>
        <w:spacing w:after="120"/>
        <w:jc w:val="left"/>
        <w:rPr>
          <w:sz w:val="18"/>
          <w:szCs w:val="18"/>
          <w:lang w:val="de-DE"/>
        </w:rPr>
      </w:pPr>
      <w:r w:rsidRPr="00EC62E9">
        <w:rPr>
          <w:sz w:val="18"/>
          <w:lang w:val="de-DE"/>
        </w:rPr>
        <w:t>Im Jahr 2013:</w:t>
      </w:r>
    </w:p>
    <w:p w:rsidR="00D3322A" w:rsidRPr="00052B9C" w:rsidRDefault="00D3322A" w:rsidP="00D3322A">
      <w:pPr>
        <w:pStyle w:val="ListParagraph"/>
        <w:keepNext/>
        <w:keepLines/>
        <w:widowControl w:val="0"/>
        <w:numPr>
          <w:ilvl w:val="0"/>
          <w:numId w:val="3"/>
        </w:numPr>
        <w:jc w:val="left"/>
        <w:rPr>
          <w:rFonts w:cs="Arial"/>
          <w:color w:val="000000"/>
          <w:sz w:val="18"/>
          <w:szCs w:val="18"/>
          <w:lang w:val="de-DE"/>
        </w:rPr>
      </w:pPr>
      <w:r w:rsidRPr="00052B9C">
        <w:rPr>
          <w:color w:val="000000"/>
          <w:sz w:val="18"/>
          <w:szCs w:val="18"/>
          <w:lang w:val="de-DE"/>
        </w:rPr>
        <w:t>Die Beitragsleistenden werden ersucht, ihre Daten so bald wie möglich nach ihrer Veröffentlichung durch die zuständige Behörde einzureichen.</w:t>
      </w:r>
    </w:p>
    <w:p w:rsidR="00D3322A" w:rsidRPr="00052B9C" w:rsidRDefault="00D3322A" w:rsidP="00D3322A">
      <w:pPr>
        <w:pStyle w:val="ListParagraph"/>
        <w:keepNext/>
        <w:keepLines/>
        <w:widowControl w:val="0"/>
        <w:numPr>
          <w:ilvl w:val="0"/>
          <w:numId w:val="3"/>
        </w:numPr>
        <w:jc w:val="left"/>
        <w:rPr>
          <w:rFonts w:cs="Arial"/>
          <w:color w:val="000000"/>
          <w:sz w:val="18"/>
          <w:szCs w:val="18"/>
          <w:lang w:val="de-DE"/>
        </w:rPr>
      </w:pPr>
      <w:r w:rsidRPr="00052B9C">
        <w:rPr>
          <w:color w:val="000000"/>
          <w:sz w:val="18"/>
          <w:szCs w:val="18"/>
          <w:lang w:val="de-DE"/>
        </w:rPr>
        <w:t>Das Verfahren für die Zuordnung und Berichtigung der UPOV-Codes wurde geändert, um Verzögerungen bei der Aktualisierung der Datenbank möglichst gering zu halten.</w:t>
      </w:r>
    </w:p>
    <w:p w:rsidR="00D3322A" w:rsidRPr="00052B9C" w:rsidRDefault="00D3322A" w:rsidP="00D3322A">
      <w:pPr>
        <w:pStyle w:val="ListParagraph"/>
        <w:keepNext/>
        <w:keepLines/>
        <w:widowControl w:val="0"/>
        <w:numPr>
          <w:ilvl w:val="0"/>
          <w:numId w:val="3"/>
        </w:numPr>
        <w:jc w:val="left"/>
        <w:rPr>
          <w:rFonts w:cs="Arial"/>
          <w:color w:val="000000"/>
          <w:sz w:val="18"/>
          <w:szCs w:val="18"/>
          <w:lang w:val="de-DE"/>
        </w:rPr>
      </w:pPr>
      <w:r w:rsidRPr="00052B9C">
        <w:rPr>
          <w:sz w:val="18"/>
          <w:szCs w:val="18"/>
          <w:lang w:val="de-DE"/>
        </w:rPr>
        <w:t xml:space="preserve">Zur Unterstützung der Nutzer der PLUTO-Datenbank wurde die englische Version einer Video-Anleitung entwickelt, die auf der PLUTO-Webseite zur Verfügung steht </w:t>
      </w:r>
      <w:r w:rsidRPr="00052B9C">
        <w:rPr>
          <w:color w:val="000000"/>
          <w:sz w:val="18"/>
          <w:szCs w:val="18"/>
          <w:lang w:val="de-DE"/>
        </w:rPr>
        <w:t xml:space="preserve"> (</w:t>
      </w:r>
      <w:hyperlink r:id="rId25">
        <w:r w:rsidRPr="00052B9C">
          <w:rPr>
            <w:rStyle w:val="Hyperlink"/>
            <w:sz w:val="18"/>
            <w:szCs w:val="18"/>
            <w:lang w:val="de-DE"/>
          </w:rPr>
          <w:t>https://www3.wipo.int/pluto/user/en/index.jsp</w:t>
        </w:r>
      </w:hyperlink>
      <w:r w:rsidRPr="00052B9C">
        <w:rPr>
          <w:color w:val="000000"/>
          <w:sz w:val="18"/>
          <w:szCs w:val="18"/>
          <w:lang w:val="de-DE"/>
        </w:rPr>
        <w:t>).</w:t>
      </w:r>
    </w:p>
    <w:p w:rsidR="00D3322A" w:rsidRPr="00052B9C" w:rsidRDefault="00D3322A" w:rsidP="00D3322A">
      <w:pPr>
        <w:pStyle w:val="ListParagraph"/>
        <w:widowControl w:val="0"/>
        <w:numPr>
          <w:ilvl w:val="0"/>
          <w:numId w:val="3"/>
        </w:numPr>
        <w:jc w:val="left"/>
        <w:rPr>
          <w:rFonts w:cs="Arial"/>
          <w:color w:val="000000"/>
          <w:sz w:val="18"/>
          <w:szCs w:val="18"/>
          <w:lang w:val="de-DE"/>
        </w:rPr>
      </w:pPr>
      <w:r w:rsidRPr="00052B9C">
        <w:rPr>
          <w:color w:val="000000"/>
          <w:sz w:val="18"/>
          <w:szCs w:val="18"/>
          <w:lang w:val="de-DE"/>
        </w:rPr>
        <w:t>D</w:t>
      </w:r>
      <w:r w:rsidRPr="00052B9C">
        <w:rPr>
          <w:sz w:val="18"/>
          <w:szCs w:val="18"/>
          <w:lang w:val="de-DE"/>
        </w:rPr>
        <w:t xml:space="preserve">er </w:t>
      </w:r>
      <w:proofErr w:type="spellStart"/>
      <w:r w:rsidRPr="00052B9C">
        <w:rPr>
          <w:sz w:val="18"/>
          <w:szCs w:val="18"/>
          <w:lang w:val="de-DE"/>
        </w:rPr>
        <w:t>Haftungsausschluß</w:t>
      </w:r>
      <w:proofErr w:type="spellEnd"/>
      <w:r w:rsidRPr="00052B9C">
        <w:rPr>
          <w:sz w:val="18"/>
          <w:szCs w:val="18"/>
          <w:lang w:val="de-DE"/>
        </w:rPr>
        <w:t xml:space="preserve"> f</w:t>
      </w:r>
      <w:r w:rsidR="0013087D" w:rsidRPr="00052B9C">
        <w:rPr>
          <w:sz w:val="18"/>
          <w:szCs w:val="18"/>
          <w:lang w:val="de-DE"/>
        </w:rPr>
        <w:t xml:space="preserve">ür PLUTO wurde so geändert, </w:t>
      </w:r>
      <w:proofErr w:type="spellStart"/>
      <w:r w:rsidR="0013087D" w:rsidRPr="00052B9C">
        <w:rPr>
          <w:sz w:val="18"/>
          <w:szCs w:val="18"/>
          <w:lang w:val="de-DE"/>
        </w:rPr>
        <w:t>daß</w:t>
      </w:r>
      <w:proofErr w:type="spellEnd"/>
      <w:r w:rsidRPr="00052B9C">
        <w:rPr>
          <w:sz w:val="18"/>
          <w:szCs w:val="18"/>
          <w:lang w:val="de-DE"/>
        </w:rPr>
        <w:t xml:space="preserve"> er dem Inhalt des Programms für Verbesserungen entspricht.</w:t>
      </w:r>
    </w:p>
    <w:p w:rsidR="00D3322A" w:rsidRPr="00052B9C" w:rsidRDefault="00D3322A" w:rsidP="003916F9">
      <w:pPr>
        <w:pStyle w:val="ListParagraph"/>
        <w:widowControl w:val="0"/>
        <w:numPr>
          <w:ilvl w:val="0"/>
          <w:numId w:val="3"/>
        </w:numPr>
        <w:jc w:val="left"/>
        <w:rPr>
          <w:noProof/>
          <w:sz w:val="18"/>
          <w:szCs w:val="18"/>
          <w:lang w:val="de-DE"/>
        </w:rPr>
      </w:pPr>
      <w:r w:rsidRPr="00052B9C">
        <w:rPr>
          <w:color w:val="000000"/>
          <w:sz w:val="18"/>
          <w:szCs w:val="18"/>
          <w:lang w:val="de-DE"/>
        </w:rPr>
        <w:t>Es wurde eine Arbeitsgruppe zur Entwicklung von Vorschlägen für ein UPOV-Suchinstrument für Ähnlichkeiten zum Zweck der Sortenbezeichnung gebildet.</w:t>
      </w:r>
    </w:p>
    <w:p w:rsidR="00D3322A" w:rsidRPr="00EC62E9" w:rsidRDefault="00D3322A" w:rsidP="00D3322A">
      <w:pPr>
        <w:widowControl w:val="0"/>
        <w:rPr>
          <w:noProof/>
          <w:lang w:val="de-DE"/>
        </w:rPr>
      </w:pPr>
    </w:p>
    <w:p w:rsidR="00D3322A" w:rsidRPr="00EC62E9" w:rsidRDefault="00D3322A" w:rsidP="00D3322A">
      <w:pPr>
        <w:pStyle w:val="Heading8"/>
        <w:widowControl w:val="0"/>
        <w:rPr>
          <w:lang w:val="de-DE"/>
        </w:rPr>
      </w:pPr>
      <w:bookmarkStart w:id="120" w:name="_Toc396137556"/>
      <w:bookmarkStart w:id="121" w:name="_Toc398736755"/>
      <w:r w:rsidRPr="00EC62E9">
        <w:rPr>
          <w:lang w:val="de-DE"/>
        </w:rPr>
        <w:t>e)  In Dokument UPOV/INF/16 „Austauschbare Software“ aufgenommene Software</w:t>
      </w:r>
      <w:bookmarkEnd w:id="120"/>
      <w:bookmarkEnd w:id="121"/>
    </w:p>
    <w:p w:rsidR="00D3322A" w:rsidRPr="00EC62E9" w:rsidRDefault="00D3322A" w:rsidP="00D3322A">
      <w:pPr>
        <w:widowControl w:val="0"/>
        <w:rPr>
          <w:sz w:val="18"/>
          <w:szCs w:val="18"/>
          <w:lang w:val="de-DE"/>
        </w:rPr>
      </w:pPr>
      <w:r w:rsidRPr="00EC62E9">
        <w:rPr>
          <w:sz w:val="18"/>
          <w:lang w:val="de-DE"/>
        </w:rPr>
        <w:t>Folgende Software wurde in Dokument UPOV/INF/16 aufgenommen:</w:t>
      </w:r>
    </w:p>
    <w:p w:rsidR="00D3322A" w:rsidRPr="00EC62E9" w:rsidRDefault="00D3322A" w:rsidP="00D3322A">
      <w:pPr>
        <w:rPr>
          <w:lang w:val="de-DE"/>
        </w:rPr>
      </w:pPr>
    </w:p>
    <w:tbl>
      <w:tblPr>
        <w:tblStyle w:val="TableGrid"/>
        <w:tblW w:w="8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7"/>
        <w:gridCol w:w="3519"/>
        <w:gridCol w:w="2617"/>
      </w:tblGrid>
      <w:tr w:rsidR="00D3322A" w:rsidRPr="00EC62E9" w:rsidTr="00052B9C">
        <w:tc>
          <w:tcPr>
            <w:tcW w:w="2117" w:type="dxa"/>
          </w:tcPr>
          <w:p w:rsidR="00D3322A" w:rsidRPr="00EC62E9" w:rsidRDefault="00D3322A" w:rsidP="0043408C">
            <w:pPr>
              <w:keepNext/>
              <w:keepLines/>
              <w:widowControl w:val="0"/>
              <w:spacing w:after="120"/>
              <w:jc w:val="left"/>
              <w:rPr>
                <w:sz w:val="18"/>
                <w:szCs w:val="18"/>
                <w:u w:val="single"/>
                <w:lang w:val="de-DE"/>
              </w:rPr>
            </w:pPr>
            <w:r w:rsidRPr="00EC62E9">
              <w:rPr>
                <w:sz w:val="18"/>
                <w:u w:val="single"/>
                <w:lang w:val="de-DE"/>
              </w:rPr>
              <w:t>Name des Programms</w:t>
            </w:r>
          </w:p>
        </w:tc>
        <w:tc>
          <w:tcPr>
            <w:tcW w:w="3519" w:type="dxa"/>
          </w:tcPr>
          <w:p w:rsidR="00D3322A" w:rsidRPr="00EC62E9" w:rsidRDefault="00D3322A" w:rsidP="00847FAE">
            <w:pPr>
              <w:keepNext/>
              <w:keepLines/>
              <w:widowControl w:val="0"/>
              <w:spacing w:after="120"/>
              <w:rPr>
                <w:sz w:val="18"/>
                <w:szCs w:val="18"/>
                <w:u w:val="single"/>
                <w:lang w:val="de-DE"/>
              </w:rPr>
            </w:pPr>
            <w:r w:rsidRPr="00EC62E9">
              <w:rPr>
                <w:sz w:val="18"/>
                <w:u w:val="single"/>
                <w:lang w:val="de-DE"/>
              </w:rPr>
              <w:t>Kategorie</w:t>
            </w:r>
          </w:p>
        </w:tc>
        <w:tc>
          <w:tcPr>
            <w:tcW w:w="2617" w:type="dxa"/>
          </w:tcPr>
          <w:p w:rsidR="00D3322A" w:rsidRPr="00EC62E9" w:rsidRDefault="00D3322A" w:rsidP="00847FAE">
            <w:pPr>
              <w:keepNext/>
              <w:keepLines/>
              <w:widowControl w:val="0"/>
              <w:spacing w:after="120"/>
              <w:rPr>
                <w:sz w:val="18"/>
                <w:szCs w:val="18"/>
                <w:u w:val="single"/>
                <w:lang w:val="de-DE"/>
              </w:rPr>
            </w:pPr>
            <w:r w:rsidRPr="00EC62E9">
              <w:rPr>
                <w:sz w:val="18"/>
                <w:u w:val="single"/>
                <w:lang w:val="de-DE"/>
              </w:rPr>
              <w:t>Vorschlagendes Land</w:t>
            </w:r>
          </w:p>
        </w:tc>
      </w:tr>
      <w:tr w:rsidR="00D3322A" w:rsidRPr="00EC62E9" w:rsidTr="00052B9C">
        <w:tc>
          <w:tcPr>
            <w:tcW w:w="2117" w:type="dxa"/>
          </w:tcPr>
          <w:p w:rsidR="00D3322A" w:rsidRPr="00EC62E9" w:rsidRDefault="00D3322A" w:rsidP="00847FAE">
            <w:pPr>
              <w:keepNext/>
              <w:keepLines/>
              <w:widowControl w:val="0"/>
              <w:rPr>
                <w:sz w:val="18"/>
                <w:szCs w:val="18"/>
                <w:lang w:val="de-DE"/>
              </w:rPr>
            </w:pPr>
            <w:r w:rsidRPr="00EC62E9">
              <w:rPr>
                <w:sz w:val="18"/>
                <w:lang w:val="de-DE"/>
              </w:rPr>
              <w:t>ZAJVKA</w:t>
            </w:r>
          </w:p>
        </w:tc>
        <w:tc>
          <w:tcPr>
            <w:tcW w:w="3519" w:type="dxa"/>
          </w:tcPr>
          <w:p w:rsidR="00D3322A" w:rsidRPr="00EC62E9" w:rsidRDefault="00D3322A" w:rsidP="0043408C">
            <w:pPr>
              <w:keepNext/>
              <w:keepLines/>
              <w:widowControl w:val="0"/>
              <w:jc w:val="left"/>
              <w:rPr>
                <w:sz w:val="18"/>
                <w:szCs w:val="18"/>
                <w:lang w:val="de-DE"/>
              </w:rPr>
            </w:pPr>
            <w:r w:rsidRPr="00EC62E9">
              <w:rPr>
                <w:sz w:val="18"/>
                <w:lang w:val="de-DE"/>
              </w:rPr>
              <w:t>DUS-Prüfungsanlage und Datenanalyse</w:t>
            </w:r>
          </w:p>
        </w:tc>
        <w:tc>
          <w:tcPr>
            <w:tcW w:w="2617" w:type="dxa"/>
          </w:tcPr>
          <w:p w:rsidR="00D3322A" w:rsidRPr="00EC62E9" w:rsidRDefault="00D3322A" w:rsidP="00847FAE">
            <w:pPr>
              <w:keepNext/>
              <w:keepLines/>
              <w:widowControl w:val="0"/>
              <w:rPr>
                <w:sz w:val="18"/>
                <w:szCs w:val="18"/>
                <w:lang w:val="de-DE"/>
              </w:rPr>
            </w:pPr>
            <w:r w:rsidRPr="00EC62E9">
              <w:rPr>
                <w:sz w:val="18"/>
                <w:lang w:val="de-DE"/>
              </w:rPr>
              <w:t>Russische Föderation</w:t>
            </w:r>
          </w:p>
        </w:tc>
      </w:tr>
      <w:tr w:rsidR="00D3322A" w:rsidRPr="00EC62E9" w:rsidTr="00052B9C">
        <w:tc>
          <w:tcPr>
            <w:tcW w:w="2117" w:type="dxa"/>
          </w:tcPr>
          <w:p w:rsidR="00D3322A" w:rsidRPr="00EC62E9" w:rsidRDefault="00D3322A" w:rsidP="00847FAE">
            <w:pPr>
              <w:keepNext/>
              <w:keepLines/>
              <w:widowControl w:val="0"/>
              <w:rPr>
                <w:sz w:val="18"/>
                <w:szCs w:val="18"/>
                <w:lang w:val="de-DE"/>
              </w:rPr>
            </w:pPr>
            <w:r w:rsidRPr="00EC62E9">
              <w:rPr>
                <w:sz w:val="18"/>
                <w:lang w:val="de-DE"/>
              </w:rPr>
              <w:t>AIM</w:t>
            </w:r>
          </w:p>
        </w:tc>
        <w:tc>
          <w:tcPr>
            <w:tcW w:w="3519" w:type="dxa"/>
          </w:tcPr>
          <w:p w:rsidR="00D3322A" w:rsidRPr="00EC62E9" w:rsidRDefault="00D3322A" w:rsidP="00847FAE">
            <w:pPr>
              <w:keepNext/>
              <w:keepLines/>
              <w:widowControl w:val="0"/>
              <w:rPr>
                <w:sz w:val="18"/>
                <w:szCs w:val="18"/>
                <w:lang w:val="de-DE"/>
              </w:rPr>
            </w:pPr>
            <w:r w:rsidRPr="00EC62E9">
              <w:rPr>
                <w:sz w:val="18"/>
                <w:lang w:val="de-DE"/>
              </w:rPr>
              <w:t>Bildanalyse</w:t>
            </w:r>
          </w:p>
        </w:tc>
        <w:tc>
          <w:tcPr>
            <w:tcW w:w="2617" w:type="dxa"/>
          </w:tcPr>
          <w:p w:rsidR="00D3322A" w:rsidRPr="00EC62E9" w:rsidRDefault="00D3322A" w:rsidP="00847FAE">
            <w:pPr>
              <w:keepNext/>
              <w:keepLines/>
              <w:widowControl w:val="0"/>
              <w:rPr>
                <w:sz w:val="18"/>
                <w:szCs w:val="18"/>
                <w:lang w:val="de-DE"/>
              </w:rPr>
            </w:pPr>
            <w:r w:rsidRPr="00EC62E9">
              <w:rPr>
                <w:sz w:val="18"/>
                <w:lang w:val="de-DE"/>
              </w:rPr>
              <w:t>Frankreich</w:t>
            </w:r>
          </w:p>
        </w:tc>
      </w:tr>
    </w:tbl>
    <w:p w:rsidR="00D3322A" w:rsidRPr="00EC62E9" w:rsidRDefault="00D3322A" w:rsidP="00D3322A">
      <w:pPr>
        <w:rPr>
          <w:lang w:val="de-DE"/>
        </w:rPr>
      </w:pPr>
    </w:p>
    <w:p w:rsidR="00D3322A" w:rsidRPr="00EC62E9" w:rsidRDefault="00D3322A" w:rsidP="00D3322A">
      <w:pPr>
        <w:rPr>
          <w:lang w:val="de-DE"/>
        </w:rPr>
      </w:pPr>
    </w:p>
    <w:p w:rsidR="00D3322A" w:rsidRPr="00EC62E9" w:rsidRDefault="00D3322A" w:rsidP="00D3322A">
      <w:pPr>
        <w:pStyle w:val="Heading6"/>
        <w:rPr>
          <w:lang w:val="de-DE"/>
        </w:rPr>
      </w:pPr>
      <w:bookmarkStart w:id="122" w:name="_Toc396137557"/>
      <w:bookmarkStart w:id="123" w:name="_Toc398736756"/>
      <w:r w:rsidRPr="00EC62E9">
        <w:rPr>
          <w:lang w:val="de-DE"/>
        </w:rPr>
        <w:t>4.  Mitwirkung von Verbandsmitgliedern und Betroffenen an den Tätigkeiten der Organe der UPOV</w:t>
      </w:r>
      <w:bookmarkEnd w:id="122"/>
      <w:bookmarkEnd w:id="123"/>
    </w:p>
    <w:p w:rsidR="00D3322A" w:rsidRPr="00EC62E9" w:rsidRDefault="00D3322A" w:rsidP="00D3322A">
      <w:pPr>
        <w:rPr>
          <w:lang w:val="de-DE"/>
        </w:rPr>
      </w:pPr>
    </w:p>
    <w:p w:rsidR="00D3322A" w:rsidRPr="00EC62E9" w:rsidRDefault="00E25A9D" w:rsidP="00D3322A">
      <w:pPr>
        <w:pStyle w:val="Heading8"/>
        <w:rPr>
          <w:lang w:val="de-DE"/>
        </w:rPr>
      </w:pPr>
      <w:bookmarkStart w:id="124" w:name="_Toc396137558"/>
      <w:bookmarkStart w:id="125" w:name="_Toc398736757"/>
      <w:r>
        <w:rPr>
          <w:lang w:val="de-DE"/>
        </w:rPr>
        <w:t xml:space="preserve">a)  </w:t>
      </w:r>
      <w:r w:rsidR="00D3322A" w:rsidRPr="00EC62E9">
        <w:rPr>
          <w:lang w:val="de-DE"/>
        </w:rPr>
        <w:t xml:space="preserve">Teilnahme am Verwaltungs- und </w:t>
      </w:r>
      <w:proofErr w:type="spellStart"/>
      <w:r w:rsidR="00D3322A" w:rsidRPr="00EC62E9">
        <w:rPr>
          <w:lang w:val="de-DE"/>
        </w:rPr>
        <w:t>Rechtsausschuß</w:t>
      </w:r>
      <w:bookmarkEnd w:id="124"/>
      <w:bookmarkEnd w:id="125"/>
      <w:proofErr w:type="spellEnd"/>
    </w:p>
    <w:p w:rsidR="00D3322A" w:rsidRPr="00EC62E9" w:rsidRDefault="00D3322A" w:rsidP="00D3322A">
      <w:pPr>
        <w:rPr>
          <w:sz w:val="18"/>
          <w:lang w:val="de-DE"/>
        </w:rPr>
      </w:pPr>
      <w:r w:rsidRPr="00EC62E9">
        <w:rPr>
          <w:sz w:val="18"/>
          <w:lang w:val="de-DE"/>
        </w:rPr>
        <w:t>(siehe Abb. 13)</w:t>
      </w:r>
    </w:p>
    <w:p w:rsidR="00D3322A" w:rsidRPr="00EC62E9" w:rsidRDefault="00D3322A" w:rsidP="00D3322A">
      <w:pPr>
        <w:rPr>
          <w:b/>
          <w:sz w:val="18"/>
          <w:szCs w:val="18"/>
          <w:lang w:val="de-DE"/>
        </w:rPr>
      </w:pPr>
    </w:p>
    <w:p w:rsidR="00D3322A" w:rsidRPr="00EC62E9" w:rsidRDefault="00D3322A" w:rsidP="00D3322A">
      <w:pPr>
        <w:pStyle w:val="Heading9"/>
        <w:rPr>
          <w:b w:val="0"/>
          <w:lang w:val="de-DE"/>
        </w:rPr>
      </w:pPr>
      <w:bookmarkStart w:id="126" w:name="_Toc396137559"/>
      <w:bookmarkStart w:id="127" w:name="_Toc398736758"/>
      <w:r w:rsidRPr="00EC62E9">
        <w:rPr>
          <w:lang w:val="de-DE"/>
        </w:rPr>
        <w:t>Abb. 13.  Zahl der am CAJ teilnehmenden Verbandsmitglieder und Beobachterstaaten/-organisationen</w:t>
      </w:r>
      <w:bookmarkEnd w:id="126"/>
      <w:bookmarkEnd w:id="127"/>
    </w:p>
    <w:p w:rsidR="00D3322A" w:rsidRPr="00EC62E9" w:rsidRDefault="00766BE6" w:rsidP="00D3322A">
      <w:pPr>
        <w:jc w:val="center"/>
        <w:rPr>
          <w:rFonts w:eastAsiaTheme="minorEastAsia"/>
          <w:b/>
          <w:bCs/>
          <w:noProof/>
          <w:sz w:val="18"/>
          <w:szCs w:val="22"/>
          <w:lang w:val="de-DE"/>
        </w:rPr>
      </w:pPr>
      <w:r w:rsidRPr="00EC62E9">
        <w:rPr>
          <w:noProof/>
        </w:rPr>
        <w:drawing>
          <wp:inline distT="0" distB="0" distL="0" distR="0" wp14:anchorId="30476032" wp14:editId="3D4237A1">
            <wp:extent cx="4600575" cy="3371851"/>
            <wp:effectExtent l="0" t="0" r="9525" b="19050"/>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322A" w:rsidRPr="00EC62E9" w:rsidRDefault="00D3322A" w:rsidP="00D3322A">
      <w:pPr>
        <w:widowControl w:val="0"/>
        <w:rPr>
          <w:rFonts w:eastAsiaTheme="minorEastAsia"/>
          <w:b/>
          <w:bCs/>
          <w:noProof/>
          <w:sz w:val="18"/>
          <w:szCs w:val="22"/>
          <w:lang w:val="de-DE"/>
        </w:rPr>
      </w:pPr>
    </w:p>
    <w:p w:rsidR="00D3322A" w:rsidRPr="00EC62E9" w:rsidRDefault="00D3322A" w:rsidP="00D3322A">
      <w:pPr>
        <w:rPr>
          <w:lang w:val="de-DE"/>
        </w:rPr>
      </w:pPr>
    </w:p>
    <w:p w:rsidR="00D3322A" w:rsidRPr="00EC62E9" w:rsidRDefault="00E25A9D" w:rsidP="00D3322A">
      <w:pPr>
        <w:pStyle w:val="Heading8"/>
        <w:keepNext/>
        <w:widowControl w:val="0"/>
        <w:rPr>
          <w:lang w:val="de-DE"/>
        </w:rPr>
      </w:pPr>
      <w:bookmarkStart w:id="128" w:name="_Toc396137560"/>
      <w:bookmarkStart w:id="129" w:name="_Toc398736759"/>
      <w:r>
        <w:rPr>
          <w:lang w:val="de-DE"/>
        </w:rPr>
        <w:t xml:space="preserve">b)  </w:t>
      </w:r>
      <w:r w:rsidR="00D3322A" w:rsidRPr="00EC62E9">
        <w:rPr>
          <w:lang w:val="de-DE"/>
        </w:rPr>
        <w:t xml:space="preserve">Teilnahme am Technischen </w:t>
      </w:r>
      <w:proofErr w:type="spellStart"/>
      <w:r w:rsidR="00D3322A" w:rsidRPr="00EC62E9">
        <w:rPr>
          <w:lang w:val="de-DE"/>
        </w:rPr>
        <w:t>Ausschuß</w:t>
      </w:r>
      <w:bookmarkEnd w:id="128"/>
      <w:bookmarkEnd w:id="129"/>
      <w:proofErr w:type="spellEnd"/>
    </w:p>
    <w:p w:rsidR="00D3322A" w:rsidRPr="00EC62E9" w:rsidRDefault="00D3322A" w:rsidP="00D3322A">
      <w:pPr>
        <w:keepNext/>
        <w:widowControl w:val="0"/>
        <w:rPr>
          <w:rFonts w:eastAsiaTheme="minorEastAsia"/>
          <w:b/>
          <w:bCs/>
          <w:noProof/>
          <w:sz w:val="18"/>
          <w:szCs w:val="22"/>
          <w:lang w:val="de-DE"/>
        </w:rPr>
      </w:pPr>
      <w:r w:rsidRPr="00EC62E9">
        <w:rPr>
          <w:sz w:val="18"/>
          <w:lang w:val="de-DE"/>
        </w:rPr>
        <w:t>(siehe Abb. 14)</w:t>
      </w:r>
    </w:p>
    <w:p w:rsidR="00D3322A" w:rsidRPr="00EC62E9" w:rsidRDefault="00D3322A" w:rsidP="00D3322A">
      <w:pPr>
        <w:keepNext/>
        <w:widowControl w:val="0"/>
        <w:rPr>
          <w:rFonts w:eastAsiaTheme="minorEastAsia"/>
          <w:b/>
          <w:bCs/>
          <w:noProof/>
          <w:sz w:val="18"/>
          <w:szCs w:val="22"/>
          <w:lang w:val="de-DE"/>
        </w:rPr>
      </w:pPr>
    </w:p>
    <w:p w:rsidR="00D3322A" w:rsidRPr="00EC62E9" w:rsidRDefault="00D3322A" w:rsidP="00D3322A">
      <w:pPr>
        <w:pStyle w:val="Heading9"/>
        <w:widowControl w:val="0"/>
        <w:rPr>
          <w:lang w:val="de-DE"/>
        </w:rPr>
      </w:pPr>
      <w:bookmarkStart w:id="130" w:name="_Toc396137561"/>
      <w:bookmarkStart w:id="131" w:name="_Toc398736760"/>
      <w:r w:rsidRPr="00EC62E9">
        <w:rPr>
          <w:lang w:val="de-DE"/>
        </w:rPr>
        <w:t>Abb. 14.  Zahl der am TC teilnehmenden Verbandsmitglieder und Beobachterstaaten/-organisationen</w:t>
      </w:r>
      <w:bookmarkEnd w:id="130"/>
      <w:bookmarkEnd w:id="131"/>
    </w:p>
    <w:p w:rsidR="00D3322A" w:rsidRPr="00EC62E9" w:rsidRDefault="00EA1B50" w:rsidP="00D3322A">
      <w:pPr>
        <w:jc w:val="center"/>
        <w:rPr>
          <w:lang w:val="de-DE"/>
        </w:rPr>
      </w:pPr>
      <w:r w:rsidRPr="00EC62E9">
        <w:rPr>
          <w:noProof/>
        </w:rPr>
        <w:drawing>
          <wp:inline distT="0" distB="0" distL="0" distR="0" wp14:anchorId="305CF0AF" wp14:editId="788A3134">
            <wp:extent cx="4536000" cy="3096000"/>
            <wp:effectExtent l="0" t="0" r="0" b="0"/>
            <wp:docPr id="30" name="Diagram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3322A" w:rsidRPr="00EC62E9" w:rsidRDefault="00D3322A" w:rsidP="00D3322A">
      <w:pPr>
        <w:rPr>
          <w:rFonts w:eastAsiaTheme="minorEastAsia"/>
          <w:b/>
          <w:bCs/>
          <w:noProof/>
          <w:sz w:val="18"/>
          <w:szCs w:val="22"/>
          <w:lang w:val="de-DE"/>
        </w:rPr>
      </w:pPr>
    </w:p>
    <w:p w:rsidR="00D3322A" w:rsidRPr="00EC62E9" w:rsidRDefault="00D3322A" w:rsidP="00D3322A">
      <w:pPr>
        <w:rPr>
          <w:rFonts w:eastAsiaTheme="minorEastAsia"/>
          <w:b/>
          <w:bCs/>
          <w:noProof/>
          <w:sz w:val="18"/>
          <w:szCs w:val="22"/>
          <w:lang w:val="de-DE"/>
        </w:rPr>
      </w:pPr>
    </w:p>
    <w:p w:rsidR="00D3322A" w:rsidRPr="00EC62E9" w:rsidRDefault="00D3322A" w:rsidP="00D3322A">
      <w:pPr>
        <w:pStyle w:val="Heading8"/>
        <w:rPr>
          <w:lang w:val="de-DE"/>
        </w:rPr>
      </w:pPr>
      <w:bookmarkStart w:id="132" w:name="_Toc396137562"/>
      <w:bookmarkStart w:id="133" w:name="_Toc398736761"/>
      <w:r w:rsidRPr="00EC62E9">
        <w:rPr>
          <w:lang w:val="de-DE"/>
        </w:rPr>
        <w:t>c)  Teilnahme an den Tagungen der Technischen Arbeitsgruppen</w:t>
      </w:r>
      <w:bookmarkEnd w:id="132"/>
      <w:bookmarkEnd w:id="133"/>
    </w:p>
    <w:p w:rsidR="00D3322A" w:rsidRPr="00EC62E9" w:rsidRDefault="00D3322A" w:rsidP="00D3322A">
      <w:pPr>
        <w:rPr>
          <w:sz w:val="18"/>
          <w:lang w:val="de-DE"/>
        </w:rPr>
      </w:pPr>
      <w:r w:rsidRPr="00EC62E9">
        <w:rPr>
          <w:sz w:val="18"/>
          <w:lang w:val="de-DE"/>
        </w:rPr>
        <w:t>(siehe Abb. 15)</w:t>
      </w:r>
    </w:p>
    <w:p w:rsidR="00D3322A" w:rsidRPr="00EC62E9" w:rsidRDefault="00D3322A" w:rsidP="00D3322A">
      <w:pPr>
        <w:rPr>
          <w:rFonts w:eastAsiaTheme="minorEastAsia"/>
          <w:b/>
          <w:bCs/>
          <w:noProof/>
          <w:sz w:val="18"/>
          <w:szCs w:val="22"/>
          <w:lang w:val="de-DE"/>
        </w:rPr>
      </w:pPr>
    </w:p>
    <w:p w:rsidR="00D3322A" w:rsidRPr="00EC62E9" w:rsidRDefault="00D3322A" w:rsidP="00D3322A">
      <w:pPr>
        <w:pStyle w:val="Heading9"/>
        <w:spacing w:after="0"/>
        <w:rPr>
          <w:b w:val="0"/>
          <w:lang w:val="de-DE"/>
        </w:rPr>
      </w:pPr>
      <w:bookmarkStart w:id="134" w:name="_Toc396137563"/>
      <w:bookmarkStart w:id="135" w:name="_Toc398736762"/>
      <w:r w:rsidRPr="00EC62E9">
        <w:rPr>
          <w:lang w:val="de-DE"/>
        </w:rPr>
        <w:t>Abb. 15.  Zahl der an den TWP teilnehmenden Mitglieder und Beobachterstaaten/-organisationen</w:t>
      </w:r>
      <w:bookmarkEnd w:id="134"/>
      <w:bookmarkEnd w:id="135"/>
    </w:p>
    <w:p w:rsidR="00D3322A" w:rsidRPr="00EC62E9" w:rsidRDefault="00D3322A" w:rsidP="00D3322A">
      <w:pPr>
        <w:rPr>
          <w:lang w:val="de-DE"/>
        </w:rPr>
      </w:pPr>
    </w:p>
    <w:p w:rsidR="00D3322A" w:rsidRPr="00EC62E9" w:rsidRDefault="00FB0200" w:rsidP="00D3322A">
      <w:pPr>
        <w:jc w:val="center"/>
        <w:rPr>
          <w:lang w:val="de-DE"/>
        </w:rPr>
      </w:pPr>
      <w:r w:rsidRPr="00EC62E9">
        <w:rPr>
          <w:noProof/>
        </w:rPr>
        <w:drawing>
          <wp:inline distT="0" distB="0" distL="0" distR="0" wp14:anchorId="688E8A9B" wp14:editId="3F6839BF">
            <wp:extent cx="4464000" cy="2988000"/>
            <wp:effectExtent l="0" t="0" r="0" b="3175"/>
            <wp:docPr id="34" name="Diagramm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322A" w:rsidRPr="00EC62E9" w:rsidRDefault="00D3322A" w:rsidP="00D3322A">
      <w:pPr>
        <w:rPr>
          <w:lang w:val="de-DE"/>
        </w:rPr>
      </w:pPr>
    </w:p>
    <w:p w:rsidR="00D3322A" w:rsidRPr="00EC62E9" w:rsidRDefault="00D3322A" w:rsidP="00D3322A">
      <w:pPr>
        <w:rPr>
          <w:lang w:val="de-DE"/>
        </w:rPr>
      </w:pPr>
    </w:p>
    <w:p w:rsidR="00D3322A" w:rsidRPr="00EC62E9" w:rsidRDefault="00D3322A" w:rsidP="00D3322A">
      <w:pPr>
        <w:jc w:val="left"/>
        <w:rPr>
          <w:rFonts w:eastAsiaTheme="minorEastAsia"/>
          <w:b/>
          <w:bCs/>
          <w:noProof/>
          <w:sz w:val="18"/>
          <w:szCs w:val="22"/>
          <w:lang w:val="de-DE"/>
        </w:rPr>
      </w:pPr>
    </w:p>
    <w:p w:rsidR="00D3322A" w:rsidRPr="00EC62E9" w:rsidRDefault="00E25A9D" w:rsidP="00D3322A">
      <w:pPr>
        <w:pStyle w:val="Heading8"/>
        <w:keepNext/>
        <w:keepLines/>
        <w:widowControl w:val="0"/>
        <w:rPr>
          <w:lang w:val="de-DE"/>
        </w:rPr>
      </w:pPr>
      <w:bookmarkStart w:id="136" w:name="_Toc396137564"/>
      <w:bookmarkStart w:id="137" w:name="_Toc398736763"/>
      <w:r>
        <w:rPr>
          <w:lang w:val="de-DE"/>
        </w:rPr>
        <w:t xml:space="preserve">d)  </w:t>
      </w:r>
      <w:r w:rsidR="00D3322A" w:rsidRPr="00EC62E9">
        <w:rPr>
          <w:lang w:val="de-DE"/>
        </w:rPr>
        <w:t>Teilnahme an vorbereitenden Arbeitstagungen für die Tagungen der Technischen Arbeitsgruppen</w:t>
      </w:r>
      <w:bookmarkEnd w:id="136"/>
      <w:bookmarkEnd w:id="137"/>
    </w:p>
    <w:p w:rsidR="00D3322A" w:rsidRPr="00EC62E9" w:rsidRDefault="00D3322A" w:rsidP="00D3322A">
      <w:pPr>
        <w:keepNext/>
        <w:keepLines/>
        <w:widowControl w:val="0"/>
        <w:jc w:val="left"/>
        <w:rPr>
          <w:sz w:val="18"/>
          <w:lang w:val="de-DE"/>
        </w:rPr>
      </w:pPr>
      <w:r w:rsidRPr="00EC62E9">
        <w:rPr>
          <w:sz w:val="18"/>
          <w:lang w:val="de-DE"/>
        </w:rPr>
        <w:t>(siehe Abb. 16)</w:t>
      </w:r>
    </w:p>
    <w:p w:rsidR="00D3322A" w:rsidRPr="00EC62E9" w:rsidRDefault="00D3322A" w:rsidP="00D3322A">
      <w:pPr>
        <w:keepNext/>
        <w:keepLines/>
        <w:widowControl w:val="0"/>
        <w:jc w:val="left"/>
        <w:rPr>
          <w:lang w:val="de-DE"/>
        </w:rPr>
      </w:pPr>
    </w:p>
    <w:p w:rsidR="00D3322A" w:rsidRPr="00EC62E9" w:rsidRDefault="00D3322A" w:rsidP="00D3322A">
      <w:pPr>
        <w:pStyle w:val="Heading9"/>
        <w:rPr>
          <w:lang w:val="de-DE"/>
        </w:rPr>
      </w:pPr>
      <w:bookmarkStart w:id="138" w:name="_Toc396137565"/>
      <w:bookmarkStart w:id="139" w:name="_Toc398736764"/>
      <w:r w:rsidRPr="00EC62E9">
        <w:rPr>
          <w:lang w:val="de-DE"/>
        </w:rPr>
        <w:t>Abb. 16</w:t>
      </w:r>
      <w:bookmarkEnd w:id="138"/>
      <w:bookmarkEnd w:id="139"/>
    </w:p>
    <w:p w:rsidR="00D3322A" w:rsidRPr="00EC62E9" w:rsidRDefault="001136A3" w:rsidP="00D3322A">
      <w:pPr>
        <w:pStyle w:val="Heading9"/>
        <w:rPr>
          <w:lang w:val="de-DE"/>
        </w:rPr>
      </w:pPr>
      <w:bookmarkStart w:id="140" w:name="_Toc396137566"/>
      <w:bookmarkStart w:id="141" w:name="_Toc398736765"/>
      <w:r>
        <w:rPr>
          <w:lang w:val="de-DE"/>
        </w:rPr>
        <w:t xml:space="preserve">i)  </w:t>
      </w:r>
      <w:r w:rsidR="00D3322A" w:rsidRPr="00EC62E9">
        <w:rPr>
          <w:lang w:val="de-DE"/>
        </w:rPr>
        <w:t>Anzahl einzelner Teilnehmer an vorbereitenden Arbeitstagungen: Mitglieder und Beobachter</w:t>
      </w:r>
      <w:bookmarkEnd w:id="140"/>
      <w:bookmarkEnd w:id="141"/>
    </w:p>
    <w:p w:rsidR="00D3322A" w:rsidRPr="00EC62E9" w:rsidRDefault="007E03BD" w:rsidP="00D3322A">
      <w:pPr>
        <w:jc w:val="center"/>
        <w:rPr>
          <w:highlight w:val="yellow"/>
          <w:lang w:val="de-DE"/>
        </w:rPr>
      </w:pPr>
      <w:r w:rsidRPr="00EC62E9">
        <w:rPr>
          <w:noProof/>
        </w:rPr>
        <w:drawing>
          <wp:inline distT="0" distB="0" distL="0" distR="0" wp14:anchorId="1C7C1B45" wp14:editId="602EF976">
            <wp:extent cx="5772150" cy="2552700"/>
            <wp:effectExtent l="0" t="0" r="0" b="0"/>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3322A" w:rsidRPr="00EC62E9" w:rsidRDefault="00D3322A" w:rsidP="00D3322A">
      <w:pPr>
        <w:jc w:val="center"/>
        <w:rPr>
          <w:highlight w:val="yellow"/>
          <w:lang w:val="de-DE"/>
        </w:rPr>
      </w:pPr>
    </w:p>
    <w:p w:rsidR="00D3322A" w:rsidRPr="00EC62E9" w:rsidRDefault="001136A3" w:rsidP="00D3322A">
      <w:pPr>
        <w:pStyle w:val="Heading9"/>
        <w:rPr>
          <w:lang w:val="de-DE"/>
        </w:rPr>
      </w:pPr>
      <w:bookmarkStart w:id="142" w:name="_Toc396137567"/>
      <w:bookmarkStart w:id="143" w:name="_Toc398736766"/>
      <w:r>
        <w:rPr>
          <w:lang w:val="de-DE"/>
        </w:rPr>
        <w:t xml:space="preserve">ii)  </w:t>
      </w:r>
      <w:r w:rsidR="00D3322A" w:rsidRPr="00EC62E9">
        <w:rPr>
          <w:lang w:val="de-DE"/>
        </w:rPr>
        <w:t>Anzahl einzelner Teilnehmer an den vorbereitenden Arbeitstagungen nach technischer Arbeitsgruppe</w:t>
      </w:r>
      <w:bookmarkEnd w:id="142"/>
      <w:bookmarkEnd w:id="143"/>
    </w:p>
    <w:p w:rsidR="00D3322A" w:rsidRPr="00EC62E9" w:rsidRDefault="00D3322A" w:rsidP="00D3322A">
      <w:pPr>
        <w:jc w:val="left"/>
        <w:rPr>
          <w:rFonts w:eastAsiaTheme="minorEastAsia"/>
          <w:b/>
          <w:bCs/>
          <w:noProof/>
          <w:sz w:val="18"/>
          <w:szCs w:val="22"/>
          <w:lang w:val="de-DE"/>
        </w:rPr>
      </w:pPr>
    </w:p>
    <w:p w:rsidR="00D3322A" w:rsidRPr="00EC62E9" w:rsidRDefault="00D3322A" w:rsidP="00D3322A">
      <w:pPr>
        <w:jc w:val="center"/>
        <w:rPr>
          <w:rFonts w:eastAsiaTheme="minorEastAsia"/>
          <w:b/>
          <w:bCs/>
          <w:noProof/>
          <w:sz w:val="18"/>
          <w:szCs w:val="22"/>
          <w:lang w:val="de-DE"/>
        </w:rPr>
      </w:pPr>
      <w:r w:rsidRPr="00EC62E9">
        <w:rPr>
          <w:noProof/>
        </w:rPr>
        <w:drawing>
          <wp:inline distT="0" distB="0" distL="0" distR="0" wp14:anchorId="05250414" wp14:editId="781A2F6E">
            <wp:extent cx="4552950" cy="2788444"/>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3322A" w:rsidRPr="00EC62E9" w:rsidRDefault="00D3322A" w:rsidP="00D3322A">
      <w:pPr>
        <w:jc w:val="center"/>
        <w:rPr>
          <w:rFonts w:eastAsiaTheme="minorEastAsia"/>
          <w:b/>
          <w:bCs/>
          <w:noProof/>
          <w:sz w:val="18"/>
          <w:szCs w:val="22"/>
          <w:lang w:val="de-DE"/>
        </w:rPr>
      </w:pPr>
    </w:p>
    <w:p w:rsidR="00D3322A" w:rsidRPr="00EC62E9" w:rsidRDefault="00D3322A" w:rsidP="00D3322A">
      <w:pPr>
        <w:jc w:val="center"/>
        <w:rPr>
          <w:rFonts w:eastAsiaTheme="minorEastAsia"/>
          <w:b/>
          <w:bCs/>
          <w:noProof/>
          <w:sz w:val="18"/>
          <w:szCs w:val="22"/>
          <w:lang w:val="de-DE"/>
        </w:rPr>
      </w:pPr>
    </w:p>
    <w:p w:rsidR="00D3322A" w:rsidRPr="00EC62E9" w:rsidRDefault="00D3322A" w:rsidP="00D3322A">
      <w:pPr>
        <w:pStyle w:val="Heading8"/>
        <w:rPr>
          <w:lang w:val="de-DE"/>
        </w:rPr>
      </w:pPr>
      <w:bookmarkStart w:id="144" w:name="_Toc393899330"/>
      <w:bookmarkStart w:id="145" w:name="_Toc396137568"/>
      <w:bookmarkStart w:id="146" w:name="_Toc398736767"/>
      <w:r w:rsidRPr="00EC62E9">
        <w:rPr>
          <w:lang w:val="de-DE"/>
        </w:rPr>
        <w:t>e)  Maßnahmen zur Verbesserung der Effektivität des TC, der TWP und der vorbereitenden Arbeitstagungen</w:t>
      </w:r>
      <w:bookmarkEnd w:id="144"/>
      <w:bookmarkEnd w:id="145"/>
      <w:bookmarkEnd w:id="146"/>
      <w:r w:rsidRPr="00EC62E9">
        <w:rPr>
          <w:lang w:val="de-DE"/>
        </w:rPr>
        <w:t xml:space="preserve"> </w:t>
      </w:r>
    </w:p>
    <w:p w:rsidR="00D3322A" w:rsidRPr="00EC62E9" w:rsidRDefault="00D3322A" w:rsidP="00E0558B">
      <w:pPr>
        <w:rPr>
          <w:sz w:val="18"/>
          <w:szCs w:val="18"/>
          <w:lang w:val="de-DE"/>
        </w:rPr>
      </w:pPr>
      <w:r w:rsidRPr="00EC62E9">
        <w:rPr>
          <w:sz w:val="18"/>
          <w:lang w:val="de-DE"/>
        </w:rPr>
        <w:t>Der TC hörte auf seiner neunundvierzigsten Tagung die Ausführungen des Verbandsbüros über eine Befragung der Teilnehmer der TWO auf ihrer (2012 abgehaltenen) fünfundvierzigsten Tagung und der TWF auf ihrer (2012 abgehaltenen) dreiundvierzigsten Tagung sowie eine Auswertung der Teilnahme am TC und an den TWP.</w:t>
      </w:r>
    </w:p>
    <w:p w:rsidR="00D3322A" w:rsidRPr="00EC62E9" w:rsidRDefault="00D3322A" w:rsidP="00D3322A">
      <w:pPr>
        <w:jc w:val="left"/>
        <w:rPr>
          <w:sz w:val="18"/>
          <w:szCs w:val="18"/>
          <w:lang w:val="de-DE"/>
        </w:rPr>
      </w:pPr>
    </w:p>
    <w:p w:rsidR="00D3322A" w:rsidRPr="00EC62E9" w:rsidRDefault="00D3322A" w:rsidP="00D3322A">
      <w:pPr>
        <w:jc w:val="left"/>
        <w:rPr>
          <w:sz w:val="18"/>
          <w:szCs w:val="18"/>
          <w:lang w:val="de-DE"/>
        </w:rPr>
      </w:pPr>
    </w:p>
    <w:p w:rsidR="00E0558B" w:rsidRDefault="00E0558B">
      <w:pPr>
        <w:jc w:val="left"/>
        <w:rPr>
          <w:bCs/>
          <w:caps/>
          <w:sz w:val="18"/>
          <w:szCs w:val="22"/>
          <w:lang w:val="de-DE"/>
        </w:rPr>
      </w:pPr>
      <w:bookmarkStart w:id="147" w:name="_Toc396137569"/>
      <w:r>
        <w:rPr>
          <w:lang w:val="de-DE"/>
        </w:rPr>
        <w:br w:type="page"/>
      </w:r>
    </w:p>
    <w:p w:rsidR="00D3322A" w:rsidRPr="00EC62E9" w:rsidRDefault="00D3322A" w:rsidP="00D3322A">
      <w:pPr>
        <w:pStyle w:val="Heading6"/>
        <w:keepNext/>
        <w:keepLines/>
        <w:widowControl w:val="0"/>
        <w:rPr>
          <w:lang w:val="de-DE"/>
        </w:rPr>
      </w:pPr>
      <w:bookmarkStart w:id="148" w:name="_Toc398736768"/>
      <w:r w:rsidRPr="00EC62E9">
        <w:rPr>
          <w:lang w:val="de-DE"/>
        </w:rPr>
        <w:t>5.  UPOV-Dokumente und Materialien in zusätzlichen Sprachen</w:t>
      </w:r>
      <w:bookmarkEnd w:id="147"/>
      <w:bookmarkEnd w:id="148"/>
    </w:p>
    <w:p w:rsidR="00D3322A" w:rsidRPr="00EC62E9" w:rsidRDefault="00D3322A" w:rsidP="00D3322A">
      <w:pPr>
        <w:keepNext/>
        <w:keepLines/>
        <w:widowControl w:val="0"/>
        <w:jc w:val="left"/>
        <w:rPr>
          <w:lang w:val="de-DE"/>
        </w:rPr>
      </w:pPr>
    </w:p>
    <w:p w:rsidR="00D3322A" w:rsidRPr="00EC62E9" w:rsidRDefault="00D3322A" w:rsidP="00D3322A">
      <w:pPr>
        <w:pStyle w:val="Heading8"/>
        <w:keepNext/>
        <w:keepLines/>
        <w:widowControl w:val="0"/>
        <w:rPr>
          <w:szCs w:val="18"/>
          <w:lang w:val="de-DE"/>
        </w:rPr>
      </w:pPr>
      <w:bookmarkStart w:id="149" w:name="_Toc396137570"/>
      <w:bookmarkStart w:id="150" w:name="_Toc398736769"/>
      <w:r w:rsidRPr="00EC62E9">
        <w:rPr>
          <w:lang w:val="de-DE"/>
        </w:rPr>
        <w:t>a)  Verfügbarkeit von UPOV-Dokumenten und Materialien in zusätzlichen Sprachen zu den Sprachen der UPOV (Englisch, Französisch, Deutsch und Spanisch)</w:t>
      </w:r>
      <w:bookmarkEnd w:id="149"/>
      <w:bookmarkEnd w:id="150"/>
    </w:p>
    <w:p w:rsidR="00D3322A" w:rsidRPr="00EC62E9" w:rsidRDefault="00D3322A" w:rsidP="00D3322A">
      <w:pPr>
        <w:pStyle w:val="ListParagraph"/>
        <w:numPr>
          <w:ilvl w:val="0"/>
          <w:numId w:val="23"/>
        </w:numPr>
        <w:jc w:val="left"/>
        <w:rPr>
          <w:rFonts w:eastAsiaTheme="minorEastAsia"/>
          <w:b/>
          <w:bCs/>
          <w:noProof/>
          <w:sz w:val="18"/>
          <w:szCs w:val="22"/>
          <w:lang w:val="de-DE"/>
        </w:rPr>
      </w:pPr>
      <w:r w:rsidRPr="00EC62E9">
        <w:rPr>
          <w:sz w:val="18"/>
          <w:lang w:val="de-DE"/>
        </w:rPr>
        <w:t xml:space="preserve">Die Akte von 1991 des UPOV-Übereinkommens wurde </w:t>
      </w:r>
      <w:proofErr w:type="gramStart"/>
      <w:r w:rsidRPr="00EC62E9">
        <w:rPr>
          <w:sz w:val="18"/>
          <w:lang w:val="de-DE"/>
        </w:rPr>
        <w:t>ins</w:t>
      </w:r>
      <w:proofErr w:type="gramEnd"/>
      <w:r w:rsidRPr="00EC62E9">
        <w:rPr>
          <w:sz w:val="18"/>
          <w:lang w:val="de-DE"/>
        </w:rPr>
        <w:t xml:space="preserve"> Khmer und ins Serbische übersetzt (die Übersetzungen werden vor ihrer Veröffentlichung auf der UPOV-Website geprüft werden).</w:t>
      </w:r>
    </w:p>
    <w:p w:rsidR="00D3322A" w:rsidRPr="00EC62E9" w:rsidRDefault="00D3322A" w:rsidP="00D3322A">
      <w:pPr>
        <w:jc w:val="left"/>
        <w:rPr>
          <w:rFonts w:eastAsiaTheme="minorEastAsia"/>
          <w:b/>
          <w:bCs/>
          <w:noProof/>
          <w:sz w:val="18"/>
          <w:szCs w:val="22"/>
          <w:lang w:val="de-DE"/>
        </w:rPr>
      </w:pPr>
    </w:p>
    <w:p w:rsidR="00D3322A" w:rsidRPr="00EC62E9" w:rsidRDefault="00D3322A" w:rsidP="00E0558B">
      <w:pPr>
        <w:jc w:val="center"/>
        <w:rPr>
          <w:rFonts w:eastAsia="Calibri" w:cs="Arial"/>
          <w:sz w:val="18"/>
          <w:szCs w:val="18"/>
          <w:lang w:val="de-DE"/>
        </w:rPr>
      </w:pPr>
      <w:r w:rsidRPr="00EC62E9">
        <w:rPr>
          <w:sz w:val="18"/>
          <w:lang w:val="de-DE"/>
        </w:rPr>
        <w:t>Aufrufe der UPOV-Website für andere Sprachen als Englisch, Französisch, Deutsch und Spanisch im Jahr 2013</w:t>
      </w:r>
    </w:p>
    <w:p w:rsidR="00D3322A" w:rsidRPr="00EC62E9" w:rsidRDefault="00D3322A" w:rsidP="00D3322A">
      <w:pPr>
        <w:jc w:val="left"/>
        <w:rPr>
          <w:rFonts w:eastAsia="Calibri" w:cs="Arial"/>
          <w:sz w:val="18"/>
          <w:szCs w:val="18"/>
          <w:lang w:val="de-DE"/>
        </w:rPr>
      </w:pPr>
    </w:p>
    <w:tbl>
      <w:tblPr>
        <w:tblW w:w="0" w:type="auto"/>
        <w:jc w:val="center"/>
        <w:tblLayout w:type="fixed"/>
        <w:tblLook w:val="0000" w:firstRow="0" w:lastRow="0" w:firstColumn="0" w:lastColumn="0" w:noHBand="0" w:noVBand="0"/>
      </w:tblPr>
      <w:tblGrid>
        <w:gridCol w:w="1696"/>
        <w:gridCol w:w="1710"/>
      </w:tblGrid>
      <w:tr w:rsidR="00D3322A" w:rsidRPr="00EC62E9" w:rsidTr="00847FAE">
        <w:trPr>
          <w:trHeight w:val="142"/>
          <w:jc w:val="center"/>
        </w:trPr>
        <w:tc>
          <w:tcPr>
            <w:tcW w:w="1696"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 xml:space="preserve">Sprache </w:t>
            </w:r>
          </w:p>
        </w:tc>
        <w:tc>
          <w:tcPr>
            <w:tcW w:w="1710" w:type="dxa"/>
          </w:tcPr>
          <w:p w:rsidR="00D3322A" w:rsidRPr="00EC62E9" w:rsidRDefault="00D3322A" w:rsidP="00847FAE">
            <w:pPr>
              <w:tabs>
                <w:tab w:val="decimal" w:pos="797"/>
              </w:tabs>
              <w:autoSpaceDE w:val="0"/>
              <w:autoSpaceDN w:val="0"/>
              <w:adjustRightInd w:val="0"/>
              <w:jc w:val="left"/>
              <w:rPr>
                <w:rFonts w:cs="Arial"/>
                <w:color w:val="000000"/>
                <w:sz w:val="18"/>
                <w:szCs w:val="18"/>
                <w:lang w:val="de-DE"/>
              </w:rPr>
            </w:pPr>
            <w:r w:rsidRPr="00EC62E9">
              <w:rPr>
                <w:color w:val="000000"/>
                <w:sz w:val="18"/>
                <w:lang w:val="de-DE"/>
              </w:rPr>
              <w:t>Seitenaufrufe</w:t>
            </w:r>
          </w:p>
          <w:p w:rsidR="00D3322A" w:rsidRPr="00EC62E9" w:rsidRDefault="00D3322A" w:rsidP="00847FAE">
            <w:pPr>
              <w:tabs>
                <w:tab w:val="decimal" w:pos="797"/>
              </w:tabs>
              <w:autoSpaceDE w:val="0"/>
              <w:autoSpaceDN w:val="0"/>
              <w:adjustRightInd w:val="0"/>
              <w:jc w:val="left"/>
              <w:rPr>
                <w:rFonts w:cs="Arial"/>
                <w:color w:val="000000"/>
                <w:sz w:val="18"/>
                <w:szCs w:val="18"/>
                <w:lang w:val="de-DE"/>
              </w:rPr>
            </w:pPr>
          </w:p>
        </w:tc>
      </w:tr>
      <w:tr w:rsidR="00D3322A" w:rsidRPr="00EC62E9" w:rsidTr="00847FAE">
        <w:trPr>
          <w:trHeight w:val="142"/>
          <w:jc w:val="center"/>
        </w:trPr>
        <w:tc>
          <w:tcPr>
            <w:tcW w:w="1696"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Russisch</w:t>
            </w:r>
          </w:p>
        </w:tc>
        <w:tc>
          <w:tcPr>
            <w:tcW w:w="1710" w:type="dxa"/>
          </w:tcPr>
          <w:p w:rsidR="00D3322A" w:rsidRPr="00EC62E9" w:rsidRDefault="00D3322A" w:rsidP="00847FAE">
            <w:pPr>
              <w:tabs>
                <w:tab w:val="decimal" w:pos="797"/>
              </w:tabs>
              <w:autoSpaceDE w:val="0"/>
              <w:autoSpaceDN w:val="0"/>
              <w:adjustRightInd w:val="0"/>
              <w:jc w:val="left"/>
              <w:rPr>
                <w:rFonts w:cs="Arial"/>
                <w:color w:val="000000"/>
                <w:sz w:val="18"/>
                <w:szCs w:val="18"/>
                <w:lang w:val="de-DE"/>
              </w:rPr>
            </w:pPr>
            <w:r w:rsidRPr="00EC62E9">
              <w:rPr>
                <w:color w:val="000000"/>
                <w:sz w:val="18"/>
                <w:lang w:val="de-DE"/>
              </w:rPr>
              <w:t>586</w:t>
            </w:r>
          </w:p>
        </w:tc>
      </w:tr>
      <w:tr w:rsidR="00D3322A" w:rsidRPr="00EC62E9" w:rsidTr="00847FAE">
        <w:trPr>
          <w:trHeight w:val="142"/>
          <w:jc w:val="center"/>
        </w:trPr>
        <w:tc>
          <w:tcPr>
            <w:tcW w:w="1696" w:type="dxa"/>
          </w:tcPr>
          <w:p w:rsidR="00D3322A" w:rsidRPr="00EC62E9" w:rsidRDefault="00D3322A" w:rsidP="00847FAE">
            <w:pPr>
              <w:autoSpaceDE w:val="0"/>
              <w:autoSpaceDN w:val="0"/>
              <w:adjustRightInd w:val="0"/>
              <w:jc w:val="left"/>
              <w:rPr>
                <w:rFonts w:cs="Arial"/>
                <w:color w:val="000000"/>
                <w:sz w:val="18"/>
                <w:szCs w:val="18"/>
                <w:lang w:val="de-DE"/>
              </w:rPr>
            </w:pPr>
            <w:r w:rsidRPr="00EC62E9">
              <w:rPr>
                <w:color w:val="000000"/>
                <w:sz w:val="18"/>
                <w:lang w:val="de-DE"/>
              </w:rPr>
              <w:t>Chinesisch</w:t>
            </w:r>
          </w:p>
        </w:tc>
        <w:tc>
          <w:tcPr>
            <w:tcW w:w="1710" w:type="dxa"/>
          </w:tcPr>
          <w:p w:rsidR="00D3322A" w:rsidRPr="00EC62E9" w:rsidRDefault="00D3322A" w:rsidP="00847FAE">
            <w:pPr>
              <w:tabs>
                <w:tab w:val="decimal" w:pos="797"/>
              </w:tabs>
              <w:autoSpaceDE w:val="0"/>
              <w:autoSpaceDN w:val="0"/>
              <w:adjustRightInd w:val="0"/>
              <w:jc w:val="left"/>
              <w:rPr>
                <w:rFonts w:cs="Arial"/>
                <w:color w:val="000000"/>
                <w:sz w:val="18"/>
                <w:szCs w:val="18"/>
                <w:lang w:val="de-DE"/>
              </w:rPr>
            </w:pPr>
            <w:r w:rsidRPr="00EC62E9">
              <w:rPr>
                <w:color w:val="000000"/>
                <w:sz w:val="18"/>
                <w:lang w:val="de-DE"/>
              </w:rPr>
              <w:t>304</w:t>
            </w:r>
          </w:p>
        </w:tc>
      </w:tr>
      <w:tr w:rsidR="00D3322A" w:rsidRPr="00EC62E9" w:rsidTr="00847FAE">
        <w:trPr>
          <w:trHeight w:val="142"/>
          <w:jc w:val="center"/>
        </w:trPr>
        <w:tc>
          <w:tcPr>
            <w:tcW w:w="1696"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Arabisch</w:t>
            </w:r>
          </w:p>
        </w:tc>
        <w:tc>
          <w:tcPr>
            <w:tcW w:w="1710" w:type="dxa"/>
          </w:tcPr>
          <w:p w:rsidR="00D3322A" w:rsidRPr="00EC62E9" w:rsidRDefault="00D3322A" w:rsidP="00847FAE">
            <w:pPr>
              <w:widowControl w:val="0"/>
              <w:tabs>
                <w:tab w:val="decimal" w:pos="797"/>
              </w:tabs>
              <w:autoSpaceDE w:val="0"/>
              <w:autoSpaceDN w:val="0"/>
              <w:adjustRightInd w:val="0"/>
              <w:jc w:val="left"/>
              <w:rPr>
                <w:rFonts w:cs="Arial"/>
                <w:color w:val="000000"/>
                <w:sz w:val="18"/>
                <w:szCs w:val="18"/>
                <w:lang w:val="de-DE"/>
              </w:rPr>
            </w:pPr>
            <w:r w:rsidRPr="00EC62E9">
              <w:rPr>
                <w:color w:val="000000"/>
                <w:sz w:val="18"/>
                <w:lang w:val="de-DE"/>
              </w:rPr>
              <w:t>273</w:t>
            </w:r>
          </w:p>
        </w:tc>
      </w:tr>
      <w:tr w:rsidR="00D3322A" w:rsidRPr="00EC62E9" w:rsidTr="00847FAE">
        <w:trPr>
          <w:trHeight w:val="142"/>
          <w:jc w:val="center"/>
        </w:trPr>
        <w:tc>
          <w:tcPr>
            <w:tcW w:w="1696" w:type="dxa"/>
          </w:tcPr>
          <w:p w:rsidR="00D3322A" w:rsidRPr="00EC62E9" w:rsidRDefault="00D3322A" w:rsidP="00847FAE">
            <w:pPr>
              <w:widowControl w:val="0"/>
              <w:autoSpaceDE w:val="0"/>
              <w:autoSpaceDN w:val="0"/>
              <w:adjustRightInd w:val="0"/>
              <w:jc w:val="left"/>
              <w:rPr>
                <w:rFonts w:cs="Arial"/>
                <w:color w:val="000000"/>
                <w:sz w:val="18"/>
                <w:szCs w:val="18"/>
                <w:lang w:val="de-DE"/>
              </w:rPr>
            </w:pPr>
            <w:r w:rsidRPr="00EC62E9">
              <w:rPr>
                <w:color w:val="000000"/>
                <w:sz w:val="18"/>
                <w:lang w:val="de-DE"/>
              </w:rPr>
              <w:t>Khmer</w:t>
            </w:r>
          </w:p>
        </w:tc>
        <w:tc>
          <w:tcPr>
            <w:tcW w:w="1710" w:type="dxa"/>
          </w:tcPr>
          <w:p w:rsidR="00D3322A" w:rsidRPr="00EC62E9" w:rsidRDefault="00D3322A" w:rsidP="00847FAE">
            <w:pPr>
              <w:widowControl w:val="0"/>
              <w:tabs>
                <w:tab w:val="decimal" w:pos="797"/>
              </w:tabs>
              <w:autoSpaceDE w:val="0"/>
              <w:autoSpaceDN w:val="0"/>
              <w:adjustRightInd w:val="0"/>
              <w:jc w:val="left"/>
              <w:rPr>
                <w:rFonts w:cs="Arial"/>
                <w:color w:val="000000"/>
                <w:sz w:val="18"/>
                <w:szCs w:val="18"/>
                <w:lang w:val="de-DE"/>
              </w:rPr>
            </w:pPr>
            <w:r w:rsidRPr="00EC62E9">
              <w:rPr>
                <w:color w:val="000000"/>
                <w:sz w:val="18"/>
                <w:lang w:val="de-DE"/>
              </w:rPr>
              <w:t>64</w:t>
            </w:r>
          </w:p>
        </w:tc>
      </w:tr>
    </w:tbl>
    <w:p w:rsidR="00D3322A" w:rsidRPr="00EC62E9" w:rsidRDefault="00D3322A" w:rsidP="00D3322A">
      <w:pPr>
        <w:pStyle w:val="Heading6"/>
        <w:widowControl w:val="0"/>
        <w:rPr>
          <w:lang w:val="de-DE"/>
        </w:rPr>
      </w:pPr>
      <w:bookmarkStart w:id="151" w:name="_Toc336339195"/>
    </w:p>
    <w:p w:rsidR="00D3322A" w:rsidRPr="00EC62E9" w:rsidRDefault="00D3322A" w:rsidP="00D3322A">
      <w:pPr>
        <w:pStyle w:val="Heading6"/>
        <w:widowControl w:val="0"/>
        <w:rPr>
          <w:lang w:val="de-DE"/>
        </w:rPr>
      </w:pPr>
    </w:p>
    <w:p w:rsidR="00D3322A" w:rsidRPr="00EC62E9" w:rsidRDefault="00D3322A" w:rsidP="00D3322A">
      <w:pPr>
        <w:pStyle w:val="Heading6"/>
        <w:widowControl w:val="0"/>
        <w:rPr>
          <w:lang w:val="de-DE"/>
        </w:rPr>
      </w:pPr>
    </w:p>
    <w:p w:rsidR="00D3322A" w:rsidRPr="00EC62E9" w:rsidRDefault="00D3322A" w:rsidP="00D3322A">
      <w:pPr>
        <w:pStyle w:val="Heading6"/>
        <w:widowControl w:val="0"/>
        <w:rPr>
          <w:rFonts w:eastAsiaTheme="minorEastAsia"/>
          <w:b/>
          <w:noProof/>
          <w:lang w:val="de-DE"/>
        </w:rPr>
      </w:pPr>
      <w:bookmarkStart w:id="152" w:name="_Toc396137571"/>
      <w:bookmarkStart w:id="153" w:name="_Toc398736770"/>
      <w:r w:rsidRPr="00EC62E9">
        <w:rPr>
          <w:lang w:val="de-DE"/>
        </w:rPr>
        <w:t>6.  Erleichterung der Anträge auf Erteilung von Züchterrechten</w:t>
      </w:r>
      <w:bookmarkEnd w:id="151"/>
      <w:bookmarkEnd w:id="152"/>
      <w:bookmarkEnd w:id="153"/>
    </w:p>
    <w:p w:rsidR="00D3322A" w:rsidRPr="00EC62E9" w:rsidRDefault="00D3322A" w:rsidP="00D3322A">
      <w:pPr>
        <w:widowControl w:val="0"/>
        <w:jc w:val="left"/>
        <w:rPr>
          <w:rFonts w:eastAsiaTheme="minorEastAsia"/>
          <w:b/>
          <w:bCs/>
          <w:noProof/>
          <w:sz w:val="18"/>
          <w:szCs w:val="22"/>
          <w:lang w:val="de-DE"/>
        </w:rPr>
      </w:pPr>
    </w:p>
    <w:p w:rsidR="00D3322A" w:rsidRPr="00EC62E9" w:rsidRDefault="00E0558B" w:rsidP="00D3322A">
      <w:pPr>
        <w:pStyle w:val="Heading8"/>
        <w:widowControl w:val="0"/>
        <w:spacing w:after="0"/>
        <w:rPr>
          <w:szCs w:val="18"/>
          <w:lang w:val="de-DE"/>
        </w:rPr>
      </w:pPr>
      <w:bookmarkStart w:id="154" w:name="_Toc336339243"/>
      <w:bookmarkStart w:id="155" w:name="_Toc396137572"/>
      <w:bookmarkStart w:id="156" w:name="_Toc398736771"/>
      <w:r>
        <w:rPr>
          <w:lang w:val="de-DE"/>
        </w:rPr>
        <w:t xml:space="preserve">a)  </w:t>
      </w:r>
      <w:r w:rsidR="00D3322A" w:rsidRPr="00EC62E9">
        <w:rPr>
          <w:lang w:val="de-DE"/>
        </w:rPr>
        <w:t>Anzahl Anträge auf Erteilung von Züchterrechten</w:t>
      </w:r>
      <w:bookmarkEnd w:id="154"/>
      <w:bookmarkEnd w:id="155"/>
      <w:bookmarkEnd w:id="156"/>
    </w:p>
    <w:p w:rsidR="00D3322A" w:rsidRPr="00EC62E9" w:rsidRDefault="00D3322A" w:rsidP="00D3322A">
      <w:pPr>
        <w:widowControl w:val="0"/>
        <w:rPr>
          <w:sz w:val="18"/>
          <w:szCs w:val="18"/>
          <w:lang w:val="de-DE"/>
        </w:rPr>
      </w:pPr>
      <w:r w:rsidRPr="00EC62E9">
        <w:rPr>
          <w:sz w:val="18"/>
          <w:lang w:val="de-DE"/>
        </w:rPr>
        <w:t>(siehe Abb. 17 und 19)</w:t>
      </w:r>
    </w:p>
    <w:p w:rsidR="00D3322A" w:rsidRPr="00EC62E9" w:rsidRDefault="00D3322A" w:rsidP="00D3322A">
      <w:pPr>
        <w:widowControl w:val="0"/>
        <w:rPr>
          <w:sz w:val="18"/>
          <w:szCs w:val="18"/>
          <w:lang w:val="de-DE"/>
        </w:rPr>
      </w:pPr>
    </w:p>
    <w:p w:rsidR="00D3322A" w:rsidRPr="00EC62E9" w:rsidRDefault="00D3322A" w:rsidP="00D3322A">
      <w:pPr>
        <w:pStyle w:val="Heading8"/>
        <w:widowControl w:val="0"/>
        <w:spacing w:after="0"/>
        <w:rPr>
          <w:szCs w:val="18"/>
          <w:lang w:val="de-DE"/>
        </w:rPr>
      </w:pPr>
      <w:bookmarkStart w:id="157" w:name="_Toc396137573"/>
      <w:bookmarkStart w:id="158" w:name="_Toc398736772"/>
      <w:r w:rsidRPr="00EC62E9">
        <w:rPr>
          <w:lang w:val="de-DE"/>
        </w:rPr>
        <w:t>b)</w:t>
      </w:r>
      <w:r w:rsidR="00E0558B">
        <w:rPr>
          <w:lang w:val="de-DE"/>
        </w:rPr>
        <w:t xml:space="preserve">  </w:t>
      </w:r>
      <w:r w:rsidRPr="00EC62E9">
        <w:rPr>
          <w:lang w:val="de-DE"/>
        </w:rPr>
        <w:t>Anzahl erteilte Schutztitel</w:t>
      </w:r>
      <w:bookmarkEnd w:id="157"/>
      <w:bookmarkEnd w:id="158"/>
    </w:p>
    <w:p w:rsidR="00D3322A" w:rsidRPr="00EC62E9" w:rsidRDefault="00D3322A" w:rsidP="00D3322A">
      <w:pPr>
        <w:widowControl w:val="0"/>
        <w:rPr>
          <w:sz w:val="18"/>
          <w:szCs w:val="18"/>
          <w:lang w:val="de-DE"/>
        </w:rPr>
      </w:pPr>
      <w:r w:rsidRPr="00EC62E9">
        <w:rPr>
          <w:sz w:val="18"/>
          <w:lang w:val="de-DE"/>
        </w:rPr>
        <w:t>(siehe Abb. 20)</w:t>
      </w:r>
    </w:p>
    <w:p w:rsidR="00D3322A" w:rsidRPr="00EC62E9" w:rsidRDefault="00D3322A" w:rsidP="00D3322A">
      <w:pPr>
        <w:widowControl w:val="0"/>
        <w:rPr>
          <w:sz w:val="18"/>
          <w:szCs w:val="18"/>
          <w:lang w:val="de-DE"/>
        </w:rPr>
      </w:pPr>
    </w:p>
    <w:p w:rsidR="00D3322A" w:rsidRPr="00EC62E9" w:rsidRDefault="00D3322A" w:rsidP="00D3322A">
      <w:pPr>
        <w:pStyle w:val="Heading8"/>
        <w:widowControl w:val="0"/>
        <w:spacing w:after="0"/>
        <w:rPr>
          <w:szCs w:val="18"/>
          <w:lang w:val="de-DE"/>
        </w:rPr>
      </w:pPr>
      <w:bookmarkStart w:id="159" w:name="_Toc396137574"/>
      <w:bookmarkStart w:id="160" w:name="_Toc398736773"/>
      <w:r w:rsidRPr="00EC62E9">
        <w:rPr>
          <w:lang w:val="de-DE"/>
        </w:rPr>
        <w:t xml:space="preserve">c) </w:t>
      </w:r>
      <w:r w:rsidR="00E0558B">
        <w:rPr>
          <w:lang w:val="de-DE"/>
        </w:rPr>
        <w:t xml:space="preserve"> </w:t>
      </w:r>
      <w:r w:rsidRPr="00EC62E9">
        <w:rPr>
          <w:lang w:val="de-DE"/>
        </w:rPr>
        <w:t>Anzahl Schutztitel, die in Kraft sind</w:t>
      </w:r>
      <w:bookmarkEnd w:id="159"/>
      <w:bookmarkEnd w:id="160"/>
    </w:p>
    <w:p w:rsidR="00D3322A" w:rsidRPr="00EC62E9" w:rsidRDefault="00D3322A" w:rsidP="00D3322A">
      <w:pPr>
        <w:widowControl w:val="0"/>
        <w:jc w:val="left"/>
        <w:rPr>
          <w:sz w:val="18"/>
          <w:szCs w:val="18"/>
          <w:lang w:val="de-DE"/>
        </w:rPr>
      </w:pPr>
      <w:r w:rsidRPr="00EC62E9">
        <w:rPr>
          <w:sz w:val="18"/>
          <w:lang w:val="de-DE"/>
        </w:rPr>
        <w:t>(siehe Abb. 18)</w:t>
      </w:r>
    </w:p>
    <w:p w:rsidR="00D3322A" w:rsidRPr="00EC62E9" w:rsidRDefault="00D3322A" w:rsidP="00D3322A">
      <w:pPr>
        <w:widowControl w:val="0"/>
        <w:jc w:val="left"/>
        <w:rPr>
          <w:rFonts w:eastAsiaTheme="minorEastAsia"/>
          <w:b/>
          <w:bCs/>
          <w:noProof/>
          <w:sz w:val="18"/>
          <w:szCs w:val="22"/>
          <w:lang w:val="de-DE"/>
        </w:rPr>
      </w:pPr>
    </w:p>
    <w:tbl>
      <w:tblPr>
        <w:tblW w:w="9889" w:type="dxa"/>
        <w:tblInd w:w="-38" w:type="dxa"/>
        <w:tblLayout w:type="fixed"/>
        <w:tblCellMar>
          <w:left w:w="70" w:type="dxa"/>
          <w:right w:w="70" w:type="dxa"/>
        </w:tblCellMar>
        <w:tblLook w:val="0000" w:firstRow="0" w:lastRow="0" w:firstColumn="0" w:lastColumn="0" w:noHBand="0" w:noVBand="0"/>
      </w:tblPr>
      <w:tblGrid>
        <w:gridCol w:w="4501"/>
        <w:gridCol w:w="5350"/>
        <w:gridCol w:w="38"/>
      </w:tblGrid>
      <w:tr w:rsidR="00D3322A" w:rsidRPr="00EC62E9" w:rsidTr="009D14E5">
        <w:trPr>
          <w:gridAfter w:val="1"/>
          <w:wAfter w:w="38" w:type="dxa"/>
          <w:trHeight w:val="3852"/>
        </w:trPr>
        <w:tc>
          <w:tcPr>
            <w:tcW w:w="4501" w:type="dxa"/>
          </w:tcPr>
          <w:p w:rsidR="00D3322A" w:rsidRPr="00EC62E9" w:rsidRDefault="00D3322A" w:rsidP="00847FAE">
            <w:pPr>
              <w:pStyle w:val="Heading9"/>
              <w:rPr>
                <w:lang w:val="de-DE"/>
              </w:rPr>
            </w:pPr>
            <w:bookmarkStart w:id="161" w:name="_Toc396137575"/>
            <w:bookmarkStart w:id="162" w:name="_Toc398736774"/>
            <w:r w:rsidRPr="00EC62E9">
              <w:rPr>
                <w:lang w:val="de-DE"/>
              </w:rPr>
              <w:t>Abb. 17.  Anträge auf Erteilung von Züchterrechten</w:t>
            </w:r>
            <w:bookmarkEnd w:id="161"/>
            <w:bookmarkEnd w:id="162"/>
          </w:p>
          <w:p w:rsidR="00D3322A" w:rsidRPr="00EC62E9" w:rsidRDefault="00590A7D" w:rsidP="00847FAE">
            <w:pPr>
              <w:rPr>
                <w:lang w:val="de-DE"/>
              </w:rPr>
            </w:pPr>
            <w:r w:rsidRPr="00EC62E9">
              <w:rPr>
                <w:noProof/>
              </w:rPr>
              <w:drawing>
                <wp:inline distT="0" distB="0" distL="0" distR="0" wp14:anchorId="1F9A89B2" wp14:editId="06A13960">
                  <wp:extent cx="2781300" cy="2114550"/>
                  <wp:effectExtent l="0" t="0" r="0" b="0"/>
                  <wp:docPr id="42" name="Diagramm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5350" w:type="dxa"/>
          </w:tcPr>
          <w:p w:rsidR="00D3322A" w:rsidRPr="00EC62E9" w:rsidRDefault="00D3322A" w:rsidP="00847FAE">
            <w:pPr>
              <w:pStyle w:val="Heading9"/>
              <w:rPr>
                <w:lang w:val="de-DE"/>
              </w:rPr>
            </w:pPr>
            <w:bookmarkStart w:id="163" w:name="_Toc396137576"/>
            <w:bookmarkStart w:id="164" w:name="_Toc398736775"/>
            <w:r w:rsidRPr="00EC62E9">
              <w:rPr>
                <w:lang w:val="de-DE"/>
              </w:rPr>
              <w:t>Abb. 18.  Schutztitel, die in Kraft sind</w:t>
            </w:r>
            <w:bookmarkEnd w:id="163"/>
            <w:bookmarkEnd w:id="164"/>
          </w:p>
          <w:p w:rsidR="00D3322A" w:rsidRPr="00EC62E9" w:rsidRDefault="009D14E5" w:rsidP="00847FAE">
            <w:pPr>
              <w:rPr>
                <w:sz w:val="18"/>
                <w:szCs w:val="18"/>
                <w:lang w:val="de-DE"/>
              </w:rPr>
            </w:pPr>
            <w:r w:rsidRPr="007E0218">
              <w:rPr>
                <w:noProof/>
                <w:sz w:val="18"/>
              </w:rPr>
              <w:drawing>
                <wp:inline distT="0" distB="0" distL="0" distR="0" wp14:anchorId="2232617A" wp14:editId="01D25437">
                  <wp:extent cx="3333750" cy="2114550"/>
                  <wp:effectExtent l="0" t="0" r="0" b="0"/>
                  <wp:docPr id="48" name="Diagramm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D3322A" w:rsidRPr="00EC62E9" w:rsidTr="00661B19">
        <w:trPr>
          <w:trHeight w:val="3680"/>
        </w:trPr>
        <w:tc>
          <w:tcPr>
            <w:tcW w:w="4501" w:type="dxa"/>
            <w:shd w:val="clear" w:color="auto" w:fill="auto"/>
          </w:tcPr>
          <w:p w:rsidR="00D3322A" w:rsidRPr="00EC62E9" w:rsidRDefault="00D3322A" w:rsidP="00847FAE">
            <w:pPr>
              <w:jc w:val="center"/>
              <w:rPr>
                <w:rStyle w:val="Heading9Char"/>
                <w:lang w:val="de-DE"/>
              </w:rPr>
            </w:pPr>
            <w:bookmarkStart w:id="165" w:name="_Toc396137577"/>
            <w:bookmarkStart w:id="166" w:name="_Toc398736776"/>
            <w:r w:rsidRPr="00EC62E9">
              <w:rPr>
                <w:rStyle w:val="Heading9Char"/>
                <w:lang w:val="de-DE"/>
              </w:rPr>
              <w:t>Abb. 19.  Anträge auf Erteilung von Züchterrechten nach Ansässigen/Nichtansässigen</w:t>
            </w:r>
            <w:bookmarkEnd w:id="165"/>
            <w:bookmarkEnd w:id="166"/>
          </w:p>
          <w:p w:rsidR="00D3322A" w:rsidRPr="00EC62E9" w:rsidRDefault="00661B19" w:rsidP="00847FAE">
            <w:pPr>
              <w:jc w:val="center"/>
              <w:rPr>
                <w:lang w:val="de-DE"/>
              </w:rPr>
            </w:pPr>
            <w:r w:rsidRPr="00EC62E9">
              <w:rPr>
                <w:noProof/>
              </w:rPr>
              <w:drawing>
                <wp:inline distT="0" distB="0" distL="0" distR="0" wp14:anchorId="237FAC21" wp14:editId="73FB2296">
                  <wp:extent cx="2857500" cy="2025650"/>
                  <wp:effectExtent l="0" t="0" r="0" b="0"/>
                  <wp:docPr id="49" name="Diagramm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5388" w:type="dxa"/>
            <w:gridSpan w:val="2"/>
            <w:shd w:val="clear" w:color="auto" w:fill="auto"/>
          </w:tcPr>
          <w:p w:rsidR="00D3322A" w:rsidRPr="00EC62E9" w:rsidRDefault="00D3322A" w:rsidP="00847FAE">
            <w:pPr>
              <w:jc w:val="center"/>
              <w:rPr>
                <w:rStyle w:val="Heading9Char"/>
                <w:lang w:val="de-DE"/>
              </w:rPr>
            </w:pPr>
            <w:bookmarkStart w:id="167" w:name="_Toc396137578"/>
            <w:bookmarkStart w:id="168" w:name="_Toc398736777"/>
            <w:r w:rsidRPr="00EC62E9">
              <w:rPr>
                <w:rStyle w:val="Heading9Char"/>
                <w:lang w:val="de-DE"/>
              </w:rPr>
              <w:t>Abb. 20.  Erteilte Züchterrechtstitel nach Ansässigen/Nichtansässigen</w:t>
            </w:r>
            <w:bookmarkEnd w:id="167"/>
            <w:bookmarkEnd w:id="168"/>
          </w:p>
          <w:p w:rsidR="00D3322A" w:rsidRPr="00EC62E9" w:rsidRDefault="00B66F46" w:rsidP="00847FAE">
            <w:pPr>
              <w:jc w:val="center"/>
              <w:rPr>
                <w:sz w:val="18"/>
                <w:szCs w:val="18"/>
                <w:lang w:val="de-DE"/>
              </w:rPr>
            </w:pPr>
            <w:r w:rsidRPr="00EC62E9">
              <w:rPr>
                <w:noProof/>
              </w:rPr>
              <w:drawing>
                <wp:inline distT="0" distB="0" distL="0" distR="0" wp14:anchorId="046AC1F7" wp14:editId="0E9FE2BF">
                  <wp:extent cx="3219450" cy="1981200"/>
                  <wp:effectExtent l="0" t="0" r="0" b="0"/>
                  <wp:docPr id="61" name="Diagramm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D3322A" w:rsidRPr="00EC62E9" w:rsidRDefault="00D3322A" w:rsidP="00D3322A">
      <w:pPr>
        <w:widowControl w:val="0"/>
        <w:jc w:val="left"/>
        <w:rPr>
          <w:rFonts w:eastAsiaTheme="minorEastAsia"/>
          <w:b/>
          <w:bCs/>
          <w:noProof/>
          <w:sz w:val="18"/>
          <w:szCs w:val="22"/>
          <w:lang w:val="de-DE"/>
        </w:rPr>
      </w:pPr>
    </w:p>
    <w:p w:rsidR="00D3322A" w:rsidRPr="00EC62E9" w:rsidRDefault="00E25A9D" w:rsidP="00D3322A">
      <w:pPr>
        <w:pStyle w:val="Heading8"/>
        <w:keepNext/>
        <w:keepLines/>
        <w:widowControl w:val="0"/>
        <w:rPr>
          <w:szCs w:val="18"/>
          <w:lang w:val="de-DE"/>
        </w:rPr>
      </w:pPr>
      <w:bookmarkStart w:id="169" w:name="_Toc396137579"/>
      <w:bookmarkStart w:id="170" w:name="_Toc398736778"/>
      <w:r>
        <w:rPr>
          <w:lang w:val="de-DE"/>
        </w:rPr>
        <w:t xml:space="preserve">d)  </w:t>
      </w:r>
      <w:r w:rsidR="00D3322A" w:rsidRPr="00EC62E9">
        <w:rPr>
          <w:lang w:val="de-DE"/>
        </w:rPr>
        <w:t>Anzahl Gattungen/Arten, die von den Verbandsmitgliedern geschützt werden.</w:t>
      </w:r>
      <w:bookmarkEnd w:id="169"/>
      <w:bookmarkEnd w:id="170"/>
    </w:p>
    <w:p w:rsidR="00D3322A" w:rsidRPr="00EC62E9" w:rsidRDefault="00D3322A" w:rsidP="00D3322A">
      <w:pPr>
        <w:keepNext/>
        <w:keepLines/>
        <w:widowControl w:val="0"/>
        <w:rPr>
          <w:sz w:val="18"/>
          <w:lang w:val="de-DE"/>
        </w:rPr>
      </w:pPr>
      <w:r w:rsidRPr="00EC62E9">
        <w:rPr>
          <w:sz w:val="18"/>
          <w:lang w:val="de-DE"/>
        </w:rPr>
        <w:t>(siehe Abb. 21 und 22)</w:t>
      </w:r>
    </w:p>
    <w:p w:rsidR="00D3322A" w:rsidRPr="00EC62E9" w:rsidRDefault="00D3322A" w:rsidP="00D3322A">
      <w:pPr>
        <w:widowControl w:val="0"/>
        <w:rPr>
          <w:sz w:val="18"/>
          <w:szCs w:val="18"/>
          <w:lang w:val="de-DE"/>
        </w:rPr>
      </w:pPr>
    </w:p>
    <w:p w:rsidR="00D3322A" w:rsidRPr="00EC62E9" w:rsidRDefault="00D3322A" w:rsidP="00D3322A">
      <w:pPr>
        <w:pStyle w:val="Heading9"/>
        <w:keepNext w:val="0"/>
        <w:widowControl w:val="0"/>
        <w:rPr>
          <w:lang w:val="de-DE"/>
        </w:rPr>
      </w:pPr>
      <w:bookmarkStart w:id="171" w:name="_Toc396137580"/>
      <w:bookmarkStart w:id="172" w:name="_Toc398736779"/>
      <w:r w:rsidRPr="00EC62E9">
        <w:rPr>
          <w:lang w:val="de-DE"/>
        </w:rPr>
        <w:t>Abb. 21.  Schutz von Gattungen und Arten im Jahr 2013</w:t>
      </w:r>
      <w:bookmarkEnd w:id="171"/>
      <w:bookmarkEnd w:id="172"/>
    </w:p>
    <w:p w:rsidR="00D3322A" w:rsidRPr="00EC62E9" w:rsidRDefault="00D3322A" w:rsidP="00D3322A">
      <w:pPr>
        <w:widowControl w:val="0"/>
        <w:rPr>
          <w:sz w:val="18"/>
          <w:szCs w:val="18"/>
          <w:lang w:val="de-DE"/>
        </w:rPr>
      </w:pPr>
      <w:r w:rsidRPr="00EC62E9">
        <w:rPr>
          <w:noProof/>
          <w:sz w:val="18"/>
          <w:szCs w:val="18"/>
        </w:rPr>
        <w:drawing>
          <wp:inline distT="0" distB="0" distL="0" distR="0" wp14:anchorId="26CA6DD7" wp14:editId="3EE48A47">
            <wp:extent cx="6115685" cy="3098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figure_22_protection.png"/>
                    <pic:cNvPicPr/>
                  </pic:nvPicPr>
                  <pic:blipFill>
                    <a:blip r:embed="rId35">
                      <a:extLst>
                        <a:ext uri="{28A0092B-C50C-407E-A947-70E740481C1C}">
                          <a14:useLocalDpi xmlns:a14="http://schemas.microsoft.com/office/drawing/2010/main" val="0"/>
                        </a:ext>
                      </a:extLst>
                    </a:blip>
                    <a:stretch>
                      <a:fillRect/>
                    </a:stretch>
                  </pic:blipFill>
                  <pic:spPr>
                    <a:xfrm>
                      <a:off x="0" y="0"/>
                      <a:ext cx="6115685" cy="3098800"/>
                    </a:xfrm>
                    <a:prstGeom prst="rect">
                      <a:avLst/>
                    </a:prstGeom>
                  </pic:spPr>
                </pic:pic>
              </a:graphicData>
            </a:graphic>
          </wp:inline>
        </w:drawing>
      </w:r>
    </w:p>
    <w:p w:rsidR="00D3322A" w:rsidRPr="00EC62E9" w:rsidRDefault="00D3322A" w:rsidP="00D3322A">
      <w:pPr>
        <w:widowControl w:val="0"/>
        <w:rPr>
          <w:sz w:val="18"/>
          <w:szCs w:val="18"/>
          <w:lang w:val="de-DE"/>
        </w:rPr>
      </w:pPr>
    </w:p>
    <w:p w:rsidR="00D3322A" w:rsidRPr="007E0218" w:rsidRDefault="00D3322A" w:rsidP="00D3322A">
      <w:pPr>
        <w:widowControl w:val="0"/>
        <w:spacing w:after="60"/>
        <w:ind w:left="529"/>
        <w:jc w:val="left"/>
        <w:rPr>
          <w:sz w:val="16"/>
          <w:szCs w:val="18"/>
          <w:lang w:val="de-DE"/>
        </w:rPr>
      </w:pPr>
      <w:r w:rsidRPr="007E0218">
        <w:rPr>
          <w:noProof/>
          <w:sz w:val="18"/>
        </w:rPr>
        <w:drawing>
          <wp:inline distT="0" distB="0" distL="0" distR="0" wp14:anchorId="2155FDE9" wp14:editId="7AFAA5EA">
            <wp:extent cx="114300" cy="106134"/>
            <wp:effectExtent l="19050" t="19050" r="1905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5784" cy="107512"/>
                    </a:xfrm>
                    <a:prstGeom prst="rect">
                      <a:avLst/>
                    </a:prstGeom>
                    <a:ln>
                      <a:solidFill>
                        <a:schemeClr val="tx1"/>
                      </a:solidFill>
                    </a:ln>
                  </pic:spPr>
                </pic:pic>
              </a:graphicData>
            </a:graphic>
          </wp:inline>
        </w:drawing>
      </w:r>
      <w:r w:rsidRPr="007E0218">
        <w:rPr>
          <w:sz w:val="18"/>
          <w:lang w:val="de-DE"/>
        </w:rPr>
        <w:tab/>
      </w:r>
      <w:r w:rsidRPr="007E0218">
        <w:rPr>
          <w:sz w:val="16"/>
          <w:szCs w:val="18"/>
          <w:lang w:val="de-DE"/>
        </w:rPr>
        <w:t>Verbandsmitglieder, die alle Pflanzengattungen und -arten schützen</w:t>
      </w:r>
    </w:p>
    <w:p w:rsidR="00D3322A" w:rsidRPr="007E0218" w:rsidRDefault="00D3322A" w:rsidP="00D3322A">
      <w:pPr>
        <w:widowControl w:val="0"/>
        <w:ind w:left="533"/>
        <w:jc w:val="left"/>
        <w:rPr>
          <w:sz w:val="16"/>
          <w:szCs w:val="18"/>
          <w:lang w:val="de-DE"/>
        </w:rPr>
      </w:pPr>
      <w:r w:rsidRPr="007E0218">
        <w:rPr>
          <w:noProof/>
          <w:sz w:val="18"/>
        </w:rPr>
        <w:drawing>
          <wp:inline distT="0" distB="0" distL="0" distR="0" wp14:anchorId="411D266D" wp14:editId="1657F559">
            <wp:extent cx="114300" cy="1047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w="9525" cmpd="sng">
                      <a:solidFill>
                        <a:srgbClr val="000000"/>
                      </a:solidFill>
                      <a:miter lim="800000"/>
                      <a:headEnd/>
                      <a:tailEnd/>
                    </a:ln>
                    <a:effectLst/>
                  </pic:spPr>
                </pic:pic>
              </a:graphicData>
            </a:graphic>
          </wp:inline>
        </w:drawing>
      </w:r>
      <w:r w:rsidRPr="007E0218">
        <w:rPr>
          <w:sz w:val="18"/>
          <w:lang w:val="de-DE"/>
        </w:rPr>
        <w:tab/>
      </w:r>
      <w:r w:rsidRPr="007E0218">
        <w:rPr>
          <w:sz w:val="16"/>
          <w:szCs w:val="18"/>
          <w:lang w:val="de-DE"/>
        </w:rPr>
        <w:t>Verbandsmitglieder, die eine begrenzte Anzahl an Pflanzengattungen und -arten schützen</w:t>
      </w:r>
    </w:p>
    <w:p w:rsidR="007E0218" w:rsidRPr="007E0218" w:rsidRDefault="007E0218" w:rsidP="007E0218">
      <w:pPr>
        <w:widowControl w:val="0"/>
        <w:ind w:left="529"/>
        <w:jc w:val="left"/>
        <w:rPr>
          <w:sz w:val="16"/>
          <w:szCs w:val="16"/>
          <w:lang w:val="de-DE"/>
        </w:rPr>
      </w:pPr>
    </w:p>
    <w:p w:rsidR="007E0218" w:rsidRPr="007E0218" w:rsidRDefault="007E0218" w:rsidP="007E0218">
      <w:pPr>
        <w:widowControl w:val="0"/>
        <w:ind w:left="529"/>
        <w:jc w:val="left"/>
        <w:rPr>
          <w:sz w:val="16"/>
          <w:szCs w:val="16"/>
          <w:lang w:val="de-DE"/>
        </w:rPr>
      </w:pPr>
    </w:p>
    <w:p w:rsidR="00D3322A" w:rsidRPr="00EC62E9" w:rsidRDefault="00D3322A" w:rsidP="00D3322A">
      <w:pPr>
        <w:widowControl w:val="0"/>
        <w:ind w:left="529"/>
        <w:jc w:val="left"/>
        <w:rPr>
          <w:sz w:val="16"/>
          <w:szCs w:val="16"/>
          <w:lang w:val="de-DE"/>
        </w:rPr>
      </w:pPr>
    </w:p>
    <w:p w:rsidR="00D3322A" w:rsidRPr="00EC62E9" w:rsidRDefault="00D3322A" w:rsidP="00D3322A">
      <w:pPr>
        <w:pStyle w:val="Heading9"/>
        <w:rPr>
          <w:lang w:val="de-DE"/>
        </w:rPr>
      </w:pPr>
      <w:bookmarkStart w:id="173" w:name="_Toc396137581"/>
      <w:bookmarkStart w:id="174" w:name="_Toc398736780"/>
      <w:r w:rsidRPr="00EC62E9">
        <w:rPr>
          <w:lang w:val="de-DE"/>
        </w:rPr>
        <w:t>Abb. 22.  Entwicklung der Erteilung von Schutz für Pflanzengattungen und -arten</w:t>
      </w:r>
      <w:bookmarkEnd w:id="173"/>
      <w:bookmarkEnd w:id="174"/>
    </w:p>
    <w:p w:rsidR="00D3322A" w:rsidRPr="00EC62E9" w:rsidRDefault="0051111E" w:rsidP="00D3322A">
      <w:pPr>
        <w:spacing w:before="60" w:after="120"/>
        <w:ind w:left="425" w:hanging="425"/>
        <w:jc w:val="center"/>
        <w:rPr>
          <w:color w:val="000000"/>
          <w:sz w:val="18"/>
          <w:szCs w:val="18"/>
          <w:lang w:val="de-DE"/>
        </w:rPr>
      </w:pPr>
      <w:r w:rsidRPr="00EC62E9">
        <w:rPr>
          <w:noProof/>
        </w:rPr>
        <w:drawing>
          <wp:inline distT="0" distB="0" distL="0" distR="0" wp14:anchorId="58E9FBD6" wp14:editId="236F168A">
            <wp:extent cx="5040173" cy="3306470"/>
            <wp:effectExtent l="0" t="0" r="8255"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3322A" w:rsidRPr="00E13185" w:rsidRDefault="00D3322A" w:rsidP="00E13185">
      <w:pPr>
        <w:rPr>
          <w:sz w:val="18"/>
        </w:rPr>
      </w:pPr>
    </w:p>
    <w:p w:rsidR="00D3322A" w:rsidRPr="00E13185" w:rsidRDefault="00D3322A" w:rsidP="00E13185">
      <w:pPr>
        <w:rPr>
          <w:sz w:val="18"/>
        </w:rPr>
      </w:pPr>
    </w:p>
    <w:p w:rsidR="0013087D" w:rsidRPr="00E13185" w:rsidRDefault="0013087D" w:rsidP="00E13185">
      <w:pPr>
        <w:rPr>
          <w:sz w:val="18"/>
        </w:rPr>
      </w:pPr>
      <w:bookmarkStart w:id="175" w:name="_Toc396137582"/>
    </w:p>
    <w:p w:rsidR="00E13185" w:rsidRDefault="00E13185">
      <w:pPr>
        <w:jc w:val="left"/>
        <w:rPr>
          <w:iCs/>
          <w:sz w:val="18"/>
          <w:szCs w:val="24"/>
          <w:u w:val="single"/>
          <w:lang w:val="de-DE"/>
        </w:rPr>
      </w:pPr>
      <w:r>
        <w:rPr>
          <w:lang w:val="de-DE"/>
        </w:rPr>
        <w:br w:type="page"/>
      </w:r>
    </w:p>
    <w:p w:rsidR="00D3322A" w:rsidRPr="00EC62E9" w:rsidRDefault="00D3322A" w:rsidP="00D3322A">
      <w:pPr>
        <w:pStyle w:val="Heading8"/>
        <w:rPr>
          <w:szCs w:val="18"/>
          <w:lang w:val="de-DE"/>
        </w:rPr>
      </w:pPr>
      <w:bookmarkStart w:id="176" w:name="_Toc398736781"/>
      <w:r w:rsidRPr="00EC62E9">
        <w:rPr>
          <w:lang w:val="de-DE"/>
        </w:rPr>
        <w:t>e)  Anzahl Gattungen/Arten, deren Sorten den Schutz erhielten</w:t>
      </w:r>
      <w:bookmarkEnd w:id="175"/>
      <w:bookmarkEnd w:id="176"/>
    </w:p>
    <w:p w:rsidR="00D3322A" w:rsidRPr="00E13185" w:rsidRDefault="00D3322A" w:rsidP="00D3322A">
      <w:pPr>
        <w:rPr>
          <w:sz w:val="18"/>
          <w:szCs w:val="18"/>
          <w:lang w:val="de-DE"/>
        </w:rPr>
      </w:pPr>
      <w:r w:rsidRPr="00E13185">
        <w:rPr>
          <w:sz w:val="18"/>
          <w:szCs w:val="18"/>
          <w:lang w:val="de-DE"/>
        </w:rPr>
        <w:t>Siehe Abb. 7 „Pflanzengattungen/-arten mit Zusammenarbeitsvereinbarungen, praktischer Erfahrung und</w:t>
      </w:r>
    </w:p>
    <w:p w:rsidR="00D3322A" w:rsidRPr="00E13185" w:rsidRDefault="00D3322A" w:rsidP="00E13185">
      <w:pPr>
        <w:rPr>
          <w:sz w:val="18"/>
          <w:szCs w:val="18"/>
          <w:lang w:val="de-DE"/>
        </w:rPr>
      </w:pPr>
      <w:r w:rsidRPr="00E13185">
        <w:rPr>
          <w:sz w:val="18"/>
          <w:szCs w:val="18"/>
          <w:lang w:val="de-DE"/>
        </w:rPr>
        <w:t>Eintragung der Züchterrechte in die Datenbank für Pflanzensorten“</w:t>
      </w:r>
    </w:p>
    <w:p w:rsidR="00E13185" w:rsidRPr="00E13185" w:rsidRDefault="00E13185" w:rsidP="00E13185">
      <w:pPr>
        <w:rPr>
          <w:sz w:val="18"/>
          <w:szCs w:val="18"/>
          <w:lang w:val="de-DE"/>
        </w:rPr>
      </w:pPr>
    </w:p>
    <w:p w:rsidR="00E13185" w:rsidRPr="00E13185" w:rsidRDefault="00E13185" w:rsidP="00E13185">
      <w:pPr>
        <w:rPr>
          <w:color w:val="000000"/>
          <w:sz w:val="18"/>
          <w:szCs w:val="18"/>
          <w:lang w:val="de-DE"/>
        </w:rPr>
      </w:pPr>
    </w:p>
    <w:p w:rsidR="00D3322A" w:rsidRPr="00EC62E9" w:rsidRDefault="00D3322A" w:rsidP="00D3322A">
      <w:pPr>
        <w:pStyle w:val="Heading8"/>
        <w:rPr>
          <w:szCs w:val="18"/>
          <w:lang w:val="de-DE"/>
        </w:rPr>
      </w:pPr>
      <w:bookmarkStart w:id="177" w:name="_Toc396137583"/>
      <w:bookmarkStart w:id="178" w:name="_Toc398736782"/>
      <w:r w:rsidRPr="00EC62E9">
        <w:rPr>
          <w:lang w:val="de-DE"/>
        </w:rPr>
        <w:t>f)  Verwendung der Standardverweise der UPOV in Anmeldeformblättern</w:t>
      </w:r>
      <w:bookmarkEnd w:id="177"/>
      <w:bookmarkEnd w:id="178"/>
    </w:p>
    <w:p w:rsidR="00D3322A" w:rsidRPr="00E13185" w:rsidRDefault="00D3322A" w:rsidP="00E13185">
      <w:pPr>
        <w:rPr>
          <w:sz w:val="18"/>
          <w:szCs w:val="18"/>
          <w:lang w:val="de-DE"/>
        </w:rPr>
      </w:pPr>
      <w:r w:rsidRPr="00E13185">
        <w:rPr>
          <w:sz w:val="18"/>
          <w:szCs w:val="18"/>
          <w:lang w:val="de-DE"/>
        </w:rPr>
        <w:t xml:space="preserve">Im Jahr 2012 teilten 13 Verbandsmitglieder mit, </w:t>
      </w:r>
      <w:proofErr w:type="spellStart"/>
      <w:r w:rsidRPr="00E13185">
        <w:rPr>
          <w:sz w:val="18"/>
          <w:szCs w:val="18"/>
          <w:lang w:val="de-DE"/>
        </w:rPr>
        <w:t>daß</w:t>
      </w:r>
      <w:proofErr w:type="spellEnd"/>
      <w:r w:rsidRPr="00E13185">
        <w:rPr>
          <w:sz w:val="18"/>
          <w:szCs w:val="18"/>
          <w:lang w:val="de-DE"/>
        </w:rPr>
        <w:t xml:space="preserve"> die Standardverweise für das UPOV-Musterantragsformblatt in ihren Anmeldeformblättern enthalten sind.</w:t>
      </w:r>
    </w:p>
    <w:p w:rsidR="00D3322A" w:rsidRDefault="00D3322A" w:rsidP="00E13185">
      <w:pPr>
        <w:rPr>
          <w:sz w:val="18"/>
          <w:szCs w:val="18"/>
          <w:lang w:val="de-DE"/>
        </w:rPr>
      </w:pPr>
    </w:p>
    <w:p w:rsidR="00E13185" w:rsidRPr="00EC62E9" w:rsidRDefault="00E13185" w:rsidP="00E13185">
      <w:pPr>
        <w:rPr>
          <w:sz w:val="18"/>
          <w:szCs w:val="18"/>
          <w:lang w:val="de-DE"/>
        </w:rPr>
      </w:pPr>
    </w:p>
    <w:p w:rsidR="00D3322A" w:rsidRPr="00EC62E9" w:rsidRDefault="00D3322A" w:rsidP="00D3322A">
      <w:pPr>
        <w:pStyle w:val="Heading8"/>
        <w:rPr>
          <w:szCs w:val="18"/>
          <w:lang w:val="de-DE"/>
        </w:rPr>
      </w:pPr>
      <w:bookmarkStart w:id="179" w:name="_Toc396137584"/>
      <w:bookmarkStart w:id="180" w:name="_Toc398736783"/>
      <w:r w:rsidRPr="00EC62E9">
        <w:rPr>
          <w:lang w:val="de-DE"/>
        </w:rPr>
        <w:t>g)  Verwendung von Blankoformblättern entsprechend dem „UPOV-Musterformblatt für die Anmeldung einer Sorte zur Erteilung des Sortenschutzes”</w:t>
      </w:r>
      <w:bookmarkEnd w:id="179"/>
      <w:bookmarkEnd w:id="180"/>
    </w:p>
    <w:p w:rsidR="00D3322A" w:rsidRPr="00EC62E9" w:rsidRDefault="00D3322A" w:rsidP="00D3322A">
      <w:pPr>
        <w:rPr>
          <w:sz w:val="18"/>
          <w:szCs w:val="18"/>
          <w:lang w:val="de-DE"/>
        </w:rPr>
      </w:pPr>
      <w:r w:rsidRPr="00EC62E9">
        <w:rPr>
          <w:sz w:val="18"/>
          <w:lang w:val="de-DE"/>
        </w:rPr>
        <w:t>Im Jahr 2012 befürwortete der CAJ die Ausarbeitung eines Prototyps eines elektronischen Formblatts für interessierte Verbandsmitglieder und einigte sich auf Inhalt des Formblatts, Status, Datenformat, Sprachen und Pflanze/Art. Folgende Verbandsmitglieder, einschließlich der weiteren Beteiligung der Europäischen Union, bekundeten ihr Interesse, sich als mitwirkende Verbandsmitglieder an dem Prototyp zu beteiligen: Australien, Brasilien, die Dominikanische Republik, Kanada, Kolumbien, Mexiko, Neuseeland, Paraguay, die Republik Korea, die Vereinigten Staaten von Amerika und Vietnam. Weitere Partner waren das CPVO, der ISF, die CIOPORA, die Abteilung Internet Services der WIPO, die Abteilung Standards der WIPO und die Abteilung Global Database der WIPO.</w:t>
      </w:r>
    </w:p>
    <w:p w:rsidR="00D3322A" w:rsidRPr="00EC62E9" w:rsidRDefault="00D3322A" w:rsidP="00D3322A">
      <w:pPr>
        <w:rPr>
          <w:sz w:val="18"/>
          <w:szCs w:val="18"/>
          <w:lang w:val="de-DE"/>
        </w:rPr>
      </w:pPr>
    </w:p>
    <w:p w:rsidR="00D3322A" w:rsidRPr="00EC62E9" w:rsidRDefault="00D3322A" w:rsidP="00D3322A">
      <w:pPr>
        <w:rPr>
          <w:sz w:val="18"/>
          <w:szCs w:val="18"/>
          <w:lang w:val="de-DE"/>
        </w:rPr>
      </w:pPr>
      <w:r w:rsidRPr="00EC62E9">
        <w:rPr>
          <w:sz w:val="18"/>
          <w:lang w:val="de-DE"/>
        </w:rPr>
        <w:t>Das elektronische Formblatt soll die Übermittlung von Daten an mitwirkende Verbandsmitglieder in Word, Excel, PDF oder XML-Format ermöglichen. Die mitwirkenden Verbandsmitglieder sollten entscheiden, in welchen Formaten die Daten angenommen werden. Im Fall von XML-Format, sollte ein Standardformat entwickelt werden, das auf der WIPO-Norm ST.96 beruht.</w:t>
      </w:r>
    </w:p>
    <w:p w:rsidR="00D3322A" w:rsidRPr="00EC62E9" w:rsidRDefault="00D3322A" w:rsidP="00D3322A">
      <w:pPr>
        <w:rPr>
          <w:sz w:val="18"/>
          <w:szCs w:val="18"/>
          <w:lang w:val="de-DE"/>
        </w:rPr>
      </w:pPr>
    </w:p>
    <w:p w:rsidR="00D3322A" w:rsidRPr="00E13185" w:rsidRDefault="00D3322A" w:rsidP="00E13185">
      <w:pPr>
        <w:rPr>
          <w:color w:val="000000"/>
          <w:sz w:val="18"/>
          <w:szCs w:val="18"/>
          <w:lang w:val="de-DE"/>
        </w:rPr>
      </w:pPr>
      <w:r w:rsidRPr="00E13185">
        <w:rPr>
          <w:sz w:val="18"/>
          <w:lang w:val="de-DE"/>
        </w:rPr>
        <w:t xml:space="preserve">2013 wurde ein veranschaulichendes Modell von Teilen des Prototyps eines elektronischen Formblatts vorgestellt. Es wurde vereinbart, </w:t>
      </w:r>
      <w:proofErr w:type="spellStart"/>
      <w:r w:rsidRPr="00E13185">
        <w:rPr>
          <w:sz w:val="18"/>
          <w:lang w:val="de-DE"/>
        </w:rPr>
        <w:t>daß</w:t>
      </w:r>
      <w:proofErr w:type="spellEnd"/>
      <w:r w:rsidRPr="00E13185">
        <w:rPr>
          <w:sz w:val="18"/>
          <w:lang w:val="de-DE"/>
        </w:rPr>
        <w:t xml:space="preserve"> der Prototyp nur auf Englisch entwickelt werde und </w:t>
      </w:r>
      <w:proofErr w:type="spellStart"/>
      <w:r w:rsidRPr="00E13185">
        <w:rPr>
          <w:sz w:val="18"/>
          <w:lang w:val="de-DE"/>
        </w:rPr>
        <w:t>daß</w:t>
      </w:r>
      <w:proofErr w:type="spellEnd"/>
      <w:r w:rsidRPr="00E13185">
        <w:rPr>
          <w:sz w:val="18"/>
          <w:lang w:val="de-DE"/>
        </w:rPr>
        <w:t xml:space="preserve"> der Technische Fragebogen sich auf Salat (</w:t>
      </w:r>
      <w:proofErr w:type="spellStart"/>
      <w:r w:rsidRPr="00E13185">
        <w:rPr>
          <w:i/>
          <w:sz w:val="18"/>
          <w:lang w:val="de-DE"/>
        </w:rPr>
        <w:t>Lactuca</w:t>
      </w:r>
      <w:proofErr w:type="spellEnd"/>
      <w:r w:rsidRPr="00E13185">
        <w:rPr>
          <w:i/>
          <w:sz w:val="18"/>
          <w:lang w:val="de-DE"/>
        </w:rPr>
        <w:t xml:space="preserve"> </w:t>
      </w:r>
      <w:proofErr w:type="spellStart"/>
      <w:r w:rsidRPr="00E13185">
        <w:rPr>
          <w:i/>
          <w:sz w:val="18"/>
          <w:lang w:val="de-DE"/>
        </w:rPr>
        <w:t>sativa</w:t>
      </w:r>
      <w:proofErr w:type="spellEnd"/>
      <w:r w:rsidRPr="00E13185">
        <w:rPr>
          <w:sz w:val="18"/>
          <w:lang w:val="de-DE"/>
        </w:rPr>
        <w:t xml:space="preserve"> L.) beziehen werde. Argentinien, Japan und die Schweiz ersuchten darum, an der Ausarbeitung eines Prototyps teilzunehmen.</w:t>
      </w:r>
    </w:p>
    <w:p w:rsidR="00D3322A" w:rsidRDefault="00D3322A" w:rsidP="00D3322A">
      <w:pPr>
        <w:pStyle w:val="Heading6"/>
        <w:rPr>
          <w:lang w:val="de-DE"/>
        </w:rPr>
      </w:pPr>
    </w:p>
    <w:p w:rsidR="00E13185" w:rsidRPr="00E13185" w:rsidRDefault="00E13185" w:rsidP="00E13185">
      <w:pPr>
        <w:rPr>
          <w:lang w:val="de-DE"/>
        </w:rPr>
      </w:pPr>
    </w:p>
    <w:p w:rsidR="00D3322A" w:rsidRPr="00EC62E9" w:rsidRDefault="00D3322A" w:rsidP="00D3322A">
      <w:pPr>
        <w:pStyle w:val="Heading6"/>
        <w:rPr>
          <w:lang w:val="de-DE"/>
        </w:rPr>
      </w:pPr>
      <w:bookmarkStart w:id="181" w:name="_Toc396137585"/>
      <w:bookmarkStart w:id="182" w:name="_Toc398736784"/>
      <w:r w:rsidRPr="00EC62E9">
        <w:rPr>
          <w:lang w:val="de-DE"/>
        </w:rPr>
        <w:t>7.  Erteilung von Auskünften über das UPOV-Übereinkommen an Interessensvertreter (Züchter, Produzenten, Landwirte, Saatguthändler usw.)</w:t>
      </w:r>
      <w:bookmarkEnd w:id="181"/>
      <w:bookmarkEnd w:id="182"/>
    </w:p>
    <w:p w:rsidR="00D3322A" w:rsidRPr="00EC62E9" w:rsidRDefault="00D3322A" w:rsidP="00D3322A">
      <w:pPr>
        <w:rPr>
          <w:lang w:val="de-DE"/>
        </w:rPr>
      </w:pPr>
    </w:p>
    <w:p w:rsidR="00D3322A" w:rsidRPr="00EC62E9" w:rsidRDefault="00D3322A" w:rsidP="00D3322A">
      <w:pPr>
        <w:pStyle w:val="Heading8"/>
        <w:rPr>
          <w:szCs w:val="18"/>
          <w:lang w:val="de-DE"/>
        </w:rPr>
      </w:pPr>
      <w:bookmarkStart w:id="183" w:name="_Toc396137586"/>
      <w:bookmarkStart w:id="184" w:name="_Toc398736785"/>
      <w:r w:rsidRPr="00EC62E9">
        <w:rPr>
          <w:lang w:val="de-DE"/>
        </w:rPr>
        <w:t>a)  Nutzerorientierte Informationen auf der UPOV-Website</w:t>
      </w:r>
      <w:bookmarkEnd w:id="183"/>
      <w:bookmarkEnd w:id="184"/>
    </w:p>
    <w:p w:rsidR="00D3322A" w:rsidRPr="00EC62E9" w:rsidRDefault="00D3322A" w:rsidP="00D3322A">
      <w:pPr>
        <w:rPr>
          <w:sz w:val="18"/>
          <w:szCs w:val="18"/>
          <w:lang w:val="de-DE"/>
        </w:rPr>
      </w:pPr>
      <w:r w:rsidRPr="00EC62E9">
        <w:rPr>
          <w:sz w:val="18"/>
          <w:lang w:val="de-DE"/>
        </w:rPr>
        <w:t xml:space="preserve">Von 2012 - 2013 wurde folgendes Material erstellt: </w:t>
      </w:r>
    </w:p>
    <w:p w:rsidR="00D3322A" w:rsidRPr="00EC62E9" w:rsidRDefault="00D3322A" w:rsidP="00D3322A">
      <w:pPr>
        <w:rPr>
          <w:sz w:val="18"/>
          <w:szCs w:val="18"/>
          <w:lang w:val="de-DE"/>
        </w:rPr>
      </w:pPr>
    </w:p>
    <w:p w:rsidR="00D3322A" w:rsidRPr="00EC62E9" w:rsidRDefault="0013087D" w:rsidP="0013087D">
      <w:pPr>
        <w:pStyle w:val="ListParagraph"/>
        <w:numPr>
          <w:ilvl w:val="0"/>
          <w:numId w:val="8"/>
        </w:numPr>
        <w:spacing w:after="120"/>
        <w:ind w:hanging="357"/>
        <w:contextualSpacing w:val="0"/>
        <w:rPr>
          <w:sz w:val="18"/>
          <w:szCs w:val="18"/>
          <w:lang w:val="de-DE"/>
        </w:rPr>
      </w:pPr>
      <w:r w:rsidRPr="00EC62E9">
        <w:rPr>
          <w:sz w:val="18"/>
          <w:lang w:val="de-DE"/>
        </w:rPr>
        <w:t xml:space="preserve">Symposium </w:t>
      </w:r>
      <w:r w:rsidR="00D3322A" w:rsidRPr="00EC62E9">
        <w:rPr>
          <w:sz w:val="18"/>
          <w:lang w:val="de-DE"/>
        </w:rPr>
        <w:t>über die Vorteile des Pflanzenschutzes</w:t>
      </w:r>
      <w:r w:rsidRPr="00EC62E9">
        <w:rPr>
          <w:sz w:val="18"/>
          <w:lang w:val="de-DE"/>
        </w:rPr>
        <w:t xml:space="preserve"> für Landwirte und Pflanzer</w:t>
      </w:r>
    </w:p>
    <w:p w:rsidR="00D3322A" w:rsidRPr="00EC62E9" w:rsidRDefault="00D3322A" w:rsidP="00D3322A">
      <w:pPr>
        <w:pStyle w:val="ListParagraph"/>
        <w:numPr>
          <w:ilvl w:val="1"/>
          <w:numId w:val="9"/>
        </w:numPr>
        <w:spacing w:after="120"/>
        <w:contextualSpacing w:val="0"/>
        <w:jc w:val="left"/>
        <w:rPr>
          <w:sz w:val="18"/>
          <w:szCs w:val="18"/>
          <w:lang w:val="de-DE"/>
        </w:rPr>
      </w:pPr>
      <w:r w:rsidRPr="00EC62E9">
        <w:rPr>
          <w:sz w:val="18"/>
          <w:lang w:val="de-DE"/>
        </w:rPr>
        <w:t xml:space="preserve">Referate und </w:t>
      </w:r>
      <w:proofErr w:type="spellStart"/>
      <w:r w:rsidRPr="00EC62E9">
        <w:rPr>
          <w:sz w:val="18"/>
          <w:lang w:val="de-DE"/>
        </w:rPr>
        <w:t>Schlußworte</w:t>
      </w:r>
      <w:proofErr w:type="spellEnd"/>
      <w:r w:rsidRPr="00EC62E9">
        <w:rPr>
          <w:sz w:val="18"/>
          <w:lang w:val="de-DE"/>
        </w:rPr>
        <w:t xml:space="preserve"> wurden auf der Website veröffentlicht unter: </w:t>
      </w:r>
      <w:hyperlink r:id="rId39">
        <w:r w:rsidRPr="00EC62E9">
          <w:rPr>
            <w:rStyle w:val="Hyperlink"/>
            <w:sz w:val="18"/>
            <w:lang w:val="de-DE"/>
          </w:rPr>
          <w:t>http://www.upov.int/meetings/en/details.jsp?meeting_id=26104</w:t>
        </w:r>
      </w:hyperlink>
      <w:r w:rsidRPr="00EC62E9">
        <w:rPr>
          <w:sz w:val="18"/>
          <w:lang w:val="de-DE"/>
        </w:rPr>
        <w:t xml:space="preserve"> </w:t>
      </w:r>
    </w:p>
    <w:p w:rsidR="00D3322A" w:rsidRPr="00EC62E9" w:rsidRDefault="00D3322A" w:rsidP="00D3322A">
      <w:pPr>
        <w:pStyle w:val="ListParagraph"/>
        <w:numPr>
          <w:ilvl w:val="0"/>
          <w:numId w:val="8"/>
        </w:numPr>
        <w:spacing w:after="120"/>
        <w:contextualSpacing w:val="0"/>
        <w:rPr>
          <w:sz w:val="18"/>
          <w:szCs w:val="18"/>
          <w:lang w:val="de-DE"/>
        </w:rPr>
      </w:pPr>
      <w:r w:rsidRPr="00EC62E9">
        <w:rPr>
          <w:sz w:val="18"/>
          <w:lang w:val="de-DE"/>
        </w:rPr>
        <w:t xml:space="preserve">UPOV-Trilogie-Box (nur in Englisch), ebenfalls auf der UPOV-Website verfügbar unter </w:t>
      </w:r>
      <w:hyperlink r:id="rId40">
        <w:r w:rsidRPr="00EC62E9">
          <w:rPr>
            <w:rStyle w:val="Hyperlink"/>
            <w:sz w:val="18"/>
            <w:lang w:val="de-DE"/>
          </w:rPr>
          <w:t>http://www.upov.int/about/en/benefits_upov_system.html</w:t>
        </w:r>
      </w:hyperlink>
      <w:r w:rsidRPr="00EC62E9">
        <w:rPr>
          <w:sz w:val="18"/>
          <w:lang w:val="de-DE"/>
        </w:rPr>
        <w:t xml:space="preserve"> mit folgenden Publikationen:</w:t>
      </w:r>
    </w:p>
    <w:p w:rsidR="00D3322A" w:rsidRPr="00EC62E9" w:rsidRDefault="00D3322A" w:rsidP="00D3322A">
      <w:pPr>
        <w:pStyle w:val="ListParagraph"/>
        <w:numPr>
          <w:ilvl w:val="1"/>
          <w:numId w:val="9"/>
        </w:numPr>
        <w:spacing w:after="120"/>
        <w:contextualSpacing w:val="0"/>
        <w:rPr>
          <w:sz w:val="18"/>
          <w:szCs w:val="18"/>
          <w:lang w:val="de-DE"/>
        </w:rPr>
      </w:pPr>
      <w:r w:rsidRPr="00EC62E9">
        <w:rPr>
          <w:i/>
          <w:sz w:val="18"/>
          <w:lang w:val="de-DE"/>
        </w:rPr>
        <w:t>Executive Summary</w:t>
      </w:r>
      <w:r w:rsidRPr="00EC62E9">
        <w:rPr>
          <w:sz w:val="18"/>
          <w:lang w:val="de-DE"/>
        </w:rPr>
        <w:t xml:space="preserve"> (UPOV-Publikation 357.1E)</w:t>
      </w:r>
    </w:p>
    <w:p w:rsidR="00D3322A" w:rsidRPr="00EC62E9" w:rsidRDefault="00D3322A" w:rsidP="00D3322A">
      <w:pPr>
        <w:pStyle w:val="ListParagraph"/>
        <w:numPr>
          <w:ilvl w:val="1"/>
          <w:numId w:val="9"/>
        </w:numPr>
        <w:spacing w:after="120"/>
        <w:contextualSpacing w:val="0"/>
        <w:rPr>
          <w:sz w:val="18"/>
          <w:szCs w:val="18"/>
          <w:lang w:val="de-DE"/>
        </w:rPr>
      </w:pPr>
      <w:r w:rsidRPr="00EC62E9">
        <w:rPr>
          <w:i/>
          <w:sz w:val="18"/>
          <w:lang w:val="de-DE"/>
        </w:rPr>
        <w:t xml:space="preserve">Symposium on Plant </w:t>
      </w:r>
      <w:proofErr w:type="spellStart"/>
      <w:r w:rsidRPr="00EC62E9">
        <w:rPr>
          <w:i/>
          <w:sz w:val="18"/>
          <w:lang w:val="de-DE"/>
        </w:rPr>
        <w:t>Breeding</w:t>
      </w:r>
      <w:proofErr w:type="spellEnd"/>
      <w:r w:rsidRPr="00EC62E9">
        <w:rPr>
          <w:i/>
          <w:sz w:val="18"/>
          <w:lang w:val="de-DE"/>
        </w:rPr>
        <w:t xml:space="preserve"> </w:t>
      </w:r>
      <w:proofErr w:type="spellStart"/>
      <w:r w:rsidRPr="00EC62E9">
        <w:rPr>
          <w:i/>
          <w:sz w:val="18"/>
          <w:lang w:val="de-DE"/>
        </w:rPr>
        <w:t>for</w:t>
      </w:r>
      <w:proofErr w:type="spellEnd"/>
      <w:r w:rsidRPr="00EC62E9">
        <w:rPr>
          <w:i/>
          <w:sz w:val="18"/>
          <w:lang w:val="de-DE"/>
        </w:rPr>
        <w:t xml:space="preserve"> </w:t>
      </w:r>
      <w:proofErr w:type="spellStart"/>
      <w:r w:rsidRPr="00EC62E9">
        <w:rPr>
          <w:i/>
          <w:sz w:val="18"/>
          <w:lang w:val="de-DE"/>
        </w:rPr>
        <w:t>the</w:t>
      </w:r>
      <w:proofErr w:type="spellEnd"/>
      <w:r w:rsidRPr="00EC62E9">
        <w:rPr>
          <w:i/>
          <w:sz w:val="18"/>
          <w:lang w:val="de-DE"/>
        </w:rPr>
        <w:t xml:space="preserve"> Future</w:t>
      </w:r>
      <w:r w:rsidRPr="00EC62E9">
        <w:rPr>
          <w:sz w:val="18"/>
          <w:lang w:val="de-DE"/>
        </w:rPr>
        <w:t xml:space="preserve"> (UPOV-Publikation 357.2E)</w:t>
      </w:r>
    </w:p>
    <w:p w:rsidR="00D3322A" w:rsidRPr="00EC62E9" w:rsidRDefault="00D3322A" w:rsidP="00D3322A">
      <w:pPr>
        <w:pStyle w:val="ListParagraph"/>
        <w:numPr>
          <w:ilvl w:val="1"/>
          <w:numId w:val="9"/>
        </w:numPr>
        <w:spacing w:after="120"/>
        <w:contextualSpacing w:val="0"/>
        <w:rPr>
          <w:sz w:val="18"/>
          <w:szCs w:val="18"/>
          <w:lang w:val="de-DE"/>
        </w:rPr>
      </w:pPr>
      <w:r w:rsidRPr="00EC62E9">
        <w:rPr>
          <w:i/>
          <w:sz w:val="18"/>
          <w:lang w:val="de-DE"/>
        </w:rPr>
        <w:t xml:space="preserve">Seminar on Plant </w:t>
      </w:r>
      <w:proofErr w:type="spellStart"/>
      <w:r w:rsidRPr="00EC62E9">
        <w:rPr>
          <w:i/>
          <w:sz w:val="18"/>
          <w:lang w:val="de-DE"/>
        </w:rPr>
        <w:t>Variety</w:t>
      </w:r>
      <w:proofErr w:type="spellEnd"/>
      <w:r w:rsidRPr="00EC62E9">
        <w:rPr>
          <w:i/>
          <w:sz w:val="18"/>
          <w:lang w:val="de-DE"/>
        </w:rPr>
        <w:t xml:space="preserve"> </w:t>
      </w:r>
      <w:proofErr w:type="spellStart"/>
      <w:r w:rsidRPr="00EC62E9">
        <w:rPr>
          <w:i/>
          <w:sz w:val="18"/>
          <w:lang w:val="de-DE"/>
        </w:rPr>
        <w:t>Protection</w:t>
      </w:r>
      <w:proofErr w:type="spellEnd"/>
      <w:r w:rsidRPr="00EC62E9">
        <w:rPr>
          <w:i/>
          <w:sz w:val="18"/>
          <w:lang w:val="de-DE"/>
        </w:rPr>
        <w:t xml:space="preserve"> </w:t>
      </w:r>
      <w:proofErr w:type="spellStart"/>
      <w:r w:rsidRPr="00EC62E9">
        <w:rPr>
          <w:i/>
          <w:sz w:val="18"/>
          <w:lang w:val="de-DE"/>
        </w:rPr>
        <w:t>and</w:t>
      </w:r>
      <w:proofErr w:type="spellEnd"/>
      <w:r w:rsidRPr="00EC62E9">
        <w:rPr>
          <w:i/>
          <w:sz w:val="18"/>
          <w:lang w:val="de-DE"/>
        </w:rPr>
        <w:t xml:space="preserve"> Technology Transfer:  </w:t>
      </w:r>
      <w:proofErr w:type="spellStart"/>
      <w:r w:rsidRPr="00EC62E9">
        <w:rPr>
          <w:i/>
          <w:sz w:val="18"/>
          <w:lang w:val="de-DE"/>
        </w:rPr>
        <w:t>the</w:t>
      </w:r>
      <w:proofErr w:type="spellEnd"/>
      <w:r w:rsidRPr="00EC62E9">
        <w:rPr>
          <w:i/>
          <w:sz w:val="18"/>
          <w:lang w:val="de-DE"/>
        </w:rPr>
        <w:t xml:space="preserve"> </w:t>
      </w:r>
      <w:proofErr w:type="spellStart"/>
      <w:r w:rsidRPr="00EC62E9">
        <w:rPr>
          <w:i/>
          <w:sz w:val="18"/>
          <w:lang w:val="de-DE"/>
        </w:rPr>
        <w:t>Benefits</w:t>
      </w:r>
      <w:proofErr w:type="spellEnd"/>
      <w:r w:rsidRPr="00EC62E9">
        <w:rPr>
          <w:i/>
          <w:sz w:val="18"/>
          <w:lang w:val="de-DE"/>
        </w:rPr>
        <w:t xml:space="preserve"> </w:t>
      </w:r>
      <w:proofErr w:type="spellStart"/>
      <w:r w:rsidRPr="00EC62E9">
        <w:rPr>
          <w:i/>
          <w:sz w:val="18"/>
          <w:lang w:val="de-DE"/>
        </w:rPr>
        <w:t>of</w:t>
      </w:r>
      <w:proofErr w:type="spellEnd"/>
      <w:r w:rsidRPr="00EC62E9">
        <w:rPr>
          <w:i/>
          <w:sz w:val="18"/>
          <w:lang w:val="de-DE"/>
        </w:rPr>
        <w:t xml:space="preserve"> Public-Private </w:t>
      </w:r>
      <w:proofErr w:type="spellStart"/>
      <w:r w:rsidRPr="00EC62E9">
        <w:rPr>
          <w:i/>
          <w:sz w:val="18"/>
          <w:lang w:val="de-DE"/>
        </w:rPr>
        <w:t>Partnership</w:t>
      </w:r>
      <w:proofErr w:type="spellEnd"/>
      <w:r w:rsidRPr="00EC62E9">
        <w:rPr>
          <w:sz w:val="18"/>
          <w:lang w:val="de-DE"/>
        </w:rPr>
        <w:t xml:space="preserve"> (UPOV-Publikation 357.3E)</w:t>
      </w:r>
    </w:p>
    <w:p w:rsidR="00D3322A" w:rsidRPr="00EC62E9" w:rsidRDefault="00D3322A" w:rsidP="00D3322A">
      <w:pPr>
        <w:pStyle w:val="ListParagraph"/>
        <w:numPr>
          <w:ilvl w:val="1"/>
          <w:numId w:val="9"/>
        </w:numPr>
        <w:spacing w:after="120"/>
        <w:contextualSpacing w:val="0"/>
        <w:rPr>
          <w:sz w:val="18"/>
          <w:szCs w:val="18"/>
          <w:lang w:val="de-DE"/>
        </w:rPr>
      </w:pPr>
      <w:r w:rsidRPr="00EC62E9">
        <w:rPr>
          <w:i/>
          <w:sz w:val="18"/>
          <w:lang w:val="de-DE"/>
        </w:rPr>
        <w:t xml:space="preserve">Symposium on </w:t>
      </w:r>
      <w:proofErr w:type="spellStart"/>
      <w:r w:rsidRPr="00EC62E9">
        <w:rPr>
          <w:i/>
          <w:sz w:val="18"/>
          <w:lang w:val="de-DE"/>
        </w:rPr>
        <w:t>the</w:t>
      </w:r>
      <w:proofErr w:type="spellEnd"/>
      <w:r w:rsidRPr="00EC62E9">
        <w:rPr>
          <w:i/>
          <w:sz w:val="18"/>
          <w:lang w:val="de-DE"/>
        </w:rPr>
        <w:t xml:space="preserve"> </w:t>
      </w:r>
      <w:proofErr w:type="spellStart"/>
      <w:r w:rsidRPr="00EC62E9">
        <w:rPr>
          <w:i/>
          <w:sz w:val="18"/>
          <w:lang w:val="de-DE"/>
        </w:rPr>
        <w:t>Benefits</w:t>
      </w:r>
      <w:proofErr w:type="spellEnd"/>
      <w:r w:rsidRPr="00EC62E9">
        <w:rPr>
          <w:i/>
          <w:sz w:val="18"/>
          <w:lang w:val="de-DE"/>
        </w:rPr>
        <w:t xml:space="preserve"> </w:t>
      </w:r>
      <w:proofErr w:type="spellStart"/>
      <w:r w:rsidRPr="00EC62E9">
        <w:rPr>
          <w:i/>
          <w:sz w:val="18"/>
          <w:lang w:val="de-DE"/>
        </w:rPr>
        <w:t>of</w:t>
      </w:r>
      <w:proofErr w:type="spellEnd"/>
      <w:r w:rsidRPr="00EC62E9">
        <w:rPr>
          <w:i/>
          <w:sz w:val="18"/>
          <w:lang w:val="de-DE"/>
        </w:rPr>
        <w:t xml:space="preserve"> Plant </w:t>
      </w:r>
      <w:proofErr w:type="spellStart"/>
      <w:r w:rsidRPr="00EC62E9">
        <w:rPr>
          <w:i/>
          <w:sz w:val="18"/>
          <w:lang w:val="de-DE"/>
        </w:rPr>
        <w:t>Variety</w:t>
      </w:r>
      <w:proofErr w:type="spellEnd"/>
      <w:r w:rsidRPr="00EC62E9">
        <w:rPr>
          <w:i/>
          <w:sz w:val="18"/>
          <w:lang w:val="de-DE"/>
        </w:rPr>
        <w:t xml:space="preserve"> </w:t>
      </w:r>
      <w:proofErr w:type="spellStart"/>
      <w:r w:rsidRPr="00EC62E9">
        <w:rPr>
          <w:i/>
          <w:sz w:val="18"/>
          <w:lang w:val="de-DE"/>
        </w:rPr>
        <w:t>Protection</w:t>
      </w:r>
      <w:proofErr w:type="spellEnd"/>
      <w:r w:rsidRPr="00EC62E9">
        <w:rPr>
          <w:i/>
          <w:sz w:val="18"/>
          <w:lang w:val="de-DE"/>
        </w:rPr>
        <w:t xml:space="preserve"> </w:t>
      </w:r>
      <w:proofErr w:type="spellStart"/>
      <w:r w:rsidRPr="00EC62E9">
        <w:rPr>
          <w:i/>
          <w:sz w:val="18"/>
          <w:lang w:val="de-DE"/>
        </w:rPr>
        <w:t>for</w:t>
      </w:r>
      <w:proofErr w:type="spellEnd"/>
      <w:r w:rsidRPr="00EC62E9">
        <w:rPr>
          <w:i/>
          <w:sz w:val="18"/>
          <w:lang w:val="de-DE"/>
        </w:rPr>
        <w:t xml:space="preserve"> Farmers </w:t>
      </w:r>
      <w:proofErr w:type="spellStart"/>
      <w:r w:rsidRPr="00EC62E9">
        <w:rPr>
          <w:i/>
          <w:sz w:val="18"/>
          <w:lang w:val="de-DE"/>
        </w:rPr>
        <w:t>and</w:t>
      </w:r>
      <w:proofErr w:type="spellEnd"/>
      <w:r w:rsidRPr="00EC62E9">
        <w:rPr>
          <w:i/>
          <w:sz w:val="18"/>
          <w:lang w:val="de-DE"/>
        </w:rPr>
        <w:t xml:space="preserve"> </w:t>
      </w:r>
      <w:proofErr w:type="spellStart"/>
      <w:r w:rsidRPr="00EC62E9">
        <w:rPr>
          <w:i/>
          <w:sz w:val="18"/>
          <w:lang w:val="de-DE"/>
        </w:rPr>
        <w:t>Growers</w:t>
      </w:r>
      <w:proofErr w:type="spellEnd"/>
      <w:r w:rsidRPr="00EC62E9">
        <w:rPr>
          <w:sz w:val="18"/>
          <w:lang w:val="de-DE"/>
        </w:rPr>
        <w:t xml:space="preserve"> (UPOV-Publikation 357.4E)</w:t>
      </w:r>
    </w:p>
    <w:p w:rsidR="00D3322A" w:rsidRPr="00EC62E9" w:rsidRDefault="0013087D" w:rsidP="00D3322A">
      <w:pPr>
        <w:pStyle w:val="ListParagraph"/>
        <w:numPr>
          <w:ilvl w:val="0"/>
          <w:numId w:val="8"/>
        </w:numPr>
        <w:spacing w:after="120"/>
        <w:contextualSpacing w:val="0"/>
        <w:rPr>
          <w:sz w:val="18"/>
          <w:szCs w:val="18"/>
          <w:lang w:val="de-DE"/>
        </w:rPr>
      </w:pPr>
      <w:r w:rsidRPr="00EC62E9">
        <w:rPr>
          <w:sz w:val="18"/>
          <w:lang w:val="de-DE"/>
        </w:rPr>
        <w:t>Seminar über im wesentlichen abgeleitete Sorten</w:t>
      </w:r>
      <w:r w:rsidR="00D3322A" w:rsidRPr="00EC62E9">
        <w:rPr>
          <w:sz w:val="18"/>
          <w:lang w:val="de-DE"/>
        </w:rPr>
        <w:t>:</w:t>
      </w:r>
    </w:p>
    <w:p w:rsidR="00D3322A" w:rsidRPr="00EC62E9" w:rsidRDefault="00D3322A" w:rsidP="00D3322A">
      <w:pPr>
        <w:pStyle w:val="ListParagraph"/>
        <w:numPr>
          <w:ilvl w:val="1"/>
          <w:numId w:val="9"/>
        </w:numPr>
        <w:spacing w:after="120"/>
        <w:contextualSpacing w:val="0"/>
        <w:jc w:val="left"/>
        <w:rPr>
          <w:sz w:val="18"/>
          <w:szCs w:val="18"/>
          <w:lang w:val="de-DE"/>
        </w:rPr>
      </w:pPr>
      <w:r w:rsidRPr="00EC62E9">
        <w:rPr>
          <w:sz w:val="18"/>
          <w:lang w:val="de-DE"/>
        </w:rPr>
        <w:t>Die Materialien und ein Videofilm wurden auf der Website veröffentlicht unter:</w:t>
      </w:r>
      <w:r w:rsidRPr="00EC62E9">
        <w:rPr>
          <w:sz w:val="18"/>
          <w:szCs w:val="18"/>
          <w:lang w:val="de-DE"/>
        </w:rPr>
        <w:br/>
      </w:r>
      <w:hyperlink r:id="rId41">
        <w:r w:rsidRPr="00EC62E9">
          <w:rPr>
            <w:rStyle w:val="Hyperlink"/>
            <w:sz w:val="18"/>
            <w:lang w:val="de-DE"/>
          </w:rPr>
          <w:t>http://www.upov.int/meetings/en/details.jsp?meeting_id=29782</w:t>
        </w:r>
      </w:hyperlink>
    </w:p>
    <w:p w:rsidR="004F2E99" w:rsidRPr="00EC62E9" w:rsidRDefault="004F2E99">
      <w:pPr>
        <w:rPr>
          <w:lang w:val="de-DE"/>
        </w:rPr>
      </w:pPr>
    </w:p>
    <w:p w:rsidR="002D6F42" w:rsidRPr="00EC62E9" w:rsidRDefault="002D6F42" w:rsidP="002D6F42">
      <w:pPr>
        <w:tabs>
          <w:tab w:val="left" w:pos="2410"/>
          <w:tab w:val="left" w:pos="4536"/>
          <w:tab w:val="left" w:pos="9072"/>
        </w:tabs>
        <w:rPr>
          <w:sz w:val="18"/>
          <w:szCs w:val="18"/>
          <w:lang w:val="de-DE"/>
        </w:rPr>
      </w:pPr>
    </w:p>
    <w:p w:rsidR="004F2E99" w:rsidRPr="00EC62E9" w:rsidRDefault="004F2E99" w:rsidP="000B1A62">
      <w:pPr>
        <w:rPr>
          <w:lang w:val="de-DE"/>
        </w:rPr>
      </w:pPr>
      <w:r w:rsidRPr="00EC62E9">
        <w:rPr>
          <w:lang w:val="de-DE"/>
        </w:rPr>
        <w:br w:type="page"/>
      </w:r>
    </w:p>
    <w:p w:rsidR="00624AF9" w:rsidRPr="00EC62E9" w:rsidRDefault="00920A93" w:rsidP="001E671A">
      <w:pPr>
        <w:pStyle w:val="Heading4"/>
        <w:rPr>
          <w:lang w:val="de-DE"/>
        </w:rPr>
      </w:pPr>
      <w:bookmarkStart w:id="185" w:name="_Toc336339204"/>
      <w:bookmarkStart w:id="186" w:name="_Toc396137587"/>
      <w:bookmarkStart w:id="187" w:name="_Toc398736786"/>
      <w:r w:rsidRPr="00EC62E9">
        <w:rPr>
          <w:lang w:val="de-DE"/>
        </w:rPr>
        <w:t>2.3</w:t>
      </w:r>
      <w:r w:rsidRPr="00EC62E9">
        <w:rPr>
          <w:lang w:val="de-DE"/>
        </w:rPr>
        <w:tab/>
      </w:r>
      <w:bookmarkEnd w:id="185"/>
      <w:bookmarkEnd w:id="186"/>
      <w:r w:rsidR="00624AF9" w:rsidRPr="00EC62E9">
        <w:rPr>
          <w:lang w:val="de-DE"/>
        </w:rPr>
        <w:t>Unterprogramm UV.3:   Unterstützung bei der Einführung und Umsetzung des UPOV-Systems</w:t>
      </w:r>
      <w:bookmarkEnd w:id="187"/>
    </w:p>
    <w:p w:rsidR="00624AF9" w:rsidRPr="00EC62E9" w:rsidRDefault="00624AF9" w:rsidP="00624AF9">
      <w:pPr>
        <w:rPr>
          <w:sz w:val="18"/>
          <w:szCs w:val="18"/>
          <w:lang w:val="de-DE"/>
        </w:rPr>
      </w:pPr>
    </w:p>
    <w:p w:rsidR="00624AF9" w:rsidRPr="00EC62E9" w:rsidRDefault="00624AF9" w:rsidP="00624AF9">
      <w:pPr>
        <w:rPr>
          <w:sz w:val="18"/>
          <w:szCs w:val="18"/>
          <w:lang w:val="de-DE"/>
        </w:rPr>
      </w:pPr>
      <w:r w:rsidRPr="00EC62E9">
        <w:rPr>
          <w:sz w:val="18"/>
          <w:lang w:val="de-DE"/>
        </w:rPr>
        <w:t xml:space="preserve">Der Verband unterstützte eine Reihe von Staaten bei der Umsetzung des Sortenschutzes nach dem UPOV–Übereinkommen und erteilte Regierungen Beratung bei der Vorbereitung der entsprechenden Rechtsvorschriften. Die Zusammenarbeit mit Verbandsmitgliedern, insbesondere in </w:t>
      </w:r>
      <w:proofErr w:type="spellStart"/>
      <w:r w:rsidRPr="00EC62E9">
        <w:rPr>
          <w:sz w:val="18"/>
          <w:lang w:val="de-DE"/>
        </w:rPr>
        <w:t>bezug</w:t>
      </w:r>
      <w:proofErr w:type="spellEnd"/>
      <w:r w:rsidRPr="00EC62E9">
        <w:rPr>
          <w:sz w:val="18"/>
          <w:lang w:val="de-DE"/>
        </w:rPr>
        <w:t xml:space="preserve"> auf Ausbildungslehrgänge, trägt wesentlich zur Ausdehnung der Reichweite bei. Die Nutzung des Fernlehrgangs „Einführung in das UPOV-System für Sortenschutz unter dem UPOV-Übereinkommen“ sowie auch die Ausbildung von Ausbildern gewannen bei der Bereitstellung von Unterstützung für eine breite Vielfalt von Sachverständigen zunehmend an Bedeutung.</w:t>
      </w:r>
    </w:p>
    <w:p w:rsidR="00624AF9" w:rsidRPr="00EC62E9" w:rsidRDefault="00624AF9" w:rsidP="00624AF9">
      <w:pPr>
        <w:rPr>
          <w:sz w:val="18"/>
          <w:szCs w:val="18"/>
          <w:lang w:val="de-DE"/>
        </w:rPr>
      </w:pPr>
    </w:p>
    <w:p w:rsidR="00624AF9" w:rsidRPr="00EC62E9" w:rsidRDefault="00624AF9" w:rsidP="00624AF9">
      <w:pPr>
        <w:pStyle w:val="Heading5"/>
        <w:rPr>
          <w:lang w:val="de-DE"/>
        </w:rPr>
      </w:pPr>
      <w:bookmarkStart w:id="188" w:name="_Toc396137588"/>
      <w:bookmarkStart w:id="189" w:name="_Toc398736787"/>
      <w:bookmarkStart w:id="190" w:name="_Toc336339205"/>
      <w:r w:rsidRPr="00EC62E9">
        <w:rPr>
          <w:lang w:val="de-DE"/>
        </w:rPr>
        <w:t>Ziele</w:t>
      </w:r>
      <w:bookmarkEnd w:id="188"/>
      <w:bookmarkEnd w:id="189"/>
    </w:p>
    <w:p w:rsidR="00624AF9" w:rsidRPr="00EC62E9" w:rsidRDefault="00624AF9" w:rsidP="00624AF9">
      <w:pPr>
        <w:rPr>
          <w:lang w:val="de-DE"/>
        </w:rPr>
      </w:pPr>
    </w:p>
    <w:bookmarkEnd w:id="190"/>
    <w:p w:rsidR="00624AF9" w:rsidRPr="00EC62E9" w:rsidRDefault="00624AF9" w:rsidP="00624AF9">
      <w:pPr>
        <w:keepNext/>
        <w:keepLines/>
        <w:widowControl w:val="0"/>
        <w:numPr>
          <w:ilvl w:val="0"/>
          <w:numId w:val="1"/>
        </w:numPr>
        <w:jc w:val="left"/>
        <w:rPr>
          <w:spacing w:val="-1"/>
          <w:sz w:val="18"/>
          <w:szCs w:val="18"/>
          <w:lang w:val="de-DE"/>
        </w:rPr>
      </w:pPr>
      <w:r w:rsidRPr="00EC62E9">
        <w:rPr>
          <w:spacing w:val="-1"/>
          <w:sz w:val="18"/>
          <w:lang w:val="de-DE"/>
        </w:rPr>
        <w:t>Sensibilisierung für die Bedeutung von Sortenschutz gemäß dem UPOV Übereinkommen.</w:t>
      </w:r>
    </w:p>
    <w:p w:rsidR="00624AF9" w:rsidRPr="00EC62E9" w:rsidRDefault="00624AF9" w:rsidP="00624AF9">
      <w:pPr>
        <w:keepNext/>
        <w:keepLines/>
        <w:widowControl w:val="0"/>
        <w:numPr>
          <w:ilvl w:val="0"/>
          <w:numId w:val="1"/>
        </w:numPr>
        <w:jc w:val="left"/>
        <w:rPr>
          <w:sz w:val="18"/>
          <w:szCs w:val="18"/>
          <w:lang w:val="de-DE"/>
        </w:rPr>
      </w:pPr>
      <w:r w:rsidRPr="00EC62E9">
        <w:rPr>
          <w:sz w:val="18"/>
          <w:lang w:val="de-DE"/>
        </w:rPr>
        <w:t>Unterstützung von Staaten und Organisationen, insbesondere der Regierungen von Entwicklungsländern und der Ländern im Übergang zur Marktwirtschaft, bei der Entwicklung von Rechtsvorschriften, die der Akte von 1991 des UPOV Übereinkommens entsprechen.</w:t>
      </w:r>
    </w:p>
    <w:p w:rsidR="00624AF9" w:rsidRPr="00EC62E9" w:rsidRDefault="00624AF9" w:rsidP="00624AF9">
      <w:pPr>
        <w:keepNext/>
        <w:keepLines/>
        <w:widowControl w:val="0"/>
        <w:numPr>
          <w:ilvl w:val="0"/>
          <w:numId w:val="1"/>
        </w:numPr>
        <w:jc w:val="left"/>
        <w:rPr>
          <w:sz w:val="18"/>
          <w:szCs w:val="18"/>
          <w:lang w:val="de-DE"/>
        </w:rPr>
      </w:pPr>
      <w:r w:rsidRPr="00EC62E9">
        <w:rPr>
          <w:sz w:val="18"/>
          <w:lang w:val="de-DE"/>
        </w:rPr>
        <w:t>Unterstützung von Staaten und Organisationen beim Beitritt zur Akte von 1991 des UPOV-Übereinkommens.</w:t>
      </w:r>
    </w:p>
    <w:p w:rsidR="00624AF9" w:rsidRPr="00EC62E9" w:rsidRDefault="00624AF9" w:rsidP="00624AF9">
      <w:pPr>
        <w:keepNext/>
        <w:keepLines/>
        <w:widowControl w:val="0"/>
        <w:numPr>
          <w:ilvl w:val="0"/>
          <w:numId w:val="1"/>
        </w:numPr>
        <w:jc w:val="left"/>
        <w:rPr>
          <w:sz w:val="18"/>
          <w:szCs w:val="18"/>
          <w:lang w:val="de-DE"/>
        </w:rPr>
      </w:pPr>
      <w:r w:rsidRPr="00EC62E9">
        <w:rPr>
          <w:sz w:val="18"/>
          <w:lang w:val="de-DE"/>
        </w:rPr>
        <w:t>Unterstützung von Staaten und Organisationen bei der Umsetzung wirksamer Sortenschutzsysteme nach der Akte von 1991 des UPOV-Übereinkommens.</w:t>
      </w:r>
    </w:p>
    <w:p w:rsidR="00624AF9" w:rsidRPr="00EC62E9" w:rsidRDefault="00624AF9" w:rsidP="00624AF9">
      <w:pPr>
        <w:rPr>
          <w:sz w:val="18"/>
          <w:szCs w:val="18"/>
          <w:lang w:val="de-DE"/>
        </w:rPr>
      </w:pPr>
    </w:p>
    <w:p w:rsidR="00624AF9" w:rsidRPr="00EC62E9" w:rsidRDefault="00624AF9" w:rsidP="00624AF9">
      <w:pPr>
        <w:pStyle w:val="Heading5"/>
        <w:rPr>
          <w:lang w:val="de-DE"/>
        </w:rPr>
      </w:pPr>
      <w:bookmarkStart w:id="191" w:name="_Toc336331205"/>
      <w:bookmarkStart w:id="192" w:name="_Toc336339207"/>
      <w:bookmarkStart w:id="193" w:name="_Toc396137589"/>
      <w:bookmarkStart w:id="194" w:name="_Toc398736788"/>
      <w:r w:rsidRPr="00EC62E9">
        <w:rPr>
          <w:lang w:val="de-DE"/>
        </w:rPr>
        <w:t>Erzielte Ergebnisse:  Ausgewählte Planerfüllungsindikatoren</w:t>
      </w:r>
      <w:bookmarkEnd w:id="191"/>
      <w:bookmarkEnd w:id="192"/>
      <w:bookmarkEnd w:id="193"/>
      <w:bookmarkEnd w:id="194"/>
    </w:p>
    <w:p w:rsidR="00624AF9" w:rsidRPr="00EC62E9" w:rsidRDefault="00624AF9" w:rsidP="00624AF9">
      <w:pPr>
        <w:keepNext/>
        <w:keepLines/>
        <w:widowControl w:val="0"/>
        <w:jc w:val="left"/>
        <w:rPr>
          <w:lang w:val="de-DE"/>
        </w:rPr>
      </w:pPr>
    </w:p>
    <w:p w:rsidR="00624AF9" w:rsidRPr="00EC62E9" w:rsidRDefault="00624AF9" w:rsidP="00624AF9">
      <w:pPr>
        <w:pStyle w:val="Heading6"/>
        <w:rPr>
          <w:lang w:val="de-DE"/>
        </w:rPr>
      </w:pPr>
      <w:bookmarkStart w:id="195" w:name="_Toc396137590"/>
      <w:bookmarkStart w:id="196" w:name="_Toc398736789"/>
      <w:r w:rsidRPr="00EC62E9">
        <w:rPr>
          <w:lang w:val="de-DE"/>
        </w:rPr>
        <w:t xml:space="preserve">1.  Sensibilisierung für die </w:t>
      </w:r>
      <w:r w:rsidR="00C9720C" w:rsidRPr="00EC62E9">
        <w:rPr>
          <w:lang w:val="de-DE"/>
        </w:rPr>
        <w:t>Bedeutung von Sortenschutz gemäSS</w:t>
      </w:r>
      <w:r w:rsidRPr="00EC62E9">
        <w:rPr>
          <w:lang w:val="de-DE"/>
        </w:rPr>
        <w:t xml:space="preserve"> dem UPOV-Übereinkommen.</w:t>
      </w:r>
      <w:bookmarkEnd w:id="195"/>
      <w:bookmarkEnd w:id="196"/>
    </w:p>
    <w:p w:rsidR="00624AF9" w:rsidRPr="00EC62E9" w:rsidRDefault="00624AF9" w:rsidP="00624AF9">
      <w:pPr>
        <w:rPr>
          <w:lang w:val="de-DE"/>
        </w:rPr>
      </w:pPr>
    </w:p>
    <w:p w:rsidR="00624AF9" w:rsidRPr="00EC62E9" w:rsidRDefault="00E25A9D" w:rsidP="00624AF9">
      <w:pPr>
        <w:pStyle w:val="Heading8"/>
        <w:rPr>
          <w:szCs w:val="18"/>
          <w:lang w:val="de-DE"/>
        </w:rPr>
      </w:pPr>
      <w:bookmarkStart w:id="197" w:name="_Toc396137591"/>
      <w:bookmarkStart w:id="198" w:name="_Toc398736790"/>
      <w:r>
        <w:rPr>
          <w:lang w:val="de-DE"/>
        </w:rPr>
        <w:t xml:space="preserve">a)  </w:t>
      </w:r>
      <w:r w:rsidR="00624AF9" w:rsidRPr="00EC62E9">
        <w:rPr>
          <w:lang w:val="de-DE"/>
        </w:rPr>
        <w:t>Veröffentlichungen zur Rolle des Sortenschutzsystems, einschließlich Materialien auf der UPOV-Website</w:t>
      </w:r>
      <w:bookmarkEnd w:id="197"/>
      <w:bookmarkEnd w:id="198"/>
    </w:p>
    <w:p w:rsidR="00624AF9" w:rsidRPr="00EC62E9" w:rsidRDefault="00624AF9" w:rsidP="00624AF9">
      <w:pPr>
        <w:rPr>
          <w:sz w:val="18"/>
          <w:szCs w:val="18"/>
          <w:lang w:val="de-DE"/>
        </w:rPr>
      </w:pPr>
      <w:r w:rsidRPr="00EC62E9">
        <w:rPr>
          <w:sz w:val="18"/>
          <w:lang w:val="de-DE"/>
        </w:rPr>
        <w:t>Siehe Abschnitt 2.2 „Unterprogramm UV.2”, Erwartetes Ergebnis „7. Erteilung von Auskünften über das UPOV-Übereinkommen an Interessensvertreter“, „a) Nutzerorientierte Informationen auf der UPOV Website“</w:t>
      </w:r>
    </w:p>
    <w:p w:rsidR="00624AF9" w:rsidRPr="00EC62E9" w:rsidRDefault="00624AF9" w:rsidP="00624AF9">
      <w:pPr>
        <w:rPr>
          <w:sz w:val="18"/>
          <w:szCs w:val="18"/>
          <w:lang w:val="de-DE"/>
        </w:rPr>
      </w:pPr>
    </w:p>
    <w:p w:rsidR="00624AF9" w:rsidRPr="00EC62E9" w:rsidRDefault="00E25A9D" w:rsidP="00624AF9">
      <w:pPr>
        <w:pStyle w:val="Heading8"/>
        <w:rPr>
          <w:lang w:val="de-DE"/>
        </w:rPr>
      </w:pPr>
      <w:bookmarkStart w:id="199" w:name="_Toc396137592"/>
      <w:bookmarkStart w:id="200" w:name="_Toc398736791"/>
      <w:r>
        <w:rPr>
          <w:lang w:val="de-DE"/>
        </w:rPr>
        <w:t xml:space="preserve">b)  </w:t>
      </w:r>
      <w:r w:rsidR="00624AF9" w:rsidRPr="00EC62E9">
        <w:rPr>
          <w:lang w:val="de-DE"/>
        </w:rPr>
        <w:t>Erteilte Auskünfte an Staaten und Organisationen bei Veranstaltungen der UPOV</w:t>
      </w:r>
      <w:bookmarkEnd w:id="199"/>
      <w:bookmarkEnd w:id="200"/>
    </w:p>
    <w:p w:rsidR="00624AF9" w:rsidRPr="00DF08DC" w:rsidRDefault="00624AF9" w:rsidP="00DF08DC">
      <w:pPr>
        <w:rPr>
          <w:sz w:val="18"/>
          <w:szCs w:val="18"/>
          <w:lang w:val="de-DE"/>
        </w:rPr>
      </w:pPr>
      <w:r w:rsidRPr="00DF08DC">
        <w:rPr>
          <w:sz w:val="18"/>
          <w:lang w:val="de-DE"/>
        </w:rPr>
        <w:t>Erteilte Auskünfte an Staaten bei Veranstaltungen der UPOV:</w:t>
      </w:r>
    </w:p>
    <w:p w:rsidR="00624AF9" w:rsidRPr="00EC62E9" w:rsidRDefault="00624AF9" w:rsidP="00624AF9">
      <w:pPr>
        <w:rPr>
          <w:sz w:val="18"/>
          <w:szCs w:val="18"/>
          <w:lang w:val="de-DE"/>
        </w:rPr>
      </w:pPr>
    </w:p>
    <w:p w:rsidR="00624AF9" w:rsidRPr="00EC62E9" w:rsidRDefault="00624AF9" w:rsidP="00DF08DC">
      <w:pPr>
        <w:ind w:left="567"/>
        <w:rPr>
          <w:sz w:val="18"/>
          <w:szCs w:val="18"/>
          <w:lang w:val="de-DE"/>
        </w:rPr>
      </w:pPr>
      <w:r w:rsidRPr="00EC62E9">
        <w:rPr>
          <w:sz w:val="18"/>
          <w:lang w:val="de-DE"/>
        </w:rPr>
        <w:t xml:space="preserve">Afghanistan, Antigua </w:t>
      </w:r>
      <w:proofErr w:type="spellStart"/>
      <w:r w:rsidRPr="00EC62E9">
        <w:rPr>
          <w:sz w:val="18"/>
          <w:lang w:val="de-DE"/>
        </w:rPr>
        <w:t>and</w:t>
      </w:r>
      <w:proofErr w:type="spellEnd"/>
      <w:r w:rsidRPr="00EC62E9">
        <w:rPr>
          <w:sz w:val="18"/>
          <w:lang w:val="de-DE"/>
        </w:rPr>
        <w:t xml:space="preserve"> Barbuda, Argentinien, Bahamas, Barbados, Belgien, Bolivien (</w:t>
      </w:r>
      <w:proofErr w:type="spellStart"/>
      <w:r w:rsidRPr="00EC62E9">
        <w:rPr>
          <w:sz w:val="18"/>
          <w:lang w:val="de-DE"/>
        </w:rPr>
        <w:t>plurinationaler</w:t>
      </w:r>
      <w:proofErr w:type="spellEnd"/>
      <w:r w:rsidRPr="00EC62E9">
        <w:rPr>
          <w:sz w:val="18"/>
          <w:lang w:val="de-DE"/>
        </w:rPr>
        <w:t xml:space="preserve"> Staat), Botswana, Brasilien, Brunei Darussalam, Chile, China, Costa Rica, Deutschland, Dominikanische Republik, Ecuador, </w:t>
      </w:r>
      <w:proofErr w:type="spellStart"/>
      <w:r w:rsidRPr="00EC62E9">
        <w:rPr>
          <w:sz w:val="18"/>
          <w:lang w:val="de-DE"/>
        </w:rPr>
        <w:t>El</w:t>
      </w:r>
      <w:proofErr w:type="spellEnd"/>
      <w:r w:rsidRPr="00EC62E9">
        <w:rPr>
          <w:sz w:val="18"/>
          <w:lang w:val="de-DE"/>
        </w:rPr>
        <w:t xml:space="preserve"> Salvador, Estland, Finnland, Frankreich, Gambia, Ghana, Grenada, Guatemala, Guyana, Honduras, Indien, Indonesien, Irland, Israel, Italien, Jamaica, Japan, Kambodscha, Kanada, Kenia, Kolumbien, Kroatien, Kuba, Demokratische Volksrepublik Laos, Litauen, Lesotho, Liberia, Litauen, Malawi, Malaysia, Malediven, Mexiko, Marokko, Mosambik, Myanmar, Namibia, Niederlande, Neuseeland, Nicaragua, Norwegen, Oman, Österreich, Pakistan, Panama, Paraguay, Peru, Philippinen, Polen, Republik Korea, Republik Moldau, Rumänien, Russische Föderation, Ruanda, Saint Kitts </w:t>
      </w:r>
      <w:proofErr w:type="spellStart"/>
      <w:r w:rsidRPr="00EC62E9">
        <w:rPr>
          <w:sz w:val="18"/>
          <w:lang w:val="de-DE"/>
        </w:rPr>
        <w:t>and</w:t>
      </w:r>
      <w:proofErr w:type="spellEnd"/>
      <w:r w:rsidRPr="00EC62E9">
        <w:rPr>
          <w:sz w:val="18"/>
          <w:lang w:val="de-DE"/>
        </w:rPr>
        <w:t xml:space="preserve"> Nevis, Saint Lucia, Saint Vincent </w:t>
      </w:r>
      <w:proofErr w:type="spellStart"/>
      <w:r w:rsidRPr="00EC62E9">
        <w:rPr>
          <w:sz w:val="18"/>
          <w:lang w:val="de-DE"/>
        </w:rPr>
        <w:t>and</w:t>
      </w:r>
      <w:proofErr w:type="spellEnd"/>
      <w:r w:rsidRPr="00EC62E9">
        <w:rPr>
          <w:sz w:val="18"/>
          <w:lang w:val="de-DE"/>
        </w:rPr>
        <w:t xml:space="preserve"> </w:t>
      </w:r>
      <w:proofErr w:type="spellStart"/>
      <w:r w:rsidRPr="00EC62E9">
        <w:rPr>
          <w:sz w:val="18"/>
          <w:lang w:val="de-DE"/>
        </w:rPr>
        <w:t>the</w:t>
      </w:r>
      <w:proofErr w:type="spellEnd"/>
      <w:r w:rsidRPr="00EC62E9">
        <w:rPr>
          <w:sz w:val="18"/>
          <w:lang w:val="de-DE"/>
        </w:rPr>
        <w:t xml:space="preserve"> </w:t>
      </w:r>
      <w:proofErr w:type="spellStart"/>
      <w:r w:rsidRPr="00EC62E9">
        <w:rPr>
          <w:sz w:val="18"/>
          <w:lang w:val="de-DE"/>
        </w:rPr>
        <w:t>Grenadines</w:t>
      </w:r>
      <w:proofErr w:type="spellEnd"/>
      <w:r w:rsidRPr="00EC62E9">
        <w:rPr>
          <w:sz w:val="18"/>
          <w:lang w:val="de-DE"/>
        </w:rPr>
        <w:t>, Sambia, Sierra Leone, Simbabwe, Singapur, Slowakei, Somalia, Südafrika, Spanien, Sri Lanka, Swasiland, Schweiz, Thailand, Trinidad und Tobago, Tschechische Republik, Tunesien, Uganda, Ungarn, Uruguay, Vereinigtes Königreich, Vereinigte Republik Tansania, Vereinigte Staaten von Amerika, Vietnam (siehe Abb. 23)</w:t>
      </w:r>
    </w:p>
    <w:p w:rsidR="00624AF9" w:rsidRPr="00EC62E9" w:rsidRDefault="00624AF9" w:rsidP="00624AF9">
      <w:pPr>
        <w:rPr>
          <w:sz w:val="18"/>
          <w:szCs w:val="18"/>
          <w:lang w:val="de-DE"/>
        </w:rPr>
      </w:pPr>
    </w:p>
    <w:p w:rsidR="00624AF9" w:rsidRPr="00EC62E9" w:rsidRDefault="00624AF9" w:rsidP="00624AF9">
      <w:pPr>
        <w:pStyle w:val="Heading9"/>
        <w:rPr>
          <w:lang w:val="de-DE"/>
        </w:rPr>
      </w:pPr>
      <w:bookmarkStart w:id="201" w:name="_Toc396137593"/>
      <w:bookmarkStart w:id="202" w:name="_Toc398736792"/>
      <w:r w:rsidRPr="00EC62E9">
        <w:rPr>
          <w:lang w:val="de-DE"/>
        </w:rPr>
        <w:t>Abb. 23.  Erteilte Auskünfte an Staaten bei Veranstaltungen der UPOV</w:t>
      </w:r>
      <w:bookmarkEnd w:id="201"/>
      <w:bookmarkEnd w:id="202"/>
    </w:p>
    <w:p w:rsidR="00624AF9" w:rsidRPr="00EC62E9" w:rsidRDefault="00624AF9" w:rsidP="00624AF9">
      <w:pPr>
        <w:rPr>
          <w:lang w:val="de-DE"/>
        </w:rPr>
      </w:pPr>
    </w:p>
    <w:p w:rsidR="00624AF9" w:rsidRPr="00EC62E9" w:rsidRDefault="00624AF9" w:rsidP="00624AF9">
      <w:pPr>
        <w:jc w:val="center"/>
        <w:rPr>
          <w:sz w:val="18"/>
          <w:szCs w:val="18"/>
          <w:lang w:val="de-DE"/>
        </w:rPr>
      </w:pPr>
      <w:r w:rsidRPr="00EC62E9">
        <w:rPr>
          <w:noProof/>
        </w:rPr>
        <w:drawing>
          <wp:inline distT="0" distB="0" distL="0" distR="0" wp14:anchorId="5248BBED" wp14:editId="4B5E43CC">
            <wp:extent cx="4788000" cy="24260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information_at_UPOV_activities.png"/>
                    <pic:cNvPicPr/>
                  </pic:nvPicPr>
                  <pic:blipFill>
                    <a:blip r:embed="rId42">
                      <a:extLst>
                        <a:ext uri="{28A0092B-C50C-407E-A947-70E740481C1C}">
                          <a14:useLocalDpi xmlns:a14="http://schemas.microsoft.com/office/drawing/2010/main" val="0"/>
                        </a:ext>
                      </a:extLst>
                    </a:blip>
                    <a:stretch>
                      <a:fillRect/>
                    </a:stretch>
                  </pic:blipFill>
                  <pic:spPr>
                    <a:xfrm>
                      <a:off x="0" y="0"/>
                      <a:ext cx="4788000" cy="2426066"/>
                    </a:xfrm>
                    <a:prstGeom prst="rect">
                      <a:avLst/>
                    </a:prstGeom>
                  </pic:spPr>
                </pic:pic>
              </a:graphicData>
            </a:graphic>
          </wp:inline>
        </w:drawing>
      </w:r>
    </w:p>
    <w:p w:rsidR="00624AF9" w:rsidRPr="00EC62E9" w:rsidRDefault="00624AF9" w:rsidP="00624AF9">
      <w:pPr>
        <w:rPr>
          <w:sz w:val="18"/>
          <w:szCs w:val="18"/>
          <w:lang w:val="de-DE"/>
        </w:rPr>
      </w:pPr>
    </w:p>
    <w:p w:rsidR="00624AF9" w:rsidRPr="00EC62E9" w:rsidRDefault="00624AF9" w:rsidP="00624AF9">
      <w:pPr>
        <w:keepNext/>
        <w:keepLines/>
        <w:widowControl w:val="0"/>
        <w:jc w:val="center"/>
        <w:rPr>
          <w:sz w:val="18"/>
          <w:szCs w:val="18"/>
          <w:lang w:val="de-DE"/>
        </w:rPr>
      </w:pPr>
      <w:r w:rsidRPr="00EC62E9">
        <w:rPr>
          <w:noProof/>
          <w:sz w:val="16"/>
          <w:szCs w:val="16"/>
        </w:rPr>
        <w:drawing>
          <wp:inline distT="0" distB="0" distL="0" distR="0" wp14:anchorId="7A5BB4A2" wp14:editId="2B2DAEA7">
            <wp:extent cx="115200" cy="115200"/>
            <wp:effectExtent l="19050" t="19050" r="18415"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15200" cy="115200"/>
                    </a:xfrm>
                    <a:prstGeom prst="rect">
                      <a:avLst/>
                    </a:prstGeom>
                    <a:ln>
                      <a:solidFill>
                        <a:schemeClr val="tx1"/>
                      </a:solidFill>
                    </a:ln>
                  </pic:spPr>
                </pic:pic>
              </a:graphicData>
            </a:graphic>
          </wp:inline>
        </w:drawing>
      </w:r>
      <w:r w:rsidRPr="00EC62E9">
        <w:rPr>
          <w:sz w:val="16"/>
          <w:szCs w:val="16"/>
          <w:lang w:val="de-DE"/>
        </w:rPr>
        <w:t>Verbandsmitglieder</w:t>
      </w:r>
      <w:r w:rsidRPr="00EC62E9">
        <w:rPr>
          <w:lang w:val="de-DE"/>
        </w:rPr>
        <w:tab/>
      </w:r>
      <w:r w:rsidRPr="00EC62E9">
        <w:rPr>
          <w:noProof/>
          <w:sz w:val="16"/>
          <w:szCs w:val="16"/>
        </w:rPr>
        <w:drawing>
          <wp:inline distT="0" distB="0" distL="0" distR="0" wp14:anchorId="129203A1" wp14:editId="06A1EB7E">
            <wp:extent cx="122400" cy="115200"/>
            <wp:effectExtent l="19050" t="19050" r="1143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22400" cy="115200"/>
                    </a:xfrm>
                    <a:prstGeom prst="rect">
                      <a:avLst/>
                    </a:prstGeom>
                    <a:ln>
                      <a:solidFill>
                        <a:schemeClr val="tx1"/>
                      </a:solidFill>
                    </a:ln>
                  </pic:spPr>
                </pic:pic>
              </a:graphicData>
            </a:graphic>
          </wp:inline>
        </w:drawing>
      </w:r>
      <w:r w:rsidRPr="00EC62E9">
        <w:rPr>
          <w:sz w:val="16"/>
          <w:lang w:val="de-DE"/>
        </w:rPr>
        <w:t xml:space="preserve">  Nichtverbandsmitglieder</w:t>
      </w:r>
    </w:p>
    <w:p w:rsidR="00624AF9" w:rsidRPr="00EC62E9" w:rsidRDefault="00624AF9" w:rsidP="00624AF9">
      <w:pPr>
        <w:rPr>
          <w:sz w:val="18"/>
          <w:szCs w:val="18"/>
          <w:lang w:val="de-DE"/>
        </w:rPr>
      </w:pPr>
    </w:p>
    <w:p w:rsidR="00624AF9" w:rsidRPr="00EC62E9" w:rsidRDefault="00624AF9" w:rsidP="00DF08DC">
      <w:pPr>
        <w:keepNext/>
        <w:rPr>
          <w:sz w:val="18"/>
          <w:szCs w:val="18"/>
          <w:lang w:val="de-DE"/>
        </w:rPr>
      </w:pPr>
      <w:r w:rsidRPr="00EC62E9">
        <w:rPr>
          <w:sz w:val="18"/>
          <w:lang w:val="de-DE"/>
        </w:rPr>
        <w:t>An zwischenstaatliche Organisationen erteilte Auskünfte bei Veranstaltungen der UPOV:</w:t>
      </w:r>
    </w:p>
    <w:p w:rsidR="00624AF9" w:rsidRPr="00DF08DC" w:rsidRDefault="00624AF9" w:rsidP="00DF08DC">
      <w:pPr>
        <w:keepNext/>
        <w:ind w:left="567"/>
        <w:rPr>
          <w:sz w:val="18"/>
          <w:lang w:val="de-DE"/>
        </w:rPr>
      </w:pPr>
    </w:p>
    <w:p w:rsidR="00624AF9" w:rsidRPr="00DF08DC" w:rsidRDefault="00624AF9" w:rsidP="00DF08DC">
      <w:pPr>
        <w:ind w:left="567"/>
        <w:rPr>
          <w:sz w:val="18"/>
          <w:lang w:val="de-DE"/>
        </w:rPr>
      </w:pPr>
      <w:r w:rsidRPr="00EC62E9">
        <w:rPr>
          <w:sz w:val="18"/>
          <w:lang w:val="de-DE"/>
        </w:rPr>
        <w:t>ARIPO, Europäische Union, IDLO</w:t>
      </w:r>
    </w:p>
    <w:p w:rsidR="00624AF9" w:rsidRPr="00EC62E9" w:rsidRDefault="00624AF9" w:rsidP="00624AF9">
      <w:pPr>
        <w:keepNext/>
        <w:rPr>
          <w:sz w:val="18"/>
          <w:szCs w:val="18"/>
          <w:lang w:val="de-DE"/>
        </w:rPr>
      </w:pPr>
    </w:p>
    <w:p w:rsidR="00624AF9" w:rsidRPr="00EC62E9" w:rsidRDefault="00624AF9" w:rsidP="00DF08DC">
      <w:pPr>
        <w:rPr>
          <w:sz w:val="18"/>
          <w:szCs w:val="18"/>
          <w:lang w:val="de-DE"/>
        </w:rPr>
      </w:pPr>
      <w:r w:rsidRPr="00EC62E9">
        <w:rPr>
          <w:sz w:val="18"/>
          <w:lang w:val="de-DE"/>
        </w:rPr>
        <w:t>An Nichtregierungsorganisationen erteilte Auskünfte bei Veranstaltungen der UPOV:</w:t>
      </w:r>
    </w:p>
    <w:p w:rsidR="00624AF9" w:rsidRPr="00DF08DC" w:rsidRDefault="00624AF9" w:rsidP="00DF08DC">
      <w:pPr>
        <w:ind w:left="567"/>
        <w:rPr>
          <w:sz w:val="18"/>
          <w:lang w:val="de-DE"/>
        </w:rPr>
      </w:pPr>
    </w:p>
    <w:p w:rsidR="00624AF9" w:rsidRPr="00DF08DC" w:rsidRDefault="00624AF9" w:rsidP="00DF08DC">
      <w:pPr>
        <w:ind w:left="567"/>
        <w:rPr>
          <w:sz w:val="18"/>
          <w:lang w:val="de-DE"/>
        </w:rPr>
      </w:pPr>
      <w:r w:rsidRPr="00EC62E9">
        <w:rPr>
          <w:sz w:val="18"/>
          <w:lang w:val="de-DE"/>
        </w:rPr>
        <w:t>AOHE, APBREBES, APSA, ASTA, Erklärung von Bern, CIAT, CIOPORA, ESA</w:t>
      </w:r>
    </w:p>
    <w:p w:rsidR="00624AF9" w:rsidRPr="00EC62E9" w:rsidRDefault="00624AF9" w:rsidP="00624AF9">
      <w:pPr>
        <w:rPr>
          <w:sz w:val="18"/>
          <w:szCs w:val="18"/>
          <w:lang w:val="de-DE"/>
        </w:rPr>
      </w:pPr>
    </w:p>
    <w:p w:rsidR="00624AF9" w:rsidRPr="00EC62E9" w:rsidRDefault="00624AF9" w:rsidP="00DF08DC">
      <w:pPr>
        <w:rPr>
          <w:sz w:val="18"/>
          <w:szCs w:val="18"/>
          <w:lang w:val="de-DE"/>
        </w:rPr>
      </w:pPr>
      <w:r w:rsidRPr="00EC62E9">
        <w:rPr>
          <w:sz w:val="18"/>
          <w:lang w:val="de-DE"/>
        </w:rPr>
        <w:t>Orte der UPOV-Veranstaltungen:</w:t>
      </w:r>
    </w:p>
    <w:p w:rsidR="00624AF9" w:rsidRPr="00DF08DC" w:rsidRDefault="00624AF9" w:rsidP="00DF08DC">
      <w:pPr>
        <w:ind w:left="567"/>
        <w:rPr>
          <w:sz w:val="18"/>
          <w:lang w:val="de-DE"/>
        </w:rPr>
      </w:pPr>
    </w:p>
    <w:p w:rsidR="00624AF9" w:rsidRPr="00DF08DC" w:rsidRDefault="00624AF9" w:rsidP="00DF08DC">
      <w:pPr>
        <w:ind w:left="567"/>
        <w:rPr>
          <w:sz w:val="18"/>
          <w:lang w:val="de-DE"/>
        </w:rPr>
      </w:pPr>
      <w:r w:rsidRPr="00DF08DC">
        <w:rPr>
          <w:sz w:val="18"/>
          <w:lang w:val="de-DE"/>
        </w:rPr>
        <w:t>Argentinien, China, Ecuador, Japan, Kambodscha, Demokratische Volksrepublik Laos, Malawi, Malaysia, Oman, Peru, Sri Lanka, Schweiz, Simbabwe, Thailand, Trinidad und Tobago, Uruguay, Vereinigte Staaten von Amerika (siehe Abb. 24)</w:t>
      </w:r>
    </w:p>
    <w:p w:rsidR="00624AF9" w:rsidRPr="00EC62E9" w:rsidRDefault="00624AF9" w:rsidP="00624AF9">
      <w:pPr>
        <w:rPr>
          <w:color w:val="000000"/>
          <w:sz w:val="18"/>
          <w:szCs w:val="18"/>
          <w:lang w:val="de-DE"/>
        </w:rPr>
      </w:pPr>
    </w:p>
    <w:p w:rsidR="00624AF9" w:rsidRPr="00EC62E9" w:rsidRDefault="00624AF9" w:rsidP="00624AF9">
      <w:pPr>
        <w:pStyle w:val="Heading9"/>
        <w:rPr>
          <w:lang w:val="de-DE"/>
        </w:rPr>
      </w:pPr>
      <w:bookmarkStart w:id="203" w:name="_Toc396137594"/>
      <w:bookmarkStart w:id="204" w:name="_Toc398736793"/>
      <w:r w:rsidRPr="00EC62E9">
        <w:rPr>
          <w:lang w:val="de-DE"/>
        </w:rPr>
        <w:t>Abb. 24.  Orte der UPOV-Veranstaltungen</w:t>
      </w:r>
      <w:bookmarkEnd w:id="203"/>
      <w:bookmarkEnd w:id="204"/>
    </w:p>
    <w:p w:rsidR="00624AF9" w:rsidRPr="00EC62E9" w:rsidRDefault="00624AF9" w:rsidP="00624AF9">
      <w:pPr>
        <w:keepNext/>
        <w:keepLines/>
        <w:widowControl w:val="0"/>
        <w:jc w:val="center"/>
        <w:rPr>
          <w:sz w:val="18"/>
          <w:szCs w:val="18"/>
          <w:lang w:val="de-DE"/>
        </w:rPr>
      </w:pPr>
      <w:r w:rsidRPr="00EC62E9">
        <w:rPr>
          <w:noProof/>
        </w:rPr>
        <w:drawing>
          <wp:inline distT="0" distB="0" distL="0" distR="0" wp14:anchorId="0CD3F680" wp14:editId="3AA4490B">
            <wp:extent cx="4788000" cy="242606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location_of_UPOV_activities.png"/>
                    <pic:cNvPicPr/>
                  </pic:nvPicPr>
                  <pic:blipFill>
                    <a:blip r:embed="rId45">
                      <a:extLst>
                        <a:ext uri="{28A0092B-C50C-407E-A947-70E740481C1C}">
                          <a14:useLocalDpi xmlns:a14="http://schemas.microsoft.com/office/drawing/2010/main" val="0"/>
                        </a:ext>
                      </a:extLst>
                    </a:blip>
                    <a:stretch>
                      <a:fillRect/>
                    </a:stretch>
                  </pic:blipFill>
                  <pic:spPr>
                    <a:xfrm>
                      <a:off x="0" y="0"/>
                      <a:ext cx="4788000" cy="2426061"/>
                    </a:xfrm>
                    <a:prstGeom prst="rect">
                      <a:avLst/>
                    </a:prstGeom>
                    <a:ln>
                      <a:noFill/>
                    </a:ln>
                  </pic:spPr>
                </pic:pic>
              </a:graphicData>
            </a:graphic>
          </wp:inline>
        </w:drawing>
      </w:r>
    </w:p>
    <w:p w:rsidR="00624AF9" w:rsidRPr="00EC62E9" w:rsidRDefault="00624AF9" w:rsidP="00624AF9">
      <w:pPr>
        <w:keepNext/>
        <w:keepLines/>
        <w:widowControl w:val="0"/>
        <w:jc w:val="center"/>
        <w:rPr>
          <w:sz w:val="18"/>
          <w:szCs w:val="18"/>
          <w:lang w:val="de-DE"/>
        </w:rPr>
      </w:pPr>
    </w:p>
    <w:p w:rsidR="00624AF9" w:rsidRPr="00EC62E9" w:rsidRDefault="00624AF9" w:rsidP="00624AF9">
      <w:pPr>
        <w:keepNext/>
        <w:keepLines/>
        <w:widowControl w:val="0"/>
        <w:jc w:val="center"/>
        <w:rPr>
          <w:sz w:val="18"/>
          <w:szCs w:val="18"/>
          <w:lang w:val="de-DE"/>
        </w:rPr>
      </w:pPr>
    </w:p>
    <w:p w:rsidR="00624AF9" w:rsidRPr="00EC62E9" w:rsidRDefault="00E25A9D" w:rsidP="00624AF9">
      <w:pPr>
        <w:pStyle w:val="Heading8"/>
        <w:rPr>
          <w:szCs w:val="18"/>
          <w:lang w:val="de-DE"/>
        </w:rPr>
      </w:pPr>
      <w:bookmarkStart w:id="205" w:name="_Toc396137595"/>
      <w:bookmarkStart w:id="206" w:name="_Toc398736794"/>
      <w:r>
        <w:rPr>
          <w:lang w:val="de-DE"/>
        </w:rPr>
        <w:t xml:space="preserve">c)  </w:t>
      </w:r>
      <w:r w:rsidR="00624AF9" w:rsidRPr="00EC62E9">
        <w:rPr>
          <w:lang w:val="de-DE"/>
        </w:rPr>
        <w:t>Staaten, die im Hinblick auf Unterstützung bei der Ausarbeitung von Rechtsvorschriften aufgrund des UPOV-Übereinkommens mit dem Verbandsbüro in Verbindung standen</w:t>
      </w:r>
      <w:bookmarkEnd w:id="205"/>
      <w:bookmarkEnd w:id="206"/>
    </w:p>
    <w:p w:rsidR="00624AF9" w:rsidRPr="00EC62E9" w:rsidRDefault="00624AF9" w:rsidP="00624AF9">
      <w:pPr>
        <w:pStyle w:val="BodyText"/>
        <w:rPr>
          <w:sz w:val="18"/>
          <w:szCs w:val="18"/>
          <w:lang w:val="de-DE"/>
        </w:rPr>
      </w:pPr>
      <w:r w:rsidRPr="00EC62E9">
        <w:rPr>
          <w:sz w:val="18"/>
          <w:lang w:val="de-DE"/>
        </w:rPr>
        <w:t>Verbandsmitglieder:  Aserbaidschan, Kanada, Nicaragua, Panama, Singapur und Südafrika.</w:t>
      </w:r>
    </w:p>
    <w:p w:rsidR="00624AF9" w:rsidRPr="00EC62E9" w:rsidRDefault="00624AF9" w:rsidP="00624AF9">
      <w:pPr>
        <w:rPr>
          <w:sz w:val="18"/>
          <w:szCs w:val="18"/>
          <w:lang w:val="de-DE"/>
        </w:rPr>
      </w:pPr>
    </w:p>
    <w:p w:rsidR="00624AF9" w:rsidRPr="00EC62E9" w:rsidRDefault="00624AF9" w:rsidP="00624AF9">
      <w:pPr>
        <w:tabs>
          <w:tab w:val="left" w:pos="2410"/>
        </w:tabs>
        <w:rPr>
          <w:sz w:val="18"/>
          <w:szCs w:val="18"/>
          <w:lang w:val="de-DE"/>
        </w:rPr>
      </w:pPr>
      <w:r w:rsidRPr="00EC62E9">
        <w:rPr>
          <w:sz w:val="18"/>
          <w:lang w:val="de-DE"/>
        </w:rPr>
        <w:t xml:space="preserve">Nichtmitglieder des Verbandes:  Ägypten, ARIPO, Bahamas, Bahrain, Bosnien-Herzegowina, Botswana, Brunei Darussalam, Ghana, Honduras, Demokratische Volksrepublik Laos, Malaysia, Myanmar, Namibia, Pakistan, Philippinen, Ruanda, Saint Kitts </w:t>
      </w:r>
      <w:proofErr w:type="spellStart"/>
      <w:r w:rsidRPr="00EC62E9">
        <w:rPr>
          <w:sz w:val="18"/>
          <w:lang w:val="de-DE"/>
        </w:rPr>
        <w:t>and</w:t>
      </w:r>
      <w:proofErr w:type="spellEnd"/>
      <w:r w:rsidRPr="00EC62E9">
        <w:rPr>
          <w:sz w:val="18"/>
          <w:lang w:val="de-DE"/>
        </w:rPr>
        <w:t xml:space="preserve"> Nevis, Seychellen, Simbabwe, Thailand, Vereinigte Arabische Emirate und Vereinigte Republik Tansania (siehe Abb. 25)</w:t>
      </w:r>
    </w:p>
    <w:p w:rsidR="00624AF9" w:rsidRDefault="00624AF9" w:rsidP="00624AF9">
      <w:pPr>
        <w:rPr>
          <w:color w:val="000000"/>
          <w:sz w:val="18"/>
          <w:szCs w:val="18"/>
          <w:lang w:val="de-DE"/>
        </w:rPr>
      </w:pPr>
    </w:p>
    <w:p w:rsidR="00DF08DC" w:rsidRPr="00EC62E9" w:rsidRDefault="00DF08DC" w:rsidP="00624AF9">
      <w:pPr>
        <w:rPr>
          <w:color w:val="000000"/>
          <w:sz w:val="18"/>
          <w:szCs w:val="18"/>
          <w:lang w:val="de-DE"/>
        </w:rPr>
      </w:pPr>
    </w:p>
    <w:p w:rsidR="00624AF9" w:rsidRPr="00EC62E9" w:rsidRDefault="00624AF9" w:rsidP="00624AF9">
      <w:pPr>
        <w:pStyle w:val="Heading8"/>
        <w:rPr>
          <w:szCs w:val="18"/>
          <w:lang w:val="de-DE"/>
        </w:rPr>
      </w:pPr>
      <w:bookmarkStart w:id="207" w:name="_Toc396137596"/>
      <w:bookmarkStart w:id="208" w:name="_Toc398736795"/>
      <w:r w:rsidRPr="00EC62E9">
        <w:rPr>
          <w:lang w:val="de-DE"/>
        </w:rPr>
        <w:t>d)  Staaten und Organisationen, die beim Rat der UPOV das Verfahren für den Beitritt zum UPOV-Übereinkommen eingeleitet haben</w:t>
      </w:r>
      <w:bookmarkEnd w:id="207"/>
      <w:bookmarkEnd w:id="208"/>
    </w:p>
    <w:p w:rsidR="00624AF9" w:rsidRPr="00EC62E9" w:rsidRDefault="00624AF9" w:rsidP="00624AF9">
      <w:pPr>
        <w:rPr>
          <w:rFonts w:cs="Arial"/>
          <w:snapToGrid w:val="0"/>
          <w:color w:val="000000"/>
          <w:sz w:val="18"/>
          <w:szCs w:val="24"/>
          <w:lang w:val="de-DE"/>
        </w:rPr>
      </w:pPr>
      <w:r w:rsidRPr="00EC62E9">
        <w:rPr>
          <w:sz w:val="18"/>
          <w:lang w:val="de-DE"/>
        </w:rPr>
        <w:t xml:space="preserve">Ghana, </w:t>
      </w:r>
      <w:r w:rsidRPr="00EC62E9">
        <w:rPr>
          <w:snapToGrid w:val="0"/>
          <w:color w:val="000000"/>
          <w:sz w:val="18"/>
          <w:lang w:val="de-DE"/>
        </w:rPr>
        <w:t>Vereinigte Republik Tansania</w:t>
      </w:r>
    </w:p>
    <w:p w:rsidR="00624AF9" w:rsidRPr="00EC62E9" w:rsidRDefault="00624AF9" w:rsidP="00624AF9">
      <w:pPr>
        <w:rPr>
          <w:rFonts w:cs="Arial"/>
          <w:snapToGrid w:val="0"/>
          <w:color w:val="000000"/>
          <w:sz w:val="18"/>
          <w:szCs w:val="24"/>
          <w:lang w:val="de-DE"/>
        </w:rPr>
      </w:pPr>
    </w:p>
    <w:p w:rsidR="00624AF9" w:rsidRPr="00EC62E9" w:rsidRDefault="00624AF9" w:rsidP="00624AF9">
      <w:pPr>
        <w:pStyle w:val="Heading9"/>
        <w:rPr>
          <w:rFonts w:cs="Arial"/>
          <w:snapToGrid w:val="0"/>
          <w:color w:val="000000"/>
          <w:szCs w:val="24"/>
          <w:lang w:val="de-DE"/>
        </w:rPr>
      </w:pPr>
      <w:bookmarkStart w:id="209" w:name="_Toc396137597"/>
      <w:bookmarkStart w:id="210" w:name="_Toc398736796"/>
      <w:r w:rsidRPr="00EC62E9">
        <w:rPr>
          <w:snapToGrid w:val="0"/>
          <w:color w:val="000000"/>
          <w:lang w:val="de-DE"/>
        </w:rPr>
        <w:t>A</w:t>
      </w:r>
      <w:r w:rsidRPr="00EC62E9">
        <w:rPr>
          <w:lang w:val="de-DE"/>
        </w:rPr>
        <w:t>bb. 25.  Staaten und Organisationen, die das Verbandsbüro um Unterstützung bei der Ausarbeitung von Rechtsvorschriften zum Sortenschutz ersuchten und Staaten und Organisationen, die beim Rat der UPOV das Verfahren für den Beitritt zum UPOV-Übereinkommen eingeleitet haben</w:t>
      </w:r>
      <w:bookmarkEnd w:id="209"/>
      <w:bookmarkEnd w:id="210"/>
    </w:p>
    <w:p w:rsidR="00624AF9" w:rsidRPr="00EC62E9" w:rsidRDefault="00624AF9" w:rsidP="00624AF9">
      <w:pPr>
        <w:jc w:val="center"/>
        <w:rPr>
          <w:rFonts w:cs="Arial"/>
          <w:snapToGrid w:val="0"/>
          <w:color w:val="000000"/>
          <w:sz w:val="18"/>
          <w:szCs w:val="24"/>
          <w:lang w:val="de-DE"/>
        </w:rPr>
      </w:pPr>
      <w:r w:rsidRPr="00EC62E9">
        <w:rPr>
          <w:noProof/>
        </w:rPr>
        <w:drawing>
          <wp:inline distT="0" distB="0" distL="0" distR="0" wp14:anchorId="4B92FBD8" wp14:editId="60D466EE">
            <wp:extent cx="4788000" cy="2448734"/>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788000" cy="2448734"/>
                    </a:xfrm>
                    <a:prstGeom prst="rect">
                      <a:avLst/>
                    </a:prstGeom>
                  </pic:spPr>
                </pic:pic>
              </a:graphicData>
            </a:graphic>
          </wp:inline>
        </w:drawing>
      </w:r>
    </w:p>
    <w:p w:rsidR="00624AF9" w:rsidRPr="00EC62E9" w:rsidRDefault="00624AF9" w:rsidP="00624AF9">
      <w:pPr>
        <w:jc w:val="center"/>
        <w:rPr>
          <w:rFonts w:cs="Arial"/>
          <w:snapToGrid w:val="0"/>
          <w:color w:val="000000"/>
          <w:sz w:val="18"/>
          <w:szCs w:val="24"/>
          <w:lang w:val="de-DE"/>
        </w:rPr>
      </w:pPr>
    </w:p>
    <w:p w:rsidR="00624AF9" w:rsidRPr="00EC62E9" w:rsidRDefault="00624AF9" w:rsidP="00624AF9">
      <w:pPr>
        <w:ind w:left="812" w:right="741" w:hanging="425"/>
        <w:jc w:val="left"/>
        <w:rPr>
          <w:sz w:val="16"/>
          <w:szCs w:val="16"/>
          <w:lang w:val="de-DE"/>
        </w:rPr>
      </w:pPr>
      <w:r w:rsidRPr="00EC62E9">
        <w:rPr>
          <w:noProof/>
          <w:sz w:val="16"/>
          <w:szCs w:val="16"/>
        </w:rPr>
        <w:drawing>
          <wp:inline distT="0" distB="0" distL="0" distR="0" wp14:anchorId="4F7DB404" wp14:editId="246FEB73">
            <wp:extent cx="115200" cy="115200"/>
            <wp:effectExtent l="19050" t="19050" r="18415" b="1841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15200" cy="115200"/>
                    </a:xfrm>
                    <a:prstGeom prst="rect">
                      <a:avLst/>
                    </a:prstGeom>
                    <a:ln>
                      <a:solidFill>
                        <a:schemeClr val="tx1"/>
                      </a:solidFill>
                    </a:ln>
                  </pic:spPr>
                </pic:pic>
              </a:graphicData>
            </a:graphic>
          </wp:inline>
        </w:drawing>
      </w:r>
      <w:r w:rsidR="00DF08DC">
        <w:rPr>
          <w:lang w:val="de-DE"/>
        </w:rPr>
        <w:tab/>
      </w:r>
      <w:r w:rsidRPr="00EC62E9">
        <w:rPr>
          <w:sz w:val="16"/>
          <w:szCs w:val="16"/>
          <w:lang w:val="de-DE"/>
        </w:rPr>
        <w:t>Staaten und Organisationen, die beim Rat der UPOV das Verfahren für den Beitritt zum UPOV-Übereinkommen eingeleitet haben</w:t>
      </w:r>
      <w:r w:rsidRPr="00EC62E9">
        <w:rPr>
          <w:sz w:val="16"/>
          <w:lang w:val="de-DE"/>
        </w:rPr>
        <w:t xml:space="preserve"> </w:t>
      </w:r>
    </w:p>
    <w:p w:rsidR="00624AF9" w:rsidRPr="00EC62E9" w:rsidRDefault="00624AF9" w:rsidP="00624AF9">
      <w:pPr>
        <w:ind w:left="812" w:right="741" w:hanging="425"/>
        <w:jc w:val="left"/>
        <w:rPr>
          <w:sz w:val="16"/>
          <w:szCs w:val="16"/>
          <w:lang w:val="de-DE"/>
        </w:rPr>
      </w:pPr>
      <w:r w:rsidRPr="00EC62E9">
        <w:rPr>
          <w:noProof/>
          <w:sz w:val="16"/>
          <w:szCs w:val="16"/>
        </w:rPr>
        <w:drawing>
          <wp:inline distT="0" distB="0" distL="0" distR="0" wp14:anchorId="74A86720" wp14:editId="7B893A58">
            <wp:extent cx="122400" cy="115200"/>
            <wp:effectExtent l="19050" t="19050" r="11430" b="1841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22400" cy="115200"/>
                    </a:xfrm>
                    <a:prstGeom prst="rect">
                      <a:avLst/>
                    </a:prstGeom>
                    <a:ln>
                      <a:solidFill>
                        <a:schemeClr val="tx1"/>
                      </a:solidFill>
                    </a:ln>
                  </pic:spPr>
                </pic:pic>
              </a:graphicData>
            </a:graphic>
          </wp:inline>
        </w:drawing>
      </w:r>
      <w:r w:rsidRPr="00EC62E9">
        <w:rPr>
          <w:lang w:val="de-DE"/>
        </w:rPr>
        <w:tab/>
      </w:r>
      <w:r w:rsidRPr="00EC62E9">
        <w:rPr>
          <w:sz w:val="16"/>
          <w:szCs w:val="16"/>
          <w:lang w:val="de-DE"/>
        </w:rPr>
        <w:t>Staaten und Organisationen, die das Verbandsbüro um Unterstützung bei der Ausarbeitung von Rechtsvorschriften zum Sortenschutz ersuchten</w:t>
      </w:r>
    </w:p>
    <w:p w:rsidR="00624AF9" w:rsidRPr="00EC62E9" w:rsidRDefault="00624AF9" w:rsidP="00624AF9">
      <w:pPr>
        <w:jc w:val="center"/>
        <w:rPr>
          <w:sz w:val="18"/>
          <w:szCs w:val="18"/>
          <w:lang w:val="de-DE"/>
        </w:rPr>
      </w:pPr>
    </w:p>
    <w:p w:rsidR="00624AF9" w:rsidRPr="00EC62E9" w:rsidRDefault="00624AF9" w:rsidP="00624AF9">
      <w:pPr>
        <w:jc w:val="center"/>
        <w:rPr>
          <w:sz w:val="18"/>
          <w:szCs w:val="18"/>
          <w:lang w:val="de-DE"/>
        </w:rPr>
      </w:pPr>
    </w:p>
    <w:p w:rsidR="00624AF9" w:rsidRPr="00EC62E9" w:rsidRDefault="00624AF9" w:rsidP="00624AF9">
      <w:pPr>
        <w:pStyle w:val="Heading8"/>
        <w:rPr>
          <w:szCs w:val="18"/>
          <w:lang w:val="de-DE"/>
        </w:rPr>
      </w:pPr>
      <w:bookmarkStart w:id="211" w:name="_Toc396137598"/>
      <w:bookmarkStart w:id="212" w:name="_Toc398736797"/>
      <w:r w:rsidRPr="00EC62E9">
        <w:rPr>
          <w:lang w:val="de-DE"/>
        </w:rPr>
        <w:t>e)  Teilnahme an Sensibilisierungsveranstaltungen der UPOV, oder Veranstaltungen mit beteiligtem Personal der UPOV oder UPOV-Ausbildern im Namen von Personal der UPOV</w:t>
      </w:r>
      <w:bookmarkEnd w:id="211"/>
      <w:bookmarkEnd w:id="212"/>
      <w:r w:rsidRPr="00EC62E9">
        <w:rPr>
          <w:lang w:val="de-DE"/>
        </w:rPr>
        <w:t xml:space="preserve"> </w:t>
      </w:r>
    </w:p>
    <w:p w:rsidR="00624AF9" w:rsidRPr="00241879" w:rsidRDefault="00624AF9" w:rsidP="00241879">
      <w:pPr>
        <w:ind w:left="426" w:hanging="426"/>
        <w:rPr>
          <w:sz w:val="18"/>
          <w:lang w:val="de-DE"/>
        </w:rPr>
      </w:pPr>
      <w:bookmarkStart w:id="213" w:name="_Toc396137599"/>
      <w:r w:rsidRPr="00241879">
        <w:rPr>
          <w:sz w:val="18"/>
          <w:lang w:val="de-DE"/>
        </w:rPr>
        <w:t>i)</w:t>
      </w:r>
      <w:r w:rsidR="00241879" w:rsidRPr="00241879">
        <w:rPr>
          <w:sz w:val="18"/>
          <w:lang w:val="de-DE"/>
        </w:rPr>
        <w:tab/>
      </w:r>
      <w:r w:rsidRPr="00241879">
        <w:rPr>
          <w:sz w:val="18"/>
          <w:lang w:val="de-DE"/>
        </w:rPr>
        <w:t>von oder mit der UPOV organisierte Tätigkeiten:   siehe b) oben</w:t>
      </w:r>
      <w:bookmarkEnd w:id="213"/>
    </w:p>
    <w:p w:rsidR="00241879" w:rsidRPr="00241879" w:rsidRDefault="00241879" w:rsidP="00241879">
      <w:pPr>
        <w:ind w:left="426" w:hanging="426"/>
        <w:rPr>
          <w:sz w:val="18"/>
        </w:rPr>
      </w:pPr>
    </w:p>
    <w:p w:rsidR="00624AF9" w:rsidRDefault="00241879" w:rsidP="00241879">
      <w:pPr>
        <w:ind w:left="426" w:hanging="426"/>
        <w:rPr>
          <w:sz w:val="18"/>
          <w:lang w:val="de-DE"/>
        </w:rPr>
      </w:pPr>
      <w:bookmarkStart w:id="214" w:name="_Toc396137600"/>
      <w:r>
        <w:rPr>
          <w:sz w:val="18"/>
          <w:lang w:val="de-DE"/>
        </w:rPr>
        <w:t>ii)</w:t>
      </w:r>
      <w:r>
        <w:rPr>
          <w:sz w:val="18"/>
          <w:lang w:val="de-DE"/>
        </w:rPr>
        <w:tab/>
      </w:r>
      <w:r w:rsidR="00624AF9" w:rsidRPr="00241879">
        <w:rPr>
          <w:sz w:val="18"/>
          <w:lang w:val="de-DE"/>
        </w:rPr>
        <w:t>Tätigkeiten/Sitzungen, an denen die UPOV teilgenommen hat:   siehe Abb. 26</w:t>
      </w:r>
      <w:bookmarkEnd w:id="214"/>
      <w:r w:rsidR="00624AF9" w:rsidRPr="00241879">
        <w:rPr>
          <w:sz w:val="18"/>
          <w:lang w:val="de-DE"/>
        </w:rPr>
        <w:t xml:space="preserve"> </w:t>
      </w:r>
    </w:p>
    <w:p w:rsidR="00241879" w:rsidRDefault="00241879" w:rsidP="00241879">
      <w:pPr>
        <w:ind w:left="426" w:hanging="426"/>
        <w:rPr>
          <w:sz w:val="18"/>
          <w:lang w:val="de-DE"/>
        </w:rPr>
      </w:pPr>
    </w:p>
    <w:p w:rsidR="00241879" w:rsidRPr="00241879" w:rsidRDefault="00241879" w:rsidP="00241879">
      <w:pPr>
        <w:ind w:left="426" w:hanging="426"/>
        <w:rPr>
          <w:sz w:val="18"/>
          <w:szCs w:val="18"/>
          <w:lang w:val="de-DE"/>
        </w:rPr>
      </w:pPr>
    </w:p>
    <w:p w:rsidR="00624AF9" w:rsidRPr="00EC62E9" w:rsidRDefault="00624AF9" w:rsidP="00624AF9">
      <w:pPr>
        <w:jc w:val="left"/>
        <w:rPr>
          <w:sz w:val="18"/>
          <w:szCs w:val="18"/>
          <w:lang w:val="de-DE"/>
        </w:rPr>
      </w:pPr>
      <w:r w:rsidRPr="00EC62E9">
        <w:rPr>
          <w:color w:val="000000"/>
          <w:sz w:val="18"/>
          <w:lang w:val="de-DE"/>
        </w:rPr>
        <w:t>Orte der Veranstaltungen/Tagungen, bei denen die UPOV Referate gehalten hat:</w:t>
      </w:r>
    </w:p>
    <w:p w:rsidR="00624AF9" w:rsidRPr="00EC62E9" w:rsidRDefault="00624AF9" w:rsidP="00624AF9">
      <w:pPr>
        <w:rPr>
          <w:sz w:val="18"/>
          <w:szCs w:val="18"/>
          <w:lang w:val="de-DE"/>
        </w:rPr>
      </w:pPr>
    </w:p>
    <w:p w:rsidR="00624AF9" w:rsidRPr="00EC62E9" w:rsidRDefault="00624AF9" w:rsidP="00DF08DC">
      <w:pPr>
        <w:ind w:left="567"/>
        <w:rPr>
          <w:sz w:val="18"/>
          <w:szCs w:val="18"/>
          <w:lang w:val="de-DE"/>
        </w:rPr>
      </w:pPr>
      <w:r w:rsidRPr="00EC62E9">
        <w:rPr>
          <w:sz w:val="18"/>
          <w:lang w:val="de-DE"/>
        </w:rPr>
        <w:t>Äquatorialguinea, Australien, Aserbaidschan, Belgien, Bolivien (</w:t>
      </w:r>
      <w:proofErr w:type="spellStart"/>
      <w:r w:rsidRPr="00EC62E9">
        <w:rPr>
          <w:sz w:val="18"/>
          <w:lang w:val="de-DE"/>
        </w:rPr>
        <w:t>plurinationaler</w:t>
      </w:r>
      <w:proofErr w:type="spellEnd"/>
      <w:r w:rsidRPr="00EC62E9">
        <w:rPr>
          <w:sz w:val="18"/>
          <w:lang w:val="de-DE"/>
        </w:rPr>
        <w:t xml:space="preserve"> Staat), Brasilien, Brunei Darussalam, China, Côte d’Ivoire, Deutschland, Frankreich, Griechenland, Indonesien, Italien, Japan, Jordanien, Mauritius, Mosambik, Myanmar, Niederlande, Oman, Polen, Republik Korea, Sambia, Serbien, Sri Lanka, Schweden, Schweiz, Türkei, Uganda, Uruguay, Vereinigte Republik Tansania, Vereinigte Staaten von Amerika.</w:t>
      </w:r>
    </w:p>
    <w:p w:rsidR="00624AF9" w:rsidRPr="00EC62E9" w:rsidRDefault="00624AF9" w:rsidP="00624AF9">
      <w:pPr>
        <w:rPr>
          <w:sz w:val="18"/>
          <w:szCs w:val="18"/>
          <w:lang w:val="de-DE"/>
        </w:rPr>
      </w:pPr>
    </w:p>
    <w:p w:rsidR="00624AF9" w:rsidRPr="00EC62E9" w:rsidRDefault="00624AF9" w:rsidP="00624AF9">
      <w:pPr>
        <w:pStyle w:val="Heading9"/>
        <w:rPr>
          <w:lang w:val="de-DE"/>
        </w:rPr>
      </w:pPr>
      <w:bookmarkStart w:id="215" w:name="_Toc396137601"/>
      <w:bookmarkStart w:id="216" w:name="_Toc398736798"/>
      <w:r w:rsidRPr="00EC62E9">
        <w:rPr>
          <w:lang w:val="de-DE"/>
        </w:rPr>
        <w:t>Abb. 26.  Orte der Veranstaltungen/Tagungen, bei denen die UPOV Referate gehalten hat</w:t>
      </w:r>
      <w:bookmarkEnd w:id="215"/>
      <w:bookmarkEnd w:id="216"/>
    </w:p>
    <w:p w:rsidR="00624AF9" w:rsidRPr="00EC62E9" w:rsidRDefault="00624AF9" w:rsidP="00624AF9">
      <w:pPr>
        <w:jc w:val="center"/>
        <w:rPr>
          <w:sz w:val="18"/>
          <w:szCs w:val="18"/>
          <w:lang w:val="de-DE"/>
        </w:rPr>
      </w:pPr>
      <w:r w:rsidRPr="00EC62E9">
        <w:rPr>
          <w:noProof/>
        </w:rPr>
        <w:drawing>
          <wp:inline distT="0" distB="0" distL="0" distR="0" wp14:anchorId="5A904E9C" wp14:editId="6D248E43">
            <wp:extent cx="4788000" cy="2426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location_activities_where_UPOV_participated.png"/>
                    <pic:cNvPicPr/>
                  </pic:nvPicPr>
                  <pic:blipFill>
                    <a:blip r:embed="rId49">
                      <a:extLst>
                        <a:ext uri="{28A0092B-C50C-407E-A947-70E740481C1C}">
                          <a14:useLocalDpi xmlns:a14="http://schemas.microsoft.com/office/drawing/2010/main" val="0"/>
                        </a:ext>
                      </a:extLst>
                    </a:blip>
                    <a:stretch>
                      <a:fillRect/>
                    </a:stretch>
                  </pic:blipFill>
                  <pic:spPr>
                    <a:xfrm>
                      <a:off x="0" y="0"/>
                      <a:ext cx="4788000" cy="2426071"/>
                    </a:xfrm>
                    <a:prstGeom prst="rect">
                      <a:avLst/>
                    </a:prstGeom>
                    <a:ln>
                      <a:noFill/>
                    </a:ln>
                  </pic:spPr>
                </pic:pic>
              </a:graphicData>
            </a:graphic>
          </wp:inline>
        </w:drawing>
      </w:r>
    </w:p>
    <w:p w:rsidR="00624AF9" w:rsidRPr="00EC62E9" w:rsidRDefault="00624AF9" w:rsidP="00624AF9">
      <w:pPr>
        <w:jc w:val="center"/>
        <w:rPr>
          <w:sz w:val="18"/>
          <w:szCs w:val="18"/>
          <w:lang w:val="de-DE"/>
        </w:rPr>
      </w:pPr>
    </w:p>
    <w:p w:rsidR="00624AF9" w:rsidRPr="00EC62E9" w:rsidRDefault="00624AF9" w:rsidP="00624AF9">
      <w:pPr>
        <w:jc w:val="center"/>
        <w:rPr>
          <w:sz w:val="18"/>
          <w:szCs w:val="18"/>
          <w:lang w:val="de-DE"/>
        </w:rPr>
      </w:pPr>
    </w:p>
    <w:p w:rsidR="00624AF9" w:rsidRPr="00EC62E9" w:rsidRDefault="00624AF9" w:rsidP="00624AF9">
      <w:pPr>
        <w:pStyle w:val="Heading6"/>
        <w:keepNext/>
        <w:keepLines/>
        <w:rPr>
          <w:lang w:val="de-DE"/>
        </w:rPr>
      </w:pPr>
      <w:bookmarkStart w:id="217" w:name="_Toc396137602"/>
      <w:bookmarkStart w:id="218" w:name="_Toc398736799"/>
      <w:r w:rsidRPr="00EC62E9">
        <w:rPr>
          <w:lang w:val="de-DE"/>
        </w:rPr>
        <w:t>2.  Unterstützung bei der Ausarbeitung von Rechtsvor</w:t>
      </w:r>
      <w:r w:rsidR="000D3241" w:rsidRPr="00EC62E9">
        <w:rPr>
          <w:lang w:val="de-DE"/>
        </w:rPr>
        <w:t>schriften zum Sortenschutz gemäSS</w:t>
      </w:r>
      <w:r w:rsidRPr="00EC62E9">
        <w:rPr>
          <w:lang w:val="de-DE"/>
        </w:rPr>
        <w:t xml:space="preserve"> der Akte von 1991 des UPOV-Übereinkommens</w:t>
      </w:r>
      <w:bookmarkEnd w:id="217"/>
      <w:bookmarkEnd w:id="218"/>
    </w:p>
    <w:p w:rsidR="00624AF9" w:rsidRPr="00EC62E9" w:rsidRDefault="00624AF9" w:rsidP="00624AF9">
      <w:pPr>
        <w:keepNext/>
        <w:keepLines/>
        <w:widowControl w:val="0"/>
        <w:jc w:val="left"/>
        <w:rPr>
          <w:lang w:val="de-DE"/>
        </w:rPr>
      </w:pPr>
    </w:p>
    <w:p w:rsidR="00624AF9" w:rsidRPr="00EC62E9" w:rsidRDefault="00624AF9" w:rsidP="00624AF9">
      <w:pPr>
        <w:pStyle w:val="Heading8"/>
        <w:keepNext/>
        <w:keepLines/>
        <w:rPr>
          <w:lang w:val="de-DE"/>
        </w:rPr>
      </w:pPr>
      <w:bookmarkStart w:id="219" w:name="_Toc336339209"/>
      <w:bookmarkStart w:id="220" w:name="_Toc396137603"/>
      <w:bookmarkStart w:id="221" w:name="_Toc398736800"/>
      <w:r w:rsidRPr="00EC62E9">
        <w:rPr>
          <w:lang w:val="de-DE"/>
        </w:rPr>
        <w:t>a)  Staaten und Organisationen, die Kommentare zu Rechtsvorschriften erhalten haben</w:t>
      </w:r>
      <w:bookmarkEnd w:id="219"/>
      <w:bookmarkEnd w:id="220"/>
      <w:r w:rsidRPr="00EC62E9">
        <w:rPr>
          <w:rStyle w:val="FootnoteReference"/>
          <w:lang w:val="de-DE"/>
        </w:rPr>
        <w:footnoteReference w:id="3"/>
      </w:r>
      <w:bookmarkEnd w:id="221"/>
    </w:p>
    <w:p w:rsidR="00624AF9" w:rsidRPr="00EC62E9" w:rsidRDefault="00624AF9" w:rsidP="00624AF9">
      <w:pPr>
        <w:tabs>
          <w:tab w:val="left" w:pos="2410"/>
        </w:tabs>
        <w:jc w:val="left"/>
        <w:rPr>
          <w:sz w:val="18"/>
          <w:szCs w:val="18"/>
          <w:lang w:val="de-DE"/>
        </w:rPr>
      </w:pPr>
      <w:r w:rsidRPr="00EC62E9">
        <w:rPr>
          <w:sz w:val="18"/>
          <w:lang w:val="de-DE"/>
        </w:rPr>
        <w:t>Verbandsmitglieder:  Nicaragua, Panama und Singapur.</w:t>
      </w:r>
    </w:p>
    <w:p w:rsidR="00624AF9" w:rsidRPr="00EC62E9" w:rsidRDefault="00624AF9" w:rsidP="00624AF9">
      <w:pPr>
        <w:tabs>
          <w:tab w:val="left" w:pos="2410"/>
        </w:tabs>
        <w:jc w:val="left"/>
        <w:rPr>
          <w:sz w:val="18"/>
          <w:szCs w:val="18"/>
          <w:lang w:val="de-DE"/>
        </w:rPr>
      </w:pPr>
    </w:p>
    <w:p w:rsidR="00624AF9" w:rsidRPr="00EC62E9" w:rsidRDefault="00624AF9" w:rsidP="00DF08DC">
      <w:pPr>
        <w:tabs>
          <w:tab w:val="left" w:pos="2410"/>
        </w:tabs>
        <w:rPr>
          <w:sz w:val="18"/>
          <w:szCs w:val="18"/>
          <w:lang w:val="de-DE"/>
        </w:rPr>
      </w:pPr>
      <w:r w:rsidRPr="00EC62E9">
        <w:rPr>
          <w:sz w:val="18"/>
          <w:lang w:val="de-DE"/>
        </w:rPr>
        <w:t>Nichtmitglieder des Verbandes:  Ägypten, ARIPO, Bosnien-Herzegowina, Botswana, Brunei Darussalam, Ghana, Honduras, Demokratische Volksrepublik Laos, Malaysia, Myanmar, Namibia, Pakistan, Ruanda, Simbabwe, Thailand, Vereinigte Arabische Emirate und Vereinigte Republik Tansania.</w:t>
      </w:r>
    </w:p>
    <w:p w:rsidR="00624AF9" w:rsidRPr="00EC62E9" w:rsidRDefault="00624AF9" w:rsidP="00624AF9">
      <w:pPr>
        <w:tabs>
          <w:tab w:val="left" w:pos="2410"/>
        </w:tabs>
        <w:jc w:val="left"/>
        <w:rPr>
          <w:sz w:val="18"/>
          <w:szCs w:val="18"/>
          <w:lang w:val="de-DE"/>
        </w:rPr>
      </w:pPr>
      <w:r w:rsidRPr="00EC62E9">
        <w:rPr>
          <w:sz w:val="18"/>
          <w:lang w:val="de-DE"/>
        </w:rPr>
        <w:t>(siehe Abb. 28)</w:t>
      </w:r>
    </w:p>
    <w:p w:rsidR="00624AF9" w:rsidRDefault="00624AF9" w:rsidP="00624AF9">
      <w:pPr>
        <w:tabs>
          <w:tab w:val="left" w:pos="2410"/>
        </w:tabs>
        <w:jc w:val="left"/>
        <w:rPr>
          <w:i/>
          <w:color w:val="000000"/>
          <w:sz w:val="18"/>
          <w:szCs w:val="18"/>
          <w:lang w:val="de-DE"/>
        </w:rPr>
      </w:pPr>
    </w:p>
    <w:p w:rsidR="00DF08DC" w:rsidRPr="00EC62E9" w:rsidRDefault="00DF08DC" w:rsidP="00624AF9">
      <w:pPr>
        <w:tabs>
          <w:tab w:val="left" w:pos="2410"/>
        </w:tabs>
        <w:jc w:val="left"/>
        <w:rPr>
          <w:i/>
          <w:color w:val="000000"/>
          <w:sz w:val="18"/>
          <w:szCs w:val="18"/>
          <w:lang w:val="de-DE"/>
        </w:rPr>
      </w:pPr>
    </w:p>
    <w:p w:rsidR="00624AF9" w:rsidRPr="00EC62E9" w:rsidRDefault="00624AF9" w:rsidP="00624AF9">
      <w:pPr>
        <w:pStyle w:val="Heading8"/>
        <w:rPr>
          <w:lang w:val="de-DE"/>
        </w:rPr>
      </w:pPr>
      <w:bookmarkStart w:id="222" w:name="_Toc396137604"/>
      <w:bookmarkStart w:id="223" w:name="_Toc398736801"/>
      <w:r w:rsidRPr="00EC62E9">
        <w:rPr>
          <w:lang w:val="de-DE"/>
        </w:rPr>
        <w:t>b)  Staaten und Organisationen, die eine positive Stellungnahme des Rates der UPOV erwirkt haben</w:t>
      </w:r>
      <w:bookmarkEnd w:id="222"/>
      <w:bookmarkEnd w:id="223"/>
    </w:p>
    <w:p w:rsidR="00624AF9" w:rsidRPr="00EC62E9" w:rsidRDefault="00624AF9" w:rsidP="00DF08DC">
      <w:pPr>
        <w:tabs>
          <w:tab w:val="left" w:pos="2410"/>
        </w:tabs>
        <w:rPr>
          <w:sz w:val="18"/>
          <w:szCs w:val="18"/>
          <w:lang w:val="de-DE"/>
        </w:rPr>
      </w:pPr>
      <w:r w:rsidRPr="00EC62E9">
        <w:rPr>
          <w:sz w:val="18"/>
          <w:lang w:val="de-DE"/>
        </w:rPr>
        <w:t xml:space="preserve">Ghana, </w:t>
      </w:r>
      <w:r w:rsidRPr="00EC62E9">
        <w:rPr>
          <w:snapToGrid w:val="0"/>
          <w:color w:val="000000"/>
          <w:sz w:val="18"/>
          <w:lang w:val="de-DE"/>
        </w:rPr>
        <w:t>Vereinigte Republik Tansania</w:t>
      </w:r>
      <w:r w:rsidRPr="00EC62E9">
        <w:rPr>
          <w:sz w:val="18"/>
          <w:lang w:val="de-DE"/>
        </w:rPr>
        <w:t xml:space="preserve"> (Gesetz Kontinentaltansanias über Pflanzenzüchterrechte  und Gesetz über Pflanzenzüchterrechte für Sansibar).</w:t>
      </w:r>
    </w:p>
    <w:p w:rsidR="00624AF9" w:rsidRPr="00EC62E9" w:rsidRDefault="00624AF9" w:rsidP="00DF08DC">
      <w:pPr>
        <w:widowControl w:val="0"/>
        <w:jc w:val="left"/>
        <w:rPr>
          <w:sz w:val="18"/>
          <w:szCs w:val="18"/>
          <w:lang w:val="de-DE"/>
        </w:rPr>
      </w:pPr>
      <w:r w:rsidRPr="00EC62E9">
        <w:rPr>
          <w:sz w:val="18"/>
          <w:lang w:val="de-DE"/>
        </w:rPr>
        <w:t>(siehe Abb. 29)</w:t>
      </w:r>
    </w:p>
    <w:p w:rsidR="00624AF9" w:rsidRDefault="00624AF9" w:rsidP="00DF08DC">
      <w:pPr>
        <w:widowControl w:val="0"/>
        <w:jc w:val="left"/>
        <w:rPr>
          <w:sz w:val="18"/>
          <w:szCs w:val="18"/>
          <w:lang w:val="de-DE"/>
        </w:rPr>
      </w:pPr>
    </w:p>
    <w:p w:rsidR="00DF08DC" w:rsidRPr="00EC62E9" w:rsidRDefault="00DF08DC" w:rsidP="00DF08DC">
      <w:pPr>
        <w:widowControl w:val="0"/>
        <w:jc w:val="left"/>
        <w:rPr>
          <w:sz w:val="18"/>
          <w:szCs w:val="18"/>
          <w:lang w:val="de-DE"/>
        </w:rPr>
      </w:pPr>
    </w:p>
    <w:p w:rsidR="00624AF9" w:rsidRPr="00EC62E9" w:rsidRDefault="00624AF9" w:rsidP="00624AF9">
      <w:pPr>
        <w:pStyle w:val="Heading8"/>
        <w:rPr>
          <w:lang w:val="de-DE"/>
        </w:rPr>
      </w:pPr>
      <w:bookmarkStart w:id="224" w:name="_Toc396137605"/>
      <w:bookmarkStart w:id="225" w:name="_Toc398736802"/>
      <w:r w:rsidRPr="00EC62E9">
        <w:rPr>
          <w:lang w:val="de-DE"/>
        </w:rPr>
        <w:t>c)  Sitzungen mit Regierungsbeamten</w:t>
      </w:r>
      <w:bookmarkEnd w:id="224"/>
      <w:r w:rsidRPr="00EC62E9">
        <w:rPr>
          <w:rStyle w:val="FootnoteReference"/>
          <w:lang w:val="de-DE"/>
        </w:rPr>
        <w:footnoteReference w:id="4"/>
      </w:r>
      <w:bookmarkEnd w:id="225"/>
    </w:p>
    <w:p w:rsidR="00624AF9" w:rsidRPr="00EC62E9" w:rsidRDefault="00624AF9" w:rsidP="00624AF9">
      <w:pPr>
        <w:pStyle w:val="BodyText"/>
        <w:rPr>
          <w:sz w:val="18"/>
          <w:szCs w:val="18"/>
          <w:lang w:val="de-DE"/>
        </w:rPr>
      </w:pPr>
      <w:r w:rsidRPr="00EC62E9">
        <w:rPr>
          <w:sz w:val="18"/>
          <w:lang w:val="de-DE"/>
        </w:rPr>
        <w:t>Verbandsmitglieder: Aserbaidschan, Kanada, Kolumbien, Nicaragua, Singapur und Südafrika.</w:t>
      </w:r>
    </w:p>
    <w:p w:rsidR="00624AF9" w:rsidRPr="00EC62E9" w:rsidRDefault="00624AF9" w:rsidP="00624AF9">
      <w:pPr>
        <w:rPr>
          <w:sz w:val="18"/>
          <w:szCs w:val="18"/>
          <w:lang w:val="de-DE"/>
        </w:rPr>
      </w:pPr>
    </w:p>
    <w:p w:rsidR="00624AF9" w:rsidRPr="00EC62E9" w:rsidRDefault="00624AF9" w:rsidP="00DF08DC">
      <w:pPr>
        <w:tabs>
          <w:tab w:val="left" w:pos="2410"/>
        </w:tabs>
        <w:rPr>
          <w:sz w:val="18"/>
          <w:szCs w:val="18"/>
          <w:lang w:val="de-DE"/>
        </w:rPr>
      </w:pPr>
      <w:r w:rsidRPr="00EC62E9">
        <w:rPr>
          <w:sz w:val="18"/>
          <w:lang w:val="de-DE"/>
        </w:rPr>
        <w:t xml:space="preserve">Nichtmitglieder des Verbandes:  Äquatorialguinea, ARIPO, Bahamas, Bahrain, Bosnien-Herzegowina, Botswana, Brunei Darussalam, Ghana, Demokratische Volksrepublik Laos, Malaysia, Myanmar, Namibia, Pakistan, Philippinen, Ruanda, Saint Kitts </w:t>
      </w:r>
      <w:proofErr w:type="spellStart"/>
      <w:r w:rsidRPr="00EC62E9">
        <w:rPr>
          <w:sz w:val="18"/>
          <w:lang w:val="de-DE"/>
        </w:rPr>
        <w:t>and</w:t>
      </w:r>
      <w:proofErr w:type="spellEnd"/>
      <w:r w:rsidRPr="00EC62E9">
        <w:rPr>
          <w:sz w:val="18"/>
          <w:lang w:val="de-DE"/>
        </w:rPr>
        <w:t xml:space="preserve"> Nevis, Seychellen, Simbabwe, Thailand  und Vereinigte Republik Tansania.</w:t>
      </w:r>
    </w:p>
    <w:p w:rsidR="00624AF9" w:rsidRPr="00EC62E9" w:rsidRDefault="00624AF9" w:rsidP="00624AF9">
      <w:pPr>
        <w:tabs>
          <w:tab w:val="left" w:pos="2410"/>
        </w:tabs>
        <w:jc w:val="left"/>
        <w:rPr>
          <w:sz w:val="18"/>
          <w:szCs w:val="18"/>
          <w:lang w:val="de-DE"/>
        </w:rPr>
      </w:pPr>
      <w:r w:rsidRPr="00EC62E9">
        <w:rPr>
          <w:sz w:val="18"/>
          <w:lang w:val="de-DE"/>
        </w:rPr>
        <w:t>(siehe Abb. 27)</w:t>
      </w:r>
    </w:p>
    <w:p w:rsidR="00624AF9" w:rsidRPr="00EC62E9" w:rsidRDefault="00624AF9" w:rsidP="00624AF9">
      <w:pPr>
        <w:tabs>
          <w:tab w:val="left" w:pos="2410"/>
        </w:tabs>
        <w:jc w:val="left"/>
        <w:rPr>
          <w:sz w:val="18"/>
          <w:szCs w:val="18"/>
          <w:lang w:val="de-DE"/>
        </w:rPr>
      </w:pPr>
    </w:p>
    <w:p w:rsidR="00624AF9" w:rsidRPr="00EC62E9" w:rsidRDefault="00624AF9" w:rsidP="00624AF9">
      <w:pPr>
        <w:pStyle w:val="Heading9"/>
        <w:rPr>
          <w:lang w:val="de-DE"/>
        </w:rPr>
      </w:pPr>
      <w:bookmarkStart w:id="226" w:name="_Toc396137606"/>
      <w:bookmarkStart w:id="227" w:name="_Toc398736803"/>
      <w:r w:rsidRPr="00EC62E9">
        <w:rPr>
          <w:lang w:val="de-DE"/>
        </w:rPr>
        <w:t>Abb. 27.  Unterstützung, die für die Ausarbeitung von Rechtsvorschriften zum Sortenschutz erteilt wurde</w:t>
      </w:r>
      <w:bookmarkEnd w:id="226"/>
      <w:bookmarkEnd w:id="227"/>
    </w:p>
    <w:p w:rsidR="00624AF9" w:rsidRPr="00EC62E9" w:rsidRDefault="00624AF9" w:rsidP="00624AF9">
      <w:pPr>
        <w:keepNext/>
        <w:keepLines/>
        <w:widowControl w:val="0"/>
        <w:jc w:val="center"/>
        <w:rPr>
          <w:sz w:val="18"/>
          <w:szCs w:val="18"/>
          <w:lang w:val="de-DE"/>
        </w:rPr>
      </w:pPr>
    </w:p>
    <w:p w:rsidR="00624AF9" w:rsidRPr="00EC62E9" w:rsidRDefault="00624AF9" w:rsidP="00624AF9">
      <w:pPr>
        <w:keepNext/>
        <w:keepLines/>
        <w:widowControl w:val="0"/>
        <w:jc w:val="center"/>
        <w:rPr>
          <w:sz w:val="18"/>
          <w:szCs w:val="18"/>
          <w:lang w:val="de-DE"/>
        </w:rPr>
      </w:pPr>
      <w:r w:rsidRPr="00EC62E9">
        <w:rPr>
          <w:noProof/>
        </w:rPr>
        <w:drawing>
          <wp:inline distT="0" distB="0" distL="0" distR="0" wp14:anchorId="2E728725" wp14:editId="7AB75202">
            <wp:extent cx="5754918" cy="291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comments_positive advice_meetings.png"/>
                    <pic:cNvPicPr/>
                  </pic:nvPicPr>
                  <pic:blipFill>
                    <a:blip r:embed="rId50">
                      <a:extLst>
                        <a:ext uri="{28A0092B-C50C-407E-A947-70E740481C1C}">
                          <a14:useLocalDpi xmlns:a14="http://schemas.microsoft.com/office/drawing/2010/main" val="0"/>
                        </a:ext>
                      </a:extLst>
                    </a:blip>
                    <a:stretch>
                      <a:fillRect/>
                    </a:stretch>
                  </pic:blipFill>
                  <pic:spPr>
                    <a:xfrm>
                      <a:off x="0" y="0"/>
                      <a:ext cx="5754918" cy="2916000"/>
                    </a:xfrm>
                    <a:prstGeom prst="rect">
                      <a:avLst/>
                    </a:prstGeom>
                    <a:ln>
                      <a:noFill/>
                    </a:ln>
                  </pic:spPr>
                </pic:pic>
              </a:graphicData>
            </a:graphic>
          </wp:inline>
        </w:drawing>
      </w:r>
    </w:p>
    <w:p w:rsidR="00624AF9" w:rsidRPr="00EC62E9" w:rsidRDefault="00624AF9" w:rsidP="00624AF9">
      <w:pPr>
        <w:keepNext/>
        <w:keepLines/>
        <w:widowControl w:val="0"/>
        <w:jc w:val="center"/>
        <w:rPr>
          <w:sz w:val="18"/>
          <w:szCs w:val="18"/>
          <w:lang w:val="de-DE"/>
        </w:rPr>
      </w:pPr>
    </w:p>
    <w:p w:rsidR="00624AF9" w:rsidRPr="00EC62E9" w:rsidRDefault="00624AF9" w:rsidP="00624AF9">
      <w:pPr>
        <w:jc w:val="center"/>
        <w:rPr>
          <w:sz w:val="16"/>
          <w:szCs w:val="16"/>
          <w:lang w:val="de-DE"/>
        </w:rPr>
      </w:pPr>
    </w:p>
    <w:p w:rsidR="00624AF9" w:rsidRPr="00EC62E9" w:rsidRDefault="00624AF9" w:rsidP="00624AF9">
      <w:pPr>
        <w:ind w:left="851" w:hanging="567"/>
        <w:jc w:val="left"/>
        <w:rPr>
          <w:sz w:val="16"/>
          <w:szCs w:val="16"/>
          <w:lang w:val="de-DE"/>
        </w:rPr>
      </w:pPr>
      <w:r w:rsidRPr="00EC62E9">
        <w:rPr>
          <w:noProof/>
        </w:rPr>
        <w:drawing>
          <wp:inline distT="0" distB="0" distL="0" distR="0" wp14:anchorId="65D20013" wp14:editId="4459C194">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22400" cy="115200"/>
                    </a:xfrm>
                    <a:prstGeom prst="rect">
                      <a:avLst/>
                    </a:prstGeom>
                    <a:ln>
                      <a:solidFill>
                        <a:schemeClr val="tx1"/>
                      </a:solidFill>
                    </a:ln>
                  </pic:spPr>
                </pic:pic>
              </a:graphicData>
            </a:graphic>
          </wp:inline>
        </w:drawing>
      </w:r>
      <w:r w:rsidRPr="00EC62E9">
        <w:rPr>
          <w:lang w:val="de-DE"/>
        </w:rPr>
        <w:t xml:space="preserve">  </w:t>
      </w:r>
      <w:r w:rsidRPr="00EC62E9">
        <w:rPr>
          <w:sz w:val="16"/>
          <w:szCs w:val="16"/>
          <w:lang w:val="de-DE"/>
        </w:rPr>
        <w:t>Staaten und Organisationen, die eine positive Stellungnahme des Rates der UPOV erwirkt haben</w:t>
      </w:r>
    </w:p>
    <w:p w:rsidR="00624AF9" w:rsidRPr="00EC62E9" w:rsidRDefault="00624AF9" w:rsidP="00624AF9">
      <w:pPr>
        <w:ind w:left="851" w:hanging="567"/>
        <w:jc w:val="left"/>
        <w:rPr>
          <w:sz w:val="16"/>
          <w:szCs w:val="16"/>
          <w:lang w:val="de-DE"/>
        </w:rPr>
      </w:pPr>
      <w:r w:rsidRPr="00EC62E9">
        <w:rPr>
          <w:noProof/>
        </w:rPr>
        <w:drawing>
          <wp:inline distT="0" distB="0" distL="0" distR="0" wp14:anchorId="42641B17" wp14:editId="15701068">
            <wp:extent cx="115200" cy="115200"/>
            <wp:effectExtent l="19050" t="19050" r="18415" b="184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15200" cy="115200"/>
                    </a:xfrm>
                    <a:prstGeom prst="rect">
                      <a:avLst/>
                    </a:prstGeom>
                    <a:ln>
                      <a:solidFill>
                        <a:schemeClr val="tx1"/>
                      </a:solidFill>
                    </a:ln>
                  </pic:spPr>
                </pic:pic>
              </a:graphicData>
            </a:graphic>
          </wp:inline>
        </w:drawing>
      </w:r>
      <w:r w:rsidRPr="00EC62E9">
        <w:rPr>
          <w:lang w:val="de-DE"/>
        </w:rPr>
        <w:t xml:space="preserve">  </w:t>
      </w:r>
      <w:r w:rsidRPr="00EC62E9">
        <w:rPr>
          <w:sz w:val="16"/>
          <w:szCs w:val="16"/>
          <w:lang w:val="de-DE"/>
        </w:rPr>
        <w:t>Staaten und Organisationen, die Kommentare zu Rechtsvorschriften erhalten haben</w:t>
      </w:r>
    </w:p>
    <w:p w:rsidR="00624AF9" w:rsidRPr="00EC62E9" w:rsidRDefault="00624AF9" w:rsidP="00624AF9">
      <w:pPr>
        <w:ind w:left="851" w:hanging="567"/>
        <w:jc w:val="left"/>
        <w:rPr>
          <w:sz w:val="16"/>
          <w:szCs w:val="16"/>
          <w:lang w:val="de-DE"/>
        </w:rPr>
      </w:pPr>
      <w:r w:rsidRPr="00EC62E9">
        <w:rPr>
          <w:noProof/>
        </w:rPr>
        <w:drawing>
          <wp:inline distT="0" distB="0" distL="0" distR="0" wp14:anchorId="07323176" wp14:editId="2BA040E1">
            <wp:extent cx="126000" cy="115200"/>
            <wp:effectExtent l="19050" t="19050" r="26670" b="184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26000" cy="115200"/>
                    </a:xfrm>
                    <a:prstGeom prst="rect">
                      <a:avLst/>
                    </a:prstGeom>
                    <a:ln>
                      <a:solidFill>
                        <a:schemeClr val="tx1"/>
                      </a:solidFill>
                    </a:ln>
                  </pic:spPr>
                </pic:pic>
              </a:graphicData>
            </a:graphic>
          </wp:inline>
        </w:drawing>
      </w:r>
      <w:r w:rsidRPr="00EC62E9">
        <w:rPr>
          <w:lang w:val="de-DE"/>
        </w:rPr>
        <w:t xml:space="preserve">  </w:t>
      </w:r>
      <w:r w:rsidRPr="00EC62E9">
        <w:rPr>
          <w:sz w:val="16"/>
          <w:szCs w:val="16"/>
          <w:lang w:val="de-DE"/>
        </w:rPr>
        <w:t>Sitzungen mit Regierungsbeamten</w:t>
      </w:r>
    </w:p>
    <w:p w:rsidR="00624AF9" w:rsidRPr="00EC62E9" w:rsidRDefault="00624AF9" w:rsidP="00624AF9">
      <w:pPr>
        <w:keepNext/>
        <w:keepLines/>
        <w:widowControl w:val="0"/>
        <w:jc w:val="left"/>
        <w:rPr>
          <w:sz w:val="18"/>
          <w:szCs w:val="18"/>
          <w:lang w:val="de-DE"/>
        </w:rPr>
      </w:pPr>
    </w:p>
    <w:p w:rsidR="00624AF9" w:rsidRPr="00EC62E9" w:rsidRDefault="00624AF9" w:rsidP="00624AF9">
      <w:pPr>
        <w:pStyle w:val="Heading6"/>
        <w:rPr>
          <w:lang w:val="de-DE"/>
        </w:rPr>
      </w:pPr>
    </w:p>
    <w:p w:rsidR="00624AF9" w:rsidRPr="00EC62E9" w:rsidRDefault="00624AF9" w:rsidP="00624AF9">
      <w:pPr>
        <w:rPr>
          <w:lang w:val="de-DE"/>
        </w:rPr>
      </w:pPr>
    </w:p>
    <w:p w:rsidR="00624AF9" w:rsidRPr="00EC62E9" w:rsidRDefault="00624AF9" w:rsidP="00624AF9">
      <w:pPr>
        <w:pStyle w:val="Heading6"/>
        <w:keepNext/>
        <w:keepLines/>
        <w:rPr>
          <w:lang w:val="de-DE"/>
        </w:rPr>
      </w:pPr>
      <w:bookmarkStart w:id="228" w:name="_Toc396137607"/>
      <w:bookmarkStart w:id="229" w:name="_Toc398736804"/>
      <w:r w:rsidRPr="00EC62E9">
        <w:rPr>
          <w:lang w:val="de-DE"/>
        </w:rPr>
        <w:t>3.  Unterstützung von Staaten und Organisationen beim Beitritt zur Akte von 1991 des UPOV-Übereinkommens</w:t>
      </w:r>
      <w:bookmarkEnd w:id="228"/>
      <w:bookmarkEnd w:id="229"/>
    </w:p>
    <w:p w:rsidR="00624AF9" w:rsidRPr="00EC62E9" w:rsidRDefault="00624AF9" w:rsidP="00624AF9">
      <w:pPr>
        <w:keepNext/>
        <w:keepLines/>
        <w:widowControl w:val="0"/>
        <w:jc w:val="left"/>
        <w:rPr>
          <w:sz w:val="18"/>
          <w:szCs w:val="18"/>
          <w:lang w:val="de-DE"/>
        </w:rPr>
      </w:pPr>
    </w:p>
    <w:p w:rsidR="00624AF9" w:rsidRPr="00EC62E9" w:rsidRDefault="00624AF9" w:rsidP="00624AF9">
      <w:pPr>
        <w:pStyle w:val="Heading8"/>
        <w:keepNext/>
        <w:keepLines/>
        <w:rPr>
          <w:lang w:val="de-DE"/>
        </w:rPr>
      </w:pPr>
      <w:bookmarkStart w:id="230" w:name="_Toc396137608"/>
      <w:bookmarkStart w:id="231" w:name="_Toc398736805"/>
      <w:r w:rsidRPr="00EC62E9">
        <w:rPr>
          <w:lang w:val="de-DE"/>
        </w:rPr>
        <w:t>a)  Staaten, die zur Akte von 1991 des UPOV-Übereinkommens beigetreten sind oder sie ratifiziert haben</w:t>
      </w:r>
      <w:bookmarkEnd w:id="230"/>
      <w:bookmarkEnd w:id="231"/>
    </w:p>
    <w:p w:rsidR="00624AF9" w:rsidRPr="00EC62E9" w:rsidRDefault="00624AF9" w:rsidP="00624AF9">
      <w:pPr>
        <w:keepNext/>
        <w:keepLines/>
        <w:tabs>
          <w:tab w:val="left" w:pos="2410"/>
        </w:tabs>
        <w:jc w:val="left"/>
        <w:rPr>
          <w:sz w:val="18"/>
          <w:szCs w:val="18"/>
          <w:lang w:val="de-DE"/>
        </w:rPr>
      </w:pPr>
      <w:r w:rsidRPr="00EC62E9">
        <w:rPr>
          <w:sz w:val="18"/>
          <w:lang w:val="de-DE"/>
        </w:rPr>
        <w:t>Frankreich, Irland, Panama</w:t>
      </w:r>
    </w:p>
    <w:p w:rsidR="00624AF9" w:rsidRPr="00EC62E9" w:rsidRDefault="00624AF9" w:rsidP="00624AF9">
      <w:pPr>
        <w:keepNext/>
        <w:keepLines/>
        <w:tabs>
          <w:tab w:val="left" w:pos="2410"/>
        </w:tabs>
        <w:jc w:val="left"/>
        <w:rPr>
          <w:color w:val="000000"/>
          <w:sz w:val="18"/>
          <w:szCs w:val="18"/>
          <w:lang w:val="de-DE"/>
        </w:rPr>
      </w:pPr>
      <w:r w:rsidRPr="00EC62E9">
        <w:rPr>
          <w:color w:val="000000"/>
          <w:sz w:val="18"/>
          <w:lang w:val="de-DE"/>
        </w:rPr>
        <w:t>(siehe Abb. 31)</w:t>
      </w:r>
    </w:p>
    <w:p w:rsidR="00624AF9" w:rsidRDefault="00624AF9" w:rsidP="00624AF9">
      <w:pPr>
        <w:tabs>
          <w:tab w:val="left" w:pos="2410"/>
        </w:tabs>
        <w:jc w:val="left"/>
        <w:rPr>
          <w:color w:val="000000"/>
          <w:sz w:val="18"/>
          <w:szCs w:val="18"/>
          <w:lang w:val="de-DE"/>
        </w:rPr>
      </w:pPr>
    </w:p>
    <w:p w:rsidR="00397772" w:rsidRPr="00EC62E9" w:rsidRDefault="00397772" w:rsidP="00624AF9">
      <w:pPr>
        <w:tabs>
          <w:tab w:val="left" w:pos="2410"/>
        </w:tabs>
        <w:jc w:val="left"/>
        <w:rPr>
          <w:color w:val="000000"/>
          <w:sz w:val="18"/>
          <w:szCs w:val="18"/>
          <w:lang w:val="de-DE"/>
        </w:rPr>
      </w:pPr>
    </w:p>
    <w:p w:rsidR="00624AF9" w:rsidRPr="00EC62E9" w:rsidRDefault="00624AF9" w:rsidP="00624AF9">
      <w:pPr>
        <w:pStyle w:val="Heading8"/>
        <w:rPr>
          <w:lang w:val="de-DE"/>
        </w:rPr>
      </w:pPr>
      <w:bookmarkStart w:id="232" w:name="_Toc396137609"/>
      <w:bookmarkStart w:id="233" w:name="_Toc398736806"/>
      <w:r w:rsidRPr="00EC62E9">
        <w:rPr>
          <w:lang w:val="de-DE"/>
        </w:rPr>
        <w:t>b)  Staaten und Organisationen, die der UPOV beigetreten sind</w:t>
      </w:r>
      <w:bookmarkEnd w:id="232"/>
      <w:bookmarkEnd w:id="233"/>
    </w:p>
    <w:p w:rsidR="00624AF9" w:rsidRPr="00EC62E9" w:rsidRDefault="00624AF9" w:rsidP="00624AF9">
      <w:pPr>
        <w:tabs>
          <w:tab w:val="left" w:pos="2410"/>
        </w:tabs>
        <w:jc w:val="left"/>
        <w:rPr>
          <w:sz w:val="18"/>
          <w:szCs w:val="18"/>
          <w:lang w:val="de-DE"/>
        </w:rPr>
      </w:pPr>
      <w:r w:rsidRPr="00EC62E9">
        <w:rPr>
          <w:sz w:val="18"/>
          <w:lang w:val="de-DE"/>
        </w:rPr>
        <w:t>Serbien</w:t>
      </w:r>
    </w:p>
    <w:p w:rsidR="00624AF9" w:rsidRPr="00EC62E9" w:rsidRDefault="00624AF9" w:rsidP="00624AF9">
      <w:pPr>
        <w:keepNext/>
        <w:keepLines/>
        <w:widowControl w:val="0"/>
        <w:jc w:val="left"/>
        <w:rPr>
          <w:sz w:val="18"/>
          <w:szCs w:val="18"/>
          <w:lang w:val="de-DE"/>
        </w:rPr>
      </w:pPr>
      <w:r w:rsidRPr="00EC62E9">
        <w:rPr>
          <w:sz w:val="18"/>
          <w:lang w:val="de-DE"/>
        </w:rPr>
        <w:t>(siehe Abb. 30)</w:t>
      </w:r>
    </w:p>
    <w:p w:rsidR="00624AF9" w:rsidRPr="00EC62E9" w:rsidRDefault="00624AF9" w:rsidP="00624AF9">
      <w:pPr>
        <w:rPr>
          <w:sz w:val="18"/>
          <w:szCs w:val="18"/>
          <w:lang w:val="de-DE"/>
        </w:rPr>
      </w:pPr>
    </w:p>
    <w:tbl>
      <w:tblPr>
        <w:tblW w:w="9889" w:type="dxa"/>
        <w:tblLayout w:type="fixed"/>
        <w:tblLook w:val="0000" w:firstRow="0" w:lastRow="0" w:firstColumn="0" w:lastColumn="0" w:noHBand="0" w:noVBand="0"/>
      </w:tblPr>
      <w:tblGrid>
        <w:gridCol w:w="4925"/>
        <w:gridCol w:w="4926"/>
        <w:gridCol w:w="38"/>
      </w:tblGrid>
      <w:tr w:rsidR="00624AF9" w:rsidRPr="00EC62E9" w:rsidTr="00730A0A">
        <w:trPr>
          <w:gridAfter w:val="1"/>
          <w:wAfter w:w="38" w:type="dxa"/>
        </w:trPr>
        <w:tc>
          <w:tcPr>
            <w:tcW w:w="4925" w:type="dxa"/>
          </w:tcPr>
          <w:p w:rsidR="00624AF9" w:rsidRPr="00EC62E9" w:rsidRDefault="00624AF9" w:rsidP="00B9474C">
            <w:pPr>
              <w:pStyle w:val="Heading9"/>
              <w:spacing w:after="0"/>
              <w:rPr>
                <w:b w:val="0"/>
                <w:lang w:val="de-DE"/>
              </w:rPr>
            </w:pPr>
            <w:bookmarkStart w:id="234" w:name="_Toc396137610"/>
            <w:bookmarkStart w:id="235" w:name="_Toc398736807"/>
            <w:r w:rsidRPr="00EC62E9">
              <w:rPr>
                <w:lang w:val="de-DE"/>
              </w:rPr>
              <w:t>Abb. 28.  Staaten/Organisationen, die Kommentare zu Rechtsvorschriften erhalten haben</w:t>
            </w:r>
            <w:bookmarkEnd w:id="234"/>
            <w:bookmarkEnd w:id="235"/>
          </w:p>
          <w:p w:rsidR="00624AF9" w:rsidRPr="00EC62E9" w:rsidRDefault="00624AF9" w:rsidP="00B9474C">
            <w:pPr>
              <w:rPr>
                <w:sz w:val="18"/>
                <w:szCs w:val="18"/>
                <w:lang w:val="de-DE"/>
              </w:rPr>
            </w:pPr>
          </w:p>
          <w:p w:rsidR="00624AF9" w:rsidRPr="00EC62E9" w:rsidRDefault="00730A0A" w:rsidP="00B9474C">
            <w:pPr>
              <w:rPr>
                <w:sz w:val="18"/>
                <w:szCs w:val="18"/>
                <w:lang w:val="de-DE"/>
              </w:rPr>
            </w:pPr>
            <w:r>
              <w:rPr>
                <w:noProof/>
              </w:rPr>
              <w:drawing>
                <wp:inline distT="0" distB="0" distL="0" distR="0" wp14:anchorId="0CC2D89C" wp14:editId="59E6D079">
                  <wp:extent cx="3019425" cy="25146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624AF9" w:rsidRPr="00EC62E9" w:rsidRDefault="00624AF9" w:rsidP="00B9474C">
            <w:pPr>
              <w:rPr>
                <w:sz w:val="18"/>
                <w:szCs w:val="18"/>
                <w:lang w:val="de-DE"/>
              </w:rPr>
            </w:pPr>
          </w:p>
          <w:p w:rsidR="00624AF9" w:rsidRPr="00EC62E9" w:rsidRDefault="00624AF9" w:rsidP="00B9474C">
            <w:pPr>
              <w:rPr>
                <w:sz w:val="18"/>
                <w:szCs w:val="18"/>
                <w:lang w:val="de-DE"/>
              </w:rPr>
            </w:pPr>
          </w:p>
        </w:tc>
        <w:tc>
          <w:tcPr>
            <w:tcW w:w="4926" w:type="dxa"/>
          </w:tcPr>
          <w:p w:rsidR="00624AF9" w:rsidRPr="00EC62E9" w:rsidRDefault="00624AF9" w:rsidP="00B9474C">
            <w:pPr>
              <w:pStyle w:val="Heading9"/>
              <w:rPr>
                <w:szCs w:val="18"/>
                <w:lang w:val="de-DE"/>
              </w:rPr>
            </w:pPr>
            <w:bookmarkStart w:id="236" w:name="_Toc396137611"/>
            <w:bookmarkStart w:id="237" w:name="_Toc398736808"/>
            <w:r w:rsidRPr="00EC62E9">
              <w:rPr>
                <w:lang w:val="de-DE"/>
              </w:rPr>
              <w:t>Abb. 29.  Staaten/Organisationen, die eine positive Stellungnahme des Rates erwirkt haben</w:t>
            </w:r>
            <w:bookmarkEnd w:id="236"/>
            <w:bookmarkEnd w:id="237"/>
          </w:p>
          <w:p w:rsidR="00624AF9" w:rsidRPr="00EC62E9" w:rsidRDefault="00624AF9" w:rsidP="00B9474C">
            <w:pPr>
              <w:rPr>
                <w:sz w:val="18"/>
                <w:szCs w:val="18"/>
                <w:lang w:val="de-DE"/>
              </w:rPr>
            </w:pPr>
            <w:r w:rsidRPr="00730A0A">
              <w:rPr>
                <w:noProof/>
                <w:sz w:val="18"/>
              </w:rPr>
              <w:drawing>
                <wp:inline distT="0" distB="0" distL="0" distR="0" wp14:anchorId="1FF7DD76" wp14:editId="02F7AE45">
                  <wp:extent cx="2952750" cy="249555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r w:rsidR="00624AF9" w:rsidRPr="00EC62E9" w:rsidTr="00730A0A">
        <w:tblPrEx>
          <w:tblCellMar>
            <w:left w:w="70" w:type="dxa"/>
            <w:right w:w="70" w:type="dxa"/>
          </w:tblCellMar>
        </w:tblPrEx>
        <w:tc>
          <w:tcPr>
            <w:tcW w:w="4925" w:type="dxa"/>
          </w:tcPr>
          <w:p w:rsidR="00624AF9" w:rsidRPr="00EC62E9" w:rsidRDefault="00624AF9" w:rsidP="00B9474C">
            <w:pPr>
              <w:pStyle w:val="Heading9"/>
              <w:spacing w:after="0"/>
              <w:rPr>
                <w:lang w:val="de-DE"/>
              </w:rPr>
            </w:pPr>
            <w:bookmarkStart w:id="238" w:name="_Toc396137612"/>
            <w:bookmarkStart w:id="239" w:name="_Toc398736809"/>
            <w:r w:rsidRPr="00EC62E9">
              <w:rPr>
                <w:lang w:val="de-DE"/>
              </w:rPr>
              <w:t xml:space="preserve">Abb. 30.  </w:t>
            </w:r>
            <w:r w:rsidRPr="00EC62E9">
              <w:rPr>
                <w:color w:val="000000"/>
                <w:lang w:val="de-DE"/>
              </w:rPr>
              <w:t>Neue Verbandsmitglieder</w:t>
            </w:r>
            <w:bookmarkEnd w:id="238"/>
            <w:bookmarkEnd w:id="239"/>
          </w:p>
          <w:p w:rsidR="00624AF9" w:rsidRPr="00EC62E9" w:rsidRDefault="006D4B39" w:rsidP="00B9474C">
            <w:pPr>
              <w:rPr>
                <w:lang w:val="de-DE"/>
              </w:rPr>
            </w:pPr>
            <w:r w:rsidRPr="00EC62E9">
              <w:rPr>
                <w:noProof/>
              </w:rPr>
              <w:drawing>
                <wp:inline distT="0" distB="0" distL="0" distR="0" wp14:anchorId="21CB4C83" wp14:editId="0F4307C6">
                  <wp:extent cx="3050438" cy="2553005"/>
                  <wp:effectExtent l="0" t="0" r="0" b="0"/>
                  <wp:docPr id="53" name="Diagramm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4964" w:type="dxa"/>
            <w:gridSpan w:val="2"/>
          </w:tcPr>
          <w:p w:rsidR="00624AF9" w:rsidRPr="00EC62E9" w:rsidRDefault="00624AF9" w:rsidP="00B9474C">
            <w:pPr>
              <w:pStyle w:val="Heading9"/>
              <w:rPr>
                <w:lang w:val="de-DE"/>
              </w:rPr>
            </w:pPr>
            <w:bookmarkStart w:id="240" w:name="_Toc396137613"/>
            <w:bookmarkStart w:id="241" w:name="_Toc398736810"/>
            <w:r w:rsidRPr="00EC62E9">
              <w:rPr>
                <w:lang w:val="de-DE"/>
              </w:rPr>
              <w:t xml:space="preserve">Abb. 31.  </w:t>
            </w:r>
            <w:r w:rsidRPr="00EC62E9">
              <w:rPr>
                <w:color w:val="000000"/>
                <w:lang w:val="de-DE"/>
              </w:rPr>
              <w:t>Beitritt zur/Ratifizierung der Akte von 1991</w:t>
            </w:r>
            <w:bookmarkEnd w:id="240"/>
            <w:bookmarkEnd w:id="241"/>
          </w:p>
          <w:p w:rsidR="00624AF9" w:rsidRPr="00EC62E9" w:rsidRDefault="00C5211B" w:rsidP="00B9474C">
            <w:pPr>
              <w:rPr>
                <w:lang w:val="de-DE"/>
              </w:rPr>
            </w:pPr>
            <w:r w:rsidRPr="00EC62E9">
              <w:rPr>
                <w:noProof/>
              </w:rPr>
              <w:drawing>
                <wp:inline distT="0" distB="0" distL="0" distR="0" wp14:anchorId="198DE3AA" wp14:editId="7363B517">
                  <wp:extent cx="3024000" cy="2304000"/>
                  <wp:effectExtent l="0" t="0" r="5080" b="127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rsidR="00624AF9" w:rsidRPr="00EC62E9" w:rsidRDefault="00624AF9" w:rsidP="00624AF9">
      <w:pPr>
        <w:rPr>
          <w:sz w:val="18"/>
          <w:szCs w:val="18"/>
          <w:lang w:val="de-DE"/>
        </w:rPr>
      </w:pPr>
    </w:p>
    <w:p w:rsidR="00624AF9" w:rsidRPr="00EC62E9" w:rsidRDefault="00624AF9" w:rsidP="00624AF9">
      <w:pPr>
        <w:rPr>
          <w:sz w:val="18"/>
          <w:szCs w:val="18"/>
          <w:lang w:val="de-DE"/>
        </w:rPr>
      </w:pPr>
    </w:p>
    <w:p w:rsidR="00624AF9" w:rsidRPr="00EC62E9" w:rsidRDefault="00624AF9" w:rsidP="00624AF9">
      <w:pPr>
        <w:jc w:val="left"/>
        <w:rPr>
          <w:bCs/>
          <w:caps/>
          <w:sz w:val="18"/>
          <w:szCs w:val="22"/>
          <w:lang w:val="de-DE"/>
        </w:rPr>
      </w:pPr>
      <w:r w:rsidRPr="00EC62E9">
        <w:rPr>
          <w:lang w:val="de-DE"/>
        </w:rPr>
        <w:br w:type="page"/>
      </w:r>
    </w:p>
    <w:p w:rsidR="00624AF9" w:rsidRPr="00EC62E9" w:rsidRDefault="00624AF9" w:rsidP="00624AF9">
      <w:pPr>
        <w:pStyle w:val="Heading6"/>
        <w:rPr>
          <w:lang w:val="de-DE"/>
        </w:rPr>
      </w:pPr>
      <w:bookmarkStart w:id="242" w:name="_Toc396137614"/>
      <w:bookmarkStart w:id="243" w:name="_Toc398736811"/>
      <w:r w:rsidRPr="00EC62E9">
        <w:rPr>
          <w:lang w:val="de-DE"/>
        </w:rPr>
        <w:t>4.  Unterstützung bei der Ausarbeitung eines effe</w:t>
      </w:r>
      <w:r w:rsidR="000D3241" w:rsidRPr="00EC62E9">
        <w:rPr>
          <w:lang w:val="de-DE"/>
        </w:rPr>
        <w:t>ktiven Sortenschutzsystems gemäSS</w:t>
      </w:r>
      <w:r w:rsidRPr="00EC62E9">
        <w:rPr>
          <w:lang w:val="de-DE"/>
        </w:rPr>
        <w:t xml:space="preserve"> der Akte von 1991 des UPOV-Übereinkommens</w:t>
      </w:r>
      <w:bookmarkEnd w:id="242"/>
      <w:bookmarkEnd w:id="243"/>
    </w:p>
    <w:p w:rsidR="00624AF9" w:rsidRPr="00EC62E9" w:rsidRDefault="00624AF9" w:rsidP="00624AF9">
      <w:pPr>
        <w:rPr>
          <w:lang w:val="de-DE"/>
        </w:rPr>
      </w:pPr>
    </w:p>
    <w:p w:rsidR="00624AF9" w:rsidRPr="00EC62E9" w:rsidRDefault="00624AF9" w:rsidP="00624AF9">
      <w:pPr>
        <w:pStyle w:val="Heading8"/>
        <w:rPr>
          <w:lang w:val="de-DE"/>
        </w:rPr>
      </w:pPr>
      <w:bookmarkStart w:id="244" w:name="_Toc396137615"/>
      <w:bookmarkStart w:id="245" w:name="_Toc398736812"/>
      <w:r w:rsidRPr="00EC62E9">
        <w:rPr>
          <w:lang w:val="de-DE"/>
        </w:rPr>
        <w:t>a)  Teilnahme an Fernlehrgängen</w:t>
      </w:r>
      <w:bookmarkEnd w:id="244"/>
      <w:bookmarkEnd w:id="245"/>
    </w:p>
    <w:p w:rsidR="00624AF9" w:rsidRPr="00EC62E9" w:rsidRDefault="00624AF9" w:rsidP="00624AF9">
      <w:pPr>
        <w:tabs>
          <w:tab w:val="left" w:pos="2410"/>
        </w:tabs>
        <w:jc w:val="left"/>
        <w:rPr>
          <w:sz w:val="18"/>
          <w:szCs w:val="18"/>
          <w:lang w:val="de-DE"/>
        </w:rPr>
      </w:pPr>
      <w:r w:rsidRPr="00EC62E9">
        <w:rPr>
          <w:color w:val="000000"/>
          <w:sz w:val="18"/>
          <w:lang w:val="de-DE"/>
        </w:rPr>
        <w:t xml:space="preserve">UPOV DL-205 </w:t>
      </w:r>
      <w:r w:rsidRPr="00EC62E9">
        <w:rPr>
          <w:sz w:val="18"/>
          <w:lang w:val="de-DE"/>
        </w:rPr>
        <w:t>„Einführung in das UPOV-Sortenschutzsystem nach dem UPOV-Übereinkommen”</w:t>
      </w:r>
    </w:p>
    <w:p w:rsidR="00624AF9" w:rsidRPr="00EC62E9" w:rsidRDefault="00624AF9" w:rsidP="00624AF9">
      <w:pPr>
        <w:tabs>
          <w:tab w:val="left" w:pos="2410"/>
        </w:tabs>
        <w:jc w:val="left"/>
        <w:rPr>
          <w:sz w:val="18"/>
          <w:szCs w:val="18"/>
          <w:lang w:val="de-DE"/>
        </w:rPr>
      </w:pPr>
    </w:p>
    <w:p w:rsidR="00624AF9" w:rsidRPr="00EC62E9" w:rsidRDefault="00624AF9" w:rsidP="00624AF9">
      <w:pPr>
        <w:jc w:val="center"/>
        <w:rPr>
          <w:sz w:val="18"/>
          <w:szCs w:val="18"/>
          <w:lang w:val="de-DE"/>
        </w:rPr>
      </w:pPr>
      <w:r w:rsidRPr="00EC62E9">
        <w:rPr>
          <w:sz w:val="18"/>
          <w:lang w:val="de-DE"/>
        </w:rPr>
        <w:t>Anzahl der Teilnehmer an regulären DL-205-Sitzungen in den Jahren 2012 und 2013</w:t>
      </w:r>
    </w:p>
    <w:p w:rsidR="00624AF9" w:rsidRPr="00EC62E9" w:rsidRDefault="00624AF9" w:rsidP="00624AF9">
      <w:pPr>
        <w:tabs>
          <w:tab w:val="left" w:pos="2410"/>
        </w:tabs>
        <w:jc w:val="left"/>
        <w:rPr>
          <w:sz w:val="18"/>
          <w:szCs w:val="18"/>
          <w:lang w:val="de-DE"/>
        </w:rPr>
      </w:pPr>
    </w:p>
    <w:tbl>
      <w:tblPr>
        <w:tblW w:w="9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8000"/>
        <w:gridCol w:w="1530"/>
      </w:tblGrid>
      <w:tr w:rsidR="00624AF9" w:rsidRPr="00EC62E9" w:rsidTr="00B9474C">
        <w:tc>
          <w:tcPr>
            <w:tcW w:w="8000" w:type="dxa"/>
            <w:shd w:val="clear" w:color="auto" w:fill="D9D9D9"/>
            <w:tcMar>
              <w:top w:w="0" w:type="dxa"/>
              <w:left w:w="108" w:type="dxa"/>
              <w:bottom w:w="0" w:type="dxa"/>
              <w:right w:w="108" w:type="dxa"/>
            </w:tcMar>
            <w:vAlign w:val="center"/>
            <w:hideMark/>
          </w:tcPr>
          <w:p w:rsidR="00624AF9" w:rsidRPr="00EC62E9" w:rsidRDefault="00624AF9" w:rsidP="00B9474C">
            <w:pPr>
              <w:spacing w:before="40" w:after="40" w:line="276" w:lineRule="auto"/>
              <w:rPr>
                <w:rFonts w:eastAsiaTheme="minorHAnsi" w:cs="Arial"/>
                <w:sz w:val="18"/>
                <w:szCs w:val="18"/>
                <w:lang w:val="de-DE"/>
              </w:rPr>
            </w:pPr>
            <w:r w:rsidRPr="00EC62E9">
              <w:rPr>
                <w:sz w:val="18"/>
                <w:lang w:val="de-DE"/>
              </w:rPr>
              <w:t>Kategorie</w:t>
            </w:r>
          </w:p>
        </w:tc>
        <w:tc>
          <w:tcPr>
            <w:tcW w:w="1530" w:type="dxa"/>
            <w:shd w:val="clear" w:color="auto" w:fill="D9D9D9"/>
            <w:tcMar>
              <w:top w:w="0" w:type="dxa"/>
              <w:left w:w="108" w:type="dxa"/>
              <w:bottom w:w="0" w:type="dxa"/>
              <w:right w:w="108" w:type="dxa"/>
            </w:tcMar>
            <w:vAlign w:val="center"/>
            <w:hideMark/>
          </w:tcPr>
          <w:p w:rsidR="00624AF9" w:rsidRPr="00EC62E9" w:rsidRDefault="00624AF9" w:rsidP="00B9474C">
            <w:pPr>
              <w:spacing w:before="40" w:after="40" w:line="276" w:lineRule="auto"/>
              <w:jc w:val="center"/>
              <w:rPr>
                <w:rFonts w:eastAsiaTheme="minorHAnsi" w:cs="Arial"/>
                <w:sz w:val="18"/>
                <w:szCs w:val="18"/>
                <w:lang w:val="de-DE"/>
              </w:rPr>
            </w:pPr>
            <w:r w:rsidRPr="00EC62E9">
              <w:rPr>
                <w:sz w:val="18"/>
                <w:lang w:val="de-DE"/>
              </w:rPr>
              <w:t>Zahl der Studierenden</w:t>
            </w:r>
          </w:p>
        </w:tc>
      </w:tr>
      <w:tr w:rsidR="00624AF9" w:rsidRPr="00EC62E9" w:rsidTr="00B9474C">
        <w:tc>
          <w:tcPr>
            <w:tcW w:w="8000" w:type="dxa"/>
            <w:tcMar>
              <w:top w:w="0" w:type="dxa"/>
              <w:left w:w="108" w:type="dxa"/>
              <w:bottom w:w="0" w:type="dxa"/>
              <w:right w:w="108" w:type="dxa"/>
            </w:tcMar>
            <w:hideMark/>
          </w:tcPr>
          <w:p w:rsidR="00624AF9" w:rsidRPr="00EC62E9" w:rsidRDefault="00624AF9" w:rsidP="00B9474C">
            <w:pPr>
              <w:spacing w:before="40" w:after="40" w:line="276" w:lineRule="auto"/>
              <w:rPr>
                <w:rFonts w:eastAsiaTheme="minorHAnsi" w:cs="Arial"/>
                <w:sz w:val="18"/>
                <w:szCs w:val="18"/>
                <w:lang w:val="de-DE"/>
              </w:rPr>
            </w:pPr>
            <w:r w:rsidRPr="00EC62E9">
              <w:rPr>
                <w:sz w:val="18"/>
                <w:lang w:val="de-DE"/>
              </w:rPr>
              <w:t>Kategorie 1:  Regierungsbeamte von Verbandsmitgliedern, die vom entsprechenden Vertreter im UPOV-Rat nominiert werden</w:t>
            </w:r>
          </w:p>
        </w:tc>
        <w:tc>
          <w:tcPr>
            <w:tcW w:w="1530" w:type="dxa"/>
            <w:tcMar>
              <w:top w:w="0" w:type="dxa"/>
              <w:left w:w="108" w:type="dxa"/>
              <w:bottom w:w="0" w:type="dxa"/>
              <w:right w:w="108" w:type="dxa"/>
            </w:tcMar>
            <w:vAlign w:val="bottom"/>
            <w:hideMark/>
          </w:tcPr>
          <w:p w:rsidR="00624AF9" w:rsidRPr="00EC62E9" w:rsidRDefault="00624AF9" w:rsidP="00B9474C">
            <w:pPr>
              <w:spacing w:before="40" w:after="40" w:line="276" w:lineRule="auto"/>
              <w:ind w:right="206"/>
              <w:jc w:val="right"/>
              <w:rPr>
                <w:rFonts w:eastAsiaTheme="minorHAnsi" w:cs="Arial"/>
                <w:sz w:val="18"/>
                <w:szCs w:val="18"/>
                <w:lang w:val="de-DE"/>
              </w:rPr>
            </w:pPr>
            <w:r w:rsidRPr="00EC62E9">
              <w:rPr>
                <w:sz w:val="18"/>
                <w:lang w:val="de-DE"/>
              </w:rPr>
              <w:t>579</w:t>
            </w:r>
          </w:p>
        </w:tc>
      </w:tr>
      <w:tr w:rsidR="00624AF9" w:rsidRPr="00EC62E9" w:rsidTr="00B9474C">
        <w:tc>
          <w:tcPr>
            <w:tcW w:w="8000" w:type="dxa"/>
            <w:tcMar>
              <w:top w:w="0" w:type="dxa"/>
              <w:left w:w="108" w:type="dxa"/>
              <w:bottom w:w="0" w:type="dxa"/>
              <w:right w:w="108" w:type="dxa"/>
            </w:tcMar>
            <w:hideMark/>
          </w:tcPr>
          <w:p w:rsidR="00624AF9" w:rsidRPr="00EC62E9" w:rsidRDefault="00624AF9" w:rsidP="00B9474C">
            <w:pPr>
              <w:spacing w:before="40" w:after="40" w:line="276" w:lineRule="auto"/>
              <w:rPr>
                <w:rFonts w:eastAsiaTheme="minorHAnsi" w:cs="Arial"/>
                <w:sz w:val="18"/>
                <w:szCs w:val="18"/>
                <w:lang w:val="de-DE"/>
              </w:rPr>
            </w:pPr>
            <w:r w:rsidRPr="00EC62E9">
              <w:rPr>
                <w:sz w:val="18"/>
                <w:lang w:val="de-DE"/>
              </w:rPr>
              <w:t xml:space="preserve">Kategorie 2:  Beamte von Beobachterstaaten/zwischenstaatlichen Organisationen, die vom entsprechenden Vertreter im UPOV-Rat nominiert werden </w:t>
            </w:r>
          </w:p>
        </w:tc>
        <w:tc>
          <w:tcPr>
            <w:tcW w:w="1530" w:type="dxa"/>
            <w:tcMar>
              <w:top w:w="0" w:type="dxa"/>
              <w:left w:w="108" w:type="dxa"/>
              <w:bottom w:w="0" w:type="dxa"/>
              <w:right w:w="108" w:type="dxa"/>
            </w:tcMar>
            <w:vAlign w:val="bottom"/>
            <w:hideMark/>
          </w:tcPr>
          <w:p w:rsidR="00624AF9" w:rsidRPr="00EC62E9" w:rsidRDefault="00624AF9" w:rsidP="00B9474C">
            <w:pPr>
              <w:spacing w:before="40" w:after="40" w:line="276" w:lineRule="auto"/>
              <w:ind w:right="206"/>
              <w:jc w:val="right"/>
              <w:rPr>
                <w:rFonts w:eastAsiaTheme="minorHAnsi" w:cs="Arial"/>
                <w:sz w:val="18"/>
                <w:szCs w:val="18"/>
                <w:lang w:val="de-DE"/>
              </w:rPr>
            </w:pPr>
            <w:r w:rsidRPr="00EC62E9">
              <w:rPr>
                <w:sz w:val="18"/>
                <w:lang w:val="de-DE"/>
              </w:rPr>
              <w:t>24</w:t>
            </w:r>
          </w:p>
        </w:tc>
      </w:tr>
      <w:tr w:rsidR="00624AF9" w:rsidRPr="00EC62E9" w:rsidTr="00B9474C">
        <w:tc>
          <w:tcPr>
            <w:tcW w:w="8000" w:type="dxa"/>
            <w:tcMar>
              <w:top w:w="0" w:type="dxa"/>
              <w:left w:w="108" w:type="dxa"/>
              <w:bottom w:w="0" w:type="dxa"/>
              <w:right w:w="108" w:type="dxa"/>
            </w:tcMar>
            <w:hideMark/>
          </w:tcPr>
          <w:p w:rsidR="00624AF9" w:rsidRPr="00EC62E9" w:rsidRDefault="00624AF9" w:rsidP="00B9474C">
            <w:pPr>
              <w:spacing w:before="40" w:after="40" w:line="276" w:lineRule="auto"/>
              <w:rPr>
                <w:rFonts w:eastAsiaTheme="minorHAnsi" w:cs="Arial"/>
                <w:sz w:val="18"/>
                <w:szCs w:val="18"/>
                <w:lang w:val="de-DE"/>
              </w:rPr>
            </w:pPr>
            <w:r w:rsidRPr="00EC62E9">
              <w:rPr>
                <w:sz w:val="18"/>
                <w:lang w:val="de-DE"/>
              </w:rPr>
              <w:t>Kategorie 3:  Andere</w:t>
            </w:r>
          </w:p>
        </w:tc>
        <w:tc>
          <w:tcPr>
            <w:tcW w:w="1530" w:type="dxa"/>
            <w:tcMar>
              <w:top w:w="0" w:type="dxa"/>
              <w:left w:w="108" w:type="dxa"/>
              <w:bottom w:w="0" w:type="dxa"/>
              <w:right w:w="108" w:type="dxa"/>
            </w:tcMar>
            <w:vAlign w:val="bottom"/>
            <w:hideMark/>
          </w:tcPr>
          <w:p w:rsidR="00624AF9" w:rsidRPr="00EC62E9" w:rsidRDefault="00624AF9" w:rsidP="00B9474C">
            <w:pPr>
              <w:spacing w:before="40" w:after="40" w:line="276" w:lineRule="auto"/>
              <w:ind w:right="206"/>
              <w:jc w:val="right"/>
              <w:rPr>
                <w:rFonts w:eastAsiaTheme="minorHAnsi" w:cs="Arial"/>
                <w:sz w:val="18"/>
                <w:szCs w:val="18"/>
                <w:lang w:val="de-DE"/>
              </w:rPr>
            </w:pPr>
            <w:r w:rsidRPr="00EC62E9">
              <w:rPr>
                <w:sz w:val="18"/>
                <w:lang w:val="de-DE"/>
              </w:rPr>
              <w:t>36</w:t>
            </w:r>
          </w:p>
        </w:tc>
      </w:tr>
      <w:tr w:rsidR="00624AF9" w:rsidRPr="00EC62E9" w:rsidTr="00B9474C">
        <w:tc>
          <w:tcPr>
            <w:tcW w:w="8000" w:type="dxa"/>
            <w:tcMar>
              <w:top w:w="0" w:type="dxa"/>
              <w:left w:w="108" w:type="dxa"/>
              <w:bottom w:w="0" w:type="dxa"/>
              <w:right w:w="108" w:type="dxa"/>
            </w:tcMar>
            <w:hideMark/>
          </w:tcPr>
          <w:p w:rsidR="00624AF9" w:rsidRPr="00EC62E9" w:rsidRDefault="00624AF9" w:rsidP="00B9474C">
            <w:pPr>
              <w:spacing w:before="40" w:after="40" w:line="276" w:lineRule="auto"/>
              <w:rPr>
                <w:rFonts w:eastAsiaTheme="minorHAnsi" w:cs="Arial"/>
                <w:sz w:val="18"/>
                <w:szCs w:val="18"/>
                <w:lang w:val="de-DE"/>
              </w:rPr>
            </w:pPr>
            <w:r w:rsidRPr="00EC62E9">
              <w:rPr>
                <w:sz w:val="18"/>
                <w:lang w:val="de-DE"/>
              </w:rPr>
              <w:t>Kategorie 4:  Gebührenbefreiung für ausgewählte Studenten nach freiem Ermessen</w:t>
            </w:r>
          </w:p>
        </w:tc>
        <w:tc>
          <w:tcPr>
            <w:tcW w:w="1530" w:type="dxa"/>
            <w:tcMar>
              <w:top w:w="0" w:type="dxa"/>
              <w:left w:w="108" w:type="dxa"/>
              <w:bottom w:w="0" w:type="dxa"/>
              <w:right w:w="108" w:type="dxa"/>
            </w:tcMar>
            <w:vAlign w:val="bottom"/>
            <w:hideMark/>
          </w:tcPr>
          <w:p w:rsidR="00624AF9" w:rsidRPr="00EC62E9" w:rsidRDefault="00624AF9" w:rsidP="00B9474C">
            <w:pPr>
              <w:spacing w:before="40" w:after="40" w:line="276" w:lineRule="auto"/>
              <w:ind w:right="206"/>
              <w:jc w:val="right"/>
              <w:rPr>
                <w:rFonts w:eastAsiaTheme="minorHAnsi" w:cs="Arial"/>
                <w:sz w:val="18"/>
                <w:szCs w:val="18"/>
                <w:lang w:val="de-DE"/>
              </w:rPr>
            </w:pPr>
            <w:r w:rsidRPr="00EC62E9">
              <w:rPr>
                <w:sz w:val="18"/>
                <w:lang w:val="de-DE"/>
              </w:rPr>
              <w:t>9</w:t>
            </w:r>
          </w:p>
        </w:tc>
      </w:tr>
      <w:tr w:rsidR="00624AF9" w:rsidRPr="00EC62E9" w:rsidTr="00B9474C">
        <w:tc>
          <w:tcPr>
            <w:tcW w:w="8000" w:type="dxa"/>
            <w:tcMar>
              <w:top w:w="0" w:type="dxa"/>
              <w:left w:w="108" w:type="dxa"/>
              <w:bottom w:w="0" w:type="dxa"/>
              <w:right w:w="108" w:type="dxa"/>
            </w:tcMar>
            <w:hideMark/>
          </w:tcPr>
          <w:p w:rsidR="00624AF9" w:rsidRPr="00EC62E9" w:rsidRDefault="00624AF9" w:rsidP="00B9474C">
            <w:pPr>
              <w:spacing w:before="40" w:after="40" w:line="276" w:lineRule="auto"/>
              <w:ind w:right="318"/>
              <w:jc w:val="right"/>
              <w:rPr>
                <w:rFonts w:eastAsiaTheme="minorHAnsi" w:cs="Arial"/>
                <w:sz w:val="18"/>
                <w:szCs w:val="18"/>
                <w:lang w:val="de-DE"/>
              </w:rPr>
            </w:pPr>
            <w:r w:rsidRPr="00EC62E9">
              <w:rPr>
                <w:sz w:val="18"/>
                <w:lang w:val="de-DE"/>
              </w:rPr>
              <w:t>Insgesamt:</w:t>
            </w:r>
          </w:p>
        </w:tc>
        <w:tc>
          <w:tcPr>
            <w:tcW w:w="1530" w:type="dxa"/>
            <w:tcMar>
              <w:top w:w="0" w:type="dxa"/>
              <w:left w:w="108" w:type="dxa"/>
              <w:bottom w:w="0" w:type="dxa"/>
              <w:right w:w="108" w:type="dxa"/>
            </w:tcMar>
            <w:vAlign w:val="bottom"/>
            <w:hideMark/>
          </w:tcPr>
          <w:p w:rsidR="00624AF9" w:rsidRPr="00EC62E9" w:rsidRDefault="00624AF9" w:rsidP="00B9474C">
            <w:pPr>
              <w:spacing w:before="40" w:after="40" w:line="276" w:lineRule="auto"/>
              <w:ind w:right="206"/>
              <w:jc w:val="right"/>
              <w:rPr>
                <w:rFonts w:eastAsiaTheme="minorHAnsi" w:cs="Arial"/>
                <w:sz w:val="18"/>
                <w:szCs w:val="18"/>
                <w:lang w:val="de-DE"/>
              </w:rPr>
            </w:pPr>
            <w:r w:rsidRPr="00EC62E9">
              <w:rPr>
                <w:sz w:val="18"/>
                <w:lang w:val="de-DE"/>
              </w:rPr>
              <w:t>648</w:t>
            </w:r>
          </w:p>
        </w:tc>
      </w:tr>
    </w:tbl>
    <w:p w:rsidR="00624AF9" w:rsidRPr="00EC62E9" w:rsidRDefault="00624AF9" w:rsidP="00624AF9">
      <w:pPr>
        <w:tabs>
          <w:tab w:val="left" w:pos="2410"/>
        </w:tabs>
        <w:jc w:val="left"/>
        <w:rPr>
          <w:sz w:val="18"/>
          <w:szCs w:val="18"/>
          <w:lang w:val="de-DE"/>
        </w:rPr>
      </w:pPr>
    </w:p>
    <w:p w:rsidR="00624AF9" w:rsidRPr="00EC62E9" w:rsidRDefault="00624AF9" w:rsidP="00624AF9">
      <w:pPr>
        <w:rPr>
          <w:sz w:val="18"/>
          <w:szCs w:val="18"/>
          <w:lang w:val="de-DE"/>
        </w:rPr>
      </w:pPr>
    </w:p>
    <w:p w:rsidR="00624AF9" w:rsidRPr="00EC62E9" w:rsidRDefault="00624AF9" w:rsidP="00624AF9">
      <w:pPr>
        <w:jc w:val="center"/>
        <w:rPr>
          <w:rFonts w:cs="Arial"/>
          <w:sz w:val="18"/>
          <w:szCs w:val="18"/>
          <w:lang w:val="de-DE"/>
        </w:rPr>
      </w:pPr>
      <w:r w:rsidRPr="00EC62E9">
        <w:rPr>
          <w:sz w:val="18"/>
          <w:lang w:val="de-DE"/>
        </w:rPr>
        <w:t>Liste von Staaten, von denen 2012 und 2013 Teilnehmer an den regulären DL-205-Sitzungen vertreten waren:</w:t>
      </w:r>
    </w:p>
    <w:p w:rsidR="00624AF9" w:rsidRPr="00EC62E9" w:rsidRDefault="00624AF9" w:rsidP="00624AF9">
      <w:pPr>
        <w:jc w:val="center"/>
        <w:rPr>
          <w:rFonts w:cs="Arial"/>
          <w:sz w:val="18"/>
          <w:szCs w:val="18"/>
          <w:lang w:val="de-DE"/>
        </w:rPr>
      </w:pPr>
    </w:p>
    <w:p w:rsidR="00624AF9" w:rsidRPr="00EC62E9" w:rsidRDefault="00624AF9" w:rsidP="00624AF9">
      <w:pPr>
        <w:rPr>
          <w:rFonts w:eastAsia="MS Mincho" w:cs="Arial"/>
          <w:sz w:val="18"/>
          <w:szCs w:val="18"/>
          <w:lang w:val="de-DE"/>
        </w:rPr>
      </w:pPr>
      <w:r w:rsidRPr="00EC62E9">
        <w:rPr>
          <w:sz w:val="18"/>
          <w:lang w:val="de-DE"/>
        </w:rPr>
        <w:t>Ägypten, Algerien, Argentinien, Australien, Belgien, Bolivien, Brasilien, Bulgarien, Chile, China, Costa Rica, Côte d’Ivoire, Deutschland, Ecuador, Estland, Finnland, Frankreich, Griechenland, Honduras, Indien, Indonesien, Iran (Islamische Republik), Israel, Italien, Japan, Kambodscha, Kanada, Kenia, Kolumbien, Kroatien, Demokratische Volksrepublik Laos, Libanon, Litauen, Mexiko, Marokko, Niederlande, Neuseeland, Nicaragua, Nigeria, Norwegen, Oman, Österreich, Pakistan, Paraguay, Peru, Philippinen, Polen, Republik Korea, Republik Moldau, Russische Föderation, Schweden, Schweiz, Serbien, Simbabwe, Singapur, Slowakei, Spanien, Sri Lanka, Südafrika, Thailand, Tunesien, Türkei, Ukraine, Ungarn, Vereinigtes Königreich, Vereinigte Republik Tansania, Vereinigte Staaten von Amerika, Uruguay, Vietnam (insgesamt: 70 Staaten).</w:t>
      </w:r>
    </w:p>
    <w:p w:rsidR="00624AF9" w:rsidRPr="00EC62E9" w:rsidRDefault="00624AF9" w:rsidP="00624AF9">
      <w:pPr>
        <w:rPr>
          <w:noProof/>
          <w:u w:val="single"/>
          <w:lang w:val="de-DE"/>
        </w:rPr>
      </w:pPr>
      <w:r w:rsidRPr="00EC62E9">
        <w:rPr>
          <w:sz w:val="18"/>
          <w:lang w:val="de-DE"/>
        </w:rPr>
        <w:t>(siehe Abb. 32 bis 34)</w:t>
      </w:r>
    </w:p>
    <w:p w:rsidR="00624AF9" w:rsidRPr="00EC62E9" w:rsidRDefault="00624AF9" w:rsidP="00624AF9">
      <w:pPr>
        <w:rPr>
          <w:rFonts w:eastAsia="MS Mincho" w:cs="Arial"/>
          <w:sz w:val="18"/>
          <w:szCs w:val="18"/>
          <w:lang w:val="de-DE"/>
        </w:rPr>
      </w:pPr>
    </w:p>
    <w:p w:rsidR="00624AF9" w:rsidRPr="00EC62E9" w:rsidRDefault="00624AF9" w:rsidP="00624AF9">
      <w:pPr>
        <w:rPr>
          <w:rFonts w:eastAsia="MS Mincho" w:cs="Arial"/>
          <w:sz w:val="18"/>
          <w:szCs w:val="18"/>
          <w:lang w:val="de-DE"/>
        </w:rPr>
      </w:pPr>
    </w:p>
    <w:p w:rsidR="00624AF9" w:rsidRPr="00EC62E9" w:rsidRDefault="00624AF9" w:rsidP="00624AF9">
      <w:pPr>
        <w:pStyle w:val="Heading9"/>
        <w:rPr>
          <w:lang w:val="de-DE"/>
        </w:rPr>
      </w:pPr>
      <w:bookmarkStart w:id="246" w:name="_Toc396137616"/>
      <w:bookmarkStart w:id="247" w:name="_Toc398736813"/>
      <w:r w:rsidRPr="00EC62E9">
        <w:rPr>
          <w:lang w:val="de-DE"/>
        </w:rPr>
        <w:t>Abb. 32.  UPOV-Lehrgang  DL-205:  Teilnahme 2012 und 2013</w:t>
      </w:r>
      <w:bookmarkEnd w:id="246"/>
      <w:bookmarkEnd w:id="247"/>
    </w:p>
    <w:p w:rsidR="00624AF9" w:rsidRPr="00EC62E9" w:rsidRDefault="00624AF9" w:rsidP="00624AF9">
      <w:pPr>
        <w:rPr>
          <w:lang w:val="de-DE"/>
        </w:rPr>
      </w:pPr>
    </w:p>
    <w:p w:rsidR="00624AF9" w:rsidRPr="00EC62E9" w:rsidRDefault="00624AF9" w:rsidP="00624AF9">
      <w:pPr>
        <w:jc w:val="center"/>
        <w:rPr>
          <w:lang w:val="de-DE"/>
        </w:rPr>
      </w:pPr>
      <w:r w:rsidRPr="00EC62E9">
        <w:rPr>
          <w:noProof/>
          <w:sz w:val="18"/>
          <w:szCs w:val="18"/>
        </w:rPr>
        <w:drawing>
          <wp:inline distT="0" distB="0" distL="0" distR="0" wp14:anchorId="07C37143" wp14:editId="6FDCDC59">
            <wp:extent cx="5827446" cy="2952750"/>
            <wp:effectExtent l="0" t="0" r="190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distance_learning_2012_2013.png"/>
                    <pic:cNvPicPr/>
                  </pic:nvPicPr>
                  <pic:blipFill>
                    <a:blip r:embed="rId58">
                      <a:extLst>
                        <a:ext uri="{28A0092B-C50C-407E-A947-70E740481C1C}">
                          <a14:useLocalDpi xmlns:a14="http://schemas.microsoft.com/office/drawing/2010/main" val="0"/>
                        </a:ext>
                      </a:extLst>
                    </a:blip>
                    <a:stretch>
                      <a:fillRect/>
                    </a:stretch>
                  </pic:blipFill>
                  <pic:spPr>
                    <a:xfrm>
                      <a:off x="0" y="0"/>
                      <a:ext cx="5840551" cy="2959390"/>
                    </a:xfrm>
                    <a:prstGeom prst="rect">
                      <a:avLst/>
                    </a:prstGeom>
                  </pic:spPr>
                </pic:pic>
              </a:graphicData>
            </a:graphic>
          </wp:inline>
        </w:drawing>
      </w:r>
    </w:p>
    <w:p w:rsidR="00624AF9" w:rsidRPr="00EC62E9" w:rsidRDefault="00624AF9" w:rsidP="00624AF9">
      <w:pPr>
        <w:jc w:val="center"/>
        <w:rPr>
          <w:lang w:val="de-DE"/>
        </w:rPr>
      </w:pPr>
    </w:p>
    <w:p w:rsidR="00624AF9" w:rsidRPr="00EC62E9" w:rsidRDefault="00624AF9" w:rsidP="00624AF9">
      <w:pPr>
        <w:jc w:val="center"/>
        <w:rPr>
          <w:lang w:val="de-DE"/>
        </w:rPr>
      </w:pPr>
      <w:r w:rsidRPr="00EC62E9">
        <w:rPr>
          <w:noProof/>
        </w:rPr>
        <w:drawing>
          <wp:inline distT="0" distB="0" distL="0" distR="0" wp14:anchorId="06FE2757" wp14:editId="5F37E263">
            <wp:extent cx="122400" cy="115200"/>
            <wp:effectExtent l="19050" t="19050" r="11430" b="1841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22400" cy="115200"/>
                    </a:xfrm>
                    <a:prstGeom prst="rect">
                      <a:avLst/>
                    </a:prstGeom>
                    <a:ln>
                      <a:solidFill>
                        <a:schemeClr val="tx1"/>
                      </a:solidFill>
                    </a:ln>
                  </pic:spPr>
                </pic:pic>
              </a:graphicData>
            </a:graphic>
          </wp:inline>
        </w:drawing>
      </w:r>
      <w:r w:rsidR="00B626C8">
        <w:rPr>
          <w:sz w:val="16"/>
          <w:szCs w:val="16"/>
          <w:lang w:val="de-DE"/>
        </w:rPr>
        <w:t xml:space="preserve">  </w:t>
      </w:r>
      <w:r w:rsidRPr="00EC62E9">
        <w:rPr>
          <w:sz w:val="16"/>
          <w:szCs w:val="16"/>
          <w:lang w:val="de-DE"/>
        </w:rPr>
        <w:t>Verbandsmitglieder</w:t>
      </w:r>
      <w:r w:rsidR="00B626C8">
        <w:rPr>
          <w:sz w:val="16"/>
          <w:szCs w:val="16"/>
          <w:lang w:val="de-DE"/>
        </w:rPr>
        <w:tab/>
      </w:r>
      <w:r w:rsidRPr="00EC62E9">
        <w:rPr>
          <w:noProof/>
        </w:rPr>
        <w:drawing>
          <wp:inline distT="0" distB="0" distL="0" distR="0" wp14:anchorId="7DF4C920" wp14:editId="32D4D6AC">
            <wp:extent cx="122400" cy="115200"/>
            <wp:effectExtent l="19050" t="19050" r="11430" b="184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122400" cy="115200"/>
                    </a:xfrm>
                    <a:prstGeom prst="rect">
                      <a:avLst/>
                    </a:prstGeom>
                    <a:ln>
                      <a:solidFill>
                        <a:schemeClr val="tx1"/>
                      </a:solidFill>
                    </a:ln>
                  </pic:spPr>
                </pic:pic>
              </a:graphicData>
            </a:graphic>
          </wp:inline>
        </w:drawing>
      </w:r>
      <w:r w:rsidRPr="00EC62E9">
        <w:rPr>
          <w:sz w:val="16"/>
          <w:lang w:val="de-DE"/>
        </w:rPr>
        <w:t xml:space="preserve">  Nichtverbandsmitglieder</w:t>
      </w:r>
    </w:p>
    <w:p w:rsidR="00624AF9" w:rsidRPr="00EC62E9" w:rsidRDefault="00624AF9" w:rsidP="00624AF9">
      <w:pPr>
        <w:jc w:val="center"/>
        <w:rPr>
          <w:lang w:val="de-DE"/>
        </w:rPr>
      </w:pPr>
    </w:p>
    <w:p w:rsidR="00B626C8" w:rsidRDefault="00B626C8">
      <w:pPr>
        <w:jc w:val="left"/>
        <w:rPr>
          <w:sz w:val="18"/>
          <w:lang w:val="de-DE"/>
        </w:rPr>
      </w:pPr>
      <w:r>
        <w:rPr>
          <w:sz w:val="18"/>
          <w:lang w:val="de-DE"/>
        </w:rPr>
        <w:br w:type="page"/>
      </w:r>
    </w:p>
    <w:p w:rsidR="00624AF9" w:rsidRPr="00EC62E9" w:rsidRDefault="00624AF9" w:rsidP="00624AF9">
      <w:pPr>
        <w:jc w:val="center"/>
        <w:rPr>
          <w:rFonts w:cs="Arial"/>
          <w:sz w:val="18"/>
          <w:szCs w:val="18"/>
          <w:lang w:val="de-DE"/>
        </w:rPr>
      </w:pPr>
      <w:r w:rsidRPr="00EC62E9">
        <w:rPr>
          <w:sz w:val="18"/>
          <w:lang w:val="de-DE"/>
        </w:rPr>
        <w:t>Gesamtzahl der Teilnehmer an regulären DL-205-Sitzungen nach Kategorie seit 2006</w:t>
      </w:r>
    </w:p>
    <w:p w:rsidR="00624AF9" w:rsidRPr="00EC62E9" w:rsidRDefault="00624AF9" w:rsidP="00624AF9">
      <w:pPr>
        <w:jc w:val="center"/>
        <w:rPr>
          <w:rFonts w:cs="Arial"/>
          <w:sz w:val="18"/>
          <w:szCs w:val="18"/>
          <w:lang w:val="de-DE"/>
        </w:rPr>
      </w:pPr>
    </w:p>
    <w:tbl>
      <w:tblPr>
        <w:tblStyle w:val="TableGrid"/>
        <w:tblW w:w="9445" w:type="dxa"/>
        <w:tblLayout w:type="fixed"/>
        <w:tblLook w:val="01E0" w:firstRow="1" w:lastRow="1" w:firstColumn="1" w:lastColumn="1" w:noHBand="0" w:noVBand="0"/>
      </w:tblPr>
      <w:tblGrid>
        <w:gridCol w:w="8005"/>
        <w:gridCol w:w="1440"/>
      </w:tblGrid>
      <w:tr w:rsidR="00624AF9" w:rsidRPr="00EC62E9" w:rsidTr="00B9474C">
        <w:tc>
          <w:tcPr>
            <w:tcW w:w="8005" w:type="dxa"/>
            <w:shd w:val="clear" w:color="auto" w:fill="D9D9D9"/>
            <w:vAlign w:val="center"/>
          </w:tcPr>
          <w:p w:rsidR="00624AF9" w:rsidRPr="00EC62E9" w:rsidRDefault="00624AF9" w:rsidP="00B9474C">
            <w:pPr>
              <w:spacing w:before="40" w:after="40"/>
              <w:jc w:val="left"/>
              <w:rPr>
                <w:rFonts w:eastAsia="MS Mincho"/>
                <w:sz w:val="18"/>
                <w:szCs w:val="18"/>
                <w:lang w:val="de-DE"/>
              </w:rPr>
            </w:pPr>
            <w:bookmarkStart w:id="248" w:name="_Toc336339220"/>
            <w:r w:rsidRPr="00EC62E9">
              <w:rPr>
                <w:sz w:val="18"/>
                <w:lang w:val="de-DE"/>
              </w:rPr>
              <w:t>Kategorie</w:t>
            </w:r>
            <w:bookmarkEnd w:id="248"/>
          </w:p>
        </w:tc>
        <w:tc>
          <w:tcPr>
            <w:tcW w:w="1440" w:type="dxa"/>
            <w:shd w:val="clear" w:color="auto" w:fill="D9D9D9"/>
            <w:vAlign w:val="center"/>
          </w:tcPr>
          <w:p w:rsidR="00624AF9" w:rsidRPr="00EC62E9" w:rsidRDefault="00624AF9" w:rsidP="00B9474C">
            <w:pPr>
              <w:spacing w:before="40" w:after="40"/>
              <w:jc w:val="center"/>
              <w:rPr>
                <w:sz w:val="18"/>
                <w:szCs w:val="18"/>
                <w:lang w:val="de-DE"/>
              </w:rPr>
            </w:pPr>
            <w:r w:rsidRPr="00EC62E9">
              <w:rPr>
                <w:sz w:val="18"/>
                <w:lang w:val="de-DE"/>
              </w:rPr>
              <w:t>Zahl der Studierenden</w:t>
            </w:r>
          </w:p>
        </w:tc>
      </w:tr>
      <w:tr w:rsidR="00624AF9" w:rsidRPr="00EC62E9" w:rsidTr="00B9474C">
        <w:tc>
          <w:tcPr>
            <w:tcW w:w="8005" w:type="dxa"/>
          </w:tcPr>
          <w:p w:rsidR="00624AF9" w:rsidRPr="00EC62E9" w:rsidRDefault="00624AF9" w:rsidP="00B9474C">
            <w:pPr>
              <w:spacing w:before="40" w:after="40"/>
              <w:jc w:val="left"/>
              <w:rPr>
                <w:sz w:val="18"/>
                <w:szCs w:val="18"/>
                <w:lang w:val="de-DE"/>
              </w:rPr>
            </w:pPr>
            <w:r w:rsidRPr="00EC62E9">
              <w:rPr>
                <w:sz w:val="18"/>
                <w:lang w:val="de-DE"/>
              </w:rPr>
              <w:t>Kategorie 1:  Regierungsbeamte von Verbandsmitgliedern, die vom entsprechenden Vertreter im UPOV-Rat nominiert werden</w:t>
            </w:r>
          </w:p>
        </w:tc>
        <w:tc>
          <w:tcPr>
            <w:tcW w:w="1440" w:type="dxa"/>
            <w:vAlign w:val="bottom"/>
          </w:tcPr>
          <w:p w:rsidR="00624AF9" w:rsidRPr="00EC62E9" w:rsidRDefault="00624AF9" w:rsidP="00B9474C">
            <w:pPr>
              <w:spacing w:before="40" w:after="40"/>
              <w:ind w:right="206"/>
              <w:jc w:val="right"/>
              <w:rPr>
                <w:sz w:val="18"/>
                <w:szCs w:val="18"/>
                <w:lang w:val="de-DE"/>
              </w:rPr>
            </w:pPr>
            <w:r w:rsidRPr="00EC62E9">
              <w:rPr>
                <w:sz w:val="18"/>
                <w:lang w:val="de-DE"/>
              </w:rPr>
              <w:t>2.157</w:t>
            </w:r>
          </w:p>
        </w:tc>
      </w:tr>
      <w:tr w:rsidR="00624AF9" w:rsidRPr="00EC62E9" w:rsidTr="00B9474C">
        <w:tc>
          <w:tcPr>
            <w:tcW w:w="8005" w:type="dxa"/>
          </w:tcPr>
          <w:p w:rsidR="00624AF9" w:rsidRPr="00EC62E9" w:rsidRDefault="00624AF9" w:rsidP="00B9474C">
            <w:pPr>
              <w:spacing w:before="40" w:after="40"/>
              <w:jc w:val="left"/>
              <w:rPr>
                <w:sz w:val="18"/>
                <w:szCs w:val="18"/>
                <w:lang w:val="de-DE"/>
              </w:rPr>
            </w:pPr>
            <w:r w:rsidRPr="00EC62E9">
              <w:rPr>
                <w:sz w:val="18"/>
                <w:lang w:val="de-DE"/>
              </w:rPr>
              <w:t xml:space="preserve">Kategorie 2:  Beamte von Beobachterstaaten/zwischenstaatlichen Organisationen, die vom entsprechenden Vertreter im UPOV-Rat nominiert werden </w:t>
            </w:r>
          </w:p>
        </w:tc>
        <w:tc>
          <w:tcPr>
            <w:tcW w:w="1440" w:type="dxa"/>
            <w:vAlign w:val="bottom"/>
          </w:tcPr>
          <w:p w:rsidR="00624AF9" w:rsidRPr="00EC62E9" w:rsidRDefault="00624AF9" w:rsidP="00B9474C">
            <w:pPr>
              <w:spacing w:before="40" w:after="40"/>
              <w:ind w:right="206"/>
              <w:jc w:val="right"/>
              <w:rPr>
                <w:sz w:val="18"/>
                <w:szCs w:val="18"/>
                <w:lang w:val="de-DE"/>
              </w:rPr>
            </w:pPr>
            <w:r w:rsidRPr="00EC62E9">
              <w:rPr>
                <w:sz w:val="18"/>
                <w:lang w:val="de-DE"/>
              </w:rPr>
              <w:t>138</w:t>
            </w:r>
          </w:p>
        </w:tc>
      </w:tr>
      <w:tr w:rsidR="00624AF9" w:rsidRPr="00EC62E9" w:rsidTr="00B9474C">
        <w:tc>
          <w:tcPr>
            <w:tcW w:w="8005" w:type="dxa"/>
          </w:tcPr>
          <w:p w:rsidR="00624AF9" w:rsidRPr="00EC62E9" w:rsidRDefault="00624AF9" w:rsidP="00B9474C">
            <w:pPr>
              <w:spacing w:before="40" w:after="40"/>
              <w:jc w:val="left"/>
              <w:rPr>
                <w:sz w:val="18"/>
                <w:szCs w:val="18"/>
                <w:lang w:val="de-DE"/>
              </w:rPr>
            </w:pPr>
            <w:r w:rsidRPr="00EC62E9">
              <w:rPr>
                <w:sz w:val="18"/>
                <w:lang w:val="de-DE"/>
              </w:rPr>
              <w:t>Kategorie 3:  Andere</w:t>
            </w:r>
          </w:p>
        </w:tc>
        <w:tc>
          <w:tcPr>
            <w:tcW w:w="1440" w:type="dxa"/>
            <w:vAlign w:val="bottom"/>
          </w:tcPr>
          <w:p w:rsidR="00624AF9" w:rsidRPr="00EC62E9" w:rsidRDefault="00624AF9" w:rsidP="00B9474C">
            <w:pPr>
              <w:spacing w:before="40" w:after="40"/>
              <w:ind w:right="206"/>
              <w:jc w:val="right"/>
              <w:rPr>
                <w:sz w:val="18"/>
                <w:szCs w:val="18"/>
                <w:lang w:val="de-DE"/>
              </w:rPr>
            </w:pPr>
            <w:r w:rsidRPr="00EC62E9">
              <w:rPr>
                <w:sz w:val="18"/>
                <w:lang w:val="de-DE"/>
              </w:rPr>
              <w:t>180</w:t>
            </w:r>
          </w:p>
        </w:tc>
      </w:tr>
      <w:tr w:rsidR="00624AF9" w:rsidRPr="00EC62E9" w:rsidTr="00B9474C">
        <w:tc>
          <w:tcPr>
            <w:tcW w:w="8005" w:type="dxa"/>
          </w:tcPr>
          <w:p w:rsidR="00624AF9" w:rsidRPr="00EC62E9" w:rsidRDefault="00624AF9" w:rsidP="00B9474C">
            <w:pPr>
              <w:spacing w:before="40" w:after="40"/>
              <w:jc w:val="left"/>
              <w:rPr>
                <w:sz w:val="18"/>
                <w:szCs w:val="18"/>
                <w:lang w:val="de-DE"/>
              </w:rPr>
            </w:pPr>
            <w:r w:rsidRPr="00EC62E9">
              <w:rPr>
                <w:sz w:val="18"/>
                <w:lang w:val="de-DE"/>
              </w:rPr>
              <w:t>Kategorie 4:  Gebührenbefreiung für ausgewählte Studenten nach freiem Ermessen</w:t>
            </w:r>
          </w:p>
        </w:tc>
        <w:tc>
          <w:tcPr>
            <w:tcW w:w="1440" w:type="dxa"/>
            <w:vAlign w:val="bottom"/>
          </w:tcPr>
          <w:p w:rsidR="00624AF9" w:rsidRPr="00EC62E9" w:rsidRDefault="00624AF9" w:rsidP="00B9474C">
            <w:pPr>
              <w:spacing w:before="40" w:after="40"/>
              <w:ind w:right="206"/>
              <w:jc w:val="right"/>
              <w:rPr>
                <w:sz w:val="18"/>
                <w:szCs w:val="18"/>
                <w:lang w:val="de-DE"/>
              </w:rPr>
            </w:pPr>
            <w:r w:rsidRPr="00EC62E9">
              <w:rPr>
                <w:sz w:val="18"/>
                <w:lang w:val="de-DE"/>
              </w:rPr>
              <w:t>13</w:t>
            </w:r>
          </w:p>
        </w:tc>
      </w:tr>
      <w:tr w:rsidR="00624AF9" w:rsidRPr="00EC62E9" w:rsidTr="00B9474C">
        <w:tc>
          <w:tcPr>
            <w:tcW w:w="8005" w:type="dxa"/>
          </w:tcPr>
          <w:p w:rsidR="00624AF9" w:rsidRPr="00EC62E9" w:rsidRDefault="00624AF9" w:rsidP="00B9474C">
            <w:pPr>
              <w:spacing w:before="40" w:after="40"/>
              <w:ind w:right="318"/>
              <w:jc w:val="right"/>
              <w:rPr>
                <w:rFonts w:eastAsia="MS Mincho"/>
                <w:sz w:val="18"/>
                <w:szCs w:val="18"/>
                <w:lang w:val="de-DE"/>
              </w:rPr>
            </w:pPr>
            <w:bookmarkStart w:id="249" w:name="_Toc336339221"/>
            <w:r w:rsidRPr="00EC62E9">
              <w:rPr>
                <w:sz w:val="18"/>
                <w:lang w:val="de-DE"/>
              </w:rPr>
              <w:t>Insgesamt:</w:t>
            </w:r>
            <w:bookmarkEnd w:id="249"/>
          </w:p>
        </w:tc>
        <w:tc>
          <w:tcPr>
            <w:tcW w:w="1440" w:type="dxa"/>
            <w:vAlign w:val="bottom"/>
          </w:tcPr>
          <w:p w:rsidR="00624AF9" w:rsidRPr="00EC62E9" w:rsidRDefault="00624AF9" w:rsidP="00B9474C">
            <w:pPr>
              <w:spacing w:before="40" w:after="40"/>
              <w:ind w:right="206"/>
              <w:jc w:val="right"/>
              <w:rPr>
                <w:sz w:val="18"/>
                <w:szCs w:val="18"/>
                <w:lang w:val="de-DE"/>
              </w:rPr>
            </w:pPr>
            <w:r w:rsidRPr="00EC62E9">
              <w:rPr>
                <w:sz w:val="18"/>
                <w:lang w:val="de-DE"/>
              </w:rPr>
              <w:t>2.488</w:t>
            </w:r>
          </w:p>
        </w:tc>
      </w:tr>
    </w:tbl>
    <w:p w:rsidR="00624AF9" w:rsidRDefault="00624AF9" w:rsidP="00624AF9">
      <w:pPr>
        <w:jc w:val="center"/>
        <w:rPr>
          <w:rFonts w:cs="Arial"/>
          <w:sz w:val="18"/>
          <w:szCs w:val="18"/>
          <w:lang w:val="de-DE"/>
        </w:rPr>
      </w:pPr>
    </w:p>
    <w:p w:rsidR="00B626C8" w:rsidRPr="00EC62E9" w:rsidRDefault="00B626C8" w:rsidP="00624AF9">
      <w:pPr>
        <w:jc w:val="center"/>
        <w:rPr>
          <w:rFonts w:cs="Arial"/>
          <w:sz w:val="18"/>
          <w:szCs w:val="18"/>
          <w:lang w:val="de-DE"/>
        </w:rPr>
      </w:pPr>
    </w:p>
    <w:tbl>
      <w:tblPr>
        <w:tblW w:w="9889" w:type="dxa"/>
        <w:tblInd w:w="-38" w:type="dxa"/>
        <w:tblLayout w:type="fixed"/>
        <w:tblCellMar>
          <w:left w:w="70" w:type="dxa"/>
          <w:right w:w="70" w:type="dxa"/>
        </w:tblCellMar>
        <w:tblLook w:val="0000" w:firstRow="0" w:lastRow="0" w:firstColumn="0" w:lastColumn="0" w:noHBand="0" w:noVBand="0"/>
      </w:tblPr>
      <w:tblGrid>
        <w:gridCol w:w="4944"/>
        <w:gridCol w:w="4945"/>
      </w:tblGrid>
      <w:tr w:rsidR="00624AF9" w:rsidRPr="00EC62E9" w:rsidTr="00C5211B">
        <w:tc>
          <w:tcPr>
            <w:tcW w:w="4944" w:type="dxa"/>
          </w:tcPr>
          <w:p w:rsidR="00624AF9" w:rsidRPr="00EC62E9" w:rsidRDefault="00624AF9" w:rsidP="00B9474C">
            <w:pPr>
              <w:pStyle w:val="Heading9"/>
              <w:keepLines/>
              <w:spacing w:after="0"/>
              <w:rPr>
                <w:lang w:val="de-DE"/>
              </w:rPr>
            </w:pPr>
            <w:bookmarkStart w:id="250" w:name="_Toc396137617"/>
            <w:bookmarkStart w:id="251" w:name="_Toc398736814"/>
            <w:r w:rsidRPr="00EC62E9">
              <w:rPr>
                <w:lang w:val="de-DE"/>
              </w:rPr>
              <w:t xml:space="preserve">Abb. 33.  Teilnehmer an den Hauptsitzungen des </w:t>
            </w:r>
            <w:r w:rsidRPr="00EC62E9">
              <w:rPr>
                <w:lang w:val="de-DE"/>
              </w:rPr>
              <w:br/>
              <w:t xml:space="preserve">DL-205-Lehrgangs </w:t>
            </w:r>
            <w:r w:rsidRPr="00EC62E9">
              <w:rPr>
                <w:lang w:val="de-DE"/>
              </w:rPr>
              <w:br/>
              <w:t>nach Anmeldekategorie</w:t>
            </w:r>
            <w:bookmarkEnd w:id="250"/>
            <w:bookmarkEnd w:id="251"/>
          </w:p>
          <w:p w:rsidR="00624AF9" w:rsidRPr="00EC62E9" w:rsidRDefault="00624AF9" w:rsidP="00B9474C">
            <w:pPr>
              <w:keepNext/>
              <w:keepLines/>
              <w:rPr>
                <w:lang w:val="de-DE"/>
              </w:rPr>
            </w:pPr>
          </w:p>
          <w:p w:rsidR="00624AF9" w:rsidRPr="00EC62E9" w:rsidRDefault="00C5211B" w:rsidP="00B9474C">
            <w:pPr>
              <w:keepNext/>
              <w:keepLines/>
              <w:rPr>
                <w:lang w:val="de-DE"/>
              </w:rPr>
            </w:pPr>
            <w:r w:rsidRPr="00EC62E9">
              <w:rPr>
                <w:noProof/>
              </w:rPr>
              <w:drawing>
                <wp:inline distT="0" distB="0" distL="0" distR="0" wp14:anchorId="2A3C5CAD" wp14:editId="68BC2AAB">
                  <wp:extent cx="3143250" cy="2762250"/>
                  <wp:effectExtent l="0" t="0" r="0" b="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624AF9" w:rsidRPr="00EC62E9" w:rsidRDefault="00624AF9" w:rsidP="00B9474C">
            <w:pPr>
              <w:keepNext/>
              <w:keepLines/>
              <w:rPr>
                <w:lang w:val="de-DE"/>
              </w:rPr>
            </w:pPr>
          </w:p>
        </w:tc>
        <w:tc>
          <w:tcPr>
            <w:tcW w:w="4945" w:type="dxa"/>
          </w:tcPr>
          <w:p w:rsidR="00624AF9" w:rsidRPr="00EC62E9" w:rsidRDefault="00624AF9" w:rsidP="00B9474C">
            <w:pPr>
              <w:pStyle w:val="Heading9"/>
              <w:keepLines/>
              <w:rPr>
                <w:lang w:val="de-DE"/>
              </w:rPr>
            </w:pPr>
            <w:bookmarkStart w:id="252" w:name="_Toc396137618"/>
            <w:bookmarkStart w:id="253" w:name="_Toc398736815"/>
            <w:r w:rsidRPr="00EC62E9">
              <w:rPr>
                <w:lang w:val="de-DE"/>
              </w:rPr>
              <w:t xml:space="preserve">Abb. 34.  Teilnehmer an den Hauptsitzungen des </w:t>
            </w:r>
            <w:r w:rsidRPr="00EC62E9">
              <w:rPr>
                <w:lang w:val="de-DE"/>
              </w:rPr>
              <w:br/>
              <w:t xml:space="preserve">DL-205-Lehrgangs </w:t>
            </w:r>
            <w:r w:rsidRPr="00EC62E9">
              <w:rPr>
                <w:lang w:val="de-DE"/>
              </w:rPr>
              <w:br/>
              <w:t>nach Sprache</w:t>
            </w:r>
            <w:bookmarkEnd w:id="252"/>
            <w:bookmarkEnd w:id="253"/>
          </w:p>
          <w:p w:rsidR="00624AF9" w:rsidRPr="00EC62E9" w:rsidRDefault="00C5211B" w:rsidP="00B9474C">
            <w:pPr>
              <w:keepNext/>
              <w:keepLines/>
              <w:rPr>
                <w:lang w:val="de-DE"/>
              </w:rPr>
            </w:pPr>
            <w:r w:rsidRPr="00EC62E9">
              <w:rPr>
                <w:noProof/>
              </w:rPr>
              <w:drawing>
                <wp:inline distT="0" distB="0" distL="0" distR="0" wp14:anchorId="15BDC973" wp14:editId="2CE606C3">
                  <wp:extent cx="3057525" cy="2762250"/>
                  <wp:effectExtent l="0" t="0" r="0" b="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r>
    </w:tbl>
    <w:p w:rsidR="00624AF9" w:rsidRPr="00EC62E9" w:rsidRDefault="00624AF9" w:rsidP="00624AF9">
      <w:pPr>
        <w:rPr>
          <w:sz w:val="18"/>
          <w:szCs w:val="18"/>
          <w:lang w:val="de-DE"/>
        </w:rPr>
      </w:pPr>
    </w:p>
    <w:p w:rsidR="00624AF9" w:rsidRPr="00EC62E9" w:rsidRDefault="00624AF9" w:rsidP="00624AF9">
      <w:pPr>
        <w:rPr>
          <w:sz w:val="18"/>
          <w:szCs w:val="18"/>
          <w:lang w:val="de-DE"/>
        </w:rPr>
      </w:pPr>
    </w:p>
    <w:p w:rsidR="00624AF9" w:rsidRPr="00EC62E9" w:rsidRDefault="00624AF9" w:rsidP="00C44989">
      <w:pPr>
        <w:keepNext/>
        <w:jc w:val="center"/>
        <w:rPr>
          <w:rFonts w:cs="Arial"/>
          <w:sz w:val="18"/>
          <w:szCs w:val="18"/>
          <w:lang w:val="de-DE"/>
        </w:rPr>
      </w:pPr>
      <w:r w:rsidRPr="00EC62E9">
        <w:rPr>
          <w:sz w:val="18"/>
          <w:lang w:val="de-DE"/>
        </w:rPr>
        <w:t>Spezielle Sitzungen des DL-205 in den Jahren 2012 und 2013</w:t>
      </w:r>
    </w:p>
    <w:p w:rsidR="00624AF9" w:rsidRPr="00EC62E9" w:rsidRDefault="00624AF9" w:rsidP="00624AF9">
      <w:pPr>
        <w:rPr>
          <w:rFonts w:cs="Arial"/>
          <w:sz w:val="18"/>
          <w:szCs w:val="18"/>
          <w:lang w:val="de-DE"/>
        </w:rPr>
      </w:pPr>
    </w:p>
    <w:tbl>
      <w:tblPr>
        <w:tblW w:w="9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6348"/>
        <w:gridCol w:w="1170"/>
        <w:gridCol w:w="1080"/>
      </w:tblGrid>
      <w:tr w:rsidR="00624AF9" w:rsidRPr="00EC62E9" w:rsidTr="00B9474C">
        <w:tc>
          <w:tcPr>
            <w:tcW w:w="1117" w:type="dxa"/>
            <w:shd w:val="solid" w:color="C0C0C0" w:fill="D9D9D9"/>
            <w:tcMar>
              <w:left w:w="57" w:type="dxa"/>
              <w:right w:w="57" w:type="dxa"/>
            </w:tcMar>
            <w:vAlign w:val="bottom"/>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Monat/</w:t>
            </w:r>
            <w:r w:rsidRPr="00EC62E9">
              <w:rPr>
                <w:rFonts w:eastAsia="MS Mincho" w:cs="Arial"/>
                <w:color w:val="000000"/>
                <w:sz w:val="18"/>
                <w:szCs w:val="18"/>
                <w:lang w:val="de-DE"/>
              </w:rPr>
              <w:br/>
            </w:r>
            <w:r w:rsidRPr="00EC62E9">
              <w:rPr>
                <w:color w:val="000000"/>
                <w:sz w:val="18"/>
                <w:lang w:val="de-DE"/>
              </w:rPr>
              <w:t>Jahr</w:t>
            </w:r>
          </w:p>
        </w:tc>
        <w:tc>
          <w:tcPr>
            <w:tcW w:w="6348" w:type="dxa"/>
            <w:shd w:val="solid" w:color="C0C0C0" w:fill="D9D9D9"/>
            <w:tcMar>
              <w:left w:w="57" w:type="dxa"/>
              <w:right w:w="57" w:type="dxa"/>
            </w:tcMar>
            <w:vAlign w:val="bottom"/>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Kurstitel</w:t>
            </w:r>
          </w:p>
        </w:tc>
        <w:tc>
          <w:tcPr>
            <w:tcW w:w="1170" w:type="dxa"/>
            <w:shd w:val="solid" w:color="C0C0C0" w:fill="D9D9D9"/>
            <w:tcMar>
              <w:left w:w="57" w:type="dxa"/>
              <w:right w:w="57" w:type="dxa"/>
            </w:tcMar>
            <w:vAlign w:val="bottom"/>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Sprache</w:t>
            </w:r>
          </w:p>
        </w:tc>
        <w:tc>
          <w:tcPr>
            <w:tcW w:w="1080" w:type="dxa"/>
            <w:shd w:val="solid" w:color="C0C0C0" w:fill="D9D9D9"/>
            <w:tcMar>
              <w:left w:w="57" w:type="dxa"/>
              <w:right w:w="57" w:type="dxa"/>
            </w:tcMar>
            <w:vAlign w:val="bottom"/>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Anzahl der Teilnehmer</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Feb. 2012</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WIPO „</w:t>
            </w:r>
            <w:r w:rsidRPr="00EC62E9">
              <w:rPr>
                <w:i/>
                <w:color w:val="000000"/>
                <w:sz w:val="18"/>
                <w:lang w:val="de-DE"/>
              </w:rPr>
              <w:t xml:space="preserve">Master II en </w:t>
            </w:r>
            <w:proofErr w:type="spellStart"/>
            <w:r w:rsidRPr="00EC62E9">
              <w:rPr>
                <w:i/>
                <w:color w:val="000000"/>
                <w:sz w:val="18"/>
                <w:lang w:val="de-DE"/>
              </w:rPr>
              <w:t>droit</w:t>
            </w:r>
            <w:proofErr w:type="spellEnd"/>
            <w:r w:rsidRPr="00EC62E9">
              <w:rPr>
                <w:i/>
                <w:color w:val="000000"/>
                <w:sz w:val="18"/>
                <w:lang w:val="de-DE"/>
              </w:rPr>
              <w:t xml:space="preserve"> de la </w:t>
            </w:r>
            <w:proofErr w:type="spellStart"/>
            <w:r w:rsidRPr="00EC62E9">
              <w:rPr>
                <w:i/>
                <w:color w:val="000000"/>
                <w:sz w:val="18"/>
                <w:lang w:val="de-DE"/>
              </w:rPr>
              <w:t>propriété</w:t>
            </w:r>
            <w:proofErr w:type="spellEnd"/>
            <w:r w:rsidRPr="00EC62E9">
              <w:rPr>
                <w:i/>
                <w:color w:val="000000"/>
                <w:sz w:val="18"/>
                <w:lang w:val="de-DE"/>
              </w:rPr>
              <w:t xml:space="preserve"> industrielle</w:t>
            </w:r>
            <w:r w:rsidRPr="00EC62E9">
              <w:rPr>
                <w:color w:val="000000"/>
                <w:sz w:val="18"/>
                <w:lang w:val="de-DE"/>
              </w:rPr>
              <w:t>”</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FR</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20</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April 2012</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USPTO/UPOV-Lehrgang über „Sortenschutz nach dem UPOV-Übereinkommen“ (Vereinigte Staaten von Amerika)</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10</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Juni 2012</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 xml:space="preserve">Internationaler Sortenschutzlehrgang von </w:t>
            </w:r>
            <w:proofErr w:type="spellStart"/>
            <w:r w:rsidRPr="00EC62E9">
              <w:rPr>
                <w:color w:val="000000"/>
                <w:sz w:val="18"/>
                <w:lang w:val="de-DE"/>
              </w:rPr>
              <w:t>Naktuinbouw</w:t>
            </w:r>
            <w:proofErr w:type="spellEnd"/>
            <w:r w:rsidRPr="00EC62E9">
              <w:rPr>
                <w:color w:val="000000"/>
                <w:sz w:val="18"/>
                <w:lang w:val="de-DE"/>
              </w:rPr>
              <w:t xml:space="preserve"> (Niederlande)</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18</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Juli 2012</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KOICA-Ausbildungslehrgang über Sortenschutz (Republik Korea)</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14</w:t>
            </w:r>
          </w:p>
        </w:tc>
      </w:tr>
      <w:tr w:rsidR="00624AF9" w:rsidRPr="00EC62E9" w:rsidTr="00B9474C">
        <w:tc>
          <w:tcPr>
            <w:tcW w:w="1117"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Sept. 2012</w:t>
            </w:r>
          </w:p>
        </w:tc>
        <w:tc>
          <w:tcPr>
            <w:tcW w:w="6348"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sz w:val="18"/>
                <w:szCs w:val="18"/>
                <w:lang w:val="de-DE"/>
              </w:rPr>
              <w:t>JICA-Ausbildungslehrgang über „International harmonisiertes Sortenschutzsystem“ (Japan)</w:t>
            </w:r>
          </w:p>
        </w:tc>
        <w:tc>
          <w:tcPr>
            <w:tcW w:w="117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9</w:t>
            </w:r>
          </w:p>
        </w:tc>
      </w:tr>
      <w:tr w:rsidR="00624AF9" w:rsidRPr="00EC62E9" w:rsidTr="00B9474C">
        <w:tc>
          <w:tcPr>
            <w:tcW w:w="1117"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Dez. 2012</w:t>
            </w:r>
          </w:p>
        </w:tc>
        <w:tc>
          <w:tcPr>
            <w:tcW w:w="6348"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XI. Ausbildungslehrgang über den Schutz von Pflanzenzüchtungen für iberoamerikanische Länder (Uruguay)</w:t>
            </w:r>
          </w:p>
        </w:tc>
        <w:tc>
          <w:tcPr>
            <w:tcW w:w="117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ES</w:t>
            </w:r>
          </w:p>
        </w:tc>
        <w:tc>
          <w:tcPr>
            <w:tcW w:w="108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12</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Juni 2013</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 xml:space="preserve">Internationaler Sortenschutzlehrgang von </w:t>
            </w:r>
            <w:proofErr w:type="spellStart"/>
            <w:r w:rsidRPr="00EC62E9">
              <w:rPr>
                <w:color w:val="000000"/>
                <w:sz w:val="18"/>
                <w:lang w:val="de-DE"/>
              </w:rPr>
              <w:t>Naktuinbouw</w:t>
            </w:r>
            <w:proofErr w:type="spellEnd"/>
            <w:r w:rsidRPr="00EC62E9">
              <w:rPr>
                <w:color w:val="000000"/>
                <w:sz w:val="18"/>
                <w:lang w:val="de-DE"/>
              </w:rPr>
              <w:t xml:space="preserve"> (Niederlande)</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30</w:t>
            </w:r>
          </w:p>
        </w:tc>
      </w:tr>
      <w:tr w:rsidR="00624AF9" w:rsidRPr="00EC62E9" w:rsidTr="00B9474C">
        <w:tc>
          <w:tcPr>
            <w:tcW w:w="1117"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Juli 2013</w:t>
            </w:r>
          </w:p>
        </w:tc>
        <w:tc>
          <w:tcPr>
            <w:tcW w:w="6348"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KOICA-Ausbildungslehrgang über Sortenschutz (Republik Korea)</w:t>
            </w:r>
          </w:p>
        </w:tc>
        <w:tc>
          <w:tcPr>
            <w:tcW w:w="1170" w:type="dxa"/>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12</w:t>
            </w:r>
          </w:p>
        </w:tc>
      </w:tr>
      <w:tr w:rsidR="00624AF9" w:rsidRPr="00EC62E9" w:rsidTr="00B9474C">
        <w:tc>
          <w:tcPr>
            <w:tcW w:w="1117"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p>
        </w:tc>
        <w:tc>
          <w:tcPr>
            <w:tcW w:w="6348"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sz w:val="18"/>
                <w:szCs w:val="18"/>
                <w:lang w:val="de-DE"/>
              </w:rPr>
              <w:t>JICA-Ausbildungslehrgang über „International harmonisiertes Sortenschutzsystem“ (Japan)</w:t>
            </w:r>
          </w:p>
        </w:tc>
        <w:tc>
          <w:tcPr>
            <w:tcW w:w="117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EN</w:t>
            </w:r>
          </w:p>
        </w:tc>
        <w:tc>
          <w:tcPr>
            <w:tcW w:w="108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9</w:t>
            </w:r>
          </w:p>
        </w:tc>
      </w:tr>
      <w:tr w:rsidR="00624AF9" w:rsidRPr="00EC62E9" w:rsidTr="00B9474C">
        <w:tc>
          <w:tcPr>
            <w:tcW w:w="1117"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Oktober 2013</w:t>
            </w:r>
          </w:p>
        </w:tc>
        <w:tc>
          <w:tcPr>
            <w:tcW w:w="6348"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XII. Ausbildungslehrgang über den Schutz von Pflanzenzüchtungen für iberoamerikanische Länder (Uruguay)</w:t>
            </w:r>
          </w:p>
        </w:tc>
        <w:tc>
          <w:tcPr>
            <w:tcW w:w="117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left"/>
              <w:rPr>
                <w:rFonts w:eastAsia="MS Mincho" w:cs="Arial"/>
                <w:color w:val="000000"/>
                <w:sz w:val="18"/>
                <w:szCs w:val="18"/>
                <w:lang w:val="de-DE"/>
              </w:rPr>
            </w:pPr>
            <w:r w:rsidRPr="00EC62E9">
              <w:rPr>
                <w:color w:val="000000"/>
                <w:sz w:val="18"/>
                <w:lang w:val="de-DE"/>
              </w:rPr>
              <w:t>ES</w:t>
            </w:r>
          </w:p>
        </w:tc>
        <w:tc>
          <w:tcPr>
            <w:tcW w:w="1080" w:type="dxa"/>
            <w:shd w:val="clear" w:color="auto" w:fill="auto"/>
            <w:tcMar>
              <w:left w:w="57" w:type="dxa"/>
              <w:right w:w="57" w:type="dxa"/>
            </w:tcMar>
          </w:tcPr>
          <w:p w:rsidR="00624AF9" w:rsidRPr="00EC62E9" w:rsidRDefault="00624AF9" w:rsidP="00B9474C">
            <w:pPr>
              <w:autoSpaceDE w:val="0"/>
              <w:autoSpaceDN w:val="0"/>
              <w:adjustRightInd w:val="0"/>
              <w:spacing w:before="40" w:after="40"/>
              <w:jc w:val="center"/>
              <w:rPr>
                <w:rFonts w:eastAsia="MS Mincho" w:cs="Arial"/>
                <w:color w:val="000000"/>
                <w:sz w:val="18"/>
                <w:szCs w:val="18"/>
                <w:lang w:val="de-DE"/>
              </w:rPr>
            </w:pPr>
            <w:r w:rsidRPr="00EC62E9">
              <w:rPr>
                <w:color w:val="000000"/>
                <w:sz w:val="18"/>
                <w:lang w:val="de-DE"/>
              </w:rPr>
              <w:t>11</w:t>
            </w:r>
          </w:p>
        </w:tc>
      </w:tr>
    </w:tbl>
    <w:p w:rsidR="00624AF9" w:rsidRPr="00EC62E9" w:rsidRDefault="00624AF9" w:rsidP="00624AF9">
      <w:pPr>
        <w:pStyle w:val="Heading8"/>
        <w:keepNext/>
        <w:keepLines/>
        <w:widowControl w:val="0"/>
        <w:rPr>
          <w:lang w:val="de-DE"/>
        </w:rPr>
      </w:pPr>
      <w:bookmarkStart w:id="254" w:name="_Toc396137619"/>
      <w:bookmarkStart w:id="255" w:name="_Toc398736816"/>
      <w:r w:rsidRPr="00EC62E9">
        <w:rPr>
          <w:lang w:val="de-DE"/>
        </w:rPr>
        <w:t>b)  Teilnahme von Beobachterstaaten und -organisationen an CAJ, TC, TWP und den damit verbundenen vorbereitenden Arbeitstagungen</w:t>
      </w:r>
      <w:bookmarkEnd w:id="254"/>
      <w:bookmarkEnd w:id="255"/>
    </w:p>
    <w:p w:rsidR="00624AF9" w:rsidRPr="00EC62E9" w:rsidRDefault="00624AF9" w:rsidP="00624AF9">
      <w:pPr>
        <w:keepNext/>
        <w:keepLines/>
        <w:widowControl w:val="0"/>
        <w:jc w:val="left"/>
        <w:rPr>
          <w:sz w:val="18"/>
          <w:szCs w:val="18"/>
          <w:lang w:val="de-DE"/>
        </w:rPr>
      </w:pPr>
      <w:r w:rsidRPr="00EC62E9">
        <w:rPr>
          <w:sz w:val="18"/>
          <w:lang w:val="de-DE"/>
        </w:rPr>
        <w:t xml:space="preserve">Vergleiche Unterprogramm UV.2, Abschnitt 2.2, Planerfüllungsindikator 4 „Mitwirkung von Verbandsmitgliedern und Betroffenen an den Tätigkeiten der Organe der UPOV“, Abschnitte (a) bis (d) </w:t>
      </w:r>
    </w:p>
    <w:p w:rsidR="00624AF9" w:rsidRPr="00EC62E9" w:rsidRDefault="00624AF9" w:rsidP="00624AF9">
      <w:pPr>
        <w:jc w:val="left"/>
        <w:rPr>
          <w:sz w:val="18"/>
          <w:szCs w:val="18"/>
          <w:lang w:val="de-DE"/>
        </w:rPr>
      </w:pPr>
    </w:p>
    <w:p w:rsidR="00624AF9" w:rsidRPr="00EC62E9" w:rsidRDefault="00624AF9" w:rsidP="00624AF9">
      <w:pPr>
        <w:jc w:val="left"/>
        <w:rPr>
          <w:sz w:val="18"/>
          <w:szCs w:val="18"/>
          <w:lang w:val="de-DE"/>
        </w:rPr>
      </w:pPr>
    </w:p>
    <w:p w:rsidR="00624AF9" w:rsidRPr="00EC62E9" w:rsidRDefault="00624AF9" w:rsidP="00624AF9">
      <w:pPr>
        <w:pStyle w:val="Heading8"/>
        <w:rPr>
          <w:szCs w:val="18"/>
          <w:lang w:val="de-DE"/>
        </w:rPr>
      </w:pPr>
      <w:bookmarkStart w:id="256" w:name="_Toc393899363"/>
      <w:bookmarkStart w:id="257" w:name="_Toc396137620"/>
      <w:bookmarkStart w:id="258" w:name="_Toc398736817"/>
      <w:r w:rsidRPr="00EC62E9">
        <w:rPr>
          <w:lang w:val="de-DE"/>
        </w:rPr>
        <w:t>c)  Teilnahme an Veranstaltungen der UPOV</w:t>
      </w:r>
      <w:bookmarkEnd w:id="256"/>
      <w:bookmarkEnd w:id="257"/>
      <w:bookmarkEnd w:id="258"/>
    </w:p>
    <w:p w:rsidR="00624AF9" w:rsidRPr="00EC62E9" w:rsidRDefault="00624AF9" w:rsidP="00624AF9">
      <w:pPr>
        <w:jc w:val="left"/>
        <w:rPr>
          <w:sz w:val="18"/>
          <w:szCs w:val="18"/>
          <w:lang w:val="de-DE"/>
        </w:rPr>
      </w:pPr>
      <w:r w:rsidRPr="00EC62E9">
        <w:rPr>
          <w:sz w:val="18"/>
          <w:lang w:val="de-DE"/>
        </w:rPr>
        <w:t>Vergleiche Unterprogramm UV.3, Abschnitt 2.3 Planerfüllungsindikator 1 „Sensibilisierung für die Bedeutung von Sortenschutz gemäß dem UPOV Übereinkommen”, Abschnitt (b)</w:t>
      </w:r>
    </w:p>
    <w:p w:rsidR="00624AF9" w:rsidRPr="00EC62E9" w:rsidRDefault="00624AF9" w:rsidP="00624AF9">
      <w:pPr>
        <w:rPr>
          <w:sz w:val="18"/>
          <w:szCs w:val="18"/>
          <w:lang w:val="de-DE"/>
        </w:rPr>
      </w:pPr>
    </w:p>
    <w:p w:rsidR="00624AF9" w:rsidRPr="00EC62E9" w:rsidRDefault="00624AF9" w:rsidP="00624AF9">
      <w:pPr>
        <w:rPr>
          <w:sz w:val="18"/>
          <w:szCs w:val="18"/>
          <w:lang w:val="de-DE"/>
        </w:rPr>
      </w:pPr>
    </w:p>
    <w:p w:rsidR="00624AF9" w:rsidRPr="00EC62E9" w:rsidRDefault="00624AF9" w:rsidP="00624AF9">
      <w:pPr>
        <w:pStyle w:val="Heading8"/>
        <w:keepNext/>
        <w:rPr>
          <w:lang w:val="de-DE"/>
        </w:rPr>
      </w:pPr>
      <w:bookmarkStart w:id="259" w:name="_Toc396137621"/>
      <w:bookmarkStart w:id="260" w:name="_Toc398736818"/>
      <w:r w:rsidRPr="00EC62E9">
        <w:rPr>
          <w:lang w:val="de-DE"/>
        </w:rPr>
        <w:t xml:space="preserve">d) </w:t>
      </w:r>
      <w:r w:rsidR="00E25A9D">
        <w:rPr>
          <w:lang w:val="de-DE"/>
        </w:rPr>
        <w:t xml:space="preserve"> </w:t>
      </w:r>
      <w:r w:rsidRPr="00EC62E9">
        <w:rPr>
          <w:lang w:val="de-DE"/>
        </w:rPr>
        <w:t>Teilnahme an Veranstaltungen mit beteiligtem Personal der UPOV oder UPOV-Ausbildern</w:t>
      </w:r>
      <w:bookmarkEnd w:id="259"/>
      <w:bookmarkEnd w:id="260"/>
    </w:p>
    <w:p w:rsidR="00624AF9" w:rsidRPr="00EC62E9" w:rsidRDefault="00624AF9" w:rsidP="00624AF9">
      <w:pPr>
        <w:jc w:val="left"/>
        <w:rPr>
          <w:sz w:val="18"/>
          <w:szCs w:val="18"/>
          <w:lang w:val="de-DE"/>
        </w:rPr>
      </w:pPr>
      <w:r w:rsidRPr="00EC62E9">
        <w:rPr>
          <w:sz w:val="18"/>
          <w:lang w:val="de-DE"/>
        </w:rPr>
        <w:t>Vergleiche Unterprogramm UV.3, Abschnitt 2.3 Planerfüllungsindikator 1 „Sensibilisierung für die Bedeutung von Sortenschutz gemäß dem UPOV Übereinkommen”, Abschnitt (e)</w:t>
      </w:r>
    </w:p>
    <w:p w:rsidR="00624AF9" w:rsidRPr="00EC62E9" w:rsidRDefault="00624AF9" w:rsidP="00624AF9">
      <w:pPr>
        <w:rPr>
          <w:lang w:val="de-DE"/>
        </w:rPr>
      </w:pPr>
    </w:p>
    <w:p w:rsidR="00624AF9" w:rsidRPr="00EC62E9" w:rsidRDefault="00624AF9" w:rsidP="00624AF9">
      <w:pPr>
        <w:rPr>
          <w:lang w:val="de-DE"/>
        </w:rPr>
      </w:pPr>
    </w:p>
    <w:p w:rsidR="00624AF9" w:rsidRPr="00EC62E9" w:rsidRDefault="00E25A9D" w:rsidP="00624AF9">
      <w:pPr>
        <w:pStyle w:val="Heading8"/>
        <w:rPr>
          <w:b/>
          <w:szCs w:val="18"/>
          <w:lang w:val="de-DE"/>
        </w:rPr>
      </w:pPr>
      <w:bookmarkStart w:id="261" w:name="_Toc393899365"/>
      <w:bookmarkStart w:id="262" w:name="_Toc396137622"/>
      <w:bookmarkStart w:id="263" w:name="_Toc398736819"/>
      <w:r>
        <w:rPr>
          <w:lang w:val="de-DE"/>
        </w:rPr>
        <w:t xml:space="preserve">e)  </w:t>
      </w:r>
      <w:r w:rsidR="00624AF9" w:rsidRPr="00EC62E9">
        <w:rPr>
          <w:lang w:val="de-DE"/>
        </w:rPr>
        <w:t>Ausbildung durch UPOV-Ausbilder an Nicht-UPOV-Veranstaltungen</w:t>
      </w:r>
      <w:bookmarkEnd w:id="261"/>
      <w:bookmarkEnd w:id="262"/>
      <w:bookmarkEnd w:id="263"/>
    </w:p>
    <w:p w:rsidR="00624AF9" w:rsidRPr="00EC62E9" w:rsidRDefault="00624AF9" w:rsidP="00624AF9">
      <w:pPr>
        <w:ind w:left="1134"/>
        <w:rPr>
          <w:sz w:val="18"/>
          <w:lang w:val="de-DE"/>
        </w:rPr>
      </w:pPr>
      <w:r w:rsidRPr="00EC62E9">
        <w:rPr>
          <w:sz w:val="18"/>
          <w:lang w:val="de-DE"/>
        </w:rPr>
        <w:t>2012</w:t>
      </w:r>
    </w:p>
    <w:p w:rsidR="00624AF9" w:rsidRPr="00EC62E9" w:rsidRDefault="00624AF9" w:rsidP="00624AF9">
      <w:pPr>
        <w:rPr>
          <w:lang w:val="de-DE"/>
        </w:rPr>
      </w:pPr>
    </w:p>
    <w:tbl>
      <w:tblPr>
        <w:tblStyle w:val="TableGrid1"/>
        <w:tblW w:w="7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44"/>
        <w:gridCol w:w="3956"/>
      </w:tblGrid>
      <w:tr w:rsidR="00624AF9" w:rsidRPr="00EC62E9" w:rsidTr="00B9474C">
        <w:trPr>
          <w:trHeight w:val="433"/>
          <w:jc w:val="center"/>
        </w:trPr>
        <w:tc>
          <w:tcPr>
            <w:tcW w:w="3444" w:type="dxa"/>
            <w:vAlign w:val="center"/>
          </w:tcPr>
          <w:p w:rsidR="00624AF9" w:rsidRPr="00EC62E9" w:rsidRDefault="00624AF9" w:rsidP="00B9474C">
            <w:pPr>
              <w:spacing w:before="40" w:after="40"/>
              <w:jc w:val="left"/>
              <w:rPr>
                <w:sz w:val="18"/>
                <w:lang w:val="de-DE"/>
              </w:rPr>
            </w:pPr>
            <w:r w:rsidRPr="00EC62E9">
              <w:rPr>
                <w:sz w:val="18"/>
                <w:lang w:val="de-DE"/>
              </w:rPr>
              <w:t>Ausbildungsort (Staat)</w:t>
            </w:r>
          </w:p>
          <w:p w:rsidR="00624AF9" w:rsidRPr="00EC62E9" w:rsidRDefault="00624AF9" w:rsidP="00B9474C">
            <w:pPr>
              <w:spacing w:before="40" w:after="40"/>
              <w:jc w:val="left"/>
              <w:rPr>
                <w:sz w:val="18"/>
                <w:lang w:val="de-DE"/>
              </w:rPr>
            </w:pPr>
          </w:p>
        </w:tc>
        <w:tc>
          <w:tcPr>
            <w:tcW w:w="3956" w:type="dxa"/>
            <w:vAlign w:val="center"/>
          </w:tcPr>
          <w:p w:rsidR="00624AF9" w:rsidRPr="00EC62E9" w:rsidRDefault="00624AF9" w:rsidP="00B9474C">
            <w:pPr>
              <w:spacing w:before="40" w:after="40"/>
              <w:jc w:val="center"/>
              <w:rPr>
                <w:sz w:val="18"/>
                <w:lang w:val="de-DE"/>
              </w:rPr>
            </w:pPr>
            <w:r w:rsidRPr="00EC62E9">
              <w:rPr>
                <w:sz w:val="18"/>
                <w:lang w:val="de-DE"/>
              </w:rPr>
              <w:t>Teilnehmer nach Staat/Organisation</w:t>
            </w:r>
          </w:p>
          <w:p w:rsidR="00624AF9" w:rsidRPr="00EC62E9" w:rsidRDefault="00624AF9" w:rsidP="00B9474C">
            <w:pPr>
              <w:spacing w:before="40" w:after="40"/>
              <w:rPr>
                <w:sz w:val="18"/>
                <w:lang w:val="de-DE"/>
              </w:rPr>
            </w:pPr>
          </w:p>
        </w:tc>
      </w:tr>
      <w:tr w:rsidR="00624AF9" w:rsidRPr="00EC62E9" w:rsidTr="00B9474C">
        <w:trPr>
          <w:jc w:val="center"/>
        </w:trPr>
        <w:tc>
          <w:tcPr>
            <w:tcW w:w="3444" w:type="dxa"/>
          </w:tcPr>
          <w:p w:rsidR="00624AF9" w:rsidRPr="00EC62E9" w:rsidRDefault="00624AF9" w:rsidP="00B9474C">
            <w:pPr>
              <w:spacing w:before="40" w:after="40"/>
              <w:jc w:val="left"/>
              <w:rPr>
                <w:sz w:val="18"/>
                <w:lang w:val="de-DE"/>
              </w:rPr>
            </w:pPr>
            <w:r w:rsidRPr="00EC62E9">
              <w:rPr>
                <w:sz w:val="18"/>
                <w:lang w:val="de-DE"/>
              </w:rPr>
              <w:t>Philippinen</w:t>
            </w:r>
          </w:p>
          <w:p w:rsidR="00624AF9" w:rsidRPr="00EC62E9" w:rsidRDefault="00624AF9" w:rsidP="00B9474C">
            <w:pPr>
              <w:spacing w:before="40" w:after="40"/>
              <w:jc w:val="left"/>
              <w:rPr>
                <w:sz w:val="18"/>
                <w:lang w:val="de-DE"/>
              </w:rPr>
            </w:pPr>
          </w:p>
        </w:tc>
        <w:tc>
          <w:tcPr>
            <w:tcW w:w="3956" w:type="dxa"/>
          </w:tcPr>
          <w:p w:rsidR="00624AF9" w:rsidRPr="00EC62E9" w:rsidRDefault="00624AF9" w:rsidP="00B9474C">
            <w:pPr>
              <w:spacing w:before="40" w:after="40"/>
              <w:jc w:val="left"/>
              <w:rPr>
                <w:sz w:val="18"/>
                <w:lang w:val="de-DE"/>
              </w:rPr>
            </w:pPr>
            <w:r w:rsidRPr="00EC62E9">
              <w:rPr>
                <w:sz w:val="18"/>
                <w:lang w:val="de-DE"/>
              </w:rPr>
              <w:t>Philippinen, Internationales Reisforschungsinstitut (IRRI))</w:t>
            </w:r>
          </w:p>
        </w:tc>
      </w:tr>
    </w:tbl>
    <w:p w:rsidR="00624AF9" w:rsidRPr="00EC62E9" w:rsidRDefault="00624AF9" w:rsidP="00624AF9">
      <w:pPr>
        <w:rPr>
          <w:lang w:val="de-DE"/>
        </w:rPr>
      </w:pPr>
    </w:p>
    <w:p w:rsidR="00624AF9" w:rsidRPr="00EC62E9" w:rsidRDefault="00624AF9" w:rsidP="00624AF9">
      <w:pPr>
        <w:ind w:left="1134"/>
        <w:rPr>
          <w:sz w:val="18"/>
          <w:lang w:val="de-DE"/>
        </w:rPr>
      </w:pPr>
      <w:r w:rsidRPr="00EC62E9">
        <w:rPr>
          <w:sz w:val="18"/>
          <w:lang w:val="de-DE"/>
        </w:rPr>
        <w:t>2013</w:t>
      </w:r>
    </w:p>
    <w:p w:rsidR="00624AF9" w:rsidRPr="00EC62E9" w:rsidRDefault="00624AF9" w:rsidP="00624AF9">
      <w:pPr>
        <w:spacing w:before="40" w:after="40"/>
        <w:jc w:val="left"/>
        <w:rPr>
          <w:lang w:val="de-DE"/>
        </w:rPr>
      </w:pPr>
    </w:p>
    <w:tbl>
      <w:tblPr>
        <w:tblStyle w:val="TableGrid1"/>
        <w:tblW w:w="7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44"/>
        <w:gridCol w:w="3956"/>
      </w:tblGrid>
      <w:tr w:rsidR="00624AF9" w:rsidRPr="00EC62E9" w:rsidTr="00B9474C">
        <w:trPr>
          <w:trHeight w:val="433"/>
          <w:jc w:val="center"/>
        </w:trPr>
        <w:tc>
          <w:tcPr>
            <w:tcW w:w="3444" w:type="dxa"/>
            <w:vAlign w:val="center"/>
          </w:tcPr>
          <w:p w:rsidR="00624AF9" w:rsidRPr="00EC62E9" w:rsidRDefault="00624AF9" w:rsidP="00B9474C">
            <w:pPr>
              <w:spacing w:before="40" w:after="40"/>
              <w:jc w:val="left"/>
              <w:rPr>
                <w:sz w:val="18"/>
                <w:lang w:val="de-DE"/>
              </w:rPr>
            </w:pPr>
            <w:r w:rsidRPr="00EC62E9">
              <w:rPr>
                <w:sz w:val="18"/>
                <w:lang w:val="de-DE"/>
              </w:rPr>
              <w:t>Ausbildungsort (Staat)</w:t>
            </w:r>
          </w:p>
          <w:p w:rsidR="00624AF9" w:rsidRPr="00EC62E9" w:rsidRDefault="00624AF9" w:rsidP="00B9474C">
            <w:pPr>
              <w:spacing w:before="40" w:after="40"/>
              <w:jc w:val="left"/>
              <w:rPr>
                <w:sz w:val="18"/>
                <w:lang w:val="de-DE"/>
              </w:rPr>
            </w:pPr>
          </w:p>
        </w:tc>
        <w:tc>
          <w:tcPr>
            <w:tcW w:w="3956" w:type="dxa"/>
            <w:vAlign w:val="center"/>
          </w:tcPr>
          <w:p w:rsidR="00624AF9" w:rsidRPr="00EC62E9" w:rsidRDefault="00624AF9" w:rsidP="00B9474C">
            <w:pPr>
              <w:spacing w:before="40" w:after="40"/>
              <w:jc w:val="center"/>
              <w:rPr>
                <w:sz w:val="18"/>
                <w:lang w:val="de-DE"/>
              </w:rPr>
            </w:pPr>
            <w:r w:rsidRPr="00EC62E9">
              <w:rPr>
                <w:sz w:val="18"/>
                <w:lang w:val="de-DE"/>
              </w:rPr>
              <w:t>Teilnehmer nach Staat/Organisation</w:t>
            </w:r>
          </w:p>
          <w:p w:rsidR="00624AF9" w:rsidRPr="00EC62E9" w:rsidRDefault="00624AF9" w:rsidP="00B9474C">
            <w:pPr>
              <w:spacing w:before="40" w:after="40"/>
              <w:rPr>
                <w:sz w:val="18"/>
                <w:lang w:val="de-DE"/>
              </w:rPr>
            </w:pPr>
          </w:p>
        </w:tc>
      </w:tr>
      <w:tr w:rsidR="00624AF9" w:rsidRPr="00EC62E9" w:rsidTr="00B9474C">
        <w:trPr>
          <w:jc w:val="center"/>
        </w:trPr>
        <w:tc>
          <w:tcPr>
            <w:tcW w:w="3444" w:type="dxa"/>
          </w:tcPr>
          <w:p w:rsidR="00624AF9" w:rsidRPr="00EC62E9" w:rsidRDefault="00624AF9" w:rsidP="00B9474C">
            <w:pPr>
              <w:spacing w:before="40" w:after="40"/>
              <w:jc w:val="left"/>
              <w:rPr>
                <w:sz w:val="18"/>
                <w:lang w:val="de-DE"/>
              </w:rPr>
            </w:pPr>
            <w:r w:rsidRPr="00EC62E9">
              <w:rPr>
                <w:sz w:val="18"/>
                <w:lang w:val="de-DE"/>
              </w:rPr>
              <w:t>Aserbaidschan, China, Indones</w:t>
            </w:r>
            <w:r w:rsidR="005B2B53" w:rsidRPr="00EC62E9">
              <w:rPr>
                <w:sz w:val="18"/>
                <w:lang w:val="de-DE"/>
              </w:rPr>
              <w:t>ien, Japan, Kambodscha, Demokra</w:t>
            </w:r>
            <w:r w:rsidRPr="00EC62E9">
              <w:rPr>
                <w:sz w:val="18"/>
                <w:lang w:val="de-DE"/>
              </w:rPr>
              <w:t>tische Volksrepublik Laos, Philippinen, Spanien, Sri Lanka, Ukraine, Uruguay, Vietnam</w:t>
            </w:r>
          </w:p>
          <w:p w:rsidR="00624AF9" w:rsidRPr="00EC62E9" w:rsidRDefault="00624AF9" w:rsidP="00B9474C">
            <w:pPr>
              <w:spacing w:before="40" w:after="40"/>
              <w:jc w:val="left"/>
              <w:rPr>
                <w:sz w:val="18"/>
                <w:lang w:val="de-DE"/>
              </w:rPr>
            </w:pPr>
          </w:p>
        </w:tc>
        <w:tc>
          <w:tcPr>
            <w:tcW w:w="3956" w:type="dxa"/>
          </w:tcPr>
          <w:p w:rsidR="00624AF9" w:rsidRPr="00EC62E9" w:rsidRDefault="00624AF9" w:rsidP="00B9474C">
            <w:pPr>
              <w:spacing w:before="40" w:after="40"/>
              <w:jc w:val="left"/>
              <w:rPr>
                <w:sz w:val="18"/>
                <w:lang w:val="de-DE"/>
              </w:rPr>
            </w:pPr>
            <w:r w:rsidRPr="00EC62E9">
              <w:rPr>
                <w:sz w:val="18"/>
                <w:lang w:val="de-DE"/>
              </w:rPr>
              <w:t>Afg</w:t>
            </w:r>
            <w:r w:rsidR="005B2B53" w:rsidRPr="00EC62E9">
              <w:rPr>
                <w:sz w:val="18"/>
                <w:lang w:val="de-DE"/>
              </w:rPr>
              <w:t>h</w:t>
            </w:r>
            <w:r w:rsidRPr="00EC62E9">
              <w:rPr>
                <w:sz w:val="18"/>
                <w:lang w:val="de-DE"/>
              </w:rPr>
              <w:t>anistan, Ägypten, Algerien, Argentinien, Aserbaidschan, Bolivien, Brasilien, China, Costa Rica, Dominikanische Republik, Ecuador, Guatemala, Honduras, Indien, Indonesien, Kambodscha, Kolumbien, Kuba, Demokratische Volksrepublik Laos, Malediven, Mexiko, Marokko, Nicaragua, Paraguay, Peru, Philippinen, Senegal, Spanien, Sri Lanka, Thailand, Tunesien, Uganda, Ukraine, Uruguay, Vietnam</w:t>
            </w:r>
          </w:p>
        </w:tc>
      </w:tr>
    </w:tbl>
    <w:p w:rsidR="00624AF9" w:rsidRDefault="00624AF9" w:rsidP="00624AF9">
      <w:pPr>
        <w:jc w:val="left"/>
        <w:rPr>
          <w:sz w:val="18"/>
          <w:szCs w:val="18"/>
          <w:lang w:val="de-DE"/>
        </w:rPr>
      </w:pPr>
    </w:p>
    <w:p w:rsidR="00B00D41" w:rsidRPr="00EC62E9" w:rsidRDefault="00B00D41" w:rsidP="00624AF9">
      <w:pPr>
        <w:jc w:val="left"/>
        <w:rPr>
          <w:sz w:val="18"/>
          <w:szCs w:val="18"/>
          <w:lang w:val="de-DE"/>
        </w:rPr>
      </w:pPr>
    </w:p>
    <w:p w:rsidR="00624AF9" w:rsidRPr="00EC62E9" w:rsidRDefault="00E25A9D" w:rsidP="00624AF9">
      <w:pPr>
        <w:pStyle w:val="Heading8"/>
        <w:rPr>
          <w:szCs w:val="18"/>
          <w:lang w:val="de-DE"/>
        </w:rPr>
      </w:pPr>
      <w:bookmarkStart w:id="264" w:name="_Toc396137623"/>
      <w:bookmarkStart w:id="265" w:name="_Toc398736820"/>
      <w:r>
        <w:rPr>
          <w:lang w:val="de-DE"/>
        </w:rPr>
        <w:t xml:space="preserve">f)  </w:t>
      </w:r>
      <w:r w:rsidR="00624AF9" w:rsidRPr="00EC62E9">
        <w:rPr>
          <w:lang w:val="de-DE"/>
        </w:rPr>
        <w:t>Durchführung von Projekten mit Partnerorganisationen und Gebern</w:t>
      </w:r>
      <w:bookmarkEnd w:id="264"/>
      <w:bookmarkEnd w:id="265"/>
    </w:p>
    <w:p w:rsidR="00624AF9" w:rsidRPr="00EC62E9" w:rsidRDefault="00624AF9" w:rsidP="00624AF9">
      <w:pPr>
        <w:pStyle w:val="ListParagraph"/>
        <w:spacing w:after="120"/>
        <w:contextualSpacing w:val="0"/>
        <w:rPr>
          <w:sz w:val="18"/>
          <w:szCs w:val="18"/>
          <w:lang w:val="de-DE"/>
        </w:rPr>
      </w:pPr>
      <w:r w:rsidRPr="00EC62E9">
        <w:rPr>
          <w:sz w:val="18"/>
          <w:lang w:val="de-DE"/>
        </w:rPr>
        <w:t>Weltsaatgutprojekt:</w:t>
      </w:r>
    </w:p>
    <w:p w:rsidR="00624AF9" w:rsidRPr="00EC62E9" w:rsidRDefault="00624AF9" w:rsidP="00624AF9">
      <w:pPr>
        <w:numPr>
          <w:ilvl w:val="0"/>
          <w:numId w:val="2"/>
        </w:numPr>
        <w:spacing w:after="120"/>
        <w:ind w:left="1168" w:hanging="425"/>
        <w:jc w:val="left"/>
        <w:rPr>
          <w:sz w:val="18"/>
          <w:szCs w:val="18"/>
          <w:lang w:val="de-DE"/>
        </w:rPr>
      </w:pPr>
      <w:r w:rsidRPr="00EC62E9">
        <w:rPr>
          <w:sz w:val="18"/>
          <w:lang w:val="de-DE"/>
        </w:rPr>
        <w:t>Im Jahr 2012 18 elektronische Sitzungen und 5 Sitzungen des Lenkungsausschusses</w:t>
      </w:r>
    </w:p>
    <w:p w:rsidR="00624AF9" w:rsidRPr="00EC62E9" w:rsidRDefault="00624AF9" w:rsidP="00624AF9">
      <w:pPr>
        <w:numPr>
          <w:ilvl w:val="0"/>
          <w:numId w:val="2"/>
        </w:numPr>
        <w:spacing w:after="120"/>
        <w:ind w:left="1168" w:hanging="425"/>
        <w:jc w:val="left"/>
        <w:rPr>
          <w:sz w:val="18"/>
          <w:szCs w:val="18"/>
          <w:lang w:val="de-DE"/>
        </w:rPr>
      </w:pPr>
      <w:r w:rsidRPr="00EC62E9">
        <w:rPr>
          <w:sz w:val="18"/>
          <w:lang w:val="de-DE"/>
        </w:rPr>
        <w:t>Im Jahr 2013 12 elektronische Sitzungen, 4 Sitzungen des Lenkungsausschusses und eine Tagung des Lenkungsausschusses mit potentiellen Ressourcenpartnern</w:t>
      </w:r>
    </w:p>
    <w:p w:rsidR="00624AF9" w:rsidRPr="00EC62E9" w:rsidRDefault="00624AF9" w:rsidP="00624AF9">
      <w:pPr>
        <w:rPr>
          <w:color w:val="000000"/>
          <w:sz w:val="18"/>
          <w:szCs w:val="18"/>
          <w:lang w:val="de-DE"/>
        </w:rPr>
      </w:pPr>
    </w:p>
    <w:p w:rsidR="00624AF9" w:rsidRPr="00EC62E9" w:rsidRDefault="00624AF9" w:rsidP="00624AF9">
      <w:pPr>
        <w:pStyle w:val="Heading8"/>
        <w:rPr>
          <w:szCs w:val="18"/>
          <w:lang w:val="de-DE"/>
        </w:rPr>
      </w:pPr>
      <w:bookmarkStart w:id="266" w:name="_Toc396137624"/>
      <w:bookmarkStart w:id="267" w:name="_Toc398736821"/>
      <w:r w:rsidRPr="00EC62E9">
        <w:rPr>
          <w:lang w:val="de-DE"/>
        </w:rPr>
        <w:t>g)</w:t>
      </w:r>
      <w:r w:rsidR="00E25A9D">
        <w:rPr>
          <w:lang w:val="de-DE"/>
        </w:rPr>
        <w:t xml:space="preserve">  </w:t>
      </w:r>
      <w:r w:rsidRPr="00EC62E9">
        <w:rPr>
          <w:lang w:val="de-DE"/>
        </w:rPr>
        <w:t>Anwendung der Webseite „Unterstützung“ zur Erwirkung von Projektförderung</w:t>
      </w:r>
      <w:bookmarkEnd w:id="266"/>
      <w:bookmarkEnd w:id="267"/>
    </w:p>
    <w:p w:rsidR="00624AF9" w:rsidRPr="00EC62E9" w:rsidRDefault="00624AF9" w:rsidP="00624AF9">
      <w:pPr>
        <w:numPr>
          <w:ilvl w:val="0"/>
          <w:numId w:val="2"/>
        </w:numPr>
        <w:spacing w:after="120"/>
        <w:ind w:left="357" w:hanging="357"/>
        <w:jc w:val="left"/>
        <w:rPr>
          <w:sz w:val="18"/>
          <w:szCs w:val="18"/>
          <w:lang w:val="de-DE"/>
        </w:rPr>
      </w:pPr>
      <w:r w:rsidRPr="00EC62E9">
        <w:rPr>
          <w:sz w:val="18"/>
          <w:lang w:val="de-DE"/>
        </w:rPr>
        <w:t>Die Webseite „Unterstützung“ wurde 2012 in dem eingeschränkten Bereich der UPOV-Website zur Verfügung gestellt.</w:t>
      </w:r>
    </w:p>
    <w:p w:rsidR="00BA6FF2" w:rsidRPr="00EC62E9" w:rsidRDefault="00BA6FF2" w:rsidP="002D6F42">
      <w:pPr>
        <w:rPr>
          <w:sz w:val="18"/>
          <w:szCs w:val="18"/>
          <w:lang w:val="de-DE"/>
        </w:rPr>
      </w:pPr>
    </w:p>
    <w:p w:rsidR="002D6F42" w:rsidRPr="00EC62E9" w:rsidRDefault="002D6F42" w:rsidP="002D6F42">
      <w:pPr>
        <w:rPr>
          <w:sz w:val="18"/>
          <w:szCs w:val="18"/>
          <w:lang w:val="de-DE"/>
        </w:rPr>
      </w:pPr>
    </w:p>
    <w:p w:rsidR="00214D42" w:rsidRPr="00EC62E9" w:rsidRDefault="00214D42" w:rsidP="00B30836">
      <w:pPr>
        <w:rPr>
          <w:sz w:val="18"/>
          <w:szCs w:val="18"/>
          <w:lang w:val="de-DE"/>
        </w:rPr>
      </w:pPr>
    </w:p>
    <w:p w:rsidR="0088247B" w:rsidRPr="00EC62E9" w:rsidRDefault="0088247B">
      <w:pPr>
        <w:jc w:val="left"/>
        <w:rPr>
          <w:b/>
          <w:caps/>
          <w:sz w:val="18"/>
          <w:lang w:val="de-DE"/>
        </w:rPr>
      </w:pPr>
      <w:bookmarkStart w:id="268" w:name="_Toc336339250"/>
      <w:r w:rsidRPr="00EC62E9">
        <w:rPr>
          <w:lang w:val="de-DE"/>
        </w:rPr>
        <w:br w:type="page"/>
      </w:r>
    </w:p>
    <w:p w:rsidR="00EC3D6C" w:rsidRPr="00EC62E9" w:rsidRDefault="0000674F" w:rsidP="001E671A">
      <w:pPr>
        <w:pStyle w:val="Heading4"/>
        <w:rPr>
          <w:lang w:val="de-DE"/>
        </w:rPr>
      </w:pPr>
      <w:bookmarkStart w:id="269" w:name="_Toc396137625"/>
      <w:bookmarkStart w:id="270" w:name="_Toc398736822"/>
      <w:r w:rsidRPr="00EC62E9">
        <w:rPr>
          <w:lang w:val="de-DE"/>
        </w:rPr>
        <w:t>2.4</w:t>
      </w:r>
      <w:r w:rsidRPr="00EC62E9">
        <w:rPr>
          <w:lang w:val="de-DE"/>
        </w:rPr>
        <w:tab/>
      </w:r>
      <w:bookmarkEnd w:id="268"/>
      <w:bookmarkEnd w:id="269"/>
      <w:r w:rsidR="00EC3D6C" w:rsidRPr="00EC62E9">
        <w:rPr>
          <w:lang w:val="de-DE"/>
        </w:rPr>
        <w:t>Unterprogramm UV.4:  Externe Beziehungen</w:t>
      </w:r>
      <w:bookmarkEnd w:id="270"/>
    </w:p>
    <w:p w:rsidR="00EC3D6C" w:rsidRPr="00EC62E9" w:rsidRDefault="00EC3D6C" w:rsidP="00EC3D6C">
      <w:pPr>
        <w:rPr>
          <w:sz w:val="18"/>
          <w:szCs w:val="18"/>
          <w:lang w:val="de-DE"/>
        </w:rPr>
      </w:pPr>
    </w:p>
    <w:p w:rsidR="00EC3D6C" w:rsidRPr="00484F72" w:rsidRDefault="00EC3D6C" w:rsidP="00EC3D6C">
      <w:pPr>
        <w:rPr>
          <w:szCs w:val="18"/>
          <w:lang w:val="de-DE"/>
        </w:rPr>
      </w:pPr>
      <w:r w:rsidRPr="00484F72">
        <w:rPr>
          <w:szCs w:val="18"/>
          <w:lang w:val="de-DE"/>
        </w:rPr>
        <w:t xml:space="preserve">Die UPOV-Website ist mit ihrer steigenden Zahl an Besuchen und Besuchern (15% Zuwachs im Vergleich zu 2012) auch weiterhin die wichtigste Plattform für die Verbreitung von Informationen. Im Jahre 2013 wurde die UPOV-Trilogie bestehend aus einer </w:t>
      </w:r>
      <w:proofErr w:type="spellStart"/>
      <w:r w:rsidRPr="00484F72">
        <w:rPr>
          <w:szCs w:val="18"/>
          <w:lang w:val="de-DE"/>
        </w:rPr>
        <w:t>Zusammenfaßung</w:t>
      </w:r>
      <w:proofErr w:type="spellEnd"/>
      <w:r w:rsidRPr="00484F72">
        <w:rPr>
          <w:szCs w:val="18"/>
          <w:lang w:val="de-DE"/>
        </w:rPr>
        <w:t xml:space="preserve"> der Beiträge des „Symposium über Pflanzenzucht für die Zukunft“, des „Seminars über Sortenschutz und Technologietransfer:  die Vorteile öffentlich-privater Partnerschaften“ und des „Symposiums über die Vorteile des Sortenschutzes für Landwirte und Pflanzer“ in gedruckter und elektronischer Form (nur in Englisch) veröffentlicht. Die regelmäßige Veröffentlichung von Pressemitteilungen, einschließlich der wichtigsten Entwicklungen im Rat der UPOV, ist ein wertvolles Mittel zur Verbreitung von Informationen an die breite Öffentlichkeit. Eine weitere wichtige Entwicklung im Jahr 2013 war die Erstellung einer Kommunikationsstrategie mit dem Ziel, das Verständnis des UPOV-Systems zu fördern. Eine der Prioritäten des Arbeitsplans werde die Entwicklung von Elementen auf der Website sein, deren Schwerpunkt auf Interessenvertretern, vor allem auf Züchtern, Saatgutproduzenten/</w:t>
      </w:r>
      <w:r w:rsidR="00C2293A">
        <w:rPr>
          <w:szCs w:val="18"/>
          <w:lang w:val="de-DE"/>
        </w:rPr>
        <w:t xml:space="preserve"> </w:t>
      </w:r>
      <w:proofErr w:type="spellStart"/>
      <w:r w:rsidRPr="00484F72">
        <w:rPr>
          <w:szCs w:val="18"/>
          <w:lang w:val="de-DE"/>
        </w:rPr>
        <w:t>Pflanzenvermehrern</w:t>
      </w:r>
      <w:proofErr w:type="spellEnd"/>
      <w:r w:rsidRPr="00484F72">
        <w:rPr>
          <w:szCs w:val="18"/>
          <w:lang w:val="de-DE"/>
        </w:rPr>
        <w:t>, Landwirten und politischen Entscheidungsträgern liegt. Als Teil der Strategie wurde eine erste Reihe von Antworten auf häufig gestellte Fragen vereinbart.</w:t>
      </w:r>
    </w:p>
    <w:p w:rsidR="00EC3D6C" w:rsidRPr="00484F72" w:rsidRDefault="00EC3D6C" w:rsidP="00EC3D6C">
      <w:pPr>
        <w:rPr>
          <w:szCs w:val="18"/>
          <w:lang w:val="de-DE"/>
        </w:rPr>
      </w:pPr>
    </w:p>
    <w:p w:rsidR="00EC3D6C" w:rsidRPr="00484F72" w:rsidRDefault="00EC3D6C" w:rsidP="00EC3D6C">
      <w:pPr>
        <w:rPr>
          <w:szCs w:val="18"/>
          <w:lang w:val="de-DE"/>
        </w:rPr>
      </w:pPr>
      <w:r w:rsidRPr="00484F72">
        <w:rPr>
          <w:szCs w:val="18"/>
          <w:lang w:val="de-DE"/>
        </w:rPr>
        <w:t>Eine Reihe zwischenstaatlicher Organisationen haben UPOV dazu eingeladen, einen Beitrag zu ihrer Arbeit zu leisten. Die UPOV nahm an Sitzungen mit anderen ma</w:t>
      </w:r>
      <w:r w:rsidR="005B2B53" w:rsidRPr="00484F72">
        <w:rPr>
          <w:szCs w:val="18"/>
          <w:lang w:val="de-DE"/>
        </w:rPr>
        <w:t>ßgeblichen Organisationen teil.</w:t>
      </w:r>
    </w:p>
    <w:p w:rsidR="00EC3D6C" w:rsidRPr="00EC62E9" w:rsidRDefault="00EC3D6C" w:rsidP="00EC3D6C">
      <w:pPr>
        <w:rPr>
          <w:sz w:val="18"/>
          <w:szCs w:val="18"/>
          <w:lang w:val="de-DE"/>
        </w:rPr>
      </w:pPr>
    </w:p>
    <w:tbl>
      <w:tblPr>
        <w:tblW w:w="9889" w:type="dxa"/>
        <w:tblLayout w:type="fixed"/>
        <w:tblLook w:val="0000" w:firstRow="0" w:lastRow="0" w:firstColumn="0" w:lastColumn="0" w:noHBand="0" w:noVBand="0"/>
      </w:tblPr>
      <w:tblGrid>
        <w:gridCol w:w="1809"/>
        <w:gridCol w:w="8080"/>
      </w:tblGrid>
      <w:tr w:rsidR="00EC3D6C" w:rsidRPr="00EC62E9" w:rsidTr="00B9474C">
        <w:tc>
          <w:tcPr>
            <w:tcW w:w="1809" w:type="dxa"/>
          </w:tcPr>
          <w:p w:rsidR="00EC3D6C" w:rsidRPr="00EC62E9" w:rsidRDefault="00EC3D6C" w:rsidP="00B9474C">
            <w:pPr>
              <w:pStyle w:val="Heading5"/>
              <w:rPr>
                <w:lang w:val="de-DE"/>
              </w:rPr>
            </w:pPr>
            <w:bookmarkStart w:id="271" w:name="_Toc336339251"/>
            <w:bookmarkStart w:id="272" w:name="_Toc396137626"/>
            <w:bookmarkStart w:id="273" w:name="_Toc398736823"/>
            <w:r w:rsidRPr="00EC62E9">
              <w:rPr>
                <w:lang w:val="de-DE"/>
              </w:rPr>
              <w:t>Ziele</w:t>
            </w:r>
            <w:bookmarkEnd w:id="271"/>
            <w:bookmarkEnd w:id="272"/>
            <w:bookmarkEnd w:id="273"/>
          </w:p>
        </w:tc>
        <w:tc>
          <w:tcPr>
            <w:tcW w:w="8080" w:type="dxa"/>
          </w:tcPr>
          <w:p w:rsidR="00EC3D6C" w:rsidRPr="00EC62E9" w:rsidRDefault="00EC3D6C" w:rsidP="00B9474C">
            <w:pPr>
              <w:keepNext/>
              <w:keepLines/>
              <w:widowControl w:val="0"/>
              <w:numPr>
                <w:ilvl w:val="0"/>
                <w:numId w:val="1"/>
              </w:numPr>
              <w:jc w:val="left"/>
              <w:rPr>
                <w:sz w:val="18"/>
                <w:szCs w:val="18"/>
                <w:lang w:val="de-DE"/>
              </w:rPr>
            </w:pPr>
            <w:r w:rsidRPr="00EC62E9">
              <w:rPr>
                <w:sz w:val="18"/>
                <w:lang w:val="de-DE"/>
              </w:rPr>
              <w:t>Vertiefung des Verständnisses des UPOV-Sortenschutzsystems von Öffentlichkeit und Nichtregierungsorganisationen.</w:t>
            </w:r>
          </w:p>
          <w:p w:rsidR="00EC3D6C" w:rsidRPr="00EC62E9" w:rsidRDefault="00EC3D6C" w:rsidP="00B9474C">
            <w:pPr>
              <w:keepNext/>
              <w:keepLines/>
              <w:widowControl w:val="0"/>
              <w:numPr>
                <w:ilvl w:val="0"/>
                <w:numId w:val="1"/>
              </w:numPr>
              <w:jc w:val="left"/>
              <w:rPr>
                <w:sz w:val="18"/>
                <w:szCs w:val="18"/>
                <w:lang w:val="de-DE"/>
              </w:rPr>
            </w:pPr>
            <w:r w:rsidRPr="00EC62E9">
              <w:rPr>
                <w:sz w:val="18"/>
                <w:lang w:val="de-DE"/>
              </w:rPr>
              <w:t>Erteilung von Auskünften über das UPOV-Übereinkommen an andere zwischenstaatliche Organisationen mit dem Ziel der gegenseitigen Unterstützung mit anderen internationalen Verträgen.</w:t>
            </w:r>
          </w:p>
          <w:p w:rsidR="00EC3D6C" w:rsidRPr="00EC62E9" w:rsidRDefault="00EC3D6C" w:rsidP="00B9474C">
            <w:pPr>
              <w:keepNext/>
              <w:keepLines/>
              <w:widowControl w:val="0"/>
              <w:ind w:left="360"/>
              <w:jc w:val="left"/>
              <w:rPr>
                <w:sz w:val="18"/>
                <w:szCs w:val="18"/>
                <w:lang w:val="de-DE"/>
              </w:rPr>
            </w:pPr>
          </w:p>
        </w:tc>
      </w:tr>
    </w:tbl>
    <w:p w:rsidR="00EC3D6C" w:rsidRPr="00EC62E9" w:rsidRDefault="00EC3D6C" w:rsidP="00EC3D6C">
      <w:pPr>
        <w:rPr>
          <w:lang w:val="de-DE"/>
        </w:rPr>
      </w:pPr>
    </w:p>
    <w:p w:rsidR="00E34872" w:rsidRPr="00EC62E9" w:rsidRDefault="00E34872" w:rsidP="00E34872">
      <w:pPr>
        <w:pStyle w:val="Heading5"/>
        <w:rPr>
          <w:lang w:val="de-DE"/>
        </w:rPr>
      </w:pPr>
      <w:bookmarkStart w:id="274" w:name="_Toc398736824"/>
      <w:r w:rsidRPr="00EC62E9">
        <w:rPr>
          <w:lang w:val="de-DE"/>
        </w:rPr>
        <w:t>Erzielte Ergebnisse:  Ausgewählte Planerfüllungsindikatoren</w:t>
      </w:r>
      <w:bookmarkEnd w:id="274"/>
    </w:p>
    <w:p w:rsidR="00EC3D6C" w:rsidRPr="00EC62E9" w:rsidRDefault="00EC3D6C" w:rsidP="00EC3D6C">
      <w:pPr>
        <w:rPr>
          <w:lang w:val="de-DE"/>
        </w:rPr>
      </w:pPr>
    </w:p>
    <w:p w:rsidR="00EC3D6C" w:rsidRPr="00EC62E9" w:rsidRDefault="00EC3D6C" w:rsidP="00EC3D6C">
      <w:pPr>
        <w:pStyle w:val="Heading6"/>
        <w:rPr>
          <w:lang w:val="de-DE"/>
        </w:rPr>
      </w:pPr>
      <w:bookmarkStart w:id="275" w:name="_Toc336339254"/>
      <w:bookmarkStart w:id="276" w:name="_Toc396137628"/>
      <w:bookmarkStart w:id="277" w:name="_Toc398736825"/>
      <w:r w:rsidRPr="00EC62E9">
        <w:rPr>
          <w:lang w:val="de-DE"/>
        </w:rPr>
        <w:t>1.  Vertieftes öffentliches Verständnis der Rolle und Tätigkeit der UPOV</w:t>
      </w:r>
      <w:bookmarkEnd w:id="275"/>
      <w:bookmarkEnd w:id="276"/>
      <w:bookmarkEnd w:id="277"/>
    </w:p>
    <w:p w:rsidR="00EC3D6C" w:rsidRPr="00EC62E9" w:rsidRDefault="00EC3D6C" w:rsidP="00EC3D6C">
      <w:pPr>
        <w:rPr>
          <w:lang w:val="de-DE"/>
        </w:rPr>
      </w:pPr>
    </w:p>
    <w:p w:rsidR="00EC3D6C" w:rsidRPr="00EC62E9" w:rsidRDefault="00EC3D6C" w:rsidP="00EC3D6C">
      <w:pPr>
        <w:pStyle w:val="Heading8"/>
        <w:rPr>
          <w:lang w:val="de-DE"/>
        </w:rPr>
      </w:pPr>
      <w:bookmarkStart w:id="278" w:name="_Toc336339255"/>
      <w:bookmarkStart w:id="279" w:name="_Toc336613857"/>
      <w:bookmarkStart w:id="280" w:name="_Toc396137629"/>
      <w:bookmarkStart w:id="281" w:name="_Toc398736826"/>
      <w:r w:rsidRPr="00EC62E9">
        <w:rPr>
          <w:lang w:val="de-DE"/>
        </w:rPr>
        <w:t xml:space="preserve">a)  </w:t>
      </w:r>
      <w:bookmarkEnd w:id="278"/>
      <w:bookmarkEnd w:id="279"/>
      <w:r w:rsidRPr="00EC62E9">
        <w:rPr>
          <w:lang w:val="de-DE"/>
        </w:rPr>
        <w:t>Verfügbarkeit öffentlichkeitsorientierter Informationen und Materialen auf der UPOV-Website</w:t>
      </w:r>
      <w:bookmarkEnd w:id="280"/>
      <w:bookmarkEnd w:id="281"/>
    </w:p>
    <w:p w:rsidR="00EC3D6C" w:rsidRPr="00EC62E9" w:rsidRDefault="00EC3D6C" w:rsidP="00EC3D6C">
      <w:pPr>
        <w:pStyle w:val="ListParagraph"/>
        <w:numPr>
          <w:ilvl w:val="0"/>
          <w:numId w:val="8"/>
        </w:numPr>
        <w:spacing w:after="120"/>
        <w:ind w:hanging="357"/>
        <w:contextualSpacing w:val="0"/>
        <w:rPr>
          <w:sz w:val="18"/>
          <w:szCs w:val="18"/>
          <w:lang w:val="de-DE"/>
        </w:rPr>
      </w:pPr>
      <w:r w:rsidRPr="00EC62E9">
        <w:rPr>
          <w:sz w:val="18"/>
          <w:lang w:val="de-DE"/>
        </w:rPr>
        <w:t>Symposium über die Vorteile des Pflanzenschutzes für Landwirte und Pflanzer</w:t>
      </w:r>
    </w:p>
    <w:p w:rsidR="00EC3D6C" w:rsidRPr="00EC62E9" w:rsidRDefault="00EC3D6C" w:rsidP="00EC3D6C">
      <w:pPr>
        <w:pStyle w:val="ListParagraph"/>
        <w:numPr>
          <w:ilvl w:val="1"/>
          <w:numId w:val="9"/>
        </w:numPr>
        <w:spacing w:after="120"/>
        <w:contextualSpacing w:val="0"/>
        <w:jc w:val="left"/>
        <w:rPr>
          <w:sz w:val="18"/>
          <w:szCs w:val="18"/>
          <w:lang w:val="de-DE"/>
        </w:rPr>
      </w:pPr>
      <w:r w:rsidRPr="00EC62E9">
        <w:rPr>
          <w:sz w:val="18"/>
          <w:lang w:val="de-DE"/>
        </w:rPr>
        <w:t xml:space="preserve">Referate und </w:t>
      </w:r>
      <w:proofErr w:type="spellStart"/>
      <w:r w:rsidRPr="00EC62E9">
        <w:rPr>
          <w:sz w:val="18"/>
          <w:lang w:val="de-DE"/>
        </w:rPr>
        <w:t>Schlußworte</w:t>
      </w:r>
      <w:proofErr w:type="spellEnd"/>
      <w:r w:rsidRPr="00EC62E9">
        <w:rPr>
          <w:sz w:val="18"/>
          <w:lang w:val="de-DE"/>
        </w:rPr>
        <w:t xml:space="preserve"> wurden auf der Website veröffentlicht unter: </w:t>
      </w:r>
      <w:hyperlink r:id="rId62">
        <w:r w:rsidRPr="00EC62E9">
          <w:rPr>
            <w:rStyle w:val="Hyperlink"/>
            <w:sz w:val="18"/>
            <w:lang w:val="de-DE"/>
          </w:rPr>
          <w:t>http://www.upov.int/meetings/en/details.jsp?meeting_id=26104</w:t>
        </w:r>
      </w:hyperlink>
      <w:r w:rsidRPr="00EC62E9">
        <w:rPr>
          <w:sz w:val="18"/>
          <w:lang w:val="de-DE"/>
        </w:rPr>
        <w:t xml:space="preserve"> </w:t>
      </w:r>
    </w:p>
    <w:p w:rsidR="00EC3D6C" w:rsidRPr="00EC62E9" w:rsidRDefault="00EC3D6C" w:rsidP="00EC3D6C">
      <w:pPr>
        <w:pStyle w:val="ListParagraph"/>
        <w:numPr>
          <w:ilvl w:val="0"/>
          <w:numId w:val="8"/>
        </w:numPr>
        <w:spacing w:after="120"/>
        <w:contextualSpacing w:val="0"/>
        <w:rPr>
          <w:sz w:val="18"/>
          <w:szCs w:val="18"/>
          <w:lang w:val="de-DE"/>
        </w:rPr>
      </w:pPr>
      <w:r w:rsidRPr="00EC62E9">
        <w:rPr>
          <w:sz w:val="18"/>
          <w:lang w:val="de-DE"/>
        </w:rPr>
        <w:t>UPOV-Trilogie-Box (nur in Englisch), ebenfalls auf der UPOV-Website</w:t>
      </w:r>
      <w:r w:rsidR="005B2B53" w:rsidRPr="00EC62E9">
        <w:rPr>
          <w:sz w:val="18"/>
          <w:lang w:val="de-DE"/>
        </w:rPr>
        <w:t xml:space="preserve"> verfügbar unter </w:t>
      </w:r>
      <w:hyperlink r:id="rId63">
        <w:r w:rsidRPr="00EC62E9">
          <w:rPr>
            <w:rStyle w:val="Hyperlink"/>
            <w:sz w:val="18"/>
            <w:lang w:val="de-DE"/>
          </w:rPr>
          <w:t>http://www.upov.int/about/en/benefits_upov_system.html</w:t>
        </w:r>
      </w:hyperlink>
      <w:r w:rsidRPr="00EC62E9">
        <w:rPr>
          <w:sz w:val="18"/>
          <w:lang w:val="de-DE"/>
        </w:rPr>
        <w:t xml:space="preserve"> mit folgenden Publikationen:</w:t>
      </w:r>
    </w:p>
    <w:p w:rsidR="00EC3D6C" w:rsidRPr="00EC62E9" w:rsidRDefault="00EC3D6C" w:rsidP="00EC3D6C">
      <w:pPr>
        <w:pStyle w:val="ListParagraph"/>
        <w:numPr>
          <w:ilvl w:val="1"/>
          <w:numId w:val="9"/>
        </w:numPr>
        <w:spacing w:after="120"/>
        <w:contextualSpacing w:val="0"/>
        <w:rPr>
          <w:sz w:val="18"/>
          <w:szCs w:val="18"/>
          <w:lang w:val="de-DE"/>
        </w:rPr>
      </w:pPr>
      <w:r w:rsidRPr="00EC62E9">
        <w:rPr>
          <w:i/>
          <w:sz w:val="18"/>
          <w:lang w:val="de-DE"/>
        </w:rPr>
        <w:t>Executive Summary</w:t>
      </w:r>
      <w:r w:rsidRPr="00EC62E9">
        <w:rPr>
          <w:sz w:val="18"/>
          <w:lang w:val="de-DE"/>
        </w:rPr>
        <w:t xml:space="preserve"> (UPOV-Publikation 357.1E)</w:t>
      </w:r>
    </w:p>
    <w:p w:rsidR="00EC3D6C" w:rsidRPr="00EC62E9" w:rsidRDefault="00EC3D6C" w:rsidP="00EC3D6C">
      <w:pPr>
        <w:pStyle w:val="ListParagraph"/>
        <w:numPr>
          <w:ilvl w:val="1"/>
          <w:numId w:val="9"/>
        </w:numPr>
        <w:spacing w:after="120"/>
        <w:contextualSpacing w:val="0"/>
        <w:rPr>
          <w:sz w:val="18"/>
          <w:szCs w:val="18"/>
          <w:lang w:val="de-DE"/>
        </w:rPr>
      </w:pPr>
      <w:r w:rsidRPr="00EC62E9">
        <w:rPr>
          <w:i/>
          <w:sz w:val="18"/>
          <w:lang w:val="de-DE"/>
        </w:rPr>
        <w:t xml:space="preserve">Symposium on Plant </w:t>
      </w:r>
      <w:proofErr w:type="spellStart"/>
      <w:r w:rsidRPr="00EC62E9">
        <w:rPr>
          <w:i/>
          <w:sz w:val="18"/>
          <w:lang w:val="de-DE"/>
        </w:rPr>
        <w:t>Breeding</w:t>
      </w:r>
      <w:proofErr w:type="spellEnd"/>
      <w:r w:rsidRPr="00EC62E9">
        <w:rPr>
          <w:i/>
          <w:sz w:val="18"/>
          <w:lang w:val="de-DE"/>
        </w:rPr>
        <w:t xml:space="preserve"> </w:t>
      </w:r>
      <w:proofErr w:type="spellStart"/>
      <w:r w:rsidRPr="00EC62E9">
        <w:rPr>
          <w:i/>
          <w:sz w:val="18"/>
          <w:lang w:val="de-DE"/>
        </w:rPr>
        <w:t>for</w:t>
      </w:r>
      <w:proofErr w:type="spellEnd"/>
      <w:r w:rsidRPr="00EC62E9">
        <w:rPr>
          <w:i/>
          <w:sz w:val="18"/>
          <w:lang w:val="de-DE"/>
        </w:rPr>
        <w:t xml:space="preserve"> </w:t>
      </w:r>
      <w:proofErr w:type="spellStart"/>
      <w:r w:rsidRPr="00EC62E9">
        <w:rPr>
          <w:i/>
          <w:sz w:val="18"/>
          <w:lang w:val="de-DE"/>
        </w:rPr>
        <w:t>the</w:t>
      </w:r>
      <w:proofErr w:type="spellEnd"/>
      <w:r w:rsidRPr="00EC62E9">
        <w:rPr>
          <w:i/>
          <w:sz w:val="18"/>
          <w:lang w:val="de-DE"/>
        </w:rPr>
        <w:t xml:space="preserve"> Future</w:t>
      </w:r>
      <w:r w:rsidRPr="00EC62E9">
        <w:rPr>
          <w:sz w:val="18"/>
          <w:lang w:val="de-DE"/>
        </w:rPr>
        <w:t xml:space="preserve"> (UPOV-Publikation 357.2E)</w:t>
      </w:r>
    </w:p>
    <w:p w:rsidR="00EC3D6C" w:rsidRPr="00EC62E9" w:rsidRDefault="00EC3D6C" w:rsidP="00EC3D6C">
      <w:pPr>
        <w:pStyle w:val="ListParagraph"/>
        <w:numPr>
          <w:ilvl w:val="1"/>
          <w:numId w:val="9"/>
        </w:numPr>
        <w:spacing w:after="120"/>
        <w:contextualSpacing w:val="0"/>
        <w:rPr>
          <w:sz w:val="18"/>
          <w:szCs w:val="18"/>
          <w:lang w:val="de-DE"/>
        </w:rPr>
      </w:pPr>
      <w:r w:rsidRPr="00EC62E9">
        <w:rPr>
          <w:i/>
          <w:sz w:val="18"/>
          <w:lang w:val="de-DE"/>
        </w:rPr>
        <w:t xml:space="preserve">Seminar on Plant </w:t>
      </w:r>
      <w:proofErr w:type="spellStart"/>
      <w:r w:rsidRPr="00EC62E9">
        <w:rPr>
          <w:i/>
          <w:sz w:val="18"/>
          <w:lang w:val="de-DE"/>
        </w:rPr>
        <w:t>Variety</w:t>
      </w:r>
      <w:proofErr w:type="spellEnd"/>
      <w:r w:rsidRPr="00EC62E9">
        <w:rPr>
          <w:i/>
          <w:sz w:val="18"/>
          <w:lang w:val="de-DE"/>
        </w:rPr>
        <w:t xml:space="preserve"> </w:t>
      </w:r>
      <w:proofErr w:type="spellStart"/>
      <w:r w:rsidRPr="00EC62E9">
        <w:rPr>
          <w:i/>
          <w:sz w:val="18"/>
          <w:lang w:val="de-DE"/>
        </w:rPr>
        <w:t>Protection</w:t>
      </w:r>
      <w:proofErr w:type="spellEnd"/>
      <w:r w:rsidRPr="00EC62E9">
        <w:rPr>
          <w:i/>
          <w:sz w:val="18"/>
          <w:lang w:val="de-DE"/>
        </w:rPr>
        <w:t xml:space="preserve"> </w:t>
      </w:r>
      <w:proofErr w:type="spellStart"/>
      <w:r w:rsidRPr="00EC62E9">
        <w:rPr>
          <w:i/>
          <w:sz w:val="18"/>
          <w:lang w:val="de-DE"/>
        </w:rPr>
        <w:t>and</w:t>
      </w:r>
      <w:proofErr w:type="spellEnd"/>
      <w:r w:rsidRPr="00EC62E9">
        <w:rPr>
          <w:i/>
          <w:sz w:val="18"/>
          <w:lang w:val="de-DE"/>
        </w:rPr>
        <w:t xml:space="preserve"> Technology Transfer:  </w:t>
      </w:r>
      <w:proofErr w:type="spellStart"/>
      <w:r w:rsidRPr="00EC62E9">
        <w:rPr>
          <w:i/>
          <w:sz w:val="18"/>
          <w:lang w:val="de-DE"/>
        </w:rPr>
        <w:t>the</w:t>
      </w:r>
      <w:proofErr w:type="spellEnd"/>
      <w:r w:rsidRPr="00EC62E9">
        <w:rPr>
          <w:i/>
          <w:sz w:val="18"/>
          <w:lang w:val="de-DE"/>
        </w:rPr>
        <w:t xml:space="preserve"> </w:t>
      </w:r>
      <w:proofErr w:type="spellStart"/>
      <w:r w:rsidRPr="00EC62E9">
        <w:rPr>
          <w:i/>
          <w:sz w:val="18"/>
          <w:lang w:val="de-DE"/>
        </w:rPr>
        <w:t>Benefits</w:t>
      </w:r>
      <w:proofErr w:type="spellEnd"/>
      <w:r w:rsidRPr="00EC62E9">
        <w:rPr>
          <w:i/>
          <w:sz w:val="18"/>
          <w:lang w:val="de-DE"/>
        </w:rPr>
        <w:t xml:space="preserve"> </w:t>
      </w:r>
      <w:proofErr w:type="spellStart"/>
      <w:r w:rsidRPr="00EC62E9">
        <w:rPr>
          <w:i/>
          <w:sz w:val="18"/>
          <w:lang w:val="de-DE"/>
        </w:rPr>
        <w:t>of</w:t>
      </w:r>
      <w:proofErr w:type="spellEnd"/>
      <w:r w:rsidRPr="00EC62E9">
        <w:rPr>
          <w:i/>
          <w:sz w:val="18"/>
          <w:lang w:val="de-DE"/>
        </w:rPr>
        <w:t xml:space="preserve"> Public-Private </w:t>
      </w:r>
      <w:proofErr w:type="spellStart"/>
      <w:r w:rsidRPr="00EC62E9">
        <w:rPr>
          <w:i/>
          <w:sz w:val="18"/>
          <w:lang w:val="de-DE"/>
        </w:rPr>
        <w:t>Partnership</w:t>
      </w:r>
      <w:proofErr w:type="spellEnd"/>
      <w:r w:rsidRPr="00EC62E9">
        <w:rPr>
          <w:i/>
          <w:sz w:val="18"/>
          <w:lang w:val="de-DE"/>
        </w:rPr>
        <w:t xml:space="preserve"> </w:t>
      </w:r>
      <w:r w:rsidRPr="00EC62E9">
        <w:rPr>
          <w:sz w:val="18"/>
          <w:lang w:val="de-DE"/>
        </w:rPr>
        <w:t>(UPOV-Publikation 357.3E)</w:t>
      </w:r>
    </w:p>
    <w:p w:rsidR="00EC3D6C" w:rsidRPr="00EC62E9" w:rsidRDefault="00EC3D6C" w:rsidP="00EC3D6C">
      <w:pPr>
        <w:pStyle w:val="ListParagraph"/>
        <w:numPr>
          <w:ilvl w:val="1"/>
          <w:numId w:val="9"/>
        </w:numPr>
        <w:spacing w:after="120"/>
        <w:contextualSpacing w:val="0"/>
        <w:rPr>
          <w:sz w:val="18"/>
          <w:szCs w:val="18"/>
          <w:lang w:val="de-DE"/>
        </w:rPr>
      </w:pPr>
      <w:r w:rsidRPr="00EC62E9">
        <w:rPr>
          <w:i/>
          <w:sz w:val="18"/>
          <w:lang w:val="de-DE"/>
        </w:rPr>
        <w:t xml:space="preserve">Symposium on </w:t>
      </w:r>
      <w:proofErr w:type="spellStart"/>
      <w:r w:rsidRPr="00EC62E9">
        <w:rPr>
          <w:i/>
          <w:sz w:val="18"/>
          <w:lang w:val="de-DE"/>
        </w:rPr>
        <w:t>the</w:t>
      </w:r>
      <w:proofErr w:type="spellEnd"/>
      <w:r w:rsidRPr="00EC62E9">
        <w:rPr>
          <w:i/>
          <w:sz w:val="18"/>
          <w:lang w:val="de-DE"/>
        </w:rPr>
        <w:t xml:space="preserve"> </w:t>
      </w:r>
      <w:proofErr w:type="spellStart"/>
      <w:r w:rsidRPr="00EC62E9">
        <w:rPr>
          <w:i/>
          <w:sz w:val="18"/>
          <w:lang w:val="de-DE"/>
        </w:rPr>
        <w:t>Benefits</w:t>
      </w:r>
      <w:proofErr w:type="spellEnd"/>
      <w:r w:rsidRPr="00EC62E9">
        <w:rPr>
          <w:i/>
          <w:sz w:val="18"/>
          <w:lang w:val="de-DE"/>
        </w:rPr>
        <w:t xml:space="preserve"> </w:t>
      </w:r>
      <w:proofErr w:type="spellStart"/>
      <w:r w:rsidRPr="00EC62E9">
        <w:rPr>
          <w:i/>
          <w:sz w:val="18"/>
          <w:lang w:val="de-DE"/>
        </w:rPr>
        <w:t>of</w:t>
      </w:r>
      <w:proofErr w:type="spellEnd"/>
      <w:r w:rsidRPr="00EC62E9">
        <w:rPr>
          <w:i/>
          <w:sz w:val="18"/>
          <w:lang w:val="de-DE"/>
        </w:rPr>
        <w:t xml:space="preserve"> Plant </w:t>
      </w:r>
      <w:proofErr w:type="spellStart"/>
      <w:r w:rsidRPr="00EC62E9">
        <w:rPr>
          <w:i/>
          <w:sz w:val="18"/>
          <w:lang w:val="de-DE"/>
        </w:rPr>
        <w:t>Variety</w:t>
      </w:r>
      <w:proofErr w:type="spellEnd"/>
      <w:r w:rsidRPr="00EC62E9">
        <w:rPr>
          <w:i/>
          <w:sz w:val="18"/>
          <w:lang w:val="de-DE"/>
        </w:rPr>
        <w:t xml:space="preserve"> </w:t>
      </w:r>
      <w:proofErr w:type="spellStart"/>
      <w:r w:rsidRPr="00EC62E9">
        <w:rPr>
          <w:i/>
          <w:sz w:val="18"/>
          <w:lang w:val="de-DE"/>
        </w:rPr>
        <w:t>Protection</w:t>
      </w:r>
      <w:proofErr w:type="spellEnd"/>
      <w:r w:rsidRPr="00EC62E9">
        <w:rPr>
          <w:i/>
          <w:sz w:val="18"/>
          <w:lang w:val="de-DE"/>
        </w:rPr>
        <w:t xml:space="preserve"> </w:t>
      </w:r>
      <w:proofErr w:type="spellStart"/>
      <w:r w:rsidRPr="00EC62E9">
        <w:rPr>
          <w:i/>
          <w:sz w:val="18"/>
          <w:lang w:val="de-DE"/>
        </w:rPr>
        <w:t>for</w:t>
      </w:r>
      <w:proofErr w:type="spellEnd"/>
      <w:r w:rsidRPr="00EC62E9">
        <w:rPr>
          <w:i/>
          <w:sz w:val="18"/>
          <w:lang w:val="de-DE"/>
        </w:rPr>
        <w:t xml:space="preserve"> Farmers </w:t>
      </w:r>
      <w:proofErr w:type="spellStart"/>
      <w:r w:rsidRPr="00EC62E9">
        <w:rPr>
          <w:i/>
          <w:sz w:val="18"/>
          <w:lang w:val="de-DE"/>
        </w:rPr>
        <w:t>and</w:t>
      </w:r>
      <w:proofErr w:type="spellEnd"/>
      <w:r w:rsidRPr="00EC62E9">
        <w:rPr>
          <w:i/>
          <w:sz w:val="18"/>
          <w:lang w:val="de-DE"/>
        </w:rPr>
        <w:t xml:space="preserve"> </w:t>
      </w:r>
      <w:proofErr w:type="spellStart"/>
      <w:r w:rsidRPr="00EC62E9">
        <w:rPr>
          <w:i/>
          <w:sz w:val="18"/>
          <w:lang w:val="de-DE"/>
        </w:rPr>
        <w:t>Growers</w:t>
      </w:r>
      <w:proofErr w:type="spellEnd"/>
      <w:r w:rsidRPr="00EC62E9">
        <w:rPr>
          <w:sz w:val="18"/>
          <w:lang w:val="de-DE"/>
        </w:rPr>
        <w:t xml:space="preserve"> (UPOV-Publikation 357.4E)</w:t>
      </w:r>
    </w:p>
    <w:p w:rsidR="00EC3D6C" w:rsidRPr="00EC62E9" w:rsidRDefault="00EC3D6C" w:rsidP="00EC3D6C">
      <w:pPr>
        <w:pStyle w:val="ListParagraph"/>
        <w:numPr>
          <w:ilvl w:val="0"/>
          <w:numId w:val="8"/>
        </w:numPr>
        <w:spacing w:after="120"/>
        <w:contextualSpacing w:val="0"/>
        <w:rPr>
          <w:sz w:val="18"/>
          <w:szCs w:val="18"/>
          <w:lang w:val="de-DE"/>
        </w:rPr>
      </w:pPr>
      <w:r w:rsidRPr="00EC62E9">
        <w:rPr>
          <w:sz w:val="18"/>
          <w:lang w:val="de-DE"/>
        </w:rPr>
        <w:t>Seminar über im wesentlichen abgeleitete Sorten:</w:t>
      </w:r>
    </w:p>
    <w:p w:rsidR="00EC3D6C" w:rsidRPr="00EC62E9" w:rsidRDefault="00EC3D6C" w:rsidP="00EC3D6C">
      <w:pPr>
        <w:pStyle w:val="ListParagraph"/>
        <w:numPr>
          <w:ilvl w:val="1"/>
          <w:numId w:val="9"/>
        </w:numPr>
        <w:spacing w:after="120"/>
        <w:contextualSpacing w:val="0"/>
        <w:jc w:val="left"/>
        <w:rPr>
          <w:sz w:val="18"/>
          <w:szCs w:val="18"/>
          <w:lang w:val="de-DE"/>
        </w:rPr>
      </w:pPr>
      <w:r w:rsidRPr="00EC62E9">
        <w:rPr>
          <w:sz w:val="18"/>
          <w:lang w:val="de-DE"/>
        </w:rPr>
        <w:t>Abschriften der Materialien und ein Videofilm sind auf der UPOV-Website verfügbar unter:</w:t>
      </w:r>
      <w:r w:rsidRPr="00EC62E9">
        <w:rPr>
          <w:sz w:val="18"/>
          <w:szCs w:val="18"/>
          <w:lang w:val="de-DE"/>
        </w:rPr>
        <w:br/>
      </w:r>
      <w:hyperlink r:id="rId64">
        <w:r w:rsidRPr="00EC62E9">
          <w:rPr>
            <w:rStyle w:val="Hyperlink"/>
            <w:sz w:val="18"/>
            <w:lang w:val="de-DE"/>
          </w:rPr>
          <w:t>http://www.upov.int/meetings/en/details.jsp?meeting_id=29782</w:t>
        </w:r>
      </w:hyperlink>
    </w:p>
    <w:p w:rsidR="00EC3D6C" w:rsidRPr="00EC62E9" w:rsidRDefault="00EC3D6C" w:rsidP="00EC3D6C">
      <w:pPr>
        <w:pStyle w:val="ListParagraph"/>
        <w:numPr>
          <w:ilvl w:val="0"/>
          <w:numId w:val="8"/>
        </w:numPr>
        <w:spacing w:after="120"/>
        <w:contextualSpacing w:val="0"/>
        <w:rPr>
          <w:rFonts w:cs="Arial"/>
          <w:sz w:val="18"/>
          <w:szCs w:val="18"/>
          <w:lang w:val="de-DE"/>
        </w:rPr>
      </w:pPr>
      <w:r w:rsidRPr="00EC62E9">
        <w:rPr>
          <w:sz w:val="18"/>
          <w:lang w:val="de-DE"/>
        </w:rPr>
        <w:t>Sieben Pressemitteilungen (</w:t>
      </w:r>
      <w:hyperlink r:id="rId65">
        <w:r w:rsidRPr="00EC62E9">
          <w:rPr>
            <w:rStyle w:val="Hyperlink"/>
            <w:sz w:val="18"/>
            <w:lang w:val="de-DE"/>
          </w:rPr>
          <w:t>http://www.upov.int/news/en/pressroom/</w:t>
        </w:r>
      </w:hyperlink>
      <w:r w:rsidRPr="00EC62E9">
        <w:rPr>
          <w:sz w:val="18"/>
          <w:lang w:val="de-DE"/>
        </w:rPr>
        <w:t xml:space="preserve">) </w:t>
      </w:r>
    </w:p>
    <w:p w:rsidR="00EC3D6C" w:rsidRPr="00EC62E9" w:rsidRDefault="00EC3D6C" w:rsidP="00EC3D6C">
      <w:pPr>
        <w:ind w:right="459"/>
        <w:jc w:val="left"/>
        <w:rPr>
          <w:rFonts w:cs="Arial"/>
          <w:sz w:val="18"/>
          <w:szCs w:val="18"/>
          <w:highlight w:val="yellow"/>
          <w:lang w:val="de-DE"/>
        </w:rPr>
      </w:pPr>
    </w:p>
    <w:p w:rsidR="00EC3D6C" w:rsidRPr="00EC62E9" w:rsidRDefault="00EC3D6C" w:rsidP="00EC3D6C">
      <w:pPr>
        <w:ind w:right="459"/>
        <w:jc w:val="left"/>
        <w:rPr>
          <w:rFonts w:cs="Arial"/>
          <w:sz w:val="18"/>
          <w:szCs w:val="18"/>
          <w:lang w:val="de-DE"/>
        </w:rPr>
      </w:pPr>
    </w:p>
    <w:p w:rsidR="00EC3D6C" w:rsidRPr="00EC62E9" w:rsidRDefault="00EC3D6C" w:rsidP="00EC3D6C">
      <w:pPr>
        <w:pStyle w:val="Heading8"/>
        <w:rPr>
          <w:lang w:val="de-DE"/>
        </w:rPr>
      </w:pPr>
      <w:bookmarkStart w:id="282" w:name="_Toc393275006"/>
      <w:bookmarkStart w:id="283" w:name="_Toc396137630"/>
      <w:bookmarkStart w:id="284" w:name="_Toc398736827"/>
      <w:r w:rsidRPr="00EC62E9">
        <w:rPr>
          <w:lang w:val="de-DE"/>
        </w:rPr>
        <w:t>b)  Besuche auf der Website</w:t>
      </w:r>
      <w:bookmarkEnd w:id="282"/>
      <w:bookmarkEnd w:id="283"/>
      <w:bookmarkEnd w:id="284"/>
    </w:p>
    <w:tbl>
      <w:tblPr>
        <w:tblStyle w:val="TableGrid"/>
        <w:tblW w:w="0" w:type="auto"/>
        <w:jc w:val="center"/>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4"/>
        <w:gridCol w:w="1299"/>
        <w:gridCol w:w="1299"/>
        <w:gridCol w:w="1299"/>
        <w:gridCol w:w="1300"/>
      </w:tblGrid>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sz w:val="18"/>
                <w:szCs w:val="18"/>
                <w:lang w:val="de-DE"/>
              </w:rPr>
            </w:pPr>
          </w:p>
        </w:tc>
        <w:tc>
          <w:tcPr>
            <w:tcW w:w="1299" w:type="dxa"/>
          </w:tcPr>
          <w:p w:rsidR="00EC3D6C" w:rsidRPr="00EC62E9" w:rsidRDefault="00EC3D6C" w:rsidP="00B9474C">
            <w:pPr>
              <w:jc w:val="center"/>
              <w:rPr>
                <w:rFonts w:cs="Arial"/>
                <w:i/>
                <w:sz w:val="18"/>
                <w:szCs w:val="18"/>
                <w:lang w:val="de-DE"/>
              </w:rPr>
            </w:pPr>
            <w:r w:rsidRPr="00EC62E9">
              <w:rPr>
                <w:i/>
                <w:sz w:val="18"/>
                <w:lang w:val="de-DE"/>
              </w:rPr>
              <w:t>2013</w:t>
            </w:r>
          </w:p>
        </w:tc>
        <w:tc>
          <w:tcPr>
            <w:tcW w:w="1299" w:type="dxa"/>
            <w:tcMar>
              <w:top w:w="28" w:type="dxa"/>
              <w:bottom w:w="0" w:type="dxa"/>
            </w:tcMar>
          </w:tcPr>
          <w:p w:rsidR="00EC3D6C" w:rsidRPr="00EC62E9" w:rsidRDefault="00EC3D6C" w:rsidP="00B9474C">
            <w:pPr>
              <w:jc w:val="center"/>
              <w:rPr>
                <w:rFonts w:cs="Arial"/>
                <w:i/>
                <w:sz w:val="18"/>
                <w:szCs w:val="18"/>
                <w:lang w:val="de-DE"/>
              </w:rPr>
            </w:pPr>
            <w:r w:rsidRPr="00EC62E9">
              <w:rPr>
                <w:i/>
                <w:sz w:val="18"/>
                <w:lang w:val="de-DE"/>
              </w:rPr>
              <w:t>2012</w:t>
            </w:r>
          </w:p>
        </w:tc>
        <w:tc>
          <w:tcPr>
            <w:tcW w:w="1299" w:type="dxa"/>
            <w:tcMar>
              <w:top w:w="28" w:type="dxa"/>
              <w:bottom w:w="0" w:type="dxa"/>
            </w:tcMar>
          </w:tcPr>
          <w:p w:rsidR="00EC3D6C" w:rsidRPr="00EC62E9" w:rsidRDefault="00EC3D6C" w:rsidP="00B9474C">
            <w:pPr>
              <w:jc w:val="center"/>
              <w:rPr>
                <w:rFonts w:cs="Arial"/>
                <w:i/>
                <w:sz w:val="18"/>
                <w:szCs w:val="18"/>
                <w:lang w:val="de-DE"/>
              </w:rPr>
            </w:pPr>
            <w:r w:rsidRPr="00EC62E9">
              <w:rPr>
                <w:i/>
                <w:sz w:val="18"/>
                <w:lang w:val="de-DE"/>
              </w:rPr>
              <w:t>2011</w:t>
            </w:r>
          </w:p>
        </w:tc>
        <w:tc>
          <w:tcPr>
            <w:tcW w:w="1300" w:type="dxa"/>
          </w:tcPr>
          <w:p w:rsidR="00EC3D6C" w:rsidRPr="00EC62E9" w:rsidRDefault="00EC3D6C" w:rsidP="00B9474C">
            <w:pPr>
              <w:jc w:val="center"/>
              <w:rPr>
                <w:rFonts w:cs="Arial"/>
                <w:i/>
                <w:sz w:val="18"/>
                <w:szCs w:val="18"/>
                <w:lang w:val="de-DE"/>
              </w:rPr>
            </w:pPr>
            <w:r w:rsidRPr="00EC62E9">
              <w:rPr>
                <w:i/>
                <w:sz w:val="18"/>
                <w:lang w:val="de-DE"/>
              </w:rPr>
              <w:t>2010</w:t>
            </w:r>
          </w:p>
        </w:tc>
      </w:tr>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i/>
                <w:sz w:val="18"/>
                <w:szCs w:val="18"/>
                <w:lang w:val="de-DE"/>
              </w:rPr>
            </w:pPr>
            <w:r w:rsidRPr="00EC62E9">
              <w:rPr>
                <w:i/>
                <w:sz w:val="18"/>
                <w:lang w:val="de-DE"/>
              </w:rPr>
              <w:t xml:space="preserve">Zahl der Sitzungen: </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178.732</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151.914</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140.371</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118.895</w:t>
            </w:r>
          </w:p>
        </w:tc>
      </w:tr>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i/>
                <w:sz w:val="18"/>
                <w:szCs w:val="18"/>
                <w:lang w:val="de-DE"/>
              </w:rPr>
            </w:pPr>
            <w:r w:rsidRPr="00EC62E9">
              <w:rPr>
                <w:i/>
                <w:sz w:val="18"/>
                <w:lang w:val="de-DE"/>
              </w:rPr>
              <w:t>Einzelnutzer</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84.336</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71.506</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75.673</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62.758</w:t>
            </w:r>
          </w:p>
        </w:tc>
      </w:tr>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i/>
                <w:sz w:val="18"/>
                <w:szCs w:val="18"/>
                <w:lang w:val="de-DE"/>
              </w:rPr>
            </w:pPr>
            <w:r w:rsidRPr="00EC62E9">
              <w:rPr>
                <w:i/>
                <w:sz w:val="18"/>
                <w:lang w:val="de-DE"/>
              </w:rPr>
              <w:t>Zahl der Seitenaufrufe:</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1.129.052</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1.139.570</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798.942</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656.722</w:t>
            </w:r>
          </w:p>
        </w:tc>
      </w:tr>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i/>
                <w:sz w:val="18"/>
                <w:szCs w:val="18"/>
                <w:lang w:val="de-DE"/>
              </w:rPr>
            </w:pPr>
            <w:r w:rsidRPr="00EC62E9">
              <w:rPr>
                <w:i/>
                <w:sz w:val="18"/>
                <w:lang w:val="de-DE"/>
              </w:rPr>
              <w:t>Anzahl Seiten/Besuch:</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6,32</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7,50</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5,69</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5,52</w:t>
            </w:r>
          </w:p>
        </w:tc>
      </w:tr>
      <w:tr w:rsidR="00EC3D6C" w:rsidRPr="00EC62E9" w:rsidTr="00C2293A">
        <w:trPr>
          <w:jc w:val="center"/>
        </w:trPr>
        <w:tc>
          <w:tcPr>
            <w:tcW w:w="3534" w:type="dxa"/>
            <w:tcMar>
              <w:top w:w="28" w:type="dxa"/>
              <w:bottom w:w="0" w:type="dxa"/>
            </w:tcMar>
          </w:tcPr>
          <w:p w:rsidR="00EC3D6C" w:rsidRPr="00EC62E9" w:rsidRDefault="00EC3D6C" w:rsidP="00B9474C">
            <w:pPr>
              <w:ind w:right="176"/>
              <w:jc w:val="left"/>
              <w:rPr>
                <w:rFonts w:cs="Arial"/>
                <w:i/>
                <w:sz w:val="18"/>
                <w:szCs w:val="18"/>
                <w:lang w:val="de-DE"/>
              </w:rPr>
            </w:pPr>
            <w:r w:rsidRPr="00EC62E9">
              <w:rPr>
                <w:i/>
                <w:sz w:val="18"/>
                <w:lang w:val="de-DE"/>
              </w:rPr>
              <w:t>Durchschnittliche Dauer des Besuchs:</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00:06:35</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00:07:19</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00:04:41</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00:04:12</w:t>
            </w:r>
          </w:p>
        </w:tc>
      </w:tr>
      <w:tr w:rsidR="00EC3D6C" w:rsidRPr="00EC62E9" w:rsidTr="00C2293A">
        <w:trPr>
          <w:jc w:val="center"/>
        </w:trPr>
        <w:tc>
          <w:tcPr>
            <w:tcW w:w="3534" w:type="dxa"/>
            <w:tcMar>
              <w:top w:w="28" w:type="dxa"/>
              <w:bottom w:w="0" w:type="dxa"/>
            </w:tcMar>
          </w:tcPr>
          <w:p w:rsidR="00EC3D6C" w:rsidRPr="00EC62E9" w:rsidRDefault="00EC3D6C" w:rsidP="00B9474C">
            <w:pPr>
              <w:jc w:val="left"/>
              <w:rPr>
                <w:rFonts w:cs="Arial"/>
                <w:i/>
                <w:sz w:val="18"/>
                <w:szCs w:val="18"/>
                <w:lang w:val="de-DE"/>
              </w:rPr>
            </w:pPr>
            <w:r w:rsidRPr="00EC62E9">
              <w:rPr>
                <w:i/>
                <w:sz w:val="18"/>
                <w:lang w:val="de-DE"/>
              </w:rPr>
              <w:t>Prozentsatz neuer Aufrufe:</w:t>
            </w:r>
          </w:p>
        </w:tc>
        <w:tc>
          <w:tcPr>
            <w:tcW w:w="1299" w:type="dxa"/>
          </w:tcPr>
          <w:p w:rsidR="00EC3D6C" w:rsidRPr="00EC62E9" w:rsidRDefault="00EC3D6C" w:rsidP="00B9474C">
            <w:pPr>
              <w:ind w:right="113"/>
              <w:jc w:val="center"/>
              <w:rPr>
                <w:rFonts w:cs="Arial"/>
                <w:sz w:val="18"/>
                <w:szCs w:val="18"/>
                <w:lang w:val="de-DE"/>
              </w:rPr>
            </w:pPr>
            <w:r w:rsidRPr="00EC62E9">
              <w:rPr>
                <w:sz w:val="18"/>
                <w:lang w:val="de-DE"/>
              </w:rPr>
              <w:t>54,6%</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45,05%</w:t>
            </w:r>
          </w:p>
        </w:tc>
        <w:tc>
          <w:tcPr>
            <w:tcW w:w="1299" w:type="dxa"/>
            <w:tcMar>
              <w:top w:w="28" w:type="dxa"/>
              <w:bottom w:w="0" w:type="dxa"/>
            </w:tcMar>
          </w:tcPr>
          <w:p w:rsidR="00EC3D6C" w:rsidRPr="00EC62E9" w:rsidRDefault="00EC3D6C" w:rsidP="00B9474C">
            <w:pPr>
              <w:ind w:right="113"/>
              <w:jc w:val="center"/>
              <w:rPr>
                <w:rFonts w:cs="Arial"/>
                <w:sz w:val="18"/>
                <w:szCs w:val="18"/>
                <w:lang w:val="de-DE"/>
              </w:rPr>
            </w:pPr>
            <w:r w:rsidRPr="00EC62E9">
              <w:rPr>
                <w:sz w:val="18"/>
                <w:lang w:val="de-DE"/>
              </w:rPr>
              <w:t>51,91%</w:t>
            </w:r>
          </w:p>
        </w:tc>
        <w:tc>
          <w:tcPr>
            <w:tcW w:w="1300" w:type="dxa"/>
          </w:tcPr>
          <w:p w:rsidR="00EC3D6C" w:rsidRPr="00EC62E9" w:rsidRDefault="00EC3D6C" w:rsidP="00B9474C">
            <w:pPr>
              <w:ind w:right="113"/>
              <w:jc w:val="center"/>
              <w:rPr>
                <w:rFonts w:cs="Arial"/>
                <w:sz w:val="18"/>
                <w:szCs w:val="18"/>
                <w:lang w:val="de-DE"/>
              </w:rPr>
            </w:pPr>
            <w:r w:rsidRPr="00EC62E9">
              <w:rPr>
                <w:sz w:val="18"/>
                <w:lang w:val="de-DE"/>
              </w:rPr>
              <w:t>50,57%</w:t>
            </w:r>
          </w:p>
        </w:tc>
      </w:tr>
    </w:tbl>
    <w:p w:rsidR="00EC3D6C" w:rsidRPr="00EC62E9" w:rsidRDefault="00EC3D6C" w:rsidP="00EC3D6C">
      <w:pPr>
        <w:tabs>
          <w:tab w:val="right" w:pos="3720"/>
          <w:tab w:val="left" w:pos="4003"/>
        </w:tabs>
        <w:ind w:left="602" w:right="176" w:hanging="318"/>
        <w:jc w:val="left"/>
        <w:rPr>
          <w:sz w:val="18"/>
          <w:szCs w:val="18"/>
          <w:lang w:val="de-DE"/>
        </w:rPr>
      </w:pPr>
    </w:p>
    <w:p w:rsidR="00EC3D6C" w:rsidRPr="00EC62E9" w:rsidRDefault="00EC3D6C" w:rsidP="00EC3D6C">
      <w:pPr>
        <w:rPr>
          <w:lang w:val="de-DE"/>
        </w:rPr>
      </w:pPr>
    </w:p>
    <w:tbl>
      <w:tblPr>
        <w:tblW w:w="9889" w:type="dxa"/>
        <w:jc w:val="center"/>
        <w:tblLayout w:type="fixed"/>
        <w:tblLook w:val="0000" w:firstRow="0" w:lastRow="0" w:firstColumn="0" w:lastColumn="0" w:noHBand="0" w:noVBand="0"/>
      </w:tblPr>
      <w:tblGrid>
        <w:gridCol w:w="4944"/>
        <w:gridCol w:w="4945"/>
      </w:tblGrid>
      <w:tr w:rsidR="00EC3D6C" w:rsidRPr="00EC62E9" w:rsidTr="00B9474C">
        <w:trPr>
          <w:jc w:val="center"/>
        </w:trPr>
        <w:tc>
          <w:tcPr>
            <w:tcW w:w="4944" w:type="dxa"/>
          </w:tcPr>
          <w:p w:rsidR="00EC3D6C" w:rsidRPr="00EC62E9" w:rsidRDefault="00EC3D6C" w:rsidP="00B9474C">
            <w:pPr>
              <w:rPr>
                <w:rFonts w:eastAsiaTheme="minorEastAsia"/>
                <w:i/>
                <w:iCs/>
                <w:sz w:val="18"/>
                <w:szCs w:val="24"/>
                <w:lang w:val="de-DE"/>
              </w:rPr>
            </w:pPr>
            <w:r w:rsidRPr="00EC62E9">
              <w:rPr>
                <w:rFonts w:eastAsiaTheme="minorEastAsia"/>
                <w:i/>
                <w:sz w:val="18"/>
                <w:lang w:val="de-DE"/>
              </w:rPr>
              <w:t>Website Überblick:   Weltweite Abdeckung im Jahr 2013</w:t>
            </w:r>
          </w:p>
          <w:p w:rsidR="00EC3D6C" w:rsidRPr="00EC62E9" w:rsidRDefault="00EC3D6C" w:rsidP="00B9474C">
            <w:pPr>
              <w:rPr>
                <w:rFonts w:eastAsiaTheme="minorEastAsia"/>
                <w:i/>
                <w:iCs/>
                <w:sz w:val="18"/>
                <w:szCs w:val="24"/>
                <w:lang w:val="de-DE"/>
              </w:rPr>
            </w:pPr>
          </w:p>
          <w:p w:rsidR="00EC3D6C" w:rsidRPr="00EC62E9" w:rsidRDefault="00EC3D6C" w:rsidP="00B9474C">
            <w:pPr>
              <w:jc w:val="center"/>
              <w:rPr>
                <w:rFonts w:eastAsiaTheme="minorEastAsia"/>
                <w:i/>
                <w:iCs/>
                <w:sz w:val="18"/>
                <w:szCs w:val="24"/>
                <w:lang w:val="de-DE"/>
              </w:rPr>
            </w:pPr>
            <w:r w:rsidRPr="00EC62E9">
              <w:rPr>
                <w:noProof/>
                <w:sz w:val="18"/>
                <w:szCs w:val="18"/>
              </w:rPr>
              <w:drawing>
                <wp:inline distT="0" distB="0" distL="0" distR="0" wp14:anchorId="64EF63AD" wp14:editId="4ECFD597">
                  <wp:extent cx="2343150" cy="161702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2013_geo_sessions.jp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344342" cy="1617847"/>
                          </a:xfrm>
                          <a:prstGeom prst="rect">
                            <a:avLst/>
                          </a:prstGeom>
                        </pic:spPr>
                      </pic:pic>
                    </a:graphicData>
                  </a:graphic>
                </wp:inline>
              </w:drawing>
            </w:r>
          </w:p>
          <w:p w:rsidR="00EC3D6C" w:rsidRPr="00EC62E9" w:rsidRDefault="00EC3D6C" w:rsidP="00B9474C">
            <w:pPr>
              <w:pStyle w:val="Heading9"/>
              <w:keepLines/>
              <w:spacing w:after="0"/>
              <w:rPr>
                <w:lang w:val="de-DE"/>
              </w:rPr>
            </w:pPr>
          </w:p>
        </w:tc>
        <w:tc>
          <w:tcPr>
            <w:tcW w:w="4945" w:type="dxa"/>
          </w:tcPr>
          <w:p w:rsidR="00EC3D6C" w:rsidRPr="00EC62E9" w:rsidRDefault="00EC3D6C" w:rsidP="00B9474C">
            <w:pPr>
              <w:rPr>
                <w:bCs/>
                <w:sz w:val="18"/>
                <w:szCs w:val="18"/>
                <w:lang w:val="de-DE"/>
              </w:rPr>
            </w:pPr>
            <w:r w:rsidRPr="00EC62E9">
              <w:rPr>
                <w:sz w:val="18"/>
                <w:lang w:val="de-DE"/>
              </w:rPr>
              <w:t xml:space="preserve">Sitzungen nach Land: </w:t>
            </w:r>
          </w:p>
          <w:p w:rsidR="00EC3D6C" w:rsidRPr="00EC62E9" w:rsidRDefault="00EC3D6C" w:rsidP="00B9474C">
            <w:pPr>
              <w:rPr>
                <w:bCs/>
                <w:sz w:val="18"/>
                <w:szCs w:val="18"/>
                <w:lang w:val="de-DE"/>
              </w:rPr>
            </w:pPr>
          </w:p>
          <w:p w:rsidR="00EC3D6C" w:rsidRPr="00EC62E9" w:rsidRDefault="00EC3D6C" w:rsidP="00B9474C">
            <w:pPr>
              <w:rPr>
                <w:sz w:val="18"/>
                <w:szCs w:val="18"/>
                <w:lang w:val="de-DE"/>
              </w:rPr>
            </w:pPr>
            <w:r w:rsidRPr="00EC62E9">
              <w:rPr>
                <w:sz w:val="18"/>
                <w:lang w:val="de-DE"/>
              </w:rPr>
              <w:t xml:space="preserve">1. </w:t>
            </w:r>
            <w:r w:rsidRPr="00EC62E9">
              <w:rPr>
                <w:lang w:val="de-DE"/>
              </w:rPr>
              <w:tab/>
            </w:r>
            <w:r w:rsidRPr="00EC62E9">
              <w:rPr>
                <w:sz w:val="18"/>
                <w:lang w:val="de-DE"/>
              </w:rPr>
              <w:t xml:space="preserve">Schweiz (8%) </w:t>
            </w:r>
          </w:p>
          <w:p w:rsidR="00EC3D6C" w:rsidRPr="00EC62E9" w:rsidRDefault="00EC3D6C" w:rsidP="00B9474C">
            <w:pPr>
              <w:rPr>
                <w:sz w:val="18"/>
                <w:szCs w:val="18"/>
                <w:lang w:val="de-DE"/>
              </w:rPr>
            </w:pPr>
            <w:r w:rsidRPr="00EC62E9">
              <w:rPr>
                <w:sz w:val="18"/>
                <w:lang w:val="de-DE"/>
              </w:rPr>
              <w:t xml:space="preserve">2. </w:t>
            </w:r>
            <w:r w:rsidRPr="00EC62E9">
              <w:rPr>
                <w:lang w:val="de-DE"/>
              </w:rPr>
              <w:tab/>
            </w:r>
            <w:r w:rsidRPr="00EC62E9">
              <w:rPr>
                <w:sz w:val="18"/>
                <w:lang w:val="de-DE"/>
              </w:rPr>
              <w:t xml:space="preserve">Frankreich (7%) </w:t>
            </w:r>
          </w:p>
          <w:p w:rsidR="00EC3D6C" w:rsidRPr="00EC62E9" w:rsidRDefault="00EC3D6C" w:rsidP="00B9474C">
            <w:pPr>
              <w:rPr>
                <w:sz w:val="18"/>
                <w:szCs w:val="18"/>
                <w:lang w:val="de-DE"/>
              </w:rPr>
            </w:pPr>
            <w:r w:rsidRPr="00EC62E9">
              <w:rPr>
                <w:sz w:val="18"/>
                <w:lang w:val="de-DE"/>
              </w:rPr>
              <w:t xml:space="preserve">3. </w:t>
            </w:r>
            <w:r w:rsidRPr="00EC62E9">
              <w:rPr>
                <w:lang w:val="de-DE"/>
              </w:rPr>
              <w:tab/>
            </w:r>
            <w:r w:rsidRPr="00EC62E9">
              <w:rPr>
                <w:sz w:val="18"/>
                <w:lang w:val="de-DE"/>
              </w:rPr>
              <w:t xml:space="preserve">Vereinigte Staaten von Amerika (6%) </w:t>
            </w:r>
          </w:p>
          <w:p w:rsidR="00EC3D6C" w:rsidRPr="00EC62E9" w:rsidRDefault="00EC3D6C" w:rsidP="00B9474C">
            <w:pPr>
              <w:rPr>
                <w:sz w:val="18"/>
                <w:szCs w:val="18"/>
                <w:lang w:val="de-DE"/>
              </w:rPr>
            </w:pPr>
            <w:r w:rsidRPr="00EC62E9">
              <w:rPr>
                <w:sz w:val="18"/>
                <w:lang w:val="de-DE"/>
              </w:rPr>
              <w:t xml:space="preserve">4. </w:t>
            </w:r>
            <w:r w:rsidRPr="00EC62E9">
              <w:rPr>
                <w:lang w:val="de-DE"/>
              </w:rPr>
              <w:tab/>
            </w:r>
            <w:r w:rsidRPr="00EC62E9">
              <w:rPr>
                <w:sz w:val="18"/>
                <w:lang w:val="de-DE"/>
              </w:rPr>
              <w:t>Japan (4%)</w:t>
            </w:r>
          </w:p>
          <w:p w:rsidR="00EC3D6C" w:rsidRPr="00EC62E9" w:rsidRDefault="00EC3D6C" w:rsidP="00B9474C">
            <w:pPr>
              <w:rPr>
                <w:sz w:val="18"/>
                <w:szCs w:val="18"/>
                <w:lang w:val="de-DE"/>
              </w:rPr>
            </w:pPr>
            <w:r w:rsidRPr="00EC62E9">
              <w:rPr>
                <w:sz w:val="18"/>
                <w:lang w:val="de-DE"/>
              </w:rPr>
              <w:t xml:space="preserve">5. </w:t>
            </w:r>
            <w:r w:rsidRPr="00EC62E9">
              <w:rPr>
                <w:lang w:val="de-DE"/>
              </w:rPr>
              <w:tab/>
            </w:r>
            <w:r w:rsidRPr="00EC62E9">
              <w:rPr>
                <w:sz w:val="18"/>
                <w:lang w:val="de-DE"/>
              </w:rPr>
              <w:t xml:space="preserve">Niederlande (4%) </w:t>
            </w:r>
          </w:p>
          <w:p w:rsidR="00EC3D6C" w:rsidRPr="00EC62E9" w:rsidRDefault="00EC3D6C" w:rsidP="00B9474C">
            <w:pPr>
              <w:rPr>
                <w:sz w:val="18"/>
                <w:szCs w:val="18"/>
                <w:lang w:val="de-DE"/>
              </w:rPr>
            </w:pPr>
            <w:r w:rsidRPr="00EC62E9">
              <w:rPr>
                <w:sz w:val="18"/>
                <w:lang w:val="de-DE"/>
              </w:rPr>
              <w:t xml:space="preserve">6. </w:t>
            </w:r>
            <w:r w:rsidRPr="00EC62E9">
              <w:rPr>
                <w:lang w:val="de-DE"/>
              </w:rPr>
              <w:tab/>
            </w:r>
            <w:r w:rsidRPr="00EC62E9">
              <w:rPr>
                <w:sz w:val="18"/>
                <w:lang w:val="de-DE"/>
              </w:rPr>
              <w:t xml:space="preserve">Indien (4%) </w:t>
            </w:r>
          </w:p>
          <w:p w:rsidR="00EC3D6C" w:rsidRPr="00EC62E9" w:rsidRDefault="00EC3D6C" w:rsidP="00B9474C">
            <w:pPr>
              <w:rPr>
                <w:sz w:val="18"/>
                <w:szCs w:val="18"/>
                <w:lang w:val="de-DE"/>
              </w:rPr>
            </w:pPr>
            <w:r w:rsidRPr="00EC62E9">
              <w:rPr>
                <w:sz w:val="18"/>
                <w:lang w:val="de-DE"/>
              </w:rPr>
              <w:t>7.</w:t>
            </w:r>
            <w:r w:rsidRPr="00EC62E9">
              <w:rPr>
                <w:lang w:val="de-DE"/>
              </w:rPr>
              <w:tab/>
            </w:r>
            <w:r w:rsidRPr="00EC62E9">
              <w:rPr>
                <w:sz w:val="18"/>
                <w:lang w:val="de-DE"/>
              </w:rPr>
              <w:t xml:space="preserve">Deutschland (4%) </w:t>
            </w:r>
          </w:p>
          <w:p w:rsidR="00EC3D6C" w:rsidRPr="00EC62E9" w:rsidRDefault="00EC3D6C" w:rsidP="00B9474C">
            <w:pPr>
              <w:rPr>
                <w:sz w:val="18"/>
                <w:szCs w:val="18"/>
                <w:lang w:val="de-DE"/>
              </w:rPr>
            </w:pPr>
            <w:r w:rsidRPr="00EC62E9">
              <w:rPr>
                <w:sz w:val="18"/>
                <w:lang w:val="de-DE"/>
              </w:rPr>
              <w:t xml:space="preserve">8. </w:t>
            </w:r>
            <w:r w:rsidRPr="00EC62E9">
              <w:rPr>
                <w:lang w:val="de-DE"/>
              </w:rPr>
              <w:tab/>
            </w:r>
            <w:r w:rsidRPr="00EC62E9">
              <w:rPr>
                <w:sz w:val="18"/>
                <w:lang w:val="de-DE"/>
              </w:rPr>
              <w:t xml:space="preserve">Mexiko (4%) </w:t>
            </w:r>
          </w:p>
          <w:p w:rsidR="00EC3D6C" w:rsidRPr="00EC62E9" w:rsidRDefault="00EC3D6C" w:rsidP="00B9474C">
            <w:pPr>
              <w:rPr>
                <w:sz w:val="18"/>
                <w:szCs w:val="18"/>
                <w:lang w:val="de-DE"/>
              </w:rPr>
            </w:pPr>
            <w:r w:rsidRPr="00EC62E9">
              <w:rPr>
                <w:sz w:val="18"/>
                <w:lang w:val="de-DE"/>
              </w:rPr>
              <w:t xml:space="preserve">9. </w:t>
            </w:r>
            <w:r w:rsidRPr="00EC62E9">
              <w:rPr>
                <w:lang w:val="de-DE"/>
              </w:rPr>
              <w:tab/>
            </w:r>
            <w:r w:rsidRPr="00EC62E9">
              <w:rPr>
                <w:sz w:val="18"/>
                <w:lang w:val="de-DE"/>
              </w:rPr>
              <w:t xml:space="preserve">Chile (3%) </w:t>
            </w:r>
          </w:p>
          <w:p w:rsidR="00EC3D6C" w:rsidRPr="00EC62E9" w:rsidRDefault="00EC3D6C" w:rsidP="00B9474C">
            <w:pPr>
              <w:rPr>
                <w:sz w:val="18"/>
                <w:szCs w:val="18"/>
                <w:lang w:val="de-DE"/>
              </w:rPr>
            </w:pPr>
            <w:r w:rsidRPr="00EC62E9">
              <w:rPr>
                <w:sz w:val="18"/>
                <w:lang w:val="de-DE"/>
              </w:rPr>
              <w:t>10.</w:t>
            </w:r>
            <w:r w:rsidRPr="00EC62E9">
              <w:rPr>
                <w:lang w:val="de-DE"/>
              </w:rPr>
              <w:tab/>
            </w:r>
            <w:r w:rsidRPr="00EC62E9">
              <w:rPr>
                <w:sz w:val="18"/>
                <w:lang w:val="de-DE"/>
              </w:rPr>
              <w:t xml:space="preserve">Spanien (3%) </w:t>
            </w:r>
          </w:p>
          <w:p w:rsidR="00EC3D6C" w:rsidRPr="00EC62E9" w:rsidRDefault="00EC3D6C" w:rsidP="00B9474C">
            <w:pPr>
              <w:rPr>
                <w:bCs/>
                <w:sz w:val="18"/>
                <w:szCs w:val="18"/>
                <w:lang w:val="de-DE"/>
              </w:rPr>
            </w:pPr>
          </w:p>
          <w:p w:rsidR="00EC3D6C" w:rsidRPr="00EC62E9" w:rsidRDefault="00EC3D6C" w:rsidP="00B9474C">
            <w:pPr>
              <w:pStyle w:val="Heading9"/>
              <w:keepLines/>
              <w:rPr>
                <w:lang w:val="de-DE"/>
              </w:rPr>
            </w:pPr>
          </w:p>
          <w:p w:rsidR="00EC3D6C" w:rsidRPr="00EC62E9" w:rsidRDefault="00EC3D6C" w:rsidP="00B9474C">
            <w:pPr>
              <w:rPr>
                <w:lang w:val="de-DE"/>
              </w:rPr>
            </w:pPr>
          </w:p>
          <w:p w:rsidR="00EC3D6C" w:rsidRPr="00EC62E9" w:rsidRDefault="00EC3D6C" w:rsidP="00B9474C">
            <w:pPr>
              <w:rPr>
                <w:lang w:val="de-DE"/>
              </w:rPr>
            </w:pPr>
          </w:p>
        </w:tc>
      </w:tr>
    </w:tbl>
    <w:p w:rsidR="00EC3D6C" w:rsidRPr="00EC62E9" w:rsidRDefault="00EC3D6C" w:rsidP="00EC3D6C">
      <w:pPr>
        <w:rPr>
          <w:lang w:val="de-DE"/>
        </w:rPr>
      </w:pPr>
    </w:p>
    <w:p w:rsidR="00EC3D6C" w:rsidRPr="00EC62E9" w:rsidRDefault="00EC3D6C" w:rsidP="00EC3D6C">
      <w:pPr>
        <w:rPr>
          <w:rFonts w:eastAsiaTheme="minorEastAsia"/>
          <w:i/>
          <w:iCs/>
          <w:sz w:val="18"/>
          <w:szCs w:val="24"/>
          <w:lang w:val="de-DE"/>
        </w:rPr>
      </w:pPr>
    </w:p>
    <w:tbl>
      <w:tblPr>
        <w:tblStyle w:val="TableGrid"/>
        <w:tblW w:w="9750" w:type="dxa"/>
        <w:jc w:val="center"/>
        <w:tblInd w:w="-4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7"/>
        <w:gridCol w:w="1017"/>
        <w:gridCol w:w="648"/>
        <w:gridCol w:w="1017"/>
        <w:gridCol w:w="649"/>
        <w:gridCol w:w="1017"/>
        <w:gridCol w:w="649"/>
        <w:gridCol w:w="1017"/>
        <w:gridCol w:w="649"/>
      </w:tblGrid>
      <w:tr w:rsidR="00EC3D6C" w:rsidRPr="00EC62E9" w:rsidTr="00C2293A">
        <w:trPr>
          <w:trHeight w:val="191"/>
          <w:jc w:val="center"/>
        </w:trPr>
        <w:tc>
          <w:tcPr>
            <w:tcW w:w="3087" w:type="dxa"/>
            <w:vMerge w:val="restart"/>
            <w:tcMar>
              <w:top w:w="28" w:type="dxa"/>
              <w:bottom w:w="28" w:type="dxa"/>
            </w:tcMar>
          </w:tcPr>
          <w:p w:rsidR="00EC3D6C" w:rsidRPr="00EC62E9" w:rsidRDefault="00EC3D6C" w:rsidP="00B9474C">
            <w:pPr>
              <w:tabs>
                <w:tab w:val="right" w:pos="3720"/>
                <w:tab w:val="left" w:pos="4003"/>
              </w:tabs>
              <w:jc w:val="left"/>
              <w:rPr>
                <w:rFonts w:cs="Arial"/>
                <w:sz w:val="18"/>
                <w:szCs w:val="18"/>
                <w:lang w:val="de-DE"/>
              </w:rPr>
            </w:pPr>
            <w:r w:rsidRPr="00EC62E9">
              <w:rPr>
                <w:sz w:val="18"/>
                <w:lang w:val="de-DE"/>
              </w:rPr>
              <w:t>Browsersprache des Besuchers</w:t>
            </w:r>
          </w:p>
        </w:tc>
        <w:tc>
          <w:tcPr>
            <w:tcW w:w="1665" w:type="dxa"/>
            <w:gridSpan w:val="2"/>
            <w:tcMar>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2013</w:t>
            </w:r>
          </w:p>
        </w:tc>
        <w:tc>
          <w:tcPr>
            <w:tcW w:w="1666" w:type="dxa"/>
            <w:gridSpan w:val="2"/>
            <w:tcMar>
              <w:top w:w="28" w:type="dxa"/>
              <w:left w:w="57" w:type="dxa"/>
              <w:bottom w:w="28"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2012</w:t>
            </w:r>
          </w:p>
        </w:tc>
        <w:tc>
          <w:tcPr>
            <w:tcW w:w="1666" w:type="dxa"/>
            <w:gridSpan w:val="2"/>
            <w:tcMar>
              <w:top w:w="28" w:type="dxa"/>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2011</w:t>
            </w:r>
          </w:p>
        </w:tc>
        <w:tc>
          <w:tcPr>
            <w:tcW w:w="1666" w:type="dxa"/>
            <w:gridSpan w:val="2"/>
            <w:tcMar>
              <w:top w:w="28" w:type="dxa"/>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2010</w:t>
            </w:r>
          </w:p>
        </w:tc>
      </w:tr>
      <w:tr w:rsidR="00EC3D6C" w:rsidRPr="00EC62E9" w:rsidTr="00C2293A">
        <w:trPr>
          <w:trHeight w:val="126"/>
          <w:jc w:val="center"/>
        </w:trPr>
        <w:tc>
          <w:tcPr>
            <w:tcW w:w="3087" w:type="dxa"/>
            <w:vMerge/>
            <w:tcMar>
              <w:top w:w="28" w:type="dxa"/>
              <w:bottom w:w="28" w:type="dxa"/>
            </w:tcMar>
          </w:tcPr>
          <w:p w:rsidR="00EC3D6C" w:rsidRPr="00EC62E9" w:rsidRDefault="00EC3D6C" w:rsidP="00B9474C">
            <w:pPr>
              <w:tabs>
                <w:tab w:val="right" w:pos="3720"/>
                <w:tab w:val="left" w:pos="4003"/>
              </w:tabs>
              <w:jc w:val="left"/>
              <w:rPr>
                <w:rFonts w:cs="Arial"/>
                <w:sz w:val="18"/>
                <w:szCs w:val="18"/>
                <w:lang w:val="de-DE"/>
              </w:rPr>
            </w:pPr>
          </w:p>
        </w:tc>
        <w:tc>
          <w:tcPr>
            <w:tcW w:w="1017" w:type="dxa"/>
            <w:tcMar>
              <w:left w:w="57" w:type="dxa"/>
              <w:right w:w="57" w:type="dxa"/>
            </w:tcMar>
          </w:tcPr>
          <w:p w:rsidR="00EC3D6C" w:rsidRPr="00EC62E9" w:rsidRDefault="00EC3D6C" w:rsidP="00C2293A">
            <w:pPr>
              <w:tabs>
                <w:tab w:val="right" w:pos="3720"/>
                <w:tab w:val="left" w:pos="4003"/>
              </w:tabs>
              <w:jc w:val="center"/>
              <w:rPr>
                <w:rFonts w:cs="Arial"/>
                <w:sz w:val="18"/>
                <w:szCs w:val="18"/>
                <w:lang w:val="de-DE"/>
              </w:rPr>
            </w:pPr>
            <w:r w:rsidRPr="00EC62E9">
              <w:rPr>
                <w:sz w:val="18"/>
                <w:lang w:val="de-DE"/>
              </w:rPr>
              <w:t>Besuche</w:t>
            </w:r>
          </w:p>
        </w:tc>
        <w:tc>
          <w:tcPr>
            <w:tcW w:w="648" w:type="dxa"/>
            <w:tcMar>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w:t>
            </w:r>
          </w:p>
        </w:tc>
        <w:tc>
          <w:tcPr>
            <w:tcW w:w="1017" w:type="dxa"/>
            <w:tcMar>
              <w:top w:w="28" w:type="dxa"/>
              <w:left w:w="57" w:type="dxa"/>
              <w:bottom w:w="28" w:type="dxa"/>
              <w:right w:w="57" w:type="dxa"/>
            </w:tcMar>
          </w:tcPr>
          <w:p w:rsidR="00EC3D6C" w:rsidRPr="00EC62E9" w:rsidRDefault="00EC3D6C" w:rsidP="00C2293A">
            <w:pPr>
              <w:tabs>
                <w:tab w:val="right" w:pos="3720"/>
                <w:tab w:val="left" w:pos="4003"/>
              </w:tabs>
              <w:jc w:val="center"/>
              <w:rPr>
                <w:rFonts w:cs="Arial"/>
                <w:sz w:val="18"/>
                <w:szCs w:val="18"/>
                <w:lang w:val="de-DE"/>
              </w:rPr>
            </w:pPr>
            <w:r w:rsidRPr="00EC62E9">
              <w:rPr>
                <w:sz w:val="18"/>
                <w:lang w:val="de-DE"/>
              </w:rPr>
              <w:t>Besuche</w:t>
            </w:r>
          </w:p>
        </w:tc>
        <w:tc>
          <w:tcPr>
            <w:tcW w:w="649" w:type="dxa"/>
            <w:tcMar>
              <w:top w:w="28" w:type="dxa"/>
              <w:left w:w="57" w:type="dxa"/>
              <w:bottom w:w="28"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w:t>
            </w:r>
          </w:p>
        </w:tc>
        <w:tc>
          <w:tcPr>
            <w:tcW w:w="1017" w:type="dxa"/>
            <w:tcMar>
              <w:top w:w="28" w:type="dxa"/>
              <w:left w:w="57" w:type="dxa"/>
              <w:right w:w="57" w:type="dxa"/>
            </w:tcMar>
          </w:tcPr>
          <w:p w:rsidR="00EC3D6C" w:rsidRPr="00EC62E9" w:rsidRDefault="00EC3D6C" w:rsidP="00C2293A">
            <w:pPr>
              <w:tabs>
                <w:tab w:val="right" w:pos="3720"/>
                <w:tab w:val="left" w:pos="4003"/>
              </w:tabs>
              <w:jc w:val="center"/>
              <w:rPr>
                <w:rFonts w:cs="Arial"/>
                <w:sz w:val="18"/>
                <w:szCs w:val="18"/>
                <w:lang w:val="de-DE"/>
              </w:rPr>
            </w:pPr>
            <w:r w:rsidRPr="00EC62E9">
              <w:rPr>
                <w:sz w:val="18"/>
                <w:lang w:val="de-DE"/>
              </w:rPr>
              <w:t>Besuche</w:t>
            </w:r>
          </w:p>
        </w:tc>
        <w:tc>
          <w:tcPr>
            <w:tcW w:w="649" w:type="dxa"/>
            <w:tcMar>
              <w:top w:w="28" w:type="dxa"/>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w:t>
            </w:r>
          </w:p>
        </w:tc>
        <w:tc>
          <w:tcPr>
            <w:tcW w:w="1017" w:type="dxa"/>
            <w:tcMar>
              <w:top w:w="28" w:type="dxa"/>
              <w:left w:w="57" w:type="dxa"/>
              <w:right w:w="57" w:type="dxa"/>
            </w:tcMar>
          </w:tcPr>
          <w:p w:rsidR="00EC3D6C" w:rsidRPr="00EC62E9" w:rsidRDefault="00EC3D6C" w:rsidP="00C2293A">
            <w:pPr>
              <w:tabs>
                <w:tab w:val="right" w:pos="3720"/>
                <w:tab w:val="left" w:pos="4003"/>
              </w:tabs>
              <w:jc w:val="center"/>
              <w:rPr>
                <w:rFonts w:cs="Arial"/>
                <w:sz w:val="18"/>
                <w:szCs w:val="18"/>
                <w:lang w:val="de-DE"/>
              </w:rPr>
            </w:pPr>
            <w:r w:rsidRPr="00EC62E9">
              <w:rPr>
                <w:sz w:val="18"/>
                <w:lang w:val="de-DE"/>
              </w:rPr>
              <w:t>Besuche</w:t>
            </w:r>
          </w:p>
        </w:tc>
        <w:tc>
          <w:tcPr>
            <w:tcW w:w="649" w:type="dxa"/>
            <w:tcMar>
              <w:top w:w="28" w:type="dxa"/>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w:t>
            </w: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en-</w:t>
            </w:r>
            <w:proofErr w:type="spellStart"/>
            <w:r w:rsidRPr="00EC62E9">
              <w:rPr>
                <w:sz w:val="18"/>
                <w:lang w:val="de-DE"/>
              </w:rPr>
              <w:t>us</w:t>
            </w:r>
            <w:proofErr w:type="spellEnd"/>
            <w:r w:rsidRPr="00EC62E9">
              <w:rPr>
                <w:sz w:val="18"/>
                <w:lang w:val="de-DE"/>
              </w:rPr>
              <w:t>: Englisch (US)</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70.706</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39,56</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57.341</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37,75</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50.571</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36,03</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46.527</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39,13</w:t>
            </w:r>
          </w:p>
        </w:tc>
      </w:tr>
      <w:tr w:rsidR="00EC3D6C" w:rsidRPr="00EC62E9" w:rsidTr="00C2293A">
        <w:trPr>
          <w:trHeight w:val="191"/>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es: Spanisch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18.669</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10,45</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19.001</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12,51</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23.605</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16,82</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16.141</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13,58</w:t>
            </w: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proofErr w:type="spellStart"/>
            <w:r w:rsidRPr="00EC62E9">
              <w:rPr>
                <w:sz w:val="18"/>
                <w:lang w:val="de-DE"/>
              </w:rPr>
              <w:t>fr</w:t>
            </w:r>
            <w:proofErr w:type="spellEnd"/>
            <w:r w:rsidRPr="00EC62E9">
              <w:rPr>
                <w:sz w:val="18"/>
                <w:lang w:val="de-DE"/>
              </w:rPr>
              <w:t>: Französisch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13.876</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7,76</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14.212</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9,36</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10.670</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7,60</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11.169</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9,39</w:t>
            </w: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es-es: Spanisch (Spanien)</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9.234</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5,17</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5.698</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3,75</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9.124</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6,50</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4.104</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3,45</w:t>
            </w:r>
          </w:p>
        </w:tc>
      </w:tr>
      <w:tr w:rsidR="00EC3D6C" w:rsidRPr="00EC62E9" w:rsidTr="00C2293A">
        <w:trPr>
          <w:trHeight w:val="191"/>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proofErr w:type="spellStart"/>
            <w:r w:rsidRPr="00EC62E9">
              <w:rPr>
                <w:sz w:val="18"/>
                <w:lang w:val="de-DE"/>
              </w:rPr>
              <w:t>ru</w:t>
            </w:r>
            <w:proofErr w:type="spellEnd"/>
            <w:r w:rsidRPr="00EC62E9">
              <w:rPr>
                <w:sz w:val="18"/>
                <w:lang w:val="de-DE"/>
              </w:rPr>
              <w:t>: Russisch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6.596</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3,69</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3.630</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2,39</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3.168</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2,26</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2.509</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2,11</w:t>
            </w: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ja: Japanisch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6.444</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3,61</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7.562</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4,98</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6.387</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4,55</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5.349</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4,50</w:t>
            </w: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proofErr w:type="spellStart"/>
            <w:r w:rsidRPr="00EC62E9">
              <w:rPr>
                <w:sz w:val="18"/>
                <w:lang w:val="de-DE"/>
              </w:rPr>
              <w:t>nl</w:t>
            </w:r>
            <w:proofErr w:type="spellEnd"/>
            <w:r w:rsidRPr="00EC62E9">
              <w:rPr>
                <w:sz w:val="18"/>
                <w:lang w:val="de-DE"/>
              </w:rPr>
              <w:t>: Niederländisch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4.347</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2,43</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4.152</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2,73</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2.742</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1,95</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2.671</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2,25</w:t>
            </w:r>
          </w:p>
        </w:tc>
      </w:tr>
      <w:tr w:rsidR="00EC3D6C" w:rsidRPr="00EC62E9" w:rsidTr="00C2293A">
        <w:trPr>
          <w:trHeight w:val="191"/>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de: Deutsch</w:t>
            </w:r>
          </w:p>
        </w:tc>
        <w:tc>
          <w:tcPr>
            <w:tcW w:w="1017" w:type="dxa"/>
            <w:tcMar>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3.998</w:t>
            </w:r>
          </w:p>
        </w:tc>
        <w:tc>
          <w:tcPr>
            <w:tcW w:w="648" w:type="dxa"/>
            <w:tcMar>
              <w:left w:w="57" w:type="dxa"/>
              <w:right w:w="57" w:type="dxa"/>
            </w:tcMar>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2,24</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r>
      <w:tr w:rsidR="00EC3D6C" w:rsidRPr="00EC62E9" w:rsidTr="00C2293A">
        <w:trPr>
          <w:trHeight w:val="17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proofErr w:type="spellStart"/>
            <w:r w:rsidRPr="00EC62E9">
              <w:rPr>
                <w:sz w:val="18"/>
                <w:lang w:val="de-DE"/>
              </w:rPr>
              <w:t>pt-br</w:t>
            </w:r>
            <w:proofErr w:type="spellEnd"/>
            <w:r w:rsidRPr="00EC62E9">
              <w:rPr>
                <w:sz w:val="18"/>
                <w:lang w:val="de-DE"/>
              </w:rPr>
              <w:t>: Portugiesisch (Brasilien)</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4.014</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2,25</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p>
        </w:tc>
      </w:tr>
      <w:tr w:rsidR="00EC3D6C" w:rsidRPr="00EC62E9" w:rsidTr="00C2293A">
        <w:trPr>
          <w:trHeight w:val="46"/>
          <w:jc w:val="center"/>
        </w:trPr>
        <w:tc>
          <w:tcPr>
            <w:tcW w:w="3087" w:type="dxa"/>
            <w:tcMar>
              <w:top w:w="28" w:type="dxa"/>
              <w:bottom w:w="28" w:type="dxa"/>
            </w:tcMar>
          </w:tcPr>
          <w:p w:rsidR="00EC3D6C" w:rsidRPr="00EC62E9" w:rsidRDefault="00EC3D6C" w:rsidP="00B9474C">
            <w:pPr>
              <w:pStyle w:val="ListParagraph"/>
              <w:numPr>
                <w:ilvl w:val="0"/>
                <w:numId w:val="10"/>
              </w:numPr>
              <w:tabs>
                <w:tab w:val="right" w:pos="3720"/>
                <w:tab w:val="left" w:pos="4003"/>
              </w:tabs>
              <w:jc w:val="left"/>
              <w:rPr>
                <w:rFonts w:cs="Arial"/>
                <w:sz w:val="18"/>
                <w:szCs w:val="18"/>
                <w:lang w:val="de-DE"/>
              </w:rPr>
            </w:pPr>
            <w:r w:rsidRPr="00EC62E9">
              <w:rPr>
                <w:sz w:val="18"/>
                <w:lang w:val="de-DE"/>
              </w:rPr>
              <w:t>de-de: Deutsch</w:t>
            </w:r>
          </w:p>
        </w:tc>
        <w:tc>
          <w:tcPr>
            <w:tcW w:w="1017"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 xml:space="preserve">4.065 </w:t>
            </w:r>
          </w:p>
        </w:tc>
        <w:tc>
          <w:tcPr>
            <w:tcW w:w="648" w:type="dxa"/>
            <w:tcMar>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2,27</w:t>
            </w:r>
          </w:p>
        </w:tc>
        <w:tc>
          <w:tcPr>
            <w:tcW w:w="1017"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4.562</w:t>
            </w:r>
          </w:p>
        </w:tc>
        <w:tc>
          <w:tcPr>
            <w:tcW w:w="649" w:type="dxa"/>
            <w:tcMar>
              <w:top w:w="28" w:type="dxa"/>
              <w:left w:w="57" w:type="dxa"/>
              <w:bottom w:w="28"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3,00</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5.577</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3,97</w:t>
            </w:r>
          </w:p>
        </w:tc>
        <w:tc>
          <w:tcPr>
            <w:tcW w:w="1017"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7.068</w:t>
            </w:r>
          </w:p>
        </w:tc>
        <w:tc>
          <w:tcPr>
            <w:tcW w:w="649" w:type="dxa"/>
            <w:tcMar>
              <w:top w:w="28" w:type="dxa"/>
              <w:left w:w="57" w:type="dxa"/>
              <w:right w:w="57" w:type="dxa"/>
            </w:tcMar>
            <w:vAlign w:val="bottom"/>
          </w:tcPr>
          <w:p w:rsidR="00EC3D6C" w:rsidRPr="00EC62E9" w:rsidRDefault="00EC3D6C" w:rsidP="00B9474C">
            <w:pPr>
              <w:tabs>
                <w:tab w:val="right" w:pos="3720"/>
                <w:tab w:val="left" w:pos="4003"/>
              </w:tabs>
              <w:jc w:val="center"/>
              <w:rPr>
                <w:rFonts w:cs="Arial"/>
                <w:sz w:val="18"/>
                <w:szCs w:val="18"/>
                <w:lang w:val="de-DE"/>
              </w:rPr>
            </w:pPr>
            <w:r w:rsidRPr="00EC62E9">
              <w:rPr>
                <w:sz w:val="18"/>
                <w:lang w:val="de-DE"/>
              </w:rPr>
              <w:t>5,94</w:t>
            </w:r>
          </w:p>
        </w:tc>
      </w:tr>
    </w:tbl>
    <w:p w:rsidR="00EC3D6C" w:rsidRPr="00EC62E9" w:rsidRDefault="00EC3D6C" w:rsidP="00EC3D6C">
      <w:pPr>
        <w:rPr>
          <w:rFonts w:eastAsiaTheme="minorEastAsia"/>
          <w:i/>
          <w:iCs/>
          <w:sz w:val="18"/>
          <w:szCs w:val="24"/>
          <w:lang w:val="de-DE"/>
        </w:rPr>
      </w:pPr>
    </w:p>
    <w:p w:rsidR="00EC3D6C" w:rsidRPr="00EC62E9" w:rsidRDefault="00EC3D6C" w:rsidP="00EC3D6C">
      <w:pPr>
        <w:rPr>
          <w:rFonts w:eastAsiaTheme="minorEastAsia"/>
          <w:i/>
          <w:iCs/>
          <w:sz w:val="18"/>
          <w:szCs w:val="24"/>
          <w:lang w:val="de-DE"/>
        </w:rPr>
      </w:pPr>
    </w:p>
    <w:p w:rsidR="00EC3D6C" w:rsidRPr="00EC62E9" w:rsidRDefault="00EC3D6C" w:rsidP="00C2293A">
      <w:pPr>
        <w:jc w:val="center"/>
        <w:rPr>
          <w:rFonts w:eastAsiaTheme="minorEastAsia"/>
          <w:i/>
          <w:iCs/>
          <w:sz w:val="18"/>
          <w:szCs w:val="24"/>
          <w:lang w:val="de-DE"/>
        </w:rPr>
      </w:pPr>
      <w:r w:rsidRPr="00EC62E9">
        <w:rPr>
          <w:rFonts w:eastAsiaTheme="minorEastAsia"/>
          <w:i/>
          <w:sz w:val="18"/>
          <w:lang w:val="de-DE"/>
        </w:rPr>
        <w:t>Website Überblick:  Wohin gehen die Nutzer?</w:t>
      </w:r>
    </w:p>
    <w:p w:rsidR="00EC3D6C" w:rsidRPr="00EC62E9" w:rsidRDefault="00EC3D6C" w:rsidP="00C2293A">
      <w:pPr>
        <w:jc w:val="center"/>
        <w:rPr>
          <w:b/>
          <w:bCs/>
          <w:sz w:val="18"/>
          <w:szCs w:val="18"/>
          <w:lang w:val="de-DE"/>
        </w:rPr>
      </w:pPr>
    </w:p>
    <w:p w:rsidR="00EC3D6C" w:rsidRPr="00EC62E9" w:rsidRDefault="005B2B53" w:rsidP="00C2293A">
      <w:pPr>
        <w:jc w:val="center"/>
        <w:rPr>
          <w:rFonts w:eastAsiaTheme="minorEastAsia"/>
          <w:i/>
          <w:iCs/>
          <w:sz w:val="18"/>
          <w:szCs w:val="24"/>
          <w:lang w:val="de-DE"/>
        </w:rPr>
      </w:pPr>
      <w:r w:rsidRPr="00EC62E9">
        <w:rPr>
          <w:rFonts w:eastAsiaTheme="minorEastAsia"/>
          <w:i/>
          <w:iCs/>
          <w:noProof/>
          <w:sz w:val="18"/>
          <w:szCs w:val="24"/>
        </w:rPr>
        <mc:AlternateContent>
          <mc:Choice Requires="wps">
            <w:drawing>
              <wp:anchor distT="0" distB="0" distL="114300" distR="114300" simplePos="0" relativeHeight="251659264" behindDoc="0" locked="0" layoutInCell="1" allowOverlap="1" wp14:anchorId="14FCA05C" wp14:editId="3AA0ACC8">
                <wp:simplePos x="0" y="0"/>
                <wp:positionH relativeFrom="column">
                  <wp:posOffset>4013835</wp:posOffset>
                </wp:positionH>
                <wp:positionV relativeFrom="paragraph">
                  <wp:posOffset>204470</wp:posOffset>
                </wp:positionV>
                <wp:extent cx="1000125" cy="2051436"/>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51436"/>
                        </a:xfrm>
                        <a:prstGeom prst="rect">
                          <a:avLst/>
                        </a:prstGeom>
                        <a:solidFill>
                          <a:srgbClr val="FFFFFF"/>
                        </a:solidFill>
                        <a:ln w="9525">
                          <a:noFill/>
                          <a:miter lim="800000"/>
                          <a:headEnd/>
                          <a:tailEnd/>
                        </a:ln>
                      </wps:spPr>
                      <wps:txbx>
                        <w:txbxContent>
                          <w:p w:rsidR="003E36DC" w:rsidRPr="00C2293A" w:rsidRDefault="003E36DC" w:rsidP="00C2293A">
                            <w:pPr>
                              <w:spacing w:line="296" w:lineRule="exact"/>
                              <w:rPr>
                                <w:sz w:val="14"/>
                                <w:szCs w:val="12"/>
                                <w:lang w:val="de-DE"/>
                              </w:rPr>
                            </w:pPr>
                            <w:r w:rsidRPr="00C2293A">
                              <w:rPr>
                                <w:sz w:val="14"/>
                                <w:szCs w:val="12"/>
                                <w:lang w:val="de-DE"/>
                              </w:rPr>
                              <w:t>UPOV (27%)</w:t>
                            </w:r>
                          </w:p>
                          <w:p w:rsidR="003E36DC" w:rsidRDefault="003E36DC" w:rsidP="00C2293A">
                            <w:pPr>
                              <w:spacing w:line="296" w:lineRule="exact"/>
                              <w:rPr>
                                <w:sz w:val="14"/>
                                <w:szCs w:val="12"/>
                                <w:lang w:val="de-DE"/>
                              </w:rPr>
                            </w:pPr>
                            <w:r w:rsidRPr="00C2293A">
                              <w:rPr>
                                <w:sz w:val="14"/>
                                <w:szCs w:val="12"/>
                                <w:lang w:val="de-DE"/>
                              </w:rPr>
                              <w:t>Tagungen (13%)</w:t>
                            </w:r>
                          </w:p>
                          <w:p w:rsidR="003E36DC" w:rsidRPr="00C2293A" w:rsidRDefault="003E36DC" w:rsidP="00C2293A">
                            <w:pPr>
                              <w:spacing w:line="296" w:lineRule="exact"/>
                              <w:rPr>
                                <w:sz w:val="14"/>
                                <w:szCs w:val="12"/>
                                <w:lang w:val="de-DE"/>
                              </w:rPr>
                            </w:pPr>
                            <w:r w:rsidRPr="00C2293A">
                              <w:rPr>
                                <w:sz w:val="14"/>
                                <w:szCs w:val="12"/>
                                <w:lang w:val="de-DE"/>
                              </w:rPr>
                              <w:t>Portal (9%)</w:t>
                            </w:r>
                          </w:p>
                          <w:p w:rsidR="003E36DC" w:rsidRPr="00C2293A" w:rsidRDefault="003E36DC" w:rsidP="00C2293A">
                            <w:pPr>
                              <w:spacing w:line="296" w:lineRule="exact"/>
                              <w:rPr>
                                <w:sz w:val="14"/>
                                <w:szCs w:val="12"/>
                                <w:lang w:val="de-DE"/>
                              </w:rPr>
                            </w:pPr>
                            <w:r w:rsidRPr="00C2293A">
                              <w:rPr>
                                <w:sz w:val="14"/>
                                <w:szCs w:val="12"/>
                                <w:lang w:val="de-DE"/>
                              </w:rPr>
                              <w:t>UPOV Lex (8%)</w:t>
                            </w:r>
                          </w:p>
                          <w:p w:rsidR="003E36DC" w:rsidRPr="00C2293A" w:rsidRDefault="003E36DC" w:rsidP="00C2293A">
                            <w:pPr>
                              <w:spacing w:line="296" w:lineRule="exact"/>
                              <w:rPr>
                                <w:sz w:val="14"/>
                                <w:szCs w:val="12"/>
                                <w:lang w:val="de-DE"/>
                              </w:rPr>
                            </w:pPr>
                            <w:r w:rsidRPr="00C2293A">
                              <w:rPr>
                                <w:sz w:val="14"/>
                                <w:szCs w:val="12"/>
                                <w:lang w:val="de-DE"/>
                              </w:rPr>
                              <w:t>GENIE (7%)</w:t>
                            </w:r>
                          </w:p>
                          <w:p w:rsidR="003E36DC" w:rsidRPr="00C2293A" w:rsidRDefault="003E36DC" w:rsidP="00C2293A">
                            <w:pPr>
                              <w:spacing w:line="296" w:lineRule="exact"/>
                              <w:rPr>
                                <w:sz w:val="14"/>
                                <w:szCs w:val="12"/>
                                <w:lang w:val="de-DE"/>
                              </w:rPr>
                            </w:pPr>
                            <w:r w:rsidRPr="00C2293A">
                              <w:rPr>
                                <w:sz w:val="14"/>
                                <w:szCs w:val="12"/>
                                <w:lang w:val="de-DE"/>
                              </w:rPr>
                              <w:t>PLUTO (6%)</w:t>
                            </w:r>
                          </w:p>
                          <w:p w:rsidR="003E36DC" w:rsidRPr="00C2293A" w:rsidRDefault="003E36DC" w:rsidP="00C2293A">
                            <w:pPr>
                              <w:spacing w:line="296" w:lineRule="exact"/>
                              <w:rPr>
                                <w:sz w:val="14"/>
                                <w:szCs w:val="12"/>
                                <w:lang w:val="de-DE"/>
                              </w:rPr>
                            </w:pPr>
                            <w:r w:rsidRPr="00C2293A">
                              <w:rPr>
                                <w:sz w:val="14"/>
                                <w:szCs w:val="12"/>
                                <w:lang w:val="de-DE"/>
                              </w:rPr>
                              <w:t>Prüfungsrichtlinien (6%)</w:t>
                            </w:r>
                          </w:p>
                          <w:p w:rsidR="003E36DC" w:rsidRPr="00C2293A" w:rsidRDefault="003E36DC" w:rsidP="00C2293A">
                            <w:pPr>
                              <w:spacing w:line="296" w:lineRule="exact"/>
                              <w:rPr>
                                <w:sz w:val="14"/>
                                <w:szCs w:val="12"/>
                                <w:lang w:val="de-DE"/>
                              </w:rPr>
                            </w:pPr>
                            <w:r w:rsidRPr="00C2293A">
                              <w:rPr>
                                <w:sz w:val="14"/>
                                <w:szCs w:val="12"/>
                                <w:lang w:val="de-DE"/>
                              </w:rPr>
                              <w:t>Über die UPOV (5%)</w:t>
                            </w:r>
                          </w:p>
                          <w:p w:rsidR="003E36DC" w:rsidRPr="00C2293A" w:rsidRDefault="003E36DC" w:rsidP="00C2293A">
                            <w:pPr>
                              <w:spacing w:line="296" w:lineRule="exact"/>
                              <w:rPr>
                                <w:sz w:val="14"/>
                                <w:szCs w:val="12"/>
                                <w:lang w:val="de-DE"/>
                              </w:rPr>
                            </w:pPr>
                            <w:r w:rsidRPr="00C2293A">
                              <w:rPr>
                                <w:sz w:val="14"/>
                                <w:szCs w:val="12"/>
                                <w:lang w:val="de-DE"/>
                              </w:rPr>
                              <w:t>Ressourcen (3%)</w:t>
                            </w:r>
                          </w:p>
                          <w:p w:rsidR="003E36DC" w:rsidRPr="00C2293A" w:rsidRDefault="003E36DC" w:rsidP="00C2293A">
                            <w:pPr>
                              <w:spacing w:line="296" w:lineRule="exact"/>
                              <w:rPr>
                                <w:sz w:val="14"/>
                                <w:szCs w:val="12"/>
                                <w:lang w:val="de-DE"/>
                              </w:rPr>
                            </w:pPr>
                            <w:r w:rsidRPr="00C2293A">
                              <w:rPr>
                                <w:sz w:val="14"/>
                                <w:szCs w:val="12"/>
                                <w:lang w:val="de-DE"/>
                              </w:rPr>
                              <w:t>Mitglieder (3%)</w:t>
                            </w:r>
                          </w:p>
                          <w:p w:rsidR="003E36DC" w:rsidRPr="00C2293A" w:rsidRDefault="003E36DC" w:rsidP="00C2293A">
                            <w:pPr>
                              <w:spacing w:line="296" w:lineRule="exact"/>
                              <w:rPr>
                                <w:sz w:val="14"/>
                                <w:szCs w:val="12"/>
                                <w:lang w:val="de-DE"/>
                              </w:rPr>
                            </w:pPr>
                            <w:r w:rsidRPr="00C2293A">
                              <w:rPr>
                                <w:sz w:val="14"/>
                                <w:szCs w:val="12"/>
                                <w:lang w:val="de-DE"/>
                              </w:rPr>
                              <w:t>Andere (16%)</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16.05pt;margin-top:16.1pt;width:78.75pt;height:1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" stroked="f">
                <v:textbox style="mso-fit-shape-to-text:t" inset="0,0,0,0">
                  <w:txbxContent>
                    <w:p w:rsidR="003E36DC" w:rsidRPr="00C2293A" w:rsidRDefault="003E36DC" w:rsidP="00C2293A">
                      <w:pPr>
                        <w:spacing w:line="296" w:lineRule="exact"/>
                        <w:rPr>
                          <w:sz w:val="14"/>
                          <w:szCs w:val="12"/>
                          <w:lang w:val="de-DE"/>
                        </w:rPr>
                      </w:pPr>
                      <w:r w:rsidRPr="00C2293A">
                        <w:rPr>
                          <w:sz w:val="14"/>
                          <w:szCs w:val="12"/>
                          <w:lang w:val="de-DE"/>
                        </w:rPr>
                        <w:t>UPOV (27%)</w:t>
                      </w:r>
                    </w:p>
                    <w:p w:rsidR="003E36DC" w:rsidRDefault="003E36DC" w:rsidP="00C2293A">
                      <w:pPr>
                        <w:spacing w:line="296" w:lineRule="exact"/>
                        <w:rPr>
                          <w:sz w:val="14"/>
                          <w:szCs w:val="12"/>
                          <w:lang w:val="de-DE"/>
                        </w:rPr>
                      </w:pPr>
                      <w:r w:rsidRPr="00C2293A">
                        <w:rPr>
                          <w:sz w:val="14"/>
                          <w:szCs w:val="12"/>
                          <w:lang w:val="de-DE"/>
                        </w:rPr>
                        <w:t>Tagungen (13%)</w:t>
                      </w:r>
                    </w:p>
                    <w:p w:rsidR="003E36DC" w:rsidRPr="00C2293A" w:rsidRDefault="003E36DC" w:rsidP="00C2293A">
                      <w:pPr>
                        <w:spacing w:line="296" w:lineRule="exact"/>
                        <w:rPr>
                          <w:sz w:val="14"/>
                          <w:szCs w:val="12"/>
                          <w:lang w:val="de-DE"/>
                        </w:rPr>
                      </w:pPr>
                      <w:r w:rsidRPr="00C2293A">
                        <w:rPr>
                          <w:sz w:val="14"/>
                          <w:szCs w:val="12"/>
                          <w:lang w:val="de-DE"/>
                        </w:rPr>
                        <w:t>Portal (9%)</w:t>
                      </w:r>
                    </w:p>
                    <w:p w:rsidR="003E36DC" w:rsidRPr="00C2293A" w:rsidRDefault="003E36DC" w:rsidP="00C2293A">
                      <w:pPr>
                        <w:spacing w:line="296" w:lineRule="exact"/>
                        <w:rPr>
                          <w:sz w:val="14"/>
                          <w:szCs w:val="12"/>
                          <w:lang w:val="de-DE"/>
                        </w:rPr>
                      </w:pPr>
                      <w:r w:rsidRPr="00C2293A">
                        <w:rPr>
                          <w:sz w:val="14"/>
                          <w:szCs w:val="12"/>
                          <w:lang w:val="de-DE"/>
                        </w:rPr>
                        <w:t>UPOV Lex (8%)</w:t>
                      </w:r>
                    </w:p>
                    <w:p w:rsidR="003E36DC" w:rsidRPr="00C2293A" w:rsidRDefault="003E36DC" w:rsidP="00C2293A">
                      <w:pPr>
                        <w:spacing w:line="296" w:lineRule="exact"/>
                        <w:rPr>
                          <w:sz w:val="14"/>
                          <w:szCs w:val="12"/>
                          <w:lang w:val="de-DE"/>
                        </w:rPr>
                      </w:pPr>
                      <w:r w:rsidRPr="00C2293A">
                        <w:rPr>
                          <w:sz w:val="14"/>
                          <w:szCs w:val="12"/>
                          <w:lang w:val="de-DE"/>
                        </w:rPr>
                        <w:t>GENIE (7%)</w:t>
                      </w:r>
                    </w:p>
                    <w:p w:rsidR="003E36DC" w:rsidRPr="00C2293A" w:rsidRDefault="003E36DC" w:rsidP="00C2293A">
                      <w:pPr>
                        <w:spacing w:line="296" w:lineRule="exact"/>
                        <w:rPr>
                          <w:sz w:val="14"/>
                          <w:szCs w:val="12"/>
                          <w:lang w:val="de-DE"/>
                        </w:rPr>
                      </w:pPr>
                      <w:r w:rsidRPr="00C2293A">
                        <w:rPr>
                          <w:sz w:val="14"/>
                          <w:szCs w:val="12"/>
                          <w:lang w:val="de-DE"/>
                        </w:rPr>
                        <w:t>PLUTO (6%)</w:t>
                      </w:r>
                    </w:p>
                    <w:p w:rsidR="003E36DC" w:rsidRPr="00C2293A" w:rsidRDefault="003E36DC" w:rsidP="00C2293A">
                      <w:pPr>
                        <w:spacing w:line="296" w:lineRule="exact"/>
                        <w:rPr>
                          <w:sz w:val="14"/>
                          <w:szCs w:val="12"/>
                          <w:lang w:val="de-DE"/>
                        </w:rPr>
                      </w:pPr>
                      <w:r w:rsidRPr="00C2293A">
                        <w:rPr>
                          <w:sz w:val="14"/>
                          <w:szCs w:val="12"/>
                          <w:lang w:val="de-DE"/>
                        </w:rPr>
                        <w:t>Prüfungsrichtlinien (6%)</w:t>
                      </w:r>
                    </w:p>
                    <w:p w:rsidR="003E36DC" w:rsidRPr="00C2293A" w:rsidRDefault="003E36DC" w:rsidP="00C2293A">
                      <w:pPr>
                        <w:spacing w:line="296" w:lineRule="exact"/>
                        <w:rPr>
                          <w:sz w:val="14"/>
                          <w:szCs w:val="12"/>
                          <w:lang w:val="de-DE"/>
                        </w:rPr>
                      </w:pPr>
                      <w:r w:rsidRPr="00C2293A">
                        <w:rPr>
                          <w:sz w:val="14"/>
                          <w:szCs w:val="12"/>
                          <w:lang w:val="de-DE"/>
                        </w:rPr>
                        <w:t>Über die UPOV (5%)</w:t>
                      </w:r>
                    </w:p>
                    <w:p w:rsidR="003E36DC" w:rsidRPr="00C2293A" w:rsidRDefault="003E36DC" w:rsidP="00C2293A">
                      <w:pPr>
                        <w:spacing w:line="296" w:lineRule="exact"/>
                        <w:rPr>
                          <w:sz w:val="14"/>
                          <w:szCs w:val="12"/>
                          <w:lang w:val="de-DE"/>
                        </w:rPr>
                      </w:pPr>
                      <w:r w:rsidRPr="00C2293A">
                        <w:rPr>
                          <w:sz w:val="14"/>
                          <w:szCs w:val="12"/>
                          <w:lang w:val="de-DE"/>
                        </w:rPr>
                        <w:t>Ressourcen (3%)</w:t>
                      </w:r>
                    </w:p>
                    <w:p w:rsidR="003E36DC" w:rsidRPr="00C2293A" w:rsidRDefault="003E36DC" w:rsidP="00C2293A">
                      <w:pPr>
                        <w:spacing w:line="296" w:lineRule="exact"/>
                        <w:rPr>
                          <w:sz w:val="14"/>
                          <w:szCs w:val="12"/>
                          <w:lang w:val="de-DE"/>
                        </w:rPr>
                      </w:pPr>
                      <w:r w:rsidRPr="00C2293A">
                        <w:rPr>
                          <w:sz w:val="14"/>
                          <w:szCs w:val="12"/>
                          <w:lang w:val="de-DE"/>
                        </w:rPr>
                        <w:t>Mitglieder (3%)</w:t>
                      </w:r>
                    </w:p>
                    <w:p w:rsidR="003E36DC" w:rsidRPr="00C2293A" w:rsidRDefault="003E36DC" w:rsidP="00C2293A">
                      <w:pPr>
                        <w:spacing w:line="296" w:lineRule="exact"/>
                        <w:rPr>
                          <w:sz w:val="14"/>
                          <w:szCs w:val="12"/>
                          <w:lang w:val="de-DE"/>
                        </w:rPr>
                      </w:pPr>
                      <w:r w:rsidRPr="00C2293A">
                        <w:rPr>
                          <w:sz w:val="14"/>
                          <w:szCs w:val="12"/>
                          <w:lang w:val="de-DE"/>
                        </w:rPr>
                        <w:t>Andere (16%)</w:t>
                      </w:r>
                    </w:p>
                  </w:txbxContent>
                </v:textbox>
              </v:shape>
            </w:pict>
          </mc:Fallback>
        </mc:AlternateContent>
      </w:r>
      <w:r w:rsidR="00EC3D6C" w:rsidRPr="00EC62E9">
        <w:rPr>
          <w:i/>
          <w:iCs/>
          <w:noProof/>
          <w:sz w:val="18"/>
        </w:rPr>
        <w:drawing>
          <wp:inline distT="0" distB="0" distL="0" distR="0" wp14:anchorId="411159CF" wp14:editId="51AF3C48">
            <wp:extent cx="3933825" cy="2485389"/>
            <wp:effectExtent l="19050" t="19050" r="9525" b="107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pie-chart-sources-2013v2.jpg"/>
                    <pic:cNvPicPr/>
                  </pic:nvPicPr>
                  <pic:blipFill>
                    <a:blip r:embed="rId67">
                      <a:extLst>
                        <a:ext uri="{28A0092B-C50C-407E-A947-70E740481C1C}">
                          <a14:useLocalDpi xmlns:a14="http://schemas.microsoft.com/office/drawing/2010/main" val="0"/>
                        </a:ext>
                      </a:extLst>
                    </a:blip>
                    <a:stretch>
                      <a:fillRect/>
                    </a:stretch>
                  </pic:blipFill>
                  <pic:spPr>
                    <a:xfrm>
                      <a:off x="0" y="0"/>
                      <a:ext cx="3949053" cy="2495010"/>
                    </a:xfrm>
                    <a:prstGeom prst="rect">
                      <a:avLst/>
                    </a:prstGeom>
                    <a:ln>
                      <a:solidFill>
                        <a:schemeClr val="bg1">
                          <a:lumMod val="50000"/>
                        </a:schemeClr>
                      </a:solidFill>
                    </a:ln>
                  </pic:spPr>
                </pic:pic>
              </a:graphicData>
            </a:graphic>
          </wp:inline>
        </w:drawing>
      </w:r>
    </w:p>
    <w:p w:rsidR="00EC3D6C" w:rsidRPr="00EC62E9" w:rsidRDefault="00EC3D6C" w:rsidP="00EC3D6C">
      <w:pPr>
        <w:rPr>
          <w:lang w:val="de-DE"/>
        </w:rPr>
      </w:pPr>
    </w:p>
    <w:p w:rsidR="00EC3D6C" w:rsidRPr="00EC62E9" w:rsidRDefault="00EC3D6C" w:rsidP="00EC3D6C">
      <w:pPr>
        <w:rPr>
          <w:lang w:val="de-DE"/>
        </w:rPr>
      </w:pPr>
    </w:p>
    <w:p w:rsidR="00EC3D6C" w:rsidRPr="00EC62E9" w:rsidRDefault="00EC3D6C" w:rsidP="006F497C">
      <w:pPr>
        <w:keepNext/>
        <w:jc w:val="center"/>
        <w:rPr>
          <w:rFonts w:eastAsiaTheme="minorEastAsia"/>
          <w:i/>
          <w:iCs/>
          <w:sz w:val="18"/>
          <w:szCs w:val="24"/>
          <w:lang w:val="de-DE"/>
        </w:rPr>
      </w:pPr>
      <w:r w:rsidRPr="00EC62E9">
        <w:rPr>
          <w:rFonts w:eastAsiaTheme="minorEastAsia"/>
          <w:i/>
          <w:sz w:val="18"/>
          <w:lang w:val="de-DE"/>
        </w:rPr>
        <w:t>Zahl der Sitzungen und der Nutzer der UPOV-Website seit 2007</w:t>
      </w:r>
    </w:p>
    <w:p w:rsidR="00EC3D6C" w:rsidRPr="00EC62E9" w:rsidRDefault="00EC3D6C" w:rsidP="006F497C">
      <w:pPr>
        <w:keepNext/>
        <w:jc w:val="center"/>
        <w:rPr>
          <w:b/>
          <w:bCs/>
          <w:noProof/>
          <w:sz w:val="18"/>
          <w:szCs w:val="18"/>
          <w:lang w:val="de-DE"/>
        </w:rPr>
      </w:pPr>
    </w:p>
    <w:p w:rsidR="00EC3D6C" w:rsidRPr="00EC62E9" w:rsidRDefault="007728DC" w:rsidP="006F497C">
      <w:pPr>
        <w:jc w:val="center"/>
        <w:rPr>
          <w:b/>
          <w:bCs/>
          <w:sz w:val="18"/>
          <w:szCs w:val="18"/>
          <w:lang w:val="de-DE"/>
        </w:rPr>
      </w:pPr>
      <w:r w:rsidRPr="00EC62E9">
        <w:rPr>
          <w:b/>
          <w:bCs/>
          <w:noProof/>
          <w:sz w:val="18"/>
          <w:szCs w:val="18"/>
        </w:rPr>
        <mc:AlternateContent>
          <mc:Choice Requires="wps">
            <w:drawing>
              <wp:anchor distT="0" distB="0" distL="114300" distR="114300" simplePos="0" relativeHeight="251661312" behindDoc="0" locked="0" layoutInCell="1" allowOverlap="1" wp14:anchorId="6A39515C" wp14:editId="33F32252">
                <wp:simplePos x="0" y="0"/>
                <wp:positionH relativeFrom="column">
                  <wp:posOffset>4490085</wp:posOffset>
                </wp:positionH>
                <wp:positionV relativeFrom="paragraph">
                  <wp:posOffset>1118235</wp:posOffset>
                </wp:positionV>
                <wp:extent cx="457200" cy="1403985"/>
                <wp:effectExtent l="0" t="0" r="0" b="952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solidFill>
                          <a:srgbClr val="FFFFFF"/>
                        </a:solidFill>
                        <a:ln w="9525">
                          <a:noFill/>
                          <a:miter lim="800000"/>
                          <a:headEnd/>
                          <a:tailEnd/>
                        </a:ln>
                      </wps:spPr>
                      <wps:txbx>
                        <w:txbxContent>
                          <w:p w:rsidR="003E36DC" w:rsidRPr="006F497C" w:rsidRDefault="003E36DC" w:rsidP="006F497C">
                            <w:pPr>
                              <w:rPr>
                                <w:sz w:val="14"/>
                                <w:szCs w:val="16"/>
                                <w:lang w:val="de-DE"/>
                              </w:rPr>
                            </w:pPr>
                            <w:r>
                              <w:rPr>
                                <w:sz w:val="14"/>
                                <w:szCs w:val="16"/>
                                <w:lang w:val="de-DE"/>
                              </w:rPr>
                              <w:t>Sitzungen</w:t>
                            </w:r>
                          </w:p>
                          <w:p w:rsidR="003E36DC" w:rsidRPr="006F497C" w:rsidRDefault="003E36DC" w:rsidP="006F497C">
                            <w:pPr>
                              <w:spacing w:line="320" w:lineRule="exact"/>
                              <w:rPr>
                                <w:sz w:val="14"/>
                                <w:szCs w:val="16"/>
                                <w:lang w:val="de-DE"/>
                              </w:rPr>
                            </w:pPr>
                            <w:r w:rsidRPr="006F497C">
                              <w:rPr>
                                <w:sz w:val="14"/>
                                <w:szCs w:val="16"/>
                                <w:lang w:val="de-DE"/>
                              </w:rPr>
                              <w:t>Nutzer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3.55pt;margin-top:88.05pt;width:3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" stroked="f">
                <v:textbox style="mso-fit-shape-to-text:t" inset="0,0,0,0">
                  <w:txbxContent>
                    <w:p w:rsidR="003E36DC" w:rsidRPr="006F497C" w:rsidRDefault="003E36DC" w:rsidP="006F497C">
                      <w:pPr>
                        <w:rPr>
                          <w:sz w:val="14"/>
                          <w:szCs w:val="16"/>
                          <w:lang w:val="de-DE"/>
                        </w:rPr>
                      </w:pPr>
                      <w:r>
                        <w:rPr>
                          <w:sz w:val="14"/>
                          <w:szCs w:val="16"/>
                          <w:lang w:val="de-DE"/>
                        </w:rPr>
                        <w:t>Sitzungen</w:t>
                      </w:r>
                    </w:p>
                    <w:p w:rsidR="003E36DC" w:rsidRPr="006F497C" w:rsidRDefault="003E36DC" w:rsidP="006F497C">
                      <w:pPr>
                        <w:spacing w:line="320" w:lineRule="exact"/>
                        <w:rPr>
                          <w:sz w:val="14"/>
                          <w:szCs w:val="16"/>
                          <w:lang w:val="de-DE"/>
                        </w:rPr>
                      </w:pPr>
                      <w:r w:rsidRPr="006F497C">
                        <w:rPr>
                          <w:sz w:val="14"/>
                          <w:szCs w:val="16"/>
                          <w:lang w:val="de-DE"/>
                        </w:rPr>
                        <w:t>Nutzer</w:t>
                      </w:r>
                    </w:p>
                  </w:txbxContent>
                </v:textbox>
              </v:shape>
            </w:pict>
          </mc:Fallback>
        </mc:AlternateContent>
      </w:r>
      <w:r w:rsidR="00EC3D6C" w:rsidRPr="00EC62E9">
        <w:rPr>
          <w:noProof/>
        </w:rPr>
        <w:drawing>
          <wp:inline distT="0" distB="0" distL="0" distR="0" wp14:anchorId="11786CD9" wp14:editId="53F47821">
            <wp:extent cx="3999506" cy="2521581"/>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010248" cy="2528354"/>
                    </a:xfrm>
                    <a:prstGeom prst="rect">
                      <a:avLst/>
                    </a:prstGeom>
                    <a:ln>
                      <a:noFill/>
                    </a:ln>
                  </pic:spPr>
                </pic:pic>
              </a:graphicData>
            </a:graphic>
          </wp:inline>
        </w:drawing>
      </w:r>
    </w:p>
    <w:p w:rsidR="00EC3D6C" w:rsidRPr="00EC62E9" w:rsidRDefault="00EC3D6C" w:rsidP="00EC3D6C">
      <w:pPr>
        <w:rPr>
          <w:b/>
          <w:bCs/>
          <w:sz w:val="18"/>
          <w:szCs w:val="18"/>
          <w:lang w:val="de-DE"/>
        </w:rPr>
      </w:pPr>
    </w:p>
    <w:p w:rsidR="00EC3D6C" w:rsidRPr="00EC62E9" w:rsidRDefault="00EC3D6C" w:rsidP="00EC3D6C">
      <w:pPr>
        <w:rPr>
          <w:b/>
          <w:bCs/>
          <w:sz w:val="18"/>
          <w:szCs w:val="18"/>
          <w:lang w:val="de-DE"/>
        </w:rPr>
      </w:pPr>
    </w:p>
    <w:p w:rsidR="00EC3D6C" w:rsidRPr="00EC62E9" w:rsidRDefault="00EC3D6C" w:rsidP="006F497C">
      <w:pPr>
        <w:jc w:val="center"/>
        <w:rPr>
          <w:rFonts w:eastAsiaTheme="minorEastAsia"/>
          <w:i/>
          <w:lang w:val="de-DE"/>
        </w:rPr>
      </w:pPr>
      <w:r w:rsidRPr="00EC62E9">
        <w:rPr>
          <w:rFonts w:eastAsiaTheme="minorEastAsia"/>
          <w:i/>
          <w:lang w:val="de-DE"/>
        </w:rPr>
        <w:t>Zusammenfassung ausgewählter Webseiten-Funktionen für die letzten drei Jahre (Seitenaufrufe):</w:t>
      </w:r>
    </w:p>
    <w:p w:rsidR="00EC3D6C" w:rsidRPr="00EC62E9" w:rsidRDefault="00EC3D6C" w:rsidP="006F497C">
      <w:pPr>
        <w:jc w:val="center"/>
        <w:rPr>
          <w:rFonts w:eastAsiaTheme="minorEastAsia"/>
          <w:i/>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9"/>
        <w:gridCol w:w="1602"/>
        <w:gridCol w:w="1715"/>
        <w:gridCol w:w="1715"/>
      </w:tblGrid>
      <w:tr w:rsidR="00EC3D6C" w:rsidRPr="00EC62E9" w:rsidTr="006F497C">
        <w:trPr>
          <w:trHeight w:val="143"/>
          <w:jc w:val="center"/>
        </w:trPr>
        <w:tc>
          <w:tcPr>
            <w:tcW w:w="1809" w:type="dxa"/>
          </w:tcPr>
          <w:p w:rsidR="00EC3D6C" w:rsidRPr="00EC62E9" w:rsidRDefault="00EC3D6C" w:rsidP="00B9474C">
            <w:pPr>
              <w:autoSpaceDE w:val="0"/>
              <w:autoSpaceDN w:val="0"/>
              <w:adjustRightInd w:val="0"/>
              <w:jc w:val="left"/>
              <w:rPr>
                <w:rFonts w:cs="Arial"/>
                <w:color w:val="000000"/>
                <w:sz w:val="18"/>
                <w:szCs w:val="18"/>
                <w:lang w:val="de-DE"/>
              </w:rPr>
            </w:pPr>
          </w:p>
        </w:tc>
        <w:tc>
          <w:tcPr>
            <w:tcW w:w="1602" w:type="dxa"/>
          </w:tcPr>
          <w:p w:rsidR="00EC3D6C" w:rsidRPr="00EC62E9" w:rsidRDefault="00EC3D6C" w:rsidP="00B9474C">
            <w:pPr>
              <w:autoSpaceDE w:val="0"/>
              <w:autoSpaceDN w:val="0"/>
              <w:adjustRightInd w:val="0"/>
              <w:jc w:val="center"/>
              <w:rPr>
                <w:rFonts w:cs="Arial"/>
                <w:bCs/>
                <w:color w:val="000000"/>
                <w:sz w:val="18"/>
                <w:szCs w:val="18"/>
                <w:lang w:val="de-DE"/>
              </w:rPr>
            </w:pPr>
            <w:r w:rsidRPr="00EC62E9">
              <w:rPr>
                <w:color w:val="000000"/>
                <w:sz w:val="18"/>
                <w:lang w:val="de-DE"/>
              </w:rPr>
              <w:t>2013</w:t>
            </w:r>
          </w:p>
          <w:p w:rsidR="00EC3D6C" w:rsidRPr="00EC62E9" w:rsidRDefault="00EC3D6C" w:rsidP="00B9474C">
            <w:pPr>
              <w:autoSpaceDE w:val="0"/>
              <w:autoSpaceDN w:val="0"/>
              <w:adjustRightInd w:val="0"/>
              <w:jc w:val="center"/>
              <w:rPr>
                <w:rFonts w:cs="Arial"/>
                <w:color w:val="000000"/>
                <w:sz w:val="18"/>
                <w:szCs w:val="18"/>
                <w:lang w:val="de-DE"/>
              </w:rPr>
            </w:pPr>
          </w:p>
        </w:tc>
        <w:tc>
          <w:tcPr>
            <w:tcW w:w="1715" w:type="dxa"/>
          </w:tcPr>
          <w:p w:rsidR="00EC3D6C" w:rsidRPr="00EC62E9" w:rsidRDefault="00EC3D6C" w:rsidP="00B9474C">
            <w:pPr>
              <w:autoSpaceDE w:val="0"/>
              <w:autoSpaceDN w:val="0"/>
              <w:adjustRightInd w:val="0"/>
              <w:jc w:val="center"/>
              <w:rPr>
                <w:rFonts w:cs="Arial"/>
                <w:color w:val="000000"/>
                <w:sz w:val="18"/>
                <w:szCs w:val="18"/>
                <w:lang w:val="de-DE"/>
              </w:rPr>
            </w:pPr>
            <w:r w:rsidRPr="00EC62E9">
              <w:rPr>
                <w:color w:val="000000"/>
                <w:sz w:val="18"/>
                <w:lang w:val="de-DE"/>
              </w:rPr>
              <w:t>2012</w:t>
            </w:r>
          </w:p>
        </w:tc>
        <w:tc>
          <w:tcPr>
            <w:tcW w:w="1715" w:type="dxa"/>
          </w:tcPr>
          <w:p w:rsidR="00EC3D6C" w:rsidRPr="00EC62E9" w:rsidRDefault="00EC3D6C" w:rsidP="00B9474C">
            <w:pPr>
              <w:autoSpaceDE w:val="0"/>
              <w:autoSpaceDN w:val="0"/>
              <w:adjustRightInd w:val="0"/>
              <w:jc w:val="center"/>
              <w:rPr>
                <w:rFonts w:cs="Arial"/>
                <w:color w:val="000000"/>
                <w:sz w:val="18"/>
                <w:szCs w:val="18"/>
                <w:lang w:val="de-DE"/>
              </w:rPr>
            </w:pPr>
            <w:r w:rsidRPr="00EC62E9">
              <w:rPr>
                <w:color w:val="000000"/>
                <w:sz w:val="18"/>
                <w:lang w:val="de-DE"/>
              </w:rPr>
              <w:t>2011</w:t>
            </w:r>
          </w:p>
        </w:tc>
      </w:tr>
      <w:tr w:rsidR="00EC3D6C" w:rsidRPr="00EC62E9" w:rsidTr="006F497C">
        <w:trPr>
          <w:trHeight w:val="142"/>
          <w:jc w:val="center"/>
        </w:trPr>
        <w:tc>
          <w:tcPr>
            <w:tcW w:w="1809" w:type="dxa"/>
          </w:tcPr>
          <w:p w:rsidR="00EC3D6C" w:rsidRPr="00EC62E9" w:rsidRDefault="00EC3D6C" w:rsidP="00B9474C">
            <w:pPr>
              <w:autoSpaceDE w:val="0"/>
              <w:autoSpaceDN w:val="0"/>
              <w:adjustRightInd w:val="0"/>
              <w:jc w:val="left"/>
              <w:rPr>
                <w:rFonts w:cs="Arial"/>
                <w:color w:val="000000"/>
                <w:sz w:val="18"/>
                <w:szCs w:val="18"/>
                <w:lang w:val="de-DE"/>
              </w:rPr>
            </w:pPr>
            <w:r w:rsidRPr="00EC62E9">
              <w:rPr>
                <w:color w:val="000000"/>
                <w:sz w:val="18"/>
                <w:lang w:val="de-DE"/>
              </w:rPr>
              <w:t xml:space="preserve">GENIE </w:t>
            </w:r>
          </w:p>
        </w:tc>
        <w:tc>
          <w:tcPr>
            <w:tcW w:w="1602"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84.306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85.149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59.735 </w:t>
            </w:r>
          </w:p>
        </w:tc>
      </w:tr>
      <w:tr w:rsidR="00EC3D6C" w:rsidRPr="00EC62E9" w:rsidTr="006F497C">
        <w:trPr>
          <w:trHeight w:val="142"/>
          <w:jc w:val="center"/>
        </w:trPr>
        <w:tc>
          <w:tcPr>
            <w:tcW w:w="1809" w:type="dxa"/>
          </w:tcPr>
          <w:p w:rsidR="00EC3D6C" w:rsidRPr="00EC62E9" w:rsidRDefault="00EC3D6C" w:rsidP="00B9474C">
            <w:pPr>
              <w:autoSpaceDE w:val="0"/>
              <w:autoSpaceDN w:val="0"/>
              <w:adjustRightInd w:val="0"/>
              <w:jc w:val="left"/>
              <w:rPr>
                <w:rFonts w:cs="Arial"/>
                <w:color w:val="000000"/>
                <w:sz w:val="18"/>
                <w:szCs w:val="18"/>
                <w:lang w:val="de-DE"/>
              </w:rPr>
            </w:pPr>
            <w:r w:rsidRPr="00EC62E9">
              <w:rPr>
                <w:color w:val="000000"/>
                <w:sz w:val="18"/>
                <w:lang w:val="de-DE"/>
              </w:rPr>
              <w:t xml:space="preserve">PLUTO </w:t>
            </w:r>
          </w:p>
        </w:tc>
        <w:tc>
          <w:tcPr>
            <w:tcW w:w="1602"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70.739 </w:t>
            </w:r>
          </w:p>
        </w:tc>
        <w:tc>
          <w:tcPr>
            <w:tcW w:w="1715" w:type="dxa"/>
          </w:tcPr>
          <w:p w:rsidR="00EC3D6C" w:rsidRPr="00EC62E9" w:rsidRDefault="00EC3D6C" w:rsidP="00B9474C">
            <w:pPr>
              <w:tabs>
                <w:tab w:val="left" w:pos="792"/>
              </w:tabs>
              <w:autoSpaceDE w:val="0"/>
              <w:autoSpaceDN w:val="0"/>
              <w:adjustRightInd w:val="0"/>
              <w:ind w:right="134"/>
              <w:jc w:val="right"/>
              <w:rPr>
                <w:rFonts w:cs="Arial"/>
                <w:color w:val="000000"/>
                <w:sz w:val="18"/>
                <w:szCs w:val="18"/>
                <w:lang w:val="de-DE"/>
              </w:rPr>
            </w:pPr>
            <w:r w:rsidRPr="00EC62E9">
              <w:rPr>
                <w:color w:val="000000"/>
                <w:sz w:val="18"/>
                <w:lang w:val="de-DE"/>
              </w:rPr>
              <w:t xml:space="preserve">255.108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30.226 </w:t>
            </w:r>
          </w:p>
        </w:tc>
      </w:tr>
      <w:tr w:rsidR="00EC3D6C" w:rsidRPr="00EC62E9" w:rsidTr="006F497C">
        <w:trPr>
          <w:trHeight w:val="142"/>
          <w:jc w:val="center"/>
        </w:trPr>
        <w:tc>
          <w:tcPr>
            <w:tcW w:w="1809" w:type="dxa"/>
          </w:tcPr>
          <w:p w:rsidR="00EC3D6C" w:rsidRPr="00EC62E9" w:rsidRDefault="00EC3D6C" w:rsidP="00B9474C">
            <w:pPr>
              <w:autoSpaceDE w:val="0"/>
              <w:autoSpaceDN w:val="0"/>
              <w:adjustRightInd w:val="0"/>
              <w:jc w:val="left"/>
              <w:rPr>
                <w:rFonts w:cs="Arial"/>
                <w:color w:val="000000"/>
                <w:sz w:val="18"/>
                <w:szCs w:val="18"/>
                <w:lang w:val="de-DE"/>
              </w:rPr>
            </w:pPr>
            <w:r w:rsidRPr="00EC62E9">
              <w:rPr>
                <w:color w:val="000000"/>
                <w:sz w:val="18"/>
                <w:lang w:val="de-DE"/>
              </w:rPr>
              <w:t xml:space="preserve">Prüfungsrichtlinien </w:t>
            </w:r>
          </w:p>
        </w:tc>
        <w:tc>
          <w:tcPr>
            <w:tcW w:w="1602"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68.479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65.471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nicht verfügbar </w:t>
            </w:r>
          </w:p>
        </w:tc>
      </w:tr>
      <w:tr w:rsidR="00EC3D6C" w:rsidRPr="00EC62E9" w:rsidTr="006F497C">
        <w:trPr>
          <w:trHeight w:val="142"/>
          <w:jc w:val="center"/>
        </w:trPr>
        <w:tc>
          <w:tcPr>
            <w:tcW w:w="1809" w:type="dxa"/>
          </w:tcPr>
          <w:p w:rsidR="00EC3D6C" w:rsidRPr="00EC62E9" w:rsidRDefault="00EC3D6C" w:rsidP="00B9474C">
            <w:pPr>
              <w:autoSpaceDE w:val="0"/>
              <w:autoSpaceDN w:val="0"/>
              <w:adjustRightInd w:val="0"/>
              <w:jc w:val="left"/>
              <w:rPr>
                <w:rFonts w:cs="Arial"/>
                <w:color w:val="000000"/>
                <w:sz w:val="18"/>
                <w:szCs w:val="18"/>
                <w:lang w:val="de-DE"/>
              </w:rPr>
            </w:pPr>
            <w:r w:rsidRPr="00EC62E9">
              <w:rPr>
                <w:color w:val="000000"/>
                <w:sz w:val="18"/>
                <w:lang w:val="de-DE"/>
              </w:rPr>
              <w:t xml:space="preserve">UPOV Lex </w:t>
            </w:r>
          </w:p>
        </w:tc>
        <w:tc>
          <w:tcPr>
            <w:tcW w:w="1602"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88.533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91.245 </w:t>
            </w:r>
          </w:p>
        </w:tc>
        <w:tc>
          <w:tcPr>
            <w:tcW w:w="1715" w:type="dxa"/>
          </w:tcPr>
          <w:p w:rsidR="00EC3D6C" w:rsidRPr="00EC62E9" w:rsidRDefault="00EC3D6C" w:rsidP="00B9474C">
            <w:pPr>
              <w:autoSpaceDE w:val="0"/>
              <w:autoSpaceDN w:val="0"/>
              <w:adjustRightInd w:val="0"/>
              <w:ind w:right="134"/>
              <w:jc w:val="right"/>
              <w:rPr>
                <w:rFonts w:cs="Arial"/>
                <w:color w:val="000000"/>
                <w:sz w:val="18"/>
                <w:szCs w:val="18"/>
                <w:lang w:val="de-DE"/>
              </w:rPr>
            </w:pPr>
            <w:r w:rsidRPr="00EC62E9">
              <w:rPr>
                <w:color w:val="000000"/>
                <w:sz w:val="18"/>
                <w:lang w:val="de-DE"/>
              </w:rPr>
              <w:t xml:space="preserve">19.269 </w:t>
            </w:r>
          </w:p>
        </w:tc>
      </w:tr>
    </w:tbl>
    <w:p w:rsidR="00EC3D6C" w:rsidRPr="00EC62E9" w:rsidRDefault="00EC3D6C" w:rsidP="00EC3D6C">
      <w:pPr>
        <w:rPr>
          <w:b/>
          <w:bCs/>
          <w:sz w:val="18"/>
          <w:szCs w:val="18"/>
          <w:lang w:val="de-DE"/>
        </w:rPr>
      </w:pPr>
    </w:p>
    <w:p w:rsidR="00EC3D6C" w:rsidRPr="00EC62E9" w:rsidRDefault="00EC3D6C" w:rsidP="00EC3D6C">
      <w:pPr>
        <w:rPr>
          <w:b/>
          <w:bCs/>
          <w:sz w:val="18"/>
          <w:szCs w:val="18"/>
          <w:lang w:val="de-DE"/>
        </w:rPr>
      </w:pPr>
    </w:p>
    <w:p w:rsidR="00EC3D6C" w:rsidRPr="00EC62E9" w:rsidRDefault="00EC3D6C" w:rsidP="006F497C">
      <w:pPr>
        <w:jc w:val="center"/>
        <w:rPr>
          <w:rFonts w:eastAsiaTheme="minorEastAsia"/>
          <w:i/>
          <w:lang w:val="de-DE"/>
        </w:rPr>
      </w:pPr>
      <w:r w:rsidRPr="00EC62E9">
        <w:rPr>
          <w:rFonts w:eastAsiaTheme="minorEastAsia"/>
          <w:i/>
          <w:lang w:val="de-DE"/>
        </w:rPr>
        <w:t>Geräte, die im Jahr 2013 für Besuche auf der UPOV-Website benutzt wurden</w:t>
      </w:r>
    </w:p>
    <w:p w:rsidR="00EC3D6C" w:rsidRPr="00EC62E9" w:rsidRDefault="00EC3D6C" w:rsidP="006F497C">
      <w:pPr>
        <w:jc w:val="center"/>
        <w:rPr>
          <w:rFonts w:eastAsiaTheme="minorEastAsia"/>
          <w:lang w:val="de-DE"/>
        </w:rPr>
      </w:pPr>
    </w:p>
    <w:tbl>
      <w:tblPr>
        <w:tblW w:w="0" w:type="auto"/>
        <w:jc w:val="center"/>
        <w:tblLayout w:type="fixed"/>
        <w:tblLook w:val="0000" w:firstRow="0" w:lastRow="0" w:firstColumn="0" w:lastColumn="0" w:noHBand="0" w:noVBand="0"/>
      </w:tblPr>
      <w:tblGrid>
        <w:gridCol w:w="1696"/>
        <w:gridCol w:w="1710"/>
      </w:tblGrid>
      <w:tr w:rsidR="00EC3D6C" w:rsidRPr="006F497C" w:rsidTr="006F497C">
        <w:trPr>
          <w:trHeight w:val="142"/>
          <w:jc w:val="center"/>
        </w:trPr>
        <w:tc>
          <w:tcPr>
            <w:tcW w:w="1696" w:type="dxa"/>
          </w:tcPr>
          <w:p w:rsidR="00EC3D6C" w:rsidRPr="006F497C" w:rsidRDefault="00EC3D6C" w:rsidP="00B9474C">
            <w:pPr>
              <w:autoSpaceDE w:val="0"/>
              <w:autoSpaceDN w:val="0"/>
              <w:adjustRightInd w:val="0"/>
              <w:jc w:val="left"/>
              <w:rPr>
                <w:rFonts w:cs="Arial"/>
                <w:color w:val="000000"/>
                <w:sz w:val="18"/>
                <w:lang w:val="de-DE"/>
              </w:rPr>
            </w:pPr>
            <w:r w:rsidRPr="006F497C">
              <w:rPr>
                <w:color w:val="000000"/>
                <w:sz w:val="18"/>
                <w:lang w:val="de-DE"/>
              </w:rPr>
              <w:t xml:space="preserve">Desktop </w:t>
            </w:r>
          </w:p>
        </w:tc>
        <w:tc>
          <w:tcPr>
            <w:tcW w:w="1710" w:type="dxa"/>
          </w:tcPr>
          <w:p w:rsidR="00EC3D6C" w:rsidRPr="006F497C" w:rsidRDefault="00EC3D6C" w:rsidP="00B9474C">
            <w:pPr>
              <w:tabs>
                <w:tab w:val="decimal" w:pos="797"/>
              </w:tabs>
              <w:autoSpaceDE w:val="0"/>
              <w:autoSpaceDN w:val="0"/>
              <w:adjustRightInd w:val="0"/>
              <w:jc w:val="left"/>
              <w:rPr>
                <w:rFonts w:cs="Arial"/>
                <w:color w:val="000000"/>
                <w:sz w:val="18"/>
                <w:lang w:val="de-DE"/>
              </w:rPr>
            </w:pPr>
            <w:r w:rsidRPr="006F497C">
              <w:rPr>
                <w:color w:val="000000"/>
                <w:sz w:val="18"/>
                <w:lang w:val="de-DE"/>
              </w:rPr>
              <w:t xml:space="preserve">170.856 (96%) </w:t>
            </w:r>
          </w:p>
        </w:tc>
      </w:tr>
      <w:tr w:rsidR="00EC3D6C" w:rsidRPr="006F497C" w:rsidTr="006F497C">
        <w:trPr>
          <w:trHeight w:val="142"/>
          <w:jc w:val="center"/>
        </w:trPr>
        <w:tc>
          <w:tcPr>
            <w:tcW w:w="1696" w:type="dxa"/>
          </w:tcPr>
          <w:p w:rsidR="00EC3D6C" w:rsidRPr="006F497C" w:rsidRDefault="00EC3D6C" w:rsidP="00B9474C">
            <w:pPr>
              <w:autoSpaceDE w:val="0"/>
              <w:autoSpaceDN w:val="0"/>
              <w:adjustRightInd w:val="0"/>
              <w:jc w:val="left"/>
              <w:rPr>
                <w:rFonts w:cs="Arial"/>
                <w:color w:val="000000"/>
                <w:sz w:val="18"/>
                <w:lang w:val="de-DE"/>
              </w:rPr>
            </w:pPr>
            <w:r w:rsidRPr="006F497C">
              <w:rPr>
                <w:color w:val="000000"/>
                <w:sz w:val="18"/>
                <w:lang w:val="de-DE"/>
              </w:rPr>
              <w:t xml:space="preserve">Mobiltelefon </w:t>
            </w:r>
          </w:p>
        </w:tc>
        <w:tc>
          <w:tcPr>
            <w:tcW w:w="1710" w:type="dxa"/>
          </w:tcPr>
          <w:p w:rsidR="00EC3D6C" w:rsidRPr="006F497C" w:rsidRDefault="00EC3D6C" w:rsidP="00B9474C">
            <w:pPr>
              <w:tabs>
                <w:tab w:val="decimal" w:pos="797"/>
              </w:tabs>
              <w:autoSpaceDE w:val="0"/>
              <w:autoSpaceDN w:val="0"/>
              <w:adjustRightInd w:val="0"/>
              <w:jc w:val="left"/>
              <w:rPr>
                <w:rFonts w:cs="Arial"/>
                <w:color w:val="000000"/>
                <w:sz w:val="18"/>
                <w:lang w:val="de-DE"/>
              </w:rPr>
            </w:pPr>
            <w:r w:rsidRPr="006F497C">
              <w:rPr>
                <w:color w:val="000000"/>
                <w:sz w:val="18"/>
                <w:lang w:val="de-DE"/>
              </w:rPr>
              <w:t xml:space="preserve">4.797 (3%) </w:t>
            </w:r>
          </w:p>
        </w:tc>
      </w:tr>
      <w:tr w:rsidR="00EC3D6C" w:rsidRPr="006F497C" w:rsidTr="006F497C">
        <w:trPr>
          <w:trHeight w:val="142"/>
          <w:jc w:val="center"/>
        </w:trPr>
        <w:tc>
          <w:tcPr>
            <w:tcW w:w="1696" w:type="dxa"/>
          </w:tcPr>
          <w:p w:rsidR="00EC3D6C" w:rsidRPr="006F497C" w:rsidRDefault="00EC3D6C" w:rsidP="00B9474C">
            <w:pPr>
              <w:autoSpaceDE w:val="0"/>
              <w:autoSpaceDN w:val="0"/>
              <w:adjustRightInd w:val="0"/>
              <w:jc w:val="left"/>
              <w:rPr>
                <w:rFonts w:cs="Arial"/>
                <w:color w:val="000000"/>
                <w:sz w:val="18"/>
                <w:lang w:val="de-DE"/>
              </w:rPr>
            </w:pPr>
            <w:r w:rsidRPr="006F497C">
              <w:rPr>
                <w:color w:val="000000"/>
                <w:sz w:val="18"/>
                <w:lang w:val="de-DE"/>
              </w:rPr>
              <w:t xml:space="preserve">Tablet </w:t>
            </w:r>
          </w:p>
        </w:tc>
        <w:tc>
          <w:tcPr>
            <w:tcW w:w="1710" w:type="dxa"/>
          </w:tcPr>
          <w:p w:rsidR="00EC3D6C" w:rsidRPr="006F497C" w:rsidRDefault="00EC3D6C" w:rsidP="00B9474C">
            <w:pPr>
              <w:tabs>
                <w:tab w:val="decimal" w:pos="797"/>
              </w:tabs>
              <w:autoSpaceDE w:val="0"/>
              <w:autoSpaceDN w:val="0"/>
              <w:adjustRightInd w:val="0"/>
              <w:jc w:val="left"/>
              <w:rPr>
                <w:rFonts w:cs="Arial"/>
                <w:color w:val="000000"/>
                <w:sz w:val="18"/>
                <w:lang w:val="de-DE"/>
              </w:rPr>
            </w:pPr>
            <w:r w:rsidRPr="006F497C">
              <w:rPr>
                <w:color w:val="000000"/>
                <w:sz w:val="18"/>
                <w:lang w:val="de-DE"/>
              </w:rPr>
              <w:t xml:space="preserve">3.079 (2%) </w:t>
            </w:r>
          </w:p>
        </w:tc>
      </w:tr>
    </w:tbl>
    <w:p w:rsidR="00EC3D6C" w:rsidRPr="00EC62E9" w:rsidRDefault="00EC3D6C" w:rsidP="00EC3D6C">
      <w:pPr>
        <w:rPr>
          <w:b/>
          <w:bCs/>
          <w:sz w:val="18"/>
          <w:szCs w:val="18"/>
          <w:lang w:val="de-DE"/>
        </w:rPr>
      </w:pPr>
    </w:p>
    <w:p w:rsidR="00EC3D6C" w:rsidRPr="00EC62E9" w:rsidRDefault="00EC3D6C" w:rsidP="00EC3D6C">
      <w:pPr>
        <w:rPr>
          <w:b/>
          <w:bCs/>
          <w:sz w:val="18"/>
          <w:szCs w:val="18"/>
          <w:lang w:val="de-DE"/>
        </w:rPr>
      </w:pPr>
    </w:p>
    <w:p w:rsidR="00EC3D6C" w:rsidRPr="00EC62E9" w:rsidRDefault="00EC3D6C" w:rsidP="00EC3D6C">
      <w:pPr>
        <w:pStyle w:val="Heading6"/>
        <w:rPr>
          <w:lang w:val="de-DE"/>
        </w:rPr>
      </w:pPr>
    </w:p>
    <w:p w:rsidR="00EC3D6C" w:rsidRPr="00EC62E9" w:rsidRDefault="00EC3D6C" w:rsidP="00EC3D6C">
      <w:pPr>
        <w:pStyle w:val="Heading6"/>
        <w:rPr>
          <w:lang w:val="de-DE"/>
        </w:rPr>
      </w:pPr>
      <w:bookmarkStart w:id="285" w:name="_Toc336339259"/>
      <w:bookmarkStart w:id="286" w:name="_Toc396137631"/>
      <w:bookmarkStart w:id="287" w:name="_Toc398736828"/>
      <w:r w:rsidRPr="00EC62E9">
        <w:rPr>
          <w:lang w:val="de-DE"/>
        </w:rPr>
        <w:t>2.  Erteilung von Auskünften an andere Organisationen</w:t>
      </w:r>
      <w:bookmarkEnd w:id="285"/>
      <w:bookmarkEnd w:id="286"/>
      <w:bookmarkEnd w:id="287"/>
    </w:p>
    <w:p w:rsidR="00EC3D6C" w:rsidRPr="00EC62E9" w:rsidRDefault="00EC3D6C" w:rsidP="00EC3D6C">
      <w:pPr>
        <w:rPr>
          <w:b/>
          <w:bCs/>
          <w:sz w:val="18"/>
          <w:szCs w:val="18"/>
          <w:lang w:val="de-DE"/>
        </w:rPr>
      </w:pPr>
    </w:p>
    <w:p w:rsidR="00EC3D6C" w:rsidRPr="00EC62E9" w:rsidRDefault="00EC3D6C" w:rsidP="00EC3D6C">
      <w:pPr>
        <w:pStyle w:val="Heading8"/>
        <w:rPr>
          <w:szCs w:val="18"/>
          <w:lang w:val="de-DE"/>
        </w:rPr>
      </w:pPr>
      <w:bookmarkStart w:id="288" w:name="_Toc393275008"/>
      <w:bookmarkStart w:id="289" w:name="_Toc396137632"/>
      <w:bookmarkStart w:id="290" w:name="_Toc398736829"/>
      <w:bookmarkStart w:id="291" w:name="_Toc336339260"/>
      <w:bookmarkStart w:id="292" w:name="_Toc336613862"/>
      <w:r w:rsidRPr="00EC62E9">
        <w:rPr>
          <w:lang w:val="de-DE"/>
        </w:rPr>
        <w:t>Teilnahme an Sitzungen und/oder Tätigkeiten mit maßgeblichen Organisationen</w:t>
      </w:r>
      <w:bookmarkEnd w:id="288"/>
      <w:bookmarkEnd w:id="289"/>
      <w:bookmarkEnd w:id="290"/>
      <w:r w:rsidRPr="00EC62E9">
        <w:rPr>
          <w:lang w:val="de-DE"/>
        </w:rPr>
        <w:t xml:space="preserve"> </w:t>
      </w:r>
    </w:p>
    <w:bookmarkEnd w:id="291"/>
    <w:bookmarkEnd w:id="292"/>
    <w:p w:rsidR="00EC3D6C" w:rsidRPr="00EC62E9" w:rsidRDefault="00EC3D6C" w:rsidP="00EC3D6C">
      <w:pPr>
        <w:jc w:val="left"/>
        <w:rPr>
          <w:sz w:val="18"/>
          <w:szCs w:val="18"/>
          <w:lang w:val="de-DE"/>
        </w:rPr>
      </w:pPr>
      <w:r w:rsidRPr="00EC62E9">
        <w:rPr>
          <w:sz w:val="18"/>
          <w:lang w:val="de-DE"/>
        </w:rPr>
        <w:t xml:space="preserve">Zwischenstaatliche Organisationen:  </w:t>
      </w:r>
    </w:p>
    <w:p w:rsidR="00EC3D6C" w:rsidRPr="00EC62E9" w:rsidRDefault="00EC3D6C" w:rsidP="00EC3D6C">
      <w:pPr>
        <w:jc w:val="left"/>
        <w:rPr>
          <w:b/>
          <w:bCs/>
          <w:sz w:val="18"/>
          <w:szCs w:val="18"/>
          <w:lang w:val="de-DE"/>
        </w:rPr>
      </w:pPr>
    </w:p>
    <w:p w:rsidR="00EC3D6C" w:rsidRPr="00EC62E9" w:rsidRDefault="00EC3D6C" w:rsidP="006A3139">
      <w:pPr>
        <w:pStyle w:val="ListParagraph"/>
        <w:numPr>
          <w:ilvl w:val="0"/>
          <w:numId w:val="3"/>
        </w:numPr>
        <w:ind w:left="567"/>
        <w:jc w:val="left"/>
        <w:rPr>
          <w:sz w:val="18"/>
          <w:szCs w:val="18"/>
          <w:lang w:val="de-DE"/>
        </w:rPr>
      </w:pPr>
      <w:r w:rsidRPr="00EC62E9">
        <w:rPr>
          <w:sz w:val="18"/>
          <w:lang w:val="de-DE"/>
        </w:rPr>
        <w:t>ARIPO, Europäische Union (CPVO), ECO, FAO, IDLO, ISTA, OAPI, OECD, WIPO und WTO.</w:t>
      </w:r>
    </w:p>
    <w:p w:rsidR="00EC3D6C" w:rsidRPr="00EC62E9" w:rsidRDefault="00EC3D6C" w:rsidP="00EC3D6C">
      <w:pPr>
        <w:jc w:val="left"/>
        <w:rPr>
          <w:sz w:val="18"/>
          <w:szCs w:val="18"/>
          <w:lang w:val="de-DE"/>
        </w:rPr>
      </w:pPr>
    </w:p>
    <w:p w:rsidR="006A3139" w:rsidRDefault="00EC3D6C" w:rsidP="006A3139">
      <w:pPr>
        <w:jc w:val="left"/>
        <w:rPr>
          <w:sz w:val="18"/>
          <w:lang w:val="de-DE"/>
        </w:rPr>
      </w:pPr>
      <w:r w:rsidRPr="00EC62E9">
        <w:rPr>
          <w:sz w:val="18"/>
          <w:lang w:val="de-DE"/>
        </w:rPr>
        <w:t xml:space="preserve">Andere Organisationen:  </w:t>
      </w:r>
    </w:p>
    <w:p w:rsidR="006A3139" w:rsidRPr="006A3139" w:rsidRDefault="006A3139" w:rsidP="006A3139">
      <w:pPr>
        <w:jc w:val="left"/>
        <w:rPr>
          <w:sz w:val="18"/>
          <w:lang w:val="de-DE"/>
        </w:rPr>
      </w:pPr>
    </w:p>
    <w:p w:rsidR="00BA6FF2" w:rsidRPr="00EC62E9" w:rsidRDefault="00EC3D6C" w:rsidP="006A3139">
      <w:pPr>
        <w:pStyle w:val="ListParagraph"/>
        <w:numPr>
          <w:ilvl w:val="0"/>
          <w:numId w:val="3"/>
        </w:numPr>
        <w:ind w:left="567"/>
        <w:jc w:val="left"/>
        <w:rPr>
          <w:sz w:val="18"/>
          <w:szCs w:val="18"/>
          <w:lang w:val="de-DE"/>
        </w:rPr>
      </w:pPr>
      <w:r w:rsidRPr="00EC62E9">
        <w:rPr>
          <w:sz w:val="18"/>
          <w:lang w:val="de-DE"/>
        </w:rPr>
        <w:t>AFSTA, APSA, CIOPORA, ESA, FELAS ISF, IUBS-Kommission und SAA.</w:t>
      </w:r>
    </w:p>
    <w:p w:rsidR="00BA6FF2" w:rsidRPr="00EC62E9" w:rsidRDefault="00BA6FF2" w:rsidP="002D6F42">
      <w:pPr>
        <w:rPr>
          <w:lang w:val="de-DE"/>
        </w:rPr>
      </w:pPr>
    </w:p>
    <w:p w:rsidR="00BA6FF2" w:rsidRPr="00EC62E9" w:rsidRDefault="00BA6FF2" w:rsidP="002D6F42">
      <w:pPr>
        <w:rPr>
          <w:lang w:val="de-DE"/>
        </w:rPr>
      </w:pPr>
    </w:p>
    <w:p w:rsidR="002D6F42" w:rsidRPr="00EC62E9" w:rsidRDefault="002D6F42" w:rsidP="002D6F42">
      <w:pPr>
        <w:rPr>
          <w:lang w:val="de-DE"/>
        </w:rPr>
      </w:pPr>
    </w:p>
    <w:p w:rsidR="00203097" w:rsidRPr="00EC62E9" w:rsidRDefault="00203097">
      <w:pPr>
        <w:jc w:val="left"/>
        <w:rPr>
          <w:lang w:val="de-DE"/>
        </w:rPr>
      </w:pPr>
      <w:r w:rsidRPr="00EC62E9">
        <w:rPr>
          <w:lang w:val="de-DE"/>
        </w:rPr>
        <w:br w:type="page"/>
      </w:r>
    </w:p>
    <w:p w:rsidR="0084645E" w:rsidRPr="00EC62E9" w:rsidRDefault="0000674F" w:rsidP="0084645E">
      <w:pPr>
        <w:pStyle w:val="Heading3"/>
        <w:rPr>
          <w:lang w:val="de-DE"/>
        </w:rPr>
      </w:pPr>
      <w:bookmarkStart w:id="293" w:name="_Toc392228923"/>
      <w:bookmarkStart w:id="294" w:name="_Toc396137633"/>
      <w:bookmarkStart w:id="295" w:name="_Toc398736830"/>
      <w:r w:rsidRPr="00EC62E9">
        <w:rPr>
          <w:lang w:val="de-DE"/>
        </w:rPr>
        <w:t>3</w:t>
      </w:r>
      <w:r w:rsidR="002F7A6A" w:rsidRPr="00EC62E9">
        <w:rPr>
          <w:lang w:val="de-DE"/>
        </w:rPr>
        <w:t>.</w:t>
      </w:r>
      <w:r w:rsidR="002F7A6A" w:rsidRPr="00EC62E9">
        <w:rPr>
          <w:lang w:val="de-DE"/>
        </w:rPr>
        <w:tab/>
      </w:r>
      <w:bookmarkEnd w:id="293"/>
      <w:bookmarkEnd w:id="294"/>
      <w:r w:rsidR="008366EB" w:rsidRPr="00EC62E9">
        <w:rPr>
          <w:lang w:val="de-DE"/>
        </w:rPr>
        <w:t>BETRIEBSERGEBNI</w:t>
      </w:r>
      <w:r w:rsidR="0084645E" w:rsidRPr="00EC62E9">
        <w:rPr>
          <w:lang w:val="de-DE"/>
        </w:rPr>
        <w:t>S</w:t>
      </w:r>
      <w:bookmarkEnd w:id="295"/>
    </w:p>
    <w:p w:rsidR="0084645E" w:rsidRPr="00EC62E9" w:rsidRDefault="0084645E" w:rsidP="0084645E">
      <w:pPr>
        <w:rPr>
          <w:lang w:val="de-DE"/>
        </w:rPr>
      </w:pPr>
    </w:p>
    <w:p w:rsidR="0084645E" w:rsidRPr="00EC62E9" w:rsidRDefault="0084645E" w:rsidP="0084645E">
      <w:pPr>
        <w:rPr>
          <w:lang w:val="de-DE"/>
        </w:rPr>
      </w:pPr>
      <w:r w:rsidRPr="00EC62E9">
        <w:rPr>
          <w:lang w:val="de-DE"/>
        </w:rPr>
        <w:t>Dieser Abschnitt liefert einen Überblick über das Betriebsergebnis und die Zahl der Posten des Verbandsbüros. Weitere detaillierte Information ist in den Dokumenten C/48/4 „Finanzverwaltungsbericht für die Rechnungsperiode 2012-2013“ und C/48/13 „</w:t>
      </w:r>
      <w:proofErr w:type="spellStart"/>
      <w:r w:rsidRPr="00EC62E9">
        <w:rPr>
          <w:lang w:val="de-DE"/>
        </w:rPr>
        <w:t>Jahresabschluß</w:t>
      </w:r>
      <w:proofErr w:type="spellEnd"/>
      <w:r w:rsidRPr="00EC62E9">
        <w:rPr>
          <w:lang w:val="de-DE"/>
        </w:rPr>
        <w:t xml:space="preserve"> für 2013“ enthalten.</w:t>
      </w:r>
    </w:p>
    <w:p w:rsidR="0084645E" w:rsidRPr="00EC62E9" w:rsidRDefault="0084645E" w:rsidP="0084645E">
      <w:pPr>
        <w:rPr>
          <w:lang w:val="de-DE"/>
        </w:rPr>
      </w:pPr>
    </w:p>
    <w:p w:rsidR="0084645E" w:rsidRPr="00EC62E9" w:rsidRDefault="0084645E" w:rsidP="0084645E">
      <w:pPr>
        <w:rPr>
          <w:lang w:val="de-DE"/>
        </w:rPr>
      </w:pPr>
    </w:p>
    <w:p w:rsidR="0084645E" w:rsidRPr="00EC62E9" w:rsidRDefault="0084645E" w:rsidP="001E671A">
      <w:pPr>
        <w:pStyle w:val="Heading4"/>
        <w:rPr>
          <w:lang w:val="de-DE"/>
        </w:rPr>
      </w:pPr>
      <w:bookmarkStart w:id="296" w:name="_Toc392228924"/>
      <w:bookmarkStart w:id="297" w:name="_Toc396137634"/>
      <w:bookmarkStart w:id="298" w:name="_Toc398736831"/>
      <w:r w:rsidRPr="00EC62E9">
        <w:rPr>
          <w:lang w:val="de-DE"/>
        </w:rPr>
        <w:t>3.1</w:t>
      </w:r>
      <w:r w:rsidRPr="00EC62E9">
        <w:rPr>
          <w:lang w:val="de-DE"/>
        </w:rPr>
        <w:tab/>
        <w:t>Einnahmen, Ausgaben und Reserven</w:t>
      </w:r>
      <w:bookmarkEnd w:id="296"/>
      <w:bookmarkEnd w:id="297"/>
      <w:bookmarkEnd w:id="298"/>
    </w:p>
    <w:p w:rsidR="0084645E" w:rsidRPr="00EC62E9" w:rsidRDefault="0084645E" w:rsidP="0084645E">
      <w:pPr>
        <w:rPr>
          <w:lang w:val="de-DE"/>
        </w:rPr>
      </w:pPr>
    </w:p>
    <w:p w:rsidR="0084645E" w:rsidRPr="00EC62E9" w:rsidRDefault="0084645E" w:rsidP="0084645E">
      <w:pPr>
        <w:jc w:val="center"/>
        <w:rPr>
          <w:rFonts w:cs="Arial"/>
          <w:bCs/>
          <w:lang w:val="de-DE"/>
        </w:rPr>
      </w:pPr>
      <w:r w:rsidRPr="00EC62E9">
        <w:rPr>
          <w:b/>
          <w:lang w:val="de-DE"/>
        </w:rPr>
        <w:t>Tabelle 1:  Einnahmen, Ausgaben und Reserven 2008-2009, 2010-2011 und 2012-2013</w:t>
      </w:r>
    </w:p>
    <w:p w:rsidR="0084645E" w:rsidRPr="00EC62E9" w:rsidRDefault="0084645E" w:rsidP="0084645E">
      <w:pPr>
        <w:jc w:val="center"/>
        <w:rPr>
          <w:rFonts w:cs="Arial"/>
          <w:iCs/>
          <w:lang w:val="de-DE"/>
        </w:rPr>
      </w:pPr>
      <w:r w:rsidRPr="00EC62E9">
        <w:rPr>
          <w:lang w:val="de-DE"/>
        </w:rPr>
        <w:t xml:space="preserve">(in Tausend Schweizer Franken) </w:t>
      </w:r>
    </w:p>
    <w:p w:rsidR="0084645E" w:rsidRPr="00EC62E9" w:rsidRDefault="0084645E" w:rsidP="0084645E">
      <w:pPr>
        <w:rPr>
          <w:lang w:val="de-DE"/>
        </w:rPr>
      </w:pPr>
    </w:p>
    <w:p w:rsidR="0084645E" w:rsidRPr="00EC62E9" w:rsidRDefault="00E46389" w:rsidP="00E46389">
      <w:pPr>
        <w:ind w:left="-113"/>
        <w:jc w:val="center"/>
        <w:rPr>
          <w:lang w:val="de-DE"/>
        </w:rPr>
      </w:pPr>
      <w:r w:rsidRPr="00E46389">
        <w:rPr>
          <w:noProof/>
        </w:rPr>
        <w:drawing>
          <wp:inline distT="0" distB="0" distL="0" distR="0" wp14:anchorId="23379600" wp14:editId="26823752">
            <wp:extent cx="5934075" cy="2019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4075" cy="2019300"/>
                    </a:xfrm>
                    <a:prstGeom prst="rect">
                      <a:avLst/>
                    </a:prstGeom>
                    <a:noFill/>
                    <a:ln>
                      <a:noFill/>
                    </a:ln>
                  </pic:spPr>
                </pic:pic>
              </a:graphicData>
            </a:graphic>
          </wp:inline>
        </w:drawing>
      </w:r>
    </w:p>
    <w:p w:rsidR="00CC5FC0" w:rsidRDefault="00CC5FC0" w:rsidP="00E46389">
      <w:pPr>
        <w:ind w:left="142"/>
        <w:rPr>
          <w:i/>
          <w:sz w:val="18"/>
          <w:lang w:val="de-DE"/>
        </w:rPr>
      </w:pPr>
    </w:p>
    <w:p w:rsidR="0084645E" w:rsidRPr="00EC62E9" w:rsidRDefault="0084645E" w:rsidP="00E46389">
      <w:pPr>
        <w:ind w:left="142"/>
        <w:rPr>
          <w:i/>
          <w:sz w:val="18"/>
          <w:lang w:val="de-DE"/>
        </w:rPr>
      </w:pPr>
      <w:r w:rsidRPr="00EC62E9">
        <w:rPr>
          <w:i/>
          <w:sz w:val="18"/>
          <w:lang w:val="de-DE"/>
        </w:rPr>
        <w:t>*</w:t>
      </w:r>
      <w:r w:rsidRPr="00EC62E9">
        <w:rPr>
          <w:sz w:val="18"/>
          <w:lang w:val="de-DE"/>
        </w:rPr>
        <w:t xml:space="preserve"> </w:t>
      </w:r>
      <w:r w:rsidRPr="00EC62E9">
        <w:rPr>
          <w:i/>
          <w:sz w:val="18"/>
          <w:lang w:val="de-DE"/>
        </w:rPr>
        <w:t>Tatsächliche Einnahmen/Ausgaben auf einer Haushaltsbasis</w:t>
      </w:r>
      <w:r w:rsidR="00E34872" w:rsidRPr="00EC62E9">
        <w:rPr>
          <w:sz w:val="18"/>
          <w:lang w:val="de-DE"/>
        </w:rPr>
        <w:tab/>
      </w:r>
    </w:p>
    <w:p w:rsidR="0084645E" w:rsidRPr="00EC62E9" w:rsidRDefault="0084645E" w:rsidP="00E46389">
      <w:pPr>
        <w:ind w:left="142"/>
        <w:rPr>
          <w:sz w:val="18"/>
          <w:lang w:val="de-DE"/>
        </w:rPr>
      </w:pPr>
      <w:r w:rsidRPr="00EC62E9">
        <w:rPr>
          <w:i/>
          <w:sz w:val="18"/>
          <w:lang w:val="de-DE"/>
        </w:rPr>
        <w:t>(vergleiche Dokument C/48/4 „Finanzverwaltungsbericht für die Rechnungsperiode 2012-2013“, Darstellung V)</w:t>
      </w:r>
    </w:p>
    <w:p w:rsidR="0084645E" w:rsidRPr="00EC62E9" w:rsidRDefault="0084645E" w:rsidP="0084645E">
      <w:pPr>
        <w:rPr>
          <w:lang w:val="de-DE"/>
        </w:rPr>
      </w:pPr>
    </w:p>
    <w:p w:rsidR="00E34872" w:rsidRPr="00EC62E9" w:rsidRDefault="00E34872" w:rsidP="0084645E">
      <w:pPr>
        <w:rPr>
          <w:lang w:val="de-DE"/>
        </w:rPr>
      </w:pPr>
    </w:p>
    <w:p w:rsidR="0084645E" w:rsidRPr="00EC62E9" w:rsidRDefault="00702BC2" w:rsidP="001E671A">
      <w:pPr>
        <w:pStyle w:val="Heading4"/>
        <w:rPr>
          <w:lang w:val="de-DE"/>
        </w:rPr>
      </w:pPr>
      <w:bookmarkStart w:id="299" w:name="_Toc392228925"/>
      <w:bookmarkStart w:id="300" w:name="_Toc396137635"/>
      <w:bookmarkStart w:id="301" w:name="_Toc398736832"/>
      <w:r w:rsidRPr="00EC62E9">
        <w:rPr>
          <w:lang w:val="de-DE"/>
        </w:rPr>
        <w:t>3.2</w:t>
      </w:r>
      <w:r w:rsidRPr="00EC62E9">
        <w:rPr>
          <w:lang w:val="de-DE"/>
        </w:rPr>
        <w:tab/>
      </w:r>
      <w:r w:rsidR="00E34872" w:rsidRPr="00EC62E9">
        <w:rPr>
          <w:lang w:val="de-DE"/>
        </w:rPr>
        <w:t>Haushalts</w:t>
      </w:r>
      <w:bookmarkEnd w:id="299"/>
      <w:bookmarkEnd w:id="300"/>
      <w:r w:rsidR="00E34872" w:rsidRPr="00EC62E9">
        <w:rPr>
          <w:lang w:val="de-DE"/>
        </w:rPr>
        <w:t>struktur</w:t>
      </w:r>
      <w:bookmarkEnd w:id="301"/>
    </w:p>
    <w:p w:rsidR="0084645E" w:rsidRPr="00EC62E9" w:rsidRDefault="0084645E" w:rsidP="0084645E">
      <w:pPr>
        <w:rPr>
          <w:lang w:val="de-DE"/>
        </w:rPr>
      </w:pPr>
    </w:p>
    <w:p w:rsidR="0084645E" w:rsidRPr="00EC62E9" w:rsidRDefault="00702BC2" w:rsidP="0084645E">
      <w:pPr>
        <w:jc w:val="center"/>
        <w:rPr>
          <w:b/>
          <w:lang w:val="de-DE"/>
        </w:rPr>
      </w:pPr>
      <w:r w:rsidRPr="00EC62E9">
        <w:rPr>
          <w:b/>
          <w:lang w:val="de-DE"/>
        </w:rPr>
        <w:t xml:space="preserve">Tabelle 2:  </w:t>
      </w:r>
      <w:r w:rsidR="0084645E" w:rsidRPr="00EC62E9">
        <w:rPr>
          <w:b/>
          <w:lang w:val="de-DE"/>
        </w:rPr>
        <w:t>Haushalts</w:t>
      </w:r>
      <w:r w:rsidRPr="00EC62E9">
        <w:rPr>
          <w:b/>
          <w:lang w:val="de-DE"/>
        </w:rPr>
        <w:t>struktur</w:t>
      </w:r>
      <w:r w:rsidR="0084645E" w:rsidRPr="00EC62E9">
        <w:rPr>
          <w:b/>
          <w:lang w:val="de-DE"/>
        </w:rPr>
        <w:t xml:space="preserve"> 2012-2013 im Vergleich zu 2008-2009 und 2010-2011</w:t>
      </w:r>
    </w:p>
    <w:p w:rsidR="0084645E" w:rsidRPr="00EC62E9" w:rsidRDefault="0084645E" w:rsidP="0084645E">
      <w:pPr>
        <w:jc w:val="center"/>
        <w:rPr>
          <w:lang w:val="de-DE"/>
        </w:rPr>
      </w:pPr>
      <w:r w:rsidRPr="00EC62E9">
        <w:rPr>
          <w:lang w:val="de-DE"/>
        </w:rPr>
        <w:t>(in Tausend Schweizer Franken)</w:t>
      </w:r>
    </w:p>
    <w:p w:rsidR="0084645E" w:rsidRPr="00EC62E9" w:rsidRDefault="0084645E" w:rsidP="0084645E">
      <w:pPr>
        <w:jc w:val="center"/>
        <w:rPr>
          <w:lang w:val="de-DE"/>
        </w:rPr>
      </w:pPr>
    </w:p>
    <w:p w:rsidR="0084645E" w:rsidRPr="00EC62E9" w:rsidRDefault="00097187" w:rsidP="0084645E">
      <w:pPr>
        <w:jc w:val="center"/>
        <w:rPr>
          <w:lang w:val="de-DE"/>
        </w:rPr>
      </w:pPr>
      <w:r w:rsidRPr="00097187">
        <w:rPr>
          <w:noProof/>
        </w:rPr>
        <w:drawing>
          <wp:inline distT="0" distB="0" distL="0" distR="0">
            <wp:extent cx="5715000" cy="19907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15000" cy="1990725"/>
                    </a:xfrm>
                    <a:prstGeom prst="rect">
                      <a:avLst/>
                    </a:prstGeom>
                    <a:noFill/>
                    <a:ln>
                      <a:noFill/>
                    </a:ln>
                  </pic:spPr>
                </pic:pic>
              </a:graphicData>
            </a:graphic>
          </wp:inline>
        </w:drawing>
      </w:r>
    </w:p>
    <w:p w:rsidR="0084645E" w:rsidRPr="00EC62E9" w:rsidRDefault="0084645E" w:rsidP="0084645E">
      <w:pPr>
        <w:rPr>
          <w:lang w:val="de-DE"/>
        </w:rPr>
      </w:pPr>
    </w:p>
    <w:p w:rsidR="0084645E" w:rsidRPr="00EC62E9" w:rsidRDefault="0084645E" w:rsidP="0084645E">
      <w:pPr>
        <w:rPr>
          <w:lang w:val="de-DE"/>
        </w:rPr>
      </w:pPr>
    </w:p>
    <w:p w:rsidR="0084645E" w:rsidRPr="00EC62E9" w:rsidRDefault="0084645E" w:rsidP="0084645E">
      <w:pPr>
        <w:rPr>
          <w:lang w:val="de-DE"/>
        </w:rPr>
      </w:pPr>
    </w:p>
    <w:p w:rsidR="0084645E" w:rsidRPr="00EC62E9" w:rsidRDefault="0084645E" w:rsidP="0084645E">
      <w:pPr>
        <w:jc w:val="left"/>
        <w:rPr>
          <w:lang w:val="de-DE"/>
        </w:rPr>
      </w:pPr>
    </w:p>
    <w:p w:rsidR="0084645E" w:rsidRPr="00EC62E9" w:rsidRDefault="0084645E" w:rsidP="001E671A">
      <w:pPr>
        <w:pStyle w:val="Heading4"/>
        <w:rPr>
          <w:lang w:val="de-DE"/>
        </w:rPr>
      </w:pPr>
      <w:bookmarkStart w:id="302" w:name="_Toc392228926"/>
      <w:bookmarkStart w:id="303" w:name="_Toc396137636"/>
      <w:bookmarkStart w:id="304" w:name="_Toc398736833"/>
      <w:r w:rsidRPr="00EC62E9">
        <w:rPr>
          <w:lang w:val="de-DE"/>
        </w:rPr>
        <w:t>3.3</w:t>
      </w:r>
      <w:r w:rsidRPr="00EC62E9">
        <w:rPr>
          <w:lang w:val="de-DE"/>
        </w:rPr>
        <w:tab/>
        <w:t>Haushaltsveränderung nach Ausgabeposten</w:t>
      </w:r>
      <w:bookmarkEnd w:id="302"/>
      <w:bookmarkEnd w:id="303"/>
      <w:bookmarkEnd w:id="304"/>
    </w:p>
    <w:p w:rsidR="0084645E" w:rsidRPr="00EC62E9" w:rsidRDefault="0084645E" w:rsidP="0084645E">
      <w:pPr>
        <w:keepNext/>
        <w:rPr>
          <w:lang w:val="de-DE"/>
        </w:rPr>
      </w:pPr>
    </w:p>
    <w:p w:rsidR="0084645E" w:rsidRPr="00EC62E9" w:rsidRDefault="0084645E" w:rsidP="0084645E">
      <w:pPr>
        <w:keepNext/>
        <w:jc w:val="center"/>
        <w:rPr>
          <w:b/>
          <w:lang w:val="de-DE"/>
        </w:rPr>
      </w:pPr>
      <w:r w:rsidRPr="00EC62E9">
        <w:rPr>
          <w:b/>
          <w:lang w:val="de-DE"/>
        </w:rPr>
        <w:t>Tabelle 3:  Haushaltsveränderung nach Ausgabeposten</w:t>
      </w:r>
    </w:p>
    <w:p w:rsidR="0084645E" w:rsidRPr="00EC62E9" w:rsidRDefault="0084645E" w:rsidP="0084645E">
      <w:pPr>
        <w:keepNext/>
        <w:jc w:val="center"/>
        <w:rPr>
          <w:lang w:val="de-DE"/>
        </w:rPr>
      </w:pPr>
      <w:r w:rsidRPr="00EC62E9">
        <w:rPr>
          <w:lang w:val="de-DE"/>
        </w:rPr>
        <w:t xml:space="preserve">(in Tausend Schweizer Franken) </w:t>
      </w:r>
    </w:p>
    <w:p w:rsidR="0084645E" w:rsidRPr="00EC62E9" w:rsidRDefault="0084645E" w:rsidP="0084645E">
      <w:pPr>
        <w:keepNext/>
        <w:rPr>
          <w:lang w:val="de-DE"/>
        </w:rPr>
      </w:pPr>
    </w:p>
    <w:p w:rsidR="0084645E" w:rsidRPr="00EC62E9" w:rsidRDefault="001503A1" w:rsidP="0084645E">
      <w:pPr>
        <w:keepNext/>
        <w:jc w:val="center"/>
        <w:rPr>
          <w:lang w:val="de-DE"/>
        </w:rPr>
      </w:pPr>
      <w:r w:rsidRPr="001503A1">
        <w:rPr>
          <w:noProof/>
        </w:rPr>
        <w:drawing>
          <wp:inline distT="0" distB="0" distL="0" distR="0">
            <wp:extent cx="5553075" cy="6467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53075" cy="6467475"/>
                    </a:xfrm>
                    <a:prstGeom prst="rect">
                      <a:avLst/>
                    </a:prstGeom>
                    <a:noFill/>
                    <a:ln>
                      <a:noFill/>
                    </a:ln>
                  </pic:spPr>
                </pic:pic>
              </a:graphicData>
            </a:graphic>
          </wp:inline>
        </w:drawing>
      </w:r>
    </w:p>
    <w:p w:rsidR="0084645E" w:rsidRPr="00CC5FC0" w:rsidRDefault="0084645E" w:rsidP="00CC5FC0">
      <w:pPr>
        <w:rPr>
          <w:i/>
        </w:rPr>
      </w:pPr>
    </w:p>
    <w:p w:rsidR="00CC5FC0" w:rsidRPr="00CC5FC0" w:rsidRDefault="0084645E" w:rsidP="00CC5FC0">
      <w:pPr>
        <w:ind w:left="426"/>
        <w:rPr>
          <w:i/>
          <w:sz w:val="18"/>
          <w:lang w:val="de-DE"/>
        </w:rPr>
      </w:pPr>
      <w:r w:rsidRPr="00CC5FC0">
        <w:rPr>
          <w:i/>
          <w:sz w:val="18"/>
          <w:lang w:val="de-DE"/>
        </w:rPr>
        <w:t>* Ausgaben in dieser Rubrik werden in der Finanzperiode 2012-20</w:t>
      </w:r>
      <w:r w:rsidR="00352C70" w:rsidRPr="00CC5FC0">
        <w:rPr>
          <w:i/>
          <w:sz w:val="18"/>
          <w:lang w:val="de-DE"/>
        </w:rPr>
        <w:t xml:space="preserve">13 nicht mehr getrennt </w:t>
      </w:r>
      <w:r w:rsidR="00056BD5" w:rsidRPr="00CC5FC0">
        <w:rPr>
          <w:i/>
          <w:sz w:val="18"/>
          <w:lang w:val="de-DE"/>
        </w:rPr>
        <w:t>verbucht</w:t>
      </w:r>
      <w:r w:rsidRPr="00CC5FC0">
        <w:rPr>
          <w:i/>
          <w:sz w:val="18"/>
          <w:lang w:val="de-DE"/>
        </w:rPr>
        <w:t>.</w:t>
      </w:r>
    </w:p>
    <w:p w:rsidR="00093547" w:rsidRPr="00CC5FC0" w:rsidRDefault="00093547" w:rsidP="00CC5FC0">
      <w:pPr>
        <w:rPr>
          <w:i/>
        </w:rPr>
      </w:pPr>
      <w:r w:rsidRPr="00EC62E9">
        <w:rPr>
          <w:i/>
          <w:lang w:val="de-DE"/>
        </w:rPr>
        <w:br w:type="page"/>
      </w:r>
    </w:p>
    <w:p w:rsidR="00093547" w:rsidRPr="00EC62E9" w:rsidRDefault="00DE3DB9" w:rsidP="00093547">
      <w:pPr>
        <w:spacing w:after="200" w:line="276" w:lineRule="auto"/>
        <w:rPr>
          <w:u w:val="single"/>
          <w:lang w:val="de-DE"/>
        </w:rPr>
      </w:pPr>
      <w:r w:rsidRPr="00EC62E9">
        <w:rPr>
          <w:u w:val="single"/>
          <w:lang w:val="de-DE"/>
        </w:rPr>
        <w:t>Personalkosten</w:t>
      </w:r>
    </w:p>
    <w:p w:rsidR="00334E47" w:rsidRPr="00EC62E9" w:rsidRDefault="00334E47" w:rsidP="00334E47">
      <w:pPr>
        <w:spacing w:after="200" w:line="276" w:lineRule="auto"/>
        <w:rPr>
          <w:lang w:val="de-DE"/>
        </w:rPr>
      </w:pPr>
      <w:r w:rsidRPr="00EC62E9">
        <w:rPr>
          <w:lang w:val="de-DE"/>
        </w:rPr>
        <w:t xml:space="preserve">Die Personalkosten beliefen sich in der Periode 2012/13 auf 4,1 Millionen Schweizer Franken, 0,5 Millionen Schweizer Franken weniger als im angenommen Haushaltsplan 2012/13 veranschlagt. Dieser Rückgang ergab sich aus der Vakanz eines Postens in der Kategorie „Höherer Dienst“ und aus Änderungen des Dienstgrades infolge personeller Veränderungen. Dem Rückgang von 1,0 Millionen Schweizer Franken in der Kategorie Posten stand ein Anstieg um 0,5 Millionen Schweizer Franken in der Kategorie befristete Mitarbeiter gegenüber. Zwei zuvor zu 80% beschäftigte Mitarbeiter nahmen ihre Tätigkeiten in der Rechnungsperiode 2012/13 wieder zu 100% auf. </w:t>
      </w:r>
    </w:p>
    <w:p w:rsidR="00334E47" w:rsidRPr="00EC62E9" w:rsidRDefault="00334E47" w:rsidP="00334E47">
      <w:pPr>
        <w:spacing w:after="200" w:line="276" w:lineRule="auto"/>
        <w:rPr>
          <w:u w:val="single"/>
          <w:lang w:val="de-DE"/>
        </w:rPr>
      </w:pPr>
      <w:r w:rsidRPr="00EC62E9">
        <w:rPr>
          <w:u w:val="single"/>
          <w:lang w:val="de-DE"/>
        </w:rPr>
        <w:t>Nichtpersonalkosten</w:t>
      </w:r>
    </w:p>
    <w:p w:rsidR="00334E47" w:rsidRPr="00EC62E9" w:rsidRDefault="00334E47" w:rsidP="00334E47">
      <w:pPr>
        <w:spacing w:after="200" w:line="276" w:lineRule="auto"/>
        <w:rPr>
          <w:rFonts w:eastAsiaTheme="minorHAnsi" w:cs="Arial"/>
          <w:lang w:val="de-DE"/>
        </w:rPr>
      </w:pPr>
      <w:r w:rsidRPr="00EC62E9">
        <w:rPr>
          <w:lang w:val="de-DE"/>
        </w:rPr>
        <w:t xml:space="preserve">Insgesamt beliefen sich die Nichtpersonalkosten auf 2,2 Millionen Schweizer Franken, was dem im Haushaltsplan veranschlagten Ziel (99% des Budgets) entsprach. Erklärungen nach Kostenkategorien sind unten aufgeführt. </w:t>
      </w:r>
    </w:p>
    <w:p w:rsidR="00334E47" w:rsidRPr="00EC62E9" w:rsidRDefault="00334E47" w:rsidP="00334E47">
      <w:pPr>
        <w:spacing w:after="200" w:line="276" w:lineRule="auto"/>
        <w:rPr>
          <w:rFonts w:eastAsiaTheme="minorHAnsi" w:cs="Arial"/>
          <w:i/>
          <w:lang w:val="de-DE"/>
        </w:rPr>
      </w:pPr>
      <w:r w:rsidRPr="00EC62E9">
        <w:rPr>
          <w:rFonts w:eastAsiaTheme="minorHAnsi"/>
          <w:i/>
          <w:lang w:val="de-DE"/>
        </w:rPr>
        <w:t>Reisen</w:t>
      </w:r>
    </w:p>
    <w:p w:rsidR="00334E47" w:rsidRPr="00EC62E9" w:rsidRDefault="00334E47" w:rsidP="00334E47">
      <w:pPr>
        <w:spacing w:after="200" w:line="276" w:lineRule="auto"/>
        <w:rPr>
          <w:rFonts w:eastAsiaTheme="minorHAnsi" w:cs="Arial"/>
          <w:lang w:val="de-DE"/>
        </w:rPr>
      </w:pPr>
      <w:r w:rsidRPr="00EC62E9">
        <w:rPr>
          <w:lang w:val="de-DE"/>
        </w:rPr>
        <w:t>Die Reisekosten entsprachen weitgehend den im Haushaltsplan 2012/13 veranschlagten Kosten (95% des Budgets).</w:t>
      </w:r>
    </w:p>
    <w:p w:rsidR="00334E47" w:rsidRPr="00EC62E9" w:rsidRDefault="00334E47" w:rsidP="00334E47">
      <w:pPr>
        <w:spacing w:after="200" w:line="276" w:lineRule="auto"/>
        <w:rPr>
          <w:rFonts w:eastAsiaTheme="minorHAnsi" w:cs="Arial"/>
          <w:i/>
          <w:lang w:val="de-DE"/>
        </w:rPr>
      </w:pPr>
      <w:r w:rsidRPr="00EC62E9">
        <w:rPr>
          <w:rFonts w:eastAsiaTheme="minorHAnsi"/>
          <w:i/>
          <w:lang w:val="de-DE"/>
        </w:rPr>
        <w:t>Vertraglich vereinbarte Dienstleistungen</w:t>
      </w:r>
    </w:p>
    <w:p w:rsidR="00334E47" w:rsidRPr="00EC62E9" w:rsidRDefault="00334E47" w:rsidP="00334E47">
      <w:pPr>
        <w:spacing w:after="200" w:line="276" w:lineRule="auto"/>
        <w:rPr>
          <w:rFonts w:eastAsiaTheme="minorHAnsi" w:cs="Arial"/>
          <w:lang w:val="de-DE"/>
        </w:rPr>
      </w:pPr>
      <w:r w:rsidRPr="00EC62E9">
        <w:rPr>
          <w:lang w:val="de-DE"/>
        </w:rPr>
        <w:t xml:space="preserve">Die Gesamtkosten für vertraglich vereinbarte Dienstleistungen entsprachen den veranschlagten Kosten (102% des Budgets). Die Kosten für Konferenzen lagen deutlich unter den veranschlagten Kosten, nämlich bei 175 Tausend Schweizer Franken gegenüber 250 Tausend Schweizer Franken (70% des Budgets). Die übrigen vertraglich vereinbarten Kosten lagen deutlich über den veranschlagten Kosten, nämlich bei 262 Tausend Schweizer Franken gegenüber 180 Tausend Schweizer Franken (146% des Haushalts). Die meisten der ursprünglich unter „Sachverständige“ veranschlagten Kosten wurden infolge von Veränderungen bei den Kostenkategorien in der Kategorie „Sonstige vertraglich vereinbarte Dienstleistungen“ verbucht. Die Ausgaben für „Sonstige vertraglich vereinbarte Ausgaben“ umfassen die Ausgaben für Sachverständige für Informationstechnologie (IT) bezüglich der Entwicklung eines elektronischen Antragsformblatts und einer elektronischen Mustervorlage für Prüfungsrichtlinien, Sachverständige, die in </w:t>
      </w:r>
      <w:proofErr w:type="spellStart"/>
      <w:r w:rsidRPr="00EC62E9">
        <w:rPr>
          <w:lang w:val="de-DE"/>
        </w:rPr>
        <w:t>bezug</w:t>
      </w:r>
      <w:proofErr w:type="spellEnd"/>
      <w:r w:rsidRPr="00EC62E9">
        <w:rPr>
          <w:lang w:val="de-DE"/>
        </w:rPr>
        <w:t xml:space="preserve"> auf die Entwicklung des fortgeschrittenen Fernlehrgangs „Prüfung von Anträgen auf Erteilung von Züchterrechten“ (DL-305) und die Verwaltung des Lehrgangs DL-205 „Einführung in das UPOV-Sortenschutzsystem nach dem UPOV-Übereinkommen“ ergänzend zum Personal der UPOV tätig werden.  </w:t>
      </w:r>
    </w:p>
    <w:p w:rsidR="00334E47" w:rsidRPr="00EC62E9" w:rsidRDefault="00334E47" w:rsidP="00334E47">
      <w:pPr>
        <w:spacing w:after="200" w:line="276" w:lineRule="auto"/>
        <w:rPr>
          <w:rFonts w:eastAsiaTheme="minorHAnsi" w:cs="Arial"/>
          <w:i/>
          <w:lang w:val="de-DE"/>
        </w:rPr>
      </w:pPr>
      <w:r w:rsidRPr="00EC62E9">
        <w:rPr>
          <w:rFonts w:eastAsiaTheme="minorHAnsi"/>
          <w:i/>
          <w:lang w:val="de-DE"/>
        </w:rPr>
        <w:t>Betriebsaufwand</w:t>
      </w:r>
    </w:p>
    <w:p w:rsidR="00334E47" w:rsidRPr="00EC62E9" w:rsidRDefault="00334E47" w:rsidP="00334E47">
      <w:pPr>
        <w:spacing w:after="200" w:line="276" w:lineRule="auto"/>
        <w:rPr>
          <w:rFonts w:eastAsiaTheme="minorHAnsi" w:cs="Arial"/>
          <w:lang w:val="de-DE"/>
        </w:rPr>
      </w:pPr>
      <w:r w:rsidRPr="00EC62E9">
        <w:rPr>
          <w:lang w:val="de-DE"/>
        </w:rPr>
        <w:t>Der Betriebsaufwand entsprach den im Haushaltsplan 2012/13 veranschlagten Kosten (101% des Budgets).</w:t>
      </w:r>
    </w:p>
    <w:p w:rsidR="00334E47" w:rsidRPr="00EC62E9" w:rsidRDefault="00334E47" w:rsidP="00334E47">
      <w:pPr>
        <w:spacing w:after="200" w:line="276" w:lineRule="auto"/>
        <w:rPr>
          <w:rFonts w:eastAsiaTheme="minorHAnsi" w:cs="Arial"/>
          <w:i/>
          <w:lang w:val="de-DE"/>
        </w:rPr>
      </w:pPr>
      <w:r w:rsidRPr="00EC62E9">
        <w:rPr>
          <w:rFonts w:eastAsiaTheme="minorHAnsi"/>
          <w:i/>
          <w:lang w:val="de-DE"/>
        </w:rPr>
        <w:t>Gerät und Bürobedarf</w:t>
      </w:r>
    </w:p>
    <w:p w:rsidR="00093547" w:rsidRPr="00EC62E9" w:rsidRDefault="00334E47" w:rsidP="00334E47">
      <w:pPr>
        <w:spacing w:after="200" w:line="276" w:lineRule="auto"/>
        <w:rPr>
          <w:rFonts w:eastAsiaTheme="minorHAnsi" w:cs="Arial"/>
          <w:lang w:val="de-DE"/>
        </w:rPr>
      </w:pPr>
      <w:r w:rsidRPr="00EC62E9">
        <w:rPr>
          <w:lang w:val="de-DE"/>
        </w:rPr>
        <w:t>Die Ausgaben für Gerät und Bürobedarf für die Rechnungsperiode 2012/13 entsprachen im Großen und Ganzen den veranschlagten Kosten (90%).</w:t>
      </w:r>
      <w:r w:rsidR="00093547" w:rsidRPr="00EC62E9">
        <w:rPr>
          <w:rFonts w:eastAsiaTheme="minorHAnsi" w:cs="Arial"/>
          <w:lang w:val="de-DE"/>
        </w:rPr>
        <w:br w:type="page"/>
      </w:r>
    </w:p>
    <w:p w:rsidR="00093547" w:rsidRDefault="00DE3DB9" w:rsidP="006814A3">
      <w:pPr>
        <w:pStyle w:val="Heading9"/>
        <w:spacing w:after="0"/>
        <w:rPr>
          <w:lang w:val="de-DE"/>
        </w:rPr>
      </w:pPr>
      <w:bookmarkStart w:id="305" w:name="_Toc396137637"/>
      <w:bookmarkStart w:id="306" w:name="_Toc398736834"/>
      <w:r w:rsidRPr="00EC62E9">
        <w:rPr>
          <w:lang w:val="de-DE"/>
        </w:rPr>
        <w:t>Abb.</w:t>
      </w:r>
      <w:r w:rsidR="00093547" w:rsidRPr="00EC62E9">
        <w:rPr>
          <w:lang w:val="de-DE"/>
        </w:rPr>
        <w:t xml:space="preserve"> 3</w:t>
      </w:r>
      <w:r w:rsidR="002B728F" w:rsidRPr="00EC62E9">
        <w:rPr>
          <w:lang w:val="de-DE"/>
        </w:rPr>
        <w:t>5</w:t>
      </w:r>
      <w:r w:rsidR="007F3B48" w:rsidRPr="00EC62E9">
        <w:rPr>
          <w:lang w:val="de-DE"/>
        </w:rPr>
        <w:t>.</w:t>
      </w:r>
      <w:r w:rsidR="00093547" w:rsidRPr="00EC62E9">
        <w:rPr>
          <w:lang w:val="de-DE"/>
        </w:rPr>
        <w:t xml:space="preserve">  </w:t>
      </w:r>
      <w:bookmarkEnd w:id="305"/>
      <w:r w:rsidRPr="00EC62E9">
        <w:rPr>
          <w:lang w:val="de-DE"/>
        </w:rPr>
        <w:t>Einnahmen und Ausgaben (zwischen 2002 und 2013)</w:t>
      </w:r>
      <w:bookmarkEnd w:id="306"/>
    </w:p>
    <w:p w:rsidR="006814A3" w:rsidRPr="00EC62E9" w:rsidRDefault="006814A3" w:rsidP="006814A3">
      <w:pPr>
        <w:keepNext/>
        <w:jc w:val="center"/>
        <w:rPr>
          <w:b/>
          <w:lang w:val="de-DE"/>
        </w:rPr>
      </w:pPr>
      <w:r w:rsidRPr="00EC62E9">
        <w:rPr>
          <w:lang w:val="de-DE"/>
        </w:rPr>
        <w:t>(in Tausend Schweizer Franken)</w:t>
      </w:r>
    </w:p>
    <w:p w:rsidR="006814A3" w:rsidRPr="006814A3" w:rsidRDefault="006814A3" w:rsidP="006814A3">
      <w:pPr>
        <w:rPr>
          <w:lang w:val="de-DE"/>
        </w:rPr>
      </w:pPr>
    </w:p>
    <w:p w:rsidR="00093547" w:rsidRPr="00EC62E9" w:rsidRDefault="006814A3" w:rsidP="00DE3DB9">
      <w:pPr>
        <w:jc w:val="center"/>
        <w:rPr>
          <w:noProof/>
          <w:lang w:val="de-DE"/>
        </w:rPr>
      </w:pPr>
      <w:r w:rsidRPr="006814A3">
        <w:rPr>
          <w:noProof/>
        </w:rPr>
        <w:drawing>
          <wp:inline distT="0" distB="0" distL="0" distR="0" wp14:anchorId="1DF0287C" wp14:editId="214DE3A2">
            <wp:extent cx="6123823" cy="5619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2">
                      <a:extLst>
                        <a:ext uri="{28A0092B-C50C-407E-A947-70E740481C1C}">
                          <a14:useLocalDpi xmlns:a14="http://schemas.microsoft.com/office/drawing/2010/main" val="0"/>
                        </a:ext>
                      </a:extLst>
                    </a:blip>
                    <a:srcRect t="1666"/>
                    <a:stretch/>
                  </pic:blipFill>
                  <pic:spPr bwMode="auto">
                    <a:xfrm>
                      <a:off x="0" y="0"/>
                      <a:ext cx="6120765" cy="5616944"/>
                    </a:xfrm>
                    <a:prstGeom prst="rect">
                      <a:avLst/>
                    </a:prstGeom>
                    <a:noFill/>
                    <a:ln>
                      <a:noFill/>
                    </a:ln>
                    <a:extLst>
                      <a:ext uri="{53640926-AAD7-44D8-BBD7-CCE9431645EC}">
                        <a14:shadowObscured xmlns:a14="http://schemas.microsoft.com/office/drawing/2010/main"/>
                      </a:ext>
                    </a:extLst>
                  </pic:spPr>
                </pic:pic>
              </a:graphicData>
            </a:graphic>
          </wp:inline>
        </w:drawing>
      </w:r>
    </w:p>
    <w:p w:rsidR="00E34872" w:rsidRPr="00EC62E9" w:rsidRDefault="00E34872" w:rsidP="00E34872">
      <w:pPr>
        <w:rPr>
          <w:lang w:val="de-DE"/>
        </w:rPr>
      </w:pPr>
      <w:bookmarkStart w:id="307" w:name="_Toc392228927"/>
      <w:bookmarkStart w:id="308" w:name="_Toc396137638"/>
    </w:p>
    <w:p w:rsidR="002F7A6A" w:rsidRPr="00EC62E9" w:rsidRDefault="0000674F" w:rsidP="001E671A">
      <w:pPr>
        <w:pStyle w:val="Heading4"/>
        <w:rPr>
          <w:lang w:val="de-DE"/>
        </w:rPr>
      </w:pPr>
      <w:bookmarkStart w:id="309" w:name="_Toc398736835"/>
      <w:r w:rsidRPr="00EC62E9">
        <w:rPr>
          <w:lang w:val="de-DE"/>
        </w:rPr>
        <w:t>3</w:t>
      </w:r>
      <w:r w:rsidR="002F7A6A" w:rsidRPr="00EC62E9">
        <w:rPr>
          <w:lang w:val="de-DE"/>
        </w:rPr>
        <w:t>.4</w:t>
      </w:r>
      <w:r w:rsidR="002F7A6A" w:rsidRPr="00EC62E9">
        <w:rPr>
          <w:lang w:val="de-DE"/>
        </w:rPr>
        <w:tab/>
      </w:r>
      <w:r w:rsidR="00DE3DB9" w:rsidRPr="00EC62E9">
        <w:rPr>
          <w:lang w:val="de-DE"/>
        </w:rPr>
        <w:t xml:space="preserve">Haushaltsplan 2010-2011:  </w:t>
      </w:r>
      <w:r w:rsidR="00E34872" w:rsidRPr="00EC62E9">
        <w:rPr>
          <w:lang w:val="de-DE"/>
        </w:rPr>
        <w:t>Posten nach Kategor</w:t>
      </w:r>
      <w:bookmarkEnd w:id="307"/>
      <w:bookmarkEnd w:id="308"/>
      <w:r w:rsidR="00E34872" w:rsidRPr="00EC62E9">
        <w:rPr>
          <w:lang w:val="de-DE"/>
        </w:rPr>
        <w:t>ie</w:t>
      </w:r>
      <w:bookmarkEnd w:id="309"/>
    </w:p>
    <w:p w:rsidR="002F7A6A" w:rsidRPr="00EC62E9" w:rsidRDefault="002F7A6A" w:rsidP="002F7A6A">
      <w:pPr>
        <w:rPr>
          <w:lang w:val="de-DE"/>
        </w:rPr>
      </w:pPr>
    </w:p>
    <w:p w:rsidR="002F7A6A" w:rsidRDefault="00526AD2" w:rsidP="006814A3">
      <w:pPr>
        <w:rPr>
          <w:lang w:val="de-DE"/>
        </w:rPr>
      </w:pPr>
      <w:r w:rsidRPr="00EC62E9">
        <w:rPr>
          <w:lang w:val="de-DE"/>
        </w:rPr>
        <w:t>Wie aus Tabelle 4</w:t>
      </w:r>
      <w:r w:rsidR="00DE3DB9" w:rsidRPr="00EC62E9">
        <w:rPr>
          <w:lang w:val="de-DE"/>
        </w:rPr>
        <w:t xml:space="preserve"> unten hervorgeht, gab es keine Änderung im Hinblick auf die Gesamtzahl der Posten und deren Aufschlüsselung nach Kategorie in der Rechnungsperiode 2012/13. In Programm und Haushaltsplan für die Rechnungsperiode 2012/</w:t>
      </w:r>
      <w:r w:rsidR="00DE3DB9" w:rsidRPr="00EC62E9">
        <w:rPr>
          <w:lang w:val="de-DE"/>
        </w:rPr>
        <w:softHyphen/>
        <w:t xml:space="preserve">2013 sind drei Posten in der Kategorie </w:t>
      </w:r>
      <w:r w:rsidR="00DE3DB9" w:rsidRPr="00EC62E9">
        <w:rPr>
          <w:rFonts w:cs="Arial"/>
          <w:lang w:val="de-DE"/>
        </w:rPr>
        <w:t>ˈ</w:t>
      </w:r>
      <w:r w:rsidR="00DE3DB9" w:rsidRPr="00EC62E9">
        <w:rPr>
          <w:lang w:val="de-DE"/>
        </w:rPr>
        <w:t>Direktorendienst</w:t>
      </w:r>
      <w:r w:rsidR="00DE3DB9" w:rsidRPr="00EC62E9">
        <w:rPr>
          <w:rFonts w:cs="Arial"/>
          <w:lang w:val="de-DE"/>
        </w:rPr>
        <w:t>ˈ</w:t>
      </w:r>
      <w:r w:rsidR="00DE3DB9" w:rsidRPr="00EC62E9">
        <w:rPr>
          <w:lang w:val="de-DE"/>
        </w:rPr>
        <w:t xml:space="preserve"> und drei Posten in der Kategorie </w:t>
      </w:r>
      <w:r w:rsidR="00DE3DB9" w:rsidRPr="00EC62E9">
        <w:rPr>
          <w:rFonts w:cs="Arial"/>
          <w:lang w:val="de-DE"/>
        </w:rPr>
        <w:t>ˈ</w:t>
      </w:r>
      <w:r w:rsidR="00DE3DB9" w:rsidRPr="00EC62E9">
        <w:rPr>
          <w:lang w:val="de-DE"/>
        </w:rPr>
        <w:t>Höherer Dienst</w:t>
      </w:r>
      <w:r w:rsidR="00DE3DB9" w:rsidRPr="00EC62E9">
        <w:rPr>
          <w:rFonts w:cs="Arial"/>
          <w:lang w:val="de-DE"/>
        </w:rPr>
        <w:t>ˈ</w:t>
      </w:r>
      <w:r w:rsidR="00DE3DB9" w:rsidRPr="00EC62E9">
        <w:rPr>
          <w:lang w:val="de-DE"/>
        </w:rPr>
        <w:t xml:space="preserve"> vorgesehen. Aufgrund unvorhergesehener personeller Veränderungen betrug die tatsächliche Anzahl der Posten in der Kategorie </w:t>
      </w:r>
      <w:r w:rsidR="00DE3DB9" w:rsidRPr="00EC62E9">
        <w:rPr>
          <w:rFonts w:cs="Arial"/>
          <w:lang w:val="de-DE"/>
        </w:rPr>
        <w:t>ˈ</w:t>
      </w:r>
      <w:r w:rsidR="00DE3DB9" w:rsidRPr="00EC62E9">
        <w:rPr>
          <w:lang w:val="de-DE"/>
        </w:rPr>
        <w:t>Direktorendienst</w:t>
      </w:r>
      <w:r w:rsidR="00DE3DB9" w:rsidRPr="00EC62E9">
        <w:rPr>
          <w:rFonts w:cs="Arial"/>
          <w:lang w:val="de-DE"/>
        </w:rPr>
        <w:t>ˈ</w:t>
      </w:r>
      <w:r w:rsidR="00DE3DB9" w:rsidRPr="00EC62E9">
        <w:rPr>
          <w:lang w:val="de-DE"/>
        </w:rPr>
        <w:t xml:space="preserve"> allerdings lediglich zwei und in der Kategorie </w:t>
      </w:r>
      <w:r w:rsidR="00DE3DB9" w:rsidRPr="00EC62E9">
        <w:rPr>
          <w:rFonts w:cs="Arial"/>
          <w:lang w:val="de-DE"/>
        </w:rPr>
        <w:t>ˈ</w:t>
      </w:r>
      <w:r w:rsidR="00DE3DB9" w:rsidRPr="00EC62E9">
        <w:rPr>
          <w:lang w:val="de-DE"/>
        </w:rPr>
        <w:t>Höherer Dienst</w:t>
      </w:r>
      <w:r w:rsidR="00DE3DB9" w:rsidRPr="00EC62E9">
        <w:rPr>
          <w:rFonts w:cs="Arial"/>
          <w:lang w:val="de-DE"/>
        </w:rPr>
        <w:t>ˈ</w:t>
      </w:r>
      <w:r w:rsidR="00DE3DB9" w:rsidRPr="00EC62E9">
        <w:rPr>
          <w:lang w:val="de-DE"/>
        </w:rPr>
        <w:t xml:space="preserve"> vier.</w:t>
      </w:r>
    </w:p>
    <w:p w:rsidR="006814A3" w:rsidRPr="00EC62E9" w:rsidRDefault="006814A3" w:rsidP="006814A3">
      <w:pPr>
        <w:rPr>
          <w:lang w:val="de-DE"/>
        </w:rPr>
      </w:pPr>
    </w:p>
    <w:p w:rsidR="00F11B56" w:rsidRPr="00EC62E9" w:rsidRDefault="00DE3DB9" w:rsidP="006814A3">
      <w:pPr>
        <w:keepNext/>
        <w:spacing w:after="240"/>
        <w:jc w:val="center"/>
        <w:rPr>
          <w:b/>
          <w:lang w:val="de-DE"/>
        </w:rPr>
      </w:pPr>
      <w:r w:rsidRPr="00EC62E9">
        <w:rPr>
          <w:b/>
          <w:lang w:val="de-DE"/>
        </w:rPr>
        <w:t>Tabelle 4: Posten nach Kategorie</w:t>
      </w:r>
    </w:p>
    <w:p w:rsidR="002F7A6A" w:rsidRPr="00EC62E9" w:rsidRDefault="006814A3" w:rsidP="006814A3">
      <w:pPr>
        <w:jc w:val="center"/>
        <w:rPr>
          <w:lang w:val="de-DE"/>
        </w:rPr>
      </w:pPr>
      <w:r w:rsidRPr="006814A3">
        <w:rPr>
          <w:noProof/>
        </w:rPr>
        <w:drawing>
          <wp:inline distT="0" distB="0" distL="0" distR="0">
            <wp:extent cx="5343525" cy="1304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43525" cy="1304925"/>
                    </a:xfrm>
                    <a:prstGeom prst="rect">
                      <a:avLst/>
                    </a:prstGeom>
                    <a:noFill/>
                    <a:ln>
                      <a:noFill/>
                    </a:ln>
                  </pic:spPr>
                </pic:pic>
              </a:graphicData>
            </a:graphic>
          </wp:inline>
        </w:drawing>
      </w:r>
    </w:p>
    <w:p w:rsidR="005D54D0" w:rsidRPr="00EC62E9" w:rsidRDefault="005D54D0" w:rsidP="00240CE2">
      <w:pPr>
        <w:rPr>
          <w:lang w:val="de-DE"/>
        </w:rPr>
      </w:pPr>
      <w:bookmarkStart w:id="310" w:name="_Toc392228928"/>
    </w:p>
    <w:p w:rsidR="002F7A6A" w:rsidRPr="00EC62E9" w:rsidRDefault="0000674F" w:rsidP="001E671A">
      <w:pPr>
        <w:pStyle w:val="Heading4"/>
        <w:rPr>
          <w:lang w:val="de-DE"/>
        </w:rPr>
      </w:pPr>
      <w:bookmarkStart w:id="311" w:name="_Toc396137639"/>
      <w:bookmarkStart w:id="312" w:name="_Toc398736836"/>
      <w:r w:rsidRPr="00EC62E9">
        <w:rPr>
          <w:lang w:val="de-DE"/>
        </w:rPr>
        <w:t>3</w:t>
      </w:r>
      <w:r w:rsidR="002F7A6A" w:rsidRPr="00EC62E9">
        <w:rPr>
          <w:lang w:val="de-DE"/>
        </w:rPr>
        <w:t>.5</w:t>
      </w:r>
      <w:r w:rsidR="002F7A6A" w:rsidRPr="00EC62E9">
        <w:rPr>
          <w:lang w:val="de-DE"/>
        </w:rPr>
        <w:tab/>
      </w:r>
      <w:r w:rsidR="00E34872" w:rsidRPr="00EC62E9">
        <w:rPr>
          <w:lang w:val="de-DE"/>
        </w:rPr>
        <w:t>Einnahmen</w:t>
      </w:r>
      <w:r w:rsidR="002F7A6A" w:rsidRPr="00EC62E9">
        <w:rPr>
          <w:lang w:val="de-DE"/>
        </w:rPr>
        <w:t xml:space="preserve">:  </w:t>
      </w:r>
      <w:bookmarkEnd w:id="310"/>
      <w:bookmarkEnd w:id="311"/>
      <w:r w:rsidR="00E34872" w:rsidRPr="00EC62E9">
        <w:rPr>
          <w:lang w:val="de-DE"/>
        </w:rPr>
        <w:t>Unterschiede nach Quellen</w:t>
      </w:r>
      <w:bookmarkEnd w:id="312"/>
    </w:p>
    <w:p w:rsidR="002F7A6A" w:rsidRPr="00EC62E9" w:rsidRDefault="002F7A6A" w:rsidP="002F7A6A">
      <w:pPr>
        <w:rPr>
          <w:lang w:val="de-DE"/>
        </w:rPr>
      </w:pPr>
    </w:p>
    <w:p w:rsidR="00A52C32" w:rsidRPr="00EC62E9" w:rsidRDefault="00DE3DB9" w:rsidP="002F7A6A">
      <w:pPr>
        <w:rPr>
          <w:lang w:val="de-DE"/>
        </w:rPr>
      </w:pPr>
      <w:r w:rsidRPr="00EC62E9">
        <w:rPr>
          <w:lang w:val="de-DE"/>
        </w:rPr>
        <w:t>Das tatsächliche Haushaltseinkommen belief sich in der Rechnungsperiode 2012/13 entsprechend dem veranschlagten Ziel auf 6,8 Millio</w:t>
      </w:r>
      <w:r w:rsidR="00A52C32" w:rsidRPr="00EC62E9">
        <w:rPr>
          <w:lang w:val="de-DE"/>
        </w:rPr>
        <w:t>nen Schweizer Franken (Tabelle 5</w:t>
      </w:r>
      <w:r w:rsidRPr="00EC62E9">
        <w:rPr>
          <w:lang w:val="de-DE"/>
        </w:rPr>
        <w:t xml:space="preserve"> unten). Die Einnahmen aus Beiträgen, die die größte Einzeleinnahmequelle darstellen (98% des Gesamtbetrags), lagen um 11 Tausend Schweizer Franken unter dem im Haushaltsplan veranschlagten Betrag. In dem für 2012/13 angenommenen Haushaltsplan war man von einem neuen Verbandsmitglied pro Jahr ausgegangen. Allerdings ist in der Rechnungsperiode 2012/13 lediglich ein neues Verbandsmitglied hinzugekommen. Die Einnahmen aus Veröffentlichungen lagen um 6 Tausend Schweizer Franken unter dem veranschlagten Betrag. Die Mindereinnahmen sind auf den Ersatz der UPOV-ROM-Datenbank für Pflanzensorten mit ihren zahlenden Abonnenten durch die PLUTO-Datenbank, die für alle Nutzer kostenfrei ist, zurückzuführen. Die Zinseinnahmen lagen um 41 Tausend Schweizer Franken unter dem veranschlagten Betrag, da die Zinsen auf die bei der Schweizerischen Eidgenossenschaft hinterlegten Gelder geringer als erwartet ausfielen. Die</w:t>
      </w:r>
      <w:r w:rsidR="00A52C32" w:rsidRPr="00EC62E9">
        <w:rPr>
          <w:lang w:val="de-DE"/>
        </w:rPr>
        <w:t xml:space="preserve"> sonstigen Einnahmen lagen um 52</w:t>
      </w:r>
      <w:r w:rsidRPr="00EC62E9">
        <w:rPr>
          <w:lang w:val="de-DE"/>
        </w:rPr>
        <w:t xml:space="preserve"> Tausend Schweizer Franken über dem veranschlagten Betrag. Sonstige Einnahmen umfassen administrative Unterstützungskosten im Rahmen der Treuhandfonds, Einnahmen durch die Teilnahmegebühren am UPOV-Fernlehrgang und Buchhaltungsberichtigungen für frühere Jahre. </w:t>
      </w:r>
    </w:p>
    <w:p w:rsidR="002F7A6A" w:rsidRPr="00EC62E9" w:rsidRDefault="002F7A6A" w:rsidP="002F7A6A">
      <w:pPr>
        <w:rPr>
          <w:lang w:val="de-DE"/>
        </w:rPr>
      </w:pPr>
    </w:p>
    <w:p w:rsidR="00C4007C" w:rsidRPr="00EC62E9" w:rsidRDefault="00C4007C" w:rsidP="002F7A6A">
      <w:pPr>
        <w:rPr>
          <w:lang w:val="de-DE"/>
        </w:rPr>
      </w:pPr>
    </w:p>
    <w:p w:rsidR="00F11B56" w:rsidRPr="00EC62E9" w:rsidRDefault="0084645E" w:rsidP="002F7A6A">
      <w:pPr>
        <w:keepNext/>
        <w:jc w:val="center"/>
        <w:rPr>
          <w:b/>
          <w:lang w:val="de-DE"/>
        </w:rPr>
      </w:pPr>
      <w:r w:rsidRPr="00EC62E9">
        <w:rPr>
          <w:b/>
          <w:lang w:val="de-DE"/>
        </w:rPr>
        <w:t>Tabelle</w:t>
      </w:r>
      <w:r w:rsidR="00A52C32" w:rsidRPr="00EC62E9">
        <w:rPr>
          <w:b/>
          <w:lang w:val="de-DE"/>
        </w:rPr>
        <w:t xml:space="preserve"> 5: Einnahmen:  Unterschiede nach Quellen</w:t>
      </w:r>
      <w:r w:rsidR="009D2175" w:rsidRPr="00EC62E9">
        <w:rPr>
          <w:b/>
          <w:lang w:val="de-DE"/>
        </w:rPr>
        <w:t xml:space="preserve"> </w:t>
      </w:r>
    </w:p>
    <w:p w:rsidR="002F7A6A" w:rsidRPr="00EC62E9" w:rsidRDefault="00A52C32" w:rsidP="002F7A6A">
      <w:pPr>
        <w:keepNext/>
        <w:jc w:val="center"/>
        <w:rPr>
          <w:lang w:val="de-DE"/>
        </w:rPr>
      </w:pPr>
      <w:r w:rsidRPr="00EC62E9">
        <w:rPr>
          <w:lang w:val="de-DE"/>
        </w:rPr>
        <w:t>(in Tausend Schweizer Franken</w:t>
      </w:r>
      <w:r w:rsidR="00F11B56" w:rsidRPr="00EC62E9">
        <w:rPr>
          <w:lang w:val="de-DE"/>
        </w:rPr>
        <w:t>)</w:t>
      </w:r>
    </w:p>
    <w:p w:rsidR="00E22964" w:rsidRPr="00EC62E9" w:rsidRDefault="00E22964" w:rsidP="002F7A6A">
      <w:pPr>
        <w:keepNext/>
        <w:jc w:val="center"/>
        <w:rPr>
          <w:b/>
          <w:lang w:val="de-DE"/>
        </w:rPr>
      </w:pPr>
    </w:p>
    <w:p w:rsidR="002F7A6A" w:rsidRPr="00EC62E9" w:rsidRDefault="006809E1" w:rsidP="002F7A6A">
      <w:pPr>
        <w:jc w:val="center"/>
        <w:rPr>
          <w:lang w:val="de-DE"/>
        </w:rPr>
      </w:pPr>
      <w:r w:rsidRPr="006809E1">
        <w:rPr>
          <w:noProof/>
        </w:rPr>
        <w:drawing>
          <wp:inline distT="0" distB="0" distL="0" distR="0">
            <wp:extent cx="4819650" cy="2676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19650" cy="2676525"/>
                    </a:xfrm>
                    <a:prstGeom prst="rect">
                      <a:avLst/>
                    </a:prstGeom>
                    <a:noFill/>
                    <a:ln>
                      <a:noFill/>
                    </a:ln>
                  </pic:spPr>
                </pic:pic>
              </a:graphicData>
            </a:graphic>
          </wp:inline>
        </w:drawing>
      </w:r>
    </w:p>
    <w:p w:rsidR="002F7A6A" w:rsidRPr="00EC62E9" w:rsidRDefault="002F7A6A" w:rsidP="002F7A6A">
      <w:pPr>
        <w:rPr>
          <w:lang w:val="de-DE"/>
        </w:rPr>
      </w:pPr>
    </w:p>
    <w:p w:rsidR="002F7A6A" w:rsidRPr="00EC62E9" w:rsidRDefault="002F7A6A" w:rsidP="002F7A6A">
      <w:pPr>
        <w:rPr>
          <w:lang w:val="de-DE"/>
        </w:rPr>
      </w:pPr>
    </w:p>
    <w:p w:rsidR="002F7A6A" w:rsidRPr="00EC62E9" w:rsidRDefault="002F7A6A" w:rsidP="002F7A6A">
      <w:pPr>
        <w:jc w:val="left"/>
        <w:rPr>
          <w:u w:val="single"/>
          <w:lang w:val="de-DE"/>
        </w:rPr>
      </w:pPr>
      <w:r w:rsidRPr="00EC62E9">
        <w:rPr>
          <w:lang w:val="de-DE"/>
        </w:rPr>
        <w:br w:type="page"/>
      </w:r>
    </w:p>
    <w:p w:rsidR="0084645E" w:rsidRPr="00EC62E9" w:rsidRDefault="0000674F" w:rsidP="001E671A">
      <w:pPr>
        <w:pStyle w:val="Heading4"/>
        <w:rPr>
          <w:lang w:val="de-DE"/>
        </w:rPr>
      </w:pPr>
      <w:bookmarkStart w:id="313" w:name="_Toc392228929"/>
      <w:bookmarkStart w:id="314" w:name="_Toc396137640"/>
      <w:bookmarkStart w:id="315" w:name="_Toc398736837"/>
      <w:r w:rsidRPr="00EC62E9">
        <w:rPr>
          <w:lang w:val="de-DE"/>
        </w:rPr>
        <w:t>3</w:t>
      </w:r>
      <w:r w:rsidR="002F7A6A" w:rsidRPr="00EC62E9">
        <w:rPr>
          <w:lang w:val="de-DE"/>
        </w:rPr>
        <w:t>.6</w:t>
      </w:r>
      <w:r w:rsidR="002F7A6A" w:rsidRPr="00EC62E9">
        <w:rPr>
          <w:lang w:val="de-DE"/>
        </w:rPr>
        <w:tab/>
      </w:r>
      <w:bookmarkEnd w:id="313"/>
      <w:bookmarkEnd w:id="314"/>
      <w:r w:rsidR="0084645E" w:rsidRPr="00EC62E9">
        <w:rPr>
          <w:lang w:val="de-DE"/>
        </w:rPr>
        <w:t>Einnahmen, Ausgaben und Reserven</w:t>
      </w:r>
      <w:bookmarkEnd w:id="315"/>
    </w:p>
    <w:p w:rsidR="0084645E" w:rsidRPr="00EC62E9" w:rsidRDefault="0084645E" w:rsidP="0084645E">
      <w:pPr>
        <w:keepNext/>
        <w:rPr>
          <w:lang w:val="de-DE"/>
        </w:rPr>
      </w:pPr>
    </w:p>
    <w:p w:rsidR="0084645E" w:rsidRPr="00EC62E9" w:rsidRDefault="0084645E" w:rsidP="0084645E">
      <w:pPr>
        <w:keepNext/>
        <w:jc w:val="center"/>
        <w:rPr>
          <w:rFonts w:cs="Arial"/>
          <w:iCs/>
          <w:sz w:val="18"/>
          <w:lang w:val="de-DE"/>
        </w:rPr>
      </w:pPr>
      <w:r w:rsidRPr="00EC62E9">
        <w:rPr>
          <w:b/>
          <w:lang w:val="de-DE"/>
        </w:rPr>
        <w:t>Tabelle 6: Einnahmen, Ausgaben und Reserve- und Betriebsmittelfonds (RWCF)</w:t>
      </w:r>
      <w:r w:rsidRPr="00EC62E9">
        <w:rPr>
          <w:b/>
          <w:lang w:val="de-DE"/>
        </w:rPr>
        <w:br/>
      </w:r>
      <w:r w:rsidRPr="00EC62E9">
        <w:rPr>
          <w:sz w:val="18"/>
          <w:lang w:val="de-DE"/>
        </w:rPr>
        <w:t>(in Tausend Schweizer Franken)</w:t>
      </w:r>
    </w:p>
    <w:p w:rsidR="002F7A6A" w:rsidRPr="00EC62E9" w:rsidRDefault="002F7A6A" w:rsidP="0084645E">
      <w:pPr>
        <w:pStyle w:val="Heading3"/>
        <w:rPr>
          <w:rFonts w:cs="Arial"/>
          <w:iCs/>
          <w:lang w:val="de-DE"/>
        </w:rPr>
      </w:pPr>
    </w:p>
    <w:p w:rsidR="00E11469" w:rsidRPr="00EC62E9" w:rsidRDefault="00C152B8" w:rsidP="002F7A6A">
      <w:pPr>
        <w:keepNext/>
        <w:jc w:val="center"/>
        <w:rPr>
          <w:b/>
          <w:lang w:val="de-DE"/>
        </w:rPr>
      </w:pPr>
      <w:r w:rsidRPr="00C152B8">
        <w:rPr>
          <w:noProof/>
        </w:rPr>
        <w:drawing>
          <wp:inline distT="0" distB="0" distL="0" distR="0">
            <wp:extent cx="5886450" cy="4819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86450" cy="4819650"/>
                    </a:xfrm>
                    <a:prstGeom prst="rect">
                      <a:avLst/>
                    </a:prstGeom>
                    <a:noFill/>
                    <a:ln>
                      <a:noFill/>
                    </a:ln>
                  </pic:spPr>
                </pic:pic>
              </a:graphicData>
            </a:graphic>
          </wp:inline>
        </w:drawing>
      </w:r>
    </w:p>
    <w:p w:rsidR="002A0D60" w:rsidRPr="00EC62E9" w:rsidRDefault="002A0D60" w:rsidP="002A0D60">
      <w:pPr>
        <w:rPr>
          <w:lang w:val="de-DE"/>
        </w:rPr>
      </w:pPr>
    </w:p>
    <w:p w:rsidR="002A0D60" w:rsidRPr="00EC62E9" w:rsidRDefault="002A0D60">
      <w:pPr>
        <w:jc w:val="left"/>
        <w:rPr>
          <w:lang w:val="de-DE"/>
        </w:rPr>
      </w:pPr>
      <w:r w:rsidRPr="00EC62E9">
        <w:rPr>
          <w:lang w:val="de-DE"/>
        </w:rPr>
        <w:br w:type="page"/>
      </w:r>
    </w:p>
    <w:p w:rsidR="002F7A6A" w:rsidRPr="00456094" w:rsidRDefault="0084645E" w:rsidP="001E7952">
      <w:pPr>
        <w:pStyle w:val="Heading9"/>
        <w:rPr>
          <w:b w:val="0"/>
          <w:lang w:val="de-DE"/>
        </w:rPr>
      </w:pPr>
      <w:bookmarkStart w:id="316" w:name="_Toc396137641"/>
      <w:bookmarkStart w:id="317" w:name="_Toc398736838"/>
      <w:r w:rsidRPr="00EC62E9">
        <w:rPr>
          <w:lang w:val="de-DE"/>
        </w:rPr>
        <w:t>Abb.</w:t>
      </w:r>
      <w:r w:rsidR="002F7A6A" w:rsidRPr="00EC62E9">
        <w:rPr>
          <w:lang w:val="de-DE"/>
        </w:rPr>
        <w:t xml:space="preserve"> </w:t>
      </w:r>
      <w:r w:rsidR="008B6473" w:rsidRPr="00EC62E9">
        <w:rPr>
          <w:lang w:val="de-DE"/>
        </w:rPr>
        <w:t>3</w:t>
      </w:r>
      <w:r w:rsidR="00064A8F" w:rsidRPr="00EC62E9">
        <w:rPr>
          <w:lang w:val="de-DE"/>
        </w:rPr>
        <w:t>6</w:t>
      </w:r>
      <w:r w:rsidR="007F3B48" w:rsidRPr="00EC62E9">
        <w:rPr>
          <w:lang w:val="de-DE"/>
        </w:rPr>
        <w:t xml:space="preserve">. </w:t>
      </w:r>
      <w:r w:rsidR="002F7A6A" w:rsidRPr="00EC62E9">
        <w:rPr>
          <w:lang w:val="de-DE"/>
        </w:rPr>
        <w:t xml:space="preserve"> </w:t>
      </w:r>
      <w:bookmarkEnd w:id="316"/>
      <w:r w:rsidRPr="00EC62E9">
        <w:rPr>
          <w:lang w:val="de-DE"/>
        </w:rPr>
        <w:t>Einnahmen, Ausgaben und Reserven für 2003-2013</w:t>
      </w:r>
      <w:r w:rsidR="002A0D60" w:rsidRPr="00EC62E9">
        <w:rPr>
          <w:lang w:val="de-DE"/>
        </w:rPr>
        <w:br/>
      </w:r>
      <w:r w:rsidR="00456094" w:rsidRPr="00456094">
        <w:rPr>
          <w:b w:val="0"/>
          <w:lang w:val="de-DE"/>
        </w:rPr>
        <w:t>(in Tausend Schweizer Franken)</w:t>
      </w:r>
      <w:bookmarkEnd w:id="317"/>
    </w:p>
    <w:p w:rsidR="002F7A6A" w:rsidRPr="00EC62E9" w:rsidRDefault="008A7496" w:rsidP="00DC0939">
      <w:pPr>
        <w:jc w:val="center"/>
        <w:rPr>
          <w:lang w:val="de-DE"/>
        </w:rPr>
      </w:pPr>
      <w:r w:rsidRPr="00EC62E9">
        <w:rPr>
          <w:noProof/>
        </w:rPr>
        <w:drawing>
          <wp:inline distT="0" distB="0" distL="0" distR="0" wp14:anchorId="745AD92E" wp14:editId="5C4AB125">
            <wp:extent cx="5867400" cy="3943350"/>
            <wp:effectExtent l="0" t="0" r="19050" b="19050"/>
            <wp:docPr id="40" name="Diagramm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097F07" w:rsidRPr="00EC62E9" w:rsidRDefault="00097F07" w:rsidP="000A68B4">
      <w:pPr>
        <w:rPr>
          <w:lang w:val="de-DE"/>
        </w:rPr>
      </w:pPr>
    </w:p>
    <w:p w:rsidR="002A0D60" w:rsidRPr="00EC62E9" w:rsidRDefault="00F22913" w:rsidP="0067078A">
      <w:pPr>
        <w:jc w:val="left"/>
        <w:rPr>
          <w:noProof/>
          <w:lang w:val="de-DE"/>
        </w:rPr>
      </w:pPr>
      <w:r w:rsidRPr="00F22913">
        <w:rPr>
          <w:noProof/>
        </w:rPr>
        <w:drawing>
          <wp:inline distT="0" distB="0" distL="0" distR="0" wp14:anchorId="2D6E668D" wp14:editId="7F60EF5C">
            <wp:extent cx="6120765" cy="24596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20765" cy="2459680"/>
                    </a:xfrm>
                    <a:prstGeom prst="rect">
                      <a:avLst/>
                    </a:prstGeom>
                    <a:noFill/>
                    <a:ln>
                      <a:noFill/>
                    </a:ln>
                  </pic:spPr>
                </pic:pic>
              </a:graphicData>
            </a:graphic>
          </wp:inline>
        </w:drawing>
      </w:r>
    </w:p>
    <w:p w:rsidR="002A0D60" w:rsidRPr="00EC62E9" w:rsidRDefault="002A0D60" w:rsidP="0067078A">
      <w:pPr>
        <w:jc w:val="left"/>
        <w:rPr>
          <w:noProof/>
          <w:u w:val="single"/>
          <w:lang w:val="de-DE"/>
        </w:rPr>
      </w:pPr>
    </w:p>
    <w:p w:rsidR="003E36DC" w:rsidRDefault="003E36DC">
      <w:pPr>
        <w:jc w:val="left"/>
        <w:rPr>
          <w:lang w:val="de-DE"/>
        </w:rPr>
      </w:pPr>
      <w:r>
        <w:rPr>
          <w:lang w:val="de-DE"/>
        </w:rPr>
        <w:br w:type="page"/>
      </w:r>
    </w:p>
    <w:p w:rsidR="006B17D2" w:rsidRDefault="006B17D2" w:rsidP="00E22964">
      <w:pPr>
        <w:jc w:val="left"/>
        <w:rPr>
          <w:lang w:val="de-DE"/>
        </w:rPr>
      </w:pPr>
    </w:p>
    <w:p w:rsidR="003E36DC" w:rsidRDefault="003E36DC" w:rsidP="00E22964">
      <w:pPr>
        <w:jc w:val="left"/>
        <w:rPr>
          <w:lang w:val="de-DE"/>
        </w:rPr>
        <w:sectPr w:rsidR="003E36DC" w:rsidSect="005564EB">
          <w:headerReference w:type="default" r:id="rId78"/>
          <w:endnotePr>
            <w:numFmt w:val="lowerLetter"/>
          </w:endnotePr>
          <w:type w:val="continuous"/>
          <w:pgSz w:w="11907" w:h="16840" w:code="9"/>
          <w:pgMar w:top="510" w:right="1134" w:bottom="1134" w:left="1134" w:header="510" w:footer="680" w:gutter="0"/>
          <w:cols w:space="720"/>
          <w:titlePg/>
        </w:sectPr>
      </w:pPr>
    </w:p>
    <w:p w:rsidR="001A109D" w:rsidRPr="001A109D" w:rsidRDefault="001A109D" w:rsidP="001A109D">
      <w:pPr>
        <w:jc w:val="center"/>
        <w:rPr>
          <w:lang w:val="de-DE"/>
        </w:rPr>
      </w:pPr>
      <w:r w:rsidRPr="001A109D">
        <w:rPr>
          <w:lang w:val="de-DE"/>
        </w:rPr>
        <w:t>C/48/12</w:t>
      </w:r>
    </w:p>
    <w:p w:rsidR="001A109D" w:rsidRPr="001A109D" w:rsidRDefault="001A109D" w:rsidP="001A109D">
      <w:pPr>
        <w:jc w:val="center"/>
        <w:rPr>
          <w:lang w:val="de-DE"/>
        </w:rPr>
      </w:pPr>
    </w:p>
    <w:p w:rsidR="001A109D" w:rsidRPr="001A109D" w:rsidRDefault="001A109D" w:rsidP="001A109D">
      <w:pPr>
        <w:jc w:val="center"/>
        <w:rPr>
          <w:lang w:val="de-DE"/>
        </w:rPr>
      </w:pPr>
      <w:r w:rsidRPr="001A109D">
        <w:rPr>
          <w:lang w:val="de-DE"/>
        </w:rPr>
        <w:t>ANHANG</w:t>
      </w:r>
    </w:p>
    <w:p w:rsidR="001A109D" w:rsidRPr="001A109D" w:rsidRDefault="001A109D" w:rsidP="001A109D">
      <w:pPr>
        <w:jc w:val="center"/>
        <w:rPr>
          <w:lang w:val="de-DE"/>
        </w:rPr>
      </w:pPr>
    </w:p>
    <w:p w:rsidR="001A109D" w:rsidRPr="001A109D" w:rsidRDefault="001A109D" w:rsidP="001A109D">
      <w:pPr>
        <w:jc w:val="center"/>
        <w:rPr>
          <w:lang w:val="de-DE"/>
        </w:rPr>
      </w:pPr>
      <w:r w:rsidRPr="001A109D">
        <w:rPr>
          <w:lang w:val="de-DE"/>
        </w:rPr>
        <w:t>AKRONYME UND ABKÜRZUNGEN</w:t>
      </w:r>
    </w:p>
    <w:p w:rsidR="001A109D" w:rsidRPr="001A109D" w:rsidRDefault="001A109D" w:rsidP="001A109D">
      <w:pPr>
        <w:rPr>
          <w:lang w:val="de-DE"/>
        </w:rPr>
      </w:pPr>
    </w:p>
    <w:p w:rsidR="001A109D" w:rsidRPr="001A109D" w:rsidRDefault="001A109D" w:rsidP="001A109D">
      <w:pPr>
        <w:rPr>
          <w:lang w:val="de-DE"/>
        </w:rPr>
      </w:pPr>
    </w:p>
    <w:p w:rsidR="001A109D" w:rsidRPr="001A109D" w:rsidRDefault="001A109D" w:rsidP="001A109D">
      <w:pPr>
        <w:jc w:val="center"/>
        <w:rPr>
          <w:lang w:val="de-DE"/>
        </w:rPr>
      </w:pPr>
      <w:r w:rsidRPr="001A109D">
        <w:rPr>
          <w:u w:val="single"/>
          <w:lang w:val="de-DE"/>
        </w:rPr>
        <w:t>UPOV-Begriffe</w:t>
      </w:r>
    </w:p>
    <w:p w:rsidR="001A109D" w:rsidRPr="001A109D" w:rsidRDefault="001A109D" w:rsidP="001A109D">
      <w:pPr>
        <w:rPr>
          <w:lang w:val="de-DE"/>
        </w:rPr>
      </w:pPr>
    </w:p>
    <w:p w:rsidR="001A109D" w:rsidRPr="001A109D" w:rsidRDefault="001A109D" w:rsidP="001A109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A109D" w:rsidRPr="001A109D" w:rsidTr="00EC46D6">
        <w:tc>
          <w:tcPr>
            <w:tcW w:w="1904" w:type="dxa"/>
          </w:tcPr>
          <w:p w:rsidR="001A109D" w:rsidRPr="001A109D" w:rsidRDefault="001A109D" w:rsidP="00EC46D6">
            <w:pPr>
              <w:jc w:val="left"/>
              <w:rPr>
                <w:lang w:val="de-DE"/>
              </w:rPr>
            </w:pPr>
            <w:r w:rsidRPr="001A109D">
              <w:rPr>
                <w:lang w:val="de-DE"/>
              </w:rPr>
              <w:t>BMT</w:t>
            </w:r>
          </w:p>
        </w:tc>
        <w:tc>
          <w:tcPr>
            <w:tcW w:w="7985" w:type="dxa"/>
          </w:tcPr>
          <w:p w:rsidR="001A109D" w:rsidRPr="001A109D" w:rsidRDefault="001A109D" w:rsidP="00EC46D6">
            <w:pPr>
              <w:jc w:val="left"/>
              <w:rPr>
                <w:lang w:val="de-DE"/>
              </w:rPr>
            </w:pPr>
            <w:r w:rsidRPr="001A109D">
              <w:rPr>
                <w:lang w:val="de-DE"/>
              </w:rPr>
              <w:t>Arbeitsgruppe für biochemische und molekulare Verfahren und insbesondere für DNS-Profilierungsverfahren</w:t>
            </w:r>
          </w:p>
        </w:tc>
      </w:tr>
      <w:tr w:rsidR="001A109D" w:rsidRPr="001A109D" w:rsidTr="00EC46D6">
        <w:tc>
          <w:tcPr>
            <w:tcW w:w="1904" w:type="dxa"/>
          </w:tcPr>
          <w:p w:rsidR="001A109D" w:rsidRPr="001A109D" w:rsidRDefault="001A109D" w:rsidP="00EC46D6">
            <w:pPr>
              <w:jc w:val="left"/>
              <w:rPr>
                <w:lang w:val="de-DE"/>
              </w:rPr>
            </w:pPr>
            <w:r w:rsidRPr="001A109D">
              <w:rPr>
                <w:lang w:val="de-DE"/>
              </w:rPr>
              <w:t>Büro</w:t>
            </w:r>
          </w:p>
        </w:tc>
        <w:tc>
          <w:tcPr>
            <w:tcW w:w="7985" w:type="dxa"/>
          </w:tcPr>
          <w:p w:rsidR="001A109D" w:rsidRPr="001A109D" w:rsidRDefault="001A109D" w:rsidP="00EC46D6">
            <w:pPr>
              <w:jc w:val="left"/>
              <w:rPr>
                <w:lang w:val="de-DE"/>
              </w:rPr>
            </w:pPr>
            <w:r w:rsidRPr="001A109D">
              <w:rPr>
                <w:lang w:val="de-DE"/>
              </w:rPr>
              <w:t>Verbandsbüro</w:t>
            </w:r>
          </w:p>
        </w:tc>
      </w:tr>
      <w:tr w:rsidR="001A109D" w:rsidRPr="001A109D" w:rsidTr="00EC46D6">
        <w:tc>
          <w:tcPr>
            <w:tcW w:w="1904" w:type="dxa"/>
          </w:tcPr>
          <w:p w:rsidR="001A109D" w:rsidRPr="001A109D" w:rsidRDefault="001A109D" w:rsidP="00EC46D6">
            <w:pPr>
              <w:jc w:val="left"/>
              <w:rPr>
                <w:lang w:val="de-DE"/>
              </w:rPr>
            </w:pPr>
            <w:r w:rsidRPr="001A109D">
              <w:rPr>
                <w:lang w:val="de-DE"/>
              </w:rPr>
              <w:t>CAJ</w:t>
            </w:r>
          </w:p>
        </w:tc>
        <w:tc>
          <w:tcPr>
            <w:tcW w:w="7985" w:type="dxa"/>
          </w:tcPr>
          <w:p w:rsidR="001A109D" w:rsidRPr="001A109D" w:rsidRDefault="001A109D" w:rsidP="00EC46D6">
            <w:pPr>
              <w:jc w:val="left"/>
              <w:rPr>
                <w:lang w:val="de-DE"/>
              </w:rPr>
            </w:pPr>
            <w:r w:rsidRPr="001A109D">
              <w:rPr>
                <w:lang w:val="de-DE"/>
              </w:rPr>
              <w:t xml:space="preserve">Verwaltungs- und </w:t>
            </w:r>
            <w:proofErr w:type="spellStart"/>
            <w:r w:rsidRPr="001A109D">
              <w:rPr>
                <w:lang w:val="de-DE"/>
              </w:rPr>
              <w:t>Rechtsausschuß</w:t>
            </w:r>
            <w:proofErr w:type="spellEnd"/>
            <w:r w:rsidRPr="001A109D">
              <w:rPr>
                <w:lang w:val="de-DE"/>
              </w:rPr>
              <w:t xml:space="preserve"> </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DL-205</w:t>
            </w:r>
          </w:p>
        </w:tc>
        <w:tc>
          <w:tcPr>
            <w:tcW w:w="7985" w:type="dxa"/>
          </w:tcPr>
          <w:p w:rsidR="001A109D" w:rsidRPr="001A109D" w:rsidRDefault="001A109D" w:rsidP="00EC46D6">
            <w:pPr>
              <w:autoSpaceDE w:val="0"/>
              <w:autoSpaceDN w:val="0"/>
              <w:adjustRightInd w:val="0"/>
              <w:jc w:val="left"/>
              <w:rPr>
                <w:lang w:val="de-DE"/>
              </w:rPr>
            </w:pPr>
            <w:r w:rsidRPr="001A109D">
              <w:rPr>
                <w:lang w:val="de-DE"/>
              </w:rPr>
              <w:t>UPOV-Fernlehrgang „Einführung in das UPOV-Sortenschutzsystem nach dem UPOV-Übereinkommen”</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DL-305</w:t>
            </w:r>
          </w:p>
        </w:tc>
        <w:tc>
          <w:tcPr>
            <w:tcW w:w="7985" w:type="dxa"/>
          </w:tcPr>
          <w:p w:rsidR="001A109D" w:rsidRPr="001A109D" w:rsidRDefault="001A109D" w:rsidP="00EC46D6">
            <w:pPr>
              <w:autoSpaceDE w:val="0"/>
              <w:autoSpaceDN w:val="0"/>
              <w:adjustRightInd w:val="0"/>
              <w:jc w:val="left"/>
              <w:rPr>
                <w:lang w:val="de-DE"/>
              </w:rPr>
            </w:pPr>
            <w:r w:rsidRPr="001A109D">
              <w:rPr>
                <w:lang w:val="de-DE"/>
              </w:rPr>
              <w:t>UPOV-Fernlehrgang „Prüfung von Anträgen auf Erteilung von Züchterrechten“</w:t>
            </w:r>
          </w:p>
        </w:tc>
      </w:tr>
      <w:tr w:rsidR="001A109D" w:rsidRPr="001A109D" w:rsidTr="00EC46D6">
        <w:tc>
          <w:tcPr>
            <w:tcW w:w="1904" w:type="dxa"/>
          </w:tcPr>
          <w:p w:rsidR="001A109D" w:rsidRPr="001A109D" w:rsidRDefault="001A109D" w:rsidP="00EC46D6">
            <w:pPr>
              <w:jc w:val="left"/>
              <w:rPr>
                <w:lang w:val="de-DE"/>
              </w:rPr>
            </w:pPr>
            <w:r w:rsidRPr="001A109D">
              <w:rPr>
                <w:lang w:val="de-DE"/>
              </w:rPr>
              <w:t>DUS</w:t>
            </w:r>
          </w:p>
        </w:tc>
        <w:tc>
          <w:tcPr>
            <w:tcW w:w="7985" w:type="dxa"/>
          </w:tcPr>
          <w:p w:rsidR="001A109D" w:rsidRPr="001A109D" w:rsidRDefault="001A109D" w:rsidP="00EC46D6">
            <w:pPr>
              <w:jc w:val="left"/>
              <w:rPr>
                <w:lang w:val="de-DE"/>
              </w:rPr>
            </w:pPr>
            <w:r w:rsidRPr="001A109D">
              <w:rPr>
                <w:lang w:val="de-DE"/>
              </w:rPr>
              <w:t>Unterscheidbarkeit, Homogenität und Beständigkeit</w:t>
            </w:r>
          </w:p>
        </w:tc>
      </w:tr>
      <w:tr w:rsidR="001A109D" w:rsidRPr="001A109D" w:rsidTr="00EC46D6">
        <w:tc>
          <w:tcPr>
            <w:tcW w:w="1904" w:type="dxa"/>
          </w:tcPr>
          <w:p w:rsidR="001A109D" w:rsidRPr="001A109D" w:rsidRDefault="001A109D" w:rsidP="00EC46D6">
            <w:pPr>
              <w:jc w:val="left"/>
              <w:rPr>
                <w:lang w:val="de-DE"/>
              </w:rPr>
            </w:pPr>
            <w:r w:rsidRPr="001A109D">
              <w:rPr>
                <w:lang w:val="de-DE"/>
              </w:rPr>
              <w:t>TC</w:t>
            </w:r>
          </w:p>
        </w:tc>
        <w:tc>
          <w:tcPr>
            <w:tcW w:w="7985" w:type="dxa"/>
          </w:tcPr>
          <w:p w:rsidR="001A109D" w:rsidRPr="001A109D" w:rsidRDefault="001A109D" w:rsidP="00EC46D6">
            <w:pPr>
              <w:jc w:val="left"/>
              <w:rPr>
                <w:lang w:val="de-DE"/>
              </w:rPr>
            </w:pPr>
            <w:r w:rsidRPr="001A109D">
              <w:rPr>
                <w:lang w:val="de-DE"/>
              </w:rPr>
              <w:t xml:space="preserve">Technischer </w:t>
            </w:r>
            <w:proofErr w:type="spellStart"/>
            <w:r w:rsidRPr="001A109D">
              <w:rPr>
                <w:lang w:val="de-DE"/>
              </w:rPr>
              <w:t>Ausschuß</w:t>
            </w:r>
            <w:proofErr w:type="spellEnd"/>
          </w:p>
        </w:tc>
      </w:tr>
      <w:tr w:rsidR="001A109D" w:rsidRPr="001A109D" w:rsidTr="00EC46D6">
        <w:tc>
          <w:tcPr>
            <w:tcW w:w="1904" w:type="dxa"/>
          </w:tcPr>
          <w:p w:rsidR="001A109D" w:rsidRPr="001A109D" w:rsidRDefault="001A109D" w:rsidP="00EC46D6">
            <w:pPr>
              <w:jc w:val="left"/>
              <w:rPr>
                <w:lang w:val="de-DE"/>
              </w:rPr>
            </w:pPr>
            <w:r w:rsidRPr="001A109D">
              <w:rPr>
                <w:lang w:val="de-DE"/>
              </w:rPr>
              <w:t>TC</w:t>
            </w:r>
            <w:r w:rsidRPr="001A109D">
              <w:rPr>
                <w:lang w:val="de-DE"/>
              </w:rPr>
              <w:noBreakHyphen/>
              <w:t>EDC</w:t>
            </w:r>
          </w:p>
        </w:tc>
        <w:tc>
          <w:tcPr>
            <w:tcW w:w="7985" w:type="dxa"/>
          </w:tcPr>
          <w:p w:rsidR="001A109D" w:rsidRPr="001A109D" w:rsidRDefault="001A109D" w:rsidP="00EC46D6">
            <w:pPr>
              <w:jc w:val="left"/>
              <w:rPr>
                <w:lang w:val="de-DE"/>
              </w:rPr>
            </w:pPr>
            <w:r w:rsidRPr="001A109D">
              <w:rPr>
                <w:lang w:val="de-DE"/>
              </w:rPr>
              <w:t xml:space="preserve">Erweiterter </w:t>
            </w:r>
            <w:proofErr w:type="spellStart"/>
            <w:r w:rsidRPr="001A109D">
              <w:rPr>
                <w:lang w:val="de-DE"/>
              </w:rPr>
              <w:t>Redaktionsausschuß</w:t>
            </w:r>
            <w:proofErr w:type="spellEnd"/>
          </w:p>
        </w:tc>
      </w:tr>
      <w:tr w:rsidR="001A109D" w:rsidRPr="001A109D" w:rsidTr="00EC46D6">
        <w:tc>
          <w:tcPr>
            <w:tcW w:w="1904" w:type="dxa"/>
          </w:tcPr>
          <w:p w:rsidR="001A109D" w:rsidRPr="001A109D" w:rsidRDefault="001A109D" w:rsidP="00EC46D6">
            <w:pPr>
              <w:jc w:val="left"/>
              <w:rPr>
                <w:lang w:val="de-DE"/>
              </w:rPr>
            </w:pPr>
            <w:r w:rsidRPr="001A109D">
              <w:rPr>
                <w:lang w:val="de-DE"/>
              </w:rPr>
              <w:t>TWA</w:t>
            </w:r>
          </w:p>
        </w:tc>
        <w:tc>
          <w:tcPr>
            <w:tcW w:w="7985" w:type="dxa"/>
          </w:tcPr>
          <w:p w:rsidR="001A109D" w:rsidRPr="001A109D" w:rsidRDefault="001A109D" w:rsidP="00EC46D6">
            <w:pPr>
              <w:jc w:val="left"/>
              <w:rPr>
                <w:lang w:val="de-DE"/>
              </w:rPr>
            </w:pPr>
            <w:r w:rsidRPr="001A109D">
              <w:rPr>
                <w:lang w:val="de-DE"/>
              </w:rPr>
              <w:t>Technische Arbeitsgruppe für landwirtschaftliche Arten</w:t>
            </w:r>
          </w:p>
        </w:tc>
      </w:tr>
      <w:tr w:rsidR="001A109D" w:rsidRPr="001A109D" w:rsidTr="00EC46D6">
        <w:tc>
          <w:tcPr>
            <w:tcW w:w="1904" w:type="dxa"/>
          </w:tcPr>
          <w:p w:rsidR="001A109D" w:rsidRPr="001A109D" w:rsidRDefault="001A109D" w:rsidP="00EC46D6">
            <w:pPr>
              <w:jc w:val="left"/>
              <w:rPr>
                <w:lang w:val="de-DE"/>
              </w:rPr>
            </w:pPr>
            <w:r w:rsidRPr="001A109D">
              <w:rPr>
                <w:lang w:val="de-DE"/>
              </w:rPr>
              <w:t>TWC</w:t>
            </w:r>
          </w:p>
        </w:tc>
        <w:tc>
          <w:tcPr>
            <w:tcW w:w="7985" w:type="dxa"/>
          </w:tcPr>
          <w:p w:rsidR="001A109D" w:rsidRPr="001A109D" w:rsidRDefault="001A109D" w:rsidP="00EC46D6">
            <w:pPr>
              <w:jc w:val="left"/>
              <w:rPr>
                <w:lang w:val="de-DE"/>
              </w:rPr>
            </w:pPr>
            <w:r w:rsidRPr="001A109D">
              <w:rPr>
                <w:lang w:val="de-DE"/>
              </w:rPr>
              <w:t>Technische Arbeitsgruppe für Automatisierung und Computerprogramme</w:t>
            </w:r>
          </w:p>
        </w:tc>
      </w:tr>
      <w:tr w:rsidR="001A109D" w:rsidRPr="001A109D" w:rsidTr="00EC46D6">
        <w:tc>
          <w:tcPr>
            <w:tcW w:w="1904" w:type="dxa"/>
          </w:tcPr>
          <w:p w:rsidR="001A109D" w:rsidRPr="001A109D" w:rsidRDefault="001A109D" w:rsidP="00EC46D6">
            <w:pPr>
              <w:jc w:val="left"/>
              <w:rPr>
                <w:lang w:val="de-DE"/>
              </w:rPr>
            </w:pPr>
            <w:r w:rsidRPr="001A109D">
              <w:rPr>
                <w:lang w:val="de-DE"/>
              </w:rPr>
              <w:t>TWF</w:t>
            </w:r>
          </w:p>
        </w:tc>
        <w:tc>
          <w:tcPr>
            <w:tcW w:w="7985" w:type="dxa"/>
          </w:tcPr>
          <w:p w:rsidR="001A109D" w:rsidRPr="001A109D" w:rsidRDefault="001A109D" w:rsidP="00EC46D6">
            <w:pPr>
              <w:jc w:val="left"/>
              <w:rPr>
                <w:lang w:val="de-DE"/>
              </w:rPr>
            </w:pPr>
            <w:r w:rsidRPr="001A109D">
              <w:rPr>
                <w:lang w:val="de-DE"/>
              </w:rPr>
              <w:t>Technische Arbeitsgruppe für Obstarten</w:t>
            </w:r>
          </w:p>
        </w:tc>
      </w:tr>
      <w:tr w:rsidR="001A109D" w:rsidRPr="001A109D" w:rsidTr="00EC46D6">
        <w:tc>
          <w:tcPr>
            <w:tcW w:w="1904" w:type="dxa"/>
          </w:tcPr>
          <w:p w:rsidR="001A109D" w:rsidRPr="001A109D" w:rsidRDefault="001A109D" w:rsidP="00EC46D6">
            <w:pPr>
              <w:jc w:val="left"/>
              <w:rPr>
                <w:lang w:val="de-DE"/>
              </w:rPr>
            </w:pPr>
            <w:r w:rsidRPr="001A109D">
              <w:rPr>
                <w:lang w:val="de-DE"/>
              </w:rPr>
              <w:t>TWO</w:t>
            </w:r>
          </w:p>
        </w:tc>
        <w:tc>
          <w:tcPr>
            <w:tcW w:w="7985" w:type="dxa"/>
          </w:tcPr>
          <w:p w:rsidR="001A109D" w:rsidRPr="001A109D" w:rsidRDefault="001A109D" w:rsidP="00EC46D6">
            <w:pPr>
              <w:jc w:val="left"/>
              <w:rPr>
                <w:lang w:val="de-DE"/>
              </w:rPr>
            </w:pPr>
            <w:r w:rsidRPr="001A109D">
              <w:rPr>
                <w:lang w:val="de-DE"/>
              </w:rPr>
              <w:t>Technische Arbeitsgruppe für Zierpflanzen und forstliche Baumarten</w:t>
            </w:r>
          </w:p>
        </w:tc>
      </w:tr>
      <w:tr w:rsidR="001A109D" w:rsidRPr="001A109D" w:rsidTr="00EC46D6">
        <w:tc>
          <w:tcPr>
            <w:tcW w:w="1904" w:type="dxa"/>
          </w:tcPr>
          <w:p w:rsidR="001A109D" w:rsidRPr="001A109D" w:rsidRDefault="001A109D" w:rsidP="00EC46D6">
            <w:pPr>
              <w:jc w:val="left"/>
              <w:rPr>
                <w:lang w:val="de-DE"/>
              </w:rPr>
            </w:pPr>
            <w:r w:rsidRPr="001A109D">
              <w:rPr>
                <w:lang w:val="de-DE"/>
              </w:rPr>
              <w:t>TWP</w:t>
            </w:r>
          </w:p>
        </w:tc>
        <w:tc>
          <w:tcPr>
            <w:tcW w:w="7985" w:type="dxa"/>
          </w:tcPr>
          <w:p w:rsidR="001A109D" w:rsidRPr="001A109D" w:rsidRDefault="001A109D" w:rsidP="00EC46D6">
            <w:pPr>
              <w:jc w:val="left"/>
              <w:rPr>
                <w:lang w:val="de-DE"/>
              </w:rPr>
            </w:pPr>
            <w:r w:rsidRPr="001A109D">
              <w:rPr>
                <w:lang w:val="de-DE"/>
              </w:rPr>
              <w:t>Technische Arbeitsgruppe</w:t>
            </w:r>
          </w:p>
        </w:tc>
      </w:tr>
      <w:tr w:rsidR="001A109D" w:rsidRPr="001A109D" w:rsidTr="00EC46D6">
        <w:tc>
          <w:tcPr>
            <w:tcW w:w="1904" w:type="dxa"/>
          </w:tcPr>
          <w:p w:rsidR="001A109D" w:rsidRPr="001A109D" w:rsidRDefault="001A109D" w:rsidP="00EC46D6">
            <w:pPr>
              <w:jc w:val="left"/>
              <w:rPr>
                <w:lang w:val="de-DE"/>
              </w:rPr>
            </w:pPr>
            <w:r w:rsidRPr="001A109D">
              <w:rPr>
                <w:lang w:val="de-DE"/>
              </w:rPr>
              <w:t>TWV</w:t>
            </w:r>
          </w:p>
        </w:tc>
        <w:tc>
          <w:tcPr>
            <w:tcW w:w="7985" w:type="dxa"/>
          </w:tcPr>
          <w:p w:rsidR="001A109D" w:rsidRPr="001A109D" w:rsidRDefault="001A109D" w:rsidP="00EC46D6">
            <w:pPr>
              <w:jc w:val="left"/>
              <w:rPr>
                <w:lang w:val="de-DE"/>
              </w:rPr>
            </w:pPr>
            <w:r w:rsidRPr="001A109D">
              <w:rPr>
                <w:lang w:val="de-DE"/>
              </w:rPr>
              <w:t>Technische Arbeitsgruppe für Gemüsearten</w:t>
            </w:r>
          </w:p>
        </w:tc>
      </w:tr>
    </w:tbl>
    <w:p w:rsidR="001A109D" w:rsidRPr="001A109D" w:rsidRDefault="001A109D" w:rsidP="001A109D">
      <w:pPr>
        <w:rPr>
          <w:lang w:val="de-DE"/>
        </w:rPr>
      </w:pPr>
    </w:p>
    <w:p w:rsidR="001A109D" w:rsidRPr="001A109D" w:rsidRDefault="001A109D" w:rsidP="001A109D">
      <w:pPr>
        <w:ind w:left="1418" w:hanging="1418"/>
        <w:rPr>
          <w:lang w:val="de-DE"/>
        </w:rPr>
      </w:pPr>
    </w:p>
    <w:p w:rsidR="001A109D" w:rsidRPr="001A109D" w:rsidRDefault="001A109D" w:rsidP="001A109D">
      <w:pPr>
        <w:ind w:left="1418" w:hanging="1418"/>
        <w:jc w:val="center"/>
        <w:rPr>
          <w:u w:val="single"/>
          <w:lang w:val="de-DE"/>
        </w:rPr>
      </w:pPr>
      <w:r w:rsidRPr="001A109D">
        <w:rPr>
          <w:u w:val="single"/>
          <w:lang w:val="de-DE"/>
        </w:rPr>
        <w:t>Akronyme</w:t>
      </w:r>
    </w:p>
    <w:p w:rsidR="001A109D" w:rsidRPr="001A109D" w:rsidRDefault="001A109D" w:rsidP="001A109D">
      <w:pPr>
        <w:ind w:left="1418" w:hanging="1418"/>
        <w:rPr>
          <w:lang w:val="de-DE"/>
        </w:rPr>
      </w:pPr>
    </w:p>
    <w:p w:rsidR="001A109D" w:rsidRPr="001A109D" w:rsidRDefault="001A109D" w:rsidP="001A109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AATF</w:t>
            </w:r>
          </w:p>
        </w:tc>
        <w:tc>
          <w:tcPr>
            <w:tcW w:w="7985" w:type="dxa"/>
          </w:tcPr>
          <w:p w:rsidR="001A109D" w:rsidRPr="001A109D" w:rsidRDefault="001A109D" w:rsidP="00EC46D6">
            <w:pPr>
              <w:autoSpaceDE w:val="0"/>
              <w:autoSpaceDN w:val="0"/>
              <w:adjustRightInd w:val="0"/>
              <w:jc w:val="left"/>
              <w:rPr>
                <w:lang w:val="de-DE"/>
              </w:rPr>
            </w:pPr>
            <w:r w:rsidRPr="001A109D">
              <w:rPr>
                <w:lang w:val="de-DE"/>
              </w:rPr>
              <w:t xml:space="preserve">Afrikanische Stiftung für Landwirtschaftstechnik </w:t>
            </w:r>
          </w:p>
        </w:tc>
      </w:tr>
      <w:tr w:rsidR="001A109D" w:rsidRPr="001A109D" w:rsidTr="00EC46D6">
        <w:tc>
          <w:tcPr>
            <w:tcW w:w="1904" w:type="dxa"/>
          </w:tcPr>
          <w:p w:rsidR="001A109D" w:rsidRPr="001A109D" w:rsidRDefault="001A109D" w:rsidP="00EC46D6">
            <w:pPr>
              <w:jc w:val="left"/>
              <w:rPr>
                <w:lang w:val="de-DE"/>
              </w:rPr>
            </w:pPr>
            <w:r w:rsidRPr="001A109D">
              <w:rPr>
                <w:lang w:val="de-DE"/>
              </w:rPr>
              <w:t>AECID</w:t>
            </w:r>
          </w:p>
        </w:tc>
        <w:tc>
          <w:tcPr>
            <w:tcW w:w="7985" w:type="dxa"/>
          </w:tcPr>
          <w:p w:rsidR="001A109D" w:rsidRPr="001A109D" w:rsidRDefault="001A109D" w:rsidP="00EC46D6">
            <w:pPr>
              <w:jc w:val="left"/>
              <w:rPr>
                <w:lang w:val="de-DE"/>
              </w:rPr>
            </w:pPr>
            <w:r w:rsidRPr="001A109D">
              <w:rPr>
                <w:lang w:val="de-DE"/>
              </w:rPr>
              <w:t>Spanische Agentur für Zusammenarbeit und wirtschaftliche Entwicklung</w:t>
            </w:r>
          </w:p>
        </w:tc>
      </w:tr>
      <w:tr w:rsidR="001A109D" w:rsidRPr="001A109D" w:rsidTr="00EC46D6">
        <w:tc>
          <w:tcPr>
            <w:tcW w:w="1904" w:type="dxa"/>
          </w:tcPr>
          <w:p w:rsidR="001A109D" w:rsidRPr="001A109D" w:rsidRDefault="001A109D" w:rsidP="00EC46D6">
            <w:pPr>
              <w:jc w:val="left"/>
              <w:rPr>
                <w:lang w:val="de-DE"/>
              </w:rPr>
            </w:pPr>
            <w:r w:rsidRPr="001A109D">
              <w:rPr>
                <w:lang w:val="de-DE"/>
              </w:rPr>
              <w:t>AFSTA</w:t>
            </w:r>
          </w:p>
        </w:tc>
        <w:tc>
          <w:tcPr>
            <w:tcW w:w="7985" w:type="dxa"/>
          </w:tcPr>
          <w:p w:rsidR="001A109D" w:rsidRPr="001A109D" w:rsidRDefault="001A109D" w:rsidP="00EC46D6">
            <w:pPr>
              <w:jc w:val="left"/>
              <w:rPr>
                <w:lang w:val="de-DE"/>
              </w:rPr>
            </w:pPr>
            <w:r w:rsidRPr="001A109D">
              <w:rPr>
                <w:lang w:val="de-DE"/>
              </w:rPr>
              <w:t>Afrikanischer Saatguthandelsverband</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AIPPI</w:t>
            </w:r>
          </w:p>
        </w:tc>
        <w:tc>
          <w:tcPr>
            <w:tcW w:w="7985" w:type="dxa"/>
          </w:tcPr>
          <w:p w:rsidR="001A109D" w:rsidRPr="001A109D" w:rsidRDefault="001A109D" w:rsidP="00EC46D6">
            <w:pPr>
              <w:autoSpaceDE w:val="0"/>
              <w:autoSpaceDN w:val="0"/>
              <w:adjustRightInd w:val="0"/>
              <w:jc w:val="left"/>
              <w:rPr>
                <w:lang w:val="de-DE"/>
              </w:rPr>
            </w:pPr>
            <w:r w:rsidRPr="001A109D">
              <w:rPr>
                <w:lang w:val="de-DE"/>
              </w:rPr>
              <w:t>Internationale Vereinigung für gewerblichen Rechtsschutz</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AOHE</w:t>
            </w:r>
          </w:p>
        </w:tc>
        <w:tc>
          <w:tcPr>
            <w:tcW w:w="7985" w:type="dxa"/>
          </w:tcPr>
          <w:p w:rsidR="001A109D" w:rsidRPr="001A109D" w:rsidRDefault="001A109D" w:rsidP="00EC46D6">
            <w:pPr>
              <w:autoSpaceDE w:val="0"/>
              <w:autoSpaceDN w:val="0"/>
              <w:adjustRightInd w:val="0"/>
              <w:jc w:val="left"/>
              <w:rPr>
                <w:lang w:val="de-DE"/>
              </w:rPr>
            </w:pPr>
            <w:r w:rsidRPr="001A109D">
              <w:rPr>
                <w:lang w:val="de-DE"/>
              </w:rPr>
              <w:t>Verband europäischer Gartenbauzüchter</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APBREBES</w:t>
            </w:r>
          </w:p>
        </w:tc>
        <w:tc>
          <w:tcPr>
            <w:tcW w:w="7985" w:type="dxa"/>
          </w:tcPr>
          <w:p w:rsidR="001A109D" w:rsidRPr="001A109D" w:rsidRDefault="001A109D" w:rsidP="00EC46D6">
            <w:pPr>
              <w:autoSpaceDE w:val="0"/>
              <w:autoSpaceDN w:val="0"/>
              <w:adjustRightInd w:val="0"/>
              <w:jc w:val="left"/>
              <w:rPr>
                <w:lang w:val="de-DE"/>
              </w:rPr>
            </w:pPr>
            <w:r w:rsidRPr="001A109D">
              <w:rPr>
                <w:lang w:val="de-DE"/>
              </w:rPr>
              <w:t>Vereinigung für Pflanzenzüchtung zum Nutzen der Gesellschaft</w:t>
            </w:r>
          </w:p>
        </w:tc>
      </w:tr>
      <w:tr w:rsidR="001A109D" w:rsidRPr="001A109D" w:rsidTr="00EC46D6">
        <w:tc>
          <w:tcPr>
            <w:tcW w:w="1904" w:type="dxa"/>
          </w:tcPr>
          <w:p w:rsidR="001A109D" w:rsidRPr="001A109D" w:rsidRDefault="001A109D" w:rsidP="00EC46D6">
            <w:pPr>
              <w:jc w:val="left"/>
              <w:rPr>
                <w:lang w:val="de-DE"/>
              </w:rPr>
            </w:pPr>
            <w:r w:rsidRPr="001A109D">
              <w:rPr>
                <w:lang w:val="de-DE"/>
              </w:rPr>
              <w:t>APSA</w:t>
            </w:r>
          </w:p>
        </w:tc>
        <w:tc>
          <w:tcPr>
            <w:tcW w:w="7985" w:type="dxa"/>
          </w:tcPr>
          <w:p w:rsidR="001A109D" w:rsidRPr="001A109D" w:rsidRDefault="001A109D" w:rsidP="00EC46D6">
            <w:pPr>
              <w:jc w:val="left"/>
              <w:rPr>
                <w:lang w:val="de-DE"/>
              </w:rPr>
            </w:pPr>
            <w:r w:rsidRPr="001A109D">
              <w:rPr>
                <w:lang w:val="de-DE"/>
              </w:rPr>
              <w:t>Saatgutvereinigung für Asien und den Pazifik</w:t>
            </w:r>
          </w:p>
        </w:tc>
      </w:tr>
      <w:tr w:rsidR="001A109D" w:rsidRPr="001A109D" w:rsidTr="00EC46D6">
        <w:tc>
          <w:tcPr>
            <w:tcW w:w="1904" w:type="dxa"/>
          </w:tcPr>
          <w:p w:rsidR="001A109D" w:rsidRPr="001A109D" w:rsidRDefault="001A109D" w:rsidP="00EC46D6">
            <w:pPr>
              <w:jc w:val="left"/>
              <w:rPr>
                <w:lang w:val="de-DE"/>
              </w:rPr>
            </w:pPr>
            <w:r w:rsidRPr="001A109D">
              <w:rPr>
                <w:lang w:val="de-DE"/>
              </w:rPr>
              <w:t>ARIPO</w:t>
            </w:r>
          </w:p>
        </w:tc>
        <w:tc>
          <w:tcPr>
            <w:tcW w:w="7985" w:type="dxa"/>
          </w:tcPr>
          <w:p w:rsidR="001A109D" w:rsidRPr="001A109D" w:rsidRDefault="001A109D" w:rsidP="00EC46D6">
            <w:pPr>
              <w:jc w:val="left"/>
              <w:rPr>
                <w:lang w:val="de-DE"/>
              </w:rPr>
            </w:pPr>
            <w:r w:rsidRPr="001A109D">
              <w:rPr>
                <w:lang w:val="de-DE"/>
              </w:rPr>
              <w:t>Afrikanische Regionalorganisation für geistiges Eigentum</w:t>
            </w:r>
          </w:p>
        </w:tc>
      </w:tr>
      <w:tr w:rsidR="001A109D" w:rsidRPr="001A109D" w:rsidTr="00EC46D6">
        <w:tc>
          <w:tcPr>
            <w:tcW w:w="1904" w:type="dxa"/>
          </w:tcPr>
          <w:p w:rsidR="001A109D" w:rsidRPr="001A109D" w:rsidRDefault="001A109D" w:rsidP="00EC46D6">
            <w:pPr>
              <w:jc w:val="left"/>
              <w:rPr>
                <w:lang w:val="de-DE"/>
              </w:rPr>
            </w:pPr>
            <w:r w:rsidRPr="001A109D">
              <w:rPr>
                <w:lang w:val="de-DE"/>
              </w:rPr>
              <w:t>ASEAN</w:t>
            </w:r>
          </w:p>
        </w:tc>
        <w:tc>
          <w:tcPr>
            <w:tcW w:w="7985" w:type="dxa"/>
          </w:tcPr>
          <w:p w:rsidR="001A109D" w:rsidRPr="001A109D" w:rsidRDefault="001A109D" w:rsidP="00EC46D6">
            <w:pPr>
              <w:jc w:val="left"/>
              <w:rPr>
                <w:lang w:val="de-DE"/>
              </w:rPr>
            </w:pPr>
            <w:r w:rsidRPr="001A109D">
              <w:rPr>
                <w:lang w:val="de-DE"/>
              </w:rPr>
              <w:t>Verband Südostasiatischer Nationen</w:t>
            </w:r>
          </w:p>
        </w:tc>
      </w:tr>
      <w:tr w:rsidR="001A109D" w:rsidRPr="001A109D" w:rsidTr="00EC46D6">
        <w:tc>
          <w:tcPr>
            <w:tcW w:w="1904" w:type="dxa"/>
          </w:tcPr>
          <w:p w:rsidR="001A109D" w:rsidRPr="001A109D" w:rsidRDefault="001A109D" w:rsidP="00EC46D6">
            <w:pPr>
              <w:jc w:val="left"/>
              <w:rPr>
                <w:rFonts w:cs="Arial"/>
                <w:lang w:val="de-DE"/>
              </w:rPr>
            </w:pPr>
            <w:r w:rsidRPr="001A109D">
              <w:rPr>
                <w:lang w:val="de-DE"/>
              </w:rPr>
              <w:t>ASTA</w:t>
            </w:r>
          </w:p>
        </w:tc>
        <w:tc>
          <w:tcPr>
            <w:tcW w:w="7985" w:type="dxa"/>
          </w:tcPr>
          <w:p w:rsidR="001A109D" w:rsidRPr="001A109D" w:rsidRDefault="001A109D" w:rsidP="00EC46D6">
            <w:pPr>
              <w:jc w:val="left"/>
              <w:rPr>
                <w:rFonts w:cs="Arial"/>
                <w:lang w:val="de-DE"/>
              </w:rPr>
            </w:pPr>
            <w:r w:rsidRPr="001A109D">
              <w:rPr>
                <w:lang w:val="de-DE"/>
              </w:rPr>
              <w:t>Amerikanischer Saatguthandelsverband</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BSPB</w:t>
            </w:r>
          </w:p>
        </w:tc>
        <w:tc>
          <w:tcPr>
            <w:tcW w:w="7985" w:type="dxa"/>
          </w:tcPr>
          <w:p w:rsidR="001A109D" w:rsidRPr="001A109D" w:rsidRDefault="001A109D" w:rsidP="00EC46D6">
            <w:pPr>
              <w:autoSpaceDE w:val="0"/>
              <w:autoSpaceDN w:val="0"/>
              <w:adjustRightInd w:val="0"/>
              <w:jc w:val="left"/>
              <w:rPr>
                <w:lang w:val="de-DE"/>
              </w:rPr>
            </w:pPr>
            <w:r w:rsidRPr="001A109D">
              <w:rPr>
                <w:lang w:val="de-DE"/>
              </w:rPr>
              <w:t>Britische Gesellschaft der Pflanzenzüchter</w:t>
            </w:r>
          </w:p>
        </w:tc>
      </w:tr>
      <w:tr w:rsidR="001A109D" w:rsidRPr="001A109D" w:rsidTr="00EC46D6">
        <w:tc>
          <w:tcPr>
            <w:tcW w:w="1904" w:type="dxa"/>
          </w:tcPr>
          <w:p w:rsidR="001A109D" w:rsidRPr="001A109D" w:rsidRDefault="001A109D" w:rsidP="00EC46D6">
            <w:pPr>
              <w:jc w:val="left"/>
              <w:rPr>
                <w:lang w:val="de-DE"/>
              </w:rPr>
            </w:pPr>
            <w:r w:rsidRPr="001A109D">
              <w:rPr>
                <w:lang w:val="de-DE"/>
              </w:rPr>
              <w:t>CBD</w:t>
            </w:r>
          </w:p>
        </w:tc>
        <w:tc>
          <w:tcPr>
            <w:tcW w:w="7985" w:type="dxa"/>
          </w:tcPr>
          <w:p w:rsidR="001A109D" w:rsidRPr="001A109D" w:rsidRDefault="001A109D" w:rsidP="00EC46D6">
            <w:pPr>
              <w:jc w:val="left"/>
              <w:rPr>
                <w:lang w:val="de-DE"/>
              </w:rPr>
            </w:pPr>
            <w:r w:rsidRPr="001A109D">
              <w:rPr>
                <w:lang w:val="de-DE"/>
              </w:rPr>
              <w:t>Übereinkommen über die biologische Vielfalt</w:t>
            </w:r>
          </w:p>
        </w:tc>
      </w:tr>
      <w:tr w:rsidR="001A109D" w:rsidRPr="001A109D" w:rsidTr="00EC46D6">
        <w:tc>
          <w:tcPr>
            <w:tcW w:w="1904" w:type="dxa"/>
          </w:tcPr>
          <w:p w:rsidR="001A109D" w:rsidRPr="001A109D" w:rsidRDefault="001A109D" w:rsidP="00EC46D6">
            <w:pPr>
              <w:jc w:val="left"/>
              <w:rPr>
                <w:lang w:val="de-DE"/>
              </w:rPr>
            </w:pPr>
            <w:r w:rsidRPr="001A109D">
              <w:rPr>
                <w:lang w:val="de-DE"/>
              </w:rPr>
              <w:t>CDIP</w:t>
            </w:r>
          </w:p>
        </w:tc>
        <w:tc>
          <w:tcPr>
            <w:tcW w:w="7985" w:type="dxa"/>
          </w:tcPr>
          <w:p w:rsidR="001A109D" w:rsidRPr="001A109D" w:rsidRDefault="001A109D" w:rsidP="00EC46D6">
            <w:pPr>
              <w:jc w:val="left"/>
              <w:rPr>
                <w:lang w:val="de-DE"/>
              </w:rPr>
            </w:pPr>
            <w:r w:rsidRPr="001A109D">
              <w:rPr>
                <w:lang w:val="de-DE"/>
              </w:rPr>
              <w:t>WIPO-</w:t>
            </w:r>
            <w:proofErr w:type="spellStart"/>
            <w:r w:rsidRPr="001A109D">
              <w:rPr>
                <w:lang w:val="de-DE"/>
              </w:rPr>
              <w:t>Ausschuß</w:t>
            </w:r>
            <w:proofErr w:type="spellEnd"/>
            <w:r w:rsidRPr="001A109D">
              <w:rPr>
                <w:lang w:val="de-DE"/>
              </w:rPr>
              <w:t xml:space="preserve"> für Entwicklung und geistiges Eigentum</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CGRFA</w:t>
            </w:r>
          </w:p>
        </w:tc>
        <w:tc>
          <w:tcPr>
            <w:tcW w:w="7985" w:type="dxa"/>
          </w:tcPr>
          <w:p w:rsidR="001A109D" w:rsidRPr="001A109D" w:rsidRDefault="001A109D" w:rsidP="00EC46D6">
            <w:pPr>
              <w:jc w:val="left"/>
              <w:rPr>
                <w:snapToGrid w:val="0"/>
                <w:lang w:val="de-DE"/>
              </w:rPr>
            </w:pPr>
            <w:r w:rsidRPr="001A109D">
              <w:rPr>
                <w:lang w:val="de-DE"/>
              </w:rPr>
              <w:t>Kommission für genetische Ressourcen für die Ernährung und die Landwirtschaft</w:t>
            </w:r>
          </w:p>
        </w:tc>
      </w:tr>
      <w:tr w:rsidR="001A109D" w:rsidRPr="001A109D" w:rsidTr="00EC46D6">
        <w:tc>
          <w:tcPr>
            <w:tcW w:w="1904" w:type="dxa"/>
          </w:tcPr>
          <w:p w:rsidR="001A109D" w:rsidRPr="001A109D" w:rsidRDefault="001A109D" w:rsidP="00EC46D6">
            <w:pPr>
              <w:jc w:val="left"/>
              <w:rPr>
                <w:rFonts w:cs="Arial"/>
                <w:lang w:val="de-DE"/>
              </w:rPr>
            </w:pPr>
            <w:r w:rsidRPr="001A109D">
              <w:rPr>
                <w:lang w:val="de-DE"/>
              </w:rPr>
              <w:t>CIOPORA</w:t>
            </w:r>
          </w:p>
        </w:tc>
        <w:tc>
          <w:tcPr>
            <w:tcW w:w="7985" w:type="dxa"/>
          </w:tcPr>
          <w:p w:rsidR="001A109D" w:rsidRPr="001A109D" w:rsidRDefault="001A109D" w:rsidP="00EC46D6">
            <w:pPr>
              <w:jc w:val="left"/>
              <w:rPr>
                <w:rFonts w:cs="Arial"/>
                <w:lang w:val="de-DE"/>
              </w:rPr>
            </w:pPr>
            <w:r w:rsidRPr="001A109D">
              <w:rPr>
                <w:lang w:val="de-DE"/>
              </w:rPr>
              <w:t>Internationale Gemeinschaft der Züchter vegetativ vermehrbarer Zier- und Obstpflanzen</w:t>
            </w:r>
          </w:p>
        </w:tc>
      </w:tr>
      <w:tr w:rsidR="001A109D" w:rsidRPr="001A109D" w:rsidTr="00EC46D6">
        <w:tc>
          <w:tcPr>
            <w:tcW w:w="1904" w:type="dxa"/>
          </w:tcPr>
          <w:p w:rsidR="001A109D" w:rsidRPr="001A109D" w:rsidRDefault="001A109D" w:rsidP="00EC46D6">
            <w:pPr>
              <w:jc w:val="left"/>
              <w:rPr>
                <w:lang w:val="de-DE"/>
              </w:rPr>
            </w:pPr>
            <w:r w:rsidRPr="001A109D">
              <w:rPr>
                <w:lang w:val="de-DE"/>
              </w:rPr>
              <w:t>CPVO</w:t>
            </w:r>
          </w:p>
        </w:tc>
        <w:tc>
          <w:tcPr>
            <w:tcW w:w="7985" w:type="dxa"/>
          </w:tcPr>
          <w:p w:rsidR="001A109D" w:rsidRPr="001A109D" w:rsidRDefault="001A109D" w:rsidP="00EC46D6">
            <w:pPr>
              <w:jc w:val="left"/>
              <w:rPr>
                <w:lang w:val="de-DE"/>
              </w:rPr>
            </w:pPr>
            <w:r w:rsidRPr="001A109D">
              <w:rPr>
                <w:lang w:val="de-DE"/>
              </w:rPr>
              <w:t>Gemeinschaftliches Sortenamt der Europäischen Union</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 xml:space="preserve">EAPVP Forum </w:t>
            </w:r>
          </w:p>
        </w:tc>
        <w:tc>
          <w:tcPr>
            <w:tcW w:w="7985" w:type="dxa"/>
          </w:tcPr>
          <w:p w:rsidR="001A109D" w:rsidRPr="001A109D" w:rsidRDefault="001A109D" w:rsidP="00EC46D6">
            <w:pPr>
              <w:jc w:val="left"/>
              <w:rPr>
                <w:snapToGrid w:val="0"/>
                <w:lang w:val="de-DE"/>
              </w:rPr>
            </w:pPr>
            <w:r w:rsidRPr="001A109D">
              <w:rPr>
                <w:lang w:val="de-DE"/>
              </w:rPr>
              <w:t>Ostasienforum für Sortenschutz</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ECO</w:t>
            </w:r>
          </w:p>
        </w:tc>
        <w:tc>
          <w:tcPr>
            <w:tcW w:w="7985" w:type="dxa"/>
          </w:tcPr>
          <w:p w:rsidR="001A109D" w:rsidRPr="001A109D" w:rsidRDefault="001A109D" w:rsidP="00EC46D6">
            <w:pPr>
              <w:autoSpaceDE w:val="0"/>
              <w:autoSpaceDN w:val="0"/>
              <w:adjustRightInd w:val="0"/>
              <w:jc w:val="left"/>
              <w:rPr>
                <w:lang w:val="de-DE"/>
              </w:rPr>
            </w:pPr>
            <w:r w:rsidRPr="001A109D">
              <w:rPr>
                <w:lang w:val="de-DE"/>
              </w:rPr>
              <w:t>Organisation für wirtschaftliche Zusammenarbeit</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ECOSA</w:t>
            </w:r>
          </w:p>
        </w:tc>
        <w:tc>
          <w:tcPr>
            <w:tcW w:w="7985" w:type="dxa"/>
          </w:tcPr>
          <w:p w:rsidR="001A109D" w:rsidRPr="001A109D" w:rsidRDefault="001A109D" w:rsidP="00EC46D6">
            <w:pPr>
              <w:autoSpaceDE w:val="0"/>
              <w:autoSpaceDN w:val="0"/>
              <w:adjustRightInd w:val="0"/>
              <w:jc w:val="left"/>
              <w:rPr>
                <w:lang w:val="de-DE"/>
              </w:rPr>
            </w:pPr>
            <w:r w:rsidRPr="001A109D">
              <w:rPr>
                <w:lang w:val="de-DE"/>
              </w:rPr>
              <w:t>ECO-Saatgutverband</w:t>
            </w:r>
          </w:p>
        </w:tc>
      </w:tr>
      <w:tr w:rsidR="001A109D" w:rsidRPr="001A109D" w:rsidTr="00EC46D6">
        <w:tc>
          <w:tcPr>
            <w:tcW w:w="1904" w:type="dxa"/>
          </w:tcPr>
          <w:p w:rsidR="001A109D" w:rsidRPr="001A109D" w:rsidRDefault="001A109D" w:rsidP="00EC46D6">
            <w:pPr>
              <w:jc w:val="left"/>
              <w:rPr>
                <w:lang w:val="de-DE"/>
              </w:rPr>
            </w:pPr>
            <w:r w:rsidRPr="001A109D">
              <w:rPr>
                <w:lang w:val="de-DE"/>
              </w:rPr>
              <w:t>ECOSOC</w:t>
            </w:r>
          </w:p>
        </w:tc>
        <w:tc>
          <w:tcPr>
            <w:tcW w:w="7985" w:type="dxa"/>
          </w:tcPr>
          <w:p w:rsidR="001A109D" w:rsidRPr="001A109D" w:rsidRDefault="001A109D" w:rsidP="00EC46D6">
            <w:pPr>
              <w:jc w:val="left"/>
              <w:rPr>
                <w:rFonts w:cs="Arial"/>
                <w:lang w:val="de-DE"/>
              </w:rPr>
            </w:pPr>
            <w:r w:rsidRPr="001A109D">
              <w:rPr>
                <w:lang w:val="de-DE"/>
              </w:rPr>
              <w:t>Wirtschafts- und Sozialrat der Vereinten Nationen</w:t>
            </w:r>
          </w:p>
        </w:tc>
      </w:tr>
      <w:tr w:rsidR="001A109D" w:rsidRPr="001A109D" w:rsidTr="00EC46D6">
        <w:tc>
          <w:tcPr>
            <w:tcW w:w="1904" w:type="dxa"/>
          </w:tcPr>
          <w:p w:rsidR="001A109D" w:rsidRPr="001A109D" w:rsidRDefault="001A109D" w:rsidP="00EC46D6">
            <w:pPr>
              <w:autoSpaceDE w:val="0"/>
              <w:autoSpaceDN w:val="0"/>
              <w:adjustRightInd w:val="0"/>
              <w:jc w:val="left"/>
              <w:rPr>
                <w:snapToGrid w:val="0"/>
                <w:lang w:val="de-DE"/>
              </w:rPr>
            </w:pPr>
            <w:r w:rsidRPr="001A109D">
              <w:rPr>
                <w:lang w:val="de-DE"/>
              </w:rPr>
              <w:t>EMBRAPA</w:t>
            </w:r>
          </w:p>
        </w:tc>
        <w:tc>
          <w:tcPr>
            <w:tcW w:w="7985" w:type="dxa"/>
          </w:tcPr>
          <w:p w:rsidR="001A109D" w:rsidRPr="001A109D" w:rsidRDefault="001A109D" w:rsidP="00EC46D6">
            <w:pPr>
              <w:autoSpaceDE w:val="0"/>
              <w:autoSpaceDN w:val="0"/>
              <w:adjustRightInd w:val="0"/>
              <w:jc w:val="left"/>
              <w:rPr>
                <w:snapToGrid w:val="0"/>
                <w:lang w:val="de-DE"/>
              </w:rPr>
            </w:pPr>
            <w:r w:rsidRPr="001A109D">
              <w:rPr>
                <w:lang w:val="de-DE"/>
              </w:rPr>
              <w:t>Brasilianische Gesellschaft für landwirtschaftliche Forschung</w:t>
            </w:r>
          </w:p>
        </w:tc>
      </w:tr>
      <w:tr w:rsidR="001A109D" w:rsidRPr="001A109D" w:rsidTr="00EC46D6">
        <w:tc>
          <w:tcPr>
            <w:tcW w:w="1904" w:type="dxa"/>
          </w:tcPr>
          <w:p w:rsidR="001A109D" w:rsidRPr="001A109D" w:rsidRDefault="001A109D" w:rsidP="00EC46D6">
            <w:pPr>
              <w:jc w:val="left"/>
              <w:rPr>
                <w:rFonts w:cs="Arial"/>
                <w:snapToGrid w:val="0"/>
                <w:lang w:val="de-DE"/>
              </w:rPr>
            </w:pPr>
            <w:r w:rsidRPr="001A109D">
              <w:rPr>
                <w:lang w:val="de-DE"/>
              </w:rPr>
              <w:t>ESA</w:t>
            </w:r>
          </w:p>
        </w:tc>
        <w:tc>
          <w:tcPr>
            <w:tcW w:w="7985" w:type="dxa"/>
          </w:tcPr>
          <w:p w:rsidR="001A109D" w:rsidRPr="001A109D" w:rsidRDefault="001A109D" w:rsidP="00EC46D6">
            <w:pPr>
              <w:jc w:val="left"/>
              <w:rPr>
                <w:rFonts w:cs="Arial"/>
                <w:snapToGrid w:val="0"/>
                <w:lang w:val="de-DE"/>
              </w:rPr>
            </w:pPr>
            <w:r w:rsidRPr="001A109D">
              <w:rPr>
                <w:lang w:val="de-DE"/>
              </w:rPr>
              <w:t>Europäischer Saatgutverband</w:t>
            </w:r>
          </w:p>
        </w:tc>
      </w:tr>
      <w:tr w:rsidR="001A109D" w:rsidRPr="001A109D" w:rsidTr="00EC46D6">
        <w:tc>
          <w:tcPr>
            <w:tcW w:w="1904" w:type="dxa"/>
          </w:tcPr>
          <w:p w:rsidR="001A109D" w:rsidRPr="001A109D" w:rsidRDefault="001A109D" w:rsidP="00EC46D6">
            <w:pPr>
              <w:jc w:val="left"/>
              <w:rPr>
                <w:lang w:val="de-DE"/>
              </w:rPr>
            </w:pPr>
            <w:r w:rsidRPr="001A109D">
              <w:rPr>
                <w:lang w:val="de-DE"/>
              </w:rPr>
              <w:t>FAO</w:t>
            </w:r>
          </w:p>
        </w:tc>
        <w:tc>
          <w:tcPr>
            <w:tcW w:w="7985" w:type="dxa"/>
          </w:tcPr>
          <w:p w:rsidR="001A109D" w:rsidRPr="001A109D" w:rsidRDefault="001A109D" w:rsidP="00EC46D6">
            <w:pPr>
              <w:jc w:val="left"/>
              <w:rPr>
                <w:lang w:val="de-DE"/>
              </w:rPr>
            </w:pPr>
            <w:r w:rsidRPr="001A109D">
              <w:rPr>
                <w:lang w:val="de-DE"/>
              </w:rPr>
              <w:t>Ernährungs- und Landwirtschaftsorganisation der Vereinten Nationen</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FELAS</w:t>
            </w:r>
          </w:p>
        </w:tc>
        <w:tc>
          <w:tcPr>
            <w:tcW w:w="7985" w:type="dxa"/>
          </w:tcPr>
          <w:p w:rsidR="001A109D" w:rsidRPr="001A109D" w:rsidRDefault="001A109D" w:rsidP="00EC46D6">
            <w:pPr>
              <w:autoSpaceDE w:val="0"/>
              <w:autoSpaceDN w:val="0"/>
              <w:adjustRightInd w:val="0"/>
              <w:jc w:val="left"/>
              <w:rPr>
                <w:lang w:val="de-DE"/>
              </w:rPr>
            </w:pPr>
            <w:r w:rsidRPr="001A109D">
              <w:rPr>
                <w:lang w:val="de-DE"/>
              </w:rPr>
              <w:t>Lateinamerikanische Föderation von Saatgutverbänden</w:t>
            </w:r>
          </w:p>
        </w:tc>
      </w:tr>
      <w:tr w:rsidR="001A109D" w:rsidRPr="001A109D" w:rsidTr="00EC46D6">
        <w:tc>
          <w:tcPr>
            <w:tcW w:w="1904" w:type="dxa"/>
          </w:tcPr>
          <w:p w:rsidR="001A109D" w:rsidRPr="001A109D" w:rsidRDefault="001A109D" w:rsidP="00EC46D6">
            <w:pPr>
              <w:jc w:val="left"/>
              <w:rPr>
                <w:lang w:val="de-DE"/>
              </w:rPr>
            </w:pPr>
            <w:r w:rsidRPr="001A109D">
              <w:rPr>
                <w:lang w:val="de-DE"/>
              </w:rPr>
              <w:t>FWCC</w:t>
            </w:r>
          </w:p>
        </w:tc>
        <w:tc>
          <w:tcPr>
            <w:tcW w:w="7985" w:type="dxa"/>
          </w:tcPr>
          <w:p w:rsidR="001A109D" w:rsidRPr="001A109D" w:rsidRDefault="001A109D" w:rsidP="00EC46D6">
            <w:pPr>
              <w:jc w:val="left"/>
              <w:rPr>
                <w:lang w:val="de-DE"/>
              </w:rPr>
            </w:pPr>
            <w:r w:rsidRPr="001A109D">
              <w:rPr>
                <w:lang w:val="de-DE"/>
              </w:rPr>
              <w:t>Beratendes Weltkomitee der Freunde</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GEVES</w:t>
            </w:r>
          </w:p>
        </w:tc>
        <w:tc>
          <w:tcPr>
            <w:tcW w:w="7985" w:type="dxa"/>
          </w:tcPr>
          <w:p w:rsidR="001A109D" w:rsidRPr="001A109D" w:rsidRDefault="001A109D" w:rsidP="00EC46D6">
            <w:pPr>
              <w:autoSpaceDE w:val="0"/>
              <w:autoSpaceDN w:val="0"/>
              <w:adjustRightInd w:val="0"/>
              <w:jc w:val="left"/>
              <w:rPr>
                <w:lang w:val="de-DE"/>
              </w:rPr>
            </w:pPr>
            <w:proofErr w:type="spellStart"/>
            <w:r w:rsidRPr="001A109D">
              <w:rPr>
                <w:i/>
                <w:lang w:val="de-DE"/>
              </w:rPr>
              <w:t>Groupe</w:t>
            </w:r>
            <w:proofErr w:type="spellEnd"/>
            <w:r w:rsidRPr="001A109D">
              <w:rPr>
                <w:i/>
                <w:lang w:val="de-DE"/>
              </w:rPr>
              <w:t xml:space="preserve"> </w:t>
            </w:r>
            <w:proofErr w:type="spellStart"/>
            <w:r w:rsidRPr="001A109D">
              <w:rPr>
                <w:i/>
                <w:lang w:val="de-DE"/>
              </w:rPr>
              <w:t>d'étude</w:t>
            </w:r>
            <w:proofErr w:type="spellEnd"/>
            <w:r w:rsidRPr="001A109D">
              <w:rPr>
                <w:i/>
                <w:lang w:val="de-DE"/>
              </w:rPr>
              <w:t xml:space="preserve"> et de </w:t>
            </w:r>
            <w:proofErr w:type="spellStart"/>
            <w:r w:rsidRPr="001A109D">
              <w:rPr>
                <w:i/>
                <w:lang w:val="de-DE"/>
              </w:rPr>
              <w:t>contrôle</w:t>
            </w:r>
            <w:proofErr w:type="spellEnd"/>
            <w:r w:rsidRPr="001A109D">
              <w:rPr>
                <w:i/>
                <w:lang w:val="de-DE"/>
              </w:rPr>
              <w:t xml:space="preserve"> des </w:t>
            </w:r>
            <w:proofErr w:type="spellStart"/>
            <w:r w:rsidRPr="001A109D">
              <w:rPr>
                <w:i/>
                <w:lang w:val="de-DE"/>
              </w:rPr>
              <w:t>variétés</w:t>
            </w:r>
            <w:proofErr w:type="spellEnd"/>
            <w:r w:rsidRPr="001A109D">
              <w:rPr>
                <w:i/>
                <w:lang w:val="de-DE"/>
              </w:rPr>
              <w:t xml:space="preserve"> et des </w:t>
            </w:r>
            <w:proofErr w:type="spellStart"/>
            <w:r w:rsidRPr="001A109D">
              <w:rPr>
                <w:i/>
                <w:lang w:val="de-DE"/>
              </w:rPr>
              <w:t>semences</w:t>
            </w:r>
            <w:proofErr w:type="spellEnd"/>
            <w:r w:rsidRPr="001A109D">
              <w:rPr>
                <w:lang w:val="de-DE"/>
              </w:rPr>
              <w:t xml:space="preserve"> aus Frankreich</w:t>
            </w:r>
          </w:p>
        </w:tc>
      </w:tr>
      <w:tr w:rsidR="001A109D" w:rsidRPr="001A109D" w:rsidTr="00EC46D6">
        <w:tc>
          <w:tcPr>
            <w:tcW w:w="1904" w:type="dxa"/>
          </w:tcPr>
          <w:p w:rsidR="001A109D" w:rsidRPr="001A109D" w:rsidRDefault="001A109D" w:rsidP="00EC46D6">
            <w:pPr>
              <w:jc w:val="left"/>
              <w:rPr>
                <w:lang w:val="de-DE"/>
              </w:rPr>
            </w:pPr>
            <w:r w:rsidRPr="001A109D">
              <w:rPr>
                <w:lang w:val="de-DE"/>
              </w:rPr>
              <w:t>GRIP Course</w:t>
            </w:r>
          </w:p>
        </w:tc>
        <w:tc>
          <w:tcPr>
            <w:tcW w:w="7985" w:type="dxa"/>
          </w:tcPr>
          <w:p w:rsidR="001A109D" w:rsidRPr="001A109D" w:rsidRDefault="001A109D" w:rsidP="00EC46D6">
            <w:pPr>
              <w:jc w:val="left"/>
              <w:rPr>
                <w:lang w:val="de-DE"/>
              </w:rPr>
            </w:pPr>
            <w:r w:rsidRPr="001A109D">
              <w:rPr>
                <w:lang w:val="de-DE"/>
              </w:rPr>
              <w:t>Lehrgang über genetische Ressourcen und Rechte des geistigen Eigentums</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GRUR</w:t>
            </w:r>
          </w:p>
        </w:tc>
        <w:tc>
          <w:tcPr>
            <w:tcW w:w="7985" w:type="dxa"/>
          </w:tcPr>
          <w:p w:rsidR="001A109D" w:rsidRPr="001A109D" w:rsidRDefault="001A109D" w:rsidP="00EC46D6">
            <w:pPr>
              <w:autoSpaceDE w:val="0"/>
              <w:autoSpaceDN w:val="0"/>
              <w:adjustRightInd w:val="0"/>
              <w:jc w:val="left"/>
              <w:rPr>
                <w:lang w:val="de-DE"/>
              </w:rPr>
            </w:pPr>
            <w:r w:rsidRPr="001A109D">
              <w:rPr>
                <w:lang w:val="de-DE"/>
              </w:rPr>
              <w:t>Deutsche Vereinigung für gewerblichen Rechtsschutz und Urheberrecht</w:t>
            </w:r>
          </w:p>
        </w:tc>
      </w:tr>
      <w:tr w:rsidR="001A109D" w:rsidRPr="001A109D" w:rsidTr="00EC46D6">
        <w:tc>
          <w:tcPr>
            <w:tcW w:w="1904" w:type="dxa"/>
          </w:tcPr>
          <w:p w:rsidR="001A109D" w:rsidRPr="001A109D" w:rsidRDefault="001A109D" w:rsidP="00EC46D6">
            <w:pPr>
              <w:jc w:val="left"/>
              <w:rPr>
                <w:lang w:val="de-DE"/>
              </w:rPr>
            </w:pPr>
            <w:r w:rsidRPr="001A109D">
              <w:rPr>
                <w:lang w:val="de-DE"/>
              </w:rPr>
              <w:t>IAOC</w:t>
            </w:r>
          </w:p>
        </w:tc>
        <w:tc>
          <w:tcPr>
            <w:tcW w:w="7985" w:type="dxa"/>
          </w:tcPr>
          <w:p w:rsidR="001A109D" w:rsidRPr="001A109D" w:rsidRDefault="001A109D" w:rsidP="00EC46D6">
            <w:pPr>
              <w:jc w:val="left"/>
              <w:rPr>
                <w:lang w:val="de-DE"/>
              </w:rPr>
            </w:pPr>
            <w:r w:rsidRPr="001A109D">
              <w:rPr>
                <w:lang w:val="de-DE"/>
              </w:rPr>
              <w:t xml:space="preserve">Unabhängiger Beratender </w:t>
            </w:r>
            <w:proofErr w:type="spellStart"/>
            <w:r w:rsidRPr="001A109D">
              <w:rPr>
                <w:lang w:val="de-DE"/>
              </w:rPr>
              <w:t>Prüfungsausschuß</w:t>
            </w:r>
            <w:proofErr w:type="spellEnd"/>
            <w:r w:rsidRPr="001A109D">
              <w:rPr>
                <w:lang w:val="de-DE"/>
              </w:rPr>
              <w:t xml:space="preserve"> der WIPO</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ICARDA</w:t>
            </w:r>
          </w:p>
        </w:tc>
        <w:tc>
          <w:tcPr>
            <w:tcW w:w="7985" w:type="dxa"/>
          </w:tcPr>
          <w:p w:rsidR="001A109D" w:rsidRPr="001A109D" w:rsidRDefault="001A109D" w:rsidP="00EC46D6">
            <w:pPr>
              <w:autoSpaceDE w:val="0"/>
              <w:autoSpaceDN w:val="0"/>
              <w:adjustRightInd w:val="0"/>
              <w:jc w:val="left"/>
              <w:rPr>
                <w:rFonts w:cs="Arial"/>
                <w:lang w:val="de-DE"/>
              </w:rPr>
            </w:pPr>
            <w:r w:rsidRPr="001A109D">
              <w:rPr>
                <w:lang w:val="de-DE"/>
              </w:rPr>
              <w:t>Internationales Zentrum für landwirtschaftliche Forschung in Dürregebieten</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ICNCP</w:t>
            </w:r>
          </w:p>
        </w:tc>
        <w:tc>
          <w:tcPr>
            <w:tcW w:w="7985" w:type="dxa"/>
          </w:tcPr>
          <w:p w:rsidR="001A109D" w:rsidRPr="001A109D" w:rsidRDefault="001A109D" w:rsidP="00EC46D6">
            <w:pPr>
              <w:jc w:val="left"/>
              <w:rPr>
                <w:snapToGrid w:val="0"/>
                <w:lang w:val="de-DE"/>
              </w:rPr>
            </w:pPr>
            <w:r w:rsidRPr="001A109D">
              <w:rPr>
                <w:lang w:val="de-DE"/>
              </w:rPr>
              <w:t>Internationaler Code für die Nomenklatur von Kulturpflanzen</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ICNP</w:t>
            </w:r>
          </w:p>
        </w:tc>
        <w:tc>
          <w:tcPr>
            <w:tcW w:w="7985" w:type="dxa"/>
          </w:tcPr>
          <w:p w:rsidR="001A109D" w:rsidRPr="001A109D" w:rsidRDefault="001A109D" w:rsidP="00EC46D6">
            <w:pPr>
              <w:autoSpaceDE w:val="0"/>
              <w:autoSpaceDN w:val="0"/>
              <w:adjustRightInd w:val="0"/>
              <w:jc w:val="left"/>
              <w:rPr>
                <w:lang w:val="de-DE"/>
              </w:rPr>
            </w:pPr>
            <w:r w:rsidRPr="001A109D">
              <w:rPr>
                <w:lang w:val="de-DE"/>
              </w:rPr>
              <w:t>Zwischenstaatlicher Open-</w:t>
            </w:r>
            <w:proofErr w:type="spellStart"/>
            <w:r w:rsidRPr="001A109D">
              <w:rPr>
                <w:lang w:val="de-DE"/>
              </w:rPr>
              <w:t>Ended</w:t>
            </w:r>
            <w:proofErr w:type="spellEnd"/>
            <w:r w:rsidRPr="001A109D">
              <w:rPr>
                <w:lang w:val="de-DE"/>
              </w:rPr>
              <w:t xml:space="preserve"> Ad-hoc-</w:t>
            </w:r>
            <w:proofErr w:type="spellStart"/>
            <w:r w:rsidRPr="001A109D">
              <w:rPr>
                <w:lang w:val="de-DE"/>
              </w:rPr>
              <w:t>Ausschuß</w:t>
            </w:r>
            <w:proofErr w:type="spellEnd"/>
            <w:r w:rsidRPr="001A109D">
              <w:rPr>
                <w:lang w:val="de-DE"/>
              </w:rPr>
              <w:t xml:space="preserve"> für das Nagoya-Protokoll über Zugang und Vorteilsausgleich</w:t>
            </w:r>
          </w:p>
        </w:tc>
      </w:tr>
      <w:tr w:rsidR="001A109D" w:rsidRPr="001A109D" w:rsidTr="00EC46D6">
        <w:tc>
          <w:tcPr>
            <w:tcW w:w="1904" w:type="dxa"/>
          </w:tcPr>
          <w:p w:rsidR="001A109D" w:rsidRPr="001A109D" w:rsidRDefault="001A109D" w:rsidP="00EC46D6">
            <w:pPr>
              <w:jc w:val="left"/>
              <w:rPr>
                <w:lang w:val="de-DE"/>
              </w:rPr>
            </w:pPr>
            <w:r w:rsidRPr="001A109D">
              <w:rPr>
                <w:lang w:val="de-DE"/>
              </w:rPr>
              <w:t>IDLO</w:t>
            </w:r>
          </w:p>
        </w:tc>
        <w:tc>
          <w:tcPr>
            <w:tcW w:w="7985" w:type="dxa"/>
          </w:tcPr>
          <w:p w:rsidR="001A109D" w:rsidRPr="008F3DA8" w:rsidRDefault="001A109D" w:rsidP="00EC46D6">
            <w:pPr>
              <w:jc w:val="left"/>
              <w:rPr>
                <w:lang w:val="de-DE"/>
              </w:rPr>
            </w:pPr>
            <w:r w:rsidRPr="008F3DA8">
              <w:rPr>
                <w:lang w:val="de-DE"/>
              </w:rPr>
              <w:t xml:space="preserve">International Development Law </w:t>
            </w:r>
            <w:proofErr w:type="spellStart"/>
            <w:r w:rsidRPr="008F3DA8">
              <w:rPr>
                <w:lang w:val="de-DE"/>
              </w:rPr>
              <w:t>Organization</w:t>
            </w:r>
            <w:proofErr w:type="spellEnd"/>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IGC</w:t>
            </w:r>
          </w:p>
        </w:tc>
        <w:tc>
          <w:tcPr>
            <w:tcW w:w="7985" w:type="dxa"/>
          </w:tcPr>
          <w:p w:rsidR="001A109D" w:rsidRPr="001A109D" w:rsidRDefault="001A109D" w:rsidP="00EC46D6">
            <w:pPr>
              <w:jc w:val="left"/>
              <w:rPr>
                <w:snapToGrid w:val="0"/>
                <w:lang w:val="de-DE"/>
              </w:rPr>
            </w:pPr>
            <w:r w:rsidRPr="001A109D">
              <w:rPr>
                <w:lang w:val="de-DE"/>
              </w:rPr>
              <w:t>Zwischenstaatlicher WIPO-</w:t>
            </w:r>
            <w:proofErr w:type="spellStart"/>
            <w:r w:rsidRPr="001A109D">
              <w:rPr>
                <w:lang w:val="de-DE"/>
              </w:rPr>
              <w:t>Ausschuß</w:t>
            </w:r>
            <w:proofErr w:type="spellEnd"/>
            <w:r w:rsidRPr="001A109D">
              <w:rPr>
                <w:lang w:val="de-DE"/>
              </w:rPr>
              <w:t xml:space="preserve"> für geistiges Eigentum an genetischen Ressourcen sowie traditionellen Kenntnissen und Gebräuchen</w:t>
            </w:r>
          </w:p>
        </w:tc>
      </w:tr>
      <w:tr w:rsidR="001A109D" w:rsidRPr="001A109D" w:rsidTr="00EC46D6">
        <w:tc>
          <w:tcPr>
            <w:tcW w:w="1904" w:type="dxa"/>
          </w:tcPr>
          <w:p w:rsidR="001A109D" w:rsidRPr="001A109D" w:rsidRDefault="001A109D" w:rsidP="00EC46D6">
            <w:pPr>
              <w:autoSpaceDE w:val="0"/>
              <w:autoSpaceDN w:val="0"/>
              <w:adjustRightInd w:val="0"/>
              <w:jc w:val="left"/>
              <w:rPr>
                <w:snapToGrid w:val="0"/>
                <w:lang w:val="de-DE"/>
              </w:rPr>
            </w:pPr>
            <w:r w:rsidRPr="001A109D">
              <w:rPr>
                <w:lang w:val="de-DE"/>
              </w:rPr>
              <w:t>IPSAS</w:t>
            </w:r>
          </w:p>
        </w:tc>
        <w:tc>
          <w:tcPr>
            <w:tcW w:w="7985" w:type="dxa"/>
          </w:tcPr>
          <w:p w:rsidR="001A109D" w:rsidRPr="001A109D" w:rsidRDefault="001A109D" w:rsidP="00EC46D6">
            <w:pPr>
              <w:autoSpaceDE w:val="0"/>
              <w:autoSpaceDN w:val="0"/>
              <w:adjustRightInd w:val="0"/>
              <w:jc w:val="left"/>
              <w:rPr>
                <w:snapToGrid w:val="0"/>
                <w:lang w:val="de-DE"/>
              </w:rPr>
            </w:pPr>
            <w:r w:rsidRPr="001A109D">
              <w:rPr>
                <w:lang w:val="de-DE"/>
              </w:rPr>
              <w:t>Internationale Rechnungslegungsstandards für den öffentlichen Sektor</w:t>
            </w:r>
          </w:p>
        </w:tc>
      </w:tr>
      <w:tr w:rsidR="001A109D" w:rsidRPr="001A109D" w:rsidTr="00EC46D6">
        <w:tc>
          <w:tcPr>
            <w:tcW w:w="1904" w:type="dxa"/>
          </w:tcPr>
          <w:p w:rsidR="001A109D" w:rsidRPr="001A109D" w:rsidRDefault="001A109D" w:rsidP="00EC46D6">
            <w:pPr>
              <w:jc w:val="left"/>
              <w:rPr>
                <w:lang w:val="de-DE"/>
              </w:rPr>
            </w:pPr>
            <w:r w:rsidRPr="001A109D">
              <w:rPr>
                <w:lang w:val="de-DE"/>
              </w:rPr>
              <w:t>IRRI</w:t>
            </w:r>
          </w:p>
        </w:tc>
        <w:tc>
          <w:tcPr>
            <w:tcW w:w="7985" w:type="dxa"/>
          </w:tcPr>
          <w:p w:rsidR="001A109D" w:rsidRPr="001A109D" w:rsidRDefault="001A109D" w:rsidP="00EC46D6">
            <w:pPr>
              <w:jc w:val="left"/>
              <w:rPr>
                <w:lang w:val="de-DE"/>
              </w:rPr>
            </w:pPr>
            <w:r w:rsidRPr="001A109D">
              <w:rPr>
                <w:lang w:val="de-DE"/>
              </w:rPr>
              <w:t>Internationales Reisforschungsinstitut</w:t>
            </w:r>
          </w:p>
        </w:tc>
      </w:tr>
      <w:tr w:rsidR="001A109D" w:rsidRPr="001A109D" w:rsidTr="00EC46D6">
        <w:tc>
          <w:tcPr>
            <w:tcW w:w="1904" w:type="dxa"/>
          </w:tcPr>
          <w:p w:rsidR="001A109D" w:rsidRPr="001A109D" w:rsidRDefault="001A109D" w:rsidP="00EC46D6">
            <w:pPr>
              <w:jc w:val="left"/>
              <w:rPr>
                <w:lang w:val="de-DE"/>
              </w:rPr>
            </w:pPr>
            <w:r w:rsidRPr="001A109D">
              <w:rPr>
                <w:lang w:val="de-DE"/>
              </w:rPr>
              <w:t>ISF</w:t>
            </w:r>
          </w:p>
        </w:tc>
        <w:tc>
          <w:tcPr>
            <w:tcW w:w="7985" w:type="dxa"/>
          </w:tcPr>
          <w:p w:rsidR="001A109D" w:rsidRPr="001A109D" w:rsidRDefault="001A109D" w:rsidP="00EC46D6">
            <w:pPr>
              <w:jc w:val="left"/>
              <w:rPr>
                <w:lang w:val="de-DE"/>
              </w:rPr>
            </w:pPr>
            <w:r w:rsidRPr="001A109D">
              <w:rPr>
                <w:lang w:val="de-DE"/>
              </w:rPr>
              <w:t>Internationaler Saatgutverband</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ISHS</w:t>
            </w:r>
          </w:p>
        </w:tc>
        <w:tc>
          <w:tcPr>
            <w:tcW w:w="7985" w:type="dxa"/>
          </w:tcPr>
          <w:p w:rsidR="001A109D" w:rsidRPr="001A109D" w:rsidRDefault="001A109D" w:rsidP="00EC46D6">
            <w:pPr>
              <w:jc w:val="left"/>
              <w:rPr>
                <w:lang w:val="de-DE"/>
              </w:rPr>
            </w:pPr>
            <w:r w:rsidRPr="001A109D">
              <w:rPr>
                <w:lang w:val="de-DE"/>
              </w:rPr>
              <w:t>Internationale Gesellschaft für Gartenbaukunde</w:t>
            </w:r>
          </w:p>
        </w:tc>
      </w:tr>
      <w:tr w:rsidR="001A109D" w:rsidRPr="001A109D" w:rsidTr="00EC46D6">
        <w:tc>
          <w:tcPr>
            <w:tcW w:w="1904" w:type="dxa"/>
          </w:tcPr>
          <w:p w:rsidR="001A109D" w:rsidRPr="001A109D" w:rsidRDefault="001A109D" w:rsidP="00EC46D6">
            <w:pPr>
              <w:jc w:val="left"/>
              <w:rPr>
                <w:lang w:val="de-DE"/>
              </w:rPr>
            </w:pPr>
            <w:r w:rsidRPr="001A109D">
              <w:rPr>
                <w:lang w:val="de-DE"/>
              </w:rPr>
              <w:t>ISTA</w:t>
            </w:r>
          </w:p>
        </w:tc>
        <w:tc>
          <w:tcPr>
            <w:tcW w:w="7985" w:type="dxa"/>
          </w:tcPr>
          <w:p w:rsidR="001A109D" w:rsidRPr="001A109D" w:rsidRDefault="001A109D" w:rsidP="00EC46D6">
            <w:pPr>
              <w:jc w:val="left"/>
              <w:rPr>
                <w:lang w:val="de-DE"/>
              </w:rPr>
            </w:pPr>
            <w:r w:rsidRPr="001A109D">
              <w:rPr>
                <w:lang w:val="de-DE"/>
              </w:rPr>
              <w:t>Internationale Vereinigung für Saatgutprüfung</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ITPGRFA</w:t>
            </w:r>
          </w:p>
        </w:tc>
        <w:tc>
          <w:tcPr>
            <w:tcW w:w="7985" w:type="dxa"/>
          </w:tcPr>
          <w:p w:rsidR="001A109D" w:rsidRPr="001A109D" w:rsidRDefault="001A109D" w:rsidP="00EC46D6">
            <w:pPr>
              <w:jc w:val="left"/>
              <w:rPr>
                <w:snapToGrid w:val="0"/>
                <w:lang w:val="de-DE"/>
              </w:rPr>
            </w:pPr>
            <w:r w:rsidRPr="001A109D">
              <w:rPr>
                <w:lang w:val="de-DE"/>
              </w:rPr>
              <w:t>Vertrag über pflanzengenetische Ressourcen für Ernährung und Landwirtschaft</w:t>
            </w:r>
          </w:p>
        </w:tc>
      </w:tr>
      <w:tr w:rsidR="001A109D" w:rsidRPr="001A109D" w:rsidTr="00EC46D6">
        <w:tc>
          <w:tcPr>
            <w:tcW w:w="1904" w:type="dxa"/>
          </w:tcPr>
          <w:p w:rsidR="001A109D" w:rsidRPr="001A109D" w:rsidRDefault="001A109D" w:rsidP="00EC46D6">
            <w:pPr>
              <w:jc w:val="left"/>
              <w:rPr>
                <w:rFonts w:cs="Arial"/>
                <w:snapToGrid w:val="0"/>
                <w:lang w:val="de-DE"/>
              </w:rPr>
            </w:pPr>
            <w:r w:rsidRPr="001A109D">
              <w:rPr>
                <w:lang w:val="de-DE"/>
              </w:rPr>
              <w:t>IUBS-Kommission</w:t>
            </w:r>
          </w:p>
        </w:tc>
        <w:tc>
          <w:tcPr>
            <w:tcW w:w="7985" w:type="dxa"/>
          </w:tcPr>
          <w:p w:rsidR="001A109D" w:rsidRPr="001A109D" w:rsidRDefault="001A109D" w:rsidP="00EC46D6">
            <w:pPr>
              <w:jc w:val="left"/>
              <w:rPr>
                <w:lang w:val="de-DE"/>
              </w:rPr>
            </w:pPr>
            <w:r w:rsidRPr="001A109D">
              <w:rPr>
                <w:lang w:val="de-DE"/>
              </w:rPr>
              <w:t>Internationale Kommission für die Nomenklatur der Kulturpflanzen der Internationalen Vereinigung der biologischen Wissenschaften</w:t>
            </w:r>
          </w:p>
        </w:tc>
      </w:tr>
      <w:tr w:rsidR="001A109D" w:rsidRPr="001A109D" w:rsidTr="00EC46D6">
        <w:tc>
          <w:tcPr>
            <w:tcW w:w="1904" w:type="dxa"/>
          </w:tcPr>
          <w:p w:rsidR="001A109D" w:rsidRPr="001A109D" w:rsidRDefault="001A109D" w:rsidP="00EC46D6">
            <w:pPr>
              <w:jc w:val="left"/>
              <w:rPr>
                <w:lang w:val="de-DE"/>
              </w:rPr>
            </w:pPr>
            <w:r w:rsidRPr="001A109D">
              <w:rPr>
                <w:lang w:val="de-DE"/>
              </w:rPr>
              <w:t>JICA</w:t>
            </w:r>
          </w:p>
        </w:tc>
        <w:tc>
          <w:tcPr>
            <w:tcW w:w="7985" w:type="dxa"/>
          </w:tcPr>
          <w:p w:rsidR="001A109D" w:rsidRPr="001A109D" w:rsidRDefault="001A109D" w:rsidP="00EC46D6">
            <w:pPr>
              <w:jc w:val="left"/>
              <w:rPr>
                <w:lang w:val="de-DE"/>
              </w:rPr>
            </w:pPr>
            <w:r w:rsidRPr="001A109D">
              <w:rPr>
                <w:lang w:val="de-DE"/>
              </w:rPr>
              <w:t>Japanische Stelle für internationale Zusammenarbeit</w:t>
            </w:r>
          </w:p>
        </w:tc>
      </w:tr>
      <w:tr w:rsidR="001A109D" w:rsidRPr="001A109D" w:rsidTr="00EC46D6">
        <w:tc>
          <w:tcPr>
            <w:tcW w:w="1904" w:type="dxa"/>
          </w:tcPr>
          <w:p w:rsidR="001A109D" w:rsidRPr="001A109D" w:rsidRDefault="001A109D" w:rsidP="00EC46D6">
            <w:pPr>
              <w:autoSpaceDE w:val="0"/>
              <w:autoSpaceDN w:val="0"/>
              <w:adjustRightInd w:val="0"/>
              <w:jc w:val="left"/>
              <w:rPr>
                <w:rFonts w:eastAsia="MS Mincho" w:cs="Arial"/>
                <w:color w:val="000000"/>
                <w:lang w:val="de-DE"/>
              </w:rPr>
            </w:pPr>
            <w:r w:rsidRPr="001A109D">
              <w:rPr>
                <w:color w:val="000000"/>
                <w:lang w:val="de-DE"/>
              </w:rPr>
              <w:t>KEPHIS</w:t>
            </w:r>
          </w:p>
        </w:tc>
        <w:tc>
          <w:tcPr>
            <w:tcW w:w="7985" w:type="dxa"/>
          </w:tcPr>
          <w:p w:rsidR="001A109D" w:rsidRPr="001A109D" w:rsidRDefault="001A109D" w:rsidP="00EC46D6">
            <w:pPr>
              <w:autoSpaceDE w:val="0"/>
              <w:autoSpaceDN w:val="0"/>
              <w:adjustRightInd w:val="0"/>
              <w:jc w:val="left"/>
              <w:rPr>
                <w:rFonts w:eastAsia="MS Mincho" w:cs="Arial"/>
                <w:color w:val="000000"/>
                <w:lang w:val="de-DE"/>
              </w:rPr>
            </w:pPr>
            <w:r w:rsidRPr="001A109D">
              <w:rPr>
                <w:color w:val="000000"/>
                <w:lang w:val="de-DE"/>
              </w:rPr>
              <w:t xml:space="preserve">Amt für die Kontrolle der Pflanzengesundheit Kenias </w:t>
            </w:r>
          </w:p>
        </w:tc>
      </w:tr>
      <w:tr w:rsidR="001A109D" w:rsidRPr="001A109D" w:rsidTr="00EC46D6">
        <w:tc>
          <w:tcPr>
            <w:tcW w:w="1904" w:type="dxa"/>
          </w:tcPr>
          <w:p w:rsidR="001A109D" w:rsidRPr="001A109D" w:rsidRDefault="001A109D" w:rsidP="00EC46D6">
            <w:pPr>
              <w:jc w:val="left"/>
              <w:rPr>
                <w:snapToGrid w:val="0"/>
                <w:color w:val="000000"/>
                <w:lang w:val="de-DE"/>
              </w:rPr>
            </w:pPr>
            <w:r w:rsidRPr="001A109D">
              <w:rPr>
                <w:snapToGrid w:val="0"/>
                <w:color w:val="000000"/>
                <w:lang w:val="de-DE"/>
              </w:rPr>
              <w:t>KOICA</w:t>
            </w:r>
          </w:p>
        </w:tc>
        <w:tc>
          <w:tcPr>
            <w:tcW w:w="7985" w:type="dxa"/>
          </w:tcPr>
          <w:p w:rsidR="001A109D" w:rsidRPr="001A109D" w:rsidRDefault="001A109D" w:rsidP="00EC46D6">
            <w:pPr>
              <w:jc w:val="left"/>
              <w:rPr>
                <w:snapToGrid w:val="0"/>
                <w:color w:val="000000"/>
                <w:lang w:val="de-DE"/>
              </w:rPr>
            </w:pPr>
            <w:r w:rsidRPr="001A109D">
              <w:rPr>
                <w:snapToGrid w:val="0"/>
                <w:color w:val="000000"/>
                <w:lang w:val="de-DE"/>
              </w:rPr>
              <w:t>Koreanische Stelle für internationale Zusammenarbeit</w:t>
            </w:r>
          </w:p>
        </w:tc>
      </w:tr>
      <w:tr w:rsidR="001A109D" w:rsidRPr="001A109D" w:rsidTr="00EC46D6">
        <w:tc>
          <w:tcPr>
            <w:tcW w:w="1904" w:type="dxa"/>
          </w:tcPr>
          <w:p w:rsidR="001A109D" w:rsidRPr="001A109D" w:rsidRDefault="001A109D" w:rsidP="00EC46D6">
            <w:pPr>
              <w:jc w:val="left"/>
              <w:rPr>
                <w:rFonts w:cs="Arial"/>
                <w:noProof/>
                <w:color w:val="000000"/>
                <w:lang w:val="de-DE"/>
              </w:rPr>
            </w:pPr>
            <w:r w:rsidRPr="001A109D">
              <w:rPr>
                <w:noProof/>
                <w:color w:val="000000"/>
                <w:lang w:val="de-DE"/>
              </w:rPr>
              <w:t>KSVS</w:t>
            </w:r>
          </w:p>
        </w:tc>
        <w:tc>
          <w:tcPr>
            <w:tcW w:w="7985" w:type="dxa"/>
          </w:tcPr>
          <w:p w:rsidR="001A109D" w:rsidRPr="001A109D" w:rsidRDefault="001A109D" w:rsidP="00EC46D6">
            <w:pPr>
              <w:jc w:val="left"/>
              <w:rPr>
                <w:rFonts w:cs="Arial"/>
                <w:noProof/>
                <w:color w:val="000000"/>
                <w:lang w:val="de-DE"/>
              </w:rPr>
            </w:pPr>
            <w:r w:rsidRPr="001A109D">
              <w:rPr>
                <w:noProof/>
                <w:color w:val="000000"/>
                <w:lang w:val="de-DE"/>
              </w:rPr>
              <w:t>Koreanisches Saatgut- und Sortenamt</w:t>
            </w:r>
          </w:p>
        </w:tc>
      </w:tr>
      <w:tr w:rsidR="001A109D" w:rsidRPr="001A109D" w:rsidTr="00EC46D6">
        <w:tc>
          <w:tcPr>
            <w:tcW w:w="1904" w:type="dxa"/>
          </w:tcPr>
          <w:p w:rsidR="001A109D" w:rsidRPr="001A109D" w:rsidRDefault="001A109D" w:rsidP="00EC46D6">
            <w:pPr>
              <w:jc w:val="left"/>
              <w:rPr>
                <w:lang w:val="de-DE"/>
              </w:rPr>
            </w:pPr>
            <w:r w:rsidRPr="001A109D">
              <w:rPr>
                <w:lang w:val="de-DE"/>
              </w:rPr>
              <w:t>OAPI</w:t>
            </w:r>
          </w:p>
        </w:tc>
        <w:tc>
          <w:tcPr>
            <w:tcW w:w="7985" w:type="dxa"/>
          </w:tcPr>
          <w:p w:rsidR="001A109D" w:rsidRPr="001A109D" w:rsidRDefault="001A109D" w:rsidP="00EC46D6">
            <w:pPr>
              <w:jc w:val="left"/>
              <w:rPr>
                <w:lang w:val="de-DE"/>
              </w:rPr>
            </w:pPr>
            <w:r w:rsidRPr="001A109D">
              <w:rPr>
                <w:lang w:val="de-DE"/>
              </w:rPr>
              <w:t>Afrikanische Regionalorganisation für geistiges Eigentum</w:t>
            </w:r>
          </w:p>
        </w:tc>
      </w:tr>
      <w:tr w:rsidR="001A109D" w:rsidRPr="001A109D" w:rsidTr="00EC46D6">
        <w:tc>
          <w:tcPr>
            <w:tcW w:w="1904" w:type="dxa"/>
          </w:tcPr>
          <w:p w:rsidR="001A109D" w:rsidRPr="001A109D" w:rsidRDefault="001A109D" w:rsidP="00EC46D6">
            <w:pPr>
              <w:jc w:val="left"/>
              <w:rPr>
                <w:lang w:val="de-DE"/>
              </w:rPr>
            </w:pPr>
            <w:r w:rsidRPr="001A109D">
              <w:rPr>
                <w:lang w:val="de-DE"/>
              </w:rPr>
              <w:t>OECD</w:t>
            </w:r>
          </w:p>
        </w:tc>
        <w:tc>
          <w:tcPr>
            <w:tcW w:w="7985" w:type="dxa"/>
          </w:tcPr>
          <w:p w:rsidR="001A109D" w:rsidRPr="001A109D" w:rsidRDefault="001A109D" w:rsidP="00EC46D6">
            <w:pPr>
              <w:jc w:val="left"/>
              <w:rPr>
                <w:lang w:val="de-DE"/>
              </w:rPr>
            </w:pPr>
            <w:r w:rsidRPr="001A109D">
              <w:rPr>
                <w:lang w:val="de-DE"/>
              </w:rPr>
              <w:t>Organisation für Wirtschaftliche Zusammenarbeit und Entwicklung</w:t>
            </w:r>
          </w:p>
        </w:tc>
      </w:tr>
      <w:tr w:rsidR="001A109D" w:rsidRPr="001A109D" w:rsidTr="00EC46D6">
        <w:tc>
          <w:tcPr>
            <w:tcW w:w="1904" w:type="dxa"/>
          </w:tcPr>
          <w:p w:rsidR="001A109D" w:rsidRPr="001A109D" w:rsidRDefault="001A109D" w:rsidP="00EC46D6">
            <w:pPr>
              <w:autoSpaceDE w:val="0"/>
              <w:autoSpaceDN w:val="0"/>
              <w:adjustRightInd w:val="0"/>
              <w:jc w:val="left"/>
              <w:rPr>
                <w:szCs w:val="24"/>
                <w:lang w:val="de-DE"/>
              </w:rPr>
            </w:pPr>
            <w:r w:rsidRPr="001A109D">
              <w:rPr>
                <w:lang w:val="de-DE"/>
              </w:rPr>
              <w:t>OEVV</w:t>
            </w:r>
          </w:p>
        </w:tc>
        <w:tc>
          <w:tcPr>
            <w:tcW w:w="7985" w:type="dxa"/>
          </w:tcPr>
          <w:p w:rsidR="001A109D" w:rsidRPr="001A109D" w:rsidRDefault="001A109D" w:rsidP="00EC46D6">
            <w:pPr>
              <w:autoSpaceDE w:val="0"/>
              <w:autoSpaceDN w:val="0"/>
              <w:adjustRightInd w:val="0"/>
              <w:jc w:val="left"/>
              <w:rPr>
                <w:szCs w:val="24"/>
                <w:lang w:val="de-DE"/>
              </w:rPr>
            </w:pPr>
            <w:r w:rsidRPr="001A109D">
              <w:rPr>
                <w:lang w:val="de-DE"/>
              </w:rPr>
              <w:t>Spanisches Sortenamt</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PCT</w:t>
            </w:r>
          </w:p>
        </w:tc>
        <w:tc>
          <w:tcPr>
            <w:tcW w:w="7985" w:type="dxa"/>
          </w:tcPr>
          <w:p w:rsidR="001A109D" w:rsidRPr="001A109D" w:rsidRDefault="001A109D" w:rsidP="00EC46D6">
            <w:pPr>
              <w:autoSpaceDE w:val="0"/>
              <w:autoSpaceDN w:val="0"/>
              <w:adjustRightInd w:val="0"/>
              <w:jc w:val="left"/>
              <w:rPr>
                <w:lang w:val="de-DE"/>
              </w:rPr>
            </w:pPr>
            <w:r w:rsidRPr="001A109D">
              <w:rPr>
                <w:lang w:val="de-DE"/>
              </w:rPr>
              <w:t>Vertrag über die internationale Zusammenarbeit auf dem Gebiet des Patentwesens der WIPO</w:t>
            </w:r>
          </w:p>
        </w:tc>
      </w:tr>
      <w:tr w:rsidR="001A109D" w:rsidRPr="001A109D" w:rsidTr="00EC46D6">
        <w:tc>
          <w:tcPr>
            <w:tcW w:w="1904" w:type="dxa"/>
          </w:tcPr>
          <w:p w:rsidR="001A109D" w:rsidRPr="001A109D" w:rsidRDefault="001A109D" w:rsidP="00EC46D6">
            <w:pPr>
              <w:jc w:val="left"/>
              <w:rPr>
                <w:lang w:val="de-DE"/>
              </w:rPr>
            </w:pPr>
            <w:r w:rsidRPr="001A109D">
              <w:rPr>
                <w:lang w:val="de-DE"/>
              </w:rPr>
              <w:t>QUNO</w:t>
            </w:r>
          </w:p>
        </w:tc>
        <w:tc>
          <w:tcPr>
            <w:tcW w:w="7985" w:type="dxa"/>
          </w:tcPr>
          <w:p w:rsidR="001A109D" w:rsidRPr="001A109D" w:rsidRDefault="001A109D" w:rsidP="00EC46D6">
            <w:pPr>
              <w:jc w:val="left"/>
              <w:rPr>
                <w:lang w:val="de-DE"/>
              </w:rPr>
            </w:pPr>
            <w:r w:rsidRPr="001A109D">
              <w:rPr>
                <w:lang w:val="de-DE"/>
              </w:rPr>
              <w:t>Büro der Quäker bei den Vereinten Nationen</w:t>
            </w:r>
          </w:p>
        </w:tc>
      </w:tr>
      <w:tr w:rsidR="001A109D" w:rsidRPr="001A109D" w:rsidTr="00EC46D6">
        <w:tc>
          <w:tcPr>
            <w:tcW w:w="1904" w:type="dxa"/>
          </w:tcPr>
          <w:p w:rsidR="001A109D" w:rsidRPr="001A109D" w:rsidRDefault="001A109D" w:rsidP="00EC46D6">
            <w:pPr>
              <w:jc w:val="left"/>
              <w:rPr>
                <w:lang w:val="de-DE"/>
              </w:rPr>
            </w:pPr>
            <w:r w:rsidRPr="001A109D">
              <w:rPr>
                <w:lang w:val="de-DE"/>
              </w:rPr>
              <w:t>QUT</w:t>
            </w:r>
          </w:p>
        </w:tc>
        <w:tc>
          <w:tcPr>
            <w:tcW w:w="7985" w:type="dxa"/>
          </w:tcPr>
          <w:p w:rsidR="001A109D" w:rsidRPr="001A109D" w:rsidRDefault="001A109D" w:rsidP="00EC46D6">
            <w:pPr>
              <w:jc w:val="left"/>
              <w:rPr>
                <w:lang w:val="de-DE"/>
              </w:rPr>
            </w:pPr>
            <w:r w:rsidRPr="001A109D">
              <w:rPr>
                <w:lang w:val="de-DE"/>
              </w:rPr>
              <w:t xml:space="preserve">Queensland University </w:t>
            </w:r>
            <w:proofErr w:type="spellStart"/>
            <w:r w:rsidRPr="001A109D">
              <w:rPr>
                <w:lang w:val="de-DE"/>
              </w:rPr>
              <w:t>of</w:t>
            </w:r>
            <w:proofErr w:type="spellEnd"/>
            <w:r w:rsidRPr="001A109D">
              <w:rPr>
                <w:lang w:val="de-DE"/>
              </w:rPr>
              <w:t xml:space="preserve"> Technology</w:t>
            </w:r>
          </w:p>
        </w:tc>
      </w:tr>
      <w:tr w:rsidR="001A109D" w:rsidRPr="001A109D" w:rsidTr="00EC46D6">
        <w:tc>
          <w:tcPr>
            <w:tcW w:w="1904" w:type="dxa"/>
          </w:tcPr>
          <w:p w:rsidR="001A109D" w:rsidRPr="001A109D" w:rsidRDefault="001A109D" w:rsidP="00EC46D6">
            <w:pPr>
              <w:jc w:val="left"/>
              <w:rPr>
                <w:lang w:val="de-DE"/>
              </w:rPr>
            </w:pPr>
            <w:r w:rsidRPr="001A109D">
              <w:rPr>
                <w:lang w:val="de-DE"/>
              </w:rPr>
              <w:t>SAA</w:t>
            </w:r>
          </w:p>
        </w:tc>
        <w:tc>
          <w:tcPr>
            <w:tcW w:w="7985" w:type="dxa"/>
          </w:tcPr>
          <w:p w:rsidR="001A109D" w:rsidRPr="001A109D" w:rsidRDefault="001A109D" w:rsidP="00EC46D6">
            <w:pPr>
              <w:jc w:val="left"/>
              <w:rPr>
                <w:lang w:val="de-DE"/>
              </w:rPr>
            </w:pPr>
            <w:r w:rsidRPr="001A109D">
              <w:rPr>
                <w:lang w:val="de-DE"/>
              </w:rPr>
              <w:t>Saatgutverband der Amerikas</w:t>
            </w:r>
          </w:p>
        </w:tc>
      </w:tr>
      <w:tr w:rsidR="001A109D" w:rsidRPr="001A109D" w:rsidTr="00EC46D6">
        <w:tc>
          <w:tcPr>
            <w:tcW w:w="1904" w:type="dxa"/>
          </w:tcPr>
          <w:p w:rsidR="001A109D" w:rsidRPr="001A109D" w:rsidRDefault="001A109D" w:rsidP="00EC46D6">
            <w:pPr>
              <w:jc w:val="left"/>
              <w:rPr>
                <w:lang w:val="de-DE"/>
              </w:rPr>
            </w:pPr>
            <w:proofErr w:type="spellStart"/>
            <w:r w:rsidRPr="001A109D">
              <w:rPr>
                <w:lang w:val="de-DE"/>
              </w:rPr>
              <w:t>Sida</w:t>
            </w:r>
            <w:proofErr w:type="spellEnd"/>
          </w:p>
        </w:tc>
        <w:tc>
          <w:tcPr>
            <w:tcW w:w="7985" w:type="dxa"/>
          </w:tcPr>
          <w:p w:rsidR="001A109D" w:rsidRPr="001A109D" w:rsidRDefault="001A109D" w:rsidP="00EC46D6">
            <w:pPr>
              <w:jc w:val="left"/>
              <w:rPr>
                <w:lang w:val="de-DE"/>
              </w:rPr>
            </w:pPr>
            <w:r w:rsidRPr="001A109D">
              <w:rPr>
                <w:lang w:val="de-DE"/>
              </w:rPr>
              <w:t>Schwedische Agentur für internationale Entwicklungszusammenarbeit</w:t>
            </w:r>
          </w:p>
        </w:tc>
      </w:tr>
      <w:tr w:rsidR="001A109D" w:rsidRPr="001A109D" w:rsidTr="00EC46D6">
        <w:tc>
          <w:tcPr>
            <w:tcW w:w="1904" w:type="dxa"/>
          </w:tcPr>
          <w:p w:rsidR="001A109D" w:rsidRPr="001A109D" w:rsidRDefault="001A109D" w:rsidP="00EC46D6">
            <w:pPr>
              <w:jc w:val="left"/>
              <w:rPr>
                <w:lang w:val="de-DE"/>
              </w:rPr>
            </w:pPr>
            <w:r w:rsidRPr="001A109D">
              <w:rPr>
                <w:lang w:val="de-DE"/>
              </w:rPr>
              <w:t>TAIEX</w:t>
            </w:r>
          </w:p>
        </w:tc>
        <w:tc>
          <w:tcPr>
            <w:tcW w:w="7985" w:type="dxa"/>
          </w:tcPr>
          <w:p w:rsidR="001A109D" w:rsidRPr="001A109D" w:rsidRDefault="001A109D" w:rsidP="00EC46D6">
            <w:pPr>
              <w:jc w:val="left"/>
              <w:rPr>
                <w:lang w:val="de-DE"/>
              </w:rPr>
            </w:pPr>
            <w:r w:rsidRPr="001A109D">
              <w:rPr>
                <w:lang w:val="de-DE"/>
              </w:rPr>
              <w:t>Instrument für technische Hilfe und Informationsaustausch der Europäischen Union</w:t>
            </w:r>
          </w:p>
        </w:tc>
      </w:tr>
      <w:tr w:rsidR="001A109D" w:rsidRPr="001A109D" w:rsidTr="00EC46D6">
        <w:tc>
          <w:tcPr>
            <w:tcW w:w="1904" w:type="dxa"/>
          </w:tcPr>
          <w:p w:rsidR="001A109D" w:rsidRPr="001A109D" w:rsidRDefault="001A109D" w:rsidP="00EC46D6">
            <w:pPr>
              <w:jc w:val="left"/>
              <w:rPr>
                <w:szCs w:val="24"/>
                <w:lang w:val="de-DE"/>
              </w:rPr>
            </w:pPr>
            <w:r w:rsidRPr="001A109D">
              <w:rPr>
                <w:lang w:val="de-DE"/>
              </w:rPr>
              <w:t>TRIPS</w:t>
            </w:r>
          </w:p>
        </w:tc>
        <w:tc>
          <w:tcPr>
            <w:tcW w:w="7985" w:type="dxa"/>
          </w:tcPr>
          <w:p w:rsidR="001A109D" w:rsidRPr="001A109D" w:rsidRDefault="001A109D" w:rsidP="00EC46D6">
            <w:pPr>
              <w:jc w:val="left"/>
              <w:rPr>
                <w:szCs w:val="24"/>
                <w:lang w:val="de-DE"/>
              </w:rPr>
            </w:pPr>
            <w:r w:rsidRPr="001A109D">
              <w:rPr>
                <w:lang w:val="de-DE"/>
              </w:rPr>
              <w:t>Handelsbezogene Aspekte der Rechte des geistigen Eigentums</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UN</w:t>
            </w:r>
          </w:p>
        </w:tc>
        <w:tc>
          <w:tcPr>
            <w:tcW w:w="7985" w:type="dxa"/>
          </w:tcPr>
          <w:p w:rsidR="001A109D" w:rsidRPr="001A109D" w:rsidRDefault="001A109D" w:rsidP="00EC46D6">
            <w:pPr>
              <w:autoSpaceDE w:val="0"/>
              <w:autoSpaceDN w:val="0"/>
              <w:adjustRightInd w:val="0"/>
              <w:jc w:val="left"/>
              <w:rPr>
                <w:lang w:val="de-DE"/>
              </w:rPr>
            </w:pPr>
            <w:r w:rsidRPr="001A109D">
              <w:rPr>
                <w:lang w:val="de-DE"/>
              </w:rPr>
              <w:t>Vereinte Nationen</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UNDP</w:t>
            </w:r>
          </w:p>
        </w:tc>
        <w:tc>
          <w:tcPr>
            <w:tcW w:w="7985" w:type="dxa"/>
          </w:tcPr>
          <w:p w:rsidR="001A109D" w:rsidRPr="001A109D" w:rsidRDefault="001A109D" w:rsidP="00EC46D6">
            <w:pPr>
              <w:autoSpaceDE w:val="0"/>
              <w:autoSpaceDN w:val="0"/>
              <w:adjustRightInd w:val="0"/>
              <w:jc w:val="left"/>
              <w:rPr>
                <w:lang w:val="de-DE"/>
              </w:rPr>
            </w:pPr>
            <w:r w:rsidRPr="001A109D">
              <w:rPr>
                <w:lang w:val="de-DE"/>
              </w:rPr>
              <w:t>Entwicklungsprogramm der Vereinten Nationen</w:t>
            </w:r>
          </w:p>
        </w:tc>
      </w:tr>
      <w:tr w:rsidR="001A109D" w:rsidRPr="001A109D" w:rsidTr="00EC46D6">
        <w:tc>
          <w:tcPr>
            <w:tcW w:w="1904" w:type="dxa"/>
          </w:tcPr>
          <w:p w:rsidR="001A109D" w:rsidRPr="001A109D" w:rsidRDefault="001A109D" w:rsidP="00EC46D6">
            <w:pPr>
              <w:autoSpaceDE w:val="0"/>
              <w:autoSpaceDN w:val="0"/>
              <w:adjustRightInd w:val="0"/>
              <w:jc w:val="left"/>
              <w:rPr>
                <w:lang w:val="de-DE"/>
              </w:rPr>
            </w:pPr>
            <w:r w:rsidRPr="001A109D">
              <w:rPr>
                <w:lang w:val="de-DE"/>
              </w:rPr>
              <w:t>UNIDO</w:t>
            </w:r>
          </w:p>
        </w:tc>
        <w:tc>
          <w:tcPr>
            <w:tcW w:w="7985" w:type="dxa"/>
          </w:tcPr>
          <w:p w:rsidR="001A109D" w:rsidRPr="001A109D" w:rsidRDefault="001A109D" w:rsidP="00EC46D6">
            <w:pPr>
              <w:autoSpaceDE w:val="0"/>
              <w:autoSpaceDN w:val="0"/>
              <w:adjustRightInd w:val="0"/>
              <w:jc w:val="left"/>
              <w:rPr>
                <w:lang w:val="de-DE"/>
              </w:rPr>
            </w:pPr>
            <w:r w:rsidRPr="001A109D">
              <w:rPr>
                <w:lang w:val="de-DE"/>
              </w:rPr>
              <w:t>Organisation der Vereinten Nationen für industrielle Entwicklung</w:t>
            </w:r>
          </w:p>
        </w:tc>
      </w:tr>
      <w:tr w:rsidR="001A109D" w:rsidRPr="001A109D" w:rsidTr="00EC46D6">
        <w:tc>
          <w:tcPr>
            <w:tcW w:w="1904" w:type="dxa"/>
          </w:tcPr>
          <w:p w:rsidR="001A109D" w:rsidRPr="001A109D" w:rsidRDefault="001A109D" w:rsidP="00EC46D6">
            <w:pPr>
              <w:jc w:val="left"/>
              <w:rPr>
                <w:lang w:val="de-DE"/>
              </w:rPr>
            </w:pPr>
            <w:r w:rsidRPr="001A109D">
              <w:rPr>
                <w:lang w:val="de-DE"/>
              </w:rPr>
              <w:t>UNIGE</w:t>
            </w:r>
          </w:p>
        </w:tc>
        <w:tc>
          <w:tcPr>
            <w:tcW w:w="7985" w:type="dxa"/>
          </w:tcPr>
          <w:p w:rsidR="001A109D" w:rsidRPr="001A109D" w:rsidRDefault="001A109D" w:rsidP="00EC46D6">
            <w:pPr>
              <w:jc w:val="left"/>
              <w:rPr>
                <w:lang w:val="de-DE"/>
              </w:rPr>
            </w:pPr>
            <w:r w:rsidRPr="001A109D">
              <w:rPr>
                <w:lang w:val="de-DE"/>
              </w:rPr>
              <w:t>Universität Genf</w:t>
            </w:r>
          </w:p>
        </w:tc>
      </w:tr>
      <w:tr w:rsidR="001A109D" w:rsidRPr="001A109D" w:rsidTr="00EC46D6">
        <w:tc>
          <w:tcPr>
            <w:tcW w:w="1904" w:type="dxa"/>
          </w:tcPr>
          <w:p w:rsidR="001A109D" w:rsidRPr="001A109D" w:rsidRDefault="001A109D" w:rsidP="00EC46D6">
            <w:pPr>
              <w:jc w:val="left"/>
              <w:rPr>
                <w:lang w:val="de-DE"/>
              </w:rPr>
            </w:pPr>
            <w:r w:rsidRPr="001A109D">
              <w:rPr>
                <w:lang w:val="de-DE"/>
              </w:rPr>
              <w:t>USPTO</w:t>
            </w:r>
          </w:p>
        </w:tc>
        <w:tc>
          <w:tcPr>
            <w:tcW w:w="7985" w:type="dxa"/>
          </w:tcPr>
          <w:p w:rsidR="001A109D" w:rsidRPr="001A109D" w:rsidRDefault="001A109D" w:rsidP="00EC46D6">
            <w:pPr>
              <w:jc w:val="left"/>
              <w:rPr>
                <w:lang w:val="de-DE"/>
              </w:rPr>
            </w:pPr>
            <w:r w:rsidRPr="001A109D">
              <w:rPr>
                <w:lang w:val="de-DE"/>
              </w:rPr>
              <w:t>Patent- und Markenamt der Vereinigten Staaten</w:t>
            </w:r>
          </w:p>
        </w:tc>
      </w:tr>
      <w:tr w:rsidR="001A109D" w:rsidRPr="001A109D" w:rsidTr="00EC46D6">
        <w:tc>
          <w:tcPr>
            <w:tcW w:w="1904" w:type="dxa"/>
          </w:tcPr>
          <w:p w:rsidR="001A109D" w:rsidRPr="001A109D" w:rsidRDefault="001A109D" w:rsidP="00EC46D6">
            <w:pPr>
              <w:jc w:val="left"/>
              <w:rPr>
                <w:spacing w:val="-2"/>
                <w:lang w:val="de-DE"/>
              </w:rPr>
            </w:pPr>
            <w:r w:rsidRPr="001A109D">
              <w:rPr>
                <w:lang w:val="de-DE"/>
              </w:rPr>
              <w:t>WFO</w:t>
            </w:r>
          </w:p>
        </w:tc>
        <w:tc>
          <w:tcPr>
            <w:tcW w:w="7985" w:type="dxa"/>
          </w:tcPr>
          <w:p w:rsidR="001A109D" w:rsidRPr="001A109D" w:rsidRDefault="001A109D" w:rsidP="00EC46D6">
            <w:pPr>
              <w:jc w:val="left"/>
              <w:rPr>
                <w:spacing w:val="-2"/>
                <w:lang w:val="de-DE"/>
              </w:rPr>
            </w:pPr>
            <w:r w:rsidRPr="001A109D">
              <w:rPr>
                <w:lang w:val="de-DE"/>
              </w:rPr>
              <w:t>Weltbauernverband</w:t>
            </w:r>
          </w:p>
        </w:tc>
      </w:tr>
      <w:tr w:rsidR="001A109D" w:rsidRPr="001A109D" w:rsidTr="00EC46D6">
        <w:tc>
          <w:tcPr>
            <w:tcW w:w="1904" w:type="dxa"/>
          </w:tcPr>
          <w:p w:rsidR="001A109D" w:rsidRPr="001A109D" w:rsidRDefault="001A109D" w:rsidP="00EC46D6">
            <w:pPr>
              <w:jc w:val="left"/>
              <w:rPr>
                <w:snapToGrid w:val="0"/>
                <w:lang w:val="de-DE"/>
              </w:rPr>
            </w:pPr>
            <w:r w:rsidRPr="001A109D">
              <w:rPr>
                <w:lang w:val="de-DE"/>
              </w:rPr>
              <w:t>WIPO</w:t>
            </w:r>
          </w:p>
        </w:tc>
        <w:tc>
          <w:tcPr>
            <w:tcW w:w="7985" w:type="dxa"/>
          </w:tcPr>
          <w:p w:rsidR="001A109D" w:rsidRPr="001A109D" w:rsidRDefault="001A109D" w:rsidP="00EC46D6">
            <w:pPr>
              <w:jc w:val="left"/>
              <w:rPr>
                <w:snapToGrid w:val="0"/>
                <w:lang w:val="de-DE"/>
              </w:rPr>
            </w:pPr>
            <w:r w:rsidRPr="001A109D">
              <w:rPr>
                <w:lang w:val="de-DE"/>
              </w:rPr>
              <w:t>Weltorganisation für Geistiges Eigentum</w:t>
            </w:r>
          </w:p>
        </w:tc>
      </w:tr>
      <w:tr w:rsidR="001A109D" w:rsidRPr="001A109D" w:rsidTr="00EC46D6">
        <w:tc>
          <w:tcPr>
            <w:tcW w:w="1904" w:type="dxa"/>
          </w:tcPr>
          <w:p w:rsidR="001A109D" w:rsidRPr="001A109D" w:rsidRDefault="001A109D" w:rsidP="00EC46D6">
            <w:pPr>
              <w:jc w:val="left"/>
              <w:rPr>
                <w:lang w:val="de-DE"/>
              </w:rPr>
            </w:pPr>
            <w:r w:rsidRPr="001A109D">
              <w:rPr>
                <w:lang w:val="de-DE"/>
              </w:rPr>
              <w:t>WTO</w:t>
            </w:r>
          </w:p>
        </w:tc>
        <w:tc>
          <w:tcPr>
            <w:tcW w:w="7985" w:type="dxa"/>
          </w:tcPr>
          <w:p w:rsidR="001A109D" w:rsidRPr="001A109D" w:rsidRDefault="001A109D" w:rsidP="00EC46D6">
            <w:pPr>
              <w:jc w:val="left"/>
              <w:rPr>
                <w:lang w:val="de-DE"/>
              </w:rPr>
            </w:pPr>
            <w:r w:rsidRPr="001A109D">
              <w:rPr>
                <w:lang w:val="de-DE"/>
              </w:rPr>
              <w:t>Welthandelsorganisation</w:t>
            </w:r>
          </w:p>
        </w:tc>
      </w:tr>
    </w:tbl>
    <w:p w:rsidR="001A109D" w:rsidRPr="001A109D" w:rsidRDefault="001A109D" w:rsidP="001A109D">
      <w:pPr>
        <w:ind w:left="1418" w:hanging="1418"/>
        <w:jc w:val="right"/>
        <w:rPr>
          <w:lang w:val="de-DE"/>
        </w:rPr>
      </w:pPr>
    </w:p>
    <w:p w:rsidR="001A109D" w:rsidRPr="001A109D" w:rsidRDefault="001A109D" w:rsidP="001A109D">
      <w:pPr>
        <w:ind w:left="1418" w:hanging="1418"/>
        <w:jc w:val="right"/>
        <w:rPr>
          <w:lang w:val="de-DE"/>
        </w:rPr>
      </w:pPr>
    </w:p>
    <w:p w:rsidR="001A109D" w:rsidRPr="001A109D" w:rsidRDefault="001A109D" w:rsidP="001A109D">
      <w:pPr>
        <w:ind w:left="1418" w:hanging="1418"/>
        <w:jc w:val="right"/>
        <w:rPr>
          <w:lang w:val="de-DE"/>
        </w:rPr>
      </w:pPr>
    </w:p>
    <w:p w:rsidR="001A109D" w:rsidRPr="001A109D" w:rsidRDefault="001A109D" w:rsidP="001A109D">
      <w:pPr>
        <w:ind w:left="1418" w:hanging="1418"/>
        <w:jc w:val="right"/>
        <w:rPr>
          <w:lang w:val="de-DE"/>
        </w:rPr>
      </w:pPr>
      <w:r w:rsidRPr="001A109D">
        <w:rPr>
          <w:lang w:val="de-DE"/>
        </w:rPr>
        <w:t>[Ende des Anhangs und des Dokuments]</w:t>
      </w:r>
    </w:p>
    <w:p w:rsidR="003E36DC" w:rsidRPr="00EC62E9" w:rsidRDefault="003E36DC" w:rsidP="00E22964">
      <w:pPr>
        <w:jc w:val="left"/>
        <w:rPr>
          <w:lang w:val="de-DE"/>
        </w:rPr>
      </w:pPr>
    </w:p>
    <w:sectPr w:rsidR="003E36DC" w:rsidRPr="00EC62E9" w:rsidSect="001D1EDE">
      <w:headerReference w:type="default" r:id="rId7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DC" w:rsidRDefault="003E36DC" w:rsidP="006655D3">
      <w:r>
        <w:separator/>
      </w:r>
    </w:p>
  </w:endnote>
  <w:endnote w:type="continuationSeparator" w:id="0">
    <w:p w:rsidR="003E36DC" w:rsidRDefault="003E36DC" w:rsidP="006655D3">
      <w:r>
        <w:separator/>
      </w:r>
    </w:p>
  </w:endnote>
  <w:endnote w:type="continuationNotice" w:id="1">
    <w:p w:rsidR="003E36DC" w:rsidRPr="003E36DC" w:rsidRDefault="003E36DC" w:rsidP="003E36DC">
      <w:pPr>
        <w:pStyle w:val="Footer"/>
      </w:pPr>
    </w:p>
  </w:endnote>
  <w:endnote w:id="2">
    <w:p w:rsidR="003E36DC" w:rsidRPr="003E36DC" w:rsidRDefault="003E36DC" w:rsidP="003E36DC">
      <w:pPr>
        <w:spacing w:before="60"/>
        <w:ind w:left="284" w:hanging="284"/>
        <w:rPr>
          <w:sz w:val="16"/>
          <w:szCs w:val="16"/>
          <w:lang w:val="de-DE"/>
        </w:rPr>
      </w:pPr>
      <w:r w:rsidRPr="003E36DC">
        <w:rPr>
          <w:rStyle w:val="EndnoteReference"/>
          <w:lang w:val="de-DE"/>
        </w:rPr>
        <w:endnoteRef/>
      </w:r>
      <w:r w:rsidRPr="003E36DC">
        <w:rPr>
          <w:sz w:val="16"/>
          <w:szCs w:val="16"/>
          <w:lang w:val="de-DE"/>
        </w:rPr>
        <w:tab/>
        <w:t xml:space="preserve">In diesem Bericht in Website-Statistiken verwendete Begriffsbestimmungen: </w:t>
      </w:r>
    </w:p>
    <w:p w:rsidR="003E36DC" w:rsidRPr="003E36DC" w:rsidRDefault="003E36DC" w:rsidP="003E36DC">
      <w:pPr>
        <w:spacing w:before="60"/>
        <w:ind w:left="284"/>
        <w:rPr>
          <w:sz w:val="16"/>
          <w:szCs w:val="16"/>
          <w:lang w:val="de-DE"/>
        </w:rPr>
      </w:pPr>
      <w:r w:rsidRPr="003E36DC">
        <w:rPr>
          <w:sz w:val="16"/>
          <w:szCs w:val="16"/>
          <w:lang w:val="de-DE"/>
        </w:rPr>
        <w:t xml:space="preserve">-  „Nutzer“ sind Einzelpersonen, die innerhalb des ausgewählten Datumsbereichs mindestens eine Sitzung hatten. </w:t>
      </w:r>
    </w:p>
    <w:p w:rsidR="003E36DC" w:rsidRPr="003E36DC" w:rsidRDefault="003E36DC" w:rsidP="003E36DC">
      <w:pPr>
        <w:spacing w:before="60"/>
        <w:ind w:left="284"/>
        <w:rPr>
          <w:sz w:val="16"/>
          <w:szCs w:val="16"/>
          <w:lang w:val="de-DE"/>
        </w:rPr>
      </w:pPr>
      <w:r w:rsidRPr="003E36DC">
        <w:rPr>
          <w:sz w:val="16"/>
          <w:szCs w:val="16"/>
          <w:lang w:val="de-DE"/>
        </w:rPr>
        <w:t xml:space="preserve">-  Eine „Sitzung“ ist die Zeitspanne, in der ein Nutzer aktiv auf Ihrer Webseite unterwegs ist. „Sitzungen“ beziehen sich auf die Gesamtzahl an Sitzungen innerhalb des gegebenen Datumsbereichs. </w:t>
      </w:r>
    </w:p>
    <w:p w:rsidR="003E36DC" w:rsidRPr="003E36DC" w:rsidRDefault="003E36DC" w:rsidP="003E36DC">
      <w:pPr>
        <w:spacing w:before="60"/>
        <w:ind w:left="284"/>
        <w:rPr>
          <w:sz w:val="16"/>
          <w:szCs w:val="16"/>
          <w:lang w:val="de-DE"/>
        </w:rPr>
      </w:pPr>
      <w:r w:rsidRPr="003E36DC">
        <w:rPr>
          <w:sz w:val="16"/>
          <w:szCs w:val="16"/>
          <w:lang w:val="de-DE"/>
        </w:rPr>
        <w:t xml:space="preserve">-  „Einzelseitenaufrufe“ beziehen sich auf die Anzahl der Besuche, bei denen die spezifische Seite mindestens einmal aufgerufen wurde. </w:t>
      </w:r>
    </w:p>
    <w:p w:rsidR="003E36DC" w:rsidRPr="003E36DC" w:rsidRDefault="003E36DC" w:rsidP="003E36DC">
      <w:pPr>
        <w:spacing w:before="60"/>
        <w:ind w:left="284"/>
        <w:jc w:val="left"/>
        <w:rPr>
          <w:sz w:val="16"/>
          <w:szCs w:val="16"/>
          <w:lang w:val="de-DE"/>
        </w:rPr>
      </w:pPr>
      <w:r w:rsidRPr="003E36DC">
        <w:rPr>
          <w:sz w:val="16"/>
          <w:szCs w:val="16"/>
          <w:lang w:val="de-DE"/>
        </w:rPr>
        <w:t xml:space="preserve">-  „Seitenaufrufe“ bezieht sich auf die Gesamtzahl der Male, die eine Seite aufgerufen wurde. Wiederholte Aufrufe einer einzelnen Seite durch denselben Nutzer während derselben Sitzung werden gezählt. </w:t>
      </w:r>
    </w:p>
    <w:p w:rsidR="003E36DC" w:rsidRPr="003E36DC" w:rsidRDefault="003E36DC" w:rsidP="003E36DC">
      <w:pPr>
        <w:ind w:left="360" w:hanging="360"/>
        <w:rPr>
          <w:lang w:val="de-DE"/>
        </w:rPr>
      </w:pPr>
    </w:p>
    <w:p w:rsidR="003E36DC" w:rsidRDefault="003E36DC" w:rsidP="003E36DC">
      <w:pPr>
        <w:ind w:left="360" w:hanging="360"/>
      </w:pPr>
    </w:p>
    <w:p w:rsidR="003E36DC" w:rsidRDefault="003E36DC" w:rsidP="003E36DC">
      <w:pPr>
        <w:ind w:left="360" w:hanging="360"/>
      </w:pPr>
    </w:p>
    <w:p w:rsidR="003E36DC" w:rsidRDefault="003E36DC" w:rsidP="003E36DC">
      <w:pPr>
        <w:ind w:left="360" w:hanging="360"/>
        <w:jc w:val="right"/>
      </w:pPr>
      <w:r>
        <w:t>[</w:t>
      </w:r>
      <w:proofErr w:type="spellStart"/>
      <w:r>
        <w:t>Anhang</w:t>
      </w:r>
      <w:proofErr w:type="spellEnd"/>
      <w:r>
        <w:t xml:space="preserve"> </w:t>
      </w:r>
      <w:proofErr w:type="spellStart"/>
      <w:r>
        <w:t>folgt</w:t>
      </w:r>
      <w:proofErr w:type="spellEnd"/>
      <w:r>
        <w:t>]</w:t>
      </w:r>
    </w:p>
    <w:p w:rsidR="003E36DC" w:rsidRPr="00E22964" w:rsidRDefault="003E36DC" w:rsidP="003E36DC">
      <w:pPr>
        <w:rPr>
          <w:sz w:val="18"/>
          <w:szCs w:val="18"/>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DC" w:rsidRDefault="003E36DC" w:rsidP="00C95616">
      <w:pPr>
        <w:spacing w:before="120"/>
      </w:pPr>
      <w:r>
        <w:separator/>
      </w:r>
    </w:p>
  </w:footnote>
  <w:footnote w:type="continuationSeparator" w:id="0">
    <w:p w:rsidR="003E36DC" w:rsidRDefault="003E36DC" w:rsidP="006655D3">
      <w:r>
        <w:separator/>
      </w:r>
    </w:p>
  </w:footnote>
  <w:footnote w:type="continuationNotice" w:id="1">
    <w:p w:rsidR="003E36DC" w:rsidRPr="00A56FAA" w:rsidRDefault="003E36DC" w:rsidP="00A56FAA">
      <w:pPr>
        <w:pStyle w:val="Footer"/>
        <w:rPr>
          <w:szCs w:val="18"/>
        </w:rPr>
      </w:pPr>
    </w:p>
  </w:footnote>
  <w:footnote w:id="2">
    <w:p w:rsidR="003E36DC" w:rsidRDefault="003E36DC" w:rsidP="00C7561F">
      <w:pPr>
        <w:pStyle w:val="FootnoteText"/>
      </w:pPr>
      <w:r>
        <w:rPr>
          <w:rStyle w:val="FootnoteReference"/>
        </w:rPr>
        <w:t>*</w:t>
      </w:r>
      <w:r>
        <w:t xml:space="preserve"> </w:t>
      </w:r>
      <w:r>
        <w:tab/>
        <w:t xml:space="preserve">Die </w:t>
      </w:r>
      <w:proofErr w:type="spellStart"/>
      <w:r>
        <w:t>Teilnahme</w:t>
      </w:r>
      <w:proofErr w:type="spellEnd"/>
      <w:r>
        <w:t xml:space="preserve"> </w:t>
      </w:r>
      <w:proofErr w:type="spellStart"/>
      <w:r>
        <w:t>wird</w:t>
      </w:r>
      <w:proofErr w:type="spellEnd"/>
      <w:r>
        <w:t xml:space="preserve"> </w:t>
      </w:r>
      <w:proofErr w:type="spellStart"/>
      <w:r>
        <w:t>anhand</w:t>
      </w:r>
      <w:proofErr w:type="spellEnd"/>
      <w:r>
        <w:t xml:space="preserve"> der </w:t>
      </w:r>
      <w:proofErr w:type="spellStart"/>
      <w:r>
        <w:t>Zahl</w:t>
      </w:r>
      <w:proofErr w:type="spellEnd"/>
      <w:r>
        <w:t xml:space="preserve"> der </w:t>
      </w:r>
      <w:proofErr w:type="spellStart"/>
      <w:r>
        <w:t>teilnehmenden</w:t>
      </w:r>
      <w:proofErr w:type="spellEnd"/>
      <w:r>
        <w:t xml:space="preserve"> </w:t>
      </w:r>
      <w:proofErr w:type="spellStart"/>
      <w:r>
        <w:t>Mitglieder</w:t>
      </w:r>
      <w:proofErr w:type="spellEnd"/>
      <w:r>
        <w:t xml:space="preserve"> und </w:t>
      </w:r>
      <w:proofErr w:type="spellStart"/>
      <w:r>
        <w:t>Beobachterstaaten</w:t>
      </w:r>
      <w:proofErr w:type="spellEnd"/>
      <w:r>
        <w:t>/-</w:t>
      </w:r>
      <w:proofErr w:type="spellStart"/>
      <w:r>
        <w:t>organisaitonen</w:t>
      </w:r>
      <w:proofErr w:type="spellEnd"/>
      <w:r>
        <w:t xml:space="preserve"> </w:t>
      </w:r>
      <w:proofErr w:type="spellStart"/>
      <w:r>
        <w:t>statt</w:t>
      </w:r>
      <w:proofErr w:type="spellEnd"/>
      <w:r>
        <w:t xml:space="preserve"> </w:t>
      </w:r>
      <w:proofErr w:type="spellStart"/>
      <w:r>
        <w:t>anhand</w:t>
      </w:r>
      <w:proofErr w:type="spellEnd"/>
      <w:r>
        <w:t xml:space="preserve"> der </w:t>
      </w:r>
      <w:proofErr w:type="spellStart"/>
      <w:r>
        <w:t>Zahl</w:t>
      </w:r>
      <w:proofErr w:type="spellEnd"/>
      <w:r>
        <w:t xml:space="preserve"> der </w:t>
      </w:r>
      <w:proofErr w:type="spellStart"/>
      <w:r>
        <w:t>einzelnen</w:t>
      </w:r>
      <w:proofErr w:type="spellEnd"/>
      <w:r>
        <w:t xml:space="preserve"> </w:t>
      </w:r>
      <w:proofErr w:type="spellStart"/>
      <w:r>
        <w:t>Teilnehmer</w:t>
      </w:r>
      <w:proofErr w:type="spellEnd"/>
      <w:r>
        <w:t xml:space="preserve"> </w:t>
      </w:r>
      <w:proofErr w:type="spellStart"/>
      <w:r>
        <w:t>bewertet</w:t>
      </w:r>
      <w:proofErr w:type="spellEnd"/>
      <w:r>
        <w:t>.</w:t>
      </w:r>
    </w:p>
  </w:footnote>
  <w:footnote w:id="3">
    <w:p w:rsidR="003E36DC" w:rsidRPr="000D3241" w:rsidRDefault="003E36DC" w:rsidP="00624AF9">
      <w:pPr>
        <w:pStyle w:val="FootnoteText"/>
        <w:rPr>
          <w:lang w:val="de-DE"/>
        </w:rPr>
      </w:pPr>
      <w:r>
        <w:rPr>
          <w:rStyle w:val="FootnoteReference"/>
        </w:rPr>
        <w:footnoteRef/>
      </w:r>
      <w:r>
        <w:t xml:space="preserve"> </w:t>
      </w:r>
      <w:r w:rsidRPr="000D3241">
        <w:rPr>
          <w:lang w:val="de-DE"/>
        </w:rPr>
        <w:t>Erteilung detaillierter Anmerkungen zu Rechtsvorschriften und/oder Unterstützung bei der Ausarbeitung von Rechtsvorschriften.</w:t>
      </w:r>
    </w:p>
  </w:footnote>
  <w:footnote w:id="4">
    <w:p w:rsidR="003E36DC" w:rsidRPr="000D3241" w:rsidRDefault="003E36DC" w:rsidP="00624AF9">
      <w:pPr>
        <w:pStyle w:val="FootnoteText"/>
        <w:rPr>
          <w:lang w:val="de-DE"/>
        </w:rPr>
      </w:pPr>
      <w:r w:rsidRPr="000D3241">
        <w:rPr>
          <w:rStyle w:val="FootnoteReference"/>
          <w:lang w:val="de-DE"/>
        </w:rPr>
        <w:footnoteRef/>
      </w:r>
      <w:r w:rsidRPr="000D3241">
        <w:rPr>
          <w:lang w:val="de-DE"/>
        </w:rPr>
        <w:t xml:space="preserve"> Sitzungen und/oder Konsultationen zur Erteilung von Beratung und Information zu Fragen der Gesetzgebung.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DC" w:rsidRPr="00C5280D" w:rsidRDefault="003E36DC" w:rsidP="00EB048E">
    <w:pPr>
      <w:pStyle w:val="Header"/>
      <w:rPr>
        <w:rStyle w:val="PageNumber"/>
        <w:lang w:val="en-US"/>
      </w:rPr>
    </w:pPr>
    <w:r>
      <w:rPr>
        <w:rStyle w:val="PageNumber"/>
        <w:lang w:val="en-US"/>
      </w:rPr>
      <w:t>C/48/12</w:t>
    </w:r>
  </w:p>
  <w:p w:rsidR="003E36DC" w:rsidRPr="00C5280D" w:rsidRDefault="003E36DC"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E086F">
      <w:rPr>
        <w:rStyle w:val="PageNumber"/>
        <w:noProof/>
        <w:lang w:val="en-US"/>
      </w:rPr>
      <w:t>43</w:t>
    </w:r>
    <w:r w:rsidRPr="00C5280D">
      <w:rPr>
        <w:rStyle w:val="PageNumber"/>
        <w:lang w:val="en-US"/>
      </w:rPr>
      <w:fldChar w:fldCharType="end"/>
    </w:r>
  </w:p>
  <w:p w:rsidR="003E36DC" w:rsidRDefault="003E3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FD4C9E" w:rsidP="00EB048E">
    <w:pPr>
      <w:pStyle w:val="Header"/>
      <w:rPr>
        <w:rStyle w:val="PageNumber"/>
        <w:lang w:val="en-US"/>
      </w:rPr>
    </w:pPr>
    <w:r>
      <w:rPr>
        <w:rStyle w:val="PageNumber"/>
        <w:lang w:val="en-US"/>
      </w:rPr>
      <w:t>C/48/</w:t>
    </w:r>
    <w:r w:rsidR="001A109D">
      <w:rPr>
        <w:rStyle w:val="PageNumber"/>
        <w:lang w:val="en-US"/>
      </w:rPr>
      <w:t>1</w:t>
    </w:r>
    <w:r>
      <w:rPr>
        <w:rStyle w:val="PageNumber"/>
        <w:lang w:val="en-US"/>
      </w:rPr>
      <w:t>2</w:t>
    </w:r>
  </w:p>
  <w:p w:rsidR="003024CB" w:rsidRPr="00C5280D" w:rsidRDefault="00FD4C9E" w:rsidP="00EB048E">
    <w:pPr>
      <w:pStyle w:val="Header"/>
      <w:rPr>
        <w:lang w:val="en-US"/>
      </w:rPr>
    </w:pPr>
    <w:proofErr w:type="spellStart"/>
    <w:r>
      <w:rPr>
        <w:lang w:val="en-US"/>
      </w:rPr>
      <w:t>Anhang</w:t>
    </w:r>
    <w:proofErr w:type="spellEnd"/>
    <w:r>
      <w:rPr>
        <w:lang w:val="en-US"/>
      </w:rPr>
      <w:t xml:space="preserv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E086F">
      <w:rPr>
        <w:rStyle w:val="PageNumber"/>
        <w:noProof/>
        <w:lang w:val="en-US"/>
      </w:rPr>
      <w:t>2</w:t>
    </w:r>
    <w:r w:rsidRPr="00C5280D">
      <w:rPr>
        <w:rStyle w:val="PageNumber"/>
        <w:lang w:val="en-US"/>
      </w:rPr>
      <w:fldChar w:fldCharType="end"/>
    </w:r>
  </w:p>
  <w:p w:rsidR="003024CB" w:rsidRDefault="001E08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5.75pt;visibility:visibl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numPicBullet w:numPicBulletId="1">
    <w:pict>
      <v:shape id="_x0000_i1057" type="#_x0000_t75" style="width:9.75pt;height:8.25pt;visibility:visible" o:bullet="t">
        <v:imagedata r:id="rId2" o:title=""/>
      </v:shape>
    </w:pict>
  </w:numPicBullet>
  <w:numPicBullet w:numPicBulletId="2">
    <w:pict>
      <v:shape id="_x0000_i1058" type="#_x0000_t75" style="width:9.75pt;height:8.25pt;visibility:visible" o:bullet="t">
        <v:imagedata r:id="rId3" o:title=""/>
      </v:shape>
    </w:pict>
  </w:numPicBullet>
  <w:numPicBullet w:numPicBulletId="3">
    <w:pict>
      <v:shape id="_x0000_i1059" type="#_x0000_t75" style="width:9.75pt;height:8.25pt;visibility:visible" o:bullet="t">
        <v:imagedata r:id="rId4" o:title=""/>
      </v:shape>
    </w:pict>
  </w:numPicBullet>
  <w:numPicBullet w:numPicBulletId="4">
    <w:pict>
      <v:shape id="_x0000_i1060" type="#_x0000_t75" style="width:41.25pt;height:37.5pt;visibility:visible" o:bordertopcolor="black" o:borderleftcolor="black" o:borderbottomcolor="black" o:borderrightcolor="black" o:bullet="t">
        <v:imagedata r:id="rId5" o:title=""/>
        <w10:bordertop type="single" width="6"/>
        <w10:borderleft type="single" width="6"/>
        <w10:borderbottom type="single" width="6"/>
        <w10:borderright type="single" width="6"/>
      </v:shape>
    </w:pict>
  </w:numPicBullet>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2">
    <w:nsid w:val="05AD766C"/>
    <w:multiLevelType w:val="hybridMultilevel"/>
    <w:tmpl w:val="E3804D84"/>
    <w:lvl w:ilvl="0" w:tplc="4DD8D460">
      <w:start w:val="1"/>
      <w:numFmt w:val="bullet"/>
      <w:lvlText w:val=""/>
      <w:lvlPicBulletId w:val="3"/>
      <w:lvlJc w:val="left"/>
      <w:pPr>
        <w:tabs>
          <w:tab w:val="num" w:pos="720"/>
        </w:tabs>
        <w:ind w:left="720" w:hanging="360"/>
      </w:pPr>
      <w:rPr>
        <w:rFonts w:ascii="Symbol" w:hAnsi="Symbol" w:hint="default"/>
      </w:rPr>
    </w:lvl>
    <w:lvl w:ilvl="1" w:tplc="0B4CC3B6" w:tentative="1">
      <w:start w:val="1"/>
      <w:numFmt w:val="bullet"/>
      <w:lvlText w:val=""/>
      <w:lvlJc w:val="left"/>
      <w:pPr>
        <w:tabs>
          <w:tab w:val="num" w:pos="1440"/>
        </w:tabs>
        <w:ind w:left="1440" w:hanging="360"/>
      </w:pPr>
      <w:rPr>
        <w:rFonts w:ascii="Symbol" w:hAnsi="Symbol" w:hint="default"/>
      </w:rPr>
    </w:lvl>
    <w:lvl w:ilvl="2" w:tplc="A8CE516E" w:tentative="1">
      <w:start w:val="1"/>
      <w:numFmt w:val="bullet"/>
      <w:lvlText w:val=""/>
      <w:lvlJc w:val="left"/>
      <w:pPr>
        <w:tabs>
          <w:tab w:val="num" w:pos="2160"/>
        </w:tabs>
        <w:ind w:left="2160" w:hanging="360"/>
      </w:pPr>
      <w:rPr>
        <w:rFonts w:ascii="Symbol" w:hAnsi="Symbol" w:hint="default"/>
      </w:rPr>
    </w:lvl>
    <w:lvl w:ilvl="3" w:tplc="77883518" w:tentative="1">
      <w:start w:val="1"/>
      <w:numFmt w:val="bullet"/>
      <w:lvlText w:val=""/>
      <w:lvlJc w:val="left"/>
      <w:pPr>
        <w:tabs>
          <w:tab w:val="num" w:pos="2880"/>
        </w:tabs>
        <w:ind w:left="2880" w:hanging="360"/>
      </w:pPr>
      <w:rPr>
        <w:rFonts w:ascii="Symbol" w:hAnsi="Symbol" w:hint="default"/>
      </w:rPr>
    </w:lvl>
    <w:lvl w:ilvl="4" w:tplc="5A8C2D86" w:tentative="1">
      <w:start w:val="1"/>
      <w:numFmt w:val="bullet"/>
      <w:lvlText w:val=""/>
      <w:lvlJc w:val="left"/>
      <w:pPr>
        <w:tabs>
          <w:tab w:val="num" w:pos="3600"/>
        </w:tabs>
        <w:ind w:left="3600" w:hanging="360"/>
      </w:pPr>
      <w:rPr>
        <w:rFonts w:ascii="Symbol" w:hAnsi="Symbol" w:hint="default"/>
      </w:rPr>
    </w:lvl>
    <w:lvl w:ilvl="5" w:tplc="BA0CFB12" w:tentative="1">
      <w:start w:val="1"/>
      <w:numFmt w:val="bullet"/>
      <w:lvlText w:val=""/>
      <w:lvlJc w:val="left"/>
      <w:pPr>
        <w:tabs>
          <w:tab w:val="num" w:pos="4320"/>
        </w:tabs>
        <w:ind w:left="4320" w:hanging="360"/>
      </w:pPr>
      <w:rPr>
        <w:rFonts w:ascii="Symbol" w:hAnsi="Symbol" w:hint="default"/>
      </w:rPr>
    </w:lvl>
    <w:lvl w:ilvl="6" w:tplc="88406D84" w:tentative="1">
      <w:start w:val="1"/>
      <w:numFmt w:val="bullet"/>
      <w:lvlText w:val=""/>
      <w:lvlJc w:val="left"/>
      <w:pPr>
        <w:tabs>
          <w:tab w:val="num" w:pos="5040"/>
        </w:tabs>
        <w:ind w:left="5040" w:hanging="360"/>
      </w:pPr>
      <w:rPr>
        <w:rFonts w:ascii="Symbol" w:hAnsi="Symbol" w:hint="default"/>
      </w:rPr>
    </w:lvl>
    <w:lvl w:ilvl="7" w:tplc="D8804CA0" w:tentative="1">
      <w:start w:val="1"/>
      <w:numFmt w:val="bullet"/>
      <w:lvlText w:val=""/>
      <w:lvlJc w:val="left"/>
      <w:pPr>
        <w:tabs>
          <w:tab w:val="num" w:pos="5760"/>
        </w:tabs>
        <w:ind w:left="5760" w:hanging="360"/>
      </w:pPr>
      <w:rPr>
        <w:rFonts w:ascii="Symbol" w:hAnsi="Symbol" w:hint="default"/>
      </w:rPr>
    </w:lvl>
    <w:lvl w:ilvl="8" w:tplc="F6CCB4CA" w:tentative="1">
      <w:start w:val="1"/>
      <w:numFmt w:val="bullet"/>
      <w:lvlText w:val=""/>
      <w:lvlJc w:val="left"/>
      <w:pPr>
        <w:tabs>
          <w:tab w:val="num" w:pos="6480"/>
        </w:tabs>
        <w:ind w:left="6480" w:hanging="360"/>
      </w:pPr>
      <w:rPr>
        <w:rFonts w:ascii="Symbol" w:hAnsi="Symbol" w:hint="default"/>
      </w:rPr>
    </w:lvl>
  </w:abstractNum>
  <w:abstractNum w:abstractNumId="3">
    <w:nsid w:val="0BC777B1"/>
    <w:multiLevelType w:val="hybridMultilevel"/>
    <w:tmpl w:val="0682E6B4"/>
    <w:lvl w:ilvl="0" w:tplc="1488F3B0">
      <w:start w:val="1"/>
      <w:numFmt w:val="bullet"/>
      <w:lvlText w:val=""/>
      <w:lvlPicBulletId w:val="0"/>
      <w:lvlJc w:val="left"/>
      <w:pPr>
        <w:tabs>
          <w:tab w:val="num" w:pos="720"/>
        </w:tabs>
        <w:ind w:left="720" w:hanging="360"/>
      </w:pPr>
      <w:rPr>
        <w:rFonts w:ascii="Symbol" w:hAnsi="Symbol" w:hint="default"/>
      </w:rPr>
    </w:lvl>
    <w:lvl w:ilvl="1" w:tplc="4DC85768" w:tentative="1">
      <w:start w:val="1"/>
      <w:numFmt w:val="bullet"/>
      <w:lvlText w:val=""/>
      <w:lvlJc w:val="left"/>
      <w:pPr>
        <w:tabs>
          <w:tab w:val="num" w:pos="1440"/>
        </w:tabs>
        <w:ind w:left="1440" w:hanging="360"/>
      </w:pPr>
      <w:rPr>
        <w:rFonts w:ascii="Symbol" w:hAnsi="Symbol" w:hint="default"/>
      </w:rPr>
    </w:lvl>
    <w:lvl w:ilvl="2" w:tplc="A65CC774" w:tentative="1">
      <w:start w:val="1"/>
      <w:numFmt w:val="bullet"/>
      <w:lvlText w:val=""/>
      <w:lvlJc w:val="left"/>
      <w:pPr>
        <w:tabs>
          <w:tab w:val="num" w:pos="2160"/>
        </w:tabs>
        <w:ind w:left="2160" w:hanging="360"/>
      </w:pPr>
      <w:rPr>
        <w:rFonts w:ascii="Symbol" w:hAnsi="Symbol" w:hint="default"/>
      </w:rPr>
    </w:lvl>
    <w:lvl w:ilvl="3" w:tplc="327E52D8" w:tentative="1">
      <w:start w:val="1"/>
      <w:numFmt w:val="bullet"/>
      <w:lvlText w:val=""/>
      <w:lvlJc w:val="left"/>
      <w:pPr>
        <w:tabs>
          <w:tab w:val="num" w:pos="2880"/>
        </w:tabs>
        <w:ind w:left="2880" w:hanging="360"/>
      </w:pPr>
      <w:rPr>
        <w:rFonts w:ascii="Symbol" w:hAnsi="Symbol" w:hint="default"/>
      </w:rPr>
    </w:lvl>
    <w:lvl w:ilvl="4" w:tplc="7A28CA2C" w:tentative="1">
      <w:start w:val="1"/>
      <w:numFmt w:val="bullet"/>
      <w:lvlText w:val=""/>
      <w:lvlJc w:val="left"/>
      <w:pPr>
        <w:tabs>
          <w:tab w:val="num" w:pos="3600"/>
        </w:tabs>
        <w:ind w:left="3600" w:hanging="360"/>
      </w:pPr>
      <w:rPr>
        <w:rFonts w:ascii="Symbol" w:hAnsi="Symbol" w:hint="default"/>
      </w:rPr>
    </w:lvl>
    <w:lvl w:ilvl="5" w:tplc="7B307220" w:tentative="1">
      <w:start w:val="1"/>
      <w:numFmt w:val="bullet"/>
      <w:lvlText w:val=""/>
      <w:lvlJc w:val="left"/>
      <w:pPr>
        <w:tabs>
          <w:tab w:val="num" w:pos="4320"/>
        </w:tabs>
        <w:ind w:left="4320" w:hanging="360"/>
      </w:pPr>
      <w:rPr>
        <w:rFonts w:ascii="Symbol" w:hAnsi="Symbol" w:hint="default"/>
      </w:rPr>
    </w:lvl>
    <w:lvl w:ilvl="6" w:tplc="A03EE0F0" w:tentative="1">
      <w:start w:val="1"/>
      <w:numFmt w:val="bullet"/>
      <w:lvlText w:val=""/>
      <w:lvlJc w:val="left"/>
      <w:pPr>
        <w:tabs>
          <w:tab w:val="num" w:pos="5040"/>
        </w:tabs>
        <w:ind w:left="5040" w:hanging="360"/>
      </w:pPr>
      <w:rPr>
        <w:rFonts w:ascii="Symbol" w:hAnsi="Symbol" w:hint="default"/>
      </w:rPr>
    </w:lvl>
    <w:lvl w:ilvl="7" w:tplc="D25E1604" w:tentative="1">
      <w:start w:val="1"/>
      <w:numFmt w:val="bullet"/>
      <w:lvlText w:val=""/>
      <w:lvlJc w:val="left"/>
      <w:pPr>
        <w:tabs>
          <w:tab w:val="num" w:pos="5760"/>
        </w:tabs>
        <w:ind w:left="5760" w:hanging="360"/>
      </w:pPr>
      <w:rPr>
        <w:rFonts w:ascii="Symbol" w:hAnsi="Symbol" w:hint="default"/>
      </w:rPr>
    </w:lvl>
    <w:lvl w:ilvl="8" w:tplc="D63A0452" w:tentative="1">
      <w:start w:val="1"/>
      <w:numFmt w:val="bullet"/>
      <w:lvlText w:val=""/>
      <w:lvlJc w:val="left"/>
      <w:pPr>
        <w:tabs>
          <w:tab w:val="num" w:pos="6480"/>
        </w:tabs>
        <w:ind w:left="6480" w:hanging="360"/>
      </w:pPr>
      <w:rPr>
        <w:rFonts w:ascii="Symbol" w:hAnsi="Symbol" w:hint="default"/>
      </w:rPr>
    </w:lvl>
  </w:abstractNum>
  <w:abstractNum w:abstractNumId="4">
    <w:nsid w:val="0EBC7856"/>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83AAD"/>
    <w:multiLevelType w:val="hybridMultilevel"/>
    <w:tmpl w:val="9092C1E6"/>
    <w:lvl w:ilvl="0" w:tplc="04090001">
      <w:start w:val="1"/>
      <w:numFmt w:val="bullet"/>
      <w:lvlText w:val=""/>
      <w:lvlJc w:val="left"/>
      <w:pPr>
        <w:ind w:left="720" w:hanging="360"/>
      </w:pPr>
      <w:rPr>
        <w:rFonts w:ascii="Symbol" w:hAnsi="Symbol" w:hint="default"/>
      </w:rPr>
    </w:lvl>
    <w:lvl w:ilvl="1" w:tplc="041859DE">
      <w:start w:val="1"/>
      <w:numFmt w:val="bullet"/>
      <w:lvlText w:val="-"/>
      <w:lvlJc w:val="left"/>
      <w:pPr>
        <w:ind w:left="1440" w:hanging="360"/>
      </w:pPr>
      <w:rPr>
        <w:rFonts w:ascii="Arial" w:hAnsi="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21783"/>
    <w:multiLevelType w:val="hybridMultilevel"/>
    <w:tmpl w:val="70E2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B053B"/>
    <w:multiLevelType w:val="hybridMultilevel"/>
    <w:tmpl w:val="C01C9938"/>
    <w:lvl w:ilvl="0" w:tplc="73E6ACF0">
      <w:start w:val="1"/>
      <w:numFmt w:val="bullet"/>
      <w:lvlText w:val=""/>
      <w:lvlPicBulletId w:val="2"/>
      <w:lvlJc w:val="left"/>
      <w:pPr>
        <w:tabs>
          <w:tab w:val="num" w:pos="720"/>
        </w:tabs>
        <w:ind w:left="720" w:hanging="360"/>
      </w:pPr>
      <w:rPr>
        <w:rFonts w:ascii="Symbol" w:hAnsi="Symbol" w:hint="default"/>
      </w:rPr>
    </w:lvl>
    <w:lvl w:ilvl="1" w:tplc="DD20BDE8" w:tentative="1">
      <w:start w:val="1"/>
      <w:numFmt w:val="bullet"/>
      <w:lvlText w:val=""/>
      <w:lvlJc w:val="left"/>
      <w:pPr>
        <w:tabs>
          <w:tab w:val="num" w:pos="1440"/>
        </w:tabs>
        <w:ind w:left="1440" w:hanging="360"/>
      </w:pPr>
      <w:rPr>
        <w:rFonts w:ascii="Symbol" w:hAnsi="Symbol" w:hint="default"/>
      </w:rPr>
    </w:lvl>
    <w:lvl w:ilvl="2" w:tplc="06903E0E" w:tentative="1">
      <w:start w:val="1"/>
      <w:numFmt w:val="bullet"/>
      <w:lvlText w:val=""/>
      <w:lvlJc w:val="left"/>
      <w:pPr>
        <w:tabs>
          <w:tab w:val="num" w:pos="2160"/>
        </w:tabs>
        <w:ind w:left="2160" w:hanging="360"/>
      </w:pPr>
      <w:rPr>
        <w:rFonts w:ascii="Symbol" w:hAnsi="Symbol" w:hint="default"/>
      </w:rPr>
    </w:lvl>
    <w:lvl w:ilvl="3" w:tplc="FE4682F2" w:tentative="1">
      <w:start w:val="1"/>
      <w:numFmt w:val="bullet"/>
      <w:lvlText w:val=""/>
      <w:lvlJc w:val="left"/>
      <w:pPr>
        <w:tabs>
          <w:tab w:val="num" w:pos="2880"/>
        </w:tabs>
        <w:ind w:left="2880" w:hanging="360"/>
      </w:pPr>
      <w:rPr>
        <w:rFonts w:ascii="Symbol" w:hAnsi="Symbol" w:hint="default"/>
      </w:rPr>
    </w:lvl>
    <w:lvl w:ilvl="4" w:tplc="1BBEB784" w:tentative="1">
      <w:start w:val="1"/>
      <w:numFmt w:val="bullet"/>
      <w:lvlText w:val=""/>
      <w:lvlJc w:val="left"/>
      <w:pPr>
        <w:tabs>
          <w:tab w:val="num" w:pos="3600"/>
        </w:tabs>
        <w:ind w:left="3600" w:hanging="360"/>
      </w:pPr>
      <w:rPr>
        <w:rFonts w:ascii="Symbol" w:hAnsi="Symbol" w:hint="default"/>
      </w:rPr>
    </w:lvl>
    <w:lvl w:ilvl="5" w:tplc="B50AD4D8" w:tentative="1">
      <w:start w:val="1"/>
      <w:numFmt w:val="bullet"/>
      <w:lvlText w:val=""/>
      <w:lvlJc w:val="left"/>
      <w:pPr>
        <w:tabs>
          <w:tab w:val="num" w:pos="4320"/>
        </w:tabs>
        <w:ind w:left="4320" w:hanging="360"/>
      </w:pPr>
      <w:rPr>
        <w:rFonts w:ascii="Symbol" w:hAnsi="Symbol" w:hint="default"/>
      </w:rPr>
    </w:lvl>
    <w:lvl w:ilvl="6" w:tplc="0FC42C20" w:tentative="1">
      <w:start w:val="1"/>
      <w:numFmt w:val="bullet"/>
      <w:lvlText w:val=""/>
      <w:lvlJc w:val="left"/>
      <w:pPr>
        <w:tabs>
          <w:tab w:val="num" w:pos="5040"/>
        </w:tabs>
        <w:ind w:left="5040" w:hanging="360"/>
      </w:pPr>
      <w:rPr>
        <w:rFonts w:ascii="Symbol" w:hAnsi="Symbol" w:hint="default"/>
      </w:rPr>
    </w:lvl>
    <w:lvl w:ilvl="7" w:tplc="1478C54C" w:tentative="1">
      <w:start w:val="1"/>
      <w:numFmt w:val="bullet"/>
      <w:lvlText w:val=""/>
      <w:lvlJc w:val="left"/>
      <w:pPr>
        <w:tabs>
          <w:tab w:val="num" w:pos="5760"/>
        </w:tabs>
        <w:ind w:left="5760" w:hanging="360"/>
      </w:pPr>
      <w:rPr>
        <w:rFonts w:ascii="Symbol" w:hAnsi="Symbol" w:hint="default"/>
      </w:rPr>
    </w:lvl>
    <w:lvl w:ilvl="8" w:tplc="86C0E376" w:tentative="1">
      <w:start w:val="1"/>
      <w:numFmt w:val="bullet"/>
      <w:lvlText w:val=""/>
      <w:lvlJc w:val="left"/>
      <w:pPr>
        <w:tabs>
          <w:tab w:val="num" w:pos="6480"/>
        </w:tabs>
        <w:ind w:left="6480" w:hanging="360"/>
      </w:pPr>
      <w:rPr>
        <w:rFonts w:ascii="Symbol" w:hAnsi="Symbol" w:hint="default"/>
      </w:rPr>
    </w:lvl>
  </w:abstractNum>
  <w:abstractNum w:abstractNumId="9">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11">
    <w:nsid w:val="43F841CF"/>
    <w:multiLevelType w:val="hybridMultilevel"/>
    <w:tmpl w:val="B00E8AD8"/>
    <w:lvl w:ilvl="0" w:tplc="007287EA">
      <w:start w:val="1"/>
      <w:numFmt w:val="bullet"/>
      <w:lvlText w:val=""/>
      <w:lvlPicBulletId w:val="0"/>
      <w:lvlJc w:val="left"/>
      <w:pPr>
        <w:tabs>
          <w:tab w:val="num" w:pos="720"/>
        </w:tabs>
        <w:ind w:left="720" w:hanging="360"/>
      </w:pPr>
      <w:rPr>
        <w:rFonts w:ascii="Symbol" w:hAnsi="Symbol" w:hint="default"/>
      </w:rPr>
    </w:lvl>
    <w:lvl w:ilvl="1" w:tplc="8B105746" w:tentative="1">
      <w:start w:val="1"/>
      <w:numFmt w:val="bullet"/>
      <w:lvlText w:val=""/>
      <w:lvlJc w:val="left"/>
      <w:pPr>
        <w:tabs>
          <w:tab w:val="num" w:pos="1440"/>
        </w:tabs>
        <w:ind w:left="1440" w:hanging="360"/>
      </w:pPr>
      <w:rPr>
        <w:rFonts w:ascii="Symbol" w:hAnsi="Symbol" w:hint="default"/>
      </w:rPr>
    </w:lvl>
    <w:lvl w:ilvl="2" w:tplc="9F7E0AF4" w:tentative="1">
      <w:start w:val="1"/>
      <w:numFmt w:val="bullet"/>
      <w:lvlText w:val=""/>
      <w:lvlJc w:val="left"/>
      <w:pPr>
        <w:tabs>
          <w:tab w:val="num" w:pos="2160"/>
        </w:tabs>
        <w:ind w:left="2160" w:hanging="360"/>
      </w:pPr>
      <w:rPr>
        <w:rFonts w:ascii="Symbol" w:hAnsi="Symbol" w:hint="default"/>
      </w:rPr>
    </w:lvl>
    <w:lvl w:ilvl="3" w:tplc="B8A8BADA" w:tentative="1">
      <w:start w:val="1"/>
      <w:numFmt w:val="bullet"/>
      <w:lvlText w:val=""/>
      <w:lvlJc w:val="left"/>
      <w:pPr>
        <w:tabs>
          <w:tab w:val="num" w:pos="2880"/>
        </w:tabs>
        <w:ind w:left="2880" w:hanging="360"/>
      </w:pPr>
      <w:rPr>
        <w:rFonts w:ascii="Symbol" w:hAnsi="Symbol" w:hint="default"/>
      </w:rPr>
    </w:lvl>
    <w:lvl w:ilvl="4" w:tplc="D5C45276" w:tentative="1">
      <w:start w:val="1"/>
      <w:numFmt w:val="bullet"/>
      <w:lvlText w:val=""/>
      <w:lvlJc w:val="left"/>
      <w:pPr>
        <w:tabs>
          <w:tab w:val="num" w:pos="3600"/>
        </w:tabs>
        <w:ind w:left="3600" w:hanging="360"/>
      </w:pPr>
      <w:rPr>
        <w:rFonts w:ascii="Symbol" w:hAnsi="Symbol" w:hint="default"/>
      </w:rPr>
    </w:lvl>
    <w:lvl w:ilvl="5" w:tplc="DC982C1E" w:tentative="1">
      <w:start w:val="1"/>
      <w:numFmt w:val="bullet"/>
      <w:lvlText w:val=""/>
      <w:lvlJc w:val="left"/>
      <w:pPr>
        <w:tabs>
          <w:tab w:val="num" w:pos="4320"/>
        </w:tabs>
        <w:ind w:left="4320" w:hanging="360"/>
      </w:pPr>
      <w:rPr>
        <w:rFonts w:ascii="Symbol" w:hAnsi="Symbol" w:hint="default"/>
      </w:rPr>
    </w:lvl>
    <w:lvl w:ilvl="6" w:tplc="DB002788" w:tentative="1">
      <w:start w:val="1"/>
      <w:numFmt w:val="bullet"/>
      <w:lvlText w:val=""/>
      <w:lvlJc w:val="left"/>
      <w:pPr>
        <w:tabs>
          <w:tab w:val="num" w:pos="5040"/>
        </w:tabs>
        <w:ind w:left="5040" w:hanging="360"/>
      </w:pPr>
      <w:rPr>
        <w:rFonts w:ascii="Symbol" w:hAnsi="Symbol" w:hint="default"/>
      </w:rPr>
    </w:lvl>
    <w:lvl w:ilvl="7" w:tplc="E4DA33E4" w:tentative="1">
      <w:start w:val="1"/>
      <w:numFmt w:val="bullet"/>
      <w:lvlText w:val=""/>
      <w:lvlJc w:val="left"/>
      <w:pPr>
        <w:tabs>
          <w:tab w:val="num" w:pos="5760"/>
        </w:tabs>
        <w:ind w:left="5760" w:hanging="360"/>
      </w:pPr>
      <w:rPr>
        <w:rFonts w:ascii="Symbol" w:hAnsi="Symbol" w:hint="default"/>
      </w:rPr>
    </w:lvl>
    <w:lvl w:ilvl="8" w:tplc="37AE9DBC" w:tentative="1">
      <w:start w:val="1"/>
      <w:numFmt w:val="bullet"/>
      <w:lvlText w:val=""/>
      <w:lvlJc w:val="left"/>
      <w:pPr>
        <w:tabs>
          <w:tab w:val="num" w:pos="6480"/>
        </w:tabs>
        <w:ind w:left="6480" w:hanging="360"/>
      </w:pPr>
      <w:rPr>
        <w:rFonts w:ascii="Symbol" w:hAnsi="Symbol" w:hint="default"/>
      </w:rPr>
    </w:lvl>
  </w:abstractNum>
  <w:abstractNum w:abstractNumId="12">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DCD"/>
    <w:multiLevelType w:val="hybridMultilevel"/>
    <w:tmpl w:val="042A3442"/>
    <w:lvl w:ilvl="0" w:tplc="4784E3B6">
      <w:start w:val="1"/>
      <w:numFmt w:val="bullet"/>
      <w:lvlText w:val=""/>
      <w:lvlPicBulletId w:val="1"/>
      <w:lvlJc w:val="left"/>
      <w:pPr>
        <w:tabs>
          <w:tab w:val="num" w:pos="720"/>
        </w:tabs>
        <w:ind w:left="720" w:hanging="360"/>
      </w:pPr>
      <w:rPr>
        <w:rFonts w:ascii="Symbol" w:hAnsi="Symbol" w:hint="default"/>
      </w:rPr>
    </w:lvl>
    <w:lvl w:ilvl="1" w:tplc="E2629016" w:tentative="1">
      <w:start w:val="1"/>
      <w:numFmt w:val="bullet"/>
      <w:lvlText w:val=""/>
      <w:lvlJc w:val="left"/>
      <w:pPr>
        <w:tabs>
          <w:tab w:val="num" w:pos="1440"/>
        </w:tabs>
        <w:ind w:left="1440" w:hanging="360"/>
      </w:pPr>
      <w:rPr>
        <w:rFonts w:ascii="Symbol" w:hAnsi="Symbol" w:hint="default"/>
      </w:rPr>
    </w:lvl>
    <w:lvl w:ilvl="2" w:tplc="203CE5FC" w:tentative="1">
      <w:start w:val="1"/>
      <w:numFmt w:val="bullet"/>
      <w:lvlText w:val=""/>
      <w:lvlJc w:val="left"/>
      <w:pPr>
        <w:tabs>
          <w:tab w:val="num" w:pos="2160"/>
        </w:tabs>
        <w:ind w:left="2160" w:hanging="360"/>
      </w:pPr>
      <w:rPr>
        <w:rFonts w:ascii="Symbol" w:hAnsi="Symbol" w:hint="default"/>
      </w:rPr>
    </w:lvl>
    <w:lvl w:ilvl="3" w:tplc="B4CA4ECE" w:tentative="1">
      <w:start w:val="1"/>
      <w:numFmt w:val="bullet"/>
      <w:lvlText w:val=""/>
      <w:lvlJc w:val="left"/>
      <w:pPr>
        <w:tabs>
          <w:tab w:val="num" w:pos="2880"/>
        </w:tabs>
        <w:ind w:left="2880" w:hanging="360"/>
      </w:pPr>
      <w:rPr>
        <w:rFonts w:ascii="Symbol" w:hAnsi="Symbol" w:hint="default"/>
      </w:rPr>
    </w:lvl>
    <w:lvl w:ilvl="4" w:tplc="A90EEE58" w:tentative="1">
      <w:start w:val="1"/>
      <w:numFmt w:val="bullet"/>
      <w:lvlText w:val=""/>
      <w:lvlJc w:val="left"/>
      <w:pPr>
        <w:tabs>
          <w:tab w:val="num" w:pos="3600"/>
        </w:tabs>
        <w:ind w:left="3600" w:hanging="360"/>
      </w:pPr>
      <w:rPr>
        <w:rFonts w:ascii="Symbol" w:hAnsi="Symbol" w:hint="default"/>
      </w:rPr>
    </w:lvl>
    <w:lvl w:ilvl="5" w:tplc="65725998" w:tentative="1">
      <w:start w:val="1"/>
      <w:numFmt w:val="bullet"/>
      <w:lvlText w:val=""/>
      <w:lvlJc w:val="left"/>
      <w:pPr>
        <w:tabs>
          <w:tab w:val="num" w:pos="4320"/>
        </w:tabs>
        <w:ind w:left="4320" w:hanging="360"/>
      </w:pPr>
      <w:rPr>
        <w:rFonts w:ascii="Symbol" w:hAnsi="Symbol" w:hint="default"/>
      </w:rPr>
    </w:lvl>
    <w:lvl w:ilvl="6" w:tplc="B1A0B3BE" w:tentative="1">
      <w:start w:val="1"/>
      <w:numFmt w:val="bullet"/>
      <w:lvlText w:val=""/>
      <w:lvlJc w:val="left"/>
      <w:pPr>
        <w:tabs>
          <w:tab w:val="num" w:pos="5040"/>
        </w:tabs>
        <w:ind w:left="5040" w:hanging="360"/>
      </w:pPr>
      <w:rPr>
        <w:rFonts w:ascii="Symbol" w:hAnsi="Symbol" w:hint="default"/>
      </w:rPr>
    </w:lvl>
    <w:lvl w:ilvl="7" w:tplc="1D4679AE" w:tentative="1">
      <w:start w:val="1"/>
      <w:numFmt w:val="bullet"/>
      <w:lvlText w:val=""/>
      <w:lvlJc w:val="left"/>
      <w:pPr>
        <w:tabs>
          <w:tab w:val="num" w:pos="5760"/>
        </w:tabs>
        <w:ind w:left="5760" w:hanging="360"/>
      </w:pPr>
      <w:rPr>
        <w:rFonts w:ascii="Symbol" w:hAnsi="Symbol" w:hint="default"/>
      </w:rPr>
    </w:lvl>
    <w:lvl w:ilvl="8" w:tplc="8E909584" w:tentative="1">
      <w:start w:val="1"/>
      <w:numFmt w:val="bullet"/>
      <w:lvlText w:val=""/>
      <w:lvlJc w:val="left"/>
      <w:pPr>
        <w:tabs>
          <w:tab w:val="num" w:pos="6480"/>
        </w:tabs>
        <w:ind w:left="6480" w:hanging="360"/>
      </w:pPr>
      <w:rPr>
        <w:rFonts w:ascii="Symbol" w:hAnsi="Symbol" w:hint="default"/>
      </w:rPr>
    </w:lvl>
  </w:abstractNum>
  <w:abstractNum w:abstractNumId="14">
    <w:nsid w:val="4A5D0D19"/>
    <w:multiLevelType w:val="hybridMultilevel"/>
    <w:tmpl w:val="7DD00964"/>
    <w:lvl w:ilvl="0" w:tplc="04090001">
      <w:start w:val="1"/>
      <w:numFmt w:val="bullet"/>
      <w:lvlText w:val=""/>
      <w:lvlJc w:val="left"/>
      <w:pPr>
        <w:ind w:left="720" w:hanging="360"/>
      </w:pPr>
      <w:rPr>
        <w:rFonts w:ascii="Symbol" w:hAnsi="Symbol" w:hint="default"/>
      </w:rPr>
    </w:lvl>
    <w:lvl w:ilvl="1" w:tplc="7C6A94B2">
      <w:numFmt w:val="bullet"/>
      <w:lvlText w:val="-"/>
      <w:lvlJc w:val="left"/>
      <w:pPr>
        <w:ind w:left="1440" w:hanging="360"/>
      </w:pPr>
      <w:rPr>
        <w:rFonts w:hint="default"/>
        <w:b w:val="0"/>
        <w:i w:val="0"/>
      </w:rPr>
    </w:lvl>
    <w:lvl w:ilvl="2" w:tplc="BCCC93A0">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4311E57"/>
    <w:multiLevelType w:val="hybridMultilevel"/>
    <w:tmpl w:val="85E29294"/>
    <w:lvl w:ilvl="0" w:tplc="D69EF218">
      <w:start w:val="1"/>
      <w:numFmt w:val="decimal"/>
      <w:lvlText w:val="%1."/>
      <w:lvlJc w:val="left"/>
      <w:pPr>
        <w:ind w:left="720" w:hanging="360"/>
      </w:pPr>
      <w:rPr>
        <w:rFonts w:asciiTheme="majorHAnsi" w:hAnsiTheme="majorHAnsi" w:hint="default"/>
        <w:b w:val="0"/>
        <w:sz w:val="24"/>
        <w:szCs w:val="24"/>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CD119A"/>
    <w:multiLevelType w:val="hybridMultilevel"/>
    <w:tmpl w:val="DB063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2F2B05"/>
    <w:multiLevelType w:val="hybridMultilevel"/>
    <w:tmpl w:val="2E9451B6"/>
    <w:lvl w:ilvl="0" w:tplc="4A62E5D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B7760"/>
    <w:multiLevelType w:val="singleLevel"/>
    <w:tmpl w:val="041859DE"/>
    <w:lvl w:ilvl="0">
      <w:start w:val="1"/>
      <w:numFmt w:val="bullet"/>
      <w:lvlText w:val="-"/>
      <w:lvlJc w:val="left"/>
      <w:pPr>
        <w:ind w:left="360" w:hanging="360"/>
      </w:pPr>
      <w:rPr>
        <w:rFonts w:ascii="Arial" w:hAnsi="Arial" w:hint="default"/>
        <w:sz w:val="20"/>
        <w:szCs w:val="18"/>
      </w:rPr>
    </w:lvl>
  </w:abstractNum>
  <w:abstractNum w:abstractNumId="20">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1A75D97"/>
    <w:multiLevelType w:val="hybridMultilevel"/>
    <w:tmpl w:val="1786C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9"/>
  </w:num>
  <w:num w:numId="3">
    <w:abstractNumId w:val="10"/>
  </w:num>
  <w:num w:numId="4">
    <w:abstractNumId w:val="20"/>
  </w:num>
  <w:num w:numId="5">
    <w:abstractNumId w:val="6"/>
  </w:num>
  <w:num w:numId="6">
    <w:abstractNumId w:val="5"/>
  </w:num>
  <w:num w:numId="7">
    <w:abstractNumId w:val="18"/>
  </w:num>
  <w:num w:numId="8">
    <w:abstractNumId w:val="21"/>
  </w:num>
  <w:num w:numId="9">
    <w:abstractNumId w:val="14"/>
  </w:num>
  <w:num w:numId="10">
    <w:abstractNumId w:val="4"/>
  </w:num>
  <w:num w:numId="11">
    <w:abstractNumId w:val="1"/>
  </w:num>
  <w:num w:numId="12">
    <w:abstractNumId w:val="12"/>
  </w:num>
  <w:num w:numId="13">
    <w:abstractNumId w:val="9"/>
  </w:num>
  <w:num w:numId="14">
    <w:abstractNumId w:val="0"/>
  </w:num>
  <w:num w:numId="15">
    <w:abstractNumId w:val="15"/>
  </w:num>
  <w:num w:numId="16">
    <w:abstractNumId w:val="17"/>
  </w:num>
  <w:num w:numId="17">
    <w:abstractNumId w:val="16"/>
  </w:num>
  <w:num w:numId="18">
    <w:abstractNumId w:val="11"/>
  </w:num>
  <w:num w:numId="19">
    <w:abstractNumId w:val="13"/>
  </w:num>
  <w:num w:numId="20">
    <w:abstractNumId w:val="3"/>
  </w:num>
  <w:num w:numId="21">
    <w:abstractNumId w:val="8"/>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pos w:val="sectEnd"/>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150A"/>
    <w:rsid w:val="00001BA3"/>
    <w:rsid w:val="00003E23"/>
    <w:rsid w:val="0000482B"/>
    <w:rsid w:val="00004C2E"/>
    <w:rsid w:val="0000674F"/>
    <w:rsid w:val="00010A03"/>
    <w:rsid w:val="00010CF3"/>
    <w:rsid w:val="00011E27"/>
    <w:rsid w:val="00012066"/>
    <w:rsid w:val="000148BC"/>
    <w:rsid w:val="000168CC"/>
    <w:rsid w:val="00016A40"/>
    <w:rsid w:val="00016DE1"/>
    <w:rsid w:val="0001703E"/>
    <w:rsid w:val="000173E5"/>
    <w:rsid w:val="00024AB8"/>
    <w:rsid w:val="00024CD2"/>
    <w:rsid w:val="00026A30"/>
    <w:rsid w:val="00026D42"/>
    <w:rsid w:val="00030854"/>
    <w:rsid w:val="00030AD3"/>
    <w:rsid w:val="00030CDB"/>
    <w:rsid w:val="00031E97"/>
    <w:rsid w:val="00036028"/>
    <w:rsid w:val="000366DC"/>
    <w:rsid w:val="00040036"/>
    <w:rsid w:val="0004093A"/>
    <w:rsid w:val="0004170D"/>
    <w:rsid w:val="00043581"/>
    <w:rsid w:val="000442EB"/>
    <w:rsid w:val="00044642"/>
    <w:rsid w:val="000446B9"/>
    <w:rsid w:val="00044B0C"/>
    <w:rsid w:val="00047E21"/>
    <w:rsid w:val="0005013D"/>
    <w:rsid w:val="000518B6"/>
    <w:rsid w:val="00052B9C"/>
    <w:rsid w:val="000569C3"/>
    <w:rsid w:val="00056BD5"/>
    <w:rsid w:val="0006084B"/>
    <w:rsid w:val="000625B0"/>
    <w:rsid w:val="00064A8F"/>
    <w:rsid w:val="00064FEF"/>
    <w:rsid w:val="00066B0F"/>
    <w:rsid w:val="00066E70"/>
    <w:rsid w:val="00067165"/>
    <w:rsid w:val="00070404"/>
    <w:rsid w:val="000724F3"/>
    <w:rsid w:val="00075479"/>
    <w:rsid w:val="00080D49"/>
    <w:rsid w:val="00084351"/>
    <w:rsid w:val="00085505"/>
    <w:rsid w:val="0008796E"/>
    <w:rsid w:val="000918A6"/>
    <w:rsid w:val="00092DB3"/>
    <w:rsid w:val="00093327"/>
    <w:rsid w:val="000934C1"/>
    <w:rsid w:val="00093512"/>
    <w:rsid w:val="00093547"/>
    <w:rsid w:val="00097187"/>
    <w:rsid w:val="00097BB8"/>
    <w:rsid w:val="00097F07"/>
    <w:rsid w:val="000A21B5"/>
    <w:rsid w:val="000A32F7"/>
    <w:rsid w:val="000A68B4"/>
    <w:rsid w:val="000A7E41"/>
    <w:rsid w:val="000A7FB1"/>
    <w:rsid w:val="000B1752"/>
    <w:rsid w:val="000B1A62"/>
    <w:rsid w:val="000B4DCF"/>
    <w:rsid w:val="000B5061"/>
    <w:rsid w:val="000B5329"/>
    <w:rsid w:val="000B5799"/>
    <w:rsid w:val="000B5A9B"/>
    <w:rsid w:val="000B6DF1"/>
    <w:rsid w:val="000C085F"/>
    <w:rsid w:val="000C23D3"/>
    <w:rsid w:val="000C2924"/>
    <w:rsid w:val="000C7021"/>
    <w:rsid w:val="000D3241"/>
    <w:rsid w:val="000D353A"/>
    <w:rsid w:val="000D5EF7"/>
    <w:rsid w:val="000D6AA0"/>
    <w:rsid w:val="000D6BBC"/>
    <w:rsid w:val="000D7780"/>
    <w:rsid w:val="000D79B2"/>
    <w:rsid w:val="000E2F08"/>
    <w:rsid w:val="000E32D0"/>
    <w:rsid w:val="000E387C"/>
    <w:rsid w:val="000E3FE2"/>
    <w:rsid w:val="000E48BA"/>
    <w:rsid w:val="000F63E1"/>
    <w:rsid w:val="000F7801"/>
    <w:rsid w:val="00104920"/>
    <w:rsid w:val="00105929"/>
    <w:rsid w:val="001062A8"/>
    <w:rsid w:val="00110414"/>
    <w:rsid w:val="0011194D"/>
    <w:rsid w:val="00112863"/>
    <w:rsid w:val="001131D5"/>
    <w:rsid w:val="001136A3"/>
    <w:rsid w:val="00114BBB"/>
    <w:rsid w:val="00115766"/>
    <w:rsid w:val="00117837"/>
    <w:rsid w:val="00120D77"/>
    <w:rsid w:val="00122004"/>
    <w:rsid w:val="001229E9"/>
    <w:rsid w:val="00124A2B"/>
    <w:rsid w:val="001251DD"/>
    <w:rsid w:val="001253F9"/>
    <w:rsid w:val="00127F60"/>
    <w:rsid w:val="001305E1"/>
    <w:rsid w:val="0013087D"/>
    <w:rsid w:val="001309AD"/>
    <w:rsid w:val="00132655"/>
    <w:rsid w:val="001366F1"/>
    <w:rsid w:val="00141DB8"/>
    <w:rsid w:val="00142923"/>
    <w:rsid w:val="001468BC"/>
    <w:rsid w:val="0014731A"/>
    <w:rsid w:val="001503A1"/>
    <w:rsid w:val="00152057"/>
    <w:rsid w:val="00152DA5"/>
    <w:rsid w:val="00155892"/>
    <w:rsid w:val="00161D61"/>
    <w:rsid w:val="00167943"/>
    <w:rsid w:val="00167F62"/>
    <w:rsid w:val="00171EE0"/>
    <w:rsid w:val="00172859"/>
    <w:rsid w:val="00173CCB"/>
    <w:rsid w:val="0017451F"/>
    <w:rsid w:val="00174554"/>
    <w:rsid w:val="0017474A"/>
    <w:rsid w:val="00175066"/>
    <w:rsid w:val="001758C6"/>
    <w:rsid w:val="00177387"/>
    <w:rsid w:val="00180327"/>
    <w:rsid w:val="00181284"/>
    <w:rsid w:val="00182B99"/>
    <w:rsid w:val="001848F2"/>
    <w:rsid w:val="0018607F"/>
    <w:rsid w:val="001871AD"/>
    <w:rsid w:val="0019072E"/>
    <w:rsid w:val="00192848"/>
    <w:rsid w:val="001935AE"/>
    <w:rsid w:val="00193C93"/>
    <w:rsid w:val="00193D63"/>
    <w:rsid w:val="0019481B"/>
    <w:rsid w:val="00194BDA"/>
    <w:rsid w:val="001961E5"/>
    <w:rsid w:val="00197BE7"/>
    <w:rsid w:val="001A0080"/>
    <w:rsid w:val="001A1029"/>
    <w:rsid w:val="001A109D"/>
    <w:rsid w:val="001A1162"/>
    <w:rsid w:val="001A3545"/>
    <w:rsid w:val="001A4AC8"/>
    <w:rsid w:val="001A6680"/>
    <w:rsid w:val="001C0E76"/>
    <w:rsid w:val="001C1851"/>
    <w:rsid w:val="001C370E"/>
    <w:rsid w:val="001C6230"/>
    <w:rsid w:val="001D09F5"/>
    <w:rsid w:val="001D1447"/>
    <w:rsid w:val="001D204D"/>
    <w:rsid w:val="001D2815"/>
    <w:rsid w:val="001D2983"/>
    <w:rsid w:val="001D4DEC"/>
    <w:rsid w:val="001D5A86"/>
    <w:rsid w:val="001D7A75"/>
    <w:rsid w:val="001E086F"/>
    <w:rsid w:val="001E0CF9"/>
    <w:rsid w:val="001E58A2"/>
    <w:rsid w:val="001E628E"/>
    <w:rsid w:val="001E671A"/>
    <w:rsid w:val="001E67E1"/>
    <w:rsid w:val="001E76E3"/>
    <w:rsid w:val="001E7952"/>
    <w:rsid w:val="001E7B7C"/>
    <w:rsid w:val="001E7DD1"/>
    <w:rsid w:val="001F1181"/>
    <w:rsid w:val="001F42DB"/>
    <w:rsid w:val="001F4402"/>
    <w:rsid w:val="001F5254"/>
    <w:rsid w:val="001F6751"/>
    <w:rsid w:val="001F7E28"/>
    <w:rsid w:val="00203035"/>
    <w:rsid w:val="00203097"/>
    <w:rsid w:val="00204AD0"/>
    <w:rsid w:val="00204BAB"/>
    <w:rsid w:val="00210AF8"/>
    <w:rsid w:val="0021249C"/>
    <w:rsid w:val="0021332C"/>
    <w:rsid w:val="00213982"/>
    <w:rsid w:val="00213AD9"/>
    <w:rsid w:val="00214D42"/>
    <w:rsid w:val="00221380"/>
    <w:rsid w:val="00221A28"/>
    <w:rsid w:val="00224231"/>
    <w:rsid w:val="00224931"/>
    <w:rsid w:val="00231A06"/>
    <w:rsid w:val="00237E7B"/>
    <w:rsid w:val="00240810"/>
    <w:rsid w:val="00240C00"/>
    <w:rsid w:val="00240CE2"/>
    <w:rsid w:val="00241879"/>
    <w:rsid w:val="00242246"/>
    <w:rsid w:val="0024416D"/>
    <w:rsid w:val="00244F8C"/>
    <w:rsid w:val="00245294"/>
    <w:rsid w:val="00245AB1"/>
    <w:rsid w:val="002460FC"/>
    <w:rsid w:val="00250A6C"/>
    <w:rsid w:val="002514C8"/>
    <w:rsid w:val="002548BF"/>
    <w:rsid w:val="00257B56"/>
    <w:rsid w:val="002630D0"/>
    <w:rsid w:val="002651C3"/>
    <w:rsid w:val="00266699"/>
    <w:rsid w:val="002706C7"/>
    <w:rsid w:val="002710BF"/>
    <w:rsid w:val="0027189D"/>
    <w:rsid w:val="002734F2"/>
    <w:rsid w:val="002741B1"/>
    <w:rsid w:val="002800A0"/>
    <w:rsid w:val="002801B3"/>
    <w:rsid w:val="0028098F"/>
    <w:rsid w:val="00281060"/>
    <w:rsid w:val="002841E0"/>
    <w:rsid w:val="002918E5"/>
    <w:rsid w:val="002923F9"/>
    <w:rsid w:val="00293674"/>
    <w:rsid w:val="002940E8"/>
    <w:rsid w:val="00296A15"/>
    <w:rsid w:val="00297FD2"/>
    <w:rsid w:val="002A0D60"/>
    <w:rsid w:val="002A6E50"/>
    <w:rsid w:val="002A73BF"/>
    <w:rsid w:val="002A7B82"/>
    <w:rsid w:val="002B001D"/>
    <w:rsid w:val="002B1257"/>
    <w:rsid w:val="002B1AFE"/>
    <w:rsid w:val="002B1CF4"/>
    <w:rsid w:val="002B422C"/>
    <w:rsid w:val="002B48AA"/>
    <w:rsid w:val="002B6DB0"/>
    <w:rsid w:val="002B728F"/>
    <w:rsid w:val="002B73A0"/>
    <w:rsid w:val="002B7704"/>
    <w:rsid w:val="002C256A"/>
    <w:rsid w:val="002C4C29"/>
    <w:rsid w:val="002C594C"/>
    <w:rsid w:val="002C63DE"/>
    <w:rsid w:val="002D0BA4"/>
    <w:rsid w:val="002D300C"/>
    <w:rsid w:val="002D5ABA"/>
    <w:rsid w:val="002D6F42"/>
    <w:rsid w:val="002D7C8D"/>
    <w:rsid w:val="002E1E3E"/>
    <w:rsid w:val="002E459D"/>
    <w:rsid w:val="002F363E"/>
    <w:rsid w:val="002F4A93"/>
    <w:rsid w:val="002F569C"/>
    <w:rsid w:val="002F57BA"/>
    <w:rsid w:val="002F5F97"/>
    <w:rsid w:val="002F61C8"/>
    <w:rsid w:val="002F67FE"/>
    <w:rsid w:val="002F7400"/>
    <w:rsid w:val="002F772E"/>
    <w:rsid w:val="002F7A6A"/>
    <w:rsid w:val="00301BFE"/>
    <w:rsid w:val="00303BED"/>
    <w:rsid w:val="00303EB0"/>
    <w:rsid w:val="00305A7F"/>
    <w:rsid w:val="003074F9"/>
    <w:rsid w:val="0031029C"/>
    <w:rsid w:val="00311B5B"/>
    <w:rsid w:val="0031475F"/>
    <w:rsid w:val="00315280"/>
    <w:rsid w:val="003152FE"/>
    <w:rsid w:val="00315FA5"/>
    <w:rsid w:val="00316E1A"/>
    <w:rsid w:val="00316E90"/>
    <w:rsid w:val="00322025"/>
    <w:rsid w:val="00322B6C"/>
    <w:rsid w:val="00325D63"/>
    <w:rsid w:val="00327138"/>
    <w:rsid w:val="00327436"/>
    <w:rsid w:val="00334E47"/>
    <w:rsid w:val="0033507D"/>
    <w:rsid w:val="00337C6C"/>
    <w:rsid w:val="00337E0F"/>
    <w:rsid w:val="0034381C"/>
    <w:rsid w:val="0034418C"/>
    <w:rsid w:val="00344BD6"/>
    <w:rsid w:val="00350342"/>
    <w:rsid w:val="00351C1A"/>
    <w:rsid w:val="00352C70"/>
    <w:rsid w:val="003533A2"/>
    <w:rsid w:val="0035355A"/>
    <w:rsid w:val="00354992"/>
    <w:rsid w:val="0035523E"/>
    <w:rsid w:val="0035528D"/>
    <w:rsid w:val="003552BF"/>
    <w:rsid w:val="003554AC"/>
    <w:rsid w:val="00355C8E"/>
    <w:rsid w:val="00360B2A"/>
    <w:rsid w:val="00361821"/>
    <w:rsid w:val="00361FE5"/>
    <w:rsid w:val="00362388"/>
    <w:rsid w:val="00363F3C"/>
    <w:rsid w:val="00364C35"/>
    <w:rsid w:val="0037410D"/>
    <w:rsid w:val="00375696"/>
    <w:rsid w:val="003761E6"/>
    <w:rsid w:val="00376B9E"/>
    <w:rsid w:val="003814A3"/>
    <w:rsid w:val="003822F8"/>
    <w:rsid w:val="0038278F"/>
    <w:rsid w:val="00382A56"/>
    <w:rsid w:val="00382F60"/>
    <w:rsid w:val="00383B83"/>
    <w:rsid w:val="00384845"/>
    <w:rsid w:val="0038713F"/>
    <w:rsid w:val="00387275"/>
    <w:rsid w:val="00390C18"/>
    <w:rsid w:val="003916F9"/>
    <w:rsid w:val="00391DAF"/>
    <w:rsid w:val="00393196"/>
    <w:rsid w:val="00394880"/>
    <w:rsid w:val="00395670"/>
    <w:rsid w:val="00397772"/>
    <w:rsid w:val="003A0E3F"/>
    <w:rsid w:val="003A4600"/>
    <w:rsid w:val="003B1094"/>
    <w:rsid w:val="003B16E7"/>
    <w:rsid w:val="003B4FA7"/>
    <w:rsid w:val="003B5D92"/>
    <w:rsid w:val="003C1FE5"/>
    <w:rsid w:val="003C3B37"/>
    <w:rsid w:val="003C490E"/>
    <w:rsid w:val="003C4DEC"/>
    <w:rsid w:val="003C54D2"/>
    <w:rsid w:val="003C76FB"/>
    <w:rsid w:val="003D0C77"/>
    <w:rsid w:val="003D0C87"/>
    <w:rsid w:val="003D10E1"/>
    <w:rsid w:val="003D227C"/>
    <w:rsid w:val="003D2B4D"/>
    <w:rsid w:val="003D645C"/>
    <w:rsid w:val="003D7646"/>
    <w:rsid w:val="003E322A"/>
    <w:rsid w:val="003E36DC"/>
    <w:rsid w:val="003E5A9B"/>
    <w:rsid w:val="003F00F5"/>
    <w:rsid w:val="003F2089"/>
    <w:rsid w:val="003F2267"/>
    <w:rsid w:val="003F7DA5"/>
    <w:rsid w:val="004001F5"/>
    <w:rsid w:val="00400C81"/>
    <w:rsid w:val="004013A6"/>
    <w:rsid w:val="00410026"/>
    <w:rsid w:val="00410973"/>
    <w:rsid w:val="00412F49"/>
    <w:rsid w:val="00413778"/>
    <w:rsid w:val="00414A83"/>
    <w:rsid w:val="00415904"/>
    <w:rsid w:val="00421ED4"/>
    <w:rsid w:val="00422F29"/>
    <w:rsid w:val="00423F90"/>
    <w:rsid w:val="00424F0E"/>
    <w:rsid w:val="00424FD2"/>
    <w:rsid w:val="004250C2"/>
    <w:rsid w:val="00427955"/>
    <w:rsid w:val="0043332D"/>
    <w:rsid w:val="0043408C"/>
    <w:rsid w:val="00435039"/>
    <w:rsid w:val="00436078"/>
    <w:rsid w:val="00440D56"/>
    <w:rsid w:val="00444156"/>
    <w:rsid w:val="00444A88"/>
    <w:rsid w:val="00452A99"/>
    <w:rsid w:val="00453788"/>
    <w:rsid w:val="00453F8E"/>
    <w:rsid w:val="0045426E"/>
    <w:rsid w:val="00456094"/>
    <w:rsid w:val="00456CBD"/>
    <w:rsid w:val="004650BE"/>
    <w:rsid w:val="004653C3"/>
    <w:rsid w:val="00466B2D"/>
    <w:rsid w:val="004674AB"/>
    <w:rsid w:val="004702CD"/>
    <w:rsid w:val="00471669"/>
    <w:rsid w:val="004716A6"/>
    <w:rsid w:val="00471F5D"/>
    <w:rsid w:val="00472448"/>
    <w:rsid w:val="00472A13"/>
    <w:rsid w:val="00473FF8"/>
    <w:rsid w:val="00474DA4"/>
    <w:rsid w:val="00475600"/>
    <w:rsid w:val="00476B4D"/>
    <w:rsid w:val="004771B6"/>
    <w:rsid w:val="004805FA"/>
    <w:rsid w:val="00484280"/>
    <w:rsid w:val="004849E1"/>
    <w:rsid w:val="00484F72"/>
    <w:rsid w:val="004853CA"/>
    <w:rsid w:val="00486C03"/>
    <w:rsid w:val="00487017"/>
    <w:rsid w:val="0049254D"/>
    <w:rsid w:val="00496479"/>
    <w:rsid w:val="004A5BFF"/>
    <w:rsid w:val="004A64AD"/>
    <w:rsid w:val="004A7151"/>
    <w:rsid w:val="004A769B"/>
    <w:rsid w:val="004B48F5"/>
    <w:rsid w:val="004B5C5D"/>
    <w:rsid w:val="004B6C9D"/>
    <w:rsid w:val="004C14D5"/>
    <w:rsid w:val="004C1946"/>
    <w:rsid w:val="004C4B08"/>
    <w:rsid w:val="004C60D1"/>
    <w:rsid w:val="004C663F"/>
    <w:rsid w:val="004D02CB"/>
    <w:rsid w:val="004D047D"/>
    <w:rsid w:val="004D075F"/>
    <w:rsid w:val="004D202A"/>
    <w:rsid w:val="004D5A7A"/>
    <w:rsid w:val="004D6112"/>
    <w:rsid w:val="004E0076"/>
    <w:rsid w:val="004E1F17"/>
    <w:rsid w:val="004E1F97"/>
    <w:rsid w:val="004E379D"/>
    <w:rsid w:val="004E536A"/>
    <w:rsid w:val="004E54DB"/>
    <w:rsid w:val="004E5647"/>
    <w:rsid w:val="004F1C08"/>
    <w:rsid w:val="004F1C53"/>
    <w:rsid w:val="004F2670"/>
    <w:rsid w:val="004F2E99"/>
    <w:rsid w:val="004F305A"/>
    <w:rsid w:val="004F4885"/>
    <w:rsid w:val="004F5243"/>
    <w:rsid w:val="004F7AF3"/>
    <w:rsid w:val="004F7DDC"/>
    <w:rsid w:val="0050152C"/>
    <w:rsid w:val="00502A4C"/>
    <w:rsid w:val="00504F1A"/>
    <w:rsid w:val="0050547F"/>
    <w:rsid w:val="005069BB"/>
    <w:rsid w:val="00507850"/>
    <w:rsid w:val="0051068B"/>
    <w:rsid w:val="0051111E"/>
    <w:rsid w:val="0051113F"/>
    <w:rsid w:val="00512164"/>
    <w:rsid w:val="00512434"/>
    <w:rsid w:val="00512522"/>
    <w:rsid w:val="00513459"/>
    <w:rsid w:val="00515214"/>
    <w:rsid w:val="00520297"/>
    <w:rsid w:val="005203E4"/>
    <w:rsid w:val="005231FF"/>
    <w:rsid w:val="005242B4"/>
    <w:rsid w:val="00526AD2"/>
    <w:rsid w:val="005307AF"/>
    <w:rsid w:val="00530AC5"/>
    <w:rsid w:val="00530C7A"/>
    <w:rsid w:val="00531DDF"/>
    <w:rsid w:val="00531F1B"/>
    <w:rsid w:val="005338F9"/>
    <w:rsid w:val="00534115"/>
    <w:rsid w:val="005350E2"/>
    <w:rsid w:val="00535CC2"/>
    <w:rsid w:val="00536045"/>
    <w:rsid w:val="00536E8D"/>
    <w:rsid w:val="0053784C"/>
    <w:rsid w:val="00540156"/>
    <w:rsid w:val="005415F1"/>
    <w:rsid w:val="00541A1F"/>
    <w:rsid w:val="00541ECD"/>
    <w:rsid w:val="0054281C"/>
    <w:rsid w:val="00542AFD"/>
    <w:rsid w:val="00543642"/>
    <w:rsid w:val="005437DE"/>
    <w:rsid w:val="00544031"/>
    <w:rsid w:val="00544AC8"/>
    <w:rsid w:val="005515D9"/>
    <w:rsid w:val="0055268D"/>
    <w:rsid w:val="00554324"/>
    <w:rsid w:val="005560E5"/>
    <w:rsid w:val="005564EB"/>
    <w:rsid w:val="0056092F"/>
    <w:rsid w:val="00560A6D"/>
    <w:rsid w:val="00561103"/>
    <w:rsid w:val="0056344C"/>
    <w:rsid w:val="0056416A"/>
    <w:rsid w:val="00565C56"/>
    <w:rsid w:val="005718D6"/>
    <w:rsid w:val="005723B2"/>
    <w:rsid w:val="005739A7"/>
    <w:rsid w:val="00573CEF"/>
    <w:rsid w:val="0057467D"/>
    <w:rsid w:val="00576BE4"/>
    <w:rsid w:val="00576C4A"/>
    <w:rsid w:val="00580AA0"/>
    <w:rsid w:val="005858CD"/>
    <w:rsid w:val="005858F2"/>
    <w:rsid w:val="00586AA3"/>
    <w:rsid w:val="00587EA7"/>
    <w:rsid w:val="00590A7D"/>
    <w:rsid w:val="0059136E"/>
    <w:rsid w:val="00595168"/>
    <w:rsid w:val="00597BAE"/>
    <w:rsid w:val="005A2946"/>
    <w:rsid w:val="005A400A"/>
    <w:rsid w:val="005A66AF"/>
    <w:rsid w:val="005A76EE"/>
    <w:rsid w:val="005B0DC2"/>
    <w:rsid w:val="005B2B53"/>
    <w:rsid w:val="005B326C"/>
    <w:rsid w:val="005B33DF"/>
    <w:rsid w:val="005B3E7E"/>
    <w:rsid w:val="005B583E"/>
    <w:rsid w:val="005B6582"/>
    <w:rsid w:val="005B6A7E"/>
    <w:rsid w:val="005C6CFD"/>
    <w:rsid w:val="005D19B0"/>
    <w:rsid w:val="005D1B47"/>
    <w:rsid w:val="005D2017"/>
    <w:rsid w:val="005D204E"/>
    <w:rsid w:val="005D24EB"/>
    <w:rsid w:val="005D411B"/>
    <w:rsid w:val="005D49EB"/>
    <w:rsid w:val="005D54D0"/>
    <w:rsid w:val="005D775F"/>
    <w:rsid w:val="005E578A"/>
    <w:rsid w:val="005F05B6"/>
    <w:rsid w:val="005F061E"/>
    <w:rsid w:val="005F19C8"/>
    <w:rsid w:val="005F3D6B"/>
    <w:rsid w:val="005F4E07"/>
    <w:rsid w:val="005F6C3E"/>
    <w:rsid w:val="0060042C"/>
    <w:rsid w:val="0060117A"/>
    <w:rsid w:val="0060261D"/>
    <w:rsid w:val="006047CA"/>
    <w:rsid w:val="006070C5"/>
    <w:rsid w:val="0060763F"/>
    <w:rsid w:val="006119A7"/>
    <w:rsid w:val="00611DF3"/>
    <w:rsid w:val="00611FFB"/>
    <w:rsid w:val="00612379"/>
    <w:rsid w:val="0061555F"/>
    <w:rsid w:val="00615C14"/>
    <w:rsid w:val="0061619C"/>
    <w:rsid w:val="00617D6F"/>
    <w:rsid w:val="00624AF9"/>
    <w:rsid w:val="006256BC"/>
    <w:rsid w:val="00625A2C"/>
    <w:rsid w:val="00625E13"/>
    <w:rsid w:val="0063163E"/>
    <w:rsid w:val="00632E7D"/>
    <w:rsid w:val="00633717"/>
    <w:rsid w:val="00634166"/>
    <w:rsid w:val="0063461C"/>
    <w:rsid w:val="006363AE"/>
    <w:rsid w:val="00641200"/>
    <w:rsid w:val="006413EC"/>
    <w:rsid w:val="00641564"/>
    <w:rsid w:val="006425BD"/>
    <w:rsid w:val="00644E12"/>
    <w:rsid w:val="00646163"/>
    <w:rsid w:val="00646990"/>
    <w:rsid w:val="00650F98"/>
    <w:rsid w:val="00651188"/>
    <w:rsid w:val="00651734"/>
    <w:rsid w:val="006571AE"/>
    <w:rsid w:val="00660B9F"/>
    <w:rsid w:val="006617CE"/>
    <w:rsid w:val="00661B19"/>
    <w:rsid w:val="00662ED2"/>
    <w:rsid w:val="00663239"/>
    <w:rsid w:val="006655D3"/>
    <w:rsid w:val="006664D4"/>
    <w:rsid w:val="00666F6E"/>
    <w:rsid w:val="006677E7"/>
    <w:rsid w:val="00667EB4"/>
    <w:rsid w:val="00667F83"/>
    <w:rsid w:val="006706EC"/>
    <w:rsid w:val="0067078A"/>
    <w:rsid w:val="00670EE6"/>
    <w:rsid w:val="00672298"/>
    <w:rsid w:val="006723B6"/>
    <w:rsid w:val="006731AE"/>
    <w:rsid w:val="00674189"/>
    <w:rsid w:val="006757A8"/>
    <w:rsid w:val="006809E1"/>
    <w:rsid w:val="006814A3"/>
    <w:rsid w:val="0068185E"/>
    <w:rsid w:val="0068305C"/>
    <w:rsid w:val="006834F7"/>
    <w:rsid w:val="006859E2"/>
    <w:rsid w:val="00687EB4"/>
    <w:rsid w:val="00692CA7"/>
    <w:rsid w:val="00694F71"/>
    <w:rsid w:val="006A04D8"/>
    <w:rsid w:val="006A0B2D"/>
    <w:rsid w:val="006A1093"/>
    <w:rsid w:val="006A3139"/>
    <w:rsid w:val="006A3DA6"/>
    <w:rsid w:val="006A4CE9"/>
    <w:rsid w:val="006B0C29"/>
    <w:rsid w:val="006B17D2"/>
    <w:rsid w:val="006B2689"/>
    <w:rsid w:val="006B34F2"/>
    <w:rsid w:val="006B4051"/>
    <w:rsid w:val="006B467F"/>
    <w:rsid w:val="006B5DCD"/>
    <w:rsid w:val="006B5E67"/>
    <w:rsid w:val="006B63D2"/>
    <w:rsid w:val="006C224E"/>
    <w:rsid w:val="006C2491"/>
    <w:rsid w:val="006C6389"/>
    <w:rsid w:val="006C72FF"/>
    <w:rsid w:val="006C794B"/>
    <w:rsid w:val="006D1A2F"/>
    <w:rsid w:val="006D1DA3"/>
    <w:rsid w:val="006D4B39"/>
    <w:rsid w:val="006D4C52"/>
    <w:rsid w:val="006D54B1"/>
    <w:rsid w:val="006D5546"/>
    <w:rsid w:val="006D6D49"/>
    <w:rsid w:val="006D73C2"/>
    <w:rsid w:val="006D7674"/>
    <w:rsid w:val="006D780A"/>
    <w:rsid w:val="006E1DFB"/>
    <w:rsid w:val="006E3357"/>
    <w:rsid w:val="006E618E"/>
    <w:rsid w:val="006E6B88"/>
    <w:rsid w:val="006E7B7E"/>
    <w:rsid w:val="006F08D6"/>
    <w:rsid w:val="006F1B92"/>
    <w:rsid w:val="006F2C00"/>
    <w:rsid w:val="006F3648"/>
    <w:rsid w:val="006F4005"/>
    <w:rsid w:val="006F48CF"/>
    <w:rsid w:val="006F497C"/>
    <w:rsid w:val="0070143C"/>
    <w:rsid w:val="00701658"/>
    <w:rsid w:val="00702B7A"/>
    <w:rsid w:val="00702BC2"/>
    <w:rsid w:val="00703E88"/>
    <w:rsid w:val="007042B7"/>
    <w:rsid w:val="0070579A"/>
    <w:rsid w:val="00707AAE"/>
    <w:rsid w:val="00712581"/>
    <w:rsid w:val="007142DF"/>
    <w:rsid w:val="00714D16"/>
    <w:rsid w:val="00716BF0"/>
    <w:rsid w:val="0072169B"/>
    <w:rsid w:val="00721A5F"/>
    <w:rsid w:val="00722DF5"/>
    <w:rsid w:val="00730A0A"/>
    <w:rsid w:val="007328B7"/>
    <w:rsid w:val="00732DEC"/>
    <w:rsid w:val="00735BD5"/>
    <w:rsid w:val="007402B2"/>
    <w:rsid w:val="007405AB"/>
    <w:rsid w:val="007442CB"/>
    <w:rsid w:val="0074499F"/>
    <w:rsid w:val="00745772"/>
    <w:rsid w:val="00746073"/>
    <w:rsid w:val="00746F91"/>
    <w:rsid w:val="00751FC4"/>
    <w:rsid w:val="007526B9"/>
    <w:rsid w:val="00752AA8"/>
    <w:rsid w:val="007542B8"/>
    <w:rsid w:val="007556F6"/>
    <w:rsid w:val="00757159"/>
    <w:rsid w:val="007602BD"/>
    <w:rsid w:val="00760EEF"/>
    <w:rsid w:val="00763ECE"/>
    <w:rsid w:val="00765D7F"/>
    <w:rsid w:val="00766B45"/>
    <w:rsid w:val="00766BE6"/>
    <w:rsid w:val="007715C5"/>
    <w:rsid w:val="007728DC"/>
    <w:rsid w:val="007733DA"/>
    <w:rsid w:val="00776417"/>
    <w:rsid w:val="0077671D"/>
    <w:rsid w:val="00777EE5"/>
    <w:rsid w:val="00782AA2"/>
    <w:rsid w:val="00784836"/>
    <w:rsid w:val="00784FE1"/>
    <w:rsid w:val="00787FE8"/>
    <w:rsid w:val="0079023E"/>
    <w:rsid w:val="00790A66"/>
    <w:rsid w:val="007948D4"/>
    <w:rsid w:val="00794EA6"/>
    <w:rsid w:val="007A0539"/>
    <w:rsid w:val="007A13B4"/>
    <w:rsid w:val="007A2854"/>
    <w:rsid w:val="007A6CB6"/>
    <w:rsid w:val="007B1BD6"/>
    <w:rsid w:val="007B460F"/>
    <w:rsid w:val="007B5A4C"/>
    <w:rsid w:val="007C02C5"/>
    <w:rsid w:val="007C0C22"/>
    <w:rsid w:val="007C14B3"/>
    <w:rsid w:val="007C4599"/>
    <w:rsid w:val="007C515F"/>
    <w:rsid w:val="007C662C"/>
    <w:rsid w:val="007C6F52"/>
    <w:rsid w:val="007C745A"/>
    <w:rsid w:val="007D0B9D"/>
    <w:rsid w:val="007D114B"/>
    <w:rsid w:val="007D1662"/>
    <w:rsid w:val="007D19B0"/>
    <w:rsid w:val="007D1EC0"/>
    <w:rsid w:val="007D3994"/>
    <w:rsid w:val="007D5663"/>
    <w:rsid w:val="007E0218"/>
    <w:rsid w:val="007E03BD"/>
    <w:rsid w:val="007E1651"/>
    <w:rsid w:val="007E1EE6"/>
    <w:rsid w:val="007E26B6"/>
    <w:rsid w:val="007E4A41"/>
    <w:rsid w:val="007E51FD"/>
    <w:rsid w:val="007F3B48"/>
    <w:rsid w:val="007F42E1"/>
    <w:rsid w:val="007F498F"/>
    <w:rsid w:val="007F6C67"/>
    <w:rsid w:val="00803760"/>
    <w:rsid w:val="00803866"/>
    <w:rsid w:val="0080679D"/>
    <w:rsid w:val="008069FC"/>
    <w:rsid w:val="00806ED3"/>
    <w:rsid w:val="008108B0"/>
    <w:rsid w:val="00811B20"/>
    <w:rsid w:val="00811E03"/>
    <w:rsid w:val="00812625"/>
    <w:rsid w:val="00812B7D"/>
    <w:rsid w:val="0082296E"/>
    <w:rsid w:val="00823D15"/>
    <w:rsid w:val="00824099"/>
    <w:rsid w:val="008271E2"/>
    <w:rsid w:val="00827DE7"/>
    <w:rsid w:val="0083045D"/>
    <w:rsid w:val="0083250C"/>
    <w:rsid w:val="0083276D"/>
    <w:rsid w:val="00833C16"/>
    <w:rsid w:val="008340B5"/>
    <w:rsid w:val="00835F6E"/>
    <w:rsid w:val="008366EB"/>
    <w:rsid w:val="00836D09"/>
    <w:rsid w:val="008423C4"/>
    <w:rsid w:val="00843D76"/>
    <w:rsid w:val="0084619A"/>
    <w:rsid w:val="0084645E"/>
    <w:rsid w:val="008474B1"/>
    <w:rsid w:val="00847FAE"/>
    <w:rsid w:val="00851C92"/>
    <w:rsid w:val="0085478D"/>
    <w:rsid w:val="00856F9E"/>
    <w:rsid w:val="008571B6"/>
    <w:rsid w:val="00860F8D"/>
    <w:rsid w:val="008625A6"/>
    <w:rsid w:val="0086437B"/>
    <w:rsid w:val="00864D5F"/>
    <w:rsid w:val="00865132"/>
    <w:rsid w:val="00865A2E"/>
    <w:rsid w:val="00865BF6"/>
    <w:rsid w:val="0086621C"/>
    <w:rsid w:val="00867AC1"/>
    <w:rsid w:val="00870D83"/>
    <w:rsid w:val="00871762"/>
    <w:rsid w:val="00871B7B"/>
    <w:rsid w:val="00872F69"/>
    <w:rsid w:val="00873A72"/>
    <w:rsid w:val="00873FF9"/>
    <w:rsid w:val="00874596"/>
    <w:rsid w:val="00875E44"/>
    <w:rsid w:val="00876DEE"/>
    <w:rsid w:val="008771CA"/>
    <w:rsid w:val="008774EC"/>
    <w:rsid w:val="00877DBA"/>
    <w:rsid w:val="00880F01"/>
    <w:rsid w:val="008811DE"/>
    <w:rsid w:val="008813C7"/>
    <w:rsid w:val="00881C2D"/>
    <w:rsid w:val="008821D4"/>
    <w:rsid w:val="0088247B"/>
    <w:rsid w:val="008831AB"/>
    <w:rsid w:val="008862B6"/>
    <w:rsid w:val="008865E4"/>
    <w:rsid w:val="008866EE"/>
    <w:rsid w:val="0088725A"/>
    <w:rsid w:val="00890496"/>
    <w:rsid w:val="00891B18"/>
    <w:rsid w:val="00892973"/>
    <w:rsid w:val="00892B4A"/>
    <w:rsid w:val="00894DC3"/>
    <w:rsid w:val="00895802"/>
    <w:rsid w:val="008A0AA0"/>
    <w:rsid w:val="008A3C1E"/>
    <w:rsid w:val="008A3C6D"/>
    <w:rsid w:val="008A53DC"/>
    <w:rsid w:val="008A743F"/>
    <w:rsid w:val="008A7496"/>
    <w:rsid w:val="008A7B49"/>
    <w:rsid w:val="008B6473"/>
    <w:rsid w:val="008B78A2"/>
    <w:rsid w:val="008C0970"/>
    <w:rsid w:val="008C3E0D"/>
    <w:rsid w:val="008C4D98"/>
    <w:rsid w:val="008C7175"/>
    <w:rsid w:val="008C79C1"/>
    <w:rsid w:val="008D1435"/>
    <w:rsid w:val="008D2CF7"/>
    <w:rsid w:val="008D2DA3"/>
    <w:rsid w:val="008D6DF5"/>
    <w:rsid w:val="008E09FE"/>
    <w:rsid w:val="008E211B"/>
    <w:rsid w:val="008E5635"/>
    <w:rsid w:val="008E5926"/>
    <w:rsid w:val="008E5E59"/>
    <w:rsid w:val="008E7912"/>
    <w:rsid w:val="008F3DA8"/>
    <w:rsid w:val="008F46B4"/>
    <w:rsid w:val="008F5543"/>
    <w:rsid w:val="008F78C1"/>
    <w:rsid w:val="00900C26"/>
    <w:rsid w:val="0090197F"/>
    <w:rsid w:val="00901A3F"/>
    <w:rsid w:val="00902F68"/>
    <w:rsid w:val="00906DDC"/>
    <w:rsid w:val="00912164"/>
    <w:rsid w:val="009173E8"/>
    <w:rsid w:val="00920A93"/>
    <w:rsid w:val="00922DEB"/>
    <w:rsid w:val="0092464C"/>
    <w:rsid w:val="009259EE"/>
    <w:rsid w:val="00925E5D"/>
    <w:rsid w:val="009273D5"/>
    <w:rsid w:val="00927489"/>
    <w:rsid w:val="009316C4"/>
    <w:rsid w:val="00932D59"/>
    <w:rsid w:val="00933419"/>
    <w:rsid w:val="00934E09"/>
    <w:rsid w:val="009357BB"/>
    <w:rsid w:val="00936253"/>
    <w:rsid w:val="0093729B"/>
    <w:rsid w:val="00937331"/>
    <w:rsid w:val="00937958"/>
    <w:rsid w:val="00940F1A"/>
    <w:rsid w:val="00941AA7"/>
    <w:rsid w:val="00947760"/>
    <w:rsid w:val="00950438"/>
    <w:rsid w:val="009525C6"/>
    <w:rsid w:val="00952DD4"/>
    <w:rsid w:val="0095323A"/>
    <w:rsid w:val="00957EDC"/>
    <w:rsid w:val="00963DF0"/>
    <w:rsid w:val="0096548A"/>
    <w:rsid w:val="0096627E"/>
    <w:rsid w:val="0096765D"/>
    <w:rsid w:val="0096765F"/>
    <w:rsid w:val="00970FED"/>
    <w:rsid w:val="00971467"/>
    <w:rsid w:val="009716E1"/>
    <w:rsid w:val="00971B9D"/>
    <w:rsid w:val="00975586"/>
    <w:rsid w:val="00980F06"/>
    <w:rsid w:val="00981CDE"/>
    <w:rsid w:val="00983ADC"/>
    <w:rsid w:val="00983F16"/>
    <w:rsid w:val="0098538D"/>
    <w:rsid w:val="009855CA"/>
    <w:rsid w:val="009863DF"/>
    <w:rsid w:val="00990B0F"/>
    <w:rsid w:val="00991784"/>
    <w:rsid w:val="00991858"/>
    <w:rsid w:val="00993774"/>
    <w:rsid w:val="0099401B"/>
    <w:rsid w:val="009948BF"/>
    <w:rsid w:val="00994B5F"/>
    <w:rsid w:val="00994C4D"/>
    <w:rsid w:val="00997029"/>
    <w:rsid w:val="009A237D"/>
    <w:rsid w:val="009A371B"/>
    <w:rsid w:val="009A51FE"/>
    <w:rsid w:val="009A5803"/>
    <w:rsid w:val="009A5FEE"/>
    <w:rsid w:val="009B1AF9"/>
    <w:rsid w:val="009B49C3"/>
    <w:rsid w:val="009B4E4C"/>
    <w:rsid w:val="009B710A"/>
    <w:rsid w:val="009B7FC4"/>
    <w:rsid w:val="009C009A"/>
    <w:rsid w:val="009D14E5"/>
    <w:rsid w:val="009D193A"/>
    <w:rsid w:val="009D1D0A"/>
    <w:rsid w:val="009D2175"/>
    <w:rsid w:val="009D690D"/>
    <w:rsid w:val="009D789C"/>
    <w:rsid w:val="009E0368"/>
    <w:rsid w:val="009E0DA3"/>
    <w:rsid w:val="009E180F"/>
    <w:rsid w:val="009E1ACD"/>
    <w:rsid w:val="009E1B6C"/>
    <w:rsid w:val="009E21B3"/>
    <w:rsid w:val="009E4A26"/>
    <w:rsid w:val="009E4D70"/>
    <w:rsid w:val="009E54A4"/>
    <w:rsid w:val="009E65B6"/>
    <w:rsid w:val="009F07B6"/>
    <w:rsid w:val="009F0A70"/>
    <w:rsid w:val="009F322C"/>
    <w:rsid w:val="009F36DF"/>
    <w:rsid w:val="009F3837"/>
    <w:rsid w:val="009F4BF8"/>
    <w:rsid w:val="009F5A81"/>
    <w:rsid w:val="009F5AEA"/>
    <w:rsid w:val="009F6080"/>
    <w:rsid w:val="009F6FBA"/>
    <w:rsid w:val="009F7624"/>
    <w:rsid w:val="009F7A7B"/>
    <w:rsid w:val="009F7D0F"/>
    <w:rsid w:val="00A03019"/>
    <w:rsid w:val="00A0417C"/>
    <w:rsid w:val="00A0479A"/>
    <w:rsid w:val="00A0498B"/>
    <w:rsid w:val="00A071C8"/>
    <w:rsid w:val="00A07347"/>
    <w:rsid w:val="00A075F0"/>
    <w:rsid w:val="00A144CA"/>
    <w:rsid w:val="00A14C4C"/>
    <w:rsid w:val="00A1597D"/>
    <w:rsid w:val="00A172F1"/>
    <w:rsid w:val="00A219ED"/>
    <w:rsid w:val="00A234BF"/>
    <w:rsid w:val="00A26BA8"/>
    <w:rsid w:val="00A26C02"/>
    <w:rsid w:val="00A31702"/>
    <w:rsid w:val="00A365B6"/>
    <w:rsid w:val="00A37BD5"/>
    <w:rsid w:val="00A42082"/>
    <w:rsid w:val="00A42AC3"/>
    <w:rsid w:val="00A430CF"/>
    <w:rsid w:val="00A44543"/>
    <w:rsid w:val="00A50791"/>
    <w:rsid w:val="00A51580"/>
    <w:rsid w:val="00A51B3B"/>
    <w:rsid w:val="00A52C32"/>
    <w:rsid w:val="00A541B0"/>
    <w:rsid w:val="00A54309"/>
    <w:rsid w:val="00A56FAA"/>
    <w:rsid w:val="00A602CE"/>
    <w:rsid w:val="00A618A6"/>
    <w:rsid w:val="00A6329A"/>
    <w:rsid w:val="00A6641A"/>
    <w:rsid w:val="00A6678F"/>
    <w:rsid w:val="00A70641"/>
    <w:rsid w:val="00A70760"/>
    <w:rsid w:val="00A721A9"/>
    <w:rsid w:val="00A7288B"/>
    <w:rsid w:val="00A808A3"/>
    <w:rsid w:val="00A81D37"/>
    <w:rsid w:val="00A83254"/>
    <w:rsid w:val="00A84FEE"/>
    <w:rsid w:val="00A90272"/>
    <w:rsid w:val="00A91627"/>
    <w:rsid w:val="00A92733"/>
    <w:rsid w:val="00A92903"/>
    <w:rsid w:val="00A9348F"/>
    <w:rsid w:val="00A96632"/>
    <w:rsid w:val="00AA0BED"/>
    <w:rsid w:val="00AA59AB"/>
    <w:rsid w:val="00AA6710"/>
    <w:rsid w:val="00AA7A81"/>
    <w:rsid w:val="00AB199B"/>
    <w:rsid w:val="00AB2B93"/>
    <w:rsid w:val="00AB58E1"/>
    <w:rsid w:val="00AB7340"/>
    <w:rsid w:val="00AB7929"/>
    <w:rsid w:val="00AB7E5B"/>
    <w:rsid w:val="00AC1A7B"/>
    <w:rsid w:val="00AC1EC8"/>
    <w:rsid w:val="00AC4B7C"/>
    <w:rsid w:val="00AC4C2D"/>
    <w:rsid w:val="00AC6AB1"/>
    <w:rsid w:val="00AD0F94"/>
    <w:rsid w:val="00AD7098"/>
    <w:rsid w:val="00AD75A6"/>
    <w:rsid w:val="00AE0E67"/>
    <w:rsid w:val="00AE0EF1"/>
    <w:rsid w:val="00AE183B"/>
    <w:rsid w:val="00AE2937"/>
    <w:rsid w:val="00AE3AEA"/>
    <w:rsid w:val="00AF0E26"/>
    <w:rsid w:val="00AF45D5"/>
    <w:rsid w:val="00AF60E9"/>
    <w:rsid w:val="00AF6AA8"/>
    <w:rsid w:val="00AF7240"/>
    <w:rsid w:val="00AF7905"/>
    <w:rsid w:val="00AF7A6A"/>
    <w:rsid w:val="00B00C26"/>
    <w:rsid w:val="00B00D41"/>
    <w:rsid w:val="00B03393"/>
    <w:rsid w:val="00B03954"/>
    <w:rsid w:val="00B03FE6"/>
    <w:rsid w:val="00B05041"/>
    <w:rsid w:val="00B050D1"/>
    <w:rsid w:val="00B0679D"/>
    <w:rsid w:val="00B07301"/>
    <w:rsid w:val="00B0763A"/>
    <w:rsid w:val="00B10CB2"/>
    <w:rsid w:val="00B1160A"/>
    <w:rsid w:val="00B1220E"/>
    <w:rsid w:val="00B13058"/>
    <w:rsid w:val="00B224DE"/>
    <w:rsid w:val="00B2483B"/>
    <w:rsid w:val="00B250FE"/>
    <w:rsid w:val="00B30836"/>
    <w:rsid w:val="00B32E7A"/>
    <w:rsid w:val="00B336B7"/>
    <w:rsid w:val="00B33B80"/>
    <w:rsid w:val="00B35EB1"/>
    <w:rsid w:val="00B40CE9"/>
    <w:rsid w:val="00B46575"/>
    <w:rsid w:val="00B46886"/>
    <w:rsid w:val="00B47277"/>
    <w:rsid w:val="00B50AEE"/>
    <w:rsid w:val="00B52229"/>
    <w:rsid w:val="00B52A88"/>
    <w:rsid w:val="00B624E1"/>
    <w:rsid w:val="00B626C8"/>
    <w:rsid w:val="00B63C72"/>
    <w:rsid w:val="00B659AE"/>
    <w:rsid w:val="00B65CB2"/>
    <w:rsid w:val="00B66F46"/>
    <w:rsid w:val="00B702A4"/>
    <w:rsid w:val="00B707CF"/>
    <w:rsid w:val="00B71EC5"/>
    <w:rsid w:val="00B771D8"/>
    <w:rsid w:val="00B8071C"/>
    <w:rsid w:val="00B81CFB"/>
    <w:rsid w:val="00B839B8"/>
    <w:rsid w:val="00B84BBD"/>
    <w:rsid w:val="00B867C9"/>
    <w:rsid w:val="00B86C42"/>
    <w:rsid w:val="00B87B4B"/>
    <w:rsid w:val="00B90A9D"/>
    <w:rsid w:val="00B91543"/>
    <w:rsid w:val="00B922DC"/>
    <w:rsid w:val="00B9237F"/>
    <w:rsid w:val="00B92A85"/>
    <w:rsid w:val="00B93915"/>
    <w:rsid w:val="00B93AB8"/>
    <w:rsid w:val="00B9474C"/>
    <w:rsid w:val="00B97AAB"/>
    <w:rsid w:val="00BA0883"/>
    <w:rsid w:val="00BA2D62"/>
    <w:rsid w:val="00BA43FB"/>
    <w:rsid w:val="00BA5AE2"/>
    <w:rsid w:val="00BA6856"/>
    <w:rsid w:val="00BA6FF2"/>
    <w:rsid w:val="00BB109E"/>
    <w:rsid w:val="00BB3FB8"/>
    <w:rsid w:val="00BB50AB"/>
    <w:rsid w:val="00BB60F3"/>
    <w:rsid w:val="00BC127D"/>
    <w:rsid w:val="00BC1A43"/>
    <w:rsid w:val="00BC1FE6"/>
    <w:rsid w:val="00BC31FF"/>
    <w:rsid w:val="00BC4016"/>
    <w:rsid w:val="00BC5EE5"/>
    <w:rsid w:val="00BD3549"/>
    <w:rsid w:val="00BE1428"/>
    <w:rsid w:val="00BE2C0C"/>
    <w:rsid w:val="00BE5C04"/>
    <w:rsid w:val="00BE6096"/>
    <w:rsid w:val="00BE66B1"/>
    <w:rsid w:val="00BE7282"/>
    <w:rsid w:val="00BE7C63"/>
    <w:rsid w:val="00BF1605"/>
    <w:rsid w:val="00BF294D"/>
    <w:rsid w:val="00C0436C"/>
    <w:rsid w:val="00C04B80"/>
    <w:rsid w:val="00C0579C"/>
    <w:rsid w:val="00C061B6"/>
    <w:rsid w:val="00C13703"/>
    <w:rsid w:val="00C152B8"/>
    <w:rsid w:val="00C16451"/>
    <w:rsid w:val="00C17567"/>
    <w:rsid w:val="00C203B3"/>
    <w:rsid w:val="00C209D9"/>
    <w:rsid w:val="00C2228D"/>
    <w:rsid w:val="00C2293A"/>
    <w:rsid w:val="00C23E2D"/>
    <w:rsid w:val="00C2446C"/>
    <w:rsid w:val="00C24EB3"/>
    <w:rsid w:val="00C26B14"/>
    <w:rsid w:val="00C27138"/>
    <w:rsid w:val="00C279D1"/>
    <w:rsid w:val="00C27AC4"/>
    <w:rsid w:val="00C27ED3"/>
    <w:rsid w:val="00C30BC8"/>
    <w:rsid w:val="00C318AA"/>
    <w:rsid w:val="00C3273B"/>
    <w:rsid w:val="00C32CC0"/>
    <w:rsid w:val="00C33374"/>
    <w:rsid w:val="00C34D78"/>
    <w:rsid w:val="00C35341"/>
    <w:rsid w:val="00C369CC"/>
    <w:rsid w:val="00C36AE5"/>
    <w:rsid w:val="00C370F0"/>
    <w:rsid w:val="00C4007C"/>
    <w:rsid w:val="00C4117C"/>
    <w:rsid w:val="00C41F17"/>
    <w:rsid w:val="00C4301A"/>
    <w:rsid w:val="00C431BE"/>
    <w:rsid w:val="00C44989"/>
    <w:rsid w:val="00C44B11"/>
    <w:rsid w:val="00C4536E"/>
    <w:rsid w:val="00C460DB"/>
    <w:rsid w:val="00C516E2"/>
    <w:rsid w:val="00C51D44"/>
    <w:rsid w:val="00C5211B"/>
    <w:rsid w:val="00C5280D"/>
    <w:rsid w:val="00C53563"/>
    <w:rsid w:val="00C54133"/>
    <w:rsid w:val="00C54693"/>
    <w:rsid w:val="00C56F66"/>
    <w:rsid w:val="00C5791C"/>
    <w:rsid w:val="00C60520"/>
    <w:rsid w:val="00C61584"/>
    <w:rsid w:val="00C6205E"/>
    <w:rsid w:val="00C624EE"/>
    <w:rsid w:val="00C631CF"/>
    <w:rsid w:val="00C651CE"/>
    <w:rsid w:val="00C66290"/>
    <w:rsid w:val="00C72B7A"/>
    <w:rsid w:val="00C7436F"/>
    <w:rsid w:val="00C74837"/>
    <w:rsid w:val="00C7561F"/>
    <w:rsid w:val="00C77BC6"/>
    <w:rsid w:val="00C8040E"/>
    <w:rsid w:val="00C80B9C"/>
    <w:rsid w:val="00C82CDF"/>
    <w:rsid w:val="00C83A09"/>
    <w:rsid w:val="00C945DF"/>
    <w:rsid w:val="00C948BC"/>
    <w:rsid w:val="00C94F97"/>
    <w:rsid w:val="00C95616"/>
    <w:rsid w:val="00C9720C"/>
    <w:rsid w:val="00C97334"/>
    <w:rsid w:val="00C973F2"/>
    <w:rsid w:val="00C97A00"/>
    <w:rsid w:val="00CA1C43"/>
    <w:rsid w:val="00CA304C"/>
    <w:rsid w:val="00CA4DA2"/>
    <w:rsid w:val="00CA6F02"/>
    <w:rsid w:val="00CA774A"/>
    <w:rsid w:val="00CA7E8F"/>
    <w:rsid w:val="00CB0CD5"/>
    <w:rsid w:val="00CB1B5E"/>
    <w:rsid w:val="00CB5AF7"/>
    <w:rsid w:val="00CB641C"/>
    <w:rsid w:val="00CC022F"/>
    <w:rsid w:val="00CC11B0"/>
    <w:rsid w:val="00CC2BA2"/>
    <w:rsid w:val="00CC5FC0"/>
    <w:rsid w:val="00CD0490"/>
    <w:rsid w:val="00CD68BB"/>
    <w:rsid w:val="00CD6C7A"/>
    <w:rsid w:val="00CD72D4"/>
    <w:rsid w:val="00CE0F95"/>
    <w:rsid w:val="00CE17EB"/>
    <w:rsid w:val="00CE2216"/>
    <w:rsid w:val="00CE2AE7"/>
    <w:rsid w:val="00CE3A39"/>
    <w:rsid w:val="00CE3CEF"/>
    <w:rsid w:val="00CE5FD0"/>
    <w:rsid w:val="00CE6E46"/>
    <w:rsid w:val="00CF6624"/>
    <w:rsid w:val="00CF7E36"/>
    <w:rsid w:val="00D00790"/>
    <w:rsid w:val="00D03064"/>
    <w:rsid w:val="00D03E85"/>
    <w:rsid w:val="00D03F81"/>
    <w:rsid w:val="00D0400F"/>
    <w:rsid w:val="00D04780"/>
    <w:rsid w:val="00D04BEC"/>
    <w:rsid w:val="00D06A3D"/>
    <w:rsid w:val="00D07D84"/>
    <w:rsid w:val="00D12972"/>
    <w:rsid w:val="00D13314"/>
    <w:rsid w:val="00D14973"/>
    <w:rsid w:val="00D152CA"/>
    <w:rsid w:val="00D248CF"/>
    <w:rsid w:val="00D24CE4"/>
    <w:rsid w:val="00D25164"/>
    <w:rsid w:val="00D25292"/>
    <w:rsid w:val="00D26E49"/>
    <w:rsid w:val="00D26EFC"/>
    <w:rsid w:val="00D271F8"/>
    <w:rsid w:val="00D31043"/>
    <w:rsid w:val="00D31458"/>
    <w:rsid w:val="00D3322A"/>
    <w:rsid w:val="00D33653"/>
    <w:rsid w:val="00D339E8"/>
    <w:rsid w:val="00D344A9"/>
    <w:rsid w:val="00D358A8"/>
    <w:rsid w:val="00D369F5"/>
    <w:rsid w:val="00D3708D"/>
    <w:rsid w:val="00D3715A"/>
    <w:rsid w:val="00D40426"/>
    <w:rsid w:val="00D41EFA"/>
    <w:rsid w:val="00D4258C"/>
    <w:rsid w:val="00D44522"/>
    <w:rsid w:val="00D45E3B"/>
    <w:rsid w:val="00D4720D"/>
    <w:rsid w:val="00D51065"/>
    <w:rsid w:val="00D51B2A"/>
    <w:rsid w:val="00D53647"/>
    <w:rsid w:val="00D55C44"/>
    <w:rsid w:val="00D55F8E"/>
    <w:rsid w:val="00D567E9"/>
    <w:rsid w:val="00D56822"/>
    <w:rsid w:val="00D57C96"/>
    <w:rsid w:val="00D602B2"/>
    <w:rsid w:val="00D637AF"/>
    <w:rsid w:val="00D64853"/>
    <w:rsid w:val="00D64A5E"/>
    <w:rsid w:val="00D64A65"/>
    <w:rsid w:val="00D67C1F"/>
    <w:rsid w:val="00D74A61"/>
    <w:rsid w:val="00D75B45"/>
    <w:rsid w:val="00D774B4"/>
    <w:rsid w:val="00D805DF"/>
    <w:rsid w:val="00D82215"/>
    <w:rsid w:val="00D823C0"/>
    <w:rsid w:val="00D84E23"/>
    <w:rsid w:val="00D87B68"/>
    <w:rsid w:val="00D91203"/>
    <w:rsid w:val="00D9331A"/>
    <w:rsid w:val="00D938AD"/>
    <w:rsid w:val="00D9514D"/>
    <w:rsid w:val="00D95174"/>
    <w:rsid w:val="00D97885"/>
    <w:rsid w:val="00DA3026"/>
    <w:rsid w:val="00DA3097"/>
    <w:rsid w:val="00DA6F36"/>
    <w:rsid w:val="00DA753C"/>
    <w:rsid w:val="00DA7E69"/>
    <w:rsid w:val="00DB0501"/>
    <w:rsid w:val="00DB418A"/>
    <w:rsid w:val="00DB5615"/>
    <w:rsid w:val="00DB596E"/>
    <w:rsid w:val="00DB5A46"/>
    <w:rsid w:val="00DB5F77"/>
    <w:rsid w:val="00DB7293"/>
    <w:rsid w:val="00DC00EA"/>
    <w:rsid w:val="00DC0509"/>
    <w:rsid w:val="00DC0939"/>
    <w:rsid w:val="00DC2968"/>
    <w:rsid w:val="00DC39ED"/>
    <w:rsid w:val="00DC5FDD"/>
    <w:rsid w:val="00DC744E"/>
    <w:rsid w:val="00DD16BA"/>
    <w:rsid w:val="00DD236B"/>
    <w:rsid w:val="00DD63D9"/>
    <w:rsid w:val="00DE2D28"/>
    <w:rsid w:val="00DE3DB9"/>
    <w:rsid w:val="00DF08DC"/>
    <w:rsid w:val="00DF71A8"/>
    <w:rsid w:val="00DF7B98"/>
    <w:rsid w:val="00E01686"/>
    <w:rsid w:val="00E02E99"/>
    <w:rsid w:val="00E0558B"/>
    <w:rsid w:val="00E0710F"/>
    <w:rsid w:val="00E07B41"/>
    <w:rsid w:val="00E10597"/>
    <w:rsid w:val="00E11464"/>
    <w:rsid w:val="00E11469"/>
    <w:rsid w:val="00E13185"/>
    <w:rsid w:val="00E14ED9"/>
    <w:rsid w:val="00E15270"/>
    <w:rsid w:val="00E16C19"/>
    <w:rsid w:val="00E17122"/>
    <w:rsid w:val="00E171B4"/>
    <w:rsid w:val="00E20DAB"/>
    <w:rsid w:val="00E20FFA"/>
    <w:rsid w:val="00E220A0"/>
    <w:rsid w:val="00E222D4"/>
    <w:rsid w:val="00E22964"/>
    <w:rsid w:val="00E22FEE"/>
    <w:rsid w:val="00E25A9D"/>
    <w:rsid w:val="00E25F4D"/>
    <w:rsid w:val="00E2726B"/>
    <w:rsid w:val="00E303BA"/>
    <w:rsid w:val="00E30D75"/>
    <w:rsid w:val="00E32F7E"/>
    <w:rsid w:val="00E34398"/>
    <w:rsid w:val="00E34872"/>
    <w:rsid w:val="00E42660"/>
    <w:rsid w:val="00E429EF"/>
    <w:rsid w:val="00E43AD5"/>
    <w:rsid w:val="00E444E9"/>
    <w:rsid w:val="00E46389"/>
    <w:rsid w:val="00E47A2D"/>
    <w:rsid w:val="00E5159F"/>
    <w:rsid w:val="00E51D87"/>
    <w:rsid w:val="00E51EB6"/>
    <w:rsid w:val="00E52C69"/>
    <w:rsid w:val="00E55F2A"/>
    <w:rsid w:val="00E628A1"/>
    <w:rsid w:val="00E635A1"/>
    <w:rsid w:val="00E67299"/>
    <w:rsid w:val="00E70626"/>
    <w:rsid w:val="00E7086D"/>
    <w:rsid w:val="00E72D49"/>
    <w:rsid w:val="00E738C6"/>
    <w:rsid w:val="00E739CC"/>
    <w:rsid w:val="00E73C7D"/>
    <w:rsid w:val="00E73F62"/>
    <w:rsid w:val="00E747B5"/>
    <w:rsid w:val="00E7593C"/>
    <w:rsid w:val="00E7678A"/>
    <w:rsid w:val="00E806AA"/>
    <w:rsid w:val="00E8566D"/>
    <w:rsid w:val="00E90D9A"/>
    <w:rsid w:val="00E91EB9"/>
    <w:rsid w:val="00E92CEE"/>
    <w:rsid w:val="00E935F1"/>
    <w:rsid w:val="00E94A81"/>
    <w:rsid w:val="00E9542C"/>
    <w:rsid w:val="00E9766C"/>
    <w:rsid w:val="00E979EE"/>
    <w:rsid w:val="00E97A50"/>
    <w:rsid w:val="00E97DD5"/>
    <w:rsid w:val="00EA1B50"/>
    <w:rsid w:val="00EA1FFB"/>
    <w:rsid w:val="00EA2862"/>
    <w:rsid w:val="00EA6404"/>
    <w:rsid w:val="00EA65F0"/>
    <w:rsid w:val="00EB048E"/>
    <w:rsid w:val="00EB27B4"/>
    <w:rsid w:val="00EB3534"/>
    <w:rsid w:val="00EC30F1"/>
    <w:rsid w:val="00EC3D6C"/>
    <w:rsid w:val="00EC40E4"/>
    <w:rsid w:val="00EC4B84"/>
    <w:rsid w:val="00EC5566"/>
    <w:rsid w:val="00EC6241"/>
    <w:rsid w:val="00EC62E9"/>
    <w:rsid w:val="00ED14D6"/>
    <w:rsid w:val="00ED151E"/>
    <w:rsid w:val="00ED1548"/>
    <w:rsid w:val="00ED50F0"/>
    <w:rsid w:val="00ED7F3D"/>
    <w:rsid w:val="00EE2E7B"/>
    <w:rsid w:val="00EE3140"/>
    <w:rsid w:val="00EE34DF"/>
    <w:rsid w:val="00EE5422"/>
    <w:rsid w:val="00EE66C5"/>
    <w:rsid w:val="00EE7E8C"/>
    <w:rsid w:val="00EF02A5"/>
    <w:rsid w:val="00EF2F89"/>
    <w:rsid w:val="00EF44FA"/>
    <w:rsid w:val="00EF4A62"/>
    <w:rsid w:val="00EF7168"/>
    <w:rsid w:val="00EF7331"/>
    <w:rsid w:val="00EF77F9"/>
    <w:rsid w:val="00EF7D8B"/>
    <w:rsid w:val="00F005EB"/>
    <w:rsid w:val="00F00638"/>
    <w:rsid w:val="00F01DB5"/>
    <w:rsid w:val="00F01DDE"/>
    <w:rsid w:val="00F05759"/>
    <w:rsid w:val="00F065F3"/>
    <w:rsid w:val="00F06684"/>
    <w:rsid w:val="00F0772D"/>
    <w:rsid w:val="00F1044C"/>
    <w:rsid w:val="00F10859"/>
    <w:rsid w:val="00F10ED4"/>
    <w:rsid w:val="00F11B56"/>
    <w:rsid w:val="00F1237A"/>
    <w:rsid w:val="00F12AD8"/>
    <w:rsid w:val="00F15A20"/>
    <w:rsid w:val="00F16ED6"/>
    <w:rsid w:val="00F20332"/>
    <w:rsid w:val="00F21495"/>
    <w:rsid w:val="00F21869"/>
    <w:rsid w:val="00F22913"/>
    <w:rsid w:val="00F22CBD"/>
    <w:rsid w:val="00F23232"/>
    <w:rsid w:val="00F27049"/>
    <w:rsid w:val="00F30F7D"/>
    <w:rsid w:val="00F3121E"/>
    <w:rsid w:val="00F3139C"/>
    <w:rsid w:val="00F31563"/>
    <w:rsid w:val="00F32A35"/>
    <w:rsid w:val="00F33662"/>
    <w:rsid w:val="00F35119"/>
    <w:rsid w:val="00F415CE"/>
    <w:rsid w:val="00F45372"/>
    <w:rsid w:val="00F46F7B"/>
    <w:rsid w:val="00F47916"/>
    <w:rsid w:val="00F524AF"/>
    <w:rsid w:val="00F52F87"/>
    <w:rsid w:val="00F55958"/>
    <w:rsid w:val="00F560F7"/>
    <w:rsid w:val="00F56C99"/>
    <w:rsid w:val="00F600C4"/>
    <w:rsid w:val="00F622E6"/>
    <w:rsid w:val="00F6334D"/>
    <w:rsid w:val="00F63C0F"/>
    <w:rsid w:val="00F641A2"/>
    <w:rsid w:val="00F70D8E"/>
    <w:rsid w:val="00F70E80"/>
    <w:rsid w:val="00F73675"/>
    <w:rsid w:val="00F76B7C"/>
    <w:rsid w:val="00F80602"/>
    <w:rsid w:val="00F814CE"/>
    <w:rsid w:val="00F839E1"/>
    <w:rsid w:val="00F91AE0"/>
    <w:rsid w:val="00F953BE"/>
    <w:rsid w:val="00F95EE6"/>
    <w:rsid w:val="00F96328"/>
    <w:rsid w:val="00FA0073"/>
    <w:rsid w:val="00FA0B55"/>
    <w:rsid w:val="00FA49AB"/>
    <w:rsid w:val="00FA6725"/>
    <w:rsid w:val="00FB0200"/>
    <w:rsid w:val="00FB080B"/>
    <w:rsid w:val="00FB10B9"/>
    <w:rsid w:val="00FB13A9"/>
    <w:rsid w:val="00FB4E78"/>
    <w:rsid w:val="00FC088F"/>
    <w:rsid w:val="00FC2942"/>
    <w:rsid w:val="00FC56A7"/>
    <w:rsid w:val="00FC5713"/>
    <w:rsid w:val="00FC5C97"/>
    <w:rsid w:val="00FC6DE8"/>
    <w:rsid w:val="00FC71B9"/>
    <w:rsid w:val="00FC7873"/>
    <w:rsid w:val="00FD021B"/>
    <w:rsid w:val="00FD03ED"/>
    <w:rsid w:val="00FD4C9E"/>
    <w:rsid w:val="00FD645F"/>
    <w:rsid w:val="00FD7233"/>
    <w:rsid w:val="00FD7720"/>
    <w:rsid w:val="00FE0FFC"/>
    <w:rsid w:val="00FE39C7"/>
    <w:rsid w:val="00FE3D3A"/>
    <w:rsid w:val="00FE6F8D"/>
    <w:rsid w:val="00FF3FD8"/>
    <w:rsid w:val="00FF4E15"/>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03E"/>
    <w:pPr>
      <w:jc w:val="both"/>
    </w:pPr>
    <w:rPr>
      <w:rFonts w:ascii="Arial" w:hAnsi="Arial"/>
    </w:rPr>
  </w:style>
  <w:style w:type="paragraph" w:styleId="Heading1">
    <w:name w:val="heading 1"/>
    <w:next w:val="Normal"/>
    <w:autoRedefine/>
    <w:qFormat/>
    <w:rsid w:val="002D6F42"/>
    <w:pPr>
      <w:keepNext/>
      <w:jc w:val="both"/>
      <w:outlineLvl w:val="0"/>
    </w:pPr>
    <w:rPr>
      <w:rFonts w:ascii="Arial" w:hAnsi="Arial"/>
      <w:caps/>
    </w:rPr>
  </w:style>
  <w:style w:type="paragraph" w:styleId="Heading2">
    <w:name w:val="heading 2"/>
    <w:next w:val="Normal"/>
    <w:autoRedefine/>
    <w:qFormat/>
    <w:rsid w:val="002D6F42"/>
    <w:pPr>
      <w:keepNext/>
      <w:jc w:val="both"/>
      <w:outlineLvl w:val="1"/>
    </w:pPr>
    <w:rPr>
      <w:rFonts w:ascii="Arial" w:hAnsi="Arial"/>
      <w:u w:val="single"/>
    </w:rPr>
  </w:style>
  <w:style w:type="paragraph" w:styleId="Heading3">
    <w:name w:val="heading 3"/>
    <w:next w:val="Normal"/>
    <w:link w:val="Heading3Char"/>
    <w:autoRedefine/>
    <w:qFormat/>
    <w:rsid w:val="0000674F"/>
    <w:pPr>
      <w:keepNext/>
      <w:ind w:left="567" w:hanging="567"/>
      <w:jc w:val="both"/>
      <w:outlineLvl w:val="2"/>
    </w:pPr>
    <w:rPr>
      <w:rFonts w:ascii="Arial" w:hAnsi="Arial"/>
      <w:b/>
      <w:caps/>
      <w:sz w:val="18"/>
    </w:rPr>
  </w:style>
  <w:style w:type="paragraph" w:styleId="Heading4">
    <w:name w:val="heading 4"/>
    <w:next w:val="Normal"/>
    <w:autoRedefine/>
    <w:qFormat/>
    <w:rsid w:val="001E671A"/>
    <w:pPr>
      <w:keepNext/>
      <w:ind w:left="567" w:hanging="567"/>
      <w:jc w:val="both"/>
      <w:outlineLvl w:val="3"/>
    </w:pPr>
    <w:rPr>
      <w:rFonts w:ascii="Arial" w:hAnsi="Arial"/>
      <w:b/>
      <w:smallCaps/>
    </w:rPr>
  </w:style>
  <w:style w:type="paragraph" w:styleId="Heading5">
    <w:name w:val="heading 5"/>
    <w:next w:val="Normal"/>
    <w:link w:val="Heading5Char"/>
    <w:autoRedefine/>
    <w:qFormat/>
    <w:rsid w:val="002D6F42"/>
    <w:pPr>
      <w:keepNext/>
      <w:jc w:val="both"/>
      <w:outlineLvl w:val="4"/>
    </w:pPr>
    <w:rPr>
      <w:rFonts w:ascii="Arial" w:hAnsi="Arial"/>
      <w:b/>
      <w:sz w:val="18"/>
    </w:rPr>
  </w:style>
  <w:style w:type="paragraph" w:styleId="Heading6">
    <w:name w:val="heading 6"/>
    <w:basedOn w:val="Normal"/>
    <w:next w:val="Normal"/>
    <w:link w:val="Heading6Char"/>
    <w:autoRedefine/>
    <w:qFormat/>
    <w:rsid w:val="00D33653"/>
    <w:pPr>
      <w:jc w:val="left"/>
      <w:outlineLvl w:val="5"/>
    </w:pPr>
    <w:rPr>
      <w:bCs/>
      <w:caps/>
      <w:sz w:val="18"/>
      <w:szCs w:val="22"/>
    </w:rPr>
  </w:style>
  <w:style w:type="paragraph" w:styleId="Heading7">
    <w:name w:val="heading 7"/>
    <w:basedOn w:val="Normal"/>
    <w:next w:val="Normal"/>
    <w:link w:val="Heading7Char"/>
    <w:autoRedefine/>
    <w:qFormat/>
    <w:rsid w:val="002D6F42"/>
    <w:pPr>
      <w:spacing w:after="240"/>
      <w:outlineLvl w:val="6"/>
    </w:pPr>
    <w:rPr>
      <w:b/>
      <w:sz w:val="18"/>
      <w:szCs w:val="24"/>
    </w:rPr>
  </w:style>
  <w:style w:type="paragraph" w:styleId="Heading8">
    <w:name w:val="heading 8"/>
    <w:basedOn w:val="Normal"/>
    <w:next w:val="Normal"/>
    <w:link w:val="Heading8Char"/>
    <w:qFormat/>
    <w:rsid w:val="00297FD2"/>
    <w:pPr>
      <w:spacing w:after="240"/>
      <w:jc w:val="left"/>
      <w:outlineLvl w:val="7"/>
    </w:pPr>
    <w:rPr>
      <w:iCs/>
      <w:sz w:val="18"/>
      <w:szCs w:val="24"/>
      <w:u w:val="single"/>
    </w:rPr>
  </w:style>
  <w:style w:type="paragraph" w:styleId="Heading9">
    <w:name w:val="heading 9"/>
    <w:basedOn w:val="Normal"/>
    <w:next w:val="Normal"/>
    <w:link w:val="Heading9Char"/>
    <w:qFormat/>
    <w:rsid w:val="002D6F42"/>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2D6F42"/>
    <w:pPr>
      <w:tabs>
        <w:tab w:val="center" w:pos="4536"/>
        <w:tab w:val="right" w:pos="9072"/>
      </w:tabs>
      <w:jc w:val="center"/>
    </w:pPr>
    <w:rPr>
      <w:rFonts w:ascii="Arial" w:hAnsi="Arial"/>
      <w:lang w:val="fr-FR"/>
    </w:rPr>
  </w:style>
  <w:style w:type="paragraph" w:styleId="Footer">
    <w:name w:val="footer"/>
    <w:aliases w:val="doc_path_name"/>
    <w:autoRedefine/>
    <w:rsid w:val="002D6F42"/>
    <w:pPr>
      <w:jc w:val="both"/>
    </w:pPr>
    <w:rPr>
      <w:rFonts w:ascii="Arial" w:hAnsi="Arial"/>
      <w:sz w:val="14"/>
    </w:rPr>
  </w:style>
  <w:style w:type="character" w:styleId="PageNumber">
    <w:name w:val="page number"/>
    <w:basedOn w:val="DefaultParagraphFont"/>
    <w:rsid w:val="002D6F42"/>
    <w:rPr>
      <w:rFonts w:ascii="Arial" w:hAnsi="Arial"/>
      <w:sz w:val="20"/>
    </w:rPr>
  </w:style>
  <w:style w:type="paragraph" w:styleId="Title">
    <w:name w:val="Title"/>
    <w:basedOn w:val="Normal"/>
    <w:qFormat/>
    <w:rsid w:val="002D6F42"/>
    <w:pPr>
      <w:spacing w:after="300"/>
      <w:jc w:val="center"/>
    </w:pPr>
    <w:rPr>
      <w:b/>
      <w:caps/>
      <w:kern w:val="28"/>
      <w:sz w:val="30"/>
    </w:rPr>
  </w:style>
  <w:style w:type="paragraph" w:customStyle="1" w:styleId="preparedby">
    <w:name w:val="preparedby"/>
    <w:basedOn w:val="Normal"/>
    <w:next w:val="Normal"/>
    <w:semiHidden/>
    <w:rsid w:val="002D6F42"/>
    <w:pPr>
      <w:spacing w:after="600"/>
      <w:jc w:val="center"/>
    </w:pPr>
    <w:rPr>
      <w:i/>
    </w:rPr>
  </w:style>
  <w:style w:type="paragraph" w:customStyle="1" w:styleId="Docoriginal">
    <w:name w:val="Doc_original"/>
    <w:basedOn w:val="Normal"/>
    <w:link w:val="DocoriginalChar"/>
    <w:rsid w:val="002D6F42"/>
    <w:pPr>
      <w:spacing w:line="280" w:lineRule="exact"/>
      <w:ind w:left="1361"/>
    </w:pPr>
    <w:rPr>
      <w:b/>
      <w:bCs/>
      <w:spacing w:val="10"/>
    </w:rPr>
  </w:style>
  <w:style w:type="paragraph" w:customStyle="1" w:styleId="DecisionParagraphs">
    <w:name w:val="DecisionParagraphs"/>
    <w:basedOn w:val="Normal"/>
    <w:link w:val="DecisionParagraphsChar"/>
    <w:rsid w:val="002D6F42"/>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2D6F42"/>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2D6F42"/>
    <w:rPr>
      <w:rFonts w:ascii="Arial" w:hAnsi="Arial"/>
      <w:sz w:val="16"/>
      <w:vertAlign w:val="superscript"/>
    </w:rPr>
  </w:style>
  <w:style w:type="paragraph" w:styleId="Closing">
    <w:name w:val="Closing"/>
    <w:basedOn w:val="Normal"/>
    <w:rsid w:val="002D6F42"/>
    <w:pPr>
      <w:ind w:left="4536"/>
      <w:jc w:val="center"/>
    </w:pPr>
  </w:style>
  <w:style w:type="paragraph" w:styleId="Index1">
    <w:name w:val="index 1"/>
    <w:basedOn w:val="Normal"/>
    <w:next w:val="Normal"/>
    <w:semiHidden/>
    <w:rsid w:val="002D6F42"/>
    <w:pPr>
      <w:tabs>
        <w:tab w:val="right" w:leader="dot" w:pos="9071"/>
      </w:tabs>
      <w:ind w:left="284" w:hanging="284"/>
    </w:pPr>
    <w:rPr>
      <w:sz w:val="24"/>
    </w:rPr>
  </w:style>
  <w:style w:type="paragraph" w:styleId="Index2">
    <w:name w:val="index 2"/>
    <w:basedOn w:val="Normal"/>
    <w:next w:val="Normal"/>
    <w:semiHidden/>
    <w:rsid w:val="002D6F42"/>
    <w:pPr>
      <w:tabs>
        <w:tab w:val="right" w:leader="dot" w:pos="9071"/>
      </w:tabs>
      <w:ind w:left="568" w:hanging="284"/>
    </w:pPr>
    <w:rPr>
      <w:sz w:val="24"/>
    </w:rPr>
  </w:style>
  <w:style w:type="paragraph" w:styleId="Index3">
    <w:name w:val="index 3"/>
    <w:basedOn w:val="Normal"/>
    <w:next w:val="Normal"/>
    <w:semiHidden/>
    <w:rsid w:val="002D6F42"/>
    <w:pPr>
      <w:tabs>
        <w:tab w:val="right" w:leader="dot" w:pos="9071"/>
      </w:tabs>
      <w:ind w:left="851" w:hanging="284"/>
    </w:pPr>
    <w:rPr>
      <w:sz w:val="24"/>
    </w:rPr>
  </w:style>
  <w:style w:type="paragraph" w:styleId="MacroText">
    <w:name w:val="macro"/>
    <w:semiHidden/>
    <w:rsid w:val="002D6F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2D6F42"/>
    <w:pPr>
      <w:ind w:left="4536"/>
      <w:jc w:val="center"/>
    </w:pPr>
  </w:style>
  <w:style w:type="character" w:customStyle="1" w:styleId="Doclang">
    <w:name w:val="Doc_lang"/>
    <w:basedOn w:val="DefaultParagraphFont"/>
    <w:rsid w:val="002D6F42"/>
    <w:rPr>
      <w:rFonts w:ascii="Arial" w:hAnsi="Arial"/>
      <w:sz w:val="20"/>
      <w:lang w:val="en-US"/>
    </w:rPr>
  </w:style>
  <w:style w:type="paragraph" w:customStyle="1" w:styleId="Session">
    <w:name w:val="Session"/>
    <w:basedOn w:val="Normal"/>
    <w:semiHidden/>
    <w:rsid w:val="002D6F42"/>
    <w:pPr>
      <w:spacing w:before="60"/>
      <w:jc w:val="center"/>
    </w:pPr>
    <w:rPr>
      <w:b/>
    </w:rPr>
  </w:style>
  <w:style w:type="paragraph" w:customStyle="1" w:styleId="Organizer">
    <w:name w:val="Organizer"/>
    <w:basedOn w:val="Normal"/>
    <w:semiHidden/>
    <w:rsid w:val="002D6F42"/>
    <w:pPr>
      <w:spacing w:after="600"/>
      <w:ind w:left="-993" w:right="-994"/>
      <w:jc w:val="center"/>
    </w:pPr>
    <w:rPr>
      <w:b/>
      <w:caps/>
      <w:kern w:val="26"/>
      <w:sz w:val="26"/>
    </w:rPr>
  </w:style>
  <w:style w:type="paragraph" w:styleId="BodyText">
    <w:name w:val="Body Text"/>
    <w:basedOn w:val="Normal"/>
    <w:link w:val="BodyTextChar"/>
    <w:rsid w:val="002D6F42"/>
  </w:style>
  <w:style w:type="paragraph" w:customStyle="1" w:styleId="StyleDocoriginalNotBold">
    <w:name w:val="Style Doc_original + Not Bold"/>
    <w:basedOn w:val="Docoriginal"/>
    <w:link w:val="StyleDocoriginalNotBoldChar"/>
    <w:autoRedefine/>
    <w:rsid w:val="002D6F42"/>
    <w:pPr>
      <w:ind w:left="1589"/>
      <w:jc w:val="left"/>
    </w:pPr>
  </w:style>
  <w:style w:type="paragraph" w:customStyle="1" w:styleId="upove">
    <w:name w:val="upov_e"/>
    <w:basedOn w:val="Normal"/>
    <w:rsid w:val="002D6F42"/>
    <w:pPr>
      <w:spacing w:before="60"/>
      <w:jc w:val="center"/>
    </w:pPr>
    <w:rPr>
      <w:b/>
      <w:bCs/>
      <w:spacing w:val="8"/>
      <w:sz w:val="24"/>
    </w:rPr>
  </w:style>
  <w:style w:type="paragraph" w:customStyle="1" w:styleId="TitleofDoc">
    <w:name w:val="Title of Doc"/>
    <w:basedOn w:val="Normal"/>
    <w:semiHidden/>
    <w:rsid w:val="002D6F42"/>
    <w:pPr>
      <w:spacing w:before="1200"/>
      <w:jc w:val="center"/>
    </w:pPr>
    <w:rPr>
      <w:caps/>
    </w:rPr>
  </w:style>
  <w:style w:type="paragraph" w:customStyle="1" w:styleId="preparedby0">
    <w:name w:val="prepared by"/>
    <w:basedOn w:val="Normal"/>
    <w:semiHidden/>
    <w:rsid w:val="002D6F42"/>
    <w:pPr>
      <w:spacing w:before="600" w:after="600"/>
      <w:jc w:val="center"/>
    </w:pPr>
    <w:rPr>
      <w:i/>
    </w:rPr>
  </w:style>
  <w:style w:type="paragraph" w:customStyle="1" w:styleId="PlaceAndDate">
    <w:name w:val="PlaceAndDate"/>
    <w:basedOn w:val="Session"/>
    <w:semiHidden/>
    <w:rsid w:val="002D6F42"/>
  </w:style>
  <w:style w:type="paragraph" w:styleId="EndnoteText">
    <w:name w:val="endnote text"/>
    <w:basedOn w:val="Normal"/>
    <w:link w:val="EndnoteTextChar"/>
    <w:semiHidden/>
    <w:rsid w:val="002D6F42"/>
  </w:style>
  <w:style w:type="character" w:styleId="EndnoteReference">
    <w:name w:val="endnote reference"/>
    <w:basedOn w:val="DefaultParagraphFont"/>
    <w:semiHidden/>
    <w:rsid w:val="002D6F42"/>
    <w:rPr>
      <w:vertAlign w:val="superscript"/>
    </w:rPr>
  </w:style>
  <w:style w:type="paragraph" w:customStyle="1" w:styleId="SessionMeetingPlace">
    <w:name w:val="Session_MeetingPlace"/>
    <w:basedOn w:val="Normal"/>
    <w:semiHidden/>
    <w:rsid w:val="002D6F42"/>
    <w:pPr>
      <w:spacing w:before="480"/>
      <w:jc w:val="center"/>
    </w:pPr>
    <w:rPr>
      <w:b/>
      <w:bCs/>
      <w:kern w:val="28"/>
      <w:sz w:val="24"/>
    </w:rPr>
  </w:style>
  <w:style w:type="paragraph" w:customStyle="1" w:styleId="Original">
    <w:name w:val="Original"/>
    <w:basedOn w:val="Normal"/>
    <w:semiHidden/>
    <w:rsid w:val="002D6F42"/>
    <w:pPr>
      <w:spacing w:before="60"/>
      <w:ind w:left="1276"/>
    </w:pPr>
    <w:rPr>
      <w:b/>
      <w:sz w:val="22"/>
    </w:rPr>
  </w:style>
  <w:style w:type="paragraph" w:styleId="Date">
    <w:name w:val="Date"/>
    <w:basedOn w:val="Normal"/>
    <w:semiHidden/>
    <w:rsid w:val="002D6F42"/>
    <w:pPr>
      <w:spacing w:line="340" w:lineRule="exact"/>
      <w:ind w:left="1276"/>
    </w:pPr>
    <w:rPr>
      <w:b/>
      <w:sz w:val="22"/>
    </w:rPr>
  </w:style>
  <w:style w:type="paragraph" w:customStyle="1" w:styleId="Code">
    <w:name w:val="Code"/>
    <w:basedOn w:val="Normal"/>
    <w:link w:val="CodeChar"/>
    <w:semiHidden/>
    <w:rsid w:val="002D6F42"/>
    <w:pPr>
      <w:spacing w:line="340" w:lineRule="atLeast"/>
      <w:ind w:left="1276"/>
    </w:pPr>
    <w:rPr>
      <w:b/>
      <w:bCs/>
      <w:spacing w:val="10"/>
    </w:rPr>
  </w:style>
  <w:style w:type="paragraph" w:customStyle="1" w:styleId="Country">
    <w:name w:val="Country"/>
    <w:basedOn w:val="Normal"/>
    <w:semiHidden/>
    <w:rsid w:val="002D6F42"/>
    <w:pPr>
      <w:spacing w:before="60" w:after="480"/>
      <w:jc w:val="center"/>
    </w:pPr>
  </w:style>
  <w:style w:type="paragraph" w:customStyle="1" w:styleId="Lettrine">
    <w:name w:val="Lettrine"/>
    <w:basedOn w:val="Normal"/>
    <w:rsid w:val="002D6F42"/>
    <w:pPr>
      <w:spacing w:after="120" w:line="340" w:lineRule="atLeast"/>
      <w:jc w:val="right"/>
    </w:pPr>
    <w:rPr>
      <w:b/>
      <w:bCs/>
      <w:sz w:val="56"/>
    </w:rPr>
  </w:style>
  <w:style w:type="paragraph" w:customStyle="1" w:styleId="LogoUPOV">
    <w:name w:val="LogoUPOV"/>
    <w:basedOn w:val="Normal"/>
    <w:rsid w:val="002D6F42"/>
    <w:pPr>
      <w:spacing w:before="720"/>
      <w:jc w:val="center"/>
    </w:pPr>
  </w:style>
  <w:style w:type="paragraph" w:customStyle="1" w:styleId="Sessiontc">
    <w:name w:val="Session_tc"/>
    <w:basedOn w:val="StyleSessionAllcaps"/>
    <w:rsid w:val="002D6F42"/>
    <w:pPr>
      <w:spacing w:before="240"/>
    </w:pPr>
  </w:style>
  <w:style w:type="paragraph" w:customStyle="1" w:styleId="TitreUpov">
    <w:name w:val="TitreUpov"/>
    <w:basedOn w:val="Normal"/>
    <w:semiHidden/>
    <w:rsid w:val="002D6F42"/>
    <w:pPr>
      <w:spacing w:before="60"/>
      <w:jc w:val="center"/>
    </w:pPr>
    <w:rPr>
      <w:b/>
      <w:sz w:val="24"/>
    </w:rPr>
  </w:style>
  <w:style w:type="paragraph" w:customStyle="1" w:styleId="StyleSessionAllcaps">
    <w:name w:val="Style Session + All caps"/>
    <w:basedOn w:val="Session"/>
    <w:semiHidden/>
    <w:rsid w:val="002D6F42"/>
    <w:pPr>
      <w:spacing w:before="480"/>
    </w:pPr>
    <w:rPr>
      <w:bCs/>
      <w:caps/>
      <w:kern w:val="28"/>
      <w:sz w:val="24"/>
    </w:rPr>
  </w:style>
  <w:style w:type="paragraph" w:customStyle="1" w:styleId="plcountry">
    <w:name w:val="plcountry"/>
    <w:basedOn w:val="Normal"/>
    <w:rsid w:val="002D6F42"/>
    <w:pPr>
      <w:keepNext/>
      <w:keepLines/>
      <w:spacing w:before="180" w:after="120"/>
      <w:jc w:val="left"/>
    </w:pPr>
    <w:rPr>
      <w:caps/>
      <w:noProof/>
      <w:snapToGrid w:val="0"/>
      <w:u w:val="single"/>
    </w:rPr>
  </w:style>
  <w:style w:type="paragraph" w:customStyle="1" w:styleId="pldetails">
    <w:name w:val="pldetails"/>
    <w:basedOn w:val="Normal"/>
    <w:rsid w:val="002D6F42"/>
    <w:pPr>
      <w:keepLines/>
      <w:spacing w:before="60" w:after="60"/>
      <w:jc w:val="left"/>
    </w:pPr>
    <w:rPr>
      <w:noProof/>
      <w:snapToGrid w:val="0"/>
    </w:rPr>
  </w:style>
  <w:style w:type="paragraph" w:customStyle="1" w:styleId="plheading">
    <w:name w:val="plheading"/>
    <w:basedOn w:val="Normal"/>
    <w:rsid w:val="002D6F42"/>
    <w:pPr>
      <w:keepNext/>
      <w:spacing w:before="480" w:after="120"/>
      <w:jc w:val="center"/>
    </w:pPr>
    <w:rPr>
      <w:caps/>
      <w:snapToGrid w:val="0"/>
      <w:u w:val="single"/>
    </w:rPr>
  </w:style>
  <w:style w:type="paragraph" w:customStyle="1" w:styleId="Sessiontcplacedate">
    <w:name w:val="Session_tc_place_date"/>
    <w:basedOn w:val="SessionMeetingPlace"/>
    <w:rsid w:val="002D6F42"/>
    <w:pPr>
      <w:spacing w:before="240"/>
    </w:pPr>
  </w:style>
  <w:style w:type="paragraph" w:customStyle="1" w:styleId="Titleofdoc0">
    <w:name w:val="Title_of_doc"/>
    <w:basedOn w:val="Normal"/>
    <w:rsid w:val="002D6F42"/>
    <w:pPr>
      <w:spacing w:before="600"/>
      <w:jc w:val="center"/>
    </w:pPr>
    <w:rPr>
      <w:caps/>
    </w:rPr>
  </w:style>
  <w:style w:type="paragraph" w:customStyle="1" w:styleId="preparedby1">
    <w:name w:val="prepared_by"/>
    <w:basedOn w:val="Normal"/>
    <w:rsid w:val="002D6F42"/>
    <w:pPr>
      <w:spacing w:before="240" w:after="600"/>
      <w:jc w:val="center"/>
    </w:pPr>
    <w:rPr>
      <w:i/>
    </w:rPr>
  </w:style>
  <w:style w:type="character" w:customStyle="1" w:styleId="CodeChar">
    <w:name w:val="Code Char"/>
    <w:basedOn w:val="DefaultParagraphFont"/>
    <w:link w:val="Code"/>
    <w:semiHidden/>
    <w:rsid w:val="002D6F42"/>
    <w:rPr>
      <w:rFonts w:ascii="Arial" w:hAnsi="Arial"/>
      <w:b/>
      <w:bCs/>
      <w:spacing w:val="10"/>
    </w:rPr>
  </w:style>
  <w:style w:type="paragraph" w:customStyle="1" w:styleId="endofdoc">
    <w:name w:val="end_of_doc"/>
    <w:autoRedefine/>
    <w:rsid w:val="002D6F42"/>
    <w:pPr>
      <w:spacing w:before="480"/>
      <w:ind w:left="567" w:hanging="567"/>
      <w:jc w:val="right"/>
    </w:pPr>
    <w:rPr>
      <w:rFonts w:ascii="Arial" w:hAnsi="Arial"/>
    </w:rPr>
  </w:style>
  <w:style w:type="character" w:customStyle="1" w:styleId="DocoriginalChar">
    <w:name w:val="Doc_original Char"/>
    <w:basedOn w:val="DefaultParagraphFont"/>
    <w:link w:val="Docoriginal"/>
    <w:rsid w:val="002D6F42"/>
    <w:rPr>
      <w:rFonts w:ascii="Arial" w:hAnsi="Arial"/>
      <w:b/>
      <w:bCs/>
      <w:spacing w:val="10"/>
    </w:rPr>
  </w:style>
  <w:style w:type="character" w:customStyle="1" w:styleId="StyleDocoriginalNotBoldChar">
    <w:name w:val="Style Doc_original + Not Bold Char"/>
    <w:basedOn w:val="DocoriginalChar"/>
    <w:link w:val="StyleDocoriginalNotBold"/>
    <w:rsid w:val="002D6F42"/>
    <w:rPr>
      <w:rFonts w:ascii="Arial" w:hAnsi="Arial"/>
      <w:b/>
      <w:bCs/>
      <w:spacing w:val="10"/>
    </w:rPr>
  </w:style>
  <w:style w:type="paragraph" w:customStyle="1" w:styleId="StyleDocnumber">
    <w:name w:val="Style Doc_number"/>
    <w:basedOn w:val="Docoriginal"/>
    <w:rsid w:val="002D6F42"/>
    <w:pPr>
      <w:ind w:left="1589"/>
    </w:pPr>
  </w:style>
  <w:style w:type="paragraph" w:customStyle="1" w:styleId="StyleDocoriginal">
    <w:name w:val="Style Doc_original"/>
    <w:basedOn w:val="Docoriginal"/>
    <w:link w:val="StyleDocoriginalChar"/>
    <w:rsid w:val="002D6F42"/>
  </w:style>
  <w:style w:type="character" w:customStyle="1" w:styleId="StyleDocoriginalChar">
    <w:name w:val="Style Doc_original Char"/>
    <w:basedOn w:val="DocoriginalChar"/>
    <w:link w:val="StyleDocoriginal"/>
    <w:rsid w:val="002D6F4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D6F4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D6F42"/>
    <w:rPr>
      <w:rFonts w:ascii="Arial" w:hAnsi="Arial"/>
      <w:b w:val="0"/>
      <w:bCs w:val="0"/>
      <w:spacing w:val="10"/>
    </w:rPr>
  </w:style>
  <w:style w:type="character" w:customStyle="1" w:styleId="StyleDocoriginalNotBold1">
    <w:name w:val="Style Doc_original + Not Bold1"/>
    <w:basedOn w:val="DefaultParagraphFont"/>
    <w:rsid w:val="002D6F42"/>
    <w:rPr>
      <w:rFonts w:ascii="Arial" w:hAnsi="Arial"/>
      <w:b/>
      <w:bCs/>
      <w:spacing w:val="10"/>
      <w:lang w:val="en-US" w:eastAsia="en-US" w:bidi="ar-SA"/>
    </w:rPr>
  </w:style>
  <w:style w:type="character" w:customStyle="1" w:styleId="StyleDoclangBold">
    <w:name w:val="Style Doc_lang + Bold"/>
    <w:basedOn w:val="Doclang"/>
    <w:rsid w:val="002D6F42"/>
    <w:rPr>
      <w:rFonts w:ascii="Arial" w:hAnsi="Arial"/>
      <w:b/>
      <w:bCs/>
      <w:sz w:val="20"/>
      <w:lang w:val="en-US"/>
    </w:rPr>
  </w:style>
  <w:style w:type="paragraph" w:styleId="TOC2">
    <w:name w:val="toc 2"/>
    <w:next w:val="Normal"/>
    <w:autoRedefine/>
    <w:uiPriority w:val="39"/>
    <w:rsid w:val="002D6F42"/>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2D6F42"/>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2D6F42"/>
    <w:rPr>
      <w:rFonts w:ascii="Arial" w:hAnsi="Arial"/>
      <w:color w:val="0000FF"/>
      <w:u w:val="single"/>
    </w:rPr>
  </w:style>
  <w:style w:type="paragraph" w:styleId="TOC4">
    <w:name w:val="toc 4"/>
    <w:next w:val="Normal"/>
    <w:autoRedefine/>
    <w:uiPriority w:val="39"/>
    <w:rsid w:val="0034381C"/>
    <w:pPr>
      <w:tabs>
        <w:tab w:val="right" w:leader="dot" w:pos="9639"/>
      </w:tabs>
      <w:spacing w:before="40" w:after="80"/>
      <w:ind w:left="142" w:right="284"/>
    </w:pPr>
    <w:rPr>
      <w:rFonts w:ascii="Arial" w:hAnsi="Arial"/>
      <w:b/>
      <w:smallCaps/>
      <w:noProof/>
      <w:sz w:val="18"/>
      <w:lang w:val="fr-FR"/>
    </w:rPr>
  </w:style>
  <w:style w:type="paragraph" w:styleId="TOC1">
    <w:name w:val="toc 1"/>
    <w:next w:val="Normal"/>
    <w:autoRedefine/>
    <w:uiPriority w:val="39"/>
    <w:rsid w:val="002D6F42"/>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297FD2"/>
    <w:pPr>
      <w:keepNext/>
      <w:tabs>
        <w:tab w:val="right" w:leader="dot" w:pos="9639"/>
      </w:tabs>
      <w:spacing w:before="40" w:after="40"/>
      <w:ind w:left="284" w:right="284"/>
      <w:jc w:val="both"/>
    </w:pPr>
    <w:rPr>
      <w:rFonts w:ascii="Arial" w:hAnsi="Arial"/>
      <w:b/>
      <w:noProof/>
      <w:sz w:val="18"/>
      <w:szCs w:val="18"/>
      <w:lang w:val="fr-FR"/>
    </w:rPr>
  </w:style>
  <w:style w:type="paragraph" w:styleId="BalloonText">
    <w:name w:val="Balloon Text"/>
    <w:basedOn w:val="Normal"/>
    <w:link w:val="BalloonTextChar"/>
    <w:rsid w:val="002D6F42"/>
    <w:rPr>
      <w:rFonts w:ascii="Tahoma" w:hAnsi="Tahoma" w:cs="Tahoma"/>
      <w:sz w:val="16"/>
      <w:szCs w:val="16"/>
    </w:rPr>
  </w:style>
  <w:style w:type="character" w:customStyle="1" w:styleId="BalloonTextChar">
    <w:name w:val="Balloon Text Char"/>
    <w:basedOn w:val="DefaultParagraphFont"/>
    <w:link w:val="BalloonText"/>
    <w:rsid w:val="002D6F42"/>
    <w:rPr>
      <w:rFonts w:ascii="Tahoma" w:hAnsi="Tahoma" w:cs="Tahoma"/>
      <w:sz w:val="16"/>
      <w:szCs w:val="16"/>
    </w:rPr>
  </w:style>
  <w:style w:type="table" w:styleId="TableGrid">
    <w:name w:val="Table Grid"/>
    <w:basedOn w:val="TableNormal"/>
    <w:rsid w:val="002D6F4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F42"/>
    <w:pPr>
      <w:ind w:left="720"/>
      <w:contextualSpacing/>
    </w:p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D6F42"/>
    <w:rPr>
      <w:rFonts w:ascii="Arial" w:hAnsi="Arial"/>
      <w:sz w:val="16"/>
    </w:rPr>
  </w:style>
  <w:style w:type="character" w:customStyle="1" w:styleId="Heading6Char">
    <w:name w:val="Heading 6 Char"/>
    <w:basedOn w:val="DefaultParagraphFont"/>
    <w:link w:val="Heading6"/>
    <w:rsid w:val="00D33653"/>
    <w:rPr>
      <w:rFonts w:ascii="Arial" w:hAnsi="Arial"/>
      <w:bCs/>
      <w:caps/>
      <w:sz w:val="18"/>
      <w:szCs w:val="22"/>
    </w:rPr>
  </w:style>
  <w:style w:type="character" w:customStyle="1" w:styleId="Heading7Char">
    <w:name w:val="Heading 7 Char"/>
    <w:basedOn w:val="DefaultParagraphFont"/>
    <w:link w:val="Heading7"/>
    <w:rsid w:val="002D6F42"/>
    <w:rPr>
      <w:rFonts w:ascii="Arial" w:hAnsi="Arial"/>
      <w:b/>
      <w:sz w:val="18"/>
      <w:szCs w:val="24"/>
    </w:rPr>
  </w:style>
  <w:style w:type="character" w:customStyle="1" w:styleId="Heading8Char">
    <w:name w:val="Heading 8 Char"/>
    <w:basedOn w:val="DefaultParagraphFont"/>
    <w:link w:val="Heading8"/>
    <w:rsid w:val="00297FD2"/>
    <w:rPr>
      <w:rFonts w:ascii="Arial" w:hAnsi="Arial"/>
      <w:iCs/>
      <w:sz w:val="18"/>
      <w:szCs w:val="24"/>
      <w:u w:val="single"/>
    </w:rPr>
  </w:style>
  <w:style w:type="paragraph" w:styleId="TOC6">
    <w:name w:val="toc 6"/>
    <w:basedOn w:val="Normal"/>
    <w:next w:val="Normal"/>
    <w:autoRedefine/>
    <w:uiPriority w:val="39"/>
    <w:rsid w:val="0038713F"/>
    <w:pPr>
      <w:keepNext/>
      <w:tabs>
        <w:tab w:val="right" w:leader="dot" w:pos="9629"/>
      </w:tabs>
      <w:spacing w:after="40"/>
      <w:ind w:left="567" w:right="284"/>
      <w:jc w:val="left"/>
    </w:pPr>
    <w:rPr>
      <w:caps/>
      <w:noProof/>
      <w:sz w:val="18"/>
      <w:szCs w:val="18"/>
    </w:rPr>
  </w:style>
  <w:style w:type="paragraph" w:styleId="TOC7">
    <w:name w:val="toc 7"/>
    <w:basedOn w:val="Normal"/>
    <w:next w:val="Normal"/>
    <w:autoRedefine/>
    <w:uiPriority w:val="39"/>
    <w:rsid w:val="002D6F42"/>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013A6"/>
    <w:pPr>
      <w:tabs>
        <w:tab w:val="right" w:leader="dot" w:pos="9629"/>
      </w:tabs>
      <w:spacing w:after="40"/>
      <w:ind w:left="1134" w:right="284"/>
      <w:jc w:val="left"/>
    </w:pPr>
    <w:rPr>
      <w:noProof/>
      <w:sz w:val="18"/>
      <w:szCs w:val="18"/>
    </w:rPr>
  </w:style>
  <w:style w:type="paragraph" w:styleId="TOC9">
    <w:name w:val="toc 9"/>
    <w:basedOn w:val="Normal"/>
    <w:next w:val="Normal"/>
    <w:autoRedefine/>
    <w:uiPriority w:val="39"/>
    <w:rsid w:val="001136A3"/>
    <w:pPr>
      <w:tabs>
        <w:tab w:val="right" w:leader="dot" w:pos="9629"/>
      </w:tabs>
      <w:spacing w:after="40"/>
      <w:ind w:left="1701" w:right="284"/>
      <w:contextualSpacing/>
      <w:jc w:val="left"/>
    </w:pPr>
    <w:rPr>
      <w:noProof/>
      <w:sz w:val="18"/>
      <w:szCs w:val="18"/>
    </w:rPr>
  </w:style>
  <w:style w:type="character" w:customStyle="1" w:styleId="BodyTextChar">
    <w:name w:val="Body Text Char"/>
    <w:basedOn w:val="DefaultParagraphFont"/>
    <w:link w:val="BodyText"/>
    <w:locked/>
    <w:rsid w:val="002D6F42"/>
    <w:rPr>
      <w:rFonts w:ascii="Arial" w:hAnsi="Arial"/>
    </w:rPr>
  </w:style>
  <w:style w:type="paragraph" w:styleId="CommentText">
    <w:name w:val="annotation text"/>
    <w:basedOn w:val="Normal"/>
    <w:link w:val="CommentTextChar"/>
    <w:rsid w:val="002D6F42"/>
    <w:pPr>
      <w:jc w:val="left"/>
    </w:pPr>
    <w:rPr>
      <w:rFonts w:ascii="Times New Roman" w:hAnsi="Times New Roman"/>
      <w:sz w:val="22"/>
    </w:rPr>
  </w:style>
  <w:style w:type="character" w:customStyle="1" w:styleId="CommentTextChar">
    <w:name w:val="Comment Text Char"/>
    <w:basedOn w:val="DefaultParagraphFont"/>
    <w:link w:val="CommentText"/>
    <w:rsid w:val="002D6F42"/>
    <w:rPr>
      <w:sz w:val="22"/>
    </w:rPr>
  </w:style>
  <w:style w:type="character" w:customStyle="1" w:styleId="DecisionParagraphsChar">
    <w:name w:val="DecisionParagraphs Char"/>
    <w:basedOn w:val="DefaultParagraphFont"/>
    <w:link w:val="DecisionParagraphs"/>
    <w:rsid w:val="002D6F42"/>
    <w:rPr>
      <w:rFonts w:ascii="Arial" w:hAnsi="Arial"/>
      <w:i/>
    </w:rPr>
  </w:style>
  <w:style w:type="paragraph" w:customStyle="1" w:styleId="Draft">
    <w:name w:val="Draft"/>
    <w:basedOn w:val="Normal"/>
    <w:next w:val="preparedby"/>
    <w:rsid w:val="002D6F42"/>
    <w:pPr>
      <w:spacing w:before="720" w:after="480"/>
      <w:jc w:val="center"/>
    </w:pPr>
    <w:rPr>
      <w:rFonts w:ascii="Times New Roman" w:hAnsi="Times New Roman"/>
      <w:caps/>
      <w:sz w:val="28"/>
    </w:rPr>
  </w:style>
  <w:style w:type="paragraph" w:customStyle="1" w:styleId="Committee">
    <w:name w:val="Committee"/>
    <w:basedOn w:val="Title"/>
    <w:rsid w:val="002D6F42"/>
    <w:rPr>
      <w:caps w:val="0"/>
    </w:rPr>
  </w:style>
  <w:style w:type="paragraph" w:styleId="BodyTextIndent">
    <w:name w:val="Body Text Indent"/>
    <w:basedOn w:val="Normal"/>
    <w:link w:val="BodyTextIndentChar"/>
    <w:rsid w:val="002D6F42"/>
    <w:rPr>
      <w:rFonts w:ascii="Times New Roman" w:hAnsi="Times New Roman"/>
      <w:sz w:val="24"/>
      <w:u w:val="single"/>
    </w:rPr>
  </w:style>
  <w:style w:type="character" w:customStyle="1" w:styleId="BodyTextIndentChar">
    <w:name w:val="Body Text Indent Char"/>
    <w:basedOn w:val="DefaultParagraphFont"/>
    <w:link w:val="BodyTextIndent"/>
    <w:rsid w:val="002D6F42"/>
    <w:rPr>
      <w:sz w:val="24"/>
      <w:u w:val="single"/>
    </w:rPr>
  </w:style>
  <w:style w:type="table" w:customStyle="1" w:styleId="TableGrid1">
    <w:name w:val="Table Grid1"/>
    <w:basedOn w:val="TableNormal"/>
    <w:next w:val="TableGrid"/>
    <w:rsid w:val="00DC744E"/>
    <w:rPr>
      <w:rFonts w:ascii="CG Times" w:eastAsiaTheme="minorEastAsia"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093547"/>
    <w:rPr>
      <w:rFonts w:ascii="Arial" w:hAnsi="Arial"/>
      <w:b/>
      <w:sz w:val="18"/>
    </w:rPr>
  </w:style>
  <w:style w:type="paragraph" w:customStyle="1" w:styleId="Default">
    <w:name w:val="Default"/>
    <w:rsid w:val="00E171B4"/>
    <w:pPr>
      <w:autoSpaceDE w:val="0"/>
      <w:autoSpaceDN w:val="0"/>
      <w:adjustRightInd w:val="0"/>
    </w:pPr>
    <w:rPr>
      <w:rFonts w:ascii="Arial" w:eastAsiaTheme="minorEastAsia" w:hAnsi="Arial" w:cs="Arial"/>
      <w:color w:val="000000"/>
      <w:sz w:val="24"/>
      <w:szCs w:val="24"/>
    </w:rPr>
  </w:style>
  <w:style w:type="paragraph" w:styleId="BodyText3">
    <w:name w:val="Body Text 3"/>
    <w:basedOn w:val="Normal"/>
    <w:link w:val="BodyText3Char"/>
    <w:rsid w:val="00515214"/>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515214"/>
    <w:rPr>
      <w:sz w:val="16"/>
      <w:szCs w:val="16"/>
    </w:rPr>
  </w:style>
  <w:style w:type="paragraph" w:customStyle="1" w:styleId="BodyTextKeep">
    <w:name w:val="Body Text Keep"/>
    <w:basedOn w:val="BodyText"/>
    <w:rsid w:val="00515214"/>
    <w:pPr>
      <w:keepNext/>
      <w:spacing w:after="160"/>
      <w:jc w:val="left"/>
    </w:pPr>
    <w:rPr>
      <w:rFonts w:ascii="Times New Roman" w:hAnsi="Times New Roman"/>
    </w:rPr>
  </w:style>
  <w:style w:type="character" w:customStyle="1" w:styleId="Heading3Char">
    <w:name w:val="Heading 3 Char"/>
    <w:basedOn w:val="DefaultParagraphFont"/>
    <w:link w:val="Heading3"/>
    <w:rsid w:val="00920A93"/>
    <w:rPr>
      <w:rFonts w:ascii="Arial" w:hAnsi="Arial"/>
      <w:b/>
      <w:caps/>
      <w:sz w:val="18"/>
    </w:rPr>
  </w:style>
  <w:style w:type="character" w:customStyle="1" w:styleId="Heading5Char">
    <w:name w:val="Heading 5 Char"/>
    <w:basedOn w:val="DefaultParagraphFont"/>
    <w:link w:val="Heading5"/>
    <w:rsid w:val="00812B7D"/>
    <w:rPr>
      <w:rFonts w:ascii="Arial" w:hAnsi="Arial"/>
      <w:b/>
      <w:sz w:val="18"/>
    </w:rPr>
  </w:style>
  <w:style w:type="character" w:customStyle="1" w:styleId="EndnoteTextChar">
    <w:name w:val="Endnote Text Char"/>
    <w:basedOn w:val="DefaultParagraphFont"/>
    <w:link w:val="EndnoteText"/>
    <w:semiHidden/>
    <w:rsid w:val="00624AF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03E"/>
    <w:pPr>
      <w:jc w:val="both"/>
    </w:pPr>
    <w:rPr>
      <w:rFonts w:ascii="Arial" w:hAnsi="Arial"/>
    </w:rPr>
  </w:style>
  <w:style w:type="paragraph" w:styleId="Heading1">
    <w:name w:val="heading 1"/>
    <w:next w:val="Normal"/>
    <w:autoRedefine/>
    <w:qFormat/>
    <w:rsid w:val="002D6F42"/>
    <w:pPr>
      <w:keepNext/>
      <w:jc w:val="both"/>
      <w:outlineLvl w:val="0"/>
    </w:pPr>
    <w:rPr>
      <w:rFonts w:ascii="Arial" w:hAnsi="Arial"/>
      <w:caps/>
    </w:rPr>
  </w:style>
  <w:style w:type="paragraph" w:styleId="Heading2">
    <w:name w:val="heading 2"/>
    <w:next w:val="Normal"/>
    <w:autoRedefine/>
    <w:qFormat/>
    <w:rsid w:val="002D6F42"/>
    <w:pPr>
      <w:keepNext/>
      <w:jc w:val="both"/>
      <w:outlineLvl w:val="1"/>
    </w:pPr>
    <w:rPr>
      <w:rFonts w:ascii="Arial" w:hAnsi="Arial"/>
      <w:u w:val="single"/>
    </w:rPr>
  </w:style>
  <w:style w:type="paragraph" w:styleId="Heading3">
    <w:name w:val="heading 3"/>
    <w:next w:val="Normal"/>
    <w:link w:val="Heading3Char"/>
    <w:autoRedefine/>
    <w:qFormat/>
    <w:rsid w:val="0000674F"/>
    <w:pPr>
      <w:keepNext/>
      <w:ind w:left="567" w:hanging="567"/>
      <w:jc w:val="both"/>
      <w:outlineLvl w:val="2"/>
    </w:pPr>
    <w:rPr>
      <w:rFonts w:ascii="Arial" w:hAnsi="Arial"/>
      <w:b/>
      <w:caps/>
      <w:sz w:val="18"/>
    </w:rPr>
  </w:style>
  <w:style w:type="paragraph" w:styleId="Heading4">
    <w:name w:val="heading 4"/>
    <w:next w:val="Normal"/>
    <w:autoRedefine/>
    <w:qFormat/>
    <w:rsid w:val="001E671A"/>
    <w:pPr>
      <w:keepNext/>
      <w:ind w:left="567" w:hanging="567"/>
      <w:jc w:val="both"/>
      <w:outlineLvl w:val="3"/>
    </w:pPr>
    <w:rPr>
      <w:rFonts w:ascii="Arial" w:hAnsi="Arial"/>
      <w:b/>
      <w:smallCaps/>
    </w:rPr>
  </w:style>
  <w:style w:type="paragraph" w:styleId="Heading5">
    <w:name w:val="heading 5"/>
    <w:next w:val="Normal"/>
    <w:link w:val="Heading5Char"/>
    <w:autoRedefine/>
    <w:qFormat/>
    <w:rsid w:val="002D6F42"/>
    <w:pPr>
      <w:keepNext/>
      <w:jc w:val="both"/>
      <w:outlineLvl w:val="4"/>
    </w:pPr>
    <w:rPr>
      <w:rFonts w:ascii="Arial" w:hAnsi="Arial"/>
      <w:b/>
      <w:sz w:val="18"/>
    </w:rPr>
  </w:style>
  <w:style w:type="paragraph" w:styleId="Heading6">
    <w:name w:val="heading 6"/>
    <w:basedOn w:val="Normal"/>
    <w:next w:val="Normal"/>
    <w:link w:val="Heading6Char"/>
    <w:autoRedefine/>
    <w:qFormat/>
    <w:rsid w:val="00D33653"/>
    <w:pPr>
      <w:jc w:val="left"/>
      <w:outlineLvl w:val="5"/>
    </w:pPr>
    <w:rPr>
      <w:bCs/>
      <w:caps/>
      <w:sz w:val="18"/>
      <w:szCs w:val="22"/>
    </w:rPr>
  </w:style>
  <w:style w:type="paragraph" w:styleId="Heading7">
    <w:name w:val="heading 7"/>
    <w:basedOn w:val="Normal"/>
    <w:next w:val="Normal"/>
    <w:link w:val="Heading7Char"/>
    <w:autoRedefine/>
    <w:qFormat/>
    <w:rsid w:val="002D6F42"/>
    <w:pPr>
      <w:spacing w:after="240"/>
      <w:outlineLvl w:val="6"/>
    </w:pPr>
    <w:rPr>
      <w:b/>
      <w:sz w:val="18"/>
      <w:szCs w:val="24"/>
    </w:rPr>
  </w:style>
  <w:style w:type="paragraph" w:styleId="Heading8">
    <w:name w:val="heading 8"/>
    <w:basedOn w:val="Normal"/>
    <w:next w:val="Normal"/>
    <w:link w:val="Heading8Char"/>
    <w:qFormat/>
    <w:rsid w:val="00297FD2"/>
    <w:pPr>
      <w:spacing w:after="240"/>
      <w:jc w:val="left"/>
      <w:outlineLvl w:val="7"/>
    </w:pPr>
    <w:rPr>
      <w:iCs/>
      <w:sz w:val="18"/>
      <w:szCs w:val="24"/>
      <w:u w:val="single"/>
    </w:rPr>
  </w:style>
  <w:style w:type="paragraph" w:styleId="Heading9">
    <w:name w:val="heading 9"/>
    <w:basedOn w:val="Normal"/>
    <w:next w:val="Normal"/>
    <w:link w:val="Heading9Char"/>
    <w:qFormat/>
    <w:rsid w:val="002D6F42"/>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2D6F42"/>
    <w:pPr>
      <w:tabs>
        <w:tab w:val="center" w:pos="4536"/>
        <w:tab w:val="right" w:pos="9072"/>
      </w:tabs>
      <w:jc w:val="center"/>
    </w:pPr>
    <w:rPr>
      <w:rFonts w:ascii="Arial" w:hAnsi="Arial"/>
      <w:lang w:val="fr-FR"/>
    </w:rPr>
  </w:style>
  <w:style w:type="paragraph" w:styleId="Footer">
    <w:name w:val="footer"/>
    <w:aliases w:val="doc_path_name"/>
    <w:autoRedefine/>
    <w:rsid w:val="002D6F42"/>
    <w:pPr>
      <w:jc w:val="both"/>
    </w:pPr>
    <w:rPr>
      <w:rFonts w:ascii="Arial" w:hAnsi="Arial"/>
      <w:sz w:val="14"/>
    </w:rPr>
  </w:style>
  <w:style w:type="character" w:styleId="PageNumber">
    <w:name w:val="page number"/>
    <w:basedOn w:val="DefaultParagraphFont"/>
    <w:rsid w:val="002D6F42"/>
    <w:rPr>
      <w:rFonts w:ascii="Arial" w:hAnsi="Arial"/>
      <w:sz w:val="20"/>
    </w:rPr>
  </w:style>
  <w:style w:type="paragraph" w:styleId="Title">
    <w:name w:val="Title"/>
    <w:basedOn w:val="Normal"/>
    <w:qFormat/>
    <w:rsid w:val="002D6F42"/>
    <w:pPr>
      <w:spacing w:after="300"/>
      <w:jc w:val="center"/>
    </w:pPr>
    <w:rPr>
      <w:b/>
      <w:caps/>
      <w:kern w:val="28"/>
      <w:sz w:val="30"/>
    </w:rPr>
  </w:style>
  <w:style w:type="paragraph" w:customStyle="1" w:styleId="preparedby">
    <w:name w:val="preparedby"/>
    <w:basedOn w:val="Normal"/>
    <w:next w:val="Normal"/>
    <w:semiHidden/>
    <w:rsid w:val="002D6F42"/>
    <w:pPr>
      <w:spacing w:after="600"/>
      <w:jc w:val="center"/>
    </w:pPr>
    <w:rPr>
      <w:i/>
    </w:rPr>
  </w:style>
  <w:style w:type="paragraph" w:customStyle="1" w:styleId="Docoriginal">
    <w:name w:val="Doc_original"/>
    <w:basedOn w:val="Normal"/>
    <w:link w:val="DocoriginalChar"/>
    <w:rsid w:val="002D6F42"/>
    <w:pPr>
      <w:spacing w:line="280" w:lineRule="exact"/>
      <w:ind w:left="1361"/>
    </w:pPr>
    <w:rPr>
      <w:b/>
      <w:bCs/>
      <w:spacing w:val="10"/>
    </w:rPr>
  </w:style>
  <w:style w:type="paragraph" w:customStyle="1" w:styleId="DecisionParagraphs">
    <w:name w:val="DecisionParagraphs"/>
    <w:basedOn w:val="Normal"/>
    <w:link w:val="DecisionParagraphsChar"/>
    <w:rsid w:val="002D6F42"/>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2D6F42"/>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2D6F42"/>
    <w:rPr>
      <w:rFonts w:ascii="Arial" w:hAnsi="Arial"/>
      <w:sz w:val="16"/>
      <w:vertAlign w:val="superscript"/>
    </w:rPr>
  </w:style>
  <w:style w:type="paragraph" w:styleId="Closing">
    <w:name w:val="Closing"/>
    <w:basedOn w:val="Normal"/>
    <w:rsid w:val="002D6F42"/>
    <w:pPr>
      <w:ind w:left="4536"/>
      <w:jc w:val="center"/>
    </w:pPr>
  </w:style>
  <w:style w:type="paragraph" w:styleId="Index1">
    <w:name w:val="index 1"/>
    <w:basedOn w:val="Normal"/>
    <w:next w:val="Normal"/>
    <w:semiHidden/>
    <w:rsid w:val="002D6F42"/>
    <w:pPr>
      <w:tabs>
        <w:tab w:val="right" w:leader="dot" w:pos="9071"/>
      </w:tabs>
      <w:ind w:left="284" w:hanging="284"/>
    </w:pPr>
    <w:rPr>
      <w:sz w:val="24"/>
    </w:rPr>
  </w:style>
  <w:style w:type="paragraph" w:styleId="Index2">
    <w:name w:val="index 2"/>
    <w:basedOn w:val="Normal"/>
    <w:next w:val="Normal"/>
    <w:semiHidden/>
    <w:rsid w:val="002D6F42"/>
    <w:pPr>
      <w:tabs>
        <w:tab w:val="right" w:leader="dot" w:pos="9071"/>
      </w:tabs>
      <w:ind w:left="568" w:hanging="284"/>
    </w:pPr>
    <w:rPr>
      <w:sz w:val="24"/>
    </w:rPr>
  </w:style>
  <w:style w:type="paragraph" w:styleId="Index3">
    <w:name w:val="index 3"/>
    <w:basedOn w:val="Normal"/>
    <w:next w:val="Normal"/>
    <w:semiHidden/>
    <w:rsid w:val="002D6F42"/>
    <w:pPr>
      <w:tabs>
        <w:tab w:val="right" w:leader="dot" w:pos="9071"/>
      </w:tabs>
      <w:ind w:left="851" w:hanging="284"/>
    </w:pPr>
    <w:rPr>
      <w:sz w:val="24"/>
    </w:rPr>
  </w:style>
  <w:style w:type="paragraph" w:styleId="MacroText">
    <w:name w:val="macro"/>
    <w:semiHidden/>
    <w:rsid w:val="002D6F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2D6F42"/>
    <w:pPr>
      <w:ind w:left="4536"/>
      <w:jc w:val="center"/>
    </w:pPr>
  </w:style>
  <w:style w:type="character" w:customStyle="1" w:styleId="Doclang">
    <w:name w:val="Doc_lang"/>
    <w:basedOn w:val="DefaultParagraphFont"/>
    <w:rsid w:val="002D6F42"/>
    <w:rPr>
      <w:rFonts w:ascii="Arial" w:hAnsi="Arial"/>
      <w:sz w:val="20"/>
      <w:lang w:val="en-US"/>
    </w:rPr>
  </w:style>
  <w:style w:type="paragraph" w:customStyle="1" w:styleId="Session">
    <w:name w:val="Session"/>
    <w:basedOn w:val="Normal"/>
    <w:semiHidden/>
    <w:rsid w:val="002D6F42"/>
    <w:pPr>
      <w:spacing w:before="60"/>
      <w:jc w:val="center"/>
    </w:pPr>
    <w:rPr>
      <w:b/>
    </w:rPr>
  </w:style>
  <w:style w:type="paragraph" w:customStyle="1" w:styleId="Organizer">
    <w:name w:val="Organizer"/>
    <w:basedOn w:val="Normal"/>
    <w:semiHidden/>
    <w:rsid w:val="002D6F42"/>
    <w:pPr>
      <w:spacing w:after="600"/>
      <w:ind w:left="-993" w:right="-994"/>
      <w:jc w:val="center"/>
    </w:pPr>
    <w:rPr>
      <w:b/>
      <w:caps/>
      <w:kern w:val="26"/>
      <w:sz w:val="26"/>
    </w:rPr>
  </w:style>
  <w:style w:type="paragraph" w:styleId="BodyText">
    <w:name w:val="Body Text"/>
    <w:basedOn w:val="Normal"/>
    <w:link w:val="BodyTextChar"/>
    <w:rsid w:val="002D6F42"/>
  </w:style>
  <w:style w:type="paragraph" w:customStyle="1" w:styleId="StyleDocoriginalNotBold">
    <w:name w:val="Style Doc_original + Not Bold"/>
    <w:basedOn w:val="Docoriginal"/>
    <w:link w:val="StyleDocoriginalNotBoldChar"/>
    <w:autoRedefine/>
    <w:rsid w:val="002D6F42"/>
    <w:pPr>
      <w:ind w:left="1589"/>
      <w:jc w:val="left"/>
    </w:pPr>
  </w:style>
  <w:style w:type="paragraph" w:customStyle="1" w:styleId="upove">
    <w:name w:val="upov_e"/>
    <w:basedOn w:val="Normal"/>
    <w:rsid w:val="002D6F42"/>
    <w:pPr>
      <w:spacing w:before="60"/>
      <w:jc w:val="center"/>
    </w:pPr>
    <w:rPr>
      <w:b/>
      <w:bCs/>
      <w:spacing w:val="8"/>
      <w:sz w:val="24"/>
    </w:rPr>
  </w:style>
  <w:style w:type="paragraph" w:customStyle="1" w:styleId="TitleofDoc">
    <w:name w:val="Title of Doc"/>
    <w:basedOn w:val="Normal"/>
    <w:semiHidden/>
    <w:rsid w:val="002D6F42"/>
    <w:pPr>
      <w:spacing w:before="1200"/>
      <w:jc w:val="center"/>
    </w:pPr>
    <w:rPr>
      <w:caps/>
    </w:rPr>
  </w:style>
  <w:style w:type="paragraph" w:customStyle="1" w:styleId="preparedby0">
    <w:name w:val="prepared by"/>
    <w:basedOn w:val="Normal"/>
    <w:semiHidden/>
    <w:rsid w:val="002D6F42"/>
    <w:pPr>
      <w:spacing w:before="600" w:after="600"/>
      <w:jc w:val="center"/>
    </w:pPr>
    <w:rPr>
      <w:i/>
    </w:rPr>
  </w:style>
  <w:style w:type="paragraph" w:customStyle="1" w:styleId="PlaceAndDate">
    <w:name w:val="PlaceAndDate"/>
    <w:basedOn w:val="Session"/>
    <w:semiHidden/>
    <w:rsid w:val="002D6F42"/>
  </w:style>
  <w:style w:type="paragraph" w:styleId="EndnoteText">
    <w:name w:val="endnote text"/>
    <w:basedOn w:val="Normal"/>
    <w:link w:val="EndnoteTextChar"/>
    <w:semiHidden/>
    <w:rsid w:val="002D6F42"/>
  </w:style>
  <w:style w:type="character" w:styleId="EndnoteReference">
    <w:name w:val="endnote reference"/>
    <w:basedOn w:val="DefaultParagraphFont"/>
    <w:semiHidden/>
    <w:rsid w:val="002D6F42"/>
    <w:rPr>
      <w:vertAlign w:val="superscript"/>
    </w:rPr>
  </w:style>
  <w:style w:type="paragraph" w:customStyle="1" w:styleId="SessionMeetingPlace">
    <w:name w:val="Session_MeetingPlace"/>
    <w:basedOn w:val="Normal"/>
    <w:semiHidden/>
    <w:rsid w:val="002D6F42"/>
    <w:pPr>
      <w:spacing w:before="480"/>
      <w:jc w:val="center"/>
    </w:pPr>
    <w:rPr>
      <w:b/>
      <w:bCs/>
      <w:kern w:val="28"/>
      <w:sz w:val="24"/>
    </w:rPr>
  </w:style>
  <w:style w:type="paragraph" w:customStyle="1" w:styleId="Original">
    <w:name w:val="Original"/>
    <w:basedOn w:val="Normal"/>
    <w:semiHidden/>
    <w:rsid w:val="002D6F42"/>
    <w:pPr>
      <w:spacing w:before="60"/>
      <w:ind w:left="1276"/>
    </w:pPr>
    <w:rPr>
      <w:b/>
      <w:sz w:val="22"/>
    </w:rPr>
  </w:style>
  <w:style w:type="paragraph" w:styleId="Date">
    <w:name w:val="Date"/>
    <w:basedOn w:val="Normal"/>
    <w:semiHidden/>
    <w:rsid w:val="002D6F42"/>
    <w:pPr>
      <w:spacing w:line="340" w:lineRule="exact"/>
      <w:ind w:left="1276"/>
    </w:pPr>
    <w:rPr>
      <w:b/>
      <w:sz w:val="22"/>
    </w:rPr>
  </w:style>
  <w:style w:type="paragraph" w:customStyle="1" w:styleId="Code">
    <w:name w:val="Code"/>
    <w:basedOn w:val="Normal"/>
    <w:link w:val="CodeChar"/>
    <w:semiHidden/>
    <w:rsid w:val="002D6F42"/>
    <w:pPr>
      <w:spacing w:line="340" w:lineRule="atLeast"/>
      <w:ind w:left="1276"/>
    </w:pPr>
    <w:rPr>
      <w:b/>
      <w:bCs/>
      <w:spacing w:val="10"/>
    </w:rPr>
  </w:style>
  <w:style w:type="paragraph" w:customStyle="1" w:styleId="Country">
    <w:name w:val="Country"/>
    <w:basedOn w:val="Normal"/>
    <w:semiHidden/>
    <w:rsid w:val="002D6F42"/>
    <w:pPr>
      <w:spacing w:before="60" w:after="480"/>
      <w:jc w:val="center"/>
    </w:pPr>
  </w:style>
  <w:style w:type="paragraph" w:customStyle="1" w:styleId="Lettrine">
    <w:name w:val="Lettrine"/>
    <w:basedOn w:val="Normal"/>
    <w:rsid w:val="002D6F42"/>
    <w:pPr>
      <w:spacing w:after="120" w:line="340" w:lineRule="atLeast"/>
      <w:jc w:val="right"/>
    </w:pPr>
    <w:rPr>
      <w:b/>
      <w:bCs/>
      <w:sz w:val="56"/>
    </w:rPr>
  </w:style>
  <w:style w:type="paragraph" w:customStyle="1" w:styleId="LogoUPOV">
    <w:name w:val="LogoUPOV"/>
    <w:basedOn w:val="Normal"/>
    <w:rsid w:val="002D6F42"/>
    <w:pPr>
      <w:spacing w:before="720"/>
      <w:jc w:val="center"/>
    </w:pPr>
  </w:style>
  <w:style w:type="paragraph" w:customStyle="1" w:styleId="Sessiontc">
    <w:name w:val="Session_tc"/>
    <w:basedOn w:val="StyleSessionAllcaps"/>
    <w:rsid w:val="002D6F42"/>
    <w:pPr>
      <w:spacing w:before="240"/>
    </w:pPr>
  </w:style>
  <w:style w:type="paragraph" w:customStyle="1" w:styleId="TitreUpov">
    <w:name w:val="TitreUpov"/>
    <w:basedOn w:val="Normal"/>
    <w:semiHidden/>
    <w:rsid w:val="002D6F42"/>
    <w:pPr>
      <w:spacing w:before="60"/>
      <w:jc w:val="center"/>
    </w:pPr>
    <w:rPr>
      <w:b/>
      <w:sz w:val="24"/>
    </w:rPr>
  </w:style>
  <w:style w:type="paragraph" w:customStyle="1" w:styleId="StyleSessionAllcaps">
    <w:name w:val="Style Session + All caps"/>
    <w:basedOn w:val="Session"/>
    <w:semiHidden/>
    <w:rsid w:val="002D6F42"/>
    <w:pPr>
      <w:spacing w:before="480"/>
    </w:pPr>
    <w:rPr>
      <w:bCs/>
      <w:caps/>
      <w:kern w:val="28"/>
      <w:sz w:val="24"/>
    </w:rPr>
  </w:style>
  <w:style w:type="paragraph" w:customStyle="1" w:styleId="plcountry">
    <w:name w:val="plcountry"/>
    <w:basedOn w:val="Normal"/>
    <w:rsid w:val="002D6F42"/>
    <w:pPr>
      <w:keepNext/>
      <w:keepLines/>
      <w:spacing w:before="180" w:after="120"/>
      <w:jc w:val="left"/>
    </w:pPr>
    <w:rPr>
      <w:caps/>
      <w:noProof/>
      <w:snapToGrid w:val="0"/>
      <w:u w:val="single"/>
    </w:rPr>
  </w:style>
  <w:style w:type="paragraph" w:customStyle="1" w:styleId="pldetails">
    <w:name w:val="pldetails"/>
    <w:basedOn w:val="Normal"/>
    <w:rsid w:val="002D6F42"/>
    <w:pPr>
      <w:keepLines/>
      <w:spacing w:before="60" w:after="60"/>
      <w:jc w:val="left"/>
    </w:pPr>
    <w:rPr>
      <w:noProof/>
      <w:snapToGrid w:val="0"/>
    </w:rPr>
  </w:style>
  <w:style w:type="paragraph" w:customStyle="1" w:styleId="plheading">
    <w:name w:val="plheading"/>
    <w:basedOn w:val="Normal"/>
    <w:rsid w:val="002D6F42"/>
    <w:pPr>
      <w:keepNext/>
      <w:spacing w:before="480" w:after="120"/>
      <w:jc w:val="center"/>
    </w:pPr>
    <w:rPr>
      <w:caps/>
      <w:snapToGrid w:val="0"/>
      <w:u w:val="single"/>
    </w:rPr>
  </w:style>
  <w:style w:type="paragraph" w:customStyle="1" w:styleId="Sessiontcplacedate">
    <w:name w:val="Session_tc_place_date"/>
    <w:basedOn w:val="SessionMeetingPlace"/>
    <w:rsid w:val="002D6F42"/>
    <w:pPr>
      <w:spacing w:before="240"/>
    </w:pPr>
  </w:style>
  <w:style w:type="paragraph" w:customStyle="1" w:styleId="Titleofdoc0">
    <w:name w:val="Title_of_doc"/>
    <w:basedOn w:val="Normal"/>
    <w:rsid w:val="002D6F42"/>
    <w:pPr>
      <w:spacing w:before="600"/>
      <w:jc w:val="center"/>
    </w:pPr>
    <w:rPr>
      <w:caps/>
    </w:rPr>
  </w:style>
  <w:style w:type="paragraph" w:customStyle="1" w:styleId="preparedby1">
    <w:name w:val="prepared_by"/>
    <w:basedOn w:val="Normal"/>
    <w:rsid w:val="002D6F42"/>
    <w:pPr>
      <w:spacing w:before="240" w:after="600"/>
      <w:jc w:val="center"/>
    </w:pPr>
    <w:rPr>
      <w:i/>
    </w:rPr>
  </w:style>
  <w:style w:type="character" w:customStyle="1" w:styleId="CodeChar">
    <w:name w:val="Code Char"/>
    <w:basedOn w:val="DefaultParagraphFont"/>
    <w:link w:val="Code"/>
    <w:semiHidden/>
    <w:rsid w:val="002D6F42"/>
    <w:rPr>
      <w:rFonts w:ascii="Arial" w:hAnsi="Arial"/>
      <w:b/>
      <w:bCs/>
      <w:spacing w:val="10"/>
    </w:rPr>
  </w:style>
  <w:style w:type="paragraph" w:customStyle="1" w:styleId="endofdoc">
    <w:name w:val="end_of_doc"/>
    <w:autoRedefine/>
    <w:rsid w:val="002D6F42"/>
    <w:pPr>
      <w:spacing w:before="480"/>
      <w:ind w:left="567" w:hanging="567"/>
      <w:jc w:val="right"/>
    </w:pPr>
    <w:rPr>
      <w:rFonts w:ascii="Arial" w:hAnsi="Arial"/>
    </w:rPr>
  </w:style>
  <w:style w:type="character" w:customStyle="1" w:styleId="DocoriginalChar">
    <w:name w:val="Doc_original Char"/>
    <w:basedOn w:val="DefaultParagraphFont"/>
    <w:link w:val="Docoriginal"/>
    <w:rsid w:val="002D6F42"/>
    <w:rPr>
      <w:rFonts w:ascii="Arial" w:hAnsi="Arial"/>
      <w:b/>
      <w:bCs/>
      <w:spacing w:val="10"/>
    </w:rPr>
  </w:style>
  <w:style w:type="character" w:customStyle="1" w:styleId="StyleDocoriginalNotBoldChar">
    <w:name w:val="Style Doc_original + Not Bold Char"/>
    <w:basedOn w:val="DocoriginalChar"/>
    <w:link w:val="StyleDocoriginalNotBold"/>
    <w:rsid w:val="002D6F42"/>
    <w:rPr>
      <w:rFonts w:ascii="Arial" w:hAnsi="Arial"/>
      <w:b/>
      <w:bCs/>
      <w:spacing w:val="10"/>
    </w:rPr>
  </w:style>
  <w:style w:type="paragraph" w:customStyle="1" w:styleId="StyleDocnumber">
    <w:name w:val="Style Doc_number"/>
    <w:basedOn w:val="Docoriginal"/>
    <w:rsid w:val="002D6F42"/>
    <w:pPr>
      <w:ind w:left="1589"/>
    </w:pPr>
  </w:style>
  <w:style w:type="paragraph" w:customStyle="1" w:styleId="StyleDocoriginal">
    <w:name w:val="Style Doc_original"/>
    <w:basedOn w:val="Docoriginal"/>
    <w:link w:val="StyleDocoriginalChar"/>
    <w:rsid w:val="002D6F42"/>
  </w:style>
  <w:style w:type="character" w:customStyle="1" w:styleId="StyleDocoriginalChar">
    <w:name w:val="Style Doc_original Char"/>
    <w:basedOn w:val="DocoriginalChar"/>
    <w:link w:val="StyleDocoriginal"/>
    <w:rsid w:val="002D6F42"/>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D6F4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D6F42"/>
    <w:rPr>
      <w:rFonts w:ascii="Arial" w:hAnsi="Arial"/>
      <w:b w:val="0"/>
      <w:bCs w:val="0"/>
      <w:spacing w:val="10"/>
    </w:rPr>
  </w:style>
  <w:style w:type="character" w:customStyle="1" w:styleId="StyleDocoriginalNotBold1">
    <w:name w:val="Style Doc_original + Not Bold1"/>
    <w:basedOn w:val="DefaultParagraphFont"/>
    <w:rsid w:val="002D6F42"/>
    <w:rPr>
      <w:rFonts w:ascii="Arial" w:hAnsi="Arial"/>
      <w:b/>
      <w:bCs/>
      <w:spacing w:val="10"/>
      <w:lang w:val="en-US" w:eastAsia="en-US" w:bidi="ar-SA"/>
    </w:rPr>
  </w:style>
  <w:style w:type="character" w:customStyle="1" w:styleId="StyleDoclangBold">
    <w:name w:val="Style Doc_lang + Bold"/>
    <w:basedOn w:val="Doclang"/>
    <w:rsid w:val="002D6F42"/>
    <w:rPr>
      <w:rFonts w:ascii="Arial" w:hAnsi="Arial"/>
      <w:b/>
      <w:bCs/>
      <w:sz w:val="20"/>
      <w:lang w:val="en-US"/>
    </w:rPr>
  </w:style>
  <w:style w:type="paragraph" w:styleId="TOC2">
    <w:name w:val="toc 2"/>
    <w:next w:val="Normal"/>
    <w:autoRedefine/>
    <w:uiPriority w:val="39"/>
    <w:rsid w:val="002D6F42"/>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2D6F42"/>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2D6F42"/>
    <w:rPr>
      <w:rFonts w:ascii="Arial" w:hAnsi="Arial"/>
      <w:color w:val="0000FF"/>
      <w:u w:val="single"/>
    </w:rPr>
  </w:style>
  <w:style w:type="paragraph" w:styleId="TOC4">
    <w:name w:val="toc 4"/>
    <w:next w:val="Normal"/>
    <w:autoRedefine/>
    <w:uiPriority w:val="39"/>
    <w:rsid w:val="0034381C"/>
    <w:pPr>
      <w:tabs>
        <w:tab w:val="right" w:leader="dot" w:pos="9639"/>
      </w:tabs>
      <w:spacing w:before="40" w:after="80"/>
      <w:ind w:left="142" w:right="284"/>
    </w:pPr>
    <w:rPr>
      <w:rFonts w:ascii="Arial" w:hAnsi="Arial"/>
      <w:b/>
      <w:smallCaps/>
      <w:noProof/>
      <w:sz w:val="18"/>
      <w:lang w:val="fr-FR"/>
    </w:rPr>
  </w:style>
  <w:style w:type="paragraph" w:styleId="TOC1">
    <w:name w:val="toc 1"/>
    <w:next w:val="Normal"/>
    <w:autoRedefine/>
    <w:uiPriority w:val="39"/>
    <w:rsid w:val="002D6F42"/>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297FD2"/>
    <w:pPr>
      <w:keepNext/>
      <w:tabs>
        <w:tab w:val="right" w:leader="dot" w:pos="9639"/>
      </w:tabs>
      <w:spacing w:before="40" w:after="40"/>
      <w:ind w:left="284" w:right="284"/>
      <w:jc w:val="both"/>
    </w:pPr>
    <w:rPr>
      <w:rFonts w:ascii="Arial" w:hAnsi="Arial"/>
      <w:b/>
      <w:noProof/>
      <w:sz w:val="18"/>
      <w:szCs w:val="18"/>
      <w:lang w:val="fr-FR"/>
    </w:rPr>
  </w:style>
  <w:style w:type="paragraph" w:styleId="BalloonText">
    <w:name w:val="Balloon Text"/>
    <w:basedOn w:val="Normal"/>
    <w:link w:val="BalloonTextChar"/>
    <w:rsid w:val="002D6F42"/>
    <w:rPr>
      <w:rFonts w:ascii="Tahoma" w:hAnsi="Tahoma" w:cs="Tahoma"/>
      <w:sz w:val="16"/>
      <w:szCs w:val="16"/>
    </w:rPr>
  </w:style>
  <w:style w:type="character" w:customStyle="1" w:styleId="BalloonTextChar">
    <w:name w:val="Balloon Text Char"/>
    <w:basedOn w:val="DefaultParagraphFont"/>
    <w:link w:val="BalloonText"/>
    <w:rsid w:val="002D6F42"/>
    <w:rPr>
      <w:rFonts w:ascii="Tahoma" w:hAnsi="Tahoma" w:cs="Tahoma"/>
      <w:sz w:val="16"/>
      <w:szCs w:val="16"/>
    </w:rPr>
  </w:style>
  <w:style w:type="table" w:styleId="TableGrid">
    <w:name w:val="Table Grid"/>
    <w:basedOn w:val="TableNormal"/>
    <w:rsid w:val="002D6F4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F42"/>
    <w:pPr>
      <w:ind w:left="720"/>
      <w:contextualSpacing/>
    </w:p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D6F42"/>
    <w:rPr>
      <w:rFonts w:ascii="Arial" w:hAnsi="Arial"/>
      <w:sz w:val="16"/>
    </w:rPr>
  </w:style>
  <w:style w:type="character" w:customStyle="1" w:styleId="Heading6Char">
    <w:name w:val="Heading 6 Char"/>
    <w:basedOn w:val="DefaultParagraphFont"/>
    <w:link w:val="Heading6"/>
    <w:rsid w:val="00D33653"/>
    <w:rPr>
      <w:rFonts w:ascii="Arial" w:hAnsi="Arial"/>
      <w:bCs/>
      <w:caps/>
      <w:sz w:val="18"/>
      <w:szCs w:val="22"/>
    </w:rPr>
  </w:style>
  <w:style w:type="character" w:customStyle="1" w:styleId="Heading7Char">
    <w:name w:val="Heading 7 Char"/>
    <w:basedOn w:val="DefaultParagraphFont"/>
    <w:link w:val="Heading7"/>
    <w:rsid w:val="002D6F42"/>
    <w:rPr>
      <w:rFonts w:ascii="Arial" w:hAnsi="Arial"/>
      <w:b/>
      <w:sz w:val="18"/>
      <w:szCs w:val="24"/>
    </w:rPr>
  </w:style>
  <w:style w:type="character" w:customStyle="1" w:styleId="Heading8Char">
    <w:name w:val="Heading 8 Char"/>
    <w:basedOn w:val="DefaultParagraphFont"/>
    <w:link w:val="Heading8"/>
    <w:rsid w:val="00297FD2"/>
    <w:rPr>
      <w:rFonts w:ascii="Arial" w:hAnsi="Arial"/>
      <w:iCs/>
      <w:sz w:val="18"/>
      <w:szCs w:val="24"/>
      <w:u w:val="single"/>
    </w:rPr>
  </w:style>
  <w:style w:type="paragraph" w:styleId="TOC6">
    <w:name w:val="toc 6"/>
    <w:basedOn w:val="Normal"/>
    <w:next w:val="Normal"/>
    <w:autoRedefine/>
    <w:uiPriority w:val="39"/>
    <w:rsid w:val="0038713F"/>
    <w:pPr>
      <w:keepNext/>
      <w:tabs>
        <w:tab w:val="right" w:leader="dot" w:pos="9629"/>
      </w:tabs>
      <w:spacing w:after="40"/>
      <w:ind w:left="567" w:right="284"/>
      <w:jc w:val="left"/>
    </w:pPr>
    <w:rPr>
      <w:caps/>
      <w:noProof/>
      <w:sz w:val="18"/>
      <w:szCs w:val="18"/>
    </w:rPr>
  </w:style>
  <w:style w:type="paragraph" w:styleId="TOC7">
    <w:name w:val="toc 7"/>
    <w:basedOn w:val="Normal"/>
    <w:next w:val="Normal"/>
    <w:autoRedefine/>
    <w:uiPriority w:val="39"/>
    <w:rsid w:val="002D6F42"/>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013A6"/>
    <w:pPr>
      <w:tabs>
        <w:tab w:val="right" w:leader="dot" w:pos="9629"/>
      </w:tabs>
      <w:spacing w:after="40"/>
      <w:ind w:left="1134" w:right="284"/>
      <w:jc w:val="left"/>
    </w:pPr>
    <w:rPr>
      <w:noProof/>
      <w:sz w:val="18"/>
      <w:szCs w:val="18"/>
    </w:rPr>
  </w:style>
  <w:style w:type="paragraph" w:styleId="TOC9">
    <w:name w:val="toc 9"/>
    <w:basedOn w:val="Normal"/>
    <w:next w:val="Normal"/>
    <w:autoRedefine/>
    <w:uiPriority w:val="39"/>
    <w:rsid w:val="001136A3"/>
    <w:pPr>
      <w:tabs>
        <w:tab w:val="right" w:leader="dot" w:pos="9629"/>
      </w:tabs>
      <w:spacing w:after="40"/>
      <w:ind w:left="1701" w:right="284"/>
      <w:contextualSpacing/>
      <w:jc w:val="left"/>
    </w:pPr>
    <w:rPr>
      <w:noProof/>
      <w:sz w:val="18"/>
      <w:szCs w:val="18"/>
    </w:rPr>
  </w:style>
  <w:style w:type="character" w:customStyle="1" w:styleId="BodyTextChar">
    <w:name w:val="Body Text Char"/>
    <w:basedOn w:val="DefaultParagraphFont"/>
    <w:link w:val="BodyText"/>
    <w:locked/>
    <w:rsid w:val="002D6F42"/>
    <w:rPr>
      <w:rFonts w:ascii="Arial" w:hAnsi="Arial"/>
    </w:rPr>
  </w:style>
  <w:style w:type="paragraph" w:styleId="CommentText">
    <w:name w:val="annotation text"/>
    <w:basedOn w:val="Normal"/>
    <w:link w:val="CommentTextChar"/>
    <w:rsid w:val="002D6F42"/>
    <w:pPr>
      <w:jc w:val="left"/>
    </w:pPr>
    <w:rPr>
      <w:rFonts w:ascii="Times New Roman" w:hAnsi="Times New Roman"/>
      <w:sz w:val="22"/>
    </w:rPr>
  </w:style>
  <w:style w:type="character" w:customStyle="1" w:styleId="CommentTextChar">
    <w:name w:val="Comment Text Char"/>
    <w:basedOn w:val="DefaultParagraphFont"/>
    <w:link w:val="CommentText"/>
    <w:rsid w:val="002D6F42"/>
    <w:rPr>
      <w:sz w:val="22"/>
    </w:rPr>
  </w:style>
  <w:style w:type="character" w:customStyle="1" w:styleId="DecisionParagraphsChar">
    <w:name w:val="DecisionParagraphs Char"/>
    <w:basedOn w:val="DefaultParagraphFont"/>
    <w:link w:val="DecisionParagraphs"/>
    <w:rsid w:val="002D6F42"/>
    <w:rPr>
      <w:rFonts w:ascii="Arial" w:hAnsi="Arial"/>
      <w:i/>
    </w:rPr>
  </w:style>
  <w:style w:type="paragraph" w:customStyle="1" w:styleId="Draft">
    <w:name w:val="Draft"/>
    <w:basedOn w:val="Normal"/>
    <w:next w:val="preparedby"/>
    <w:rsid w:val="002D6F42"/>
    <w:pPr>
      <w:spacing w:before="720" w:after="480"/>
      <w:jc w:val="center"/>
    </w:pPr>
    <w:rPr>
      <w:rFonts w:ascii="Times New Roman" w:hAnsi="Times New Roman"/>
      <w:caps/>
      <w:sz w:val="28"/>
    </w:rPr>
  </w:style>
  <w:style w:type="paragraph" w:customStyle="1" w:styleId="Committee">
    <w:name w:val="Committee"/>
    <w:basedOn w:val="Title"/>
    <w:rsid w:val="002D6F42"/>
    <w:rPr>
      <w:caps w:val="0"/>
    </w:rPr>
  </w:style>
  <w:style w:type="paragraph" w:styleId="BodyTextIndent">
    <w:name w:val="Body Text Indent"/>
    <w:basedOn w:val="Normal"/>
    <w:link w:val="BodyTextIndentChar"/>
    <w:rsid w:val="002D6F42"/>
    <w:rPr>
      <w:rFonts w:ascii="Times New Roman" w:hAnsi="Times New Roman"/>
      <w:sz w:val="24"/>
      <w:u w:val="single"/>
    </w:rPr>
  </w:style>
  <w:style w:type="character" w:customStyle="1" w:styleId="BodyTextIndentChar">
    <w:name w:val="Body Text Indent Char"/>
    <w:basedOn w:val="DefaultParagraphFont"/>
    <w:link w:val="BodyTextIndent"/>
    <w:rsid w:val="002D6F42"/>
    <w:rPr>
      <w:sz w:val="24"/>
      <w:u w:val="single"/>
    </w:rPr>
  </w:style>
  <w:style w:type="table" w:customStyle="1" w:styleId="TableGrid1">
    <w:name w:val="Table Grid1"/>
    <w:basedOn w:val="TableNormal"/>
    <w:next w:val="TableGrid"/>
    <w:rsid w:val="00DC744E"/>
    <w:rPr>
      <w:rFonts w:ascii="CG Times" w:eastAsiaTheme="minorEastAsia"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093547"/>
    <w:rPr>
      <w:rFonts w:ascii="Arial" w:hAnsi="Arial"/>
      <w:b/>
      <w:sz w:val="18"/>
    </w:rPr>
  </w:style>
  <w:style w:type="paragraph" w:customStyle="1" w:styleId="Default">
    <w:name w:val="Default"/>
    <w:rsid w:val="00E171B4"/>
    <w:pPr>
      <w:autoSpaceDE w:val="0"/>
      <w:autoSpaceDN w:val="0"/>
      <w:adjustRightInd w:val="0"/>
    </w:pPr>
    <w:rPr>
      <w:rFonts w:ascii="Arial" w:eastAsiaTheme="minorEastAsia" w:hAnsi="Arial" w:cs="Arial"/>
      <w:color w:val="000000"/>
      <w:sz w:val="24"/>
      <w:szCs w:val="24"/>
    </w:rPr>
  </w:style>
  <w:style w:type="paragraph" w:styleId="BodyText3">
    <w:name w:val="Body Text 3"/>
    <w:basedOn w:val="Normal"/>
    <w:link w:val="BodyText3Char"/>
    <w:rsid w:val="00515214"/>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515214"/>
    <w:rPr>
      <w:sz w:val="16"/>
      <w:szCs w:val="16"/>
    </w:rPr>
  </w:style>
  <w:style w:type="paragraph" w:customStyle="1" w:styleId="BodyTextKeep">
    <w:name w:val="Body Text Keep"/>
    <w:basedOn w:val="BodyText"/>
    <w:rsid w:val="00515214"/>
    <w:pPr>
      <w:keepNext/>
      <w:spacing w:after="160"/>
      <w:jc w:val="left"/>
    </w:pPr>
    <w:rPr>
      <w:rFonts w:ascii="Times New Roman" w:hAnsi="Times New Roman"/>
    </w:rPr>
  </w:style>
  <w:style w:type="character" w:customStyle="1" w:styleId="Heading3Char">
    <w:name w:val="Heading 3 Char"/>
    <w:basedOn w:val="DefaultParagraphFont"/>
    <w:link w:val="Heading3"/>
    <w:rsid w:val="00920A93"/>
    <w:rPr>
      <w:rFonts w:ascii="Arial" w:hAnsi="Arial"/>
      <w:b/>
      <w:caps/>
      <w:sz w:val="18"/>
    </w:rPr>
  </w:style>
  <w:style w:type="character" w:customStyle="1" w:styleId="Heading5Char">
    <w:name w:val="Heading 5 Char"/>
    <w:basedOn w:val="DefaultParagraphFont"/>
    <w:link w:val="Heading5"/>
    <w:rsid w:val="00812B7D"/>
    <w:rPr>
      <w:rFonts w:ascii="Arial" w:hAnsi="Arial"/>
      <w:b/>
      <w:sz w:val="18"/>
    </w:rPr>
  </w:style>
  <w:style w:type="character" w:customStyle="1" w:styleId="EndnoteTextChar">
    <w:name w:val="Endnote Text Char"/>
    <w:basedOn w:val="DefaultParagraphFont"/>
    <w:link w:val="EndnoteText"/>
    <w:semiHidden/>
    <w:rsid w:val="00624A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6467">
      <w:bodyDiv w:val="1"/>
      <w:marLeft w:val="0"/>
      <w:marRight w:val="0"/>
      <w:marTop w:val="0"/>
      <w:marBottom w:val="0"/>
      <w:divBdr>
        <w:top w:val="none" w:sz="0" w:space="0" w:color="auto"/>
        <w:left w:val="none" w:sz="0" w:space="0" w:color="auto"/>
        <w:bottom w:val="none" w:sz="0" w:space="0" w:color="auto"/>
        <w:right w:val="none" w:sz="0" w:space="0" w:color="auto"/>
      </w:divBdr>
    </w:div>
    <w:div w:id="165754138">
      <w:bodyDiv w:val="1"/>
      <w:marLeft w:val="0"/>
      <w:marRight w:val="0"/>
      <w:marTop w:val="0"/>
      <w:marBottom w:val="0"/>
      <w:divBdr>
        <w:top w:val="none" w:sz="0" w:space="0" w:color="auto"/>
        <w:left w:val="none" w:sz="0" w:space="0" w:color="auto"/>
        <w:bottom w:val="none" w:sz="0" w:space="0" w:color="auto"/>
        <w:right w:val="none" w:sz="0" w:space="0" w:color="auto"/>
      </w:divBdr>
    </w:div>
    <w:div w:id="229464384">
      <w:bodyDiv w:val="1"/>
      <w:marLeft w:val="0"/>
      <w:marRight w:val="0"/>
      <w:marTop w:val="0"/>
      <w:marBottom w:val="0"/>
      <w:divBdr>
        <w:top w:val="none" w:sz="0" w:space="0" w:color="auto"/>
        <w:left w:val="none" w:sz="0" w:space="0" w:color="auto"/>
        <w:bottom w:val="none" w:sz="0" w:space="0" w:color="auto"/>
        <w:right w:val="none" w:sz="0" w:space="0" w:color="auto"/>
      </w:divBdr>
    </w:div>
    <w:div w:id="365914827">
      <w:bodyDiv w:val="1"/>
      <w:marLeft w:val="0"/>
      <w:marRight w:val="0"/>
      <w:marTop w:val="0"/>
      <w:marBottom w:val="0"/>
      <w:divBdr>
        <w:top w:val="none" w:sz="0" w:space="0" w:color="auto"/>
        <w:left w:val="none" w:sz="0" w:space="0" w:color="auto"/>
        <w:bottom w:val="none" w:sz="0" w:space="0" w:color="auto"/>
        <w:right w:val="none" w:sz="0" w:space="0" w:color="auto"/>
      </w:divBdr>
    </w:div>
    <w:div w:id="421725646">
      <w:bodyDiv w:val="1"/>
      <w:marLeft w:val="0"/>
      <w:marRight w:val="0"/>
      <w:marTop w:val="0"/>
      <w:marBottom w:val="0"/>
      <w:divBdr>
        <w:top w:val="none" w:sz="0" w:space="0" w:color="auto"/>
        <w:left w:val="none" w:sz="0" w:space="0" w:color="auto"/>
        <w:bottom w:val="none" w:sz="0" w:space="0" w:color="auto"/>
        <w:right w:val="none" w:sz="0" w:space="0" w:color="auto"/>
      </w:divBdr>
    </w:div>
    <w:div w:id="787090300">
      <w:bodyDiv w:val="1"/>
      <w:marLeft w:val="0"/>
      <w:marRight w:val="0"/>
      <w:marTop w:val="0"/>
      <w:marBottom w:val="0"/>
      <w:divBdr>
        <w:top w:val="none" w:sz="0" w:space="0" w:color="auto"/>
        <w:left w:val="none" w:sz="0" w:space="0" w:color="auto"/>
        <w:bottom w:val="none" w:sz="0" w:space="0" w:color="auto"/>
        <w:right w:val="none" w:sz="0" w:space="0" w:color="auto"/>
      </w:divBdr>
    </w:div>
    <w:div w:id="798379285">
      <w:bodyDiv w:val="1"/>
      <w:marLeft w:val="0"/>
      <w:marRight w:val="0"/>
      <w:marTop w:val="0"/>
      <w:marBottom w:val="0"/>
      <w:divBdr>
        <w:top w:val="none" w:sz="0" w:space="0" w:color="auto"/>
        <w:left w:val="none" w:sz="0" w:space="0" w:color="auto"/>
        <w:bottom w:val="none" w:sz="0" w:space="0" w:color="auto"/>
        <w:right w:val="none" w:sz="0" w:space="0" w:color="auto"/>
      </w:divBdr>
    </w:div>
    <w:div w:id="925771790">
      <w:bodyDiv w:val="1"/>
      <w:marLeft w:val="0"/>
      <w:marRight w:val="0"/>
      <w:marTop w:val="0"/>
      <w:marBottom w:val="0"/>
      <w:divBdr>
        <w:top w:val="none" w:sz="0" w:space="0" w:color="auto"/>
        <w:left w:val="none" w:sz="0" w:space="0" w:color="auto"/>
        <w:bottom w:val="none" w:sz="0" w:space="0" w:color="auto"/>
        <w:right w:val="none" w:sz="0" w:space="0" w:color="auto"/>
      </w:divBdr>
    </w:div>
    <w:div w:id="1205678118">
      <w:bodyDiv w:val="1"/>
      <w:marLeft w:val="0"/>
      <w:marRight w:val="0"/>
      <w:marTop w:val="0"/>
      <w:marBottom w:val="0"/>
      <w:divBdr>
        <w:top w:val="none" w:sz="0" w:space="0" w:color="auto"/>
        <w:left w:val="none" w:sz="0" w:space="0" w:color="auto"/>
        <w:bottom w:val="none" w:sz="0" w:space="0" w:color="auto"/>
        <w:right w:val="none" w:sz="0" w:space="0" w:color="auto"/>
      </w:divBdr>
    </w:div>
    <w:div w:id="1230308410">
      <w:bodyDiv w:val="1"/>
      <w:marLeft w:val="0"/>
      <w:marRight w:val="0"/>
      <w:marTop w:val="0"/>
      <w:marBottom w:val="0"/>
      <w:divBdr>
        <w:top w:val="none" w:sz="0" w:space="0" w:color="auto"/>
        <w:left w:val="none" w:sz="0" w:space="0" w:color="auto"/>
        <w:bottom w:val="none" w:sz="0" w:space="0" w:color="auto"/>
        <w:right w:val="none" w:sz="0" w:space="0" w:color="auto"/>
      </w:divBdr>
    </w:div>
    <w:div w:id="1756894841">
      <w:bodyDiv w:val="1"/>
      <w:marLeft w:val="0"/>
      <w:marRight w:val="0"/>
      <w:marTop w:val="0"/>
      <w:marBottom w:val="0"/>
      <w:divBdr>
        <w:top w:val="none" w:sz="0" w:space="0" w:color="auto"/>
        <w:left w:val="none" w:sz="0" w:space="0" w:color="auto"/>
        <w:bottom w:val="none" w:sz="0" w:space="0" w:color="auto"/>
        <w:right w:val="none" w:sz="0" w:space="0" w:color="auto"/>
      </w:divBdr>
    </w:div>
    <w:div w:id="195856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3.xml"/><Relationship Id="rId39" Type="http://schemas.openxmlformats.org/officeDocument/2006/relationships/hyperlink" Target="http://www.upov.int/meetings/en/details.jsp?meeting_id=26104" TargetMode="External"/><Relationship Id="rId21" Type="http://schemas.openxmlformats.org/officeDocument/2006/relationships/chart" Target="charts/chart10.xml"/><Relationship Id="rId34" Type="http://schemas.openxmlformats.org/officeDocument/2006/relationships/chart" Target="charts/chart21.xml"/><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chart" Target="charts/chart24.xml"/><Relationship Id="rId63" Type="http://schemas.openxmlformats.org/officeDocument/2006/relationships/hyperlink" Target="http://www.upov.int/about/en/benefits_upov_system.html" TargetMode="External"/><Relationship Id="rId68" Type="http://schemas.openxmlformats.org/officeDocument/2006/relationships/image" Target="media/image29.png"/><Relationship Id="rId76" Type="http://schemas.openxmlformats.org/officeDocument/2006/relationships/chart" Target="charts/chart29.xml"/><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6.xml"/><Relationship Id="rId11" Type="http://schemas.openxmlformats.org/officeDocument/2006/relationships/chart" Target="charts/chart1.xml"/><Relationship Id="rId24" Type="http://schemas.openxmlformats.org/officeDocument/2006/relationships/image" Target="media/image9.jpg"/><Relationship Id="rId32" Type="http://schemas.openxmlformats.org/officeDocument/2006/relationships/chart" Target="charts/chart19.xml"/><Relationship Id="rId37" Type="http://schemas.openxmlformats.org/officeDocument/2006/relationships/image" Target="media/image12.png"/><Relationship Id="rId40" Type="http://schemas.openxmlformats.org/officeDocument/2006/relationships/hyperlink" Target="http://www.upov.int/about/en/benefits_upov_system.html" TargetMode="External"/><Relationship Id="rId45"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image" Target="media/image25.png"/><Relationship Id="rId66" Type="http://schemas.openxmlformats.org/officeDocument/2006/relationships/image" Target="media/image27.jpeg"/><Relationship Id="rId74" Type="http://schemas.openxmlformats.org/officeDocument/2006/relationships/image" Target="media/image35.emf"/><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chart" Target="charts/chart28.xml"/><Relationship Id="rId10" Type="http://schemas.openxmlformats.org/officeDocument/2006/relationships/image" Target="media/image7.png"/><Relationship Id="rId19" Type="http://schemas.openxmlformats.org/officeDocument/2006/relationships/chart" Target="charts/chart8.xml"/><Relationship Id="rId31" Type="http://schemas.openxmlformats.org/officeDocument/2006/relationships/chart" Target="charts/chart18.xml"/><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chart" Target="charts/chart27.xml"/><Relationship Id="rId65" Type="http://schemas.openxmlformats.org/officeDocument/2006/relationships/hyperlink" Target="http://www.upov.int/news/en/pressroom/" TargetMode="External"/><Relationship Id="rId73" Type="http://schemas.openxmlformats.org/officeDocument/2006/relationships/image" Target="media/image34.emf"/><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chart" Target="charts/chart25.xml"/><Relationship Id="rId64" Type="http://schemas.openxmlformats.org/officeDocument/2006/relationships/hyperlink" Target="http://www.upov.int/meetings/en/details.jsp?meeting_id=29782" TargetMode="External"/><Relationship Id="rId69" Type="http://schemas.openxmlformats.org/officeDocument/2006/relationships/image" Target="media/image30.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image" Target="media/image33.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8.jpeg"/><Relationship Id="rId25" Type="http://schemas.openxmlformats.org/officeDocument/2006/relationships/hyperlink" Target="https://www3.wipo.int/pluto/user/en/index.jsp" TargetMode="External"/><Relationship Id="rId33" Type="http://schemas.openxmlformats.org/officeDocument/2006/relationships/chart" Target="charts/chart20.xml"/><Relationship Id="rId38" Type="http://schemas.openxmlformats.org/officeDocument/2006/relationships/chart" Target="charts/chart22.xml"/><Relationship Id="rId46" Type="http://schemas.openxmlformats.org/officeDocument/2006/relationships/image" Target="media/image17.png"/><Relationship Id="rId59" Type="http://schemas.openxmlformats.org/officeDocument/2006/relationships/image" Target="media/image26.png"/><Relationship Id="rId67" Type="http://schemas.openxmlformats.org/officeDocument/2006/relationships/image" Target="media/image28.jpg"/><Relationship Id="rId20" Type="http://schemas.openxmlformats.org/officeDocument/2006/relationships/chart" Target="charts/chart9.xml"/><Relationship Id="rId41" Type="http://schemas.openxmlformats.org/officeDocument/2006/relationships/hyperlink" Target="http://www.upov.int/meetings/en/details.jsp?meeting_id=29782" TargetMode="External"/><Relationship Id="rId54" Type="http://schemas.openxmlformats.org/officeDocument/2006/relationships/chart" Target="charts/chart23.xml"/><Relationship Id="rId62" Type="http://schemas.openxmlformats.org/officeDocument/2006/relationships/hyperlink" Target="http://www.upov.int/meetings/en/details.jsp?meeting_id=26104" TargetMode="External"/><Relationship Id="rId70" Type="http://schemas.openxmlformats.org/officeDocument/2006/relationships/image" Target="media/image31.emf"/><Relationship Id="rId75"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5.xml"/><Relationship Id="rId36" Type="http://schemas.openxmlformats.org/officeDocument/2006/relationships/image" Target="media/image11.png"/><Relationship Id="rId49" Type="http://schemas.openxmlformats.org/officeDocument/2006/relationships/image" Target="media/image20.png"/><Relationship Id="rId57" Type="http://schemas.openxmlformats.org/officeDocument/2006/relationships/chart" Target="charts/chart26.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bine%20Witzig\AppData\Local\Microsoft\Windows\Temporary%20Internet%20Files\Content.Outlook\91UEBUDL\Copy%20of%20c_48_12_figures_FINAL_E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DAT1\OrgUPOV\Shared\Models-Forms\TC-TWP%20documents\TC_TWP_analysis\TWP%20participation%20analys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DAT1\OrgUPOV\Shared\Document\C\C48\translations_back\c_48_12_figures_FINAL_D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DAT1\OrgUPOV\Shared\Document\C\C48\c_48_12_Performance_Report\c_48_12_figur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abine%20Witzig\UPOV%202014-2\c_48_12_tables_final_25%2008%2014_D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bine%20Witzig\UPOV%202014-2\c_48_12_figures_FINAL_D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ipogvafs01\DAT1\OrgUPOV\Shared\Document\C\C48\c_48_12_Performance_Report\c_48_12_figur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ipogvafs01\DAT1\OrgUPOV\Shared\Document\C\C48\c_48_12_Performance_Report\c_48_12_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372165828669006E-2"/>
          <c:y val="4.4875944992824414E-2"/>
          <c:w val="0.89756088922619615"/>
          <c:h val="0.8009855714264954"/>
        </c:manualLayout>
      </c:layout>
      <c:barChart>
        <c:barDir val="col"/>
        <c:grouping val="clustered"/>
        <c:varyColors val="0"/>
        <c:ser>
          <c:idx val="1"/>
          <c:order val="0"/>
          <c:tx>
            <c:strRef>
              <c:f>fig.1_Council!$C$5</c:f>
              <c:strCache>
                <c:ptCount val="1"/>
                <c:pt idx="0">
                  <c:v>Beobachterstaaten</c:v>
                </c:pt>
              </c:strCache>
            </c:strRef>
          </c:tx>
          <c:spPr>
            <a:solidFill>
              <a:srgbClr val="FFFF99"/>
            </a:solidFill>
            <a:ln>
              <a:solidFill>
                <a:srgbClr val="000000"/>
              </a:solidFill>
            </a:ln>
          </c:spPr>
          <c:invertIfNegative val="0"/>
          <c:cat>
            <c:numRef>
              <c:f>fig.1_Council!$A$6:$A$19</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fig.1_Council!$C$6:$C$19</c:f>
              <c:numCache>
                <c:formatCode>General</c:formatCode>
                <c:ptCount val="14"/>
                <c:pt idx="0">
                  <c:v>17</c:v>
                </c:pt>
                <c:pt idx="1">
                  <c:v>14</c:v>
                </c:pt>
                <c:pt idx="2">
                  <c:v>10</c:v>
                </c:pt>
                <c:pt idx="3">
                  <c:v>15</c:v>
                </c:pt>
                <c:pt idx="4">
                  <c:v>11</c:v>
                </c:pt>
                <c:pt idx="5">
                  <c:v>7</c:v>
                </c:pt>
                <c:pt idx="6">
                  <c:v>7</c:v>
                </c:pt>
                <c:pt idx="7">
                  <c:v>9</c:v>
                </c:pt>
                <c:pt idx="8">
                  <c:v>10</c:v>
                </c:pt>
                <c:pt idx="9">
                  <c:v>4</c:v>
                </c:pt>
                <c:pt idx="10">
                  <c:v>7</c:v>
                </c:pt>
                <c:pt idx="11">
                  <c:v>1</c:v>
                </c:pt>
                <c:pt idx="12">
                  <c:v>8</c:v>
                </c:pt>
                <c:pt idx="13">
                  <c:v>6</c:v>
                </c:pt>
              </c:numCache>
            </c:numRef>
          </c:val>
        </c:ser>
        <c:ser>
          <c:idx val="2"/>
          <c:order val="1"/>
          <c:tx>
            <c:strRef>
              <c:f>fig.1_Council!$D$5</c:f>
              <c:strCache>
                <c:ptCount val="1"/>
                <c:pt idx="0">
                  <c:v>Beobachterorganisationen</c:v>
                </c:pt>
              </c:strCache>
            </c:strRef>
          </c:tx>
          <c:spPr>
            <a:ln>
              <a:solidFill>
                <a:srgbClr val="000000"/>
              </a:solidFill>
            </a:ln>
          </c:spPr>
          <c:invertIfNegative val="0"/>
          <c:cat>
            <c:numRef>
              <c:f>fig.1_Council!$A$6:$A$19</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fig.1_Council!$D$6:$D$19</c:f>
              <c:numCache>
                <c:formatCode>General</c:formatCode>
                <c:ptCount val="14"/>
                <c:pt idx="0">
                  <c:v>8</c:v>
                </c:pt>
                <c:pt idx="1">
                  <c:v>7</c:v>
                </c:pt>
                <c:pt idx="2">
                  <c:v>8</c:v>
                </c:pt>
                <c:pt idx="3">
                  <c:v>12</c:v>
                </c:pt>
                <c:pt idx="4">
                  <c:v>11</c:v>
                </c:pt>
                <c:pt idx="5">
                  <c:v>7</c:v>
                </c:pt>
                <c:pt idx="6">
                  <c:v>6</c:v>
                </c:pt>
                <c:pt idx="7">
                  <c:v>6</c:v>
                </c:pt>
                <c:pt idx="8">
                  <c:v>7</c:v>
                </c:pt>
                <c:pt idx="9">
                  <c:v>4</c:v>
                </c:pt>
                <c:pt idx="10">
                  <c:v>4</c:v>
                </c:pt>
                <c:pt idx="11">
                  <c:v>12</c:v>
                </c:pt>
                <c:pt idx="12">
                  <c:v>10</c:v>
                </c:pt>
                <c:pt idx="13">
                  <c:v>9</c:v>
                </c:pt>
              </c:numCache>
            </c:numRef>
          </c:val>
        </c:ser>
        <c:ser>
          <c:idx val="0"/>
          <c:order val="2"/>
          <c:tx>
            <c:strRef>
              <c:f>fig.1_Council!$B$5</c:f>
              <c:strCache>
                <c:ptCount val="1"/>
                <c:pt idx="0">
                  <c:v>Mitglieder</c:v>
                </c:pt>
              </c:strCache>
            </c:strRef>
          </c:tx>
          <c:spPr>
            <a:solidFill>
              <a:schemeClr val="accent2">
                <a:lumMod val="75000"/>
              </a:schemeClr>
            </a:solidFill>
            <a:ln>
              <a:solidFill>
                <a:sysClr val="windowText" lastClr="000000"/>
              </a:solidFill>
            </a:ln>
          </c:spPr>
          <c:invertIfNegative val="0"/>
          <c:cat>
            <c:numRef>
              <c:f>fig.1_Council!$A$6:$A$19</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fig.1_Council!$B$6:$B$19</c:f>
              <c:numCache>
                <c:formatCode>General</c:formatCode>
                <c:ptCount val="14"/>
                <c:pt idx="0">
                  <c:v>39</c:v>
                </c:pt>
                <c:pt idx="1">
                  <c:v>37</c:v>
                </c:pt>
                <c:pt idx="2">
                  <c:v>40</c:v>
                </c:pt>
                <c:pt idx="3">
                  <c:v>45</c:v>
                </c:pt>
                <c:pt idx="4">
                  <c:v>46</c:v>
                </c:pt>
                <c:pt idx="5">
                  <c:v>48</c:v>
                </c:pt>
                <c:pt idx="6">
                  <c:v>43</c:v>
                </c:pt>
                <c:pt idx="7">
                  <c:v>49</c:v>
                </c:pt>
                <c:pt idx="8">
                  <c:v>43</c:v>
                </c:pt>
                <c:pt idx="9">
                  <c:v>42</c:v>
                </c:pt>
                <c:pt idx="10">
                  <c:v>42</c:v>
                </c:pt>
                <c:pt idx="11">
                  <c:v>49</c:v>
                </c:pt>
                <c:pt idx="12">
                  <c:v>47</c:v>
                </c:pt>
                <c:pt idx="13">
                  <c:v>42</c:v>
                </c:pt>
              </c:numCache>
            </c:numRef>
          </c:val>
        </c:ser>
        <c:dLbls>
          <c:showLegendKey val="0"/>
          <c:showVal val="0"/>
          <c:showCatName val="0"/>
          <c:showSerName val="0"/>
          <c:showPercent val="0"/>
          <c:showBubbleSize val="0"/>
        </c:dLbls>
        <c:gapWidth val="88"/>
        <c:overlap val="28"/>
        <c:axId val="107706240"/>
        <c:axId val="111023232"/>
      </c:barChart>
      <c:lineChart>
        <c:grouping val="standard"/>
        <c:varyColors val="0"/>
        <c:ser>
          <c:idx val="3"/>
          <c:order val="3"/>
          <c:tx>
            <c:v>Zahl der UPOV-Mitglieder</c:v>
          </c:tx>
          <c:spPr>
            <a:ln w="25400">
              <a:solidFill>
                <a:schemeClr val="tx2"/>
              </a:solidFill>
            </a:ln>
          </c:spPr>
          <c:marker>
            <c:symbol val="none"/>
          </c:marker>
          <c:dLbls>
            <c:dLbl>
              <c:idx val="0"/>
              <c:dLblPos val="t"/>
              <c:showLegendKey val="0"/>
              <c:showVal val="1"/>
              <c:showCatName val="0"/>
              <c:showSerName val="0"/>
              <c:showPercent val="0"/>
              <c:showBubbleSize val="0"/>
            </c:dLbl>
            <c:dLbl>
              <c:idx val="13"/>
              <c:dLblPos val="t"/>
              <c:showLegendKey val="0"/>
              <c:showVal val="1"/>
              <c:showCatName val="0"/>
              <c:showSerName val="0"/>
              <c:showPercent val="0"/>
              <c:showBubbleSize val="0"/>
            </c:dLbl>
            <c:dLbl>
              <c:idx val="14"/>
              <c:tx>
                <c:rich>
                  <a:bodyPr/>
                  <a:lstStyle/>
                  <a:p>
                    <a:r>
                      <a:rPr lang="en-US"/>
                      <a:t>71</a:t>
                    </a:r>
                  </a:p>
                </c:rich>
              </c:tx>
              <c:dLblPos val="t"/>
              <c:showLegendKey val="0"/>
              <c:showVal val="1"/>
              <c:showCatName val="0"/>
              <c:showSerName val="0"/>
              <c:showPercent val="0"/>
              <c:showBubbleSize val="0"/>
            </c:dLbl>
            <c:dLbl>
              <c:idx val="27"/>
              <c:dLblPos val="t"/>
              <c:showLegendKey val="0"/>
              <c:showVal val="1"/>
              <c:showCatName val="0"/>
              <c:showSerName val="0"/>
              <c:showPercent val="0"/>
              <c:showBubbleSize val="0"/>
            </c:dLbl>
            <c:dLblPos val="t"/>
            <c:showLegendKey val="0"/>
            <c:showVal val="0"/>
            <c:showCatName val="0"/>
            <c:showSerName val="0"/>
            <c:showPercent val="0"/>
            <c:showBubbleSize val="0"/>
          </c:dLbls>
          <c:val>
            <c:numRef>
              <c:f>members!$C$7:$C$20</c:f>
              <c:numCache>
                <c:formatCode>General</c:formatCode>
                <c:ptCount val="14"/>
                <c:pt idx="0">
                  <c:v>46</c:v>
                </c:pt>
                <c:pt idx="1">
                  <c:v>49</c:v>
                </c:pt>
                <c:pt idx="2">
                  <c:v>51</c:v>
                </c:pt>
                <c:pt idx="3">
                  <c:v>54</c:v>
                </c:pt>
                <c:pt idx="4">
                  <c:v>58</c:v>
                </c:pt>
                <c:pt idx="5">
                  <c:v>60</c:v>
                </c:pt>
                <c:pt idx="6">
                  <c:v>63</c:v>
                </c:pt>
                <c:pt idx="7">
                  <c:v>65</c:v>
                </c:pt>
                <c:pt idx="8">
                  <c:v>66</c:v>
                </c:pt>
                <c:pt idx="9">
                  <c:v>68</c:v>
                </c:pt>
                <c:pt idx="10">
                  <c:v>68</c:v>
                </c:pt>
                <c:pt idx="11">
                  <c:v>70</c:v>
                </c:pt>
                <c:pt idx="12">
                  <c:v>70</c:v>
                </c:pt>
                <c:pt idx="13">
                  <c:v>71</c:v>
                </c:pt>
              </c:numCache>
            </c:numRef>
          </c:val>
          <c:smooth val="0"/>
        </c:ser>
        <c:dLbls>
          <c:showLegendKey val="0"/>
          <c:showVal val="0"/>
          <c:showCatName val="0"/>
          <c:showSerName val="0"/>
          <c:showPercent val="0"/>
          <c:showBubbleSize val="0"/>
        </c:dLbls>
        <c:marker val="1"/>
        <c:smooth val="0"/>
        <c:axId val="107706240"/>
        <c:axId val="111023232"/>
      </c:lineChart>
      <c:catAx>
        <c:axId val="107706240"/>
        <c:scaling>
          <c:orientation val="minMax"/>
        </c:scaling>
        <c:delete val="0"/>
        <c:axPos val="b"/>
        <c:numFmt formatCode="General" sourceLinked="1"/>
        <c:majorTickMark val="out"/>
        <c:minorTickMark val="none"/>
        <c:tickLblPos val="nextTo"/>
        <c:crossAx val="111023232"/>
        <c:crosses val="autoZero"/>
        <c:auto val="0"/>
        <c:lblAlgn val="ctr"/>
        <c:lblOffset val="100"/>
        <c:noMultiLvlLbl val="0"/>
      </c:catAx>
      <c:valAx>
        <c:axId val="111023232"/>
        <c:scaling>
          <c:orientation val="minMax"/>
        </c:scaling>
        <c:delete val="0"/>
        <c:axPos val="l"/>
        <c:majorGridlines/>
        <c:title>
          <c:tx>
            <c:rich>
              <a:bodyPr rot="-5400000" vert="horz"/>
              <a:lstStyle/>
              <a:p>
                <a:pPr>
                  <a:defRPr/>
                </a:pPr>
                <a:r>
                  <a:rPr lang="en-US"/>
                  <a:t>Anzahl</a:t>
                </a:r>
                <a:r>
                  <a:rPr lang="en-US" baseline="0"/>
                  <a:t> Mitglieder/Beobachter</a:t>
                </a:r>
                <a:r>
                  <a:rPr lang="en-US"/>
                  <a:t> </a:t>
                </a:r>
              </a:p>
            </c:rich>
          </c:tx>
          <c:layout>
            <c:manualLayout>
              <c:xMode val="edge"/>
              <c:yMode val="edge"/>
              <c:x val="1.2575656958542837E-3"/>
              <c:y val="0.30973758923511152"/>
            </c:manualLayout>
          </c:layout>
          <c:overlay val="0"/>
        </c:title>
        <c:numFmt formatCode="General" sourceLinked="1"/>
        <c:majorTickMark val="out"/>
        <c:minorTickMark val="none"/>
        <c:tickLblPos val="nextTo"/>
        <c:crossAx val="107706240"/>
        <c:crosses val="autoZero"/>
        <c:crossBetween val="between"/>
      </c:valAx>
      <c:spPr>
        <a:noFill/>
        <a:ln w="9525">
          <a:solidFill>
            <a:srgbClr val="808080"/>
          </a:solidFill>
        </a:ln>
      </c:spPr>
    </c:plotArea>
    <c:legend>
      <c:legendPos val="b"/>
      <c:layout>
        <c:manualLayout>
          <c:xMode val="edge"/>
          <c:yMode val="edge"/>
          <c:x val="0.11071283559434589"/>
          <c:y val="0.90433503734299059"/>
          <c:w val="0.83365246814027749"/>
          <c:h val="7.3066120972166609E-2"/>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6163330316415E-2"/>
          <c:y val="4.9631829172715212E-2"/>
          <c:w val="0.89141691825214653"/>
          <c:h val="0.80060297165692151"/>
        </c:manualLayout>
      </c:layout>
      <c:lineChart>
        <c:grouping val="standard"/>
        <c:varyColors val="0"/>
        <c:ser>
          <c:idx val="0"/>
          <c:order val="0"/>
          <c:tx>
            <c:strRef>
              <c:f>'Fig.10+11 per region'!$D$72</c:f>
              <c:strCache>
                <c:ptCount val="1"/>
                <c:pt idx="0">
                  <c:v>Afrika</c:v>
                </c:pt>
              </c:strCache>
            </c:strRef>
          </c:tx>
          <c:marker>
            <c:symbol val="none"/>
          </c:marker>
          <c:cat>
            <c:numRef>
              <c:f>'Fig.10+11 per region'!$E$71:$R$71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region'!$E$72:$R$72</c:f>
              <c:numCache>
                <c:formatCode>General</c:formatCode>
                <c:ptCount val="14"/>
                <c:pt idx="0">
                  <c:v>1</c:v>
                </c:pt>
                <c:pt idx="1">
                  <c:v>1</c:v>
                </c:pt>
                <c:pt idx="2">
                  <c:v>0</c:v>
                </c:pt>
                <c:pt idx="3">
                  <c:v>3</c:v>
                </c:pt>
                <c:pt idx="4">
                  <c:v>1</c:v>
                </c:pt>
                <c:pt idx="5">
                  <c:v>0</c:v>
                </c:pt>
                <c:pt idx="6">
                  <c:v>1.5</c:v>
                </c:pt>
                <c:pt idx="7">
                  <c:v>0.5</c:v>
                </c:pt>
                <c:pt idx="8">
                  <c:v>0</c:v>
                </c:pt>
                <c:pt idx="9">
                  <c:v>1</c:v>
                </c:pt>
                <c:pt idx="10">
                  <c:v>1.5</c:v>
                </c:pt>
                <c:pt idx="11">
                  <c:v>3</c:v>
                </c:pt>
                <c:pt idx="12">
                  <c:v>0</c:v>
                </c:pt>
                <c:pt idx="13">
                  <c:v>1</c:v>
                </c:pt>
              </c:numCache>
            </c:numRef>
          </c:val>
          <c:smooth val="0"/>
        </c:ser>
        <c:ser>
          <c:idx val="1"/>
          <c:order val="1"/>
          <c:tx>
            <c:strRef>
              <c:f>'Fig.10+11 per region'!$D$73</c:f>
              <c:strCache>
                <c:ptCount val="1"/>
                <c:pt idx="0">
                  <c:v>Amerikas</c:v>
                </c:pt>
              </c:strCache>
            </c:strRef>
          </c:tx>
          <c:marker>
            <c:symbol val="none"/>
          </c:marker>
          <c:cat>
            <c:numRef>
              <c:f>'Fig.10+11 per region'!$E$71:$R$71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region'!$E$73:$R$73</c:f>
              <c:numCache>
                <c:formatCode>General</c:formatCode>
                <c:ptCount val="14"/>
                <c:pt idx="0">
                  <c:v>2</c:v>
                </c:pt>
                <c:pt idx="1">
                  <c:v>4</c:v>
                </c:pt>
                <c:pt idx="2">
                  <c:v>1</c:v>
                </c:pt>
                <c:pt idx="3">
                  <c:v>0.5</c:v>
                </c:pt>
                <c:pt idx="4">
                  <c:v>2</c:v>
                </c:pt>
                <c:pt idx="5">
                  <c:v>1</c:v>
                </c:pt>
                <c:pt idx="6">
                  <c:v>2</c:v>
                </c:pt>
                <c:pt idx="7">
                  <c:v>3.5</c:v>
                </c:pt>
                <c:pt idx="8">
                  <c:v>5</c:v>
                </c:pt>
                <c:pt idx="9">
                  <c:v>1</c:v>
                </c:pt>
                <c:pt idx="10">
                  <c:v>3</c:v>
                </c:pt>
                <c:pt idx="11">
                  <c:v>2</c:v>
                </c:pt>
                <c:pt idx="12">
                  <c:v>0</c:v>
                </c:pt>
                <c:pt idx="13">
                  <c:v>2.5</c:v>
                </c:pt>
              </c:numCache>
            </c:numRef>
          </c:val>
          <c:smooth val="0"/>
        </c:ser>
        <c:ser>
          <c:idx val="2"/>
          <c:order val="2"/>
          <c:tx>
            <c:strRef>
              <c:f>'Fig.10+11 per region'!$D$74</c:f>
              <c:strCache>
                <c:ptCount val="1"/>
                <c:pt idx="0">
                  <c:v>Asien/Pazifik</c:v>
                </c:pt>
              </c:strCache>
            </c:strRef>
          </c:tx>
          <c:marker>
            <c:symbol val="none"/>
          </c:marker>
          <c:cat>
            <c:numRef>
              <c:f>'Fig.10+11 per region'!$E$71:$R$71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region'!$E$74:$R$74</c:f>
              <c:numCache>
                <c:formatCode>General</c:formatCode>
                <c:ptCount val="14"/>
                <c:pt idx="0">
                  <c:v>1</c:v>
                </c:pt>
                <c:pt idx="1">
                  <c:v>6.5</c:v>
                </c:pt>
                <c:pt idx="2">
                  <c:v>1</c:v>
                </c:pt>
                <c:pt idx="3">
                  <c:v>6</c:v>
                </c:pt>
                <c:pt idx="4">
                  <c:v>2</c:v>
                </c:pt>
                <c:pt idx="5">
                  <c:v>4</c:v>
                </c:pt>
                <c:pt idx="6">
                  <c:v>1</c:v>
                </c:pt>
                <c:pt idx="7">
                  <c:v>2</c:v>
                </c:pt>
                <c:pt idx="8" formatCode="0">
                  <c:v>4.99</c:v>
                </c:pt>
                <c:pt idx="9">
                  <c:v>2.5</c:v>
                </c:pt>
                <c:pt idx="10">
                  <c:v>1</c:v>
                </c:pt>
                <c:pt idx="11">
                  <c:v>5.5</c:v>
                </c:pt>
                <c:pt idx="12">
                  <c:v>4.5</c:v>
                </c:pt>
                <c:pt idx="13">
                  <c:v>8</c:v>
                </c:pt>
              </c:numCache>
            </c:numRef>
          </c:val>
          <c:smooth val="0"/>
        </c:ser>
        <c:ser>
          <c:idx val="3"/>
          <c:order val="3"/>
          <c:tx>
            <c:strRef>
              <c:f>'Fig.10+11 per region'!$D$75</c:f>
              <c:strCache>
                <c:ptCount val="1"/>
                <c:pt idx="0">
                  <c:v>Europa</c:v>
                </c:pt>
              </c:strCache>
            </c:strRef>
          </c:tx>
          <c:marker>
            <c:symbol val="none"/>
          </c:marker>
          <c:cat>
            <c:numRef>
              <c:f>'Fig.10+11 per region'!$E$71:$R$71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region'!$E$75:$R$75</c:f>
              <c:numCache>
                <c:formatCode>General</c:formatCode>
                <c:ptCount val="14"/>
                <c:pt idx="0">
                  <c:v>4</c:v>
                </c:pt>
                <c:pt idx="1">
                  <c:v>6</c:v>
                </c:pt>
                <c:pt idx="2">
                  <c:v>19</c:v>
                </c:pt>
                <c:pt idx="3">
                  <c:v>16</c:v>
                </c:pt>
                <c:pt idx="4">
                  <c:v>14</c:v>
                </c:pt>
                <c:pt idx="5">
                  <c:v>8</c:v>
                </c:pt>
                <c:pt idx="6">
                  <c:v>18.5</c:v>
                </c:pt>
                <c:pt idx="7" formatCode="0">
                  <c:v>11.99</c:v>
                </c:pt>
                <c:pt idx="8">
                  <c:v>12</c:v>
                </c:pt>
                <c:pt idx="9">
                  <c:v>7.5</c:v>
                </c:pt>
                <c:pt idx="10">
                  <c:v>8</c:v>
                </c:pt>
                <c:pt idx="11">
                  <c:v>10.5</c:v>
                </c:pt>
                <c:pt idx="12">
                  <c:v>11.5</c:v>
                </c:pt>
                <c:pt idx="13">
                  <c:v>12</c:v>
                </c:pt>
              </c:numCache>
            </c:numRef>
          </c:val>
          <c:smooth val="0"/>
        </c:ser>
        <c:ser>
          <c:idx val="4"/>
          <c:order val="4"/>
          <c:tx>
            <c:strRef>
              <c:f>'Fig.10+11 per region'!$D$76</c:f>
              <c:strCache>
                <c:ptCount val="1"/>
                <c:pt idx="0">
                  <c:v>Naher/Mittlerer Osten</c:v>
                </c:pt>
              </c:strCache>
            </c:strRef>
          </c:tx>
          <c:marker>
            <c:symbol val="none"/>
          </c:marker>
          <c:cat>
            <c:numRef>
              <c:f>'Fig.10+11 per region'!$E$71:$R$71</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region'!$E$76:$R$76</c:f>
              <c:numCache>
                <c:formatCode>General</c:formatCode>
                <c:ptCount val="14"/>
                <c:pt idx="0">
                  <c:v>0</c:v>
                </c:pt>
                <c:pt idx="1">
                  <c:v>1.5</c:v>
                </c:pt>
                <c:pt idx="2">
                  <c:v>0</c:v>
                </c:pt>
                <c:pt idx="3">
                  <c:v>0.5</c:v>
                </c:pt>
                <c:pt idx="4">
                  <c:v>0</c:v>
                </c:pt>
                <c:pt idx="5">
                  <c:v>0</c:v>
                </c:pt>
                <c:pt idx="6">
                  <c:v>0</c:v>
                </c:pt>
                <c:pt idx="7">
                  <c:v>0</c:v>
                </c:pt>
                <c:pt idx="8">
                  <c:v>0</c:v>
                </c:pt>
                <c:pt idx="9">
                  <c:v>0</c:v>
                </c:pt>
                <c:pt idx="10">
                  <c:v>0.5</c:v>
                </c:pt>
                <c:pt idx="11">
                  <c:v>0</c:v>
                </c:pt>
                <c:pt idx="12">
                  <c:v>0</c:v>
                </c:pt>
                <c:pt idx="13">
                  <c:v>0.5</c:v>
                </c:pt>
              </c:numCache>
            </c:numRef>
          </c:val>
          <c:smooth val="0"/>
        </c:ser>
        <c:dLbls>
          <c:showLegendKey val="0"/>
          <c:showVal val="0"/>
          <c:showCatName val="0"/>
          <c:showSerName val="0"/>
          <c:showPercent val="0"/>
          <c:showBubbleSize val="0"/>
        </c:dLbls>
        <c:marker val="1"/>
        <c:smooth val="0"/>
        <c:axId val="89370624"/>
        <c:axId val="89372160"/>
      </c:lineChart>
      <c:catAx>
        <c:axId val="8937062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89372160"/>
        <c:crosses val="autoZero"/>
        <c:auto val="0"/>
        <c:lblAlgn val="ctr"/>
        <c:lblOffset val="100"/>
        <c:noMultiLvlLbl val="0"/>
      </c:catAx>
      <c:valAx>
        <c:axId val="89372160"/>
        <c:scaling>
          <c:orientation val="minMax"/>
        </c:scaling>
        <c:delete val="0"/>
        <c:axPos val="l"/>
        <c:majorGridlines/>
        <c:numFmt formatCode="General" sourceLinked="1"/>
        <c:majorTickMark val="out"/>
        <c:minorTickMark val="none"/>
        <c:tickLblPos val="nextTo"/>
        <c:crossAx val="89370624"/>
        <c:crosses val="autoZero"/>
        <c:crossBetween val="midCat"/>
      </c:valAx>
    </c:plotArea>
    <c:legend>
      <c:legendPos val="r"/>
      <c:layout>
        <c:manualLayout>
          <c:xMode val="edge"/>
          <c:yMode val="edge"/>
          <c:x val="0.64340502930128474"/>
          <c:y val="4.4858718042182458E-2"/>
          <c:w val="0.31257108486439195"/>
          <c:h val="0.3088317952121965"/>
        </c:manualLayout>
      </c:layout>
      <c:overlay val="0"/>
      <c:spPr>
        <a:solidFill>
          <a:schemeClr val="bg1"/>
        </a:solidFill>
        <a:ln>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638641244224641E-2"/>
          <c:y val="2.730433863552291E-2"/>
          <c:w val="0.90847973934725901"/>
          <c:h val="0.84696498361541561"/>
        </c:manualLayout>
      </c:layout>
      <c:lineChart>
        <c:grouping val="standard"/>
        <c:varyColors val="0"/>
        <c:ser>
          <c:idx val="0"/>
          <c:order val="0"/>
          <c:tx>
            <c:strRef>
              <c:f>'Fig.10+11 per region'!$B$5</c:f>
              <c:strCache>
                <c:ptCount val="1"/>
                <c:pt idx="0">
                  <c:v>Afrika</c:v>
                </c:pt>
              </c:strCache>
            </c:strRef>
          </c:tx>
          <c:marker>
            <c:symbol val="none"/>
          </c:marker>
          <c:cat>
            <c:numRef>
              <c:f>'Fig.10+11 per region'!$C$4:$P$4</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region'!$C$5:$P$5</c:f>
              <c:numCache>
                <c:formatCode>General</c:formatCode>
                <c:ptCount val="14"/>
                <c:pt idx="0">
                  <c:v>1</c:v>
                </c:pt>
                <c:pt idx="1">
                  <c:v>5</c:v>
                </c:pt>
                <c:pt idx="2">
                  <c:v>5.5</c:v>
                </c:pt>
                <c:pt idx="3">
                  <c:v>2</c:v>
                </c:pt>
                <c:pt idx="4">
                  <c:v>3</c:v>
                </c:pt>
                <c:pt idx="5">
                  <c:v>3</c:v>
                </c:pt>
                <c:pt idx="6">
                  <c:v>3</c:v>
                </c:pt>
                <c:pt idx="7">
                  <c:v>2.25</c:v>
                </c:pt>
                <c:pt idx="8">
                  <c:v>2</c:v>
                </c:pt>
                <c:pt idx="9">
                  <c:v>4</c:v>
                </c:pt>
                <c:pt idx="10">
                  <c:v>5</c:v>
                </c:pt>
                <c:pt idx="11">
                  <c:v>3.5</c:v>
                </c:pt>
                <c:pt idx="12">
                  <c:v>6.5</c:v>
                </c:pt>
                <c:pt idx="13">
                  <c:v>2.5</c:v>
                </c:pt>
              </c:numCache>
            </c:numRef>
          </c:val>
          <c:smooth val="0"/>
        </c:ser>
        <c:ser>
          <c:idx val="1"/>
          <c:order val="1"/>
          <c:tx>
            <c:strRef>
              <c:f>'Fig.10+11 per region'!$B$6</c:f>
              <c:strCache>
                <c:ptCount val="1"/>
                <c:pt idx="0">
                  <c:v>Amerikas</c:v>
                </c:pt>
              </c:strCache>
            </c:strRef>
          </c:tx>
          <c:marker>
            <c:symbol val="none"/>
          </c:marker>
          <c:cat>
            <c:numRef>
              <c:f>'Fig.10+11 per region'!$C$4:$P$4</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region'!$C$6:$P$6</c:f>
              <c:numCache>
                <c:formatCode>General</c:formatCode>
                <c:ptCount val="14"/>
                <c:pt idx="0">
                  <c:v>5</c:v>
                </c:pt>
                <c:pt idx="1">
                  <c:v>6</c:v>
                </c:pt>
                <c:pt idx="2">
                  <c:v>7.5</c:v>
                </c:pt>
                <c:pt idx="3">
                  <c:v>11</c:v>
                </c:pt>
                <c:pt idx="4">
                  <c:v>11.5</c:v>
                </c:pt>
                <c:pt idx="5">
                  <c:v>15.5</c:v>
                </c:pt>
                <c:pt idx="6">
                  <c:v>16</c:v>
                </c:pt>
                <c:pt idx="7">
                  <c:v>18.5</c:v>
                </c:pt>
                <c:pt idx="8">
                  <c:v>11</c:v>
                </c:pt>
                <c:pt idx="9">
                  <c:v>9</c:v>
                </c:pt>
                <c:pt idx="10">
                  <c:v>4.5</c:v>
                </c:pt>
                <c:pt idx="11">
                  <c:v>8</c:v>
                </c:pt>
                <c:pt idx="12">
                  <c:v>11</c:v>
                </c:pt>
                <c:pt idx="13">
                  <c:v>8.5</c:v>
                </c:pt>
              </c:numCache>
            </c:numRef>
          </c:val>
          <c:smooth val="0"/>
        </c:ser>
        <c:ser>
          <c:idx val="2"/>
          <c:order val="2"/>
          <c:tx>
            <c:v>Asien/Pazifik</c:v>
          </c:tx>
          <c:marker>
            <c:symbol val="none"/>
          </c:marker>
          <c:cat>
            <c:numRef>
              <c:f>'Fig.10+11 per region'!$C$4:$P$4</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region'!$C$7:$P$7</c:f>
              <c:numCache>
                <c:formatCode>General</c:formatCode>
                <c:ptCount val="14"/>
                <c:pt idx="0">
                  <c:v>5</c:v>
                </c:pt>
                <c:pt idx="1">
                  <c:v>8</c:v>
                </c:pt>
                <c:pt idx="2">
                  <c:v>11</c:v>
                </c:pt>
                <c:pt idx="3">
                  <c:v>8</c:v>
                </c:pt>
                <c:pt idx="4">
                  <c:v>7</c:v>
                </c:pt>
                <c:pt idx="5">
                  <c:v>3.5</c:v>
                </c:pt>
                <c:pt idx="6">
                  <c:v>10.5</c:v>
                </c:pt>
                <c:pt idx="7">
                  <c:v>15.25</c:v>
                </c:pt>
                <c:pt idx="8">
                  <c:v>18</c:v>
                </c:pt>
                <c:pt idx="9">
                  <c:v>26.5</c:v>
                </c:pt>
                <c:pt idx="10">
                  <c:v>19</c:v>
                </c:pt>
                <c:pt idx="11">
                  <c:v>17</c:v>
                </c:pt>
                <c:pt idx="12">
                  <c:v>16</c:v>
                </c:pt>
                <c:pt idx="13">
                  <c:v>13</c:v>
                </c:pt>
              </c:numCache>
            </c:numRef>
          </c:val>
          <c:smooth val="0"/>
        </c:ser>
        <c:ser>
          <c:idx val="3"/>
          <c:order val="3"/>
          <c:tx>
            <c:strRef>
              <c:f>'Fig.10+11 per region'!$B$8</c:f>
              <c:strCache>
                <c:ptCount val="1"/>
                <c:pt idx="0">
                  <c:v>Europa</c:v>
                </c:pt>
              </c:strCache>
            </c:strRef>
          </c:tx>
          <c:marker>
            <c:symbol val="none"/>
          </c:marker>
          <c:cat>
            <c:numRef>
              <c:f>'Fig.10+11 per region'!$C$4:$P$4</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region'!$C$8:$P$8</c:f>
              <c:numCache>
                <c:formatCode>General</c:formatCode>
                <c:ptCount val="14"/>
                <c:pt idx="0">
                  <c:v>30</c:v>
                </c:pt>
                <c:pt idx="1">
                  <c:v>25</c:v>
                </c:pt>
                <c:pt idx="2">
                  <c:v>30.5</c:v>
                </c:pt>
                <c:pt idx="3">
                  <c:v>31</c:v>
                </c:pt>
                <c:pt idx="4">
                  <c:v>28.5</c:v>
                </c:pt>
                <c:pt idx="5">
                  <c:v>37</c:v>
                </c:pt>
                <c:pt idx="6">
                  <c:v>39</c:v>
                </c:pt>
                <c:pt idx="7">
                  <c:v>37</c:v>
                </c:pt>
                <c:pt idx="8">
                  <c:v>38</c:v>
                </c:pt>
                <c:pt idx="9">
                  <c:v>40</c:v>
                </c:pt>
                <c:pt idx="10">
                  <c:v>33</c:v>
                </c:pt>
                <c:pt idx="11">
                  <c:v>31</c:v>
                </c:pt>
                <c:pt idx="12">
                  <c:v>28</c:v>
                </c:pt>
                <c:pt idx="13">
                  <c:v>25</c:v>
                </c:pt>
              </c:numCache>
            </c:numRef>
          </c:val>
          <c:smooth val="0"/>
        </c:ser>
        <c:ser>
          <c:idx val="4"/>
          <c:order val="4"/>
          <c:tx>
            <c:v>Naher/Mittlerer Osten</c:v>
          </c:tx>
          <c:marker>
            <c:symbol val="none"/>
          </c:marker>
          <c:cat>
            <c:numRef>
              <c:f>'Fig.10+11 per region'!$C$4:$P$4</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'Fig.10+11 per region'!$C$9:$P$9</c:f>
              <c:numCache>
                <c:formatCode>General</c:formatCode>
                <c:ptCount val="14"/>
                <c:pt idx="0">
                  <c:v>1</c:v>
                </c:pt>
                <c:pt idx="1">
                  <c:v>1</c:v>
                </c:pt>
                <c:pt idx="2">
                  <c:v>2.5</c:v>
                </c:pt>
                <c:pt idx="3">
                  <c:v>4</c:v>
                </c:pt>
                <c:pt idx="4">
                  <c:v>4</c:v>
                </c:pt>
                <c:pt idx="5">
                  <c:v>3.5</c:v>
                </c:pt>
                <c:pt idx="6">
                  <c:v>3.5</c:v>
                </c:pt>
                <c:pt idx="7">
                  <c:v>5</c:v>
                </c:pt>
                <c:pt idx="8">
                  <c:v>5</c:v>
                </c:pt>
                <c:pt idx="9">
                  <c:v>2.5</c:v>
                </c:pt>
                <c:pt idx="10">
                  <c:v>0.5</c:v>
                </c:pt>
                <c:pt idx="11">
                  <c:v>0.5</c:v>
                </c:pt>
                <c:pt idx="12">
                  <c:v>0.5</c:v>
                </c:pt>
                <c:pt idx="13">
                  <c:v>0</c:v>
                </c:pt>
              </c:numCache>
            </c:numRef>
          </c:val>
          <c:smooth val="0"/>
        </c:ser>
        <c:dLbls>
          <c:showLegendKey val="0"/>
          <c:showVal val="0"/>
          <c:showCatName val="0"/>
          <c:showSerName val="0"/>
          <c:showPercent val="0"/>
          <c:showBubbleSize val="0"/>
        </c:dLbls>
        <c:marker val="1"/>
        <c:smooth val="0"/>
        <c:axId val="109036288"/>
        <c:axId val="109037824"/>
      </c:lineChart>
      <c:catAx>
        <c:axId val="10903628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09037824"/>
        <c:crosses val="autoZero"/>
        <c:auto val="1"/>
        <c:lblAlgn val="ctr"/>
        <c:lblOffset val="100"/>
        <c:noMultiLvlLbl val="0"/>
      </c:catAx>
      <c:valAx>
        <c:axId val="109037824"/>
        <c:scaling>
          <c:orientation val="minMax"/>
        </c:scaling>
        <c:delete val="0"/>
        <c:axPos val="l"/>
        <c:majorGridlines/>
        <c:numFmt formatCode="General" sourceLinked="1"/>
        <c:majorTickMark val="out"/>
        <c:minorTickMark val="none"/>
        <c:tickLblPos val="nextTo"/>
        <c:crossAx val="109036288"/>
        <c:crosses val="autoZero"/>
        <c:crossBetween val="midCat"/>
      </c:valAx>
    </c:plotArea>
    <c:legend>
      <c:legendPos val="r"/>
      <c:layout>
        <c:manualLayout>
          <c:xMode val="edge"/>
          <c:yMode val="edge"/>
          <c:x val="7.3845135131810194E-2"/>
          <c:y val="2.3130367118763335E-2"/>
          <c:w val="0.2817200560033894"/>
          <c:h val="0.24490861402854008"/>
        </c:manualLayout>
      </c:layout>
      <c:overlay val="0"/>
      <c:spPr>
        <a:solidFill>
          <a:schemeClr val="bg1"/>
        </a:solidFill>
        <a:ln>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218771422042804E-2"/>
          <c:y val="8.5031763973957911E-2"/>
          <c:w val="0.88525055567480737"/>
          <c:h val="0.8075725313915687"/>
        </c:manualLayout>
      </c:layout>
      <c:barChart>
        <c:barDir val="col"/>
        <c:grouping val="clustered"/>
        <c:varyColors val="0"/>
        <c:ser>
          <c:idx val="0"/>
          <c:order val="0"/>
          <c:tx>
            <c:v>Zahl der UPOV-Mitglieder</c:v>
          </c:tx>
          <c:spPr>
            <a:solidFill>
              <a:schemeClr val="bg1">
                <a:lumMod val="65000"/>
              </a:schemeClr>
            </a:solidFill>
          </c:spPr>
          <c:invertIfNegative val="0"/>
          <c:cat>
            <c:numRef>
              <c:f>'Fig.8+9+12'!$AB$25:$AB$38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'Fig.8+9+12'!$V$25:$V$38</c:f>
              <c:numCache>
                <c:formatCode>General</c:formatCode>
                <c:ptCount val="14"/>
                <c:pt idx="0">
                  <c:v>46</c:v>
                </c:pt>
                <c:pt idx="1">
                  <c:v>49</c:v>
                </c:pt>
                <c:pt idx="2">
                  <c:v>51</c:v>
                </c:pt>
                <c:pt idx="3">
                  <c:v>54</c:v>
                </c:pt>
                <c:pt idx="4">
                  <c:v>58</c:v>
                </c:pt>
                <c:pt idx="5">
                  <c:v>60</c:v>
                </c:pt>
                <c:pt idx="6">
                  <c:v>63</c:v>
                </c:pt>
                <c:pt idx="7">
                  <c:v>65</c:v>
                </c:pt>
                <c:pt idx="8">
                  <c:v>66</c:v>
                </c:pt>
                <c:pt idx="9">
                  <c:v>68</c:v>
                </c:pt>
                <c:pt idx="10">
                  <c:v>68</c:v>
                </c:pt>
                <c:pt idx="11">
                  <c:v>70</c:v>
                </c:pt>
                <c:pt idx="12">
                  <c:v>70</c:v>
                </c:pt>
                <c:pt idx="13">
                  <c:v>71</c:v>
                </c:pt>
              </c:numCache>
            </c:numRef>
          </c:val>
        </c:ser>
        <c:dLbls>
          <c:showLegendKey val="0"/>
          <c:showVal val="0"/>
          <c:showCatName val="0"/>
          <c:showSerName val="0"/>
          <c:showPercent val="0"/>
          <c:showBubbleSize val="0"/>
        </c:dLbls>
        <c:gapWidth val="150"/>
        <c:axId val="111021056"/>
        <c:axId val="111039232"/>
      </c:barChart>
      <c:lineChart>
        <c:grouping val="standard"/>
        <c:varyColors val="0"/>
        <c:ser>
          <c:idx val="1"/>
          <c:order val="1"/>
          <c:tx>
            <c:v>Zahl der an der Erstellung von Prüfungsrichtlinien beteiligten Verbandsmitglieder</c:v>
          </c:tx>
          <c:spPr>
            <a:ln w="41275"/>
          </c:spPr>
          <c:marker>
            <c:symbol val="none"/>
          </c:marker>
          <c:cat>
            <c:numRef>
              <c:f>'Fig.8+9+12'!$AB$25:$AB$38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'Fig.8+9+12'!$AA$25:$AA$38</c:f>
              <c:numCache>
                <c:formatCode>General</c:formatCode>
                <c:ptCount val="14"/>
                <c:pt idx="0">
                  <c:v>17</c:v>
                </c:pt>
                <c:pt idx="1">
                  <c:v>16</c:v>
                </c:pt>
                <c:pt idx="2">
                  <c:v>17</c:v>
                </c:pt>
                <c:pt idx="3">
                  <c:v>21</c:v>
                </c:pt>
                <c:pt idx="4">
                  <c:v>22</c:v>
                </c:pt>
                <c:pt idx="5">
                  <c:v>24</c:v>
                </c:pt>
                <c:pt idx="6">
                  <c:v>25</c:v>
                </c:pt>
                <c:pt idx="7">
                  <c:v>23</c:v>
                </c:pt>
                <c:pt idx="8">
                  <c:v>20</c:v>
                </c:pt>
                <c:pt idx="9">
                  <c:v>21</c:v>
                </c:pt>
                <c:pt idx="10">
                  <c:v>21</c:v>
                </c:pt>
                <c:pt idx="11">
                  <c:v>20</c:v>
                </c:pt>
                <c:pt idx="12">
                  <c:v>19</c:v>
                </c:pt>
                <c:pt idx="13">
                  <c:v>17</c:v>
                </c:pt>
              </c:numCache>
            </c:numRef>
          </c:val>
          <c:smooth val="0"/>
        </c:ser>
        <c:dLbls>
          <c:showLegendKey val="0"/>
          <c:showVal val="0"/>
          <c:showCatName val="0"/>
          <c:showSerName val="0"/>
          <c:showPercent val="0"/>
          <c:showBubbleSize val="0"/>
        </c:dLbls>
        <c:marker val="1"/>
        <c:smooth val="0"/>
        <c:axId val="111021056"/>
        <c:axId val="111039232"/>
      </c:lineChart>
      <c:catAx>
        <c:axId val="111021056"/>
        <c:scaling>
          <c:orientation val="minMax"/>
        </c:scaling>
        <c:delete val="0"/>
        <c:axPos val="b"/>
        <c:numFmt formatCode="General" sourceLinked="1"/>
        <c:majorTickMark val="out"/>
        <c:minorTickMark val="none"/>
        <c:tickLblPos val="nextTo"/>
        <c:crossAx val="111039232"/>
        <c:crosses val="autoZero"/>
        <c:auto val="1"/>
        <c:lblAlgn val="ctr"/>
        <c:lblOffset val="100"/>
        <c:noMultiLvlLbl val="0"/>
      </c:catAx>
      <c:valAx>
        <c:axId val="111039232"/>
        <c:scaling>
          <c:orientation val="minMax"/>
        </c:scaling>
        <c:delete val="0"/>
        <c:axPos val="l"/>
        <c:majorGridlines/>
        <c:numFmt formatCode="General" sourceLinked="1"/>
        <c:majorTickMark val="out"/>
        <c:minorTickMark val="none"/>
        <c:tickLblPos val="nextTo"/>
        <c:crossAx val="111021056"/>
        <c:crosses val="autoZero"/>
        <c:crossBetween val="between"/>
      </c:valAx>
    </c:plotArea>
    <c:legend>
      <c:legendPos val="r"/>
      <c:layout>
        <c:manualLayout>
          <c:xMode val="edge"/>
          <c:yMode val="edge"/>
          <c:x val="8.8075971651929444E-2"/>
          <c:y val="4.7941256363747877E-3"/>
          <c:w val="0.54368127635560415"/>
          <c:h val="0.16330144014750422"/>
        </c:manualLayout>
      </c:layout>
      <c:overlay val="0"/>
      <c:spPr>
        <a:solidFill>
          <a:schemeClr val="bg1"/>
        </a:solidFill>
        <a:ln>
          <a:solidFill>
            <a:schemeClr val="tx1"/>
          </a:solid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372165828669006E-2"/>
          <c:y val="4.4875944992824414E-2"/>
          <c:w val="0.89756088922619615"/>
          <c:h val="0.69929068633222524"/>
        </c:manualLayout>
      </c:layout>
      <c:barChart>
        <c:barDir val="col"/>
        <c:grouping val="clustered"/>
        <c:varyColors val="0"/>
        <c:ser>
          <c:idx val="1"/>
          <c:order val="0"/>
          <c:tx>
            <c:strRef>
              <c:f>fig.13_CAJ!$C$5</c:f>
              <c:strCache>
                <c:ptCount val="1"/>
                <c:pt idx="0">
                  <c:v>Beobachterstaaten</c:v>
                </c:pt>
              </c:strCache>
            </c:strRef>
          </c:tx>
          <c:spPr>
            <a:solidFill>
              <a:srgbClr val="FFFF99"/>
            </a:solidFill>
            <a:ln>
              <a:solidFill>
                <a:srgbClr val="000000"/>
              </a:solidFill>
            </a:ln>
          </c:spPr>
          <c:invertIfNegative val="0"/>
          <c:cat>
            <c:strRef>
              <c:f>fig.13_CAJ!$A$6:$A$33</c:f>
              <c:strCache>
                <c:ptCount val="28"/>
                <c:pt idx="0">
                  <c:v>März/Apr. 2000</c:v>
                </c:pt>
                <c:pt idx="1">
                  <c:v>Okt./Nov. 2000</c:v>
                </c:pt>
                <c:pt idx="2">
                  <c:v>März/Apr. 2001</c:v>
                </c:pt>
                <c:pt idx="3">
                  <c:v>Okt./Nov. 2001</c:v>
                </c:pt>
                <c:pt idx="4">
                  <c:v>März/Apr. 2002</c:v>
                </c:pt>
                <c:pt idx="5">
                  <c:v>Okt./Nov. 2002</c:v>
                </c:pt>
                <c:pt idx="6">
                  <c:v>März/Apr. 2003</c:v>
                </c:pt>
                <c:pt idx="7">
                  <c:v>Okt./Nov. 2003</c:v>
                </c:pt>
                <c:pt idx="8">
                  <c:v>März/Apr. 2004</c:v>
                </c:pt>
                <c:pt idx="9">
                  <c:v>Okt./Nov. 2004</c:v>
                </c:pt>
                <c:pt idx="10">
                  <c:v>März/Apr. 2005</c:v>
                </c:pt>
                <c:pt idx="11">
                  <c:v>Okt./Nov. 2005</c:v>
                </c:pt>
                <c:pt idx="12">
                  <c:v>März/Apr. 2006</c:v>
                </c:pt>
                <c:pt idx="13">
                  <c:v>Okt./Nov. 2006</c:v>
                </c:pt>
                <c:pt idx="14">
                  <c:v>Mäzr/Apr. 2007</c:v>
                </c:pt>
                <c:pt idx="15">
                  <c:v>Okt./Nov. 2007</c:v>
                </c:pt>
                <c:pt idx="16">
                  <c:v>März/Apr. 2008</c:v>
                </c:pt>
                <c:pt idx="17">
                  <c:v>Okt./Nov. 2008</c:v>
                </c:pt>
                <c:pt idx="18">
                  <c:v>März/Apr. 2009</c:v>
                </c:pt>
                <c:pt idx="19">
                  <c:v>Okt./Nov. 2009</c:v>
                </c:pt>
                <c:pt idx="20">
                  <c:v>März/Apr. 2010</c:v>
                </c:pt>
                <c:pt idx="21">
                  <c:v>Okt./Nov. 2010</c:v>
                </c:pt>
                <c:pt idx="22">
                  <c:v>März/Apr. 2011</c:v>
                </c:pt>
                <c:pt idx="23">
                  <c:v>Okt./Nov. 2011</c:v>
                </c:pt>
                <c:pt idx="24">
                  <c:v>März/Apr. 2012</c:v>
                </c:pt>
                <c:pt idx="25">
                  <c:v>Okt./Nov. 2012</c:v>
                </c:pt>
                <c:pt idx="26">
                  <c:v>März/Apr. 2013</c:v>
                </c:pt>
                <c:pt idx="27">
                  <c:v>Okt./Nov. 2013</c:v>
                </c:pt>
              </c:strCache>
            </c:strRef>
          </c:cat>
          <c:val>
            <c:numRef>
              <c:f>fig.13_CAJ!$C$6:$C$33</c:f>
              <c:numCache>
                <c:formatCode>General</c:formatCode>
                <c:ptCount val="28"/>
                <c:pt idx="0">
                  <c:v>6</c:v>
                </c:pt>
                <c:pt idx="1">
                  <c:v>6</c:v>
                </c:pt>
                <c:pt idx="2">
                  <c:v>4</c:v>
                </c:pt>
                <c:pt idx="3">
                  <c:v>7</c:v>
                </c:pt>
                <c:pt idx="4">
                  <c:v>4</c:v>
                </c:pt>
                <c:pt idx="5">
                  <c:v>7</c:v>
                </c:pt>
                <c:pt idx="6">
                  <c:v>3</c:v>
                </c:pt>
                <c:pt idx="7">
                  <c:v>8</c:v>
                </c:pt>
                <c:pt idx="8">
                  <c:v>4</c:v>
                </c:pt>
                <c:pt idx="9">
                  <c:v>3</c:v>
                </c:pt>
                <c:pt idx="10">
                  <c:v>4</c:v>
                </c:pt>
                <c:pt idx="11">
                  <c:v>4</c:v>
                </c:pt>
                <c:pt idx="12">
                  <c:v>6</c:v>
                </c:pt>
                <c:pt idx="13">
                  <c:v>4</c:v>
                </c:pt>
                <c:pt idx="14">
                  <c:v>8</c:v>
                </c:pt>
                <c:pt idx="15">
                  <c:v>4</c:v>
                </c:pt>
                <c:pt idx="16">
                  <c:v>3</c:v>
                </c:pt>
                <c:pt idx="17">
                  <c:v>7</c:v>
                </c:pt>
                <c:pt idx="18">
                  <c:v>2</c:v>
                </c:pt>
                <c:pt idx="19">
                  <c:v>3</c:v>
                </c:pt>
                <c:pt idx="20">
                  <c:v>3</c:v>
                </c:pt>
                <c:pt idx="21">
                  <c:v>4</c:v>
                </c:pt>
                <c:pt idx="22">
                  <c:v>11</c:v>
                </c:pt>
                <c:pt idx="23">
                  <c:v>1</c:v>
                </c:pt>
                <c:pt idx="24">
                  <c:v>4</c:v>
                </c:pt>
                <c:pt idx="25">
                  <c:v>3</c:v>
                </c:pt>
                <c:pt idx="26">
                  <c:v>7</c:v>
                </c:pt>
                <c:pt idx="27">
                  <c:v>5</c:v>
                </c:pt>
              </c:numCache>
            </c:numRef>
          </c:val>
        </c:ser>
        <c:ser>
          <c:idx val="2"/>
          <c:order val="1"/>
          <c:tx>
            <c:strRef>
              <c:f>fig.13_CAJ!$D$5</c:f>
              <c:strCache>
                <c:ptCount val="1"/>
                <c:pt idx="0">
                  <c:v>Beobachterorganisationen</c:v>
                </c:pt>
              </c:strCache>
            </c:strRef>
          </c:tx>
          <c:spPr>
            <a:ln>
              <a:solidFill>
                <a:srgbClr val="000000"/>
              </a:solidFill>
            </a:ln>
          </c:spPr>
          <c:invertIfNegative val="0"/>
          <c:cat>
            <c:strRef>
              <c:f>fig.13_CAJ!$A$6:$A$33</c:f>
              <c:strCache>
                <c:ptCount val="28"/>
                <c:pt idx="0">
                  <c:v>März/Apr. 2000</c:v>
                </c:pt>
                <c:pt idx="1">
                  <c:v>Okt./Nov. 2000</c:v>
                </c:pt>
                <c:pt idx="2">
                  <c:v>März/Apr. 2001</c:v>
                </c:pt>
                <c:pt idx="3">
                  <c:v>Okt./Nov. 2001</c:v>
                </c:pt>
                <c:pt idx="4">
                  <c:v>März/Apr. 2002</c:v>
                </c:pt>
                <c:pt idx="5">
                  <c:v>Okt./Nov. 2002</c:v>
                </c:pt>
                <c:pt idx="6">
                  <c:v>März/Apr. 2003</c:v>
                </c:pt>
                <c:pt idx="7">
                  <c:v>Okt./Nov. 2003</c:v>
                </c:pt>
                <c:pt idx="8">
                  <c:v>März/Apr. 2004</c:v>
                </c:pt>
                <c:pt idx="9">
                  <c:v>Okt./Nov. 2004</c:v>
                </c:pt>
                <c:pt idx="10">
                  <c:v>März/Apr. 2005</c:v>
                </c:pt>
                <c:pt idx="11">
                  <c:v>Okt./Nov. 2005</c:v>
                </c:pt>
                <c:pt idx="12">
                  <c:v>März/Apr. 2006</c:v>
                </c:pt>
                <c:pt idx="13">
                  <c:v>Okt./Nov. 2006</c:v>
                </c:pt>
                <c:pt idx="14">
                  <c:v>Mäzr/Apr. 2007</c:v>
                </c:pt>
                <c:pt idx="15">
                  <c:v>Okt./Nov. 2007</c:v>
                </c:pt>
                <c:pt idx="16">
                  <c:v>März/Apr. 2008</c:v>
                </c:pt>
                <c:pt idx="17">
                  <c:v>Okt./Nov. 2008</c:v>
                </c:pt>
                <c:pt idx="18">
                  <c:v>März/Apr. 2009</c:v>
                </c:pt>
                <c:pt idx="19">
                  <c:v>Okt./Nov. 2009</c:v>
                </c:pt>
                <c:pt idx="20">
                  <c:v>März/Apr. 2010</c:v>
                </c:pt>
                <c:pt idx="21">
                  <c:v>Okt./Nov. 2010</c:v>
                </c:pt>
                <c:pt idx="22">
                  <c:v>März/Apr. 2011</c:v>
                </c:pt>
                <c:pt idx="23">
                  <c:v>Okt./Nov. 2011</c:v>
                </c:pt>
                <c:pt idx="24">
                  <c:v>März/Apr. 2012</c:v>
                </c:pt>
                <c:pt idx="25">
                  <c:v>Okt./Nov. 2012</c:v>
                </c:pt>
                <c:pt idx="26">
                  <c:v>März/Apr. 2013</c:v>
                </c:pt>
                <c:pt idx="27">
                  <c:v>Okt./Nov. 2013</c:v>
                </c:pt>
              </c:strCache>
            </c:strRef>
          </c:cat>
          <c:val>
            <c:numRef>
              <c:f>fig.13_CAJ!$D$6:$D$33</c:f>
              <c:numCache>
                <c:formatCode>General</c:formatCode>
                <c:ptCount val="28"/>
                <c:pt idx="0">
                  <c:v>4</c:v>
                </c:pt>
                <c:pt idx="1">
                  <c:v>4</c:v>
                </c:pt>
                <c:pt idx="2">
                  <c:v>3</c:v>
                </c:pt>
                <c:pt idx="3">
                  <c:v>4</c:v>
                </c:pt>
                <c:pt idx="4">
                  <c:v>4</c:v>
                </c:pt>
                <c:pt idx="5">
                  <c:v>6</c:v>
                </c:pt>
                <c:pt idx="6">
                  <c:v>4</c:v>
                </c:pt>
                <c:pt idx="7">
                  <c:v>6</c:v>
                </c:pt>
                <c:pt idx="8">
                  <c:v>5</c:v>
                </c:pt>
                <c:pt idx="9">
                  <c:v>6</c:v>
                </c:pt>
                <c:pt idx="10">
                  <c:v>6</c:v>
                </c:pt>
                <c:pt idx="11">
                  <c:v>2</c:v>
                </c:pt>
                <c:pt idx="12">
                  <c:v>4</c:v>
                </c:pt>
                <c:pt idx="13">
                  <c:v>3</c:v>
                </c:pt>
                <c:pt idx="14">
                  <c:v>4</c:v>
                </c:pt>
                <c:pt idx="15">
                  <c:v>5</c:v>
                </c:pt>
                <c:pt idx="16">
                  <c:v>4</c:v>
                </c:pt>
                <c:pt idx="17">
                  <c:v>4</c:v>
                </c:pt>
                <c:pt idx="18">
                  <c:v>5</c:v>
                </c:pt>
                <c:pt idx="19">
                  <c:v>6</c:v>
                </c:pt>
                <c:pt idx="20">
                  <c:v>4</c:v>
                </c:pt>
                <c:pt idx="21">
                  <c:v>5</c:v>
                </c:pt>
                <c:pt idx="22">
                  <c:v>7</c:v>
                </c:pt>
                <c:pt idx="23">
                  <c:v>7</c:v>
                </c:pt>
                <c:pt idx="24">
                  <c:v>7</c:v>
                </c:pt>
                <c:pt idx="25">
                  <c:v>7</c:v>
                </c:pt>
                <c:pt idx="26">
                  <c:v>5</c:v>
                </c:pt>
                <c:pt idx="27">
                  <c:v>7</c:v>
                </c:pt>
              </c:numCache>
            </c:numRef>
          </c:val>
        </c:ser>
        <c:ser>
          <c:idx val="0"/>
          <c:order val="2"/>
          <c:tx>
            <c:strRef>
              <c:f>fig.13_CAJ!$B$5</c:f>
              <c:strCache>
                <c:ptCount val="1"/>
                <c:pt idx="0">
                  <c:v>Mitglieder</c:v>
                </c:pt>
              </c:strCache>
            </c:strRef>
          </c:tx>
          <c:spPr>
            <a:solidFill>
              <a:schemeClr val="accent2">
                <a:lumMod val="75000"/>
              </a:schemeClr>
            </a:solidFill>
            <a:ln>
              <a:solidFill>
                <a:sysClr val="windowText" lastClr="000000"/>
              </a:solidFill>
            </a:ln>
          </c:spPr>
          <c:invertIfNegative val="0"/>
          <c:dLbls>
            <c:dLbl>
              <c:idx val="0"/>
              <c:showLegendKey val="0"/>
              <c:showVal val="1"/>
              <c:showCatName val="0"/>
              <c:showSerName val="0"/>
              <c:showPercent val="0"/>
              <c:showBubbleSize val="0"/>
            </c:dLbl>
            <c:dLbl>
              <c:idx val="15"/>
              <c:showLegendKey val="0"/>
              <c:showVal val="1"/>
              <c:showCatName val="0"/>
              <c:showSerName val="0"/>
              <c:showPercent val="0"/>
              <c:showBubbleSize val="0"/>
            </c:dLbl>
            <c:dLbl>
              <c:idx val="27"/>
              <c:showLegendKey val="0"/>
              <c:showVal val="1"/>
              <c:showCatName val="0"/>
              <c:showSerName val="0"/>
              <c:showPercent val="0"/>
              <c:showBubbleSize val="0"/>
            </c:dLbl>
            <c:showLegendKey val="0"/>
            <c:showVal val="0"/>
            <c:showCatName val="0"/>
            <c:showSerName val="0"/>
            <c:showPercent val="0"/>
            <c:showBubbleSize val="0"/>
          </c:dLbls>
          <c:cat>
            <c:strRef>
              <c:f>fig.13_CAJ!$A$6:$A$33</c:f>
              <c:strCache>
                <c:ptCount val="28"/>
                <c:pt idx="0">
                  <c:v>März/Apr. 2000</c:v>
                </c:pt>
                <c:pt idx="1">
                  <c:v>Okt./Nov. 2000</c:v>
                </c:pt>
                <c:pt idx="2">
                  <c:v>März/Apr. 2001</c:v>
                </c:pt>
                <c:pt idx="3">
                  <c:v>Okt./Nov. 2001</c:v>
                </c:pt>
                <c:pt idx="4">
                  <c:v>März/Apr. 2002</c:v>
                </c:pt>
                <c:pt idx="5">
                  <c:v>Okt./Nov. 2002</c:v>
                </c:pt>
                <c:pt idx="6">
                  <c:v>März/Apr. 2003</c:v>
                </c:pt>
                <c:pt idx="7">
                  <c:v>Okt./Nov. 2003</c:v>
                </c:pt>
                <c:pt idx="8">
                  <c:v>März/Apr. 2004</c:v>
                </c:pt>
                <c:pt idx="9">
                  <c:v>Okt./Nov. 2004</c:v>
                </c:pt>
                <c:pt idx="10">
                  <c:v>März/Apr. 2005</c:v>
                </c:pt>
                <c:pt idx="11">
                  <c:v>Okt./Nov. 2005</c:v>
                </c:pt>
                <c:pt idx="12">
                  <c:v>März/Apr. 2006</c:v>
                </c:pt>
                <c:pt idx="13">
                  <c:v>Okt./Nov. 2006</c:v>
                </c:pt>
                <c:pt idx="14">
                  <c:v>Mäzr/Apr. 2007</c:v>
                </c:pt>
                <c:pt idx="15">
                  <c:v>Okt./Nov. 2007</c:v>
                </c:pt>
                <c:pt idx="16">
                  <c:v>März/Apr. 2008</c:v>
                </c:pt>
                <c:pt idx="17">
                  <c:v>Okt./Nov. 2008</c:v>
                </c:pt>
                <c:pt idx="18">
                  <c:v>März/Apr. 2009</c:v>
                </c:pt>
                <c:pt idx="19">
                  <c:v>Okt./Nov. 2009</c:v>
                </c:pt>
                <c:pt idx="20">
                  <c:v>März/Apr. 2010</c:v>
                </c:pt>
                <c:pt idx="21">
                  <c:v>Okt./Nov. 2010</c:v>
                </c:pt>
                <c:pt idx="22">
                  <c:v>März/Apr. 2011</c:v>
                </c:pt>
                <c:pt idx="23">
                  <c:v>Okt./Nov. 2011</c:v>
                </c:pt>
                <c:pt idx="24">
                  <c:v>März/Apr. 2012</c:v>
                </c:pt>
                <c:pt idx="25">
                  <c:v>Okt./Nov. 2012</c:v>
                </c:pt>
                <c:pt idx="26">
                  <c:v>März/Apr. 2013</c:v>
                </c:pt>
                <c:pt idx="27">
                  <c:v>Okt./Nov. 2013</c:v>
                </c:pt>
              </c:strCache>
            </c:strRef>
          </c:cat>
          <c:val>
            <c:numRef>
              <c:f>fig.13_CAJ!$B$6:$B$33</c:f>
              <c:numCache>
                <c:formatCode>General</c:formatCode>
                <c:ptCount val="28"/>
                <c:pt idx="0">
                  <c:v>35</c:v>
                </c:pt>
                <c:pt idx="1">
                  <c:v>39</c:v>
                </c:pt>
                <c:pt idx="2">
                  <c:v>37</c:v>
                </c:pt>
                <c:pt idx="3">
                  <c:v>35</c:v>
                </c:pt>
                <c:pt idx="4">
                  <c:v>40</c:v>
                </c:pt>
                <c:pt idx="5">
                  <c:v>39</c:v>
                </c:pt>
                <c:pt idx="6">
                  <c:v>41</c:v>
                </c:pt>
                <c:pt idx="7">
                  <c:v>42</c:v>
                </c:pt>
                <c:pt idx="8">
                  <c:v>41</c:v>
                </c:pt>
                <c:pt idx="9">
                  <c:v>42</c:v>
                </c:pt>
                <c:pt idx="10">
                  <c:v>46</c:v>
                </c:pt>
                <c:pt idx="11">
                  <c:v>46</c:v>
                </c:pt>
                <c:pt idx="12">
                  <c:v>44</c:v>
                </c:pt>
                <c:pt idx="13">
                  <c:v>44</c:v>
                </c:pt>
                <c:pt idx="14">
                  <c:v>43</c:v>
                </c:pt>
                <c:pt idx="15">
                  <c:v>48</c:v>
                </c:pt>
                <c:pt idx="16">
                  <c:v>45</c:v>
                </c:pt>
                <c:pt idx="17">
                  <c:v>41</c:v>
                </c:pt>
                <c:pt idx="18">
                  <c:v>40</c:v>
                </c:pt>
                <c:pt idx="19">
                  <c:v>44</c:v>
                </c:pt>
                <c:pt idx="20">
                  <c:v>42</c:v>
                </c:pt>
                <c:pt idx="21">
                  <c:v>39</c:v>
                </c:pt>
                <c:pt idx="22">
                  <c:v>36</c:v>
                </c:pt>
                <c:pt idx="23">
                  <c:v>36</c:v>
                </c:pt>
                <c:pt idx="24">
                  <c:v>39</c:v>
                </c:pt>
                <c:pt idx="25">
                  <c:v>36</c:v>
                </c:pt>
                <c:pt idx="26">
                  <c:v>37</c:v>
                </c:pt>
                <c:pt idx="27">
                  <c:v>37</c:v>
                </c:pt>
              </c:numCache>
            </c:numRef>
          </c:val>
        </c:ser>
        <c:dLbls>
          <c:showLegendKey val="0"/>
          <c:showVal val="0"/>
          <c:showCatName val="0"/>
          <c:showSerName val="0"/>
          <c:showPercent val="0"/>
          <c:showBubbleSize val="0"/>
        </c:dLbls>
        <c:gapWidth val="88"/>
        <c:overlap val="28"/>
        <c:axId val="111052672"/>
        <c:axId val="111054208"/>
      </c:barChart>
      <c:lineChart>
        <c:grouping val="standard"/>
        <c:varyColors val="0"/>
        <c:ser>
          <c:idx val="3"/>
          <c:order val="3"/>
          <c:tx>
            <c:v>Zahl der UPOV-Mitglieder</c:v>
          </c:tx>
          <c:spPr>
            <a:ln w="25400">
              <a:solidFill>
                <a:schemeClr val="tx2"/>
              </a:solidFill>
            </a:ln>
          </c:spPr>
          <c:marker>
            <c:symbol val="none"/>
          </c:marker>
          <c:dLbls>
            <c:dLbl>
              <c:idx val="0"/>
              <c:dLblPos val="t"/>
              <c:showLegendKey val="0"/>
              <c:showVal val="1"/>
              <c:showCatName val="0"/>
              <c:showSerName val="0"/>
              <c:showPercent val="0"/>
              <c:showBubbleSize val="0"/>
            </c:dLbl>
            <c:dLbl>
              <c:idx val="27"/>
              <c:dLblPos val="t"/>
              <c:showLegendKey val="0"/>
              <c:showVal val="1"/>
              <c:showCatName val="0"/>
              <c:showSerName val="0"/>
              <c:showPercent val="0"/>
              <c:showBubbleSize val="0"/>
            </c:dLbl>
            <c:dLblPos val="t"/>
            <c:showLegendKey val="0"/>
            <c:showVal val="0"/>
            <c:showCatName val="0"/>
            <c:showSerName val="0"/>
            <c:showPercent val="0"/>
            <c:showBubbleSize val="0"/>
          </c:dLbls>
          <c:val>
            <c:numRef>
              <c:f>members!$C$30:$C$57</c:f>
              <c:numCache>
                <c:formatCode>General</c:formatCode>
                <c:ptCount val="28"/>
                <c:pt idx="0">
                  <c:v>46</c:v>
                </c:pt>
                <c:pt idx="1">
                  <c:v>46</c:v>
                </c:pt>
                <c:pt idx="2">
                  <c:v>49</c:v>
                </c:pt>
                <c:pt idx="3">
                  <c:v>49</c:v>
                </c:pt>
                <c:pt idx="4">
                  <c:v>51</c:v>
                </c:pt>
                <c:pt idx="5">
                  <c:v>51</c:v>
                </c:pt>
                <c:pt idx="6">
                  <c:v>54</c:v>
                </c:pt>
                <c:pt idx="7">
                  <c:v>54</c:v>
                </c:pt>
                <c:pt idx="8">
                  <c:v>58</c:v>
                </c:pt>
                <c:pt idx="9">
                  <c:v>58</c:v>
                </c:pt>
                <c:pt idx="10">
                  <c:v>60</c:v>
                </c:pt>
                <c:pt idx="11">
                  <c:v>60</c:v>
                </c:pt>
                <c:pt idx="12">
                  <c:v>63</c:v>
                </c:pt>
                <c:pt idx="13">
                  <c:v>63</c:v>
                </c:pt>
                <c:pt idx="14">
                  <c:v>65</c:v>
                </c:pt>
                <c:pt idx="15">
                  <c:v>65</c:v>
                </c:pt>
                <c:pt idx="16">
                  <c:v>66</c:v>
                </c:pt>
                <c:pt idx="17">
                  <c:v>66</c:v>
                </c:pt>
                <c:pt idx="18">
                  <c:v>68</c:v>
                </c:pt>
                <c:pt idx="19">
                  <c:v>68</c:v>
                </c:pt>
                <c:pt idx="20">
                  <c:v>68</c:v>
                </c:pt>
                <c:pt idx="21">
                  <c:v>68</c:v>
                </c:pt>
                <c:pt idx="22">
                  <c:v>70</c:v>
                </c:pt>
                <c:pt idx="23">
                  <c:v>70</c:v>
                </c:pt>
                <c:pt idx="24">
                  <c:v>70</c:v>
                </c:pt>
                <c:pt idx="25">
                  <c:v>70</c:v>
                </c:pt>
                <c:pt idx="26">
                  <c:v>71</c:v>
                </c:pt>
                <c:pt idx="27">
                  <c:v>71</c:v>
                </c:pt>
              </c:numCache>
            </c:numRef>
          </c:val>
          <c:smooth val="0"/>
        </c:ser>
        <c:dLbls>
          <c:showLegendKey val="0"/>
          <c:showVal val="0"/>
          <c:showCatName val="0"/>
          <c:showSerName val="0"/>
          <c:showPercent val="0"/>
          <c:showBubbleSize val="0"/>
        </c:dLbls>
        <c:marker val="1"/>
        <c:smooth val="0"/>
        <c:axId val="111052672"/>
        <c:axId val="111054208"/>
      </c:lineChart>
      <c:catAx>
        <c:axId val="11105267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11054208"/>
        <c:crosses val="autoZero"/>
        <c:auto val="0"/>
        <c:lblAlgn val="ctr"/>
        <c:lblOffset val="100"/>
        <c:noMultiLvlLbl val="0"/>
      </c:catAx>
      <c:valAx>
        <c:axId val="111054208"/>
        <c:scaling>
          <c:orientation val="minMax"/>
        </c:scaling>
        <c:delete val="0"/>
        <c:axPos val="l"/>
        <c:majorGridlines/>
        <c:title>
          <c:tx>
            <c:rich>
              <a:bodyPr rot="-5400000" vert="horz"/>
              <a:lstStyle/>
              <a:p>
                <a:pPr>
                  <a:defRPr/>
                </a:pPr>
                <a:r>
                  <a:rPr lang="en-US"/>
                  <a:t>Zahl</a:t>
                </a:r>
                <a:r>
                  <a:rPr lang="en-US" baseline="0"/>
                  <a:t> Verbandmitglieder/Beobachter</a:t>
                </a:r>
                <a:r>
                  <a:rPr lang="en-US"/>
                  <a:t> </a:t>
                </a:r>
              </a:p>
            </c:rich>
          </c:tx>
          <c:layout>
            <c:manualLayout>
              <c:xMode val="edge"/>
              <c:yMode val="edge"/>
              <c:x val="1.2575656958542837E-3"/>
              <c:y val="0.30973758923511152"/>
            </c:manualLayout>
          </c:layout>
          <c:overlay val="0"/>
        </c:title>
        <c:numFmt formatCode="General" sourceLinked="1"/>
        <c:majorTickMark val="out"/>
        <c:minorTickMark val="none"/>
        <c:tickLblPos val="nextTo"/>
        <c:crossAx val="111052672"/>
        <c:crosses val="autoZero"/>
        <c:crossBetween val="between"/>
      </c:valAx>
      <c:spPr>
        <a:noFill/>
        <a:ln w="9525">
          <a:solidFill>
            <a:srgbClr val="808080"/>
          </a:solidFill>
        </a:ln>
      </c:spPr>
    </c:plotArea>
    <c:legend>
      <c:legendPos val="b"/>
      <c:layout>
        <c:manualLayout>
          <c:xMode val="edge"/>
          <c:yMode val="edge"/>
          <c:x val="0.11071290001793255"/>
          <c:y val="0.91940094624584534"/>
          <c:w val="0.83365246814027749"/>
          <c:h val="7.3066120972166609E-2"/>
        </c:manualLayout>
      </c:layout>
      <c:overlay val="0"/>
    </c:legend>
    <c:plotVisOnly val="1"/>
    <c:dispBlanksAs val="gap"/>
    <c:showDLblsOverMax val="0"/>
  </c:chart>
  <c:spPr>
    <a:ln>
      <a:solidFill>
        <a:schemeClr val="tx1"/>
      </a:solidFill>
    </a:ln>
  </c:spPr>
  <c:txPr>
    <a:bodyPr/>
    <a:lstStyle/>
    <a:p>
      <a:pPr>
        <a:defRPr sz="600">
          <a:latin typeface="Arial" pitchFamily="34" charset="0"/>
          <a:cs typeface="Arial"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74550059845608E-2"/>
          <c:y val="7.1596625421822255E-2"/>
          <c:w val="0.92803666138365981"/>
          <c:h val="0.67672260967379072"/>
        </c:manualLayout>
      </c:layout>
      <c:barChart>
        <c:barDir val="col"/>
        <c:grouping val="clustered"/>
        <c:varyColors val="0"/>
        <c:ser>
          <c:idx val="2"/>
          <c:order val="0"/>
          <c:tx>
            <c:v>Beobachterorganisationen</c:v>
          </c:tx>
          <c:spPr>
            <a:solidFill>
              <a:srgbClr val="FFFFCC"/>
            </a:solidFill>
            <a:ln w="12700">
              <a:solidFill>
                <a:srgbClr val="000000"/>
              </a:solidFill>
              <a:prstDash val="solid"/>
            </a:ln>
          </c:spPr>
          <c:invertIfNegative val="0"/>
          <c:cat>
            <c:numRef>
              <c:f>'Fig.14+15 TC_TWP'!$C$8:$C$31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'Fig.14+15 TC_TWP'!$Y$8:$Y$31</c:f>
              <c:numCache>
                <c:formatCode>General</c:formatCode>
                <c:ptCount val="24"/>
                <c:pt idx="0">
                  <c:v>1</c:v>
                </c:pt>
                <c:pt idx="1">
                  <c:v>1</c:v>
                </c:pt>
                <c:pt idx="2">
                  <c:v>1</c:v>
                </c:pt>
                <c:pt idx="3">
                  <c:v>1</c:v>
                </c:pt>
                <c:pt idx="4">
                  <c:v>6</c:v>
                </c:pt>
                <c:pt idx="5">
                  <c:v>5</c:v>
                </c:pt>
                <c:pt idx="6">
                  <c:v>4</c:v>
                </c:pt>
                <c:pt idx="7">
                  <c:v>0</c:v>
                </c:pt>
                <c:pt idx="8">
                  <c:v>3</c:v>
                </c:pt>
                <c:pt idx="9">
                  <c:v>4</c:v>
                </c:pt>
                <c:pt idx="10">
                  <c:v>4</c:v>
                </c:pt>
                <c:pt idx="11">
                  <c:v>6</c:v>
                </c:pt>
                <c:pt idx="12">
                  <c:v>6</c:v>
                </c:pt>
                <c:pt idx="13">
                  <c:v>5</c:v>
                </c:pt>
                <c:pt idx="14">
                  <c:v>3</c:v>
                </c:pt>
                <c:pt idx="15">
                  <c:v>6</c:v>
                </c:pt>
                <c:pt idx="16">
                  <c:v>5</c:v>
                </c:pt>
                <c:pt idx="17">
                  <c:v>3</c:v>
                </c:pt>
                <c:pt idx="18">
                  <c:v>3</c:v>
                </c:pt>
                <c:pt idx="19">
                  <c:v>2</c:v>
                </c:pt>
                <c:pt idx="20">
                  <c:v>3</c:v>
                </c:pt>
                <c:pt idx="21">
                  <c:v>3</c:v>
                </c:pt>
                <c:pt idx="22">
                  <c:v>6</c:v>
                </c:pt>
                <c:pt idx="23">
                  <c:v>5</c:v>
                </c:pt>
              </c:numCache>
            </c:numRef>
          </c:val>
        </c:ser>
        <c:ser>
          <c:idx val="1"/>
          <c:order val="1"/>
          <c:tx>
            <c:v>Beobachterstaaten</c:v>
          </c:tx>
          <c:spPr>
            <a:solidFill>
              <a:srgbClr val="993366"/>
            </a:solidFill>
            <a:ln w="12700">
              <a:solidFill>
                <a:srgbClr val="000000"/>
              </a:solidFill>
              <a:prstDash val="solid"/>
            </a:ln>
          </c:spPr>
          <c:invertIfNegative val="0"/>
          <c:cat>
            <c:numRef>
              <c:f>'Fig.14+15 TC_TWP'!$C$8:$C$31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'Fig.14+15 TC_TWP'!$Q$8:$Q$31</c:f>
              <c:numCache>
                <c:formatCode>General</c:formatCode>
                <c:ptCount val="24"/>
                <c:pt idx="0">
                  <c:v>0</c:v>
                </c:pt>
                <c:pt idx="1">
                  <c:v>0</c:v>
                </c:pt>
                <c:pt idx="2">
                  <c:v>0</c:v>
                </c:pt>
                <c:pt idx="3">
                  <c:v>1</c:v>
                </c:pt>
                <c:pt idx="4">
                  <c:v>2</c:v>
                </c:pt>
                <c:pt idx="5">
                  <c:v>5</c:v>
                </c:pt>
                <c:pt idx="6">
                  <c:v>5</c:v>
                </c:pt>
                <c:pt idx="7">
                  <c:v>0</c:v>
                </c:pt>
                <c:pt idx="8">
                  <c:v>4</c:v>
                </c:pt>
                <c:pt idx="9">
                  <c:v>3</c:v>
                </c:pt>
                <c:pt idx="10">
                  <c:v>6</c:v>
                </c:pt>
                <c:pt idx="11">
                  <c:v>2</c:v>
                </c:pt>
                <c:pt idx="12">
                  <c:v>2</c:v>
                </c:pt>
                <c:pt idx="13">
                  <c:v>1</c:v>
                </c:pt>
                <c:pt idx="14">
                  <c:v>2</c:v>
                </c:pt>
                <c:pt idx="15">
                  <c:v>1</c:v>
                </c:pt>
                <c:pt idx="16">
                  <c:v>6</c:v>
                </c:pt>
                <c:pt idx="17">
                  <c:v>3</c:v>
                </c:pt>
                <c:pt idx="18">
                  <c:v>1</c:v>
                </c:pt>
                <c:pt idx="19">
                  <c:v>1</c:v>
                </c:pt>
                <c:pt idx="20">
                  <c:v>10</c:v>
                </c:pt>
                <c:pt idx="21">
                  <c:v>8</c:v>
                </c:pt>
                <c:pt idx="22">
                  <c:v>4</c:v>
                </c:pt>
                <c:pt idx="23">
                  <c:v>7</c:v>
                </c:pt>
              </c:numCache>
            </c:numRef>
          </c:val>
        </c:ser>
        <c:ser>
          <c:idx val="0"/>
          <c:order val="2"/>
          <c:tx>
            <c:v>Mitglieder</c:v>
          </c:tx>
          <c:spPr>
            <a:solidFill>
              <a:srgbClr val="9999FF"/>
            </a:solidFill>
            <a:ln w="12700">
              <a:solidFill>
                <a:srgbClr val="000000"/>
              </a:solidFill>
              <a:prstDash val="solid"/>
            </a:ln>
          </c:spPr>
          <c:invertIfNegative val="0"/>
          <c:cat>
            <c:numRef>
              <c:f>'Fig.14+15 TC_TWP'!$C$8:$C$31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'Fig.14+15 TC_TWP'!$I$8:$I$31</c:f>
              <c:numCache>
                <c:formatCode>General</c:formatCode>
                <c:ptCount val="24"/>
                <c:pt idx="0">
                  <c:v>13</c:v>
                </c:pt>
                <c:pt idx="1">
                  <c:v>14</c:v>
                </c:pt>
                <c:pt idx="2">
                  <c:v>15</c:v>
                </c:pt>
                <c:pt idx="3">
                  <c:v>21</c:v>
                </c:pt>
                <c:pt idx="4">
                  <c:v>21</c:v>
                </c:pt>
                <c:pt idx="5">
                  <c:v>25</c:v>
                </c:pt>
                <c:pt idx="6">
                  <c:v>28</c:v>
                </c:pt>
                <c:pt idx="7">
                  <c:v>29</c:v>
                </c:pt>
                <c:pt idx="8">
                  <c:v>30</c:v>
                </c:pt>
                <c:pt idx="9">
                  <c:v>30</c:v>
                </c:pt>
                <c:pt idx="10">
                  <c:v>32</c:v>
                </c:pt>
                <c:pt idx="11">
                  <c:v>32</c:v>
                </c:pt>
                <c:pt idx="12">
                  <c:v>38</c:v>
                </c:pt>
                <c:pt idx="13">
                  <c:v>39</c:v>
                </c:pt>
                <c:pt idx="14">
                  <c:v>38</c:v>
                </c:pt>
                <c:pt idx="15">
                  <c:v>45</c:v>
                </c:pt>
                <c:pt idx="16">
                  <c:v>45</c:v>
                </c:pt>
                <c:pt idx="17">
                  <c:v>44</c:v>
                </c:pt>
                <c:pt idx="18">
                  <c:v>44</c:v>
                </c:pt>
                <c:pt idx="19">
                  <c:v>41</c:v>
                </c:pt>
                <c:pt idx="20">
                  <c:v>40</c:v>
                </c:pt>
                <c:pt idx="21">
                  <c:v>37</c:v>
                </c:pt>
                <c:pt idx="22">
                  <c:v>42</c:v>
                </c:pt>
                <c:pt idx="23">
                  <c:v>36</c:v>
                </c:pt>
              </c:numCache>
            </c:numRef>
          </c:val>
        </c:ser>
        <c:dLbls>
          <c:showLegendKey val="0"/>
          <c:showVal val="0"/>
          <c:showCatName val="0"/>
          <c:showSerName val="0"/>
          <c:showPercent val="0"/>
          <c:showBubbleSize val="0"/>
        </c:dLbls>
        <c:gapWidth val="150"/>
        <c:axId val="111073152"/>
        <c:axId val="111074688"/>
      </c:barChart>
      <c:lineChart>
        <c:grouping val="standard"/>
        <c:varyColors val="0"/>
        <c:ser>
          <c:idx val="3"/>
          <c:order val="3"/>
          <c:tx>
            <c:v>Zahl der UPOV-Mitglieder</c:v>
          </c:tx>
          <c:spPr>
            <a:ln>
              <a:solidFill>
                <a:schemeClr val="tx2"/>
              </a:solidFill>
            </a:ln>
          </c:spPr>
          <c:marker>
            <c:symbol val="none"/>
          </c:marker>
          <c:dLbls>
            <c:dLbl>
              <c:idx val="0"/>
              <c:layout>
                <c:manualLayout>
                  <c:x val="-1.7914268236623201E-2"/>
                  <c:y val="-0.05"/>
                </c:manualLayout>
              </c:layout>
              <c:spPr/>
              <c:txPr>
                <a:bodyPr/>
                <a:lstStyle/>
                <a:p>
                  <a:pPr>
                    <a:defRPr/>
                  </a:pPr>
                  <a:endParaRPr lang="en-US"/>
                </a:p>
              </c:txPr>
              <c:dLblPos val="r"/>
              <c:showLegendKey val="0"/>
              <c:showVal val="1"/>
              <c:showCatName val="0"/>
              <c:showSerName val="0"/>
              <c:showPercent val="0"/>
              <c:showBubbleSize val="0"/>
            </c:dLbl>
            <c:dLbl>
              <c:idx val="23"/>
              <c:layout>
                <c:manualLayout>
                  <c:x val="-1.791426823662319E-2"/>
                  <c:y val="-3.3333333333333333E-2"/>
                </c:manualLayout>
              </c:layout>
              <c:spPr/>
              <c:txPr>
                <a:bodyPr/>
                <a:lstStyle/>
                <a:p>
                  <a:pPr>
                    <a:defRPr/>
                  </a:pPr>
                  <a:endParaRPr lang="en-US"/>
                </a:p>
              </c:txPr>
              <c:dLblPos val="r"/>
              <c:showLegendKey val="0"/>
              <c:showVal val="1"/>
              <c:showCatName val="0"/>
              <c:showSerName val="0"/>
              <c:showPercent val="0"/>
              <c:showBubbleSize val="0"/>
            </c:dLbl>
            <c:showLegendKey val="0"/>
            <c:showVal val="0"/>
            <c:showCatName val="0"/>
            <c:showSerName val="0"/>
            <c:showPercent val="0"/>
            <c:showBubbleSize val="0"/>
          </c:dLbls>
          <c:cat>
            <c:numRef>
              <c:f>'Fig.14+15 TC_TWP'!$C$8:$C$31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'Fig.14+15 TC_TWP'!$A$8:$A$31</c:f>
              <c:numCache>
                <c:formatCode>General</c:formatCode>
                <c:ptCount val="24"/>
                <c:pt idx="0">
                  <c:v>19</c:v>
                </c:pt>
                <c:pt idx="1">
                  <c:v>20</c:v>
                </c:pt>
                <c:pt idx="2">
                  <c:v>20</c:v>
                </c:pt>
                <c:pt idx="3">
                  <c:v>24</c:v>
                </c:pt>
                <c:pt idx="4">
                  <c:v>27</c:v>
                </c:pt>
                <c:pt idx="5">
                  <c:v>29</c:v>
                </c:pt>
                <c:pt idx="6">
                  <c:v>31</c:v>
                </c:pt>
                <c:pt idx="7">
                  <c:v>34</c:v>
                </c:pt>
                <c:pt idx="8">
                  <c:v>38</c:v>
                </c:pt>
                <c:pt idx="9">
                  <c:v>44</c:v>
                </c:pt>
                <c:pt idx="10">
                  <c:v>46</c:v>
                </c:pt>
                <c:pt idx="11">
                  <c:v>49</c:v>
                </c:pt>
                <c:pt idx="12">
                  <c:v>51</c:v>
                </c:pt>
                <c:pt idx="13">
                  <c:v>54</c:v>
                </c:pt>
                <c:pt idx="14">
                  <c:v>58</c:v>
                </c:pt>
                <c:pt idx="15">
                  <c:v>60</c:v>
                </c:pt>
                <c:pt idx="16">
                  <c:v>63</c:v>
                </c:pt>
                <c:pt idx="17">
                  <c:v>65</c:v>
                </c:pt>
                <c:pt idx="18">
                  <c:v>66</c:v>
                </c:pt>
                <c:pt idx="19">
                  <c:v>68</c:v>
                </c:pt>
                <c:pt idx="20">
                  <c:v>68</c:v>
                </c:pt>
                <c:pt idx="21">
                  <c:v>70</c:v>
                </c:pt>
                <c:pt idx="22">
                  <c:v>70</c:v>
                </c:pt>
                <c:pt idx="23">
                  <c:v>71</c:v>
                </c:pt>
              </c:numCache>
            </c:numRef>
          </c:val>
          <c:smooth val="0"/>
        </c:ser>
        <c:dLbls>
          <c:showLegendKey val="0"/>
          <c:showVal val="0"/>
          <c:showCatName val="0"/>
          <c:showSerName val="0"/>
          <c:showPercent val="0"/>
          <c:showBubbleSize val="0"/>
        </c:dLbls>
        <c:marker val="1"/>
        <c:smooth val="0"/>
        <c:axId val="111073152"/>
        <c:axId val="111074688"/>
      </c:lineChart>
      <c:catAx>
        <c:axId val="111073152"/>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a:pPr>
            <a:endParaRPr lang="en-US"/>
          </a:p>
        </c:txPr>
        <c:crossAx val="111074688"/>
        <c:crosses val="autoZero"/>
        <c:auto val="1"/>
        <c:lblAlgn val="ctr"/>
        <c:lblOffset val="100"/>
        <c:noMultiLvlLbl val="1"/>
      </c:catAx>
      <c:valAx>
        <c:axId val="111074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11073152"/>
        <c:crosses val="autoZero"/>
        <c:crossBetween val="between"/>
      </c:valAx>
      <c:spPr>
        <a:noFill/>
        <a:ln w="12700">
          <a:solidFill>
            <a:srgbClr val="808080"/>
          </a:solidFill>
          <a:prstDash val="solid"/>
        </a:ln>
      </c:spPr>
    </c:plotArea>
    <c:legend>
      <c:legendPos val="b"/>
      <c:layout>
        <c:manualLayout>
          <c:xMode val="edge"/>
          <c:yMode val="edge"/>
          <c:x val="3.948614197076955E-2"/>
          <c:y val="0.88058830146231726"/>
          <c:w val="0.92618776009889225"/>
          <c:h val="9.5686164229471321E-2"/>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247430511426844E-2"/>
          <c:y val="8.9093165469998598E-2"/>
          <c:w val="0.74189465749755579"/>
          <c:h val="0.81205954974079453"/>
        </c:manualLayout>
      </c:layout>
      <c:barChart>
        <c:barDir val="col"/>
        <c:grouping val="clustered"/>
        <c:varyColors val="0"/>
        <c:ser>
          <c:idx val="5"/>
          <c:order val="6"/>
          <c:tx>
            <c:v>BMT</c:v>
          </c:tx>
          <c:spPr>
            <a:solidFill>
              <a:schemeClr val="bg1">
                <a:lumMod val="50000"/>
                <a:alpha val="67000"/>
              </a:schemeClr>
            </a:solidFill>
          </c:spPr>
          <c:invertIfNegative val="0"/>
          <c:cat>
            <c:numRef>
              <c:f>'\OrgUPOV\Shared\Models-Forms\TC-TWP documents\TC_TWP_analysis\[TWP participation analysis.xlsx]COUNT TYPE'!$AD$8:$AD$31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TYPE'!$AE$8:$AE$31</c:f>
              <c:numCache>
                <c:formatCode>General</c:formatCode>
                <c:ptCount val="24"/>
                <c:pt idx="0">
                  <c:v>0</c:v>
                </c:pt>
                <c:pt idx="1">
                  <c:v>0</c:v>
                </c:pt>
                <c:pt idx="2">
                  <c:v>0</c:v>
                </c:pt>
                <c:pt idx="3">
                  <c:v>21</c:v>
                </c:pt>
                <c:pt idx="4">
                  <c:v>16</c:v>
                </c:pt>
                <c:pt idx="5">
                  <c:v>18</c:v>
                </c:pt>
                <c:pt idx="6">
                  <c:v>0</c:v>
                </c:pt>
                <c:pt idx="7">
                  <c:v>22</c:v>
                </c:pt>
                <c:pt idx="8">
                  <c:v>17</c:v>
                </c:pt>
                <c:pt idx="9">
                  <c:v>0</c:v>
                </c:pt>
                <c:pt idx="10">
                  <c:v>26</c:v>
                </c:pt>
                <c:pt idx="11">
                  <c:v>21</c:v>
                </c:pt>
                <c:pt idx="12">
                  <c:v>0</c:v>
                </c:pt>
                <c:pt idx="13">
                  <c:v>23</c:v>
                </c:pt>
                <c:pt idx="14">
                  <c:v>0</c:v>
                </c:pt>
                <c:pt idx="15">
                  <c:v>21</c:v>
                </c:pt>
                <c:pt idx="16">
                  <c:v>20</c:v>
                </c:pt>
                <c:pt idx="17">
                  <c:v>0</c:v>
                </c:pt>
                <c:pt idx="18">
                  <c:v>28</c:v>
                </c:pt>
                <c:pt idx="19">
                  <c:v>0</c:v>
                </c:pt>
                <c:pt idx="20">
                  <c:v>16</c:v>
                </c:pt>
                <c:pt idx="21">
                  <c:v>17</c:v>
                </c:pt>
                <c:pt idx="22">
                  <c:v>0</c:v>
                </c:pt>
                <c:pt idx="23">
                  <c:v>0</c:v>
                </c:pt>
              </c:numCache>
            </c:numRef>
          </c:val>
        </c:ser>
        <c:dLbls>
          <c:showLegendKey val="0"/>
          <c:showVal val="0"/>
          <c:showCatName val="0"/>
          <c:showSerName val="0"/>
          <c:showPercent val="0"/>
          <c:showBubbleSize val="0"/>
        </c:dLbls>
        <c:gapWidth val="150"/>
        <c:axId val="111131648"/>
        <c:axId val="111141632"/>
      </c:barChart>
      <c:lineChart>
        <c:grouping val="standard"/>
        <c:varyColors val="0"/>
        <c:ser>
          <c:idx val="0"/>
          <c:order val="0"/>
          <c:tx>
            <c:strRef>
              <c:f>'\OrgUPOV\Shared\Models-Forms\TC-TWP documents\TC_TWP_analysis\[TWP participation analysis.xlsx]COUNT TYPE'!$AF$7</c:f>
              <c:strCache>
                <c:ptCount val="1"/>
                <c:pt idx="0">
                  <c:v>TWA</c:v>
                </c:pt>
              </c:strCache>
            </c:strRef>
          </c:tx>
          <c:spPr>
            <a:ln w="25400">
              <a:solidFill>
                <a:srgbClr val="000080"/>
              </a:solidFill>
              <a:prstDash val="solid"/>
            </a:ln>
          </c:spPr>
          <c:marker>
            <c:symbol val="none"/>
          </c:marker>
          <c:cat>
            <c:numRef>
              <c:f>'\OrgUPOV\Shared\Models-Forms\TC-TWP documents\TC_TWP_analysis\[TWP participation analysis.xlsx]COUNT TYPE'!$C$8:$C$31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TYPE'!$AF$8:$AF$31</c:f>
              <c:numCache>
                <c:formatCode>General</c:formatCode>
                <c:ptCount val="24"/>
                <c:pt idx="0">
                  <c:v>11</c:v>
                </c:pt>
                <c:pt idx="1">
                  <c:v>10</c:v>
                </c:pt>
                <c:pt idx="2">
                  <c:v>16</c:v>
                </c:pt>
                <c:pt idx="3">
                  <c:v>14</c:v>
                </c:pt>
                <c:pt idx="4">
                  <c:v>19</c:v>
                </c:pt>
                <c:pt idx="5">
                  <c:v>18</c:v>
                </c:pt>
                <c:pt idx="6">
                  <c:v>24</c:v>
                </c:pt>
                <c:pt idx="7">
                  <c:v>22</c:v>
                </c:pt>
                <c:pt idx="8">
                  <c:v>21</c:v>
                </c:pt>
                <c:pt idx="9">
                  <c:v>20</c:v>
                </c:pt>
                <c:pt idx="10">
                  <c:v>29</c:v>
                </c:pt>
                <c:pt idx="11">
                  <c:v>25</c:v>
                </c:pt>
                <c:pt idx="12">
                  <c:v>24</c:v>
                </c:pt>
                <c:pt idx="13">
                  <c:v>28</c:v>
                </c:pt>
                <c:pt idx="14">
                  <c:v>31</c:v>
                </c:pt>
                <c:pt idx="15">
                  <c:v>23</c:v>
                </c:pt>
                <c:pt idx="16">
                  <c:v>22</c:v>
                </c:pt>
                <c:pt idx="17">
                  <c:v>31</c:v>
                </c:pt>
                <c:pt idx="18">
                  <c:v>27</c:v>
                </c:pt>
                <c:pt idx="19">
                  <c:v>24</c:v>
                </c:pt>
                <c:pt idx="20">
                  <c:v>27</c:v>
                </c:pt>
                <c:pt idx="21">
                  <c:v>27</c:v>
                </c:pt>
                <c:pt idx="22">
                  <c:v>29</c:v>
                </c:pt>
                <c:pt idx="23">
                  <c:v>32</c:v>
                </c:pt>
              </c:numCache>
            </c:numRef>
          </c:val>
          <c:smooth val="0"/>
        </c:ser>
        <c:ser>
          <c:idx val="1"/>
          <c:order val="1"/>
          <c:tx>
            <c:strRef>
              <c:f>'\OrgUPOV\Shared\Models-Forms\TC-TWP documents\TC_TWP_analysis\[TWP participation analysis.xlsx]COUNT TYPE'!$AG$7</c:f>
              <c:strCache>
                <c:ptCount val="1"/>
                <c:pt idx="0">
                  <c:v>TWC</c:v>
                </c:pt>
              </c:strCache>
            </c:strRef>
          </c:tx>
          <c:spPr>
            <a:ln w="25400">
              <a:solidFill>
                <a:srgbClr val="FF00FF"/>
              </a:solidFill>
              <a:prstDash val="solid"/>
            </a:ln>
          </c:spPr>
          <c:marker>
            <c:symbol val="none"/>
          </c:marker>
          <c:cat>
            <c:numRef>
              <c:f>'\OrgUPOV\Shared\Models-Forms\TC-TWP documents\TC_TWP_analysis\[TWP participation analysis.xlsx]COUNT TYPE'!$C$8:$C$31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TYPE'!$AG$8:$AG$31</c:f>
              <c:numCache>
                <c:formatCode>General</c:formatCode>
                <c:ptCount val="24"/>
                <c:pt idx="0">
                  <c:v>11</c:v>
                </c:pt>
                <c:pt idx="1">
                  <c:v>7</c:v>
                </c:pt>
                <c:pt idx="2">
                  <c:v>10</c:v>
                </c:pt>
                <c:pt idx="3">
                  <c:v>8</c:v>
                </c:pt>
                <c:pt idx="4">
                  <c:v>13</c:v>
                </c:pt>
                <c:pt idx="5">
                  <c:v>12</c:v>
                </c:pt>
                <c:pt idx="6">
                  <c:v>12</c:v>
                </c:pt>
                <c:pt idx="7">
                  <c:v>18</c:v>
                </c:pt>
                <c:pt idx="8">
                  <c:v>15</c:v>
                </c:pt>
                <c:pt idx="9">
                  <c:v>18</c:v>
                </c:pt>
                <c:pt idx="10">
                  <c:v>17</c:v>
                </c:pt>
                <c:pt idx="11">
                  <c:v>21</c:v>
                </c:pt>
                <c:pt idx="12">
                  <c:v>12</c:v>
                </c:pt>
                <c:pt idx="13">
                  <c:v>18</c:v>
                </c:pt>
                <c:pt idx="14">
                  <c:v>11</c:v>
                </c:pt>
                <c:pt idx="15">
                  <c:v>15</c:v>
                </c:pt>
                <c:pt idx="16">
                  <c:v>16</c:v>
                </c:pt>
                <c:pt idx="17">
                  <c:v>14</c:v>
                </c:pt>
                <c:pt idx="18">
                  <c:v>15</c:v>
                </c:pt>
                <c:pt idx="19">
                  <c:v>18</c:v>
                </c:pt>
                <c:pt idx="20">
                  <c:v>16</c:v>
                </c:pt>
                <c:pt idx="21">
                  <c:v>16</c:v>
                </c:pt>
                <c:pt idx="22">
                  <c:v>20</c:v>
                </c:pt>
                <c:pt idx="23">
                  <c:v>12</c:v>
                </c:pt>
              </c:numCache>
            </c:numRef>
          </c:val>
          <c:smooth val="0"/>
        </c:ser>
        <c:ser>
          <c:idx val="2"/>
          <c:order val="2"/>
          <c:tx>
            <c:strRef>
              <c:f>'\OrgUPOV\Shared\Models-Forms\TC-TWP documents\TC_TWP_analysis\[TWP participation analysis.xlsx]COUNT TYPE'!$AH$7</c:f>
              <c:strCache>
                <c:ptCount val="1"/>
                <c:pt idx="0">
                  <c:v>TWF</c:v>
                </c:pt>
              </c:strCache>
            </c:strRef>
          </c:tx>
          <c:spPr>
            <a:ln w="25400">
              <a:solidFill>
                <a:srgbClr val="FF9900"/>
              </a:solidFill>
              <a:prstDash val="solid"/>
            </a:ln>
          </c:spPr>
          <c:marker>
            <c:symbol val="none"/>
          </c:marker>
          <c:cat>
            <c:numRef>
              <c:f>'\OrgUPOV\Shared\Models-Forms\TC-TWP documents\TC_TWP_analysis\[TWP participation analysis.xlsx]COUNT TYPE'!$C$8:$C$31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TYPE'!$AH$8:$AH$31</c:f>
              <c:numCache>
                <c:formatCode>General</c:formatCode>
                <c:ptCount val="24"/>
                <c:pt idx="0">
                  <c:v>9</c:v>
                </c:pt>
                <c:pt idx="1">
                  <c:v>10</c:v>
                </c:pt>
                <c:pt idx="2">
                  <c:v>14</c:v>
                </c:pt>
                <c:pt idx="3">
                  <c:v>10</c:v>
                </c:pt>
                <c:pt idx="4">
                  <c:v>8</c:v>
                </c:pt>
                <c:pt idx="5">
                  <c:v>15</c:v>
                </c:pt>
                <c:pt idx="6">
                  <c:v>12</c:v>
                </c:pt>
                <c:pt idx="7">
                  <c:v>18</c:v>
                </c:pt>
                <c:pt idx="8">
                  <c:v>15</c:v>
                </c:pt>
                <c:pt idx="9">
                  <c:v>18</c:v>
                </c:pt>
                <c:pt idx="10">
                  <c:v>15</c:v>
                </c:pt>
                <c:pt idx="11">
                  <c:v>21</c:v>
                </c:pt>
                <c:pt idx="12">
                  <c:v>16</c:v>
                </c:pt>
                <c:pt idx="13">
                  <c:v>17</c:v>
                </c:pt>
                <c:pt idx="14">
                  <c:v>22</c:v>
                </c:pt>
                <c:pt idx="15">
                  <c:v>19</c:v>
                </c:pt>
                <c:pt idx="16">
                  <c:v>18</c:v>
                </c:pt>
                <c:pt idx="17">
                  <c:v>12</c:v>
                </c:pt>
                <c:pt idx="18">
                  <c:v>21</c:v>
                </c:pt>
                <c:pt idx="19">
                  <c:v>18</c:v>
                </c:pt>
                <c:pt idx="20">
                  <c:v>17</c:v>
                </c:pt>
                <c:pt idx="21">
                  <c:v>22</c:v>
                </c:pt>
                <c:pt idx="22">
                  <c:v>20</c:v>
                </c:pt>
                <c:pt idx="23">
                  <c:v>20</c:v>
                </c:pt>
              </c:numCache>
            </c:numRef>
          </c:val>
          <c:smooth val="0"/>
        </c:ser>
        <c:ser>
          <c:idx val="3"/>
          <c:order val="3"/>
          <c:tx>
            <c:strRef>
              <c:f>'\OrgUPOV\Shared\Models-Forms\TC-TWP documents\TC_TWP_analysis\[TWP participation analysis.xlsx]COUNT TYPE'!$AI$7</c:f>
              <c:strCache>
                <c:ptCount val="1"/>
                <c:pt idx="0">
                  <c:v>TWO</c:v>
                </c:pt>
              </c:strCache>
            </c:strRef>
          </c:tx>
          <c:spPr>
            <a:ln w="25400">
              <a:solidFill>
                <a:srgbClr val="00FFFF"/>
              </a:solidFill>
              <a:prstDash val="solid"/>
            </a:ln>
          </c:spPr>
          <c:marker>
            <c:symbol val="none"/>
          </c:marker>
          <c:cat>
            <c:numRef>
              <c:f>'\OrgUPOV\Shared\Models-Forms\TC-TWP documents\TC_TWP_analysis\[TWP participation analysis.xlsx]COUNT TYPE'!$C$8:$C$31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TYPE'!$AI$8:$AI$31</c:f>
              <c:numCache>
                <c:formatCode>General</c:formatCode>
                <c:ptCount val="24"/>
                <c:pt idx="0">
                  <c:v>13</c:v>
                </c:pt>
                <c:pt idx="1">
                  <c:v>10</c:v>
                </c:pt>
                <c:pt idx="2">
                  <c:v>10</c:v>
                </c:pt>
                <c:pt idx="3">
                  <c:v>12</c:v>
                </c:pt>
                <c:pt idx="4">
                  <c:v>11</c:v>
                </c:pt>
                <c:pt idx="5">
                  <c:v>11</c:v>
                </c:pt>
                <c:pt idx="6">
                  <c:v>12</c:v>
                </c:pt>
                <c:pt idx="7">
                  <c:v>14</c:v>
                </c:pt>
                <c:pt idx="8">
                  <c:v>14</c:v>
                </c:pt>
                <c:pt idx="9">
                  <c:v>17</c:v>
                </c:pt>
                <c:pt idx="10">
                  <c:v>17</c:v>
                </c:pt>
                <c:pt idx="11">
                  <c:v>14</c:v>
                </c:pt>
                <c:pt idx="12">
                  <c:v>17</c:v>
                </c:pt>
                <c:pt idx="13">
                  <c:v>17</c:v>
                </c:pt>
                <c:pt idx="14">
                  <c:v>19</c:v>
                </c:pt>
                <c:pt idx="15">
                  <c:v>20</c:v>
                </c:pt>
                <c:pt idx="16">
                  <c:v>19</c:v>
                </c:pt>
                <c:pt idx="17">
                  <c:v>20</c:v>
                </c:pt>
                <c:pt idx="18">
                  <c:v>22</c:v>
                </c:pt>
                <c:pt idx="19">
                  <c:v>18</c:v>
                </c:pt>
                <c:pt idx="20">
                  <c:v>17</c:v>
                </c:pt>
                <c:pt idx="21">
                  <c:v>23</c:v>
                </c:pt>
                <c:pt idx="22">
                  <c:v>21</c:v>
                </c:pt>
                <c:pt idx="23">
                  <c:v>22</c:v>
                </c:pt>
              </c:numCache>
            </c:numRef>
          </c:val>
          <c:smooth val="0"/>
        </c:ser>
        <c:ser>
          <c:idx val="4"/>
          <c:order val="4"/>
          <c:tx>
            <c:strRef>
              <c:f>'\OrgUPOV\Shared\Models-Forms\TC-TWP documents\TC_TWP_analysis\[TWP participation analysis.xlsx]COUNT TYPE'!$AJ$7</c:f>
              <c:strCache>
                <c:ptCount val="1"/>
                <c:pt idx="0">
                  <c:v>TWV</c:v>
                </c:pt>
              </c:strCache>
            </c:strRef>
          </c:tx>
          <c:spPr>
            <a:ln w="25400">
              <a:solidFill>
                <a:srgbClr val="800080"/>
              </a:solidFill>
              <a:prstDash val="solid"/>
            </a:ln>
          </c:spPr>
          <c:marker>
            <c:symbol val="none"/>
          </c:marker>
          <c:cat>
            <c:numRef>
              <c:f>'\OrgUPOV\Shared\Models-Forms\TC-TWP documents\TC_TWP_analysis\[TWP participation analysis.xlsx]COUNT TYPE'!$C$8:$C$31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TYPE'!$AJ$8:$AJ$31</c:f>
              <c:numCache>
                <c:formatCode>General</c:formatCode>
                <c:ptCount val="24"/>
                <c:pt idx="0">
                  <c:v>10</c:v>
                </c:pt>
                <c:pt idx="1">
                  <c:v>11</c:v>
                </c:pt>
                <c:pt idx="2">
                  <c:v>10</c:v>
                </c:pt>
                <c:pt idx="3">
                  <c:v>10</c:v>
                </c:pt>
                <c:pt idx="4">
                  <c:v>12</c:v>
                </c:pt>
                <c:pt idx="5">
                  <c:v>13</c:v>
                </c:pt>
                <c:pt idx="6">
                  <c:v>14</c:v>
                </c:pt>
                <c:pt idx="7">
                  <c:v>14</c:v>
                </c:pt>
                <c:pt idx="8">
                  <c:v>15</c:v>
                </c:pt>
                <c:pt idx="9">
                  <c:v>18</c:v>
                </c:pt>
                <c:pt idx="10">
                  <c:v>17</c:v>
                </c:pt>
                <c:pt idx="11">
                  <c:v>19</c:v>
                </c:pt>
                <c:pt idx="12">
                  <c:v>24</c:v>
                </c:pt>
                <c:pt idx="13">
                  <c:v>21</c:v>
                </c:pt>
                <c:pt idx="14">
                  <c:v>14</c:v>
                </c:pt>
                <c:pt idx="15">
                  <c:v>21</c:v>
                </c:pt>
                <c:pt idx="16">
                  <c:v>17</c:v>
                </c:pt>
                <c:pt idx="17">
                  <c:v>17</c:v>
                </c:pt>
                <c:pt idx="18">
                  <c:v>23</c:v>
                </c:pt>
                <c:pt idx="19">
                  <c:v>18</c:v>
                </c:pt>
                <c:pt idx="20">
                  <c:v>19</c:v>
                </c:pt>
                <c:pt idx="21">
                  <c:v>15</c:v>
                </c:pt>
                <c:pt idx="22">
                  <c:v>18</c:v>
                </c:pt>
                <c:pt idx="23">
                  <c:v>21</c:v>
                </c:pt>
              </c:numCache>
            </c:numRef>
          </c:val>
          <c:smooth val="0"/>
        </c:ser>
        <c:dLbls>
          <c:showLegendKey val="0"/>
          <c:showVal val="0"/>
          <c:showCatName val="0"/>
          <c:showSerName val="0"/>
          <c:showPercent val="0"/>
          <c:showBubbleSize val="0"/>
        </c:dLbls>
        <c:marker val="1"/>
        <c:smooth val="0"/>
        <c:axId val="111128576"/>
        <c:axId val="111130112"/>
      </c:lineChart>
      <c:lineChart>
        <c:grouping val="standard"/>
        <c:varyColors val="0"/>
        <c:ser>
          <c:idx val="6"/>
          <c:order val="5"/>
          <c:tx>
            <c:v>UPOV-Mitglieder</c:v>
          </c:tx>
          <c:spPr>
            <a:ln w="28575">
              <a:solidFill>
                <a:schemeClr val="tx1">
                  <a:lumMod val="75000"/>
                  <a:lumOff val="25000"/>
                </a:schemeClr>
              </a:solidFill>
              <a:prstDash val="sysDash"/>
            </a:ln>
          </c:spPr>
          <c:marker>
            <c:symbol val="none"/>
          </c:marker>
          <c:cat>
            <c:numRef>
              <c:f>'\OrgUPOV\Shared\Models-Forms\TC-TWP documents\TC_TWP_analysis\[TWP participation analysis.xlsx]COUNT TYPE'!$AD$8:$AD$31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'\OrgUPOV\Shared\Models-Forms\TC-TWP documents\TC_TWP_analysis\[TWP participation analysis.xlsx]COUNT TYPE'!$B$8:$B$31</c:f>
              <c:numCache>
                <c:formatCode>General</c:formatCode>
                <c:ptCount val="24"/>
                <c:pt idx="0">
                  <c:v>19</c:v>
                </c:pt>
                <c:pt idx="1">
                  <c:v>20</c:v>
                </c:pt>
                <c:pt idx="2">
                  <c:v>20</c:v>
                </c:pt>
                <c:pt idx="3">
                  <c:v>24</c:v>
                </c:pt>
                <c:pt idx="4">
                  <c:v>27</c:v>
                </c:pt>
                <c:pt idx="5">
                  <c:v>29</c:v>
                </c:pt>
                <c:pt idx="6">
                  <c:v>31</c:v>
                </c:pt>
                <c:pt idx="7">
                  <c:v>34</c:v>
                </c:pt>
                <c:pt idx="8">
                  <c:v>38</c:v>
                </c:pt>
                <c:pt idx="9">
                  <c:v>44</c:v>
                </c:pt>
                <c:pt idx="10">
                  <c:v>46</c:v>
                </c:pt>
                <c:pt idx="11">
                  <c:v>49</c:v>
                </c:pt>
                <c:pt idx="12">
                  <c:v>51</c:v>
                </c:pt>
                <c:pt idx="13">
                  <c:v>54</c:v>
                </c:pt>
                <c:pt idx="14">
                  <c:v>58</c:v>
                </c:pt>
                <c:pt idx="15">
                  <c:v>60</c:v>
                </c:pt>
                <c:pt idx="16">
                  <c:v>63</c:v>
                </c:pt>
                <c:pt idx="17">
                  <c:v>65</c:v>
                </c:pt>
                <c:pt idx="18">
                  <c:v>66</c:v>
                </c:pt>
                <c:pt idx="19">
                  <c:v>68</c:v>
                </c:pt>
                <c:pt idx="20">
                  <c:v>68</c:v>
                </c:pt>
                <c:pt idx="21">
                  <c:v>70</c:v>
                </c:pt>
                <c:pt idx="22">
                  <c:v>70</c:v>
                </c:pt>
                <c:pt idx="23">
                  <c:v>71</c:v>
                </c:pt>
              </c:numCache>
            </c:numRef>
          </c:val>
          <c:smooth val="0"/>
        </c:ser>
        <c:dLbls>
          <c:showLegendKey val="0"/>
          <c:showVal val="0"/>
          <c:showCatName val="0"/>
          <c:showSerName val="0"/>
          <c:showPercent val="0"/>
          <c:showBubbleSize val="0"/>
        </c:dLbls>
        <c:marker val="1"/>
        <c:smooth val="0"/>
        <c:axId val="111131648"/>
        <c:axId val="111141632"/>
      </c:lineChart>
      <c:catAx>
        <c:axId val="11112857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11130112"/>
        <c:crossesAt val="0"/>
        <c:auto val="1"/>
        <c:lblAlgn val="ctr"/>
        <c:lblOffset val="100"/>
        <c:tickLblSkip val="1"/>
        <c:tickMarkSkip val="1"/>
        <c:noMultiLvlLbl val="0"/>
      </c:catAx>
      <c:valAx>
        <c:axId val="111130112"/>
        <c:scaling>
          <c:orientation val="minMax"/>
          <c:max val="75"/>
          <c:min val="0"/>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1128576"/>
        <c:crosses val="autoZero"/>
        <c:crossBetween val="between"/>
        <c:majorUnit val="5"/>
        <c:minorUnit val="2"/>
      </c:valAx>
      <c:catAx>
        <c:axId val="111131648"/>
        <c:scaling>
          <c:orientation val="minMax"/>
        </c:scaling>
        <c:delete val="1"/>
        <c:axPos val="b"/>
        <c:numFmt formatCode="General" sourceLinked="1"/>
        <c:majorTickMark val="out"/>
        <c:minorTickMark val="none"/>
        <c:tickLblPos val="nextTo"/>
        <c:crossAx val="111141632"/>
        <c:crosses val="autoZero"/>
        <c:auto val="1"/>
        <c:lblAlgn val="ctr"/>
        <c:lblOffset val="100"/>
        <c:noMultiLvlLbl val="0"/>
      </c:catAx>
      <c:valAx>
        <c:axId val="111141632"/>
        <c:scaling>
          <c:orientation val="minMax"/>
          <c:max val="80"/>
          <c:min val="0"/>
        </c:scaling>
        <c:delete val="1"/>
        <c:axPos val="r"/>
        <c:numFmt formatCode="General" sourceLinked="1"/>
        <c:majorTickMark val="cross"/>
        <c:minorTickMark val="none"/>
        <c:tickLblPos val="nextTo"/>
        <c:crossAx val="111131648"/>
        <c:crosses val="max"/>
        <c:crossBetween val="between"/>
        <c:majorUnit val="10"/>
        <c:minorUnit val="2"/>
      </c:valAx>
      <c:spPr>
        <a:noFill/>
        <a:ln w="3175">
          <a:solidFill>
            <a:srgbClr val="808080"/>
          </a:solidFill>
          <a:prstDash val="solid"/>
        </a:ln>
      </c:spPr>
    </c:plotArea>
    <c:legend>
      <c:legendPos val="r"/>
      <c:layout>
        <c:manualLayout>
          <c:xMode val="edge"/>
          <c:yMode val="edge"/>
          <c:x val="0.80816779734592326"/>
          <c:y val="0.18160049142793319"/>
          <c:w val="0.19167924111918785"/>
          <c:h val="0.42366152351566766"/>
        </c:manualLayout>
      </c:layout>
      <c:overlay val="0"/>
      <c:spPr>
        <a:solidFill>
          <a:srgbClr val="FFFFFF"/>
        </a:solidFill>
        <a:ln w="25400">
          <a:noFill/>
        </a:ln>
      </c:spPr>
      <c:txPr>
        <a:bodyPr/>
        <a:lstStyle/>
        <a:p>
          <a:pPr>
            <a:defRPr sz="5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182371115049727E-2"/>
          <c:y val="5.4726368159203981E-2"/>
          <c:w val="0.64969811941824107"/>
          <c:h val="0.85473498648489832"/>
        </c:manualLayout>
      </c:layout>
      <c:barChart>
        <c:barDir val="col"/>
        <c:grouping val="stacked"/>
        <c:varyColors val="0"/>
        <c:ser>
          <c:idx val="0"/>
          <c:order val="0"/>
          <c:tx>
            <c:v>Mitglieder</c:v>
          </c:tx>
          <c:invertIfNegative val="0"/>
          <c:cat>
            <c:strRef>
              <c:f>'[Copy of c_48_12_figures_FINAL_EN.xlsx]Fig. 16 (i)'!$C$5:$M$6</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'[Copy of c_48_12_figures_FINAL_EN.xlsx]Fig. 16 (i)'!$C$8:$M$8</c:f>
              <c:numCache>
                <c:formatCode>General</c:formatCode>
                <c:ptCount val="11"/>
                <c:pt idx="0">
                  <c:v>55</c:v>
                </c:pt>
                <c:pt idx="1">
                  <c:v>69</c:v>
                </c:pt>
                <c:pt idx="2">
                  <c:v>130</c:v>
                </c:pt>
                <c:pt idx="3">
                  <c:v>136</c:v>
                </c:pt>
                <c:pt idx="4">
                  <c:v>167</c:v>
                </c:pt>
                <c:pt idx="5">
                  <c:v>162</c:v>
                </c:pt>
                <c:pt idx="6">
                  <c:v>95</c:v>
                </c:pt>
                <c:pt idx="7">
                  <c:v>117</c:v>
                </c:pt>
                <c:pt idx="8">
                  <c:v>115</c:v>
                </c:pt>
                <c:pt idx="9">
                  <c:v>114</c:v>
                </c:pt>
                <c:pt idx="10">
                  <c:v>125</c:v>
                </c:pt>
              </c:numCache>
            </c:numRef>
          </c:val>
        </c:ser>
        <c:ser>
          <c:idx val="1"/>
          <c:order val="1"/>
          <c:tx>
            <c:v>Beobachterstaaten</c:v>
          </c:tx>
          <c:invertIfNegative val="0"/>
          <c:cat>
            <c:strRef>
              <c:f>'[Copy of c_48_12_figures_FINAL_EN.xlsx]Fig. 16 (i)'!$C$5:$M$6</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'[Copy of c_48_12_figures_FINAL_EN.xlsx]Fig. 16 (i)'!$C$11:$M$11</c:f>
              <c:numCache>
                <c:formatCode>General</c:formatCode>
                <c:ptCount val="11"/>
                <c:pt idx="0">
                  <c:v>10</c:v>
                </c:pt>
                <c:pt idx="1">
                  <c:v>2</c:v>
                </c:pt>
                <c:pt idx="2">
                  <c:v>3</c:v>
                </c:pt>
                <c:pt idx="4">
                  <c:v>3</c:v>
                </c:pt>
                <c:pt idx="5">
                  <c:v>3</c:v>
                </c:pt>
                <c:pt idx="8">
                  <c:v>15</c:v>
                </c:pt>
                <c:pt idx="9">
                  <c:v>8</c:v>
                </c:pt>
                <c:pt idx="10">
                  <c:v>12</c:v>
                </c:pt>
              </c:numCache>
            </c:numRef>
          </c:val>
        </c:ser>
        <c:ser>
          <c:idx val="2"/>
          <c:order val="2"/>
          <c:tx>
            <c:v>Beobachterorganisationen</c:v>
          </c:tx>
          <c:invertIfNegative val="0"/>
          <c:cat>
            <c:strRef>
              <c:f>'[Copy of c_48_12_figures_FINAL_EN.xlsx]Fig. 16 (i)'!$C$5:$M$6</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'[Copy of c_48_12_figures_FINAL_EN.xlsx]Fig. 16 (i)'!$C$14:$M$14</c:f>
              <c:numCache>
                <c:formatCode>General</c:formatCode>
                <c:ptCount val="11"/>
                <c:pt idx="0">
                  <c:v>3</c:v>
                </c:pt>
                <c:pt idx="1">
                  <c:v>2</c:v>
                </c:pt>
                <c:pt idx="2">
                  <c:v>5</c:v>
                </c:pt>
                <c:pt idx="3">
                  <c:v>2</c:v>
                </c:pt>
                <c:pt idx="4">
                  <c:v>4</c:v>
                </c:pt>
                <c:pt idx="5">
                  <c:v>25</c:v>
                </c:pt>
                <c:pt idx="6">
                  <c:v>3</c:v>
                </c:pt>
                <c:pt idx="7">
                  <c:v>10</c:v>
                </c:pt>
                <c:pt idx="8">
                  <c:v>5</c:v>
                </c:pt>
                <c:pt idx="9">
                  <c:v>2</c:v>
                </c:pt>
                <c:pt idx="10">
                  <c:v>4</c:v>
                </c:pt>
              </c:numCache>
            </c:numRef>
          </c:val>
        </c:ser>
        <c:dLbls>
          <c:showLegendKey val="0"/>
          <c:showVal val="0"/>
          <c:showCatName val="0"/>
          <c:showSerName val="0"/>
          <c:showPercent val="0"/>
          <c:showBubbleSize val="0"/>
        </c:dLbls>
        <c:gapWidth val="150"/>
        <c:overlap val="100"/>
        <c:axId val="111091072"/>
        <c:axId val="111147264"/>
      </c:barChart>
      <c:catAx>
        <c:axId val="111091072"/>
        <c:scaling>
          <c:orientation val="minMax"/>
        </c:scaling>
        <c:delete val="0"/>
        <c:axPos val="b"/>
        <c:majorTickMark val="out"/>
        <c:minorTickMark val="none"/>
        <c:tickLblPos val="nextTo"/>
        <c:txPr>
          <a:bodyPr/>
          <a:lstStyle/>
          <a:p>
            <a:pPr>
              <a:defRPr sz="900"/>
            </a:pPr>
            <a:endParaRPr lang="en-US"/>
          </a:p>
        </c:txPr>
        <c:crossAx val="111147264"/>
        <c:crosses val="autoZero"/>
        <c:auto val="1"/>
        <c:lblAlgn val="ctr"/>
        <c:lblOffset val="100"/>
        <c:noMultiLvlLbl val="0"/>
      </c:catAx>
      <c:valAx>
        <c:axId val="111147264"/>
        <c:scaling>
          <c:orientation val="minMax"/>
        </c:scaling>
        <c:delete val="0"/>
        <c:axPos val="l"/>
        <c:majorGridlines/>
        <c:numFmt formatCode="General" sourceLinked="1"/>
        <c:majorTickMark val="out"/>
        <c:minorTickMark val="none"/>
        <c:tickLblPos val="nextTo"/>
        <c:txPr>
          <a:bodyPr/>
          <a:lstStyle/>
          <a:p>
            <a:pPr>
              <a:defRPr sz="900"/>
            </a:pPr>
            <a:endParaRPr lang="en-US"/>
          </a:p>
        </c:txPr>
        <c:crossAx val="111091072"/>
        <c:crosses val="autoZero"/>
        <c:crossBetween val="between"/>
      </c:valAx>
    </c:plotArea>
    <c:legend>
      <c:legendPos val="r"/>
      <c:layout>
        <c:manualLayout>
          <c:xMode val="edge"/>
          <c:yMode val="edge"/>
          <c:x val="0.71946634899419859"/>
          <c:y val="0.25466329768480434"/>
          <c:w val="0.27807362640555539"/>
          <c:h val="0.25186743448113763"/>
        </c:manualLayout>
      </c:layout>
      <c:overlay val="0"/>
      <c:txPr>
        <a:bodyPr/>
        <a:lstStyle/>
        <a:p>
          <a:pPr>
            <a:defRPr sz="900"/>
          </a:pPr>
          <a:endParaRPr lang="en-US"/>
        </a:p>
      </c:txPr>
    </c:legend>
    <c:plotVisOnly val="1"/>
    <c:dispBlanksAs val="gap"/>
    <c:showDLblsOverMax val="0"/>
  </c:chart>
  <c:spPr>
    <a:ln>
      <a:noFill/>
    </a:ln>
  </c:spPr>
  <c:txPr>
    <a:bodyPr/>
    <a:lstStyle/>
    <a:p>
      <a:pPr>
        <a:defRPr sz="8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TWA</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WS'!$CE$9:$CE$17</c:f>
              <c:numCache>
                <c:formatCode>General</c:formatCode>
                <c:ptCount val="9"/>
                <c:pt idx="0">
                  <c:v>9</c:v>
                </c:pt>
                <c:pt idx="1">
                  <c:v>23</c:v>
                </c:pt>
                <c:pt idx="2">
                  <c:v>26</c:v>
                </c:pt>
                <c:pt idx="3">
                  <c:v>25</c:v>
                </c:pt>
                <c:pt idx="4">
                  <c:v>33</c:v>
                </c:pt>
                <c:pt idx="5">
                  <c:v>16</c:v>
                </c:pt>
                <c:pt idx="6">
                  <c:v>26</c:v>
                </c:pt>
                <c:pt idx="7">
                  <c:v>20</c:v>
                </c:pt>
                <c:pt idx="8">
                  <c:v>34</c:v>
                </c:pt>
              </c:numCache>
            </c:numRef>
          </c:val>
        </c:ser>
        <c:ser>
          <c:idx val="2"/>
          <c:order val="1"/>
          <c:tx>
            <c:v>TWC</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WS'!$CF$9:$CF$17</c:f>
              <c:numCache>
                <c:formatCode>General</c:formatCode>
                <c:ptCount val="9"/>
                <c:pt idx="0">
                  <c:v>7</c:v>
                </c:pt>
                <c:pt idx="1">
                  <c:v>11</c:v>
                </c:pt>
                <c:pt idx="2">
                  <c:v>13</c:v>
                </c:pt>
                <c:pt idx="3">
                  <c:v>9</c:v>
                </c:pt>
                <c:pt idx="4">
                  <c:v>12</c:v>
                </c:pt>
                <c:pt idx="5">
                  <c:v>13</c:v>
                </c:pt>
                <c:pt idx="6">
                  <c:v>13</c:v>
                </c:pt>
                <c:pt idx="7">
                  <c:v>24</c:v>
                </c:pt>
                <c:pt idx="8">
                  <c:v>23</c:v>
                </c:pt>
              </c:numCache>
            </c:numRef>
          </c:val>
        </c:ser>
        <c:ser>
          <c:idx val="3"/>
          <c:order val="2"/>
          <c:tx>
            <c:v>TWF</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WS'!$CG$9:$CG$17</c:f>
              <c:numCache>
                <c:formatCode>General</c:formatCode>
                <c:ptCount val="9"/>
                <c:pt idx="0">
                  <c:v>26</c:v>
                </c:pt>
                <c:pt idx="1">
                  <c:v>12</c:v>
                </c:pt>
                <c:pt idx="2">
                  <c:v>36</c:v>
                </c:pt>
                <c:pt idx="3">
                  <c:v>19</c:v>
                </c:pt>
                <c:pt idx="4">
                  <c:v>9</c:v>
                </c:pt>
                <c:pt idx="5">
                  <c:v>11</c:v>
                </c:pt>
                <c:pt idx="6">
                  <c:v>24</c:v>
                </c:pt>
                <c:pt idx="7">
                  <c:v>28</c:v>
                </c:pt>
                <c:pt idx="8">
                  <c:v>39</c:v>
                </c:pt>
              </c:numCache>
            </c:numRef>
          </c:val>
        </c:ser>
        <c:ser>
          <c:idx val="4"/>
          <c:order val="3"/>
          <c:tx>
            <c:v>TWO</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WS'!$CH$9:$CH$17</c:f>
              <c:numCache>
                <c:formatCode>General</c:formatCode>
                <c:ptCount val="9"/>
                <c:pt idx="0">
                  <c:v>44</c:v>
                </c:pt>
                <c:pt idx="1">
                  <c:v>16</c:v>
                </c:pt>
                <c:pt idx="2">
                  <c:v>79</c:v>
                </c:pt>
                <c:pt idx="3">
                  <c:v>41</c:v>
                </c:pt>
                <c:pt idx="4">
                  <c:v>26</c:v>
                </c:pt>
                <c:pt idx="5">
                  <c:v>22</c:v>
                </c:pt>
                <c:pt idx="6">
                  <c:v>34</c:v>
                </c:pt>
                <c:pt idx="7">
                  <c:v>34</c:v>
                </c:pt>
                <c:pt idx="8">
                  <c:v>30</c:v>
                </c:pt>
              </c:numCache>
            </c:numRef>
          </c:val>
        </c:ser>
        <c:ser>
          <c:idx val="5"/>
          <c:order val="4"/>
          <c:tx>
            <c:v>TWV</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WS'!$CI$9:$CI$17</c:f>
              <c:numCache>
                <c:formatCode>General</c:formatCode>
                <c:ptCount val="9"/>
                <c:pt idx="0">
                  <c:v>28</c:v>
                </c:pt>
                <c:pt idx="1">
                  <c:v>47</c:v>
                </c:pt>
                <c:pt idx="2">
                  <c:v>20</c:v>
                </c:pt>
                <c:pt idx="3">
                  <c:v>26</c:v>
                </c:pt>
                <c:pt idx="4">
                  <c:v>17</c:v>
                </c:pt>
                <c:pt idx="5">
                  <c:v>32</c:v>
                </c:pt>
                <c:pt idx="6">
                  <c:v>14</c:v>
                </c:pt>
                <c:pt idx="7">
                  <c:v>15</c:v>
                </c:pt>
                <c:pt idx="8">
                  <c:v>20</c:v>
                </c:pt>
              </c:numCache>
            </c:numRef>
          </c:val>
        </c:ser>
        <c:ser>
          <c:idx val="0"/>
          <c:order val="5"/>
          <c:tx>
            <c:v>BMT</c:v>
          </c:tx>
          <c:invertIfNegative val="0"/>
          <c:cat>
            <c:numRef>
              <c:f>'Prep WS'!$CC$9:$CC$17</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'Prep WS'!$CD$9:$CD$17</c:f>
              <c:numCache>
                <c:formatCode>General</c:formatCode>
                <c:ptCount val="9"/>
                <c:pt idx="0">
                  <c:v>24</c:v>
                </c:pt>
                <c:pt idx="1">
                  <c:v>31</c:v>
                </c:pt>
                <c:pt idx="2">
                  <c:v>0</c:v>
                </c:pt>
                <c:pt idx="3">
                  <c:v>70</c:v>
                </c:pt>
                <c:pt idx="4">
                  <c:v>0</c:v>
                </c:pt>
                <c:pt idx="5">
                  <c:v>44</c:v>
                </c:pt>
                <c:pt idx="6">
                  <c:v>22</c:v>
                </c:pt>
                <c:pt idx="7">
                  <c:v>0</c:v>
                </c:pt>
                <c:pt idx="8">
                  <c:v>0</c:v>
                </c:pt>
              </c:numCache>
            </c:numRef>
          </c:val>
        </c:ser>
        <c:dLbls>
          <c:showLegendKey val="0"/>
          <c:showVal val="0"/>
          <c:showCatName val="0"/>
          <c:showSerName val="0"/>
          <c:showPercent val="0"/>
          <c:showBubbleSize val="0"/>
        </c:dLbls>
        <c:gapWidth val="150"/>
        <c:overlap val="100"/>
        <c:axId val="111175168"/>
        <c:axId val="111176704"/>
      </c:barChart>
      <c:catAx>
        <c:axId val="111175168"/>
        <c:scaling>
          <c:orientation val="minMax"/>
        </c:scaling>
        <c:delete val="0"/>
        <c:axPos val="b"/>
        <c:numFmt formatCode="General" sourceLinked="1"/>
        <c:majorTickMark val="out"/>
        <c:minorTickMark val="none"/>
        <c:tickLblPos val="nextTo"/>
        <c:crossAx val="111176704"/>
        <c:crosses val="autoZero"/>
        <c:auto val="1"/>
        <c:lblAlgn val="ctr"/>
        <c:lblOffset val="100"/>
        <c:noMultiLvlLbl val="0"/>
      </c:catAx>
      <c:valAx>
        <c:axId val="111176704"/>
        <c:scaling>
          <c:orientation val="minMax"/>
        </c:scaling>
        <c:delete val="0"/>
        <c:axPos val="l"/>
        <c:majorGridlines/>
        <c:numFmt formatCode="General" sourceLinked="1"/>
        <c:majorTickMark val="out"/>
        <c:minorTickMark val="none"/>
        <c:tickLblPos val="nextTo"/>
        <c:crossAx val="111175168"/>
        <c:crosses val="autoZero"/>
        <c:crossBetween val="between"/>
      </c:valAx>
    </c:plotArea>
    <c:legend>
      <c:legendPos val="r"/>
      <c:layout>
        <c:manualLayout>
          <c:xMode val="edge"/>
          <c:yMode val="edge"/>
          <c:x val="0.87901097090897107"/>
          <c:y val="0.25290922556338397"/>
          <c:w val="0.12098902909102889"/>
          <c:h val="0.49418119022983664"/>
        </c:manualLayout>
      </c:layou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42342342342344E-2"/>
          <c:y val="4.2043132336917408E-2"/>
          <c:w val="0.8402326538450986"/>
          <c:h val="0.8467201599800025"/>
        </c:manualLayout>
      </c:layout>
      <c:areaChart>
        <c:grouping val="stacked"/>
        <c:varyColors val="0"/>
        <c:ser>
          <c:idx val="0"/>
          <c:order val="0"/>
          <c:tx>
            <c:strRef>
              <c:f>fig_17_PBR_appl!$I$1</c:f>
              <c:strCache>
                <c:ptCount val="1"/>
                <c:pt idx="0">
                  <c:v>Afrika</c:v>
                </c:pt>
              </c:strCache>
            </c:strRef>
          </c:tx>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fig_17_PBR_appl!$I$2:$I$46</c:f>
              <c:numCache>
                <c:formatCode>#\ ###\ ###</c:formatCode>
                <c:ptCount val="45"/>
                <c:pt idx="0">
                  <c:v>0</c:v>
                </c:pt>
                <c:pt idx="1">
                  <c:v>0</c:v>
                </c:pt>
                <c:pt idx="2">
                  <c:v>0</c:v>
                </c:pt>
                <c:pt idx="3">
                  <c:v>0</c:v>
                </c:pt>
                <c:pt idx="4">
                  <c:v>0</c:v>
                </c:pt>
                <c:pt idx="5">
                  <c:v>0</c:v>
                </c:pt>
                <c:pt idx="6">
                  <c:v>0</c:v>
                </c:pt>
                <c:pt idx="7">
                  <c:v>0</c:v>
                </c:pt>
                <c:pt idx="8">
                  <c:v>0</c:v>
                </c:pt>
                <c:pt idx="9">
                  <c:v>28</c:v>
                </c:pt>
                <c:pt idx="10">
                  <c:v>4</c:v>
                </c:pt>
                <c:pt idx="11" formatCode="#,##0">
                  <c:v>21</c:v>
                </c:pt>
                <c:pt idx="12" formatCode="#,##0">
                  <c:v>22</c:v>
                </c:pt>
                <c:pt idx="13" formatCode="#,##0">
                  <c:v>7</c:v>
                </c:pt>
                <c:pt idx="14" formatCode="#,##0">
                  <c:v>21</c:v>
                </c:pt>
                <c:pt idx="15" formatCode="#,##0">
                  <c:v>16</c:v>
                </c:pt>
                <c:pt idx="16" formatCode="#,##0">
                  <c:v>23</c:v>
                </c:pt>
                <c:pt idx="17" formatCode="#,##0">
                  <c:v>20</c:v>
                </c:pt>
                <c:pt idx="18" formatCode="#,##0">
                  <c:v>47</c:v>
                </c:pt>
                <c:pt idx="19" formatCode="#,##0">
                  <c:v>56</c:v>
                </c:pt>
                <c:pt idx="20" formatCode="#,##0">
                  <c:v>43</c:v>
                </c:pt>
                <c:pt idx="21" formatCode="#,##0">
                  <c:v>74</c:v>
                </c:pt>
                <c:pt idx="22" formatCode="#,##0">
                  <c:v>100</c:v>
                </c:pt>
                <c:pt idx="23" formatCode="#,##0">
                  <c:v>39</c:v>
                </c:pt>
                <c:pt idx="24" formatCode="#,##0">
                  <c:v>67</c:v>
                </c:pt>
                <c:pt idx="25" formatCode="#,##0">
                  <c:v>65</c:v>
                </c:pt>
                <c:pt idx="26" formatCode="#,##0">
                  <c:v>76</c:v>
                </c:pt>
                <c:pt idx="27" formatCode="#,##0">
                  <c:v>64</c:v>
                </c:pt>
                <c:pt idx="28" formatCode="#,##0">
                  <c:v>82</c:v>
                </c:pt>
                <c:pt idx="29" formatCode="#,##0">
                  <c:v>60</c:v>
                </c:pt>
                <c:pt idx="30" formatCode="#,##0">
                  <c:v>78</c:v>
                </c:pt>
                <c:pt idx="31" formatCode="#,##0">
                  <c:v>69</c:v>
                </c:pt>
                <c:pt idx="32" formatCode="#,##0">
                  <c:v>68</c:v>
                </c:pt>
                <c:pt idx="33" formatCode="#,##0">
                  <c:v>239</c:v>
                </c:pt>
                <c:pt idx="34" formatCode="#,##0">
                  <c:v>104</c:v>
                </c:pt>
                <c:pt idx="35" formatCode="#,##0">
                  <c:v>104</c:v>
                </c:pt>
                <c:pt idx="36" formatCode="#,##0">
                  <c:v>110</c:v>
                </c:pt>
                <c:pt idx="37" formatCode="#,##0">
                  <c:v>122</c:v>
                </c:pt>
                <c:pt idx="38" formatCode="#,##0">
                  <c:v>84</c:v>
                </c:pt>
                <c:pt idx="39" formatCode="#,##0">
                  <c:v>173</c:v>
                </c:pt>
                <c:pt idx="40" formatCode="#,##0">
                  <c:v>108</c:v>
                </c:pt>
                <c:pt idx="41" formatCode="#,##0">
                  <c:v>95</c:v>
                </c:pt>
                <c:pt idx="42" formatCode="#,##0">
                  <c:v>178</c:v>
                </c:pt>
                <c:pt idx="43" formatCode="#,##0">
                  <c:v>106</c:v>
                </c:pt>
                <c:pt idx="44" formatCode="#,##0">
                  <c:v>178</c:v>
                </c:pt>
              </c:numCache>
            </c:numRef>
          </c:val>
        </c:ser>
        <c:ser>
          <c:idx val="1"/>
          <c:order val="1"/>
          <c:tx>
            <c:strRef>
              <c:f>fig_17_PBR_appl!$J$1</c:f>
              <c:strCache>
                <c:ptCount val="1"/>
                <c:pt idx="0">
                  <c:v>Naher/Mittlerer Osten</c:v>
                </c:pt>
              </c:strCache>
            </c:strRef>
          </c:tx>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fig_17_PBR_appl!$J$2:$J$46</c:f>
              <c:numCache>
                <c:formatCode>General</c:formatCode>
                <c:ptCount val="45"/>
                <c:pt idx="11" formatCode="#,##0">
                  <c:v>25</c:v>
                </c:pt>
                <c:pt idx="12" formatCode="#,##0">
                  <c:v>19</c:v>
                </c:pt>
                <c:pt idx="13" formatCode="#,##0">
                  <c:v>31</c:v>
                </c:pt>
                <c:pt idx="14" formatCode="#,##0">
                  <c:v>57</c:v>
                </c:pt>
                <c:pt idx="15" formatCode="#,##0">
                  <c:v>24</c:v>
                </c:pt>
                <c:pt idx="16" formatCode="#,##0">
                  <c:v>47</c:v>
                </c:pt>
                <c:pt idx="17" formatCode="#,##0">
                  <c:v>52</c:v>
                </c:pt>
                <c:pt idx="18" formatCode="#,##0">
                  <c:v>98</c:v>
                </c:pt>
                <c:pt idx="19" formatCode="#,##0">
                  <c:v>122</c:v>
                </c:pt>
                <c:pt idx="20" formatCode="#,##0">
                  <c:v>122</c:v>
                </c:pt>
                <c:pt idx="21" formatCode="#,##0">
                  <c:v>80</c:v>
                </c:pt>
                <c:pt idx="22" formatCode="#,##0">
                  <c:v>54</c:v>
                </c:pt>
                <c:pt idx="23" formatCode="#,##0">
                  <c:v>60</c:v>
                </c:pt>
                <c:pt idx="24" formatCode="#,##0">
                  <c:v>63</c:v>
                </c:pt>
                <c:pt idx="25" formatCode="#,##0">
                  <c:v>70</c:v>
                </c:pt>
                <c:pt idx="26" formatCode="#,##0">
                  <c:v>33</c:v>
                </c:pt>
                <c:pt idx="27" formatCode="#,##0">
                  <c:v>72</c:v>
                </c:pt>
                <c:pt idx="28" formatCode="#,##0">
                  <c:v>67</c:v>
                </c:pt>
                <c:pt idx="29" formatCode="#,##0">
                  <c:v>41</c:v>
                </c:pt>
                <c:pt idx="30" formatCode="#,##0">
                  <c:v>40</c:v>
                </c:pt>
                <c:pt idx="31" formatCode="#,##0">
                  <c:v>41</c:v>
                </c:pt>
                <c:pt idx="32" formatCode="#,##0">
                  <c:v>33</c:v>
                </c:pt>
                <c:pt idx="33" formatCode="#,##0">
                  <c:v>20</c:v>
                </c:pt>
                <c:pt idx="34" formatCode="#,##0">
                  <c:v>43</c:v>
                </c:pt>
                <c:pt idx="35" formatCode="#,##0">
                  <c:v>48</c:v>
                </c:pt>
                <c:pt idx="36" formatCode="#,##0">
                  <c:v>46</c:v>
                </c:pt>
                <c:pt idx="37" formatCode="#,##0">
                  <c:v>46</c:v>
                </c:pt>
                <c:pt idx="38" formatCode="#,##0">
                  <c:v>25</c:v>
                </c:pt>
                <c:pt idx="39" formatCode="#,##0">
                  <c:v>62</c:v>
                </c:pt>
                <c:pt idx="40" formatCode="#,##0">
                  <c:v>26</c:v>
                </c:pt>
                <c:pt idx="41" formatCode="#,##0">
                  <c:v>36</c:v>
                </c:pt>
                <c:pt idx="42" formatCode="#,##0">
                  <c:v>51</c:v>
                </c:pt>
                <c:pt idx="43" formatCode="#,##0">
                  <c:v>202</c:v>
                </c:pt>
                <c:pt idx="44" formatCode="#,##0">
                  <c:v>22</c:v>
                </c:pt>
              </c:numCache>
            </c:numRef>
          </c:val>
        </c:ser>
        <c:ser>
          <c:idx val="2"/>
          <c:order val="2"/>
          <c:tx>
            <c:strRef>
              <c:f>fig_17_PBR_appl!$K$1</c:f>
              <c:strCache>
                <c:ptCount val="1"/>
                <c:pt idx="0">
                  <c:v>Lateinamerika</c:v>
                </c:pt>
              </c:strCache>
            </c:strRef>
          </c:tx>
          <c:spPr>
            <a:solidFill>
              <a:srgbClr val="FFFF99"/>
            </a:solidFill>
          </c:spPr>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fig_17_PBR_appl!$K$2:$K$46</c:f>
              <c:numCache>
                <c:formatCode>#,##0</c:formatCode>
                <c:ptCount val="4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114</c:v>
                </c:pt>
                <c:pt idx="27">
                  <c:v>137</c:v>
                </c:pt>
                <c:pt idx="28">
                  <c:v>105</c:v>
                </c:pt>
                <c:pt idx="29">
                  <c:v>190</c:v>
                </c:pt>
                <c:pt idx="30">
                  <c:v>140</c:v>
                </c:pt>
                <c:pt idx="31">
                  <c:v>226</c:v>
                </c:pt>
                <c:pt idx="32">
                  <c:v>267</c:v>
                </c:pt>
                <c:pt idx="33">
                  <c:v>221</c:v>
                </c:pt>
                <c:pt idx="34">
                  <c:v>242</c:v>
                </c:pt>
                <c:pt idx="35">
                  <c:v>269</c:v>
                </c:pt>
                <c:pt idx="36">
                  <c:v>289</c:v>
                </c:pt>
                <c:pt idx="37">
                  <c:v>279</c:v>
                </c:pt>
                <c:pt idx="38">
                  <c:v>374</c:v>
                </c:pt>
                <c:pt idx="39">
                  <c:v>344</c:v>
                </c:pt>
                <c:pt idx="40">
                  <c:v>473</c:v>
                </c:pt>
                <c:pt idx="41">
                  <c:v>561</c:v>
                </c:pt>
                <c:pt idx="42">
                  <c:v>396</c:v>
                </c:pt>
                <c:pt idx="43">
                  <c:v>273</c:v>
                </c:pt>
                <c:pt idx="44">
                  <c:v>314</c:v>
                </c:pt>
              </c:numCache>
            </c:numRef>
          </c:val>
        </c:ser>
        <c:ser>
          <c:idx val="3"/>
          <c:order val="3"/>
          <c:tx>
            <c:strRef>
              <c:f>fig_17_PBR_appl!$L$1</c:f>
              <c:strCache>
                <c:ptCount val="1"/>
                <c:pt idx="0">
                  <c:v>Nordamerika</c:v>
                </c:pt>
              </c:strCache>
            </c:strRef>
          </c:tx>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fig_17_PBR_appl!$L$2:$L$46</c:f>
              <c:numCache>
                <c:formatCode>General</c:formatCode>
                <c:ptCount val="45"/>
                <c:pt idx="13" formatCode="#,##0">
                  <c:v>291</c:v>
                </c:pt>
                <c:pt idx="14" formatCode="#,##0">
                  <c:v>316</c:v>
                </c:pt>
                <c:pt idx="15" formatCode="#,##0">
                  <c:v>306</c:v>
                </c:pt>
                <c:pt idx="16" formatCode="#,##0">
                  <c:v>159</c:v>
                </c:pt>
                <c:pt idx="17" formatCode="#,##0">
                  <c:v>357</c:v>
                </c:pt>
                <c:pt idx="18" formatCode="#,##0">
                  <c:v>339</c:v>
                </c:pt>
                <c:pt idx="19" formatCode="#,##0">
                  <c:v>431</c:v>
                </c:pt>
                <c:pt idx="20" formatCode="#,##0">
                  <c:v>481.5</c:v>
                </c:pt>
                <c:pt idx="21" formatCode="#,##0">
                  <c:v>482</c:v>
                </c:pt>
                <c:pt idx="22" formatCode="#,##0">
                  <c:v>509</c:v>
                </c:pt>
                <c:pt idx="23" formatCode="#,##0">
                  <c:v>484</c:v>
                </c:pt>
                <c:pt idx="24" formatCode="#,##0">
                  <c:v>477</c:v>
                </c:pt>
                <c:pt idx="25" formatCode="#,##0">
                  <c:v>532</c:v>
                </c:pt>
                <c:pt idx="26" formatCode="#,##0">
                  <c:v>574</c:v>
                </c:pt>
                <c:pt idx="27" formatCode="#,##0">
                  <c:v>625</c:v>
                </c:pt>
                <c:pt idx="28" formatCode="#,##0">
                  <c:v>776</c:v>
                </c:pt>
                <c:pt idx="29" formatCode="#,##0">
                  <c:v>682</c:v>
                </c:pt>
                <c:pt idx="30" formatCode="#,##0">
                  <c:v>814</c:v>
                </c:pt>
                <c:pt idx="31" formatCode="#,##0">
                  <c:v>907</c:v>
                </c:pt>
                <c:pt idx="32" formatCode="#,##0">
                  <c:v>656</c:v>
                </c:pt>
                <c:pt idx="33" formatCode="#,##0">
                  <c:v>751</c:v>
                </c:pt>
                <c:pt idx="34" formatCode="#,##0">
                  <c:v>773</c:v>
                </c:pt>
                <c:pt idx="35" formatCode="#,##0">
                  <c:v>747</c:v>
                </c:pt>
                <c:pt idx="36" formatCode="#,##0">
                  <c:v>779</c:v>
                </c:pt>
                <c:pt idx="37" formatCode="#,##0">
                  <c:v>843</c:v>
                </c:pt>
                <c:pt idx="38" formatCode="#,##0">
                  <c:v>727</c:v>
                </c:pt>
                <c:pt idx="39" formatCode="#,##0">
                  <c:v>755</c:v>
                </c:pt>
                <c:pt idx="40" formatCode="#,##0">
                  <c:v>893</c:v>
                </c:pt>
                <c:pt idx="41" formatCode="#,##0">
                  <c:v>855</c:v>
                </c:pt>
                <c:pt idx="42" formatCode="#,##0">
                  <c:v>1044</c:v>
                </c:pt>
                <c:pt idx="43" formatCode="#,##0">
                  <c:v>878</c:v>
                </c:pt>
                <c:pt idx="44" formatCode="#,##0">
                  <c:v>879</c:v>
                </c:pt>
              </c:numCache>
            </c:numRef>
          </c:val>
        </c:ser>
        <c:ser>
          <c:idx val="4"/>
          <c:order val="4"/>
          <c:tx>
            <c:strRef>
              <c:f>fig_17_PBR_appl!$M$1</c:f>
              <c:strCache>
                <c:ptCount val="1"/>
                <c:pt idx="0">
                  <c:v>Asien Pazifik</c:v>
                </c:pt>
              </c:strCache>
            </c:strRef>
          </c:tx>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fig_17_PBR_appl!$M$2:$M$46</c:f>
              <c:numCache>
                <c:formatCode>General</c:formatCode>
                <c:ptCount val="45"/>
                <c:pt idx="13" formatCode="#,##0">
                  <c:v>61</c:v>
                </c:pt>
                <c:pt idx="14" formatCode="#,##0">
                  <c:v>271</c:v>
                </c:pt>
                <c:pt idx="15" formatCode="#,##0">
                  <c:v>374</c:v>
                </c:pt>
                <c:pt idx="16" formatCode="#,##0">
                  <c:v>352</c:v>
                </c:pt>
                <c:pt idx="17" formatCode="#,##0">
                  <c:v>402</c:v>
                </c:pt>
                <c:pt idx="18" formatCode="#,##0">
                  <c:v>352</c:v>
                </c:pt>
                <c:pt idx="19" formatCode="#,##0">
                  <c:v>447</c:v>
                </c:pt>
                <c:pt idx="20" formatCode="#,##0">
                  <c:v>543</c:v>
                </c:pt>
                <c:pt idx="21" formatCode="#,##0">
                  <c:v>528</c:v>
                </c:pt>
                <c:pt idx="22" formatCode="#,##0">
                  <c:v>490</c:v>
                </c:pt>
                <c:pt idx="23" formatCode="#,##0">
                  <c:v>692</c:v>
                </c:pt>
                <c:pt idx="24" formatCode="#,##0">
                  <c:v>712</c:v>
                </c:pt>
                <c:pt idx="25" formatCode="#,##0">
                  <c:v>685</c:v>
                </c:pt>
                <c:pt idx="26" formatCode="#,##0">
                  <c:v>871</c:v>
                </c:pt>
                <c:pt idx="27" formatCode="#,##0">
                  <c:v>987</c:v>
                </c:pt>
                <c:pt idx="28" formatCode="#,##0">
                  <c:v>967</c:v>
                </c:pt>
                <c:pt idx="29" formatCode="#,##0">
                  <c:v>1091</c:v>
                </c:pt>
                <c:pt idx="30" formatCode="#,##0">
                  <c:v>969</c:v>
                </c:pt>
                <c:pt idx="31" formatCode="#,##0">
                  <c:v>1139</c:v>
                </c:pt>
                <c:pt idx="32" formatCode="#,##0">
                  <c:v>994</c:v>
                </c:pt>
                <c:pt idx="33" formatCode="#,##0">
                  <c:v>1334</c:v>
                </c:pt>
                <c:pt idx="34" formatCode="#,##0">
                  <c:v>1557</c:v>
                </c:pt>
                <c:pt idx="35" formatCode="#,##0">
                  <c:v>1806</c:v>
                </c:pt>
                <c:pt idx="36" formatCode="#,##0">
                  <c:v>2133</c:v>
                </c:pt>
                <c:pt idx="37" formatCode="#,##0">
                  <c:v>2389</c:v>
                </c:pt>
                <c:pt idx="38" formatCode="#,##0">
                  <c:v>2342</c:v>
                </c:pt>
                <c:pt idx="39" formatCode="#,##0">
                  <c:v>2459</c:v>
                </c:pt>
                <c:pt idx="40" formatCode="#,##0">
                  <c:v>2420</c:v>
                </c:pt>
                <c:pt idx="41" formatCode="#,##0">
                  <c:v>2559</c:v>
                </c:pt>
                <c:pt idx="42" formatCode="#,##0">
                  <c:v>2591</c:v>
                </c:pt>
                <c:pt idx="43" formatCode="#,##0">
                  <c:v>2779</c:v>
                </c:pt>
                <c:pt idx="44" formatCode="#,##0">
                  <c:v>2993</c:v>
                </c:pt>
              </c:numCache>
            </c:numRef>
          </c:val>
        </c:ser>
        <c:ser>
          <c:idx val="5"/>
          <c:order val="5"/>
          <c:tx>
            <c:strRef>
              <c:f>fig_17_PBR_appl!$N$1</c:f>
              <c:strCache>
                <c:ptCount val="1"/>
                <c:pt idx="0">
                  <c:v>Europa (außer EU)</c:v>
                </c:pt>
              </c:strCache>
            </c:strRef>
          </c:tx>
          <c:spPr>
            <a:solidFill>
              <a:schemeClr val="bg2">
                <a:lumMod val="50000"/>
              </a:schemeClr>
            </a:solidFill>
          </c:spPr>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fig_17_PBR_appl!$N$2:$N$46</c:f>
              <c:numCache>
                <c:formatCode>General</c:formatCode>
                <c:ptCount val="45"/>
                <c:pt idx="9" formatCode="#,##0">
                  <c:v>5</c:v>
                </c:pt>
                <c:pt idx="11" formatCode="#,##0">
                  <c:v>2</c:v>
                </c:pt>
                <c:pt idx="12" formatCode="#,##0">
                  <c:v>13</c:v>
                </c:pt>
                <c:pt idx="13" formatCode="#,##0">
                  <c:v>3</c:v>
                </c:pt>
                <c:pt idx="14" formatCode="#,##0">
                  <c:v>13</c:v>
                </c:pt>
                <c:pt idx="15" formatCode="#,##0">
                  <c:v>10</c:v>
                </c:pt>
                <c:pt idx="16" formatCode="#,##0">
                  <c:v>20</c:v>
                </c:pt>
                <c:pt idx="17" formatCode="#,##0">
                  <c:v>6</c:v>
                </c:pt>
                <c:pt idx="18" formatCode="#,##0">
                  <c:v>7</c:v>
                </c:pt>
                <c:pt idx="19" formatCode="#,##0">
                  <c:v>8</c:v>
                </c:pt>
                <c:pt idx="20" formatCode="#,##0">
                  <c:v>6</c:v>
                </c:pt>
                <c:pt idx="21" formatCode="#,##0">
                  <c:v>8</c:v>
                </c:pt>
                <c:pt idx="22" formatCode="#,##0">
                  <c:v>17</c:v>
                </c:pt>
                <c:pt idx="23" formatCode="#,##0">
                  <c:v>12</c:v>
                </c:pt>
                <c:pt idx="24" formatCode="#,##0">
                  <c:v>5</c:v>
                </c:pt>
                <c:pt idx="25" formatCode="#,##0">
                  <c:v>18</c:v>
                </c:pt>
                <c:pt idx="26" formatCode="#,##0">
                  <c:v>15</c:v>
                </c:pt>
                <c:pt idx="27" formatCode="#,##0">
                  <c:v>29</c:v>
                </c:pt>
                <c:pt idx="28" formatCode="#,##0">
                  <c:v>21</c:v>
                </c:pt>
                <c:pt idx="29" formatCode="#,##0">
                  <c:v>51</c:v>
                </c:pt>
                <c:pt idx="30" formatCode="#,##0">
                  <c:v>245</c:v>
                </c:pt>
                <c:pt idx="31" formatCode="#,##0">
                  <c:v>412</c:v>
                </c:pt>
                <c:pt idx="32" formatCode="#,##0">
                  <c:v>431</c:v>
                </c:pt>
                <c:pt idx="33" formatCode="#,##0">
                  <c:v>880</c:v>
                </c:pt>
                <c:pt idx="34" formatCode="#,##0">
                  <c:v>728</c:v>
                </c:pt>
                <c:pt idx="35" formatCode="#,##0">
                  <c:v>944</c:v>
                </c:pt>
                <c:pt idx="36" formatCode="#,##0">
                  <c:v>951</c:v>
                </c:pt>
                <c:pt idx="37" formatCode="#,##0">
                  <c:v>1130</c:v>
                </c:pt>
                <c:pt idx="38" formatCode="#,##0">
                  <c:v>1036</c:v>
                </c:pt>
                <c:pt idx="39" formatCode="#,##0">
                  <c:v>1157</c:v>
                </c:pt>
                <c:pt idx="40" formatCode="#,##0">
                  <c:v>779</c:v>
                </c:pt>
                <c:pt idx="41" formatCode="#,##0">
                  <c:v>1307</c:v>
                </c:pt>
                <c:pt idx="42" formatCode="#,##0">
                  <c:v>1109</c:v>
                </c:pt>
                <c:pt idx="43" formatCode="#,##0">
                  <c:v>992</c:v>
                </c:pt>
                <c:pt idx="44" formatCode="#,##0">
                  <c:v>1075</c:v>
                </c:pt>
              </c:numCache>
            </c:numRef>
          </c:val>
        </c:ser>
        <c:ser>
          <c:idx val="6"/>
          <c:order val="6"/>
          <c:tx>
            <c:strRef>
              <c:f>fig_17_PBR_appl!$O$1</c:f>
              <c:strCache>
                <c:ptCount val="1"/>
                <c:pt idx="0">
                  <c:v>Europäische Union (EU)</c:v>
                </c:pt>
              </c:strCache>
            </c:strRef>
          </c:tx>
          <c:spPr>
            <a:solidFill>
              <a:srgbClr val="0066FF"/>
            </a:solidFill>
          </c:spPr>
          <c:cat>
            <c:numRef>
              <c:f>fig_17_PBR_appl!$H$2:$H$46</c:f>
              <c:numCache>
                <c:formatCode>General</c:formatCode>
                <c:ptCount val="45"/>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numCache>
            </c:numRef>
          </c:cat>
          <c:val>
            <c:numRef>
              <c:f>fig_17_PBR_appl!$O$2:$O$46</c:f>
              <c:numCache>
                <c:formatCode>#,##0</c:formatCode>
                <c:ptCount val="45"/>
                <c:pt idx="0">
                  <c:v>718</c:v>
                </c:pt>
                <c:pt idx="1">
                  <c:v>617</c:v>
                </c:pt>
                <c:pt idx="2">
                  <c:v>676</c:v>
                </c:pt>
                <c:pt idx="3">
                  <c:v>826</c:v>
                </c:pt>
                <c:pt idx="4">
                  <c:v>1116</c:v>
                </c:pt>
                <c:pt idx="5">
                  <c:v>722</c:v>
                </c:pt>
                <c:pt idx="6">
                  <c:v>890</c:v>
                </c:pt>
                <c:pt idx="7">
                  <c:v>1114</c:v>
                </c:pt>
                <c:pt idx="8">
                  <c:v>1026</c:v>
                </c:pt>
                <c:pt idx="9">
                  <c:v>1472</c:v>
                </c:pt>
                <c:pt idx="10">
                  <c:v>1397</c:v>
                </c:pt>
                <c:pt idx="11">
                  <c:v>1369</c:v>
                </c:pt>
                <c:pt idx="12">
                  <c:v>1467</c:v>
                </c:pt>
                <c:pt idx="13">
                  <c:v>1501</c:v>
                </c:pt>
                <c:pt idx="14">
                  <c:v>1711</c:v>
                </c:pt>
                <c:pt idx="15">
                  <c:v>1761</c:v>
                </c:pt>
                <c:pt idx="16">
                  <c:v>1869</c:v>
                </c:pt>
                <c:pt idx="17">
                  <c:v>2232</c:v>
                </c:pt>
                <c:pt idx="18">
                  <c:v>2075</c:v>
                </c:pt>
                <c:pt idx="19">
                  <c:v>2171</c:v>
                </c:pt>
                <c:pt idx="20">
                  <c:v>2564</c:v>
                </c:pt>
                <c:pt idx="21">
                  <c:v>2778</c:v>
                </c:pt>
                <c:pt idx="22">
                  <c:v>3215</c:v>
                </c:pt>
                <c:pt idx="23">
                  <c:v>3149</c:v>
                </c:pt>
                <c:pt idx="24">
                  <c:v>3005</c:v>
                </c:pt>
                <c:pt idx="25">
                  <c:v>3206</c:v>
                </c:pt>
                <c:pt idx="26">
                  <c:v>3219</c:v>
                </c:pt>
                <c:pt idx="27">
                  <c:v>5277</c:v>
                </c:pt>
                <c:pt idx="28">
                  <c:v>3499</c:v>
                </c:pt>
                <c:pt idx="29">
                  <c:v>3498</c:v>
                </c:pt>
                <c:pt idx="30">
                  <c:v>3732</c:v>
                </c:pt>
                <c:pt idx="31">
                  <c:v>3740</c:v>
                </c:pt>
                <c:pt idx="32">
                  <c:v>3593</c:v>
                </c:pt>
                <c:pt idx="33">
                  <c:v>3693</c:v>
                </c:pt>
                <c:pt idx="34">
                  <c:v>3497</c:v>
                </c:pt>
                <c:pt idx="35">
                  <c:v>3760</c:v>
                </c:pt>
                <c:pt idx="36">
                  <c:v>3567</c:v>
                </c:pt>
                <c:pt idx="37">
                  <c:v>3432</c:v>
                </c:pt>
                <c:pt idx="38">
                  <c:v>3033</c:v>
                </c:pt>
                <c:pt idx="39">
                  <c:v>3503</c:v>
                </c:pt>
                <c:pt idx="40">
                  <c:v>3558</c:v>
                </c:pt>
                <c:pt idx="41">
                  <c:v>3357</c:v>
                </c:pt>
                <c:pt idx="42">
                  <c:v>3543</c:v>
                </c:pt>
                <c:pt idx="43">
                  <c:v>3583</c:v>
                </c:pt>
                <c:pt idx="44">
                  <c:v>3290</c:v>
                </c:pt>
              </c:numCache>
            </c:numRef>
          </c:val>
        </c:ser>
        <c:dLbls>
          <c:showLegendKey val="0"/>
          <c:showVal val="0"/>
          <c:showCatName val="0"/>
          <c:showSerName val="0"/>
          <c:showPercent val="0"/>
          <c:showBubbleSize val="0"/>
        </c:dLbls>
        <c:axId val="114968064"/>
        <c:axId val="114969600"/>
      </c:areaChart>
      <c:catAx>
        <c:axId val="114968064"/>
        <c:scaling>
          <c:orientation val="minMax"/>
        </c:scaling>
        <c:delete val="0"/>
        <c:axPos val="b"/>
        <c:numFmt formatCode="General" sourceLinked="1"/>
        <c:majorTickMark val="out"/>
        <c:minorTickMark val="none"/>
        <c:tickLblPos val="nextTo"/>
        <c:txPr>
          <a:bodyPr rot="-5400000" vert="horz"/>
          <a:lstStyle/>
          <a:p>
            <a:pPr>
              <a:defRPr sz="500">
                <a:latin typeface="Arial" panose="020B0604020202020204" pitchFamily="34" charset="0"/>
                <a:cs typeface="Arial" panose="020B0604020202020204" pitchFamily="34" charset="0"/>
              </a:defRPr>
            </a:pPr>
            <a:endParaRPr lang="en-US"/>
          </a:p>
        </c:txPr>
        <c:crossAx val="114969600"/>
        <c:crosses val="autoZero"/>
        <c:auto val="1"/>
        <c:lblAlgn val="ctr"/>
        <c:lblOffset val="100"/>
        <c:noMultiLvlLbl val="0"/>
      </c:catAx>
      <c:valAx>
        <c:axId val="114969600"/>
        <c:scaling>
          <c:orientation val="minMax"/>
        </c:scaling>
        <c:delete val="0"/>
        <c:axPos val="l"/>
        <c:majorGridlines/>
        <c:numFmt formatCode="#\ ###\ ###" sourceLinked="1"/>
        <c:majorTickMark val="out"/>
        <c:minorTickMark val="none"/>
        <c:tickLblPos val="nextTo"/>
        <c:txPr>
          <a:bodyPr/>
          <a:lstStyle/>
          <a:p>
            <a:pPr>
              <a:defRPr sz="500">
                <a:latin typeface="Arial" panose="020B0604020202020204" pitchFamily="34" charset="0"/>
                <a:cs typeface="Arial" panose="020B0604020202020204" pitchFamily="34" charset="0"/>
              </a:defRPr>
            </a:pPr>
            <a:endParaRPr lang="en-US"/>
          </a:p>
        </c:txPr>
        <c:crossAx val="114968064"/>
        <c:crosses val="autoZero"/>
        <c:crossBetween val="midCat"/>
      </c:valAx>
      <c:spPr>
        <a:solidFill>
          <a:schemeClr val="bg1">
            <a:lumMod val="75000"/>
          </a:schemeClr>
        </a:solidFill>
      </c:spPr>
    </c:plotArea>
    <c:legend>
      <c:legendPos val="r"/>
      <c:layout>
        <c:manualLayout>
          <c:xMode val="edge"/>
          <c:yMode val="edge"/>
          <c:x val="0.11818308589288934"/>
          <c:y val="8.1646214270948814E-2"/>
          <c:w val="0.37613229154110001"/>
          <c:h val="0.33384726909136359"/>
        </c:manualLayout>
      </c:layout>
      <c:overlay val="0"/>
      <c:spPr>
        <a:solidFill>
          <a:sysClr val="window" lastClr="FFFFFF"/>
        </a:solidFill>
      </c:spPr>
      <c:txPr>
        <a:bodyPr/>
        <a:lstStyle/>
        <a:p>
          <a:pPr>
            <a:defRPr sz="500">
              <a:latin typeface="Arial" panose="020B0604020202020204" pitchFamily="34" charset="0"/>
              <a:cs typeface="Arial" panose="020B0604020202020204" pitchFamily="34" charset="0"/>
            </a:defRPr>
          </a:pPr>
          <a:endParaRPr lang="en-US"/>
        </a:p>
      </c:txPr>
    </c:legend>
    <c:plotVisOnly val="1"/>
    <c:dispBlanksAs val="zero"/>
    <c:showDLblsOverMax val="0"/>
  </c:chart>
  <c:spPr>
    <a:ln>
      <a:noFill/>
    </a:ln>
  </c:spPr>
  <c:txPr>
    <a:bodyPr/>
    <a:lstStyle/>
    <a:p>
      <a:pPr>
        <a:defRPr sz="600"/>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9313835770533E-2"/>
          <c:y val="2.7007874015748036E-2"/>
          <c:w val="0.77626564121345298"/>
          <c:h val="0.87079151870722038"/>
        </c:manualLayout>
      </c:layout>
      <c:barChart>
        <c:barDir val="col"/>
        <c:grouping val="clustered"/>
        <c:varyColors val="0"/>
        <c:ser>
          <c:idx val="1"/>
          <c:order val="0"/>
          <c:tx>
            <c:strRef>
              <c:f>fig_18_PBR_titles!$D$5</c:f>
              <c:strCache>
                <c:ptCount val="1"/>
                <c:pt idx="0">
                  <c:v>In Kraft befindliche Titel</c:v>
                </c:pt>
              </c:strCache>
            </c:strRef>
          </c:tx>
          <c:spPr>
            <a:solidFill>
              <a:srgbClr val="993366"/>
            </a:solidFill>
            <a:ln w="12700">
              <a:solidFill>
                <a:srgbClr val="000000"/>
              </a:solidFill>
              <a:prstDash val="solid"/>
            </a:ln>
          </c:spPr>
          <c:invertIfNegative val="0"/>
          <c:cat>
            <c:numRef>
              <c:f>fig_18_PBR_titles!$B$12:$B$50</c:f>
              <c:numCache>
                <c:formatCode>General</c:formatCode>
                <c:ptCount val="39"/>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numCache>
            </c:numRef>
          </c:cat>
          <c:val>
            <c:numRef>
              <c:f>fig_18_PBR_titles!$D$12:$D$50</c:f>
              <c:numCache>
                <c:formatCode>#,##0</c:formatCode>
                <c:ptCount val="39"/>
                <c:pt idx="0">
                  <c:v>3640</c:v>
                </c:pt>
                <c:pt idx="1">
                  <c:v>4257</c:v>
                </c:pt>
                <c:pt idx="2">
                  <c:v>4765</c:v>
                </c:pt>
                <c:pt idx="3">
                  <c:v>5272</c:v>
                </c:pt>
                <c:pt idx="4">
                  <c:v>5867</c:v>
                </c:pt>
                <c:pt idx="5">
                  <c:v>6410</c:v>
                </c:pt>
                <c:pt idx="6">
                  <c:v>7165</c:v>
                </c:pt>
                <c:pt idx="7">
                  <c:v>11254</c:v>
                </c:pt>
                <c:pt idx="8">
                  <c:v>12343</c:v>
                </c:pt>
                <c:pt idx="9">
                  <c:v>13448</c:v>
                </c:pt>
                <c:pt idx="10">
                  <c:v>13303</c:v>
                </c:pt>
                <c:pt idx="11">
                  <c:v>16419</c:v>
                </c:pt>
                <c:pt idx="12">
                  <c:v>18153</c:v>
                </c:pt>
                <c:pt idx="13">
                  <c:v>19780</c:v>
                </c:pt>
                <c:pt idx="14">
                  <c:v>22155</c:v>
                </c:pt>
                <c:pt idx="15">
                  <c:v>24052</c:v>
                </c:pt>
                <c:pt idx="16">
                  <c:v>26651</c:v>
                </c:pt>
                <c:pt idx="17">
                  <c:v>28527</c:v>
                </c:pt>
                <c:pt idx="18">
                  <c:v>30357</c:v>
                </c:pt>
                <c:pt idx="19">
                  <c:v>32287</c:v>
                </c:pt>
                <c:pt idx="20">
                  <c:v>36449</c:v>
                </c:pt>
                <c:pt idx="21">
                  <c:v>39454</c:v>
                </c:pt>
                <c:pt idx="22">
                  <c:v>42193</c:v>
                </c:pt>
                <c:pt idx="23">
                  <c:v>43197</c:v>
                </c:pt>
                <c:pt idx="24">
                  <c:v>46449</c:v>
                </c:pt>
                <c:pt idx="25">
                  <c:v>49284</c:v>
                </c:pt>
                <c:pt idx="26">
                  <c:v>51405</c:v>
                </c:pt>
                <c:pt idx="27">
                  <c:v>54621</c:v>
                </c:pt>
                <c:pt idx="28">
                  <c:v>58453</c:v>
                </c:pt>
                <c:pt idx="29">
                  <c:v>61478</c:v>
                </c:pt>
                <c:pt idx="30">
                  <c:v>64276</c:v>
                </c:pt>
                <c:pt idx="31">
                  <c:v>66915</c:v>
                </c:pt>
                <c:pt idx="32">
                  <c:v>70810</c:v>
                </c:pt>
                <c:pt idx="33">
                  <c:v>76511</c:v>
                </c:pt>
                <c:pt idx="34">
                  <c:v>81595</c:v>
                </c:pt>
                <c:pt idx="35">
                  <c:v>86484</c:v>
                </c:pt>
                <c:pt idx="36">
                  <c:v>90344</c:v>
                </c:pt>
                <c:pt idx="37">
                  <c:v>95041</c:v>
                </c:pt>
                <c:pt idx="38">
                  <c:v>99409</c:v>
                </c:pt>
              </c:numCache>
            </c:numRef>
          </c:val>
        </c:ser>
        <c:dLbls>
          <c:showLegendKey val="0"/>
          <c:showVal val="0"/>
          <c:showCatName val="0"/>
          <c:showSerName val="0"/>
          <c:showPercent val="0"/>
          <c:showBubbleSize val="0"/>
        </c:dLbls>
        <c:gapWidth val="150"/>
        <c:axId val="114983296"/>
        <c:axId val="114985216"/>
      </c:barChart>
      <c:lineChart>
        <c:grouping val="standard"/>
        <c:varyColors val="0"/>
        <c:ser>
          <c:idx val="0"/>
          <c:order val="1"/>
          <c:tx>
            <c:v>Zahl der UPOV-Mitglieder</c:v>
          </c:tx>
          <c:spPr>
            <a:ln w="12700">
              <a:solidFill>
                <a:srgbClr val="000080"/>
              </a:solidFill>
              <a:prstDash val="solid"/>
            </a:ln>
          </c:spPr>
          <c:marker>
            <c:symbol val="diamond"/>
            <c:size val="2"/>
            <c:spPr>
              <a:solidFill>
                <a:srgbClr val="000080"/>
              </a:solidFill>
              <a:ln>
                <a:solidFill>
                  <a:srgbClr val="000080"/>
                </a:solidFill>
                <a:prstDash val="solid"/>
              </a:ln>
            </c:spPr>
          </c:marker>
          <c:cat>
            <c:numRef>
              <c:f>fig_18_PBR_titles!$C$12:$C$50</c:f>
              <c:numCache>
                <c:formatCode>General</c:formatCode>
                <c:ptCount val="39"/>
                <c:pt idx="0">
                  <c:v>6</c:v>
                </c:pt>
                <c:pt idx="1">
                  <c:v>6</c:v>
                </c:pt>
                <c:pt idx="2">
                  <c:v>7</c:v>
                </c:pt>
                <c:pt idx="3">
                  <c:v>10</c:v>
                </c:pt>
                <c:pt idx="4">
                  <c:v>10</c:v>
                </c:pt>
                <c:pt idx="5">
                  <c:v>11</c:v>
                </c:pt>
                <c:pt idx="6">
                  <c:v>12</c:v>
                </c:pt>
                <c:pt idx="7">
                  <c:v>15</c:v>
                </c:pt>
                <c:pt idx="8">
                  <c:v>16</c:v>
                </c:pt>
                <c:pt idx="9">
                  <c:v>17</c:v>
                </c:pt>
                <c:pt idx="10">
                  <c:v>17</c:v>
                </c:pt>
                <c:pt idx="11">
                  <c:v>17</c:v>
                </c:pt>
                <c:pt idx="12">
                  <c:v>17</c:v>
                </c:pt>
                <c:pt idx="13">
                  <c:v>17</c:v>
                </c:pt>
                <c:pt idx="14">
                  <c:v>17</c:v>
                </c:pt>
                <c:pt idx="15">
                  <c:v>19</c:v>
                </c:pt>
                <c:pt idx="16">
                  <c:v>19</c:v>
                </c:pt>
                <c:pt idx="17">
                  <c:v>20</c:v>
                </c:pt>
                <c:pt idx="18">
                  <c:v>20</c:v>
                </c:pt>
                <c:pt idx="19">
                  <c:v>24</c:v>
                </c:pt>
                <c:pt idx="20">
                  <c:v>27</c:v>
                </c:pt>
                <c:pt idx="21">
                  <c:v>29</c:v>
                </c:pt>
                <c:pt idx="22">
                  <c:v>31</c:v>
                </c:pt>
                <c:pt idx="23">
                  <c:v>34</c:v>
                </c:pt>
                <c:pt idx="24">
                  <c:v>38</c:v>
                </c:pt>
                <c:pt idx="25">
                  <c:v>44</c:v>
                </c:pt>
                <c:pt idx="26">
                  <c:v>46</c:v>
                </c:pt>
                <c:pt idx="27">
                  <c:v>49</c:v>
                </c:pt>
                <c:pt idx="28">
                  <c:v>51</c:v>
                </c:pt>
                <c:pt idx="29">
                  <c:v>54</c:v>
                </c:pt>
                <c:pt idx="30">
                  <c:v>58</c:v>
                </c:pt>
                <c:pt idx="31">
                  <c:v>60</c:v>
                </c:pt>
                <c:pt idx="32">
                  <c:v>63</c:v>
                </c:pt>
                <c:pt idx="33">
                  <c:v>65</c:v>
                </c:pt>
                <c:pt idx="34">
                  <c:v>66</c:v>
                </c:pt>
                <c:pt idx="35">
                  <c:v>68</c:v>
                </c:pt>
                <c:pt idx="36">
                  <c:v>68</c:v>
                </c:pt>
                <c:pt idx="37">
                  <c:v>70</c:v>
                </c:pt>
                <c:pt idx="38">
                  <c:v>70</c:v>
                </c:pt>
              </c:numCache>
            </c:numRef>
          </c:cat>
          <c:val>
            <c:numRef>
              <c:f>fig_18_PBR_titles!$C$12:$C$50</c:f>
              <c:numCache>
                <c:formatCode>General</c:formatCode>
                <c:ptCount val="39"/>
                <c:pt idx="0">
                  <c:v>6</c:v>
                </c:pt>
                <c:pt idx="1">
                  <c:v>6</c:v>
                </c:pt>
                <c:pt idx="2">
                  <c:v>7</c:v>
                </c:pt>
                <c:pt idx="3">
                  <c:v>10</c:v>
                </c:pt>
                <c:pt idx="4">
                  <c:v>10</c:v>
                </c:pt>
                <c:pt idx="5">
                  <c:v>11</c:v>
                </c:pt>
                <c:pt idx="6">
                  <c:v>12</c:v>
                </c:pt>
                <c:pt idx="7">
                  <c:v>15</c:v>
                </c:pt>
                <c:pt idx="8">
                  <c:v>16</c:v>
                </c:pt>
                <c:pt idx="9">
                  <c:v>17</c:v>
                </c:pt>
                <c:pt idx="10">
                  <c:v>17</c:v>
                </c:pt>
                <c:pt idx="11">
                  <c:v>17</c:v>
                </c:pt>
                <c:pt idx="12">
                  <c:v>17</c:v>
                </c:pt>
                <c:pt idx="13">
                  <c:v>17</c:v>
                </c:pt>
                <c:pt idx="14">
                  <c:v>17</c:v>
                </c:pt>
                <c:pt idx="15">
                  <c:v>19</c:v>
                </c:pt>
                <c:pt idx="16">
                  <c:v>19</c:v>
                </c:pt>
                <c:pt idx="17">
                  <c:v>20</c:v>
                </c:pt>
                <c:pt idx="18">
                  <c:v>20</c:v>
                </c:pt>
                <c:pt idx="19">
                  <c:v>24</c:v>
                </c:pt>
                <c:pt idx="20">
                  <c:v>27</c:v>
                </c:pt>
                <c:pt idx="21">
                  <c:v>29</c:v>
                </c:pt>
                <c:pt idx="22">
                  <c:v>31</c:v>
                </c:pt>
                <c:pt idx="23">
                  <c:v>34</c:v>
                </c:pt>
                <c:pt idx="24">
                  <c:v>38</c:v>
                </c:pt>
                <c:pt idx="25">
                  <c:v>44</c:v>
                </c:pt>
                <c:pt idx="26">
                  <c:v>46</c:v>
                </c:pt>
                <c:pt idx="27">
                  <c:v>49</c:v>
                </c:pt>
                <c:pt idx="28">
                  <c:v>51</c:v>
                </c:pt>
                <c:pt idx="29">
                  <c:v>54</c:v>
                </c:pt>
                <c:pt idx="30">
                  <c:v>58</c:v>
                </c:pt>
                <c:pt idx="31">
                  <c:v>60</c:v>
                </c:pt>
                <c:pt idx="32">
                  <c:v>63</c:v>
                </c:pt>
                <c:pt idx="33">
                  <c:v>65</c:v>
                </c:pt>
                <c:pt idx="34">
                  <c:v>66</c:v>
                </c:pt>
                <c:pt idx="35">
                  <c:v>68</c:v>
                </c:pt>
                <c:pt idx="36">
                  <c:v>68</c:v>
                </c:pt>
                <c:pt idx="37">
                  <c:v>70</c:v>
                </c:pt>
                <c:pt idx="38">
                  <c:v>70</c:v>
                </c:pt>
              </c:numCache>
            </c:numRef>
          </c:val>
          <c:smooth val="0"/>
        </c:ser>
        <c:dLbls>
          <c:showLegendKey val="0"/>
          <c:showVal val="0"/>
          <c:showCatName val="0"/>
          <c:showSerName val="0"/>
          <c:showPercent val="0"/>
          <c:showBubbleSize val="0"/>
        </c:dLbls>
        <c:marker val="1"/>
        <c:smooth val="0"/>
        <c:axId val="114991488"/>
        <c:axId val="114993024"/>
      </c:lineChart>
      <c:catAx>
        <c:axId val="11498329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5400000" vert="horz"/>
          <a:lstStyle/>
          <a:p>
            <a:pPr>
              <a:defRPr sz="500"/>
            </a:pPr>
            <a:endParaRPr lang="en-US"/>
          </a:p>
        </c:txPr>
        <c:crossAx val="114985216"/>
        <c:crosses val="autoZero"/>
        <c:auto val="0"/>
        <c:lblAlgn val="ctr"/>
        <c:lblOffset val="100"/>
        <c:tickLblSkip val="2"/>
        <c:tickMarkSkip val="1"/>
        <c:noMultiLvlLbl val="0"/>
      </c:catAx>
      <c:valAx>
        <c:axId val="114985216"/>
        <c:scaling>
          <c:orientation val="minMax"/>
        </c:scaling>
        <c:delete val="0"/>
        <c:axPos val="r"/>
        <c:title>
          <c:tx>
            <c:rich>
              <a:bodyPr/>
              <a:lstStyle/>
              <a:p>
                <a:pPr>
                  <a:defRPr/>
                </a:pPr>
                <a:r>
                  <a:rPr lang="en-US"/>
                  <a:t>Gesamtzahl der in Kraft befindlichen Titel</a:t>
                </a:r>
              </a:p>
            </c:rich>
          </c:tx>
          <c:layout>
            <c:manualLayout>
              <c:xMode val="edge"/>
              <c:yMode val="edge"/>
              <c:x val="0.96164713422450099"/>
              <c:y val="0.14580228271858051"/>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a:pPr>
            <a:endParaRPr lang="en-US"/>
          </a:p>
        </c:txPr>
        <c:crossAx val="114983296"/>
        <c:crosses val="max"/>
        <c:crossBetween val="between"/>
        <c:majorUnit val="10000"/>
      </c:valAx>
      <c:catAx>
        <c:axId val="114991488"/>
        <c:scaling>
          <c:orientation val="minMax"/>
        </c:scaling>
        <c:delete val="1"/>
        <c:axPos val="t"/>
        <c:numFmt formatCode="General" sourceLinked="1"/>
        <c:majorTickMark val="out"/>
        <c:minorTickMark val="none"/>
        <c:tickLblPos val="nextTo"/>
        <c:crossAx val="114993024"/>
        <c:crosses val="max"/>
        <c:auto val="0"/>
        <c:lblAlgn val="ctr"/>
        <c:lblOffset val="100"/>
        <c:noMultiLvlLbl val="0"/>
      </c:catAx>
      <c:valAx>
        <c:axId val="114993024"/>
        <c:scaling>
          <c:orientation val="minMax"/>
        </c:scaling>
        <c:delete val="0"/>
        <c:axPos val="l"/>
        <c:title>
          <c:tx>
            <c:rich>
              <a:bodyPr/>
              <a:lstStyle/>
              <a:p>
                <a:pPr>
                  <a:defRPr/>
                </a:pPr>
                <a:r>
                  <a:rPr lang="en-US"/>
                  <a:t>Zahl der UPOV -Mitglieder</a:t>
                </a:r>
              </a:p>
            </c:rich>
          </c:tx>
          <c:layout>
            <c:manualLayout>
              <c:xMode val="edge"/>
              <c:yMode val="edge"/>
              <c:x val="2.1336141121894646E-3"/>
              <c:y val="0.3047524482504044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500"/>
            </a:pPr>
            <a:endParaRPr lang="en-US"/>
          </a:p>
        </c:txPr>
        <c:crossAx val="114991488"/>
        <c:crosses val="autoZero"/>
        <c:crossBetween val="between"/>
      </c:valAx>
      <c:spPr>
        <a:solidFill>
          <a:srgbClr val="C0C0C0"/>
        </a:solidFill>
        <a:ln w="12700">
          <a:solidFill>
            <a:srgbClr val="808080"/>
          </a:solidFill>
          <a:prstDash val="solid"/>
        </a:ln>
      </c:spPr>
    </c:plotArea>
    <c:legend>
      <c:legendPos val="r"/>
      <c:layout>
        <c:manualLayout>
          <c:xMode val="edge"/>
          <c:yMode val="edge"/>
          <c:x val="0.12139435695538058"/>
          <c:y val="0.25913540219237302"/>
          <c:w val="0.37280137947872793"/>
          <c:h val="0.13051567083526325"/>
        </c:manualLayout>
      </c:layout>
      <c:overlay val="0"/>
      <c:spPr>
        <a:solidFill>
          <a:srgbClr val="FFFFFF"/>
        </a:solidFill>
        <a:ln w="3175">
          <a:solidFill>
            <a:srgbClr val="000000"/>
          </a:solidFill>
          <a:prstDash val="solid"/>
        </a:ln>
      </c:spPr>
      <c:txPr>
        <a:bodyPr/>
        <a:lstStyle/>
        <a:p>
          <a:pPr>
            <a:defRPr sz="500"/>
          </a:pPr>
          <a:endParaRPr lang="en-US"/>
        </a:p>
      </c:txPr>
    </c:legend>
    <c:plotVisOnly val="1"/>
    <c:dispBlanksAs val="gap"/>
    <c:showDLblsOverMax val="0"/>
  </c:chart>
  <c:spPr>
    <a:solidFill>
      <a:srgbClr val="FFFFFF"/>
    </a:solidFill>
    <a:ln w="3175">
      <a:noFill/>
      <a:prstDash val="solid"/>
    </a:ln>
  </c:spPr>
  <c:txPr>
    <a:bodyPr/>
    <a:lstStyle/>
    <a:p>
      <a:pPr>
        <a:defRPr sz="6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64519577795216E-2"/>
          <c:y val="3.3440492030412855E-2"/>
          <c:w val="0.9122820731745882"/>
          <c:h val="0.78947808846011691"/>
        </c:manualLayout>
      </c:layout>
      <c:barChart>
        <c:barDir val="col"/>
        <c:grouping val="clustered"/>
        <c:varyColors val="0"/>
        <c:ser>
          <c:idx val="1"/>
          <c:order val="0"/>
          <c:tx>
            <c:strRef>
              <c:f>'fig.2_C(Extr)'!$C$5</c:f>
              <c:strCache>
                <c:ptCount val="1"/>
                <c:pt idx="0">
                  <c:v>Beobachterstaaten</c:v>
                </c:pt>
              </c:strCache>
            </c:strRef>
          </c:tx>
          <c:spPr>
            <a:solidFill>
              <a:srgbClr val="FFFF99"/>
            </a:solidFill>
            <a:ln>
              <a:solidFill>
                <a:srgbClr val="000000"/>
              </a:solidFill>
            </a:ln>
          </c:spPr>
          <c:invertIfNegative val="0"/>
          <c:cat>
            <c:numRef>
              <c:f>'fig.2_C(Extr)'!$A$6:$A$20</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'fig.2_C(Extr)'!$C$6:$C$19</c:f>
              <c:numCache>
                <c:formatCode>General</c:formatCode>
                <c:ptCount val="14"/>
                <c:pt idx="0">
                  <c:v>1</c:v>
                </c:pt>
                <c:pt idx="5">
                  <c:v>1</c:v>
                </c:pt>
                <c:pt idx="6">
                  <c:v>10</c:v>
                </c:pt>
                <c:pt idx="7">
                  <c:v>9</c:v>
                </c:pt>
                <c:pt idx="8">
                  <c:v>5</c:v>
                </c:pt>
                <c:pt idx="9">
                  <c:v>2</c:v>
                </c:pt>
                <c:pt idx="11">
                  <c:v>13</c:v>
                </c:pt>
                <c:pt idx="12">
                  <c:v>6</c:v>
                </c:pt>
                <c:pt idx="13">
                  <c:v>5</c:v>
                </c:pt>
              </c:numCache>
            </c:numRef>
          </c:val>
        </c:ser>
        <c:ser>
          <c:idx val="2"/>
          <c:order val="1"/>
          <c:tx>
            <c:strRef>
              <c:f>'fig.2_C(Extr)'!$D$5</c:f>
              <c:strCache>
                <c:ptCount val="1"/>
                <c:pt idx="0">
                  <c:v>Beobachterorganisationen</c:v>
                </c:pt>
              </c:strCache>
            </c:strRef>
          </c:tx>
          <c:spPr>
            <a:ln>
              <a:solidFill>
                <a:srgbClr val="000000"/>
              </a:solidFill>
            </a:ln>
          </c:spPr>
          <c:invertIfNegative val="0"/>
          <c:cat>
            <c:numRef>
              <c:f>'fig.2_C(Extr)'!$A$6:$A$20</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'fig.2_C(Extr)'!$D$6:$D$19</c:f>
              <c:numCache>
                <c:formatCode>General</c:formatCode>
                <c:ptCount val="14"/>
                <c:pt idx="6">
                  <c:v>2</c:v>
                </c:pt>
                <c:pt idx="7">
                  <c:v>4</c:v>
                </c:pt>
                <c:pt idx="8">
                  <c:v>2</c:v>
                </c:pt>
                <c:pt idx="9">
                  <c:v>3</c:v>
                </c:pt>
                <c:pt idx="11">
                  <c:v>5</c:v>
                </c:pt>
                <c:pt idx="12">
                  <c:v>6</c:v>
                </c:pt>
                <c:pt idx="13">
                  <c:v>3</c:v>
                </c:pt>
              </c:numCache>
            </c:numRef>
          </c:val>
        </c:ser>
        <c:ser>
          <c:idx val="0"/>
          <c:order val="2"/>
          <c:tx>
            <c:v>Mitglieder</c:v>
          </c:tx>
          <c:spPr>
            <a:solidFill>
              <a:schemeClr val="accent2">
                <a:lumMod val="75000"/>
              </a:schemeClr>
            </a:solidFill>
            <a:ln w="9525">
              <a:solidFill>
                <a:srgbClr val="000000"/>
              </a:solidFill>
            </a:ln>
          </c:spPr>
          <c:invertIfNegative val="0"/>
          <c:cat>
            <c:numRef>
              <c:f>'fig.2_C(Extr)'!$A$6:$A$20</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'fig.2_C(Extr)'!$B$6:$B$19</c:f>
              <c:numCache>
                <c:formatCode>General</c:formatCode>
                <c:ptCount val="14"/>
                <c:pt idx="0">
                  <c:v>36</c:v>
                </c:pt>
                <c:pt idx="1">
                  <c:v>35</c:v>
                </c:pt>
                <c:pt idx="2">
                  <c:v>40</c:v>
                </c:pt>
                <c:pt idx="3">
                  <c:v>39</c:v>
                </c:pt>
                <c:pt idx="4">
                  <c:v>39</c:v>
                </c:pt>
                <c:pt idx="5">
                  <c:v>42</c:v>
                </c:pt>
                <c:pt idx="6">
                  <c:v>42</c:v>
                </c:pt>
                <c:pt idx="7">
                  <c:v>40</c:v>
                </c:pt>
                <c:pt idx="8">
                  <c:v>40</c:v>
                </c:pt>
                <c:pt idx="9">
                  <c:v>38</c:v>
                </c:pt>
                <c:pt idx="10">
                  <c:v>59</c:v>
                </c:pt>
                <c:pt idx="11">
                  <c:v>36</c:v>
                </c:pt>
                <c:pt idx="12">
                  <c:v>36</c:v>
                </c:pt>
                <c:pt idx="13">
                  <c:v>40</c:v>
                </c:pt>
              </c:numCache>
            </c:numRef>
          </c:val>
        </c:ser>
        <c:dLbls>
          <c:showLegendKey val="0"/>
          <c:showVal val="0"/>
          <c:showCatName val="0"/>
          <c:showSerName val="0"/>
          <c:showPercent val="0"/>
          <c:showBubbleSize val="0"/>
        </c:dLbls>
        <c:gapWidth val="74"/>
        <c:overlap val="28"/>
        <c:axId val="126592896"/>
        <c:axId val="146358272"/>
      </c:barChart>
      <c:lineChart>
        <c:grouping val="standard"/>
        <c:varyColors val="0"/>
        <c:ser>
          <c:idx val="3"/>
          <c:order val="3"/>
          <c:tx>
            <c:v>Anzahl der UPOV-Mitglieder</c:v>
          </c:tx>
          <c:spPr>
            <a:ln w="25400">
              <a:solidFill>
                <a:schemeClr val="tx2"/>
              </a:solidFill>
            </a:ln>
          </c:spPr>
          <c:marker>
            <c:symbol val="none"/>
          </c:marker>
          <c:dPt>
            <c:idx val="2"/>
            <c:bubble3D val="0"/>
            <c:spPr/>
          </c:dPt>
          <c:dLbls>
            <c:dLbl>
              <c:idx val="0"/>
              <c:dLblPos val="t"/>
              <c:showLegendKey val="0"/>
              <c:showVal val="1"/>
              <c:showCatName val="0"/>
              <c:showSerName val="0"/>
              <c:showPercent val="0"/>
              <c:showBubbleSize val="0"/>
            </c:dLbl>
            <c:dLbl>
              <c:idx val="13"/>
              <c:dLblPos val="t"/>
              <c:showLegendKey val="0"/>
              <c:showVal val="1"/>
              <c:showCatName val="0"/>
              <c:showSerName val="0"/>
              <c:showPercent val="0"/>
              <c:showBubbleSize val="0"/>
            </c:dLbl>
            <c:dLbl>
              <c:idx val="14"/>
              <c:tx>
                <c:rich>
                  <a:bodyPr/>
                  <a:lstStyle/>
                  <a:p>
                    <a:r>
                      <a:rPr lang="en-US"/>
                      <a:t>72</a:t>
                    </a:r>
                  </a:p>
                </c:rich>
              </c:tx>
              <c:dLblPos val="t"/>
              <c:showLegendKey val="0"/>
              <c:showVal val="1"/>
              <c:showCatName val="0"/>
              <c:showSerName val="0"/>
              <c:showPercent val="0"/>
              <c:showBubbleSize val="0"/>
            </c:dLbl>
            <c:dLblPos val="t"/>
            <c:showLegendKey val="0"/>
            <c:showVal val="0"/>
            <c:showCatName val="0"/>
            <c:showSerName val="0"/>
            <c:showPercent val="0"/>
            <c:showBubbleSize val="0"/>
          </c:dLbls>
          <c:val>
            <c:numRef>
              <c:f>members!$C$7:$C$20</c:f>
              <c:numCache>
                <c:formatCode>General</c:formatCode>
                <c:ptCount val="14"/>
                <c:pt idx="0">
                  <c:v>46</c:v>
                </c:pt>
                <c:pt idx="1">
                  <c:v>49</c:v>
                </c:pt>
                <c:pt idx="2">
                  <c:v>51</c:v>
                </c:pt>
                <c:pt idx="3">
                  <c:v>54</c:v>
                </c:pt>
                <c:pt idx="4">
                  <c:v>58</c:v>
                </c:pt>
                <c:pt idx="5">
                  <c:v>60</c:v>
                </c:pt>
                <c:pt idx="6">
                  <c:v>63</c:v>
                </c:pt>
                <c:pt idx="7">
                  <c:v>65</c:v>
                </c:pt>
                <c:pt idx="8">
                  <c:v>66</c:v>
                </c:pt>
                <c:pt idx="9">
                  <c:v>68</c:v>
                </c:pt>
                <c:pt idx="10">
                  <c:v>68</c:v>
                </c:pt>
                <c:pt idx="11">
                  <c:v>70</c:v>
                </c:pt>
                <c:pt idx="12">
                  <c:v>70</c:v>
                </c:pt>
                <c:pt idx="13">
                  <c:v>71</c:v>
                </c:pt>
              </c:numCache>
            </c:numRef>
          </c:val>
          <c:smooth val="0"/>
        </c:ser>
        <c:dLbls>
          <c:showLegendKey val="0"/>
          <c:showVal val="0"/>
          <c:showCatName val="0"/>
          <c:showSerName val="0"/>
          <c:showPercent val="0"/>
          <c:showBubbleSize val="0"/>
        </c:dLbls>
        <c:marker val="1"/>
        <c:smooth val="0"/>
        <c:axId val="126592896"/>
        <c:axId val="146358272"/>
      </c:lineChart>
      <c:catAx>
        <c:axId val="126592896"/>
        <c:scaling>
          <c:orientation val="minMax"/>
        </c:scaling>
        <c:delete val="0"/>
        <c:axPos val="b"/>
        <c:numFmt formatCode="General" sourceLinked="1"/>
        <c:majorTickMark val="out"/>
        <c:minorTickMark val="none"/>
        <c:tickLblPos val="nextTo"/>
        <c:crossAx val="146358272"/>
        <c:crosses val="autoZero"/>
        <c:auto val="0"/>
        <c:lblAlgn val="ctr"/>
        <c:lblOffset val="100"/>
        <c:noMultiLvlLbl val="0"/>
      </c:catAx>
      <c:valAx>
        <c:axId val="146358272"/>
        <c:scaling>
          <c:orientation val="minMax"/>
        </c:scaling>
        <c:delete val="0"/>
        <c:axPos val="l"/>
        <c:majorGridlines>
          <c:spPr>
            <a:ln>
              <a:solidFill>
                <a:srgbClr val="000000"/>
              </a:solidFill>
            </a:ln>
          </c:spPr>
        </c:majorGridlines>
        <c:title>
          <c:tx>
            <c:rich>
              <a:bodyPr rot="-5400000" vert="horz"/>
              <a:lstStyle/>
              <a:p>
                <a:pPr>
                  <a:defRPr/>
                </a:pPr>
                <a:r>
                  <a:rPr lang="en-US"/>
                  <a:t>Zahl</a:t>
                </a:r>
                <a:r>
                  <a:rPr lang="en-US" baseline="0"/>
                  <a:t> der Mitglieder</a:t>
                </a:r>
                <a:r>
                  <a:rPr lang="en-US"/>
                  <a:t>/Beobachter</a:t>
                </a:r>
              </a:p>
            </c:rich>
          </c:tx>
          <c:layout>
            <c:manualLayout>
              <c:xMode val="edge"/>
              <c:yMode val="edge"/>
              <c:x val="0"/>
              <c:y val="0.32520767802197048"/>
            </c:manualLayout>
          </c:layout>
          <c:overlay val="0"/>
        </c:title>
        <c:numFmt formatCode="General" sourceLinked="1"/>
        <c:majorTickMark val="out"/>
        <c:minorTickMark val="none"/>
        <c:tickLblPos val="nextTo"/>
        <c:crossAx val="126592896"/>
        <c:crosses val="autoZero"/>
        <c:crossBetween val="between"/>
      </c:valAx>
      <c:spPr>
        <a:ln>
          <a:solidFill>
            <a:srgbClr val="808080"/>
          </a:solidFill>
        </a:ln>
      </c:spPr>
    </c:plotArea>
    <c:legend>
      <c:legendPos val="r"/>
      <c:layout>
        <c:manualLayout>
          <c:xMode val="edge"/>
          <c:yMode val="edge"/>
          <c:x val="8.8593998039401697E-2"/>
          <c:y val="0.89025069947528157"/>
          <c:w val="0.84560478133004457"/>
          <c:h val="7.6023799914713586E-2"/>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2596675415573"/>
          <c:y val="6.6195048502949674E-2"/>
          <c:w val="0.85432930883639546"/>
          <c:h val="0.7513526734105318"/>
        </c:manualLayout>
      </c:layout>
      <c:barChart>
        <c:barDir val="col"/>
        <c:grouping val="clustered"/>
        <c:varyColors val="0"/>
        <c:ser>
          <c:idx val="0"/>
          <c:order val="0"/>
          <c:tx>
            <c:v>Anträge nach Ansässigen</c:v>
          </c:tx>
          <c:spPr>
            <a:solidFill>
              <a:srgbClr val="33CCCC"/>
            </a:solidFill>
            <a:ln w="12700">
              <a:solidFill>
                <a:srgbClr val="000000"/>
              </a:solidFill>
              <a:prstDash val="solid"/>
            </a:ln>
          </c:spPr>
          <c:invertIfNegative val="0"/>
          <c:cat>
            <c:numRef>
              <c:f>fig_19_appl_res!$H$7:$H$34</c:f>
              <c:numCache>
                <c:formatCode>General</c:formatCode>
                <c:ptCount val="2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numCache>
            </c:numRef>
          </c:cat>
          <c:val>
            <c:numRef>
              <c:f>fig_19_appl_res!$J$7:$J$34</c:f>
              <c:numCache>
                <c:formatCode>#,##0</c:formatCode>
                <c:ptCount val="28"/>
                <c:pt idx="0">
                  <c:v>3019</c:v>
                </c:pt>
                <c:pt idx="1">
                  <c:v>2570</c:v>
                </c:pt>
                <c:pt idx="2">
                  <c:v>2535</c:v>
                </c:pt>
                <c:pt idx="3">
                  <c:v>3838.5</c:v>
                </c:pt>
                <c:pt idx="4">
                  <c:v>3913</c:v>
                </c:pt>
                <c:pt idx="5">
                  <c:v>4385</c:v>
                </c:pt>
                <c:pt idx="6">
                  <c:v>4493</c:v>
                </c:pt>
                <c:pt idx="7">
                  <c:v>4420</c:v>
                </c:pt>
                <c:pt idx="8">
                  <c:v>4667</c:v>
                </c:pt>
                <c:pt idx="9">
                  <c:v>4814</c:v>
                </c:pt>
                <c:pt idx="10">
                  <c:v>6936</c:v>
                </c:pt>
                <c:pt idx="11">
                  <c:v>5641</c:v>
                </c:pt>
                <c:pt idx="12">
                  <c:v>5909</c:v>
                </c:pt>
                <c:pt idx="13">
                  <c:v>6400</c:v>
                </c:pt>
                <c:pt idx="14">
                  <c:v>6689</c:v>
                </c:pt>
                <c:pt idx="15">
                  <c:v>6154</c:v>
                </c:pt>
                <c:pt idx="16">
                  <c:v>7387</c:v>
                </c:pt>
                <c:pt idx="17">
                  <c:v>7076</c:v>
                </c:pt>
                <c:pt idx="18">
                  <c:v>7678</c:v>
                </c:pt>
                <c:pt idx="19">
                  <c:v>7875</c:v>
                </c:pt>
                <c:pt idx="20">
                  <c:v>8241</c:v>
                </c:pt>
                <c:pt idx="21">
                  <c:v>7621</c:v>
                </c:pt>
                <c:pt idx="22">
                  <c:v>8453</c:v>
                </c:pt>
                <c:pt idx="23">
                  <c:v>8257</c:v>
                </c:pt>
                <c:pt idx="24">
                  <c:v>8770</c:v>
                </c:pt>
                <c:pt idx="25">
                  <c:v>8937</c:v>
                </c:pt>
                <c:pt idx="26">
                  <c:v>8813</c:v>
                </c:pt>
                <c:pt idx="27">
                  <c:v>8751</c:v>
                </c:pt>
              </c:numCache>
            </c:numRef>
          </c:val>
        </c:ser>
        <c:ser>
          <c:idx val="1"/>
          <c:order val="1"/>
          <c:tx>
            <c:v>Anträge nach Nichtansässigen</c:v>
          </c:tx>
          <c:spPr>
            <a:solidFill>
              <a:srgbClr val="FF9900"/>
            </a:solidFill>
            <a:ln w="12700">
              <a:solidFill>
                <a:srgbClr val="000000"/>
              </a:solidFill>
              <a:prstDash val="solid"/>
            </a:ln>
          </c:spPr>
          <c:invertIfNegative val="0"/>
          <c:cat>
            <c:numRef>
              <c:f>fig_19_appl_res!$H$7:$H$34</c:f>
              <c:numCache>
                <c:formatCode>General</c:formatCode>
                <c:ptCount val="2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numCache>
            </c:numRef>
          </c:cat>
          <c:val>
            <c:numRef>
              <c:f>fig_19_appl_res!$K$7:$K$34</c:f>
              <c:numCache>
                <c:formatCode>#,##0</c:formatCode>
                <c:ptCount val="28"/>
                <c:pt idx="0">
                  <c:v>1813</c:v>
                </c:pt>
                <c:pt idx="1">
                  <c:v>1867</c:v>
                </c:pt>
                <c:pt idx="2">
                  <c:v>1738</c:v>
                </c:pt>
                <c:pt idx="3">
                  <c:v>2621</c:v>
                </c:pt>
                <c:pt idx="4">
                  <c:v>2407</c:v>
                </c:pt>
                <c:pt idx="5">
                  <c:v>3104</c:v>
                </c:pt>
                <c:pt idx="6">
                  <c:v>2974</c:v>
                </c:pt>
                <c:pt idx="7">
                  <c:v>3345</c:v>
                </c:pt>
                <c:pt idx="8">
                  <c:v>3975</c:v>
                </c:pt>
                <c:pt idx="9">
                  <c:v>4080</c:v>
                </c:pt>
                <c:pt idx="10">
                  <c:v>3065</c:v>
                </c:pt>
                <c:pt idx="11">
                  <c:v>3192</c:v>
                </c:pt>
                <c:pt idx="12">
                  <c:v>3010</c:v>
                </c:pt>
                <c:pt idx="13">
                  <c:v>3473</c:v>
                </c:pt>
                <c:pt idx="14">
                  <c:v>3312</c:v>
                </c:pt>
                <c:pt idx="15">
                  <c:v>3229</c:v>
                </c:pt>
                <c:pt idx="16">
                  <c:v>3587</c:v>
                </c:pt>
                <c:pt idx="17">
                  <c:v>4249</c:v>
                </c:pt>
                <c:pt idx="18">
                  <c:v>4306</c:v>
                </c:pt>
                <c:pt idx="19">
                  <c:v>4161</c:v>
                </c:pt>
                <c:pt idx="20">
                  <c:v>4461</c:v>
                </c:pt>
                <c:pt idx="21">
                  <c:v>4069</c:v>
                </c:pt>
                <c:pt idx="22">
                  <c:v>4741</c:v>
                </c:pt>
                <c:pt idx="23">
                  <c:v>4441</c:v>
                </c:pt>
                <c:pt idx="24">
                  <c:v>4252</c:v>
                </c:pt>
                <c:pt idx="25">
                  <c:v>4101</c:v>
                </c:pt>
                <c:pt idx="26">
                  <c:v>4901</c:v>
                </c:pt>
                <c:pt idx="27">
                  <c:v>5116</c:v>
                </c:pt>
              </c:numCache>
            </c:numRef>
          </c:val>
        </c:ser>
        <c:dLbls>
          <c:showLegendKey val="0"/>
          <c:showVal val="0"/>
          <c:showCatName val="0"/>
          <c:showSerName val="0"/>
          <c:showPercent val="0"/>
          <c:showBubbleSize val="0"/>
        </c:dLbls>
        <c:gapWidth val="150"/>
        <c:axId val="115001984"/>
        <c:axId val="115004160"/>
      </c:barChart>
      <c:catAx>
        <c:axId val="115001984"/>
        <c:scaling>
          <c:orientation val="minMax"/>
        </c:scaling>
        <c:delete val="0"/>
        <c:axPos val="b"/>
        <c:title>
          <c:tx>
            <c:rich>
              <a:bodyPr/>
              <a:lstStyle/>
              <a:p>
                <a:pPr>
                  <a:defRPr/>
                </a:pPr>
                <a:r>
                  <a:rPr lang="en-US"/>
                  <a:t>Jahr</a:t>
                </a:r>
              </a:p>
            </c:rich>
          </c:tx>
          <c:layout>
            <c:manualLayout>
              <c:xMode val="edge"/>
              <c:yMode val="edge"/>
              <c:x val="0.52335334446830506"/>
              <c:y val="0.947749450237639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115004160"/>
        <c:crosses val="autoZero"/>
        <c:auto val="1"/>
        <c:lblAlgn val="ctr"/>
        <c:lblOffset val="100"/>
        <c:tickLblSkip val="1"/>
        <c:tickMarkSkip val="1"/>
        <c:noMultiLvlLbl val="0"/>
      </c:catAx>
      <c:valAx>
        <c:axId val="115004160"/>
        <c:scaling>
          <c:orientation val="minMax"/>
        </c:scaling>
        <c:delete val="0"/>
        <c:axPos val="l"/>
        <c:majorGridlines>
          <c:spPr>
            <a:ln w="3175">
              <a:solidFill>
                <a:srgbClr val="000000"/>
              </a:solidFill>
              <a:prstDash val="solid"/>
            </a:ln>
          </c:spPr>
        </c:majorGridlines>
        <c:title>
          <c:tx>
            <c:rich>
              <a:bodyPr/>
              <a:lstStyle/>
              <a:p>
                <a:pPr>
                  <a:defRPr/>
                </a:pPr>
                <a:r>
                  <a:rPr lang="en-US"/>
                  <a:t>Anzahl</a:t>
                </a:r>
              </a:p>
            </c:rich>
          </c:tx>
          <c:layout>
            <c:manualLayout>
              <c:xMode val="edge"/>
              <c:yMode val="edge"/>
              <c:x val="3.665791776027996E-3"/>
              <c:y val="0.42984918421247503"/>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a:pPr>
            <a:endParaRPr lang="en-US"/>
          </a:p>
        </c:txPr>
        <c:crossAx val="115001984"/>
        <c:crosses val="autoZero"/>
        <c:crossBetween val="between"/>
      </c:valAx>
      <c:spPr>
        <a:solidFill>
          <a:srgbClr val="C0C0C0"/>
        </a:solidFill>
        <a:ln w="12700">
          <a:solidFill>
            <a:srgbClr val="808080"/>
          </a:solidFill>
          <a:prstDash val="solid"/>
        </a:ln>
      </c:spPr>
    </c:plotArea>
    <c:legend>
      <c:legendPos val="r"/>
      <c:layout>
        <c:manualLayout>
          <c:xMode val="edge"/>
          <c:yMode val="edge"/>
          <c:x val="0.15001224846894137"/>
          <c:y val="0.16554291215165504"/>
          <c:w val="0.36116920384951878"/>
          <c:h val="0.10882580899958039"/>
        </c:manualLayout>
      </c:layout>
      <c:overlay val="0"/>
      <c:spPr>
        <a:solidFill>
          <a:srgbClr val="FFFFFF"/>
        </a:solidFill>
        <a:ln w="3175">
          <a:solidFill>
            <a:srgbClr val="000000"/>
          </a:solidFill>
          <a:prstDash val="solid"/>
        </a:ln>
      </c:spPr>
      <c:txPr>
        <a:bodyPr/>
        <a:lstStyle/>
        <a:p>
          <a:pPr>
            <a:defRPr sz="500"/>
          </a:pPr>
          <a:endParaRPr lang="en-US"/>
        </a:p>
      </c:txPr>
    </c:legend>
    <c:plotVisOnly val="1"/>
    <c:dispBlanksAs val="gap"/>
    <c:showDLblsOverMax val="0"/>
  </c:chart>
  <c:spPr>
    <a:solidFill>
      <a:srgbClr val="FFFFFF"/>
    </a:solidFill>
    <a:ln w="3175">
      <a:noFill/>
      <a:prstDash val="solid"/>
    </a:ln>
  </c:spPr>
  <c:txPr>
    <a:bodyPr/>
    <a:lstStyle/>
    <a:p>
      <a:pPr>
        <a:defRPr sz="600" b="0" i="0" u="none" strike="noStrike" baseline="0">
          <a:solidFill>
            <a:srgbClr val="000000"/>
          </a:solidFill>
          <a:latin typeface="Arial"/>
          <a:ea typeface="Arial"/>
          <a:cs typeface="Aria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3280347949891"/>
          <c:y val="8.5139878682579703E-2"/>
          <c:w val="0.85574142636143991"/>
          <c:h val="0.73546563824721101"/>
        </c:manualLayout>
      </c:layout>
      <c:barChart>
        <c:barDir val="col"/>
        <c:grouping val="clustered"/>
        <c:varyColors val="0"/>
        <c:ser>
          <c:idx val="0"/>
          <c:order val="0"/>
          <c:tx>
            <c:v>Ansässigen erteilte Titel</c:v>
          </c:tx>
          <c:spPr>
            <a:solidFill>
              <a:srgbClr val="3366FF"/>
            </a:solidFill>
            <a:ln w="12700">
              <a:solidFill>
                <a:srgbClr val="000000"/>
              </a:solidFill>
              <a:prstDash val="solid"/>
            </a:ln>
          </c:spPr>
          <c:invertIfNegative val="0"/>
          <c:cat>
            <c:numRef>
              <c:f>fig_20_titles_res!$H$7:$H$34</c:f>
              <c:numCache>
                <c:formatCode>General</c:formatCode>
                <c:ptCount val="2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numCache>
            </c:numRef>
          </c:cat>
          <c:val>
            <c:numRef>
              <c:f>fig_20_titles_res!$M$7:$M$34</c:f>
              <c:numCache>
                <c:formatCode>#,##0</c:formatCode>
                <c:ptCount val="28"/>
                <c:pt idx="0">
                  <c:v>2393</c:v>
                </c:pt>
                <c:pt idx="1">
                  <c:v>1774</c:v>
                </c:pt>
                <c:pt idx="2">
                  <c:v>1423</c:v>
                </c:pt>
                <c:pt idx="3">
                  <c:v>2202.5</c:v>
                </c:pt>
                <c:pt idx="4">
                  <c:v>2203</c:v>
                </c:pt>
                <c:pt idx="5">
                  <c:v>2649</c:v>
                </c:pt>
                <c:pt idx="6">
                  <c:v>2601</c:v>
                </c:pt>
                <c:pt idx="7">
                  <c:v>2853</c:v>
                </c:pt>
                <c:pt idx="8">
                  <c:v>2923</c:v>
                </c:pt>
                <c:pt idx="9">
                  <c:v>3606</c:v>
                </c:pt>
                <c:pt idx="10">
                  <c:v>3314</c:v>
                </c:pt>
                <c:pt idx="11">
                  <c:v>4551</c:v>
                </c:pt>
                <c:pt idx="12">
                  <c:v>3352</c:v>
                </c:pt>
                <c:pt idx="13">
                  <c:v>5057</c:v>
                </c:pt>
                <c:pt idx="14">
                  <c:v>4439</c:v>
                </c:pt>
                <c:pt idx="15">
                  <c:v>4800</c:v>
                </c:pt>
                <c:pt idx="16">
                  <c:v>5438</c:v>
                </c:pt>
                <c:pt idx="17">
                  <c:v>5933</c:v>
                </c:pt>
                <c:pt idx="18">
                  <c:v>5383</c:v>
                </c:pt>
                <c:pt idx="19">
                  <c:v>5780</c:v>
                </c:pt>
                <c:pt idx="20">
                  <c:v>5399</c:v>
                </c:pt>
                <c:pt idx="21">
                  <c:v>6368</c:v>
                </c:pt>
                <c:pt idx="22">
                  <c:v>6578</c:v>
                </c:pt>
                <c:pt idx="23">
                  <c:v>6848</c:v>
                </c:pt>
                <c:pt idx="24">
                  <c:v>7425</c:v>
                </c:pt>
                <c:pt idx="25">
                  <c:v>7170</c:v>
                </c:pt>
                <c:pt idx="26">
                  <c:v>6597</c:v>
                </c:pt>
                <c:pt idx="27">
                  <c:v>6579</c:v>
                </c:pt>
              </c:numCache>
            </c:numRef>
          </c:val>
        </c:ser>
        <c:ser>
          <c:idx val="1"/>
          <c:order val="1"/>
          <c:tx>
            <c:v>Nicht Ansässigen erteilte Titel</c:v>
          </c:tx>
          <c:spPr>
            <a:solidFill>
              <a:srgbClr val="FF6600"/>
            </a:solidFill>
            <a:ln w="12700">
              <a:solidFill>
                <a:srgbClr val="000000"/>
              </a:solidFill>
              <a:prstDash val="solid"/>
            </a:ln>
          </c:spPr>
          <c:invertIfNegative val="0"/>
          <c:cat>
            <c:numRef>
              <c:f>fig_20_titles_res!$H$7:$H$34</c:f>
              <c:numCache>
                <c:formatCode>General</c:formatCode>
                <c:ptCount val="28"/>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numCache>
            </c:numRef>
          </c:cat>
          <c:val>
            <c:numRef>
              <c:f>fig_20_titles_res!$N$7:$N$34</c:f>
              <c:numCache>
                <c:formatCode>#,##0</c:formatCode>
                <c:ptCount val="28"/>
                <c:pt idx="0">
                  <c:v>1071</c:v>
                </c:pt>
                <c:pt idx="1">
                  <c:v>963</c:v>
                </c:pt>
                <c:pt idx="2">
                  <c:v>1075</c:v>
                </c:pt>
                <c:pt idx="3">
                  <c:v>1655</c:v>
                </c:pt>
                <c:pt idx="4">
                  <c:v>1592</c:v>
                </c:pt>
                <c:pt idx="5">
                  <c:v>1937</c:v>
                </c:pt>
                <c:pt idx="6">
                  <c:v>2045</c:v>
                </c:pt>
                <c:pt idx="7">
                  <c:v>2201</c:v>
                </c:pt>
                <c:pt idx="8">
                  <c:v>2240</c:v>
                </c:pt>
                <c:pt idx="9">
                  <c:v>3269</c:v>
                </c:pt>
                <c:pt idx="10">
                  <c:v>2929</c:v>
                </c:pt>
                <c:pt idx="11">
                  <c:v>2312</c:v>
                </c:pt>
                <c:pt idx="12">
                  <c:v>1955</c:v>
                </c:pt>
                <c:pt idx="13">
                  <c:v>2413</c:v>
                </c:pt>
                <c:pt idx="14">
                  <c:v>2052</c:v>
                </c:pt>
                <c:pt idx="15">
                  <c:v>2485</c:v>
                </c:pt>
                <c:pt idx="16">
                  <c:v>2276</c:v>
                </c:pt>
                <c:pt idx="17">
                  <c:v>2656</c:v>
                </c:pt>
                <c:pt idx="18">
                  <c:v>3086</c:v>
                </c:pt>
                <c:pt idx="19">
                  <c:v>3362</c:v>
                </c:pt>
                <c:pt idx="20">
                  <c:v>3096</c:v>
                </c:pt>
                <c:pt idx="21">
                  <c:v>3061</c:v>
                </c:pt>
                <c:pt idx="22">
                  <c:v>3783</c:v>
                </c:pt>
                <c:pt idx="23">
                  <c:v>3623</c:v>
                </c:pt>
                <c:pt idx="24">
                  <c:v>3305</c:v>
                </c:pt>
                <c:pt idx="25">
                  <c:v>3945</c:v>
                </c:pt>
                <c:pt idx="26">
                  <c:v>3468</c:v>
                </c:pt>
                <c:pt idx="27">
                  <c:v>3243</c:v>
                </c:pt>
              </c:numCache>
            </c:numRef>
          </c:val>
        </c:ser>
        <c:dLbls>
          <c:showLegendKey val="0"/>
          <c:showVal val="0"/>
          <c:showCatName val="0"/>
          <c:showSerName val="0"/>
          <c:showPercent val="0"/>
          <c:showBubbleSize val="0"/>
        </c:dLbls>
        <c:gapWidth val="150"/>
        <c:axId val="115012736"/>
        <c:axId val="115014656"/>
      </c:barChart>
      <c:catAx>
        <c:axId val="115012736"/>
        <c:scaling>
          <c:orientation val="minMax"/>
        </c:scaling>
        <c:delete val="0"/>
        <c:axPos val="b"/>
        <c:title>
          <c:tx>
            <c:rich>
              <a:bodyPr/>
              <a:lstStyle/>
              <a:p>
                <a:pPr>
                  <a:defRPr/>
                </a:pPr>
                <a:r>
                  <a:rPr lang="en-US"/>
                  <a:t>Jahr</a:t>
                </a:r>
              </a:p>
            </c:rich>
          </c:tx>
          <c:layout>
            <c:manualLayout>
              <c:xMode val="edge"/>
              <c:yMode val="edge"/>
              <c:x val="0.50683614255249343"/>
              <c:y val="0.9462215406213757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600"/>
            </a:pPr>
            <a:endParaRPr lang="en-US"/>
          </a:p>
        </c:txPr>
        <c:crossAx val="115014656"/>
        <c:crosses val="autoZero"/>
        <c:auto val="1"/>
        <c:lblAlgn val="ctr"/>
        <c:lblOffset val="100"/>
        <c:tickLblSkip val="1"/>
        <c:tickMarkSkip val="1"/>
        <c:noMultiLvlLbl val="0"/>
      </c:catAx>
      <c:valAx>
        <c:axId val="115014656"/>
        <c:scaling>
          <c:orientation val="minMax"/>
        </c:scaling>
        <c:delete val="0"/>
        <c:axPos val="l"/>
        <c:majorGridlines>
          <c:spPr>
            <a:ln w="3175">
              <a:solidFill>
                <a:srgbClr val="000000"/>
              </a:solidFill>
              <a:prstDash val="solid"/>
            </a:ln>
          </c:spPr>
        </c:majorGridlines>
        <c:title>
          <c:tx>
            <c:rich>
              <a:bodyPr/>
              <a:lstStyle/>
              <a:p>
                <a:pPr>
                  <a:defRPr/>
                </a:pPr>
                <a:r>
                  <a:rPr lang="en-US"/>
                  <a:t>Anzahl</a:t>
                </a:r>
              </a:p>
            </c:rich>
          </c:tx>
          <c:layout>
            <c:manualLayout>
              <c:xMode val="edge"/>
              <c:yMode val="edge"/>
              <c:x val="3.3564513045140879E-3"/>
              <c:y val="0.4053885743435374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600"/>
            </a:pPr>
            <a:endParaRPr lang="en-US"/>
          </a:p>
        </c:txPr>
        <c:crossAx val="115012736"/>
        <c:crosses val="autoZero"/>
        <c:crossBetween val="between"/>
      </c:valAx>
      <c:spPr>
        <a:solidFill>
          <a:srgbClr val="C0C0C0"/>
        </a:solidFill>
        <a:ln w="12700">
          <a:solidFill>
            <a:srgbClr val="808080"/>
          </a:solidFill>
          <a:prstDash val="solid"/>
        </a:ln>
      </c:spPr>
    </c:plotArea>
    <c:legend>
      <c:legendPos val="r"/>
      <c:layout>
        <c:manualLayout>
          <c:xMode val="edge"/>
          <c:yMode val="edge"/>
          <c:x val="0.17393613877735481"/>
          <c:y val="0.15840964074487482"/>
          <c:w val="0.33747579565799307"/>
          <c:h val="0.11609277205733899"/>
        </c:manualLayout>
      </c:layout>
      <c:overlay val="0"/>
      <c:spPr>
        <a:solidFill>
          <a:srgbClr val="FFFFFF"/>
        </a:solidFill>
        <a:ln w="3175">
          <a:solidFill>
            <a:srgbClr val="000000"/>
          </a:solidFill>
          <a:prstDash val="solid"/>
        </a:ln>
      </c:spPr>
      <c:txPr>
        <a:bodyPr/>
        <a:lstStyle/>
        <a:p>
          <a:pPr>
            <a:defRPr sz="500"/>
          </a:pPr>
          <a:endParaRPr lang="en-US"/>
        </a:p>
      </c:txPr>
    </c:legend>
    <c:plotVisOnly val="1"/>
    <c:dispBlanksAs val="gap"/>
    <c:showDLblsOverMax val="0"/>
  </c:chart>
  <c:spPr>
    <a:solidFill>
      <a:srgbClr val="FFFFFF"/>
    </a:solidFill>
    <a:ln w="3175">
      <a:noFill/>
      <a:prstDash val="solid"/>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700383605895431E-2"/>
          <c:y val="1.8859882982100187E-2"/>
          <c:w val="0.89364663277849765"/>
          <c:h val="0.77494246802320921"/>
        </c:manualLayout>
      </c:layout>
      <c:barChart>
        <c:barDir val="col"/>
        <c:grouping val="stacked"/>
        <c:varyColors val="0"/>
        <c:ser>
          <c:idx val="0"/>
          <c:order val="0"/>
          <c:tx>
            <c:strRef>
              <c:f>'fig_22_gen&amp;spec'!$A$3</c:f>
              <c:strCache>
                <c:ptCount val="1"/>
                <c:pt idx="0">
                  <c:v>Anzahl der Verbandsmitglieder, die Schutz für alle Pflanzengattungen- und arten bieten</c:v>
                </c:pt>
              </c:strCache>
            </c:strRef>
          </c:tx>
          <c:spPr>
            <a:solidFill>
              <a:schemeClr val="accent4">
                <a:lumMod val="75000"/>
              </a:schemeClr>
            </a:solidFill>
            <a:ln>
              <a:solidFill>
                <a:schemeClr val="tx1"/>
              </a:solidFill>
            </a:ln>
          </c:spPr>
          <c:invertIfNegative val="0"/>
          <c:cat>
            <c:numRef>
              <c:f>'fig_22_gen&amp;spec'!$B$1:$I$1</c:f>
              <c:numCache>
                <c:formatCode>General</c:formatCode>
                <c:ptCount val="8"/>
                <c:pt idx="0">
                  <c:v>2006</c:v>
                </c:pt>
                <c:pt idx="1">
                  <c:v>2007</c:v>
                </c:pt>
                <c:pt idx="2">
                  <c:v>2008</c:v>
                </c:pt>
                <c:pt idx="3">
                  <c:v>2009</c:v>
                </c:pt>
                <c:pt idx="4">
                  <c:v>2010</c:v>
                </c:pt>
                <c:pt idx="5">
                  <c:v>2011</c:v>
                </c:pt>
                <c:pt idx="6">
                  <c:v>2012</c:v>
                </c:pt>
                <c:pt idx="7">
                  <c:v>2013</c:v>
                </c:pt>
              </c:numCache>
            </c:numRef>
          </c:cat>
          <c:val>
            <c:numRef>
              <c:f>'fig_22_gen&amp;spec'!$B$3:$I$3</c:f>
              <c:numCache>
                <c:formatCode>General</c:formatCode>
                <c:ptCount val="8"/>
                <c:pt idx="0">
                  <c:v>38</c:v>
                </c:pt>
                <c:pt idx="1">
                  <c:v>41</c:v>
                </c:pt>
                <c:pt idx="2">
                  <c:v>43</c:v>
                </c:pt>
                <c:pt idx="3">
                  <c:v>45</c:v>
                </c:pt>
                <c:pt idx="4">
                  <c:v>45</c:v>
                </c:pt>
                <c:pt idx="5">
                  <c:v>48</c:v>
                </c:pt>
                <c:pt idx="6">
                  <c:v>53</c:v>
                </c:pt>
                <c:pt idx="7">
                  <c:v>56</c:v>
                </c:pt>
              </c:numCache>
            </c:numRef>
          </c:val>
        </c:ser>
        <c:ser>
          <c:idx val="1"/>
          <c:order val="1"/>
          <c:tx>
            <c:strRef>
              <c:f>'fig_22_gen&amp;spec'!$A$2</c:f>
              <c:strCache>
                <c:ptCount val="1"/>
                <c:pt idx="0">
                  <c:v>Anzahl der Verbandsmitglieder, die Schutz für eine begrenzte Anzahl an Pflanzengattungen- und arten bieten</c:v>
                </c:pt>
              </c:strCache>
            </c:strRef>
          </c:tx>
          <c:spPr>
            <a:solidFill>
              <a:schemeClr val="accent4">
                <a:lumMod val="40000"/>
                <a:lumOff val="60000"/>
              </a:schemeClr>
            </a:solidFill>
            <a:ln>
              <a:solidFill>
                <a:schemeClr val="tx1"/>
              </a:solidFill>
            </a:ln>
          </c:spPr>
          <c:invertIfNegative val="0"/>
          <c:cat>
            <c:numRef>
              <c:f>'fig_22_gen&amp;spec'!$B$1:$I$1</c:f>
              <c:numCache>
                <c:formatCode>General</c:formatCode>
                <c:ptCount val="8"/>
                <c:pt idx="0">
                  <c:v>2006</c:v>
                </c:pt>
                <c:pt idx="1">
                  <c:v>2007</c:v>
                </c:pt>
                <c:pt idx="2">
                  <c:v>2008</c:v>
                </c:pt>
                <c:pt idx="3">
                  <c:v>2009</c:v>
                </c:pt>
                <c:pt idx="4">
                  <c:v>2010</c:v>
                </c:pt>
                <c:pt idx="5">
                  <c:v>2011</c:v>
                </c:pt>
                <c:pt idx="6">
                  <c:v>2012</c:v>
                </c:pt>
                <c:pt idx="7">
                  <c:v>2013</c:v>
                </c:pt>
              </c:numCache>
            </c:numRef>
          </c:cat>
          <c:val>
            <c:numRef>
              <c:f>'fig_22_gen&amp;spec'!$B$2:$I$2</c:f>
              <c:numCache>
                <c:formatCode>General</c:formatCode>
                <c:ptCount val="8"/>
                <c:pt idx="0">
                  <c:v>25</c:v>
                </c:pt>
                <c:pt idx="1">
                  <c:v>24</c:v>
                </c:pt>
                <c:pt idx="2">
                  <c:v>22</c:v>
                </c:pt>
                <c:pt idx="3">
                  <c:v>23</c:v>
                </c:pt>
                <c:pt idx="4">
                  <c:v>23</c:v>
                </c:pt>
                <c:pt idx="5">
                  <c:v>22</c:v>
                </c:pt>
                <c:pt idx="6">
                  <c:v>17</c:v>
                </c:pt>
                <c:pt idx="7">
                  <c:v>15</c:v>
                </c:pt>
              </c:numCache>
            </c:numRef>
          </c:val>
        </c:ser>
        <c:dLbls>
          <c:showLegendKey val="0"/>
          <c:showVal val="0"/>
          <c:showCatName val="0"/>
          <c:showSerName val="0"/>
          <c:showPercent val="0"/>
          <c:showBubbleSize val="0"/>
        </c:dLbls>
        <c:gapWidth val="150"/>
        <c:overlap val="100"/>
        <c:axId val="115680768"/>
        <c:axId val="115682304"/>
      </c:barChart>
      <c:lineChart>
        <c:grouping val="standard"/>
        <c:varyColors val="0"/>
        <c:ser>
          <c:idx val="2"/>
          <c:order val="2"/>
          <c:tx>
            <c:strRef>
              <c:f>'fig_22_gen&amp;spec'!$A$4</c:f>
              <c:strCache>
                <c:ptCount val="1"/>
                <c:pt idx="0">
                  <c:v>Anzahl der Verbandsmitglieder, die den Schutz auf weitere Pflanzengattungen und -arten ausweiten</c:v>
                </c:pt>
              </c:strCache>
            </c:strRef>
          </c:tx>
          <c:spPr>
            <a:ln>
              <a:solidFill>
                <a:schemeClr val="accent6">
                  <a:lumMod val="75000"/>
                </a:schemeClr>
              </a:solidFill>
            </a:ln>
          </c:spPr>
          <c:marker>
            <c:symbol val="none"/>
          </c:marker>
          <c:cat>
            <c:numRef>
              <c:f>'fig_22_gen&amp;spec'!$B$1:$I$1</c:f>
              <c:numCache>
                <c:formatCode>General</c:formatCode>
                <c:ptCount val="8"/>
                <c:pt idx="0">
                  <c:v>2006</c:v>
                </c:pt>
                <c:pt idx="1">
                  <c:v>2007</c:v>
                </c:pt>
                <c:pt idx="2">
                  <c:v>2008</c:v>
                </c:pt>
                <c:pt idx="3">
                  <c:v>2009</c:v>
                </c:pt>
                <c:pt idx="4">
                  <c:v>2010</c:v>
                </c:pt>
                <c:pt idx="5">
                  <c:v>2011</c:v>
                </c:pt>
                <c:pt idx="6">
                  <c:v>2012</c:v>
                </c:pt>
                <c:pt idx="7">
                  <c:v>2013</c:v>
                </c:pt>
              </c:numCache>
            </c:numRef>
          </c:cat>
          <c:val>
            <c:numRef>
              <c:f>'fig_22_gen&amp;spec'!$B$4:$I$4</c:f>
              <c:numCache>
                <c:formatCode>General</c:formatCode>
                <c:ptCount val="8"/>
                <c:pt idx="0">
                  <c:v>2</c:v>
                </c:pt>
                <c:pt idx="1">
                  <c:v>4</c:v>
                </c:pt>
                <c:pt idx="2">
                  <c:v>2</c:v>
                </c:pt>
                <c:pt idx="3">
                  <c:v>0</c:v>
                </c:pt>
                <c:pt idx="4">
                  <c:v>5</c:v>
                </c:pt>
                <c:pt idx="5">
                  <c:v>3</c:v>
                </c:pt>
                <c:pt idx="6">
                  <c:v>9</c:v>
                </c:pt>
                <c:pt idx="7">
                  <c:v>4</c:v>
                </c:pt>
              </c:numCache>
            </c:numRef>
          </c:val>
          <c:smooth val="0"/>
        </c:ser>
        <c:dLbls>
          <c:showLegendKey val="0"/>
          <c:showVal val="0"/>
          <c:showCatName val="0"/>
          <c:showSerName val="0"/>
          <c:showPercent val="0"/>
          <c:showBubbleSize val="0"/>
        </c:dLbls>
        <c:marker val="1"/>
        <c:smooth val="0"/>
        <c:axId val="115680768"/>
        <c:axId val="115682304"/>
      </c:lineChart>
      <c:catAx>
        <c:axId val="115680768"/>
        <c:scaling>
          <c:orientation val="minMax"/>
        </c:scaling>
        <c:delete val="0"/>
        <c:axPos val="b"/>
        <c:numFmt formatCode="General" sourceLinked="1"/>
        <c:majorTickMark val="out"/>
        <c:minorTickMark val="none"/>
        <c:tickLblPos val="nextTo"/>
        <c:crossAx val="115682304"/>
        <c:crosses val="autoZero"/>
        <c:auto val="1"/>
        <c:lblAlgn val="ctr"/>
        <c:lblOffset val="100"/>
        <c:noMultiLvlLbl val="0"/>
      </c:catAx>
      <c:valAx>
        <c:axId val="115682304"/>
        <c:scaling>
          <c:orientation val="minMax"/>
        </c:scaling>
        <c:delete val="0"/>
        <c:axPos val="l"/>
        <c:majorGridlines/>
        <c:title>
          <c:tx>
            <c:rich>
              <a:bodyPr rot="-5400000" vert="horz"/>
              <a:lstStyle/>
              <a:p>
                <a:pPr>
                  <a:defRPr/>
                </a:pPr>
                <a:r>
                  <a:rPr lang="en-US"/>
                  <a:t>Anzahl der Verbandsmitglieder</a:t>
                </a:r>
              </a:p>
            </c:rich>
          </c:tx>
          <c:layout>
            <c:manualLayout>
              <c:xMode val="edge"/>
              <c:yMode val="edge"/>
              <c:x val="1.677561074096507E-2"/>
              <c:y val="0.28745869493299941"/>
            </c:manualLayout>
          </c:layout>
          <c:overlay val="0"/>
        </c:title>
        <c:numFmt formatCode="General" sourceLinked="1"/>
        <c:majorTickMark val="out"/>
        <c:minorTickMark val="none"/>
        <c:tickLblPos val="nextTo"/>
        <c:crossAx val="115680768"/>
        <c:crosses val="autoZero"/>
        <c:crossBetween val="between"/>
      </c:valAx>
      <c:spPr>
        <a:solidFill>
          <a:schemeClr val="bg1">
            <a:lumMod val="95000"/>
          </a:schemeClr>
        </a:solidFill>
      </c:spPr>
    </c:plotArea>
    <c:legend>
      <c:legendPos val="r"/>
      <c:layout>
        <c:manualLayout>
          <c:xMode val="edge"/>
          <c:yMode val="edge"/>
          <c:x val="6.4355128077344781E-2"/>
          <c:y val="0.86214042282003178"/>
          <c:w val="0.86813432339944852"/>
          <c:h val="0.1365577402004266"/>
        </c:manualLayout>
      </c:layout>
      <c:overlay val="0"/>
    </c:legend>
    <c:plotVisOnly val="1"/>
    <c:dispBlanksAs val="gap"/>
    <c:showDLblsOverMax val="0"/>
  </c:chart>
  <c:spPr>
    <a:ln>
      <a:noFill/>
    </a:ln>
  </c:spPr>
  <c:txPr>
    <a:bodyPr/>
    <a:lstStyle/>
    <a:p>
      <a:pPr>
        <a:defRPr sz="700">
          <a:latin typeface="Arial" pitchFamily="34" charset="0"/>
          <a:cs typeface="Arial"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37239706235455E-2"/>
          <c:y val="6.0606060606060608E-2"/>
          <c:w val="0.89379567301721352"/>
          <c:h val="0.80833293565577025"/>
        </c:manualLayout>
      </c:layout>
      <c:barChart>
        <c:barDir val="col"/>
        <c:grouping val="clustered"/>
        <c:varyColors val="0"/>
        <c:ser>
          <c:idx val="0"/>
          <c:order val="0"/>
          <c:tx>
            <c:v>Mitglieder</c:v>
          </c:tx>
          <c:spPr>
            <a:solidFill>
              <a:schemeClr val="bg1">
                <a:lumMod val="50000"/>
              </a:schemeClr>
            </a:solidFill>
            <a:ln>
              <a:solidFill>
                <a:sysClr val="windowText" lastClr="000000"/>
              </a:solidFill>
            </a:ln>
          </c:spPr>
          <c:invertIfNegative val="0"/>
          <c:cat>
            <c:numRef>
              <c:f>'N:\Users\Sabine Witzig\AppData\Local\Microsoft\Windows\Temporary Internet Files\Content.Outlook\91UEBUDL\[_back_up_c_48_12_figures_06_08_14_VL.xlsx]Fig. 23_24'!$L$3:$AC$3</c:f>
              <c:numCache>
                <c:formatCode>General</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'Fig. 23_24'!$P$53:$AG$53</c:f>
              <c:numCache>
                <c:formatCode>General</c:formatCode>
                <c:ptCount val="18"/>
                <c:pt idx="0">
                  <c:v>0</c:v>
                </c:pt>
                <c:pt idx="1">
                  <c:v>0</c:v>
                </c:pt>
                <c:pt idx="2">
                  <c:v>0</c:v>
                </c:pt>
                <c:pt idx="3">
                  <c:v>1</c:v>
                </c:pt>
                <c:pt idx="4">
                  <c:v>0</c:v>
                </c:pt>
                <c:pt idx="5">
                  <c:v>0</c:v>
                </c:pt>
                <c:pt idx="6">
                  <c:v>0</c:v>
                </c:pt>
                <c:pt idx="7">
                  <c:v>1</c:v>
                </c:pt>
                <c:pt idx="8">
                  <c:v>1</c:v>
                </c:pt>
                <c:pt idx="9">
                  <c:v>0</c:v>
                </c:pt>
                <c:pt idx="10">
                  <c:v>0</c:v>
                </c:pt>
                <c:pt idx="11">
                  <c:v>0</c:v>
                </c:pt>
                <c:pt idx="12">
                  <c:v>1</c:v>
                </c:pt>
                <c:pt idx="13">
                  <c:v>0</c:v>
                </c:pt>
                <c:pt idx="14">
                  <c:v>0</c:v>
                </c:pt>
                <c:pt idx="15">
                  <c:v>0</c:v>
                </c:pt>
                <c:pt idx="16">
                  <c:v>1</c:v>
                </c:pt>
                <c:pt idx="17">
                  <c:v>2</c:v>
                </c:pt>
              </c:numCache>
            </c:numRef>
          </c:val>
        </c:ser>
        <c:ser>
          <c:idx val="1"/>
          <c:order val="1"/>
          <c:tx>
            <c:v>Nichtmitglieder</c:v>
          </c:tx>
          <c:spPr>
            <a:solidFill>
              <a:schemeClr val="bg1">
                <a:lumMod val="75000"/>
              </a:schemeClr>
            </a:solidFill>
            <a:ln w="3175">
              <a:solidFill>
                <a:sysClr val="windowText" lastClr="000000"/>
              </a:solidFill>
            </a:ln>
          </c:spPr>
          <c:invertIfNegative val="0"/>
          <c:cat>
            <c:numRef>
              <c:f>'N:\Users\Sabine Witzig\AppData\Local\Microsoft\Windows\Temporary Internet Files\Content.Outlook\91UEBUDL\[_back_up_c_48_12_figures_06_08_14_VL.xlsx]Fig. 23_24'!$L$3:$AC$3</c:f>
              <c:numCache>
                <c:formatCode>General</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'Fig. 23_24'!$P$54:$AG$54</c:f>
              <c:numCache>
                <c:formatCode>General</c:formatCode>
                <c:ptCount val="18"/>
                <c:pt idx="0">
                  <c:v>6</c:v>
                </c:pt>
                <c:pt idx="1">
                  <c:v>0</c:v>
                </c:pt>
                <c:pt idx="2">
                  <c:v>3</c:v>
                </c:pt>
                <c:pt idx="3">
                  <c:v>2</c:v>
                </c:pt>
                <c:pt idx="4">
                  <c:v>5</c:v>
                </c:pt>
                <c:pt idx="5">
                  <c:v>2</c:v>
                </c:pt>
                <c:pt idx="6">
                  <c:v>3</c:v>
                </c:pt>
                <c:pt idx="7">
                  <c:v>4</c:v>
                </c:pt>
                <c:pt idx="8">
                  <c:v>2</c:v>
                </c:pt>
                <c:pt idx="9">
                  <c:v>3</c:v>
                </c:pt>
                <c:pt idx="10">
                  <c:v>6</c:v>
                </c:pt>
                <c:pt idx="11">
                  <c:v>6</c:v>
                </c:pt>
                <c:pt idx="12">
                  <c:v>4</c:v>
                </c:pt>
                <c:pt idx="13">
                  <c:v>9</c:v>
                </c:pt>
                <c:pt idx="14">
                  <c:v>8</c:v>
                </c:pt>
                <c:pt idx="15">
                  <c:v>5</c:v>
                </c:pt>
                <c:pt idx="16">
                  <c:v>6</c:v>
                </c:pt>
                <c:pt idx="17">
                  <c:v>5</c:v>
                </c:pt>
              </c:numCache>
            </c:numRef>
          </c:val>
        </c:ser>
        <c:dLbls>
          <c:showLegendKey val="0"/>
          <c:showVal val="0"/>
          <c:showCatName val="0"/>
          <c:showSerName val="0"/>
          <c:showPercent val="0"/>
          <c:showBubbleSize val="0"/>
        </c:dLbls>
        <c:gapWidth val="150"/>
        <c:axId val="115701248"/>
        <c:axId val="115702784"/>
      </c:barChart>
      <c:catAx>
        <c:axId val="115701248"/>
        <c:scaling>
          <c:orientation val="minMax"/>
        </c:scaling>
        <c:delete val="0"/>
        <c:axPos val="b"/>
        <c:numFmt formatCode="General" sourceLinked="1"/>
        <c:majorTickMark val="out"/>
        <c:minorTickMark val="none"/>
        <c:tickLblPos val="nextTo"/>
        <c:txPr>
          <a:bodyPr rot="-5400000" vert="horz"/>
          <a:lstStyle/>
          <a:p>
            <a:pPr>
              <a:defRPr sz="700"/>
            </a:pPr>
            <a:endParaRPr lang="en-US"/>
          </a:p>
        </c:txPr>
        <c:crossAx val="115702784"/>
        <c:crosses val="autoZero"/>
        <c:auto val="1"/>
        <c:lblAlgn val="ctr"/>
        <c:lblOffset val="100"/>
        <c:noMultiLvlLbl val="0"/>
      </c:catAx>
      <c:valAx>
        <c:axId val="115702784"/>
        <c:scaling>
          <c:orientation val="minMax"/>
        </c:scaling>
        <c:delete val="0"/>
        <c:axPos val="l"/>
        <c:majorGridlines/>
        <c:numFmt formatCode="General" sourceLinked="1"/>
        <c:majorTickMark val="out"/>
        <c:minorTickMark val="none"/>
        <c:tickLblPos val="nextTo"/>
        <c:txPr>
          <a:bodyPr/>
          <a:lstStyle/>
          <a:p>
            <a:pPr>
              <a:defRPr sz="700"/>
            </a:pPr>
            <a:endParaRPr lang="en-US"/>
          </a:p>
        </c:txPr>
        <c:crossAx val="115701248"/>
        <c:crosses val="autoZero"/>
        <c:crossBetween val="between"/>
      </c:valAx>
    </c:plotArea>
    <c:legend>
      <c:legendPos val="l"/>
      <c:layout>
        <c:manualLayout>
          <c:xMode val="edge"/>
          <c:yMode val="edge"/>
          <c:x val="0.1621680133750884"/>
          <c:y val="0.10067534487481997"/>
          <c:w val="0.26555157293976533"/>
          <c:h val="0.14320563464920422"/>
        </c:manualLayout>
      </c:layout>
      <c:overlay val="1"/>
      <c:spPr>
        <a:solidFill>
          <a:sysClr val="window" lastClr="FFFFFF"/>
        </a:solidFill>
        <a:ln>
          <a:solidFill>
            <a:sysClr val="windowText" lastClr="000000"/>
          </a:solidFill>
        </a:ln>
      </c:spPr>
      <c:txPr>
        <a:bodyPr/>
        <a:lstStyle/>
        <a:p>
          <a:pPr>
            <a:defRPr sz="700"/>
          </a:pPr>
          <a:endParaRPr lang="en-US"/>
        </a:p>
      </c:txPr>
    </c:legend>
    <c:plotVisOnly val="1"/>
    <c:dispBlanksAs val="gap"/>
    <c:showDLblsOverMax val="0"/>
  </c:chart>
  <c:spPr>
    <a:ln>
      <a:noFill/>
    </a:ln>
  </c:spPr>
  <c:txPr>
    <a:bodyPr/>
    <a:lstStyle/>
    <a:p>
      <a:pPr>
        <a:defRPr sz="6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94792989585978E-2"/>
          <c:y val="5.0890585241730277E-2"/>
          <c:w val="0.88819337905342477"/>
          <c:h val="0.81954118330628523"/>
        </c:manualLayout>
      </c:layout>
      <c:barChart>
        <c:barDir val="col"/>
        <c:grouping val="clustered"/>
        <c:varyColors val="0"/>
        <c:ser>
          <c:idx val="0"/>
          <c:order val="0"/>
          <c:invertIfNegative val="0"/>
          <c:cat>
            <c:numRef>
              <c:f>'Fig. 23_24'!$L$3:$AC$3</c:f>
              <c:numCache>
                <c:formatCode>General</c:formatCode>
                <c:ptCount val="18"/>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numCache>
            </c:numRef>
          </c:cat>
          <c:val>
            <c:numRef>
              <c:f>'Fig. 23_24'!$L$5:$AC$5</c:f>
              <c:numCache>
                <c:formatCode>General</c:formatCode>
                <c:ptCount val="18"/>
                <c:pt idx="0">
                  <c:v>2</c:v>
                </c:pt>
                <c:pt idx="1">
                  <c:v>4</c:v>
                </c:pt>
                <c:pt idx="2">
                  <c:v>4</c:v>
                </c:pt>
                <c:pt idx="3">
                  <c:v>8</c:v>
                </c:pt>
                <c:pt idx="4">
                  <c:v>6</c:v>
                </c:pt>
                <c:pt idx="5">
                  <c:v>2</c:v>
                </c:pt>
                <c:pt idx="6">
                  <c:v>0</c:v>
                </c:pt>
                <c:pt idx="7">
                  <c:v>5</c:v>
                </c:pt>
                <c:pt idx="8">
                  <c:v>4</c:v>
                </c:pt>
                <c:pt idx="9">
                  <c:v>0</c:v>
                </c:pt>
                <c:pt idx="10">
                  <c:v>3</c:v>
                </c:pt>
                <c:pt idx="11">
                  <c:v>1</c:v>
                </c:pt>
                <c:pt idx="12">
                  <c:v>4</c:v>
                </c:pt>
                <c:pt idx="13">
                  <c:v>3</c:v>
                </c:pt>
                <c:pt idx="14">
                  <c:v>1</c:v>
                </c:pt>
                <c:pt idx="15">
                  <c:v>1</c:v>
                </c:pt>
                <c:pt idx="16">
                  <c:v>2</c:v>
                </c:pt>
                <c:pt idx="17">
                  <c:v>2</c:v>
                </c:pt>
              </c:numCache>
            </c:numRef>
          </c:val>
        </c:ser>
        <c:dLbls>
          <c:showLegendKey val="0"/>
          <c:showVal val="0"/>
          <c:showCatName val="0"/>
          <c:showSerName val="0"/>
          <c:showPercent val="0"/>
          <c:showBubbleSize val="0"/>
        </c:dLbls>
        <c:gapWidth val="150"/>
        <c:axId val="115713920"/>
        <c:axId val="115715456"/>
      </c:barChart>
      <c:catAx>
        <c:axId val="115713920"/>
        <c:scaling>
          <c:orientation val="minMax"/>
        </c:scaling>
        <c:delete val="0"/>
        <c:axPos val="b"/>
        <c:numFmt formatCode="General" sourceLinked="1"/>
        <c:majorTickMark val="out"/>
        <c:minorTickMark val="none"/>
        <c:tickLblPos val="nextTo"/>
        <c:txPr>
          <a:bodyPr rot="-5400000" vert="horz"/>
          <a:lstStyle/>
          <a:p>
            <a:pPr>
              <a:defRPr sz="700"/>
            </a:pPr>
            <a:endParaRPr lang="en-US"/>
          </a:p>
        </c:txPr>
        <c:crossAx val="115715456"/>
        <c:crosses val="autoZero"/>
        <c:auto val="1"/>
        <c:lblAlgn val="ctr"/>
        <c:lblOffset val="100"/>
        <c:noMultiLvlLbl val="0"/>
      </c:catAx>
      <c:valAx>
        <c:axId val="115715456"/>
        <c:scaling>
          <c:orientation val="minMax"/>
        </c:scaling>
        <c:delete val="0"/>
        <c:axPos val="l"/>
        <c:majorGridlines/>
        <c:numFmt formatCode="General" sourceLinked="1"/>
        <c:majorTickMark val="out"/>
        <c:minorTickMark val="none"/>
        <c:tickLblPos val="nextTo"/>
        <c:txPr>
          <a:bodyPr/>
          <a:lstStyle/>
          <a:p>
            <a:pPr>
              <a:defRPr sz="700"/>
            </a:pPr>
            <a:endParaRPr lang="en-US"/>
          </a:p>
        </c:txPr>
        <c:crossAx val="115713920"/>
        <c:crosses val="autoZero"/>
        <c:crossBetween val="between"/>
      </c:valAx>
    </c:plotArea>
    <c:plotVisOnly val="1"/>
    <c:dispBlanksAs val="gap"/>
    <c:showDLblsOverMax val="0"/>
  </c:chart>
  <c:spPr>
    <a:ln>
      <a:noFill/>
    </a:ln>
  </c:spPr>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64895013123355E-2"/>
          <c:y val="6.0253457123829672E-2"/>
          <c:w val="0.88707090876601069"/>
          <c:h val="0.78088220315744128"/>
        </c:manualLayout>
      </c:layout>
      <c:barChart>
        <c:barDir val="col"/>
        <c:grouping val="clustered"/>
        <c:varyColors val="0"/>
        <c:ser>
          <c:idx val="0"/>
          <c:order val="0"/>
          <c:tx>
            <c:v>No. of New Members</c:v>
          </c:tx>
          <c:spPr>
            <a:solidFill>
              <a:srgbClr val="008000"/>
            </a:solidFill>
            <a:ln w="12700">
              <a:solidFill>
                <a:srgbClr val="000000"/>
              </a:solidFill>
              <a:prstDash val="solid"/>
            </a:ln>
          </c:spPr>
          <c:invertIfNegative val="0"/>
          <c:cat>
            <c:numRef>
              <c:f>'Fig. 30'!$H$2:$BA$2</c:f>
              <c:numCache>
                <c:formatCode>0</c:formatCode>
                <c:ptCount val="46"/>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numCache>
            </c:numRef>
          </c:cat>
          <c:val>
            <c:numRef>
              <c:f>'Fig. 30'!$H$1:$BA$1</c:f>
              <c:numCache>
                <c:formatCode>General</c:formatCode>
                <c:ptCount val="46"/>
                <c:pt idx="0" formatCode="0">
                  <c:v>4</c:v>
                </c:pt>
                <c:pt idx="3" formatCode="0">
                  <c:v>2</c:v>
                </c:pt>
                <c:pt idx="8" formatCode="0">
                  <c:v>1</c:v>
                </c:pt>
                <c:pt idx="9" formatCode="0">
                  <c:v>3</c:v>
                </c:pt>
                <c:pt idx="11" formatCode="0">
                  <c:v>1</c:v>
                </c:pt>
                <c:pt idx="12" formatCode="0">
                  <c:v>1</c:v>
                </c:pt>
                <c:pt idx="13" formatCode="0">
                  <c:v>3</c:v>
                </c:pt>
                <c:pt idx="14" formatCode="0">
                  <c:v>1</c:v>
                </c:pt>
                <c:pt idx="15" formatCode="0">
                  <c:v>1</c:v>
                </c:pt>
                <c:pt idx="21" formatCode="0">
                  <c:v>2</c:v>
                </c:pt>
                <c:pt idx="23" formatCode="0">
                  <c:v>1</c:v>
                </c:pt>
                <c:pt idx="25" formatCode="0">
                  <c:v>4</c:v>
                </c:pt>
                <c:pt idx="26" formatCode="0">
                  <c:v>3</c:v>
                </c:pt>
                <c:pt idx="27" formatCode="0">
                  <c:v>2</c:v>
                </c:pt>
                <c:pt idx="28" formatCode="0">
                  <c:v>2</c:v>
                </c:pt>
                <c:pt idx="29" formatCode="0">
                  <c:v>3</c:v>
                </c:pt>
                <c:pt idx="30" formatCode="0">
                  <c:v>4</c:v>
                </c:pt>
                <c:pt idx="31" formatCode="0">
                  <c:v>6</c:v>
                </c:pt>
                <c:pt idx="32" formatCode="0">
                  <c:v>2</c:v>
                </c:pt>
                <c:pt idx="33" formatCode="0">
                  <c:v>3</c:v>
                </c:pt>
                <c:pt idx="34" formatCode="0">
                  <c:v>2</c:v>
                </c:pt>
                <c:pt idx="35" formatCode="0">
                  <c:v>3</c:v>
                </c:pt>
                <c:pt idx="36" formatCode="0">
                  <c:v>4</c:v>
                </c:pt>
                <c:pt idx="37" formatCode="0">
                  <c:v>2</c:v>
                </c:pt>
                <c:pt idx="38" formatCode="0">
                  <c:v>3</c:v>
                </c:pt>
                <c:pt idx="39" formatCode="0">
                  <c:v>2</c:v>
                </c:pt>
                <c:pt idx="40" formatCode="0">
                  <c:v>1</c:v>
                </c:pt>
                <c:pt idx="41" formatCode="0">
                  <c:v>2</c:v>
                </c:pt>
                <c:pt idx="43" formatCode="0">
                  <c:v>2</c:v>
                </c:pt>
                <c:pt idx="45" formatCode="0">
                  <c:v>1</c:v>
                </c:pt>
              </c:numCache>
            </c:numRef>
          </c:val>
        </c:ser>
        <c:dLbls>
          <c:showLegendKey val="0"/>
          <c:showVal val="0"/>
          <c:showCatName val="0"/>
          <c:showSerName val="0"/>
          <c:showPercent val="0"/>
          <c:showBubbleSize val="0"/>
        </c:dLbls>
        <c:gapWidth val="150"/>
        <c:axId val="115735936"/>
        <c:axId val="115742208"/>
      </c:barChart>
      <c:catAx>
        <c:axId val="115735936"/>
        <c:scaling>
          <c:orientation val="minMax"/>
        </c:scaling>
        <c:delete val="0"/>
        <c:axPos val="b"/>
        <c:title>
          <c:tx>
            <c:rich>
              <a:bodyPr/>
              <a:lstStyle/>
              <a:p>
                <a:pPr>
                  <a:defRPr sz="700"/>
                </a:pPr>
                <a:r>
                  <a:rPr lang="en-US" sz="700"/>
                  <a:t>Jahr</a:t>
                </a:r>
              </a:p>
            </c:rich>
          </c:tx>
          <c:layout>
            <c:manualLayout>
              <c:xMode val="edge"/>
              <c:yMode val="edge"/>
              <c:x val="0.50454035433070865"/>
              <c:y val="0.9472781760488894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5400000" vert="horz"/>
          <a:lstStyle/>
          <a:p>
            <a:pPr>
              <a:defRPr sz="700"/>
            </a:pPr>
            <a:endParaRPr lang="en-US"/>
          </a:p>
        </c:txPr>
        <c:crossAx val="115742208"/>
        <c:crosses val="autoZero"/>
        <c:auto val="1"/>
        <c:lblAlgn val="ctr"/>
        <c:lblOffset val="100"/>
        <c:tickLblSkip val="3"/>
        <c:tickMarkSkip val="1"/>
        <c:noMultiLvlLbl val="0"/>
      </c:catAx>
      <c:valAx>
        <c:axId val="115742208"/>
        <c:scaling>
          <c:orientation val="minMax"/>
        </c:scaling>
        <c:delete val="0"/>
        <c:axPos val="l"/>
        <c:majorGridlines>
          <c:spPr>
            <a:ln w="3175">
              <a:solidFill>
                <a:srgbClr val="000000"/>
              </a:solidFill>
              <a:prstDash val="solid"/>
            </a:ln>
          </c:spPr>
        </c:majorGridlines>
        <c:title>
          <c:tx>
            <c:rich>
              <a:bodyPr/>
              <a:lstStyle/>
              <a:p>
                <a:pPr>
                  <a:defRPr sz="700"/>
                </a:pPr>
                <a:r>
                  <a:rPr lang="en-US" sz="700"/>
                  <a:t>Anzahl</a:t>
                </a:r>
              </a:p>
            </c:rich>
          </c:tx>
          <c:layout>
            <c:manualLayout>
              <c:xMode val="edge"/>
              <c:yMode val="edge"/>
              <c:x val="8.6443569553805756E-3"/>
              <c:y val="0.4163426959689740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700"/>
            </a:pPr>
            <a:endParaRPr lang="en-US"/>
          </a:p>
        </c:txPr>
        <c:crossAx val="11573593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noFill/>
      <a:prstDash val="solid"/>
    </a:ln>
  </c:spPr>
  <c:txPr>
    <a:bodyPr/>
    <a:lstStyle/>
    <a:p>
      <a:pPr>
        <a:defRPr sz="600" b="0" i="0" u="none" strike="noStrike" baseline="0">
          <a:solidFill>
            <a:srgbClr val="000000"/>
          </a:solidFill>
          <a:latin typeface="Arial"/>
          <a:ea typeface="Arial"/>
          <a:cs typeface="Arial"/>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8642787948037E-2"/>
          <c:y val="4.9586776859504134E-2"/>
          <c:w val="0.89974767433785185"/>
          <c:h val="0.81233017041557776"/>
        </c:manualLayout>
      </c:layout>
      <c:barChart>
        <c:barDir val="col"/>
        <c:grouping val="clustered"/>
        <c:varyColors val="0"/>
        <c:ser>
          <c:idx val="0"/>
          <c:order val="0"/>
          <c:tx>
            <c:v>Mitglieder</c:v>
          </c:tx>
          <c:spPr>
            <a:solidFill>
              <a:schemeClr val="bg1">
                <a:lumMod val="50000"/>
              </a:schemeClr>
            </a:solidFill>
            <a:ln>
              <a:solidFill>
                <a:sysClr val="windowText" lastClr="000000"/>
              </a:solidFill>
            </a:ln>
          </c:spPr>
          <c:invertIfNegative val="0"/>
          <c:cat>
            <c:numRef>
              <c:f>'C:\Users\Sabine Witzig\UPOV 2014-2\[c_48_12_figures_FINAL_EN.xlsx]Fig. 31'!$D$2:$S$2</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'C:\Users\Sabine Witzig\UPOV 2014-2\[c_48_12_figures_FINAL_EN.xlsx]Fig. 31'!$D$3:$S$3</c:f>
              <c:numCache>
                <c:formatCode>General</c:formatCode>
                <c:ptCount val="16"/>
                <c:pt idx="0">
                  <c:v>6</c:v>
                </c:pt>
                <c:pt idx="1">
                  <c:v>2</c:v>
                </c:pt>
                <c:pt idx="2">
                  <c:v>1</c:v>
                </c:pt>
                <c:pt idx="3">
                  <c:v>1</c:v>
                </c:pt>
                <c:pt idx="4">
                  <c:v>1</c:v>
                </c:pt>
                <c:pt idx="5">
                  <c:v>2</c:v>
                </c:pt>
                <c:pt idx="6">
                  <c:v>1</c:v>
                </c:pt>
                <c:pt idx="7">
                  <c:v>0</c:v>
                </c:pt>
                <c:pt idx="8">
                  <c:v>0</c:v>
                </c:pt>
                <c:pt idx="9">
                  <c:v>2</c:v>
                </c:pt>
                <c:pt idx="10">
                  <c:v>1</c:v>
                </c:pt>
                <c:pt idx="11">
                  <c:v>1</c:v>
                </c:pt>
                <c:pt idx="12">
                  <c:v>0</c:v>
                </c:pt>
                <c:pt idx="13">
                  <c:v>0</c:v>
                </c:pt>
                <c:pt idx="14">
                  <c:v>3</c:v>
                </c:pt>
                <c:pt idx="15">
                  <c:v>0</c:v>
                </c:pt>
              </c:numCache>
            </c:numRef>
          </c:val>
        </c:ser>
        <c:ser>
          <c:idx val="1"/>
          <c:order val="1"/>
          <c:tx>
            <c:v>Neue Mitglieder</c:v>
          </c:tx>
          <c:spPr>
            <a:solidFill>
              <a:schemeClr val="bg1">
                <a:lumMod val="75000"/>
              </a:schemeClr>
            </a:solidFill>
            <a:ln>
              <a:solidFill>
                <a:sysClr val="windowText" lastClr="000000"/>
              </a:solidFill>
            </a:ln>
          </c:spPr>
          <c:invertIfNegative val="0"/>
          <c:cat>
            <c:numRef>
              <c:f>'C:\Users\Sabine Witzig\UPOV 2014-2\[c_48_12_figures_FINAL_EN.xlsx]Fig. 31'!$D$2:$S$2</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'C:\Users\Sabine Witzig\UPOV 2014-2\[c_48_12_figures_FINAL_EN.xlsx]Fig. 31'!$D$4:$S$4</c:f>
              <c:numCache>
                <c:formatCode>General</c:formatCode>
                <c:ptCount val="16"/>
                <c:pt idx="0">
                  <c:v>3</c:v>
                </c:pt>
                <c:pt idx="1">
                  <c:v>1</c:v>
                </c:pt>
                <c:pt idx="2">
                  <c:v>2</c:v>
                </c:pt>
                <c:pt idx="3">
                  <c:v>2</c:v>
                </c:pt>
                <c:pt idx="4">
                  <c:v>2</c:v>
                </c:pt>
                <c:pt idx="5">
                  <c:v>3</c:v>
                </c:pt>
                <c:pt idx="6">
                  <c:v>4</c:v>
                </c:pt>
                <c:pt idx="7">
                  <c:v>2</c:v>
                </c:pt>
                <c:pt idx="8">
                  <c:v>3</c:v>
                </c:pt>
                <c:pt idx="9">
                  <c:v>2</c:v>
                </c:pt>
                <c:pt idx="10">
                  <c:v>1</c:v>
                </c:pt>
                <c:pt idx="11">
                  <c:v>2</c:v>
                </c:pt>
                <c:pt idx="12">
                  <c:v>0</c:v>
                </c:pt>
                <c:pt idx="13">
                  <c:v>2</c:v>
                </c:pt>
                <c:pt idx="14">
                  <c:v>0</c:v>
                </c:pt>
                <c:pt idx="15">
                  <c:v>1</c:v>
                </c:pt>
              </c:numCache>
            </c:numRef>
          </c:val>
        </c:ser>
        <c:dLbls>
          <c:showLegendKey val="0"/>
          <c:showVal val="0"/>
          <c:showCatName val="0"/>
          <c:showSerName val="0"/>
          <c:showPercent val="0"/>
          <c:showBubbleSize val="0"/>
        </c:dLbls>
        <c:gapWidth val="150"/>
        <c:axId val="115754880"/>
        <c:axId val="115756416"/>
      </c:barChart>
      <c:catAx>
        <c:axId val="115754880"/>
        <c:scaling>
          <c:orientation val="minMax"/>
        </c:scaling>
        <c:delete val="0"/>
        <c:axPos val="b"/>
        <c:numFmt formatCode="General" sourceLinked="1"/>
        <c:majorTickMark val="out"/>
        <c:minorTickMark val="none"/>
        <c:tickLblPos val="nextTo"/>
        <c:txPr>
          <a:bodyPr rot="-5400000" vert="horz"/>
          <a:lstStyle/>
          <a:p>
            <a:pPr>
              <a:defRPr>
                <a:latin typeface="Arial" panose="020B0604020202020204" pitchFamily="34" charset="0"/>
                <a:cs typeface="Arial" panose="020B0604020202020204" pitchFamily="34" charset="0"/>
              </a:defRPr>
            </a:pPr>
            <a:endParaRPr lang="en-US"/>
          </a:p>
        </c:txPr>
        <c:crossAx val="115756416"/>
        <c:crosses val="autoZero"/>
        <c:auto val="1"/>
        <c:lblAlgn val="ctr"/>
        <c:lblOffset val="100"/>
        <c:noMultiLvlLbl val="0"/>
      </c:catAx>
      <c:valAx>
        <c:axId val="115756416"/>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5754880"/>
        <c:crosses val="autoZero"/>
        <c:crossBetween val="between"/>
      </c:valAx>
    </c:plotArea>
    <c:legend>
      <c:legendPos val="r"/>
      <c:layout>
        <c:manualLayout>
          <c:xMode val="edge"/>
          <c:yMode val="edge"/>
          <c:x val="0.4575145930102586"/>
          <c:y val="0.13941869449339778"/>
          <c:w val="0.25226458680046698"/>
          <c:h val="0.15933276935424395"/>
        </c:manualLayout>
      </c:layout>
      <c:overlay val="0"/>
      <c:spPr>
        <a:solidFill>
          <a:srgbClr val="FFFFFF"/>
        </a:solidFill>
        <a:ln>
          <a:solidFill>
            <a:srgbClr val="000000"/>
          </a:solidFill>
        </a:ln>
      </c:spPr>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114849280203613E-2"/>
          <c:y val="4.6946510996470271E-2"/>
          <c:w val="0.88374262308120577"/>
          <c:h val="0.73939976468458679"/>
        </c:manualLayout>
      </c:layout>
      <c:barChart>
        <c:barDir val="col"/>
        <c:grouping val="stacked"/>
        <c:varyColors val="0"/>
        <c:ser>
          <c:idx val="0"/>
          <c:order val="0"/>
          <c:tx>
            <c:strRef>
              <c:f>fig_33_DL_cat!$B$2</c:f>
              <c:strCache>
                <c:ptCount val="1"/>
                <c:pt idx="0">
                  <c:v>Kategorie 1</c:v>
                </c:pt>
              </c:strCache>
            </c:strRef>
          </c:tx>
          <c:spPr>
            <a:solidFill>
              <a:srgbClr val="9999FF"/>
            </a:solidFill>
            <a:ln w="12700">
              <a:solidFill>
                <a:srgbClr val="000000"/>
              </a:solidFill>
              <a:prstDash val="solid"/>
            </a:ln>
          </c:spPr>
          <c:invertIfNegative val="0"/>
          <c:cat>
            <c:strRef>
              <c:f>fig_33_DL_cat!$A$3:$A$16</c:f>
              <c:strCache>
                <c:ptCount val="14"/>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2013 S1</c:v>
                </c:pt>
                <c:pt idx="13">
                  <c:v>2013 S2</c:v>
                </c:pt>
              </c:strCache>
            </c:strRef>
          </c:cat>
          <c:val>
            <c:numRef>
              <c:f>fig_33_DL_cat!$B$3:$B$16</c:f>
              <c:numCache>
                <c:formatCode>General</c:formatCode>
                <c:ptCount val="14"/>
                <c:pt idx="0">
                  <c:v>45</c:v>
                </c:pt>
                <c:pt idx="1">
                  <c:v>90</c:v>
                </c:pt>
                <c:pt idx="2">
                  <c:v>182</c:v>
                </c:pt>
                <c:pt idx="3">
                  <c:v>140</c:v>
                </c:pt>
                <c:pt idx="4">
                  <c:v>146</c:v>
                </c:pt>
                <c:pt idx="5">
                  <c:v>194</c:v>
                </c:pt>
                <c:pt idx="6">
                  <c:v>181</c:v>
                </c:pt>
                <c:pt idx="7">
                  <c:v>182</c:v>
                </c:pt>
                <c:pt idx="8">
                  <c:v>144</c:v>
                </c:pt>
                <c:pt idx="9">
                  <c:v>120</c:v>
                </c:pt>
                <c:pt idx="10">
                  <c:v>154</c:v>
                </c:pt>
                <c:pt idx="11">
                  <c:v>177</c:v>
                </c:pt>
                <c:pt idx="12">
                  <c:v>123</c:v>
                </c:pt>
                <c:pt idx="13">
                  <c:v>125</c:v>
                </c:pt>
              </c:numCache>
            </c:numRef>
          </c:val>
        </c:ser>
        <c:ser>
          <c:idx val="1"/>
          <c:order val="1"/>
          <c:tx>
            <c:strRef>
              <c:f>fig_33_DL_cat!$C$2</c:f>
              <c:strCache>
                <c:ptCount val="1"/>
                <c:pt idx="0">
                  <c:v>Kategorie 2</c:v>
                </c:pt>
              </c:strCache>
            </c:strRef>
          </c:tx>
          <c:spPr>
            <a:solidFill>
              <a:srgbClr val="993366"/>
            </a:solidFill>
            <a:ln w="12700">
              <a:solidFill>
                <a:srgbClr val="000000"/>
              </a:solidFill>
              <a:prstDash val="solid"/>
            </a:ln>
          </c:spPr>
          <c:invertIfNegative val="0"/>
          <c:cat>
            <c:strRef>
              <c:f>fig_33_DL_cat!$A$3:$A$16</c:f>
              <c:strCache>
                <c:ptCount val="14"/>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2013 S1</c:v>
                </c:pt>
                <c:pt idx="13">
                  <c:v>2013 S2</c:v>
                </c:pt>
              </c:strCache>
            </c:strRef>
          </c:cat>
          <c:val>
            <c:numRef>
              <c:f>fig_33_DL_cat!$C$3:$C$16</c:f>
              <c:numCache>
                <c:formatCode>General</c:formatCode>
                <c:ptCount val="14"/>
                <c:pt idx="0">
                  <c:v>5</c:v>
                </c:pt>
                <c:pt idx="1">
                  <c:v>9</c:v>
                </c:pt>
                <c:pt idx="2">
                  <c:v>13</c:v>
                </c:pt>
                <c:pt idx="3">
                  <c:v>10</c:v>
                </c:pt>
                <c:pt idx="4">
                  <c:v>7</c:v>
                </c:pt>
                <c:pt idx="5">
                  <c:v>19</c:v>
                </c:pt>
                <c:pt idx="6">
                  <c:v>15</c:v>
                </c:pt>
                <c:pt idx="7">
                  <c:v>7</c:v>
                </c:pt>
                <c:pt idx="8">
                  <c:v>13</c:v>
                </c:pt>
                <c:pt idx="9">
                  <c:v>11</c:v>
                </c:pt>
                <c:pt idx="10">
                  <c:v>5</c:v>
                </c:pt>
                <c:pt idx="11">
                  <c:v>6</c:v>
                </c:pt>
                <c:pt idx="12">
                  <c:v>6</c:v>
                </c:pt>
                <c:pt idx="13">
                  <c:v>4</c:v>
                </c:pt>
              </c:numCache>
            </c:numRef>
          </c:val>
        </c:ser>
        <c:ser>
          <c:idx val="2"/>
          <c:order val="2"/>
          <c:tx>
            <c:strRef>
              <c:f>fig_33_DL_cat!$D$2</c:f>
              <c:strCache>
                <c:ptCount val="1"/>
                <c:pt idx="0">
                  <c:v>Kategorie 3</c:v>
                </c:pt>
              </c:strCache>
            </c:strRef>
          </c:tx>
          <c:spPr>
            <a:solidFill>
              <a:srgbClr val="FFFFCC"/>
            </a:solidFill>
            <a:ln w="12700">
              <a:solidFill>
                <a:srgbClr val="000000"/>
              </a:solidFill>
              <a:prstDash val="solid"/>
            </a:ln>
          </c:spPr>
          <c:invertIfNegative val="0"/>
          <c:cat>
            <c:strRef>
              <c:f>fig_33_DL_cat!$A$3:$A$16</c:f>
              <c:strCache>
                <c:ptCount val="14"/>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2013 S1</c:v>
                </c:pt>
                <c:pt idx="13">
                  <c:v>2013 S2</c:v>
                </c:pt>
              </c:strCache>
            </c:strRef>
          </c:cat>
          <c:val>
            <c:numRef>
              <c:f>fig_33_DL_cat!$D$3:$D$16</c:f>
              <c:numCache>
                <c:formatCode>General</c:formatCode>
                <c:ptCount val="14"/>
                <c:pt idx="0">
                  <c:v>7</c:v>
                </c:pt>
                <c:pt idx="1">
                  <c:v>25</c:v>
                </c:pt>
                <c:pt idx="2">
                  <c:v>9</c:v>
                </c:pt>
                <c:pt idx="3">
                  <c:v>25</c:v>
                </c:pt>
                <c:pt idx="4">
                  <c:v>10</c:v>
                </c:pt>
                <c:pt idx="5">
                  <c:v>19</c:v>
                </c:pt>
                <c:pt idx="6">
                  <c:v>9</c:v>
                </c:pt>
                <c:pt idx="7">
                  <c:v>8</c:v>
                </c:pt>
                <c:pt idx="8">
                  <c:v>6</c:v>
                </c:pt>
                <c:pt idx="9">
                  <c:v>13</c:v>
                </c:pt>
                <c:pt idx="10">
                  <c:v>13</c:v>
                </c:pt>
                <c:pt idx="11">
                  <c:v>9</c:v>
                </c:pt>
                <c:pt idx="12">
                  <c:v>7</c:v>
                </c:pt>
                <c:pt idx="13">
                  <c:v>10</c:v>
                </c:pt>
              </c:numCache>
            </c:numRef>
          </c:val>
        </c:ser>
        <c:ser>
          <c:idx val="3"/>
          <c:order val="3"/>
          <c:tx>
            <c:strRef>
              <c:f>fig_33_DL_cat!$E$2</c:f>
              <c:strCache>
                <c:ptCount val="1"/>
                <c:pt idx="0">
                  <c:v>Kategorie 4</c:v>
                </c:pt>
              </c:strCache>
            </c:strRef>
          </c:tx>
          <c:spPr>
            <a:solidFill>
              <a:srgbClr val="CCFFFF"/>
            </a:solidFill>
            <a:ln w="12700">
              <a:solidFill>
                <a:srgbClr val="000000"/>
              </a:solidFill>
              <a:prstDash val="solid"/>
            </a:ln>
          </c:spPr>
          <c:invertIfNegative val="0"/>
          <c:cat>
            <c:strRef>
              <c:f>fig_33_DL_cat!$A$3:$A$16</c:f>
              <c:strCache>
                <c:ptCount val="14"/>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2013 S1</c:v>
                </c:pt>
                <c:pt idx="13">
                  <c:v>2013 S2</c:v>
                </c:pt>
              </c:strCache>
            </c:strRef>
          </c:cat>
          <c:val>
            <c:numRef>
              <c:f>fig_33_DL_cat!$E$3:$E$16</c:f>
              <c:numCache>
                <c:formatCode>General</c:formatCode>
                <c:ptCount val="14"/>
                <c:pt idx="10">
                  <c:v>4</c:v>
                </c:pt>
                <c:pt idx="11">
                  <c:v>0</c:v>
                </c:pt>
                <c:pt idx="12">
                  <c:v>2</c:v>
                </c:pt>
                <c:pt idx="13">
                  <c:v>1</c:v>
                </c:pt>
              </c:numCache>
            </c:numRef>
          </c:val>
        </c:ser>
        <c:dLbls>
          <c:showLegendKey val="0"/>
          <c:showVal val="0"/>
          <c:showCatName val="0"/>
          <c:showSerName val="0"/>
          <c:showPercent val="0"/>
          <c:showBubbleSize val="0"/>
        </c:dLbls>
        <c:gapWidth val="150"/>
        <c:overlap val="100"/>
        <c:axId val="115783168"/>
        <c:axId val="115785088"/>
      </c:barChart>
      <c:catAx>
        <c:axId val="115783168"/>
        <c:scaling>
          <c:orientation val="minMax"/>
        </c:scaling>
        <c:delete val="0"/>
        <c:axPos val="b"/>
        <c:title>
          <c:tx>
            <c:rich>
              <a:bodyPr/>
              <a:lstStyle/>
              <a:p>
                <a:pPr>
                  <a:defRPr/>
                </a:pPr>
                <a:r>
                  <a:rPr lang="en-US"/>
                  <a:t>Jahr / Sitzung</a:t>
                </a:r>
              </a:p>
            </c:rich>
          </c:tx>
          <c:layout>
            <c:manualLayout>
              <c:xMode val="edge"/>
              <c:yMode val="edge"/>
              <c:x val="0.47175821204167662"/>
              <c:y val="0.9268255950764775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115785088"/>
        <c:crosses val="autoZero"/>
        <c:auto val="1"/>
        <c:lblAlgn val="ctr"/>
        <c:lblOffset val="100"/>
        <c:tickLblSkip val="1"/>
        <c:tickMarkSkip val="1"/>
        <c:noMultiLvlLbl val="0"/>
      </c:catAx>
      <c:valAx>
        <c:axId val="115785088"/>
        <c:scaling>
          <c:orientation val="minMax"/>
        </c:scaling>
        <c:delete val="0"/>
        <c:axPos val="l"/>
        <c:majorGridlines>
          <c:spPr>
            <a:ln w="3175">
              <a:solidFill>
                <a:srgbClr val="000000"/>
              </a:solidFill>
              <a:prstDash val="solid"/>
            </a:ln>
          </c:spPr>
        </c:majorGridlines>
        <c:title>
          <c:tx>
            <c:rich>
              <a:bodyPr/>
              <a:lstStyle/>
              <a:p>
                <a:pPr>
                  <a:defRPr/>
                </a:pPr>
                <a:r>
                  <a:rPr lang="en-US"/>
                  <a:t>Anzahl der Studierenden</a:t>
                </a:r>
              </a:p>
            </c:rich>
          </c:tx>
          <c:layout>
            <c:manualLayout>
              <c:xMode val="edge"/>
              <c:yMode val="edge"/>
              <c:x val="1.3726875049709696E-2"/>
              <c:y val="0.330120734908136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15783168"/>
        <c:crosses val="autoZero"/>
        <c:crossBetween val="between"/>
      </c:valAx>
      <c:spPr>
        <a:solidFill>
          <a:srgbClr val="C0C0C0"/>
        </a:solidFill>
        <a:ln w="12700">
          <a:solidFill>
            <a:srgbClr val="808080"/>
          </a:solidFill>
          <a:prstDash val="solid"/>
        </a:ln>
      </c:spPr>
    </c:plotArea>
    <c:legend>
      <c:legendPos val="r"/>
      <c:layout>
        <c:manualLayout>
          <c:xMode val="edge"/>
          <c:yMode val="edge"/>
          <c:x val="0.61161313926668248"/>
          <c:y val="1.7504932573083536E-2"/>
          <c:w val="0.18825393700787402"/>
          <c:h val="0.19640546655805954"/>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26921284372167E-2"/>
          <c:y val="4.4319033074602332E-2"/>
          <c:w val="0.867327004685162"/>
          <c:h val="0.75606915683582254"/>
        </c:manualLayout>
      </c:layout>
      <c:barChart>
        <c:barDir val="col"/>
        <c:grouping val="stacked"/>
        <c:varyColors val="0"/>
        <c:ser>
          <c:idx val="0"/>
          <c:order val="0"/>
          <c:tx>
            <c:strRef>
              <c:f>fig_34_DL_lang!$B$3</c:f>
              <c:strCache>
                <c:ptCount val="1"/>
                <c:pt idx="0">
                  <c:v>Englisch</c:v>
                </c:pt>
              </c:strCache>
            </c:strRef>
          </c:tx>
          <c:spPr>
            <a:solidFill>
              <a:srgbClr val="FF0000"/>
            </a:solidFill>
            <a:ln w="12700">
              <a:solidFill>
                <a:srgbClr val="000000"/>
              </a:solidFill>
              <a:prstDash val="solid"/>
            </a:ln>
          </c:spPr>
          <c:invertIfNegative val="0"/>
          <c:cat>
            <c:strRef>
              <c:f>fig_34_DL_lang!$A$4:$A$18</c:f>
              <c:strCache>
                <c:ptCount val="15"/>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pt idx="13">
                  <c:v>2013 S-1</c:v>
                </c:pt>
                <c:pt idx="14">
                  <c:v>2013 S-2</c:v>
                </c:pt>
              </c:strCache>
            </c:strRef>
          </c:cat>
          <c:val>
            <c:numRef>
              <c:f>fig_34_DL_lang!$B$4:$B$18</c:f>
              <c:numCache>
                <c:formatCode>General</c:formatCode>
                <c:ptCount val="15"/>
                <c:pt idx="0">
                  <c:v>45</c:v>
                </c:pt>
                <c:pt idx="1">
                  <c:v>63</c:v>
                </c:pt>
                <c:pt idx="2">
                  <c:v>78</c:v>
                </c:pt>
                <c:pt idx="3">
                  <c:v>112</c:v>
                </c:pt>
                <c:pt idx="4">
                  <c:v>101</c:v>
                </c:pt>
                <c:pt idx="5">
                  <c:v>114</c:v>
                </c:pt>
                <c:pt idx="6">
                  <c:v>85</c:v>
                </c:pt>
                <c:pt idx="7">
                  <c:v>64</c:v>
                </c:pt>
                <c:pt idx="8">
                  <c:v>60</c:v>
                </c:pt>
                <c:pt idx="9">
                  <c:v>53</c:v>
                </c:pt>
                <c:pt idx="10">
                  <c:v>68</c:v>
                </c:pt>
                <c:pt idx="11">
                  <c:v>63</c:v>
                </c:pt>
                <c:pt idx="12">
                  <c:v>95</c:v>
                </c:pt>
                <c:pt idx="13">
                  <c:v>48</c:v>
                </c:pt>
                <c:pt idx="14">
                  <c:v>61</c:v>
                </c:pt>
              </c:numCache>
            </c:numRef>
          </c:val>
        </c:ser>
        <c:ser>
          <c:idx val="1"/>
          <c:order val="1"/>
          <c:tx>
            <c:strRef>
              <c:f>fig_34_DL_lang!$C$3</c:f>
              <c:strCache>
                <c:ptCount val="1"/>
                <c:pt idx="0">
                  <c:v>Französisch</c:v>
                </c:pt>
              </c:strCache>
            </c:strRef>
          </c:tx>
          <c:spPr>
            <a:solidFill>
              <a:srgbClr val="3366FF"/>
            </a:solidFill>
            <a:ln w="12700">
              <a:solidFill>
                <a:srgbClr val="000000"/>
              </a:solidFill>
              <a:prstDash val="solid"/>
            </a:ln>
          </c:spPr>
          <c:invertIfNegative val="0"/>
          <c:cat>
            <c:strRef>
              <c:f>fig_34_DL_lang!$A$4:$A$18</c:f>
              <c:strCache>
                <c:ptCount val="15"/>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pt idx="13">
                  <c:v>2013 S-1</c:v>
                </c:pt>
                <c:pt idx="14">
                  <c:v>2013 S-2</c:v>
                </c:pt>
              </c:strCache>
            </c:strRef>
          </c:cat>
          <c:val>
            <c:numRef>
              <c:f>fig_34_DL_lang!$C$4:$C$18</c:f>
              <c:numCache>
                <c:formatCode>General</c:formatCode>
                <c:ptCount val="15"/>
                <c:pt idx="0">
                  <c:v>1</c:v>
                </c:pt>
                <c:pt idx="1">
                  <c:v>12</c:v>
                </c:pt>
                <c:pt idx="2">
                  <c:v>14</c:v>
                </c:pt>
                <c:pt idx="3">
                  <c:v>10</c:v>
                </c:pt>
                <c:pt idx="4">
                  <c:v>6</c:v>
                </c:pt>
                <c:pt idx="5">
                  <c:v>3</c:v>
                </c:pt>
                <c:pt idx="6">
                  <c:v>5</c:v>
                </c:pt>
                <c:pt idx="7">
                  <c:v>4</c:v>
                </c:pt>
                <c:pt idx="8">
                  <c:v>3</c:v>
                </c:pt>
                <c:pt idx="9">
                  <c:v>11</c:v>
                </c:pt>
                <c:pt idx="10">
                  <c:v>7</c:v>
                </c:pt>
                <c:pt idx="11">
                  <c:v>4</c:v>
                </c:pt>
                <c:pt idx="12">
                  <c:v>11</c:v>
                </c:pt>
                <c:pt idx="13">
                  <c:v>11</c:v>
                </c:pt>
                <c:pt idx="14">
                  <c:v>6</c:v>
                </c:pt>
              </c:numCache>
            </c:numRef>
          </c:val>
        </c:ser>
        <c:ser>
          <c:idx val="2"/>
          <c:order val="2"/>
          <c:tx>
            <c:strRef>
              <c:f>fig_34_DL_lang!$D$3</c:f>
              <c:strCache>
                <c:ptCount val="1"/>
                <c:pt idx="0">
                  <c:v>Deutsch</c:v>
                </c:pt>
              </c:strCache>
            </c:strRef>
          </c:tx>
          <c:spPr>
            <a:solidFill>
              <a:srgbClr val="FFFFFF"/>
            </a:solidFill>
            <a:ln w="12700">
              <a:solidFill>
                <a:srgbClr val="000000"/>
              </a:solidFill>
              <a:prstDash val="solid"/>
            </a:ln>
          </c:spPr>
          <c:invertIfNegative val="0"/>
          <c:cat>
            <c:strRef>
              <c:f>fig_34_DL_lang!$A$4:$A$18</c:f>
              <c:strCache>
                <c:ptCount val="15"/>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pt idx="13">
                  <c:v>2013 S-1</c:v>
                </c:pt>
                <c:pt idx="14">
                  <c:v>2013 S-2</c:v>
                </c:pt>
              </c:strCache>
            </c:strRef>
          </c:cat>
          <c:val>
            <c:numRef>
              <c:f>fig_34_DL_lang!$D$4:$D$18</c:f>
              <c:numCache>
                <c:formatCode>General</c:formatCode>
                <c:ptCount val="15"/>
                <c:pt idx="1">
                  <c:v>5</c:v>
                </c:pt>
                <c:pt idx="2">
                  <c:v>3</c:v>
                </c:pt>
                <c:pt idx="3">
                  <c:v>4</c:v>
                </c:pt>
                <c:pt idx="4">
                  <c:v>2</c:v>
                </c:pt>
                <c:pt idx="5">
                  <c:v>6</c:v>
                </c:pt>
                <c:pt idx="6">
                  <c:v>4</c:v>
                </c:pt>
                <c:pt idx="7">
                  <c:v>3</c:v>
                </c:pt>
                <c:pt idx="8">
                  <c:v>0</c:v>
                </c:pt>
                <c:pt idx="9">
                  <c:v>4</c:v>
                </c:pt>
                <c:pt idx="10">
                  <c:v>1</c:v>
                </c:pt>
                <c:pt idx="11">
                  <c:v>0</c:v>
                </c:pt>
                <c:pt idx="12">
                  <c:v>0</c:v>
                </c:pt>
                <c:pt idx="13">
                  <c:v>2</c:v>
                </c:pt>
                <c:pt idx="14">
                  <c:v>3</c:v>
                </c:pt>
              </c:numCache>
            </c:numRef>
          </c:val>
        </c:ser>
        <c:ser>
          <c:idx val="3"/>
          <c:order val="3"/>
          <c:tx>
            <c:strRef>
              <c:f>fig_34_DL_lang!$E$3</c:f>
              <c:strCache>
                <c:ptCount val="1"/>
                <c:pt idx="0">
                  <c:v>Spanisch</c:v>
                </c:pt>
              </c:strCache>
            </c:strRef>
          </c:tx>
          <c:spPr>
            <a:solidFill>
              <a:srgbClr val="00FF00"/>
            </a:solidFill>
            <a:ln w="12700">
              <a:solidFill>
                <a:srgbClr val="000000"/>
              </a:solidFill>
              <a:prstDash val="solid"/>
            </a:ln>
          </c:spPr>
          <c:invertIfNegative val="0"/>
          <c:cat>
            <c:strRef>
              <c:f>fig_34_DL_lang!$A$4:$A$18</c:f>
              <c:strCache>
                <c:ptCount val="15"/>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pt idx="13">
                  <c:v>2013 S-1</c:v>
                </c:pt>
                <c:pt idx="14">
                  <c:v>2013 S-2</c:v>
                </c:pt>
              </c:strCache>
            </c:strRef>
          </c:cat>
          <c:val>
            <c:numRef>
              <c:f>fig_34_DL_lang!$E$4:$E$18</c:f>
              <c:numCache>
                <c:formatCode>General</c:formatCode>
                <c:ptCount val="15"/>
                <c:pt idx="0">
                  <c:v>11</c:v>
                </c:pt>
                <c:pt idx="1">
                  <c:v>44</c:v>
                </c:pt>
                <c:pt idx="2">
                  <c:v>109</c:v>
                </c:pt>
                <c:pt idx="3">
                  <c:v>49</c:v>
                </c:pt>
                <c:pt idx="4">
                  <c:v>54</c:v>
                </c:pt>
                <c:pt idx="5">
                  <c:v>109</c:v>
                </c:pt>
                <c:pt idx="6">
                  <c:v>111</c:v>
                </c:pt>
                <c:pt idx="7">
                  <c:v>126</c:v>
                </c:pt>
                <c:pt idx="8">
                  <c:v>100</c:v>
                </c:pt>
                <c:pt idx="9">
                  <c:v>76</c:v>
                </c:pt>
                <c:pt idx="10">
                  <c:v>96</c:v>
                </c:pt>
                <c:pt idx="11">
                  <c:v>125</c:v>
                </c:pt>
                <c:pt idx="12">
                  <c:v>72</c:v>
                </c:pt>
                <c:pt idx="13">
                  <c:v>77</c:v>
                </c:pt>
                <c:pt idx="14">
                  <c:v>70</c:v>
                </c:pt>
              </c:numCache>
            </c:numRef>
          </c:val>
        </c:ser>
        <c:dLbls>
          <c:showLegendKey val="0"/>
          <c:showVal val="0"/>
          <c:showCatName val="0"/>
          <c:showSerName val="0"/>
          <c:showPercent val="0"/>
          <c:showBubbleSize val="0"/>
        </c:dLbls>
        <c:gapWidth val="150"/>
        <c:overlap val="100"/>
        <c:axId val="115812224"/>
        <c:axId val="115818496"/>
      </c:barChart>
      <c:catAx>
        <c:axId val="115812224"/>
        <c:scaling>
          <c:orientation val="minMax"/>
        </c:scaling>
        <c:delete val="0"/>
        <c:axPos val="b"/>
        <c:title>
          <c:tx>
            <c:rich>
              <a:bodyPr/>
              <a:lstStyle/>
              <a:p>
                <a:pPr>
                  <a:defRPr/>
                </a:pPr>
                <a:r>
                  <a:rPr lang="en-US"/>
                  <a:t>Jahr / Sitzung</a:t>
                </a:r>
              </a:p>
            </c:rich>
          </c:tx>
          <c:layout>
            <c:manualLayout>
              <c:xMode val="edge"/>
              <c:yMode val="edge"/>
              <c:x val="0.45578302712160979"/>
              <c:y val="0.9315616117933445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115818496"/>
        <c:crosses val="autoZero"/>
        <c:auto val="1"/>
        <c:lblAlgn val="ctr"/>
        <c:lblOffset val="100"/>
        <c:tickLblSkip val="1"/>
        <c:tickMarkSkip val="1"/>
        <c:noMultiLvlLbl val="0"/>
      </c:catAx>
      <c:valAx>
        <c:axId val="115818496"/>
        <c:scaling>
          <c:orientation val="minMax"/>
        </c:scaling>
        <c:delete val="0"/>
        <c:axPos val="l"/>
        <c:majorGridlines>
          <c:spPr>
            <a:ln w="3175">
              <a:solidFill>
                <a:srgbClr val="000000"/>
              </a:solidFill>
              <a:prstDash val="solid"/>
            </a:ln>
          </c:spPr>
        </c:majorGridlines>
        <c:title>
          <c:tx>
            <c:rich>
              <a:bodyPr/>
              <a:lstStyle/>
              <a:p>
                <a:pPr>
                  <a:defRPr/>
                </a:pPr>
                <a:r>
                  <a:rPr lang="en-US"/>
                  <a:t>Teilnehmer nach Sprache</a:t>
                </a:r>
              </a:p>
            </c:rich>
          </c:tx>
          <c:layout>
            <c:manualLayout>
              <c:xMode val="edge"/>
              <c:yMode val="edge"/>
              <c:x val="1.360544885160383E-2"/>
              <c:y val="0.297776088333785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15812224"/>
        <c:crosses val="autoZero"/>
        <c:crossBetween val="between"/>
      </c:valAx>
      <c:spPr>
        <a:solidFill>
          <a:srgbClr val="C0C0C0"/>
        </a:solidFill>
        <a:ln w="12700">
          <a:solidFill>
            <a:srgbClr val="808080"/>
          </a:solidFill>
          <a:prstDash val="solid"/>
        </a:ln>
      </c:spPr>
    </c:plotArea>
    <c:legend>
      <c:legendPos val="r"/>
      <c:layout>
        <c:manualLayout>
          <c:xMode val="edge"/>
          <c:yMode val="edge"/>
          <c:x val="0.5588683657533462"/>
          <c:y val="6.269808800590318E-2"/>
          <c:w val="0.34960400977915146"/>
          <c:h val="0.12189387358608644"/>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047043482621994E-2"/>
          <c:y val="3.3409263477600606E-2"/>
          <c:w val="0.90375695872410855"/>
          <c:h val="0.81958182763386456"/>
        </c:manualLayout>
      </c:layout>
      <c:barChart>
        <c:barDir val="col"/>
        <c:grouping val="clustered"/>
        <c:varyColors val="0"/>
        <c:ser>
          <c:idx val="0"/>
          <c:order val="0"/>
          <c:tx>
            <c:strRef>
              <c:f>'fig_36_&amp;_table'!$B$7</c:f>
              <c:strCache>
                <c:ptCount val="1"/>
                <c:pt idx="0">
                  <c:v>Einnahmen</c:v>
                </c:pt>
              </c:strCache>
            </c:strRef>
          </c:tx>
          <c:spPr>
            <a:gradFill>
              <a:gsLst>
                <a:gs pos="0">
                  <a:srgbClr val="339966"/>
                </a:gs>
                <a:gs pos="100000">
                  <a:srgbClr xmlns:mc="http://schemas.openxmlformats.org/markup-compatibility/2006" xmlns:a14="http://schemas.microsoft.com/office/drawing/2010/main" val="333333" mc:Ignorable="a14" a14:legacySpreadsheetColorIndex="63"/>
                </a:gs>
              </a:gsLst>
              <a:lin ang="0" scaled="1"/>
            </a:gradFill>
            <a:ln>
              <a:solidFill>
                <a:schemeClr val="tx1"/>
              </a:solidFill>
            </a:ln>
          </c:spPr>
          <c:invertIfNegative val="0"/>
          <c:cat>
            <c:numRef>
              <c:f>'fig_36_&amp;_table'!$C$6:$P$6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'fig_36_&amp;_table'!$C$7:$P$7</c:f>
              <c:numCache>
                <c:formatCode>#,##0</c:formatCode>
                <c:ptCount val="14"/>
                <c:pt idx="0">
                  <c:v>3084</c:v>
                </c:pt>
                <c:pt idx="1">
                  <c:v>2951</c:v>
                </c:pt>
                <c:pt idx="2">
                  <c:v>2991</c:v>
                </c:pt>
                <c:pt idx="3">
                  <c:v>3052</c:v>
                </c:pt>
                <c:pt idx="4">
                  <c:v>3355</c:v>
                </c:pt>
                <c:pt idx="5">
                  <c:v>3406</c:v>
                </c:pt>
                <c:pt idx="6">
                  <c:v>3378</c:v>
                </c:pt>
                <c:pt idx="7">
                  <c:v>3393</c:v>
                </c:pt>
                <c:pt idx="8">
                  <c:v>3378</c:v>
                </c:pt>
                <c:pt idx="9">
                  <c:v>3393</c:v>
                </c:pt>
                <c:pt idx="10">
                  <c:v>3389</c:v>
                </c:pt>
                <c:pt idx="11">
                  <c:v>3403</c:v>
                </c:pt>
                <c:pt idx="12">
                  <c:v>3414.9</c:v>
                </c:pt>
                <c:pt idx="13">
                  <c:v>3425.6</c:v>
                </c:pt>
              </c:numCache>
            </c:numRef>
          </c:val>
        </c:ser>
        <c:ser>
          <c:idx val="1"/>
          <c:order val="1"/>
          <c:tx>
            <c:strRef>
              <c:f>'fig_36_&amp;_table'!$B$8</c:f>
              <c:strCache>
                <c:ptCount val="1"/>
                <c:pt idx="0">
                  <c:v>Ausgaben</c:v>
                </c:pt>
              </c:strCache>
            </c:strRef>
          </c:tx>
          <c:spPr>
            <a:gradFill>
              <a:gsLst>
                <a:gs pos="0">
                  <a:srgbClr xmlns:mc="http://schemas.openxmlformats.org/markup-compatibility/2006" xmlns:a14="http://schemas.microsoft.com/office/drawing/2010/main" val="33CCCC" mc:Ignorable="a14" a14:legacySpreadsheetColorIndex="49"/>
                </a:gs>
                <a:gs pos="100000">
                  <a:srgbClr xmlns:mc="http://schemas.openxmlformats.org/markup-compatibility/2006" xmlns:a14="http://schemas.microsoft.com/office/drawing/2010/main" val="CCFFCC" mc:Ignorable="a14" a14:legacySpreadsheetColorIndex="42"/>
                </a:gs>
              </a:gsLst>
              <a:lin ang="0" scaled="1"/>
            </a:gradFill>
            <a:ln>
              <a:solidFill>
                <a:schemeClr val="tx1"/>
              </a:solidFill>
            </a:ln>
          </c:spPr>
          <c:invertIfNegative val="0"/>
          <c:cat>
            <c:numRef>
              <c:f>'fig_36_&amp;_table'!$C$6:$P$6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'fig_36_&amp;_table'!$C$8:$P$8</c:f>
              <c:numCache>
                <c:formatCode>#,##0</c:formatCode>
                <c:ptCount val="14"/>
                <c:pt idx="0">
                  <c:v>3621</c:v>
                </c:pt>
                <c:pt idx="1">
                  <c:v>3504</c:v>
                </c:pt>
                <c:pt idx="2">
                  <c:v>2996</c:v>
                </c:pt>
                <c:pt idx="3">
                  <c:v>3030</c:v>
                </c:pt>
                <c:pt idx="4">
                  <c:v>2930</c:v>
                </c:pt>
                <c:pt idx="5">
                  <c:v>3284</c:v>
                </c:pt>
                <c:pt idx="6">
                  <c:v>3034</c:v>
                </c:pt>
                <c:pt idx="7">
                  <c:v>3347</c:v>
                </c:pt>
                <c:pt idx="8">
                  <c:v>3034</c:v>
                </c:pt>
                <c:pt idx="9">
                  <c:v>3347</c:v>
                </c:pt>
                <c:pt idx="10">
                  <c:v>2955</c:v>
                </c:pt>
                <c:pt idx="11">
                  <c:v>3330</c:v>
                </c:pt>
                <c:pt idx="12">
                  <c:v>3414.9</c:v>
                </c:pt>
                <c:pt idx="13">
                  <c:v>3425.6</c:v>
                </c:pt>
              </c:numCache>
            </c:numRef>
          </c:val>
        </c:ser>
        <c:ser>
          <c:idx val="2"/>
          <c:order val="2"/>
          <c:tx>
            <c:strRef>
              <c:f>'fig_36_&amp;_table'!$B$11</c:f>
              <c:strCache>
                <c:ptCount val="1"/>
                <c:pt idx="0">
                  <c:v>Betriebsmittelf.</c:v>
                </c:pt>
              </c:strCache>
            </c:strRef>
          </c:tx>
          <c:spPr>
            <a:gradFill>
              <a:gsLst>
                <a:gs pos="0">
                  <a:srgbClr xmlns:mc="http://schemas.openxmlformats.org/markup-compatibility/2006" xmlns:a14="http://schemas.microsoft.com/office/drawing/2010/main" val="FF99CC" mc:Ignorable="a14" a14:legacySpreadsheetColorIndex="45"/>
                </a:gs>
                <a:gs pos="50000">
                  <a:srgbClr xmlns:mc="http://schemas.openxmlformats.org/markup-compatibility/2006" xmlns:a14="http://schemas.microsoft.com/office/drawing/2010/main" val="993366" mc:Ignorable="a14" a14:legacySpreadsheetColorIndex="61"/>
                </a:gs>
                <a:gs pos="100000">
                  <a:srgbClr xmlns:mc="http://schemas.openxmlformats.org/markup-compatibility/2006" xmlns:a14="http://schemas.microsoft.com/office/drawing/2010/main" val="FF99CC" mc:Ignorable="a14" a14:legacySpreadsheetColorIndex="45"/>
                </a:gs>
              </a:gsLst>
              <a:lin ang="0" scaled="1"/>
            </a:gradFill>
            <a:ln>
              <a:solidFill>
                <a:schemeClr val="tx1"/>
              </a:solidFill>
            </a:ln>
          </c:spPr>
          <c:invertIfNegative val="0"/>
          <c:cat>
            <c:numRef>
              <c:f>'fig_36_&amp;_table'!$C$6:$P$6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'fig_36_&amp;_table'!$C$11:$P$11</c:f>
              <c:numCache>
                <c:formatCode>General</c:formatCode>
                <c:ptCount val="14"/>
                <c:pt idx="3" formatCode="#,##0">
                  <c:v>465</c:v>
                </c:pt>
                <c:pt idx="5" formatCode="#,##0">
                  <c:v>513</c:v>
                </c:pt>
                <c:pt idx="7" formatCode="#,##0">
                  <c:v>520.4</c:v>
                </c:pt>
                <c:pt idx="9" formatCode="#,##0">
                  <c:v>520.4</c:v>
                </c:pt>
                <c:pt idx="11" formatCode="#,##0">
                  <c:v>540</c:v>
                </c:pt>
                <c:pt idx="13" formatCode="#,##0">
                  <c:v>545.20000000000005</c:v>
                </c:pt>
              </c:numCache>
            </c:numRef>
          </c:val>
        </c:ser>
        <c:dLbls>
          <c:showLegendKey val="0"/>
          <c:showVal val="0"/>
          <c:showCatName val="0"/>
          <c:showSerName val="0"/>
          <c:showPercent val="0"/>
          <c:showBubbleSize val="0"/>
        </c:dLbls>
        <c:gapWidth val="150"/>
        <c:axId val="115862528"/>
        <c:axId val="115872512"/>
      </c:barChart>
      <c:barChart>
        <c:barDir val="col"/>
        <c:grouping val="clustered"/>
        <c:varyColors val="0"/>
        <c:ser>
          <c:idx val="3"/>
          <c:order val="3"/>
          <c:tx>
            <c:strRef>
              <c:f>'fig_36_&amp;_table'!$B$12</c:f>
              <c:strCache>
                <c:ptCount val="1"/>
                <c:pt idx="0">
                  <c:v>Reservefonds</c:v>
                </c:pt>
              </c:strCache>
            </c:strRef>
          </c:tx>
          <c:spPr>
            <a:gradFill>
              <a:gsLst>
                <a:gs pos="0">
                  <a:srgbClr xmlns:mc="http://schemas.openxmlformats.org/markup-compatibility/2006" xmlns:a14="http://schemas.microsoft.com/office/drawing/2010/main" val="CCFFCC" mc:Ignorable="a14" a14:legacySpreadsheetColorIndex="42"/>
                </a:gs>
                <a:gs pos="100000">
                  <a:srgbClr xmlns:mc="http://schemas.openxmlformats.org/markup-compatibility/2006" xmlns:a14="http://schemas.microsoft.com/office/drawing/2010/main" val="FFFFCC" mc:Ignorable="a14" a14:legacySpreadsheetColorIndex="26"/>
                </a:gs>
              </a:gsLst>
              <a:lin ang="0" scaled="1"/>
            </a:gradFill>
            <a:ln>
              <a:solidFill>
                <a:schemeClr val="tx1"/>
              </a:solidFill>
            </a:ln>
          </c:spPr>
          <c:invertIfNegative val="0"/>
          <c:cat>
            <c:numRef>
              <c:f>'fig_36_&amp;_table'!$C$6:$P$6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'fig_36_&amp;_table'!$C$12:$P$12</c:f>
              <c:numCache>
                <c:formatCode>General</c:formatCode>
                <c:ptCount val="14"/>
                <c:pt idx="3" formatCode="#,##0">
                  <c:v>100</c:v>
                </c:pt>
                <c:pt idx="5" formatCode="#,##0">
                  <c:v>647</c:v>
                </c:pt>
                <c:pt idx="7" formatCode="#,##0">
                  <c:v>1037.2</c:v>
                </c:pt>
                <c:pt idx="9" formatCode="#,##0">
                  <c:v>1037.2</c:v>
                </c:pt>
                <c:pt idx="11" formatCode="#,##0">
                  <c:v>1204</c:v>
                </c:pt>
                <c:pt idx="13" formatCode="#,##0">
                  <c:v>1037.2</c:v>
                </c:pt>
              </c:numCache>
            </c:numRef>
          </c:val>
        </c:ser>
        <c:dLbls>
          <c:showLegendKey val="0"/>
          <c:showVal val="0"/>
          <c:showCatName val="0"/>
          <c:showSerName val="0"/>
          <c:showPercent val="0"/>
          <c:showBubbleSize val="0"/>
        </c:dLbls>
        <c:gapWidth val="150"/>
        <c:axId val="115879936"/>
        <c:axId val="115874048"/>
      </c:barChart>
      <c:lineChart>
        <c:grouping val="standard"/>
        <c:varyColors val="0"/>
        <c:ser>
          <c:idx val="4"/>
          <c:order val="4"/>
          <c:tx>
            <c:strRef>
              <c:f>'fig_36_&amp;_table'!$B$17</c:f>
              <c:strCache>
                <c:ptCount val="1"/>
                <c:pt idx="0">
                  <c:v>Obergrenze Reserven als % der Einnahmen (15%)*</c:v>
                </c:pt>
              </c:strCache>
            </c:strRef>
          </c:tx>
          <c:spPr>
            <a:ln w="25400">
              <a:solidFill>
                <a:srgbClr val="0000FF"/>
              </a:solidFill>
            </a:ln>
          </c:spPr>
          <c:marker>
            <c:symbol val="none"/>
          </c:marker>
          <c:dLbls>
            <c:dLbl>
              <c:idx val="11"/>
              <c:layout>
                <c:manualLayout>
                  <c:x val="-1.6317016317016316E-2"/>
                  <c:y val="-2.7334851936218679E-2"/>
                </c:manualLayout>
              </c:layout>
              <c:showLegendKey val="0"/>
              <c:showVal val="1"/>
              <c:showCatName val="0"/>
              <c:showSerName val="0"/>
              <c:showPercent val="0"/>
              <c:showBubbleSize val="0"/>
            </c:dLbl>
            <c:dLbl>
              <c:idx val="13"/>
              <c:layout>
                <c:manualLayout>
                  <c:x val="-2.331002331002331E-3"/>
                  <c:y val="-2.7334851936218679E-2"/>
                </c:manualLayout>
              </c:layout>
              <c:showLegendKey val="0"/>
              <c:showVal val="1"/>
              <c:showCatName val="0"/>
              <c:showSerName val="0"/>
              <c:showPercent val="0"/>
              <c:showBubbleSize val="0"/>
            </c:dLbl>
            <c:txPr>
              <a:bodyPr/>
              <a:lstStyle/>
              <a:p>
                <a:pPr>
                  <a:defRPr sz="700"/>
                </a:pPr>
                <a:endParaRPr lang="en-US"/>
              </a:p>
            </c:txPr>
            <c:showLegendKey val="0"/>
            <c:showVal val="1"/>
            <c:showCatName val="0"/>
            <c:showSerName val="0"/>
            <c:showPercent val="0"/>
            <c:showBubbleSize val="0"/>
            <c:showLeaderLines val="0"/>
          </c:dLbls>
          <c:cat>
            <c:numRef>
              <c:f>'fig_36_&amp;_table'!$C$6:$P$6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'fig_36_&amp;_table'!$C$17:$P$17</c:f>
              <c:numCache>
                <c:formatCode>General</c:formatCode>
                <c:ptCount val="14"/>
                <c:pt idx="11" formatCode="#,##0">
                  <c:v>1020.4499999999999</c:v>
                </c:pt>
                <c:pt idx="13" formatCode="#,##0">
                  <c:v>1026.075</c:v>
                </c:pt>
              </c:numCache>
            </c:numRef>
          </c:val>
          <c:smooth val="0"/>
        </c:ser>
        <c:dLbls>
          <c:showLegendKey val="0"/>
          <c:showVal val="0"/>
          <c:showCatName val="0"/>
          <c:showSerName val="0"/>
          <c:showPercent val="0"/>
          <c:showBubbleSize val="0"/>
        </c:dLbls>
        <c:marker val="1"/>
        <c:smooth val="0"/>
        <c:axId val="115879936"/>
        <c:axId val="115874048"/>
      </c:lineChart>
      <c:catAx>
        <c:axId val="115862528"/>
        <c:scaling>
          <c:orientation val="minMax"/>
        </c:scaling>
        <c:delete val="0"/>
        <c:axPos val="b"/>
        <c:numFmt formatCode="General" sourceLinked="1"/>
        <c:majorTickMark val="out"/>
        <c:minorTickMark val="none"/>
        <c:tickLblPos val="nextTo"/>
        <c:crossAx val="115872512"/>
        <c:crosses val="autoZero"/>
        <c:auto val="1"/>
        <c:lblAlgn val="ctr"/>
        <c:lblOffset val="100"/>
        <c:noMultiLvlLbl val="0"/>
      </c:catAx>
      <c:valAx>
        <c:axId val="115872512"/>
        <c:scaling>
          <c:orientation val="minMax"/>
        </c:scaling>
        <c:delete val="0"/>
        <c:axPos val="l"/>
        <c:numFmt formatCode="0" sourceLinked="0"/>
        <c:majorTickMark val="out"/>
        <c:minorTickMark val="none"/>
        <c:tickLblPos val="nextTo"/>
        <c:crossAx val="115862528"/>
        <c:crosses val="autoZero"/>
        <c:crossBetween val="between"/>
        <c:majorUnit val="250"/>
      </c:valAx>
      <c:valAx>
        <c:axId val="115874048"/>
        <c:scaling>
          <c:orientation val="minMax"/>
        </c:scaling>
        <c:delete val="1"/>
        <c:axPos val="r"/>
        <c:numFmt formatCode="General" sourceLinked="1"/>
        <c:majorTickMark val="out"/>
        <c:minorTickMark val="none"/>
        <c:tickLblPos val="nextTo"/>
        <c:crossAx val="115879936"/>
        <c:crosses val="max"/>
        <c:crossBetween val="between"/>
      </c:valAx>
      <c:catAx>
        <c:axId val="115879936"/>
        <c:scaling>
          <c:orientation val="minMax"/>
        </c:scaling>
        <c:delete val="1"/>
        <c:axPos val="b"/>
        <c:numFmt formatCode="General" sourceLinked="1"/>
        <c:majorTickMark val="out"/>
        <c:minorTickMark val="none"/>
        <c:tickLblPos val="nextTo"/>
        <c:crossAx val="115874048"/>
        <c:crosses val="autoZero"/>
        <c:auto val="1"/>
        <c:lblAlgn val="ctr"/>
        <c:lblOffset val="100"/>
        <c:noMultiLvlLbl val="0"/>
      </c:catAx>
      <c:spPr>
        <a:ln>
          <a:solidFill>
            <a:schemeClr val="tx1"/>
          </a:solidFill>
        </a:ln>
      </c:spPr>
    </c:plotArea>
    <c:legend>
      <c:legendPos val="r"/>
      <c:layout>
        <c:manualLayout>
          <c:xMode val="edge"/>
          <c:yMode val="edge"/>
          <c:x val="0"/>
          <c:y val="0.9255152786995019"/>
          <c:w val="0.99323445034486968"/>
          <c:h val="7.4484776539861977E-2"/>
        </c:manualLayout>
      </c:layout>
      <c:overlay val="0"/>
      <c:txPr>
        <a:bodyPr/>
        <a:lstStyle/>
        <a:p>
          <a:pPr>
            <a:defRPr sz="700"/>
          </a:pPr>
          <a:endParaRPr lang="en-US"/>
        </a:p>
      </c:txPr>
    </c:legend>
    <c:plotVisOnly val="1"/>
    <c:dispBlanksAs val="span"/>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79843558683927E-2"/>
          <c:y val="5.8616837436441069E-2"/>
          <c:w val="0.90186927919256754"/>
          <c:h val="0.77336769474289102"/>
        </c:manualLayout>
      </c:layout>
      <c:barChart>
        <c:barDir val="col"/>
        <c:grouping val="clustered"/>
        <c:varyColors val="0"/>
        <c:ser>
          <c:idx val="0"/>
          <c:order val="0"/>
          <c:tx>
            <c:v>April-Tagungen</c:v>
          </c:tx>
          <c:spPr>
            <a:solidFill>
              <a:schemeClr val="accent6">
                <a:lumMod val="40000"/>
                <a:lumOff val="60000"/>
              </a:schemeClr>
            </a:solidFill>
            <a:ln w="9525">
              <a:solidFill>
                <a:srgbClr val="000000"/>
              </a:solidFill>
            </a:ln>
          </c:spPr>
          <c:invertIfNegative val="0"/>
          <c:cat>
            <c:numRef>
              <c:f>fig.3_CC!$A$5:$A$19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fig.3_CC!$B$5:$B$18</c:f>
              <c:numCache>
                <c:formatCode>General</c:formatCode>
                <c:ptCount val="14"/>
                <c:pt idx="0">
                  <c:v>36</c:v>
                </c:pt>
                <c:pt idx="1">
                  <c:v>35</c:v>
                </c:pt>
                <c:pt idx="2">
                  <c:v>40</c:v>
                </c:pt>
                <c:pt idx="3">
                  <c:v>39</c:v>
                </c:pt>
                <c:pt idx="4">
                  <c:v>39</c:v>
                </c:pt>
                <c:pt idx="5">
                  <c:v>44</c:v>
                </c:pt>
                <c:pt idx="6">
                  <c:v>45</c:v>
                </c:pt>
                <c:pt idx="7">
                  <c:v>43</c:v>
                </c:pt>
                <c:pt idx="8">
                  <c:v>46</c:v>
                </c:pt>
                <c:pt idx="9">
                  <c:v>38</c:v>
                </c:pt>
                <c:pt idx="10">
                  <c:v>50</c:v>
                </c:pt>
                <c:pt idx="11">
                  <c:v>39</c:v>
                </c:pt>
                <c:pt idx="12">
                  <c:v>36</c:v>
                </c:pt>
                <c:pt idx="13">
                  <c:v>39</c:v>
                </c:pt>
              </c:numCache>
            </c:numRef>
          </c:val>
        </c:ser>
        <c:ser>
          <c:idx val="1"/>
          <c:order val="1"/>
          <c:tx>
            <c:v>Oktober-Tagungen</c:v>
          </c:tx>
          <c:spPr>
            <a:solidFill>
              <a:schemeClr val="accent6">
                <a:lumMod val="75000"/>
              </a:schemeClr>
            </a:solidFill>
            <a:ln>
              <a:solidFill>
                <a:srgbClr val="000000"/>
              </a:solidFill>
            </a:ln>
          </c:spPr>
          <c:invertIfNegative val="0"/>
          <c:val>
            <c:numRef>
              <c:f>fig.3_CC!$C$5:$C$18</c:f>
              <c:numCache>
                <c:formatCode>General</c:formatCode>
                <c:ptCount val="14"/>
                <c:pt idx="0">
                  <c:v>39</c:v>
                </c:pt>
                <c:pt idx="1">
                  <c:v>39</c:v>
                </c:pt>
                <c:pt idx="2">
                  <c:v>40</c:v>
                </c:pt>
                <c:pt idx="3">
                  <c:v>43</c:v>
                </c:pt>
                <c:pt idx="4">
                  <c:v>43</c:v>
                </c:pt>
                <c:pt idx="5">
                  <c:v>50</c:v>
                </c:pt>
                <c:pt idx="6">
                  <c:v>43</c:v>
                </c:pt>
                <c:pt idx="7">
                  <c:v>48</c:v>
                </c:pt>
                <c:pt idx="8">
                  <c:v>42</c:v>
                </c:pt>
                <c:pt idx="9">
                  <c:v>44</c:v>
                </c:pt>
                <c:pt idx="10">
                  <c:v>41</c:v>
                </c:pt>
                <c:pt idx="11">
                  <c:v>47</c:v>
                </c:pt>
                <c:pt idx="12">
                  <c:v>44</c:v>
                </c:pt>
                <c:pt idx="13">
                  <c:v>40</c:v>
                </c:pt>
              </c:numCache>
            </c:numRef>
          </c:val>
        </c:ser>
        <c:dLbls>
          <c:showLegendKey val="0"/>
          <c:showVal val="0"/>
          <c:showCatName val="0"/>
          <c:showSerName val="0"/>
          <c:showPercent val="0"/>
          <c:showBubbleSize val="0"/>
        </c:dLbls>
        <c:gapWidth val="150"/>
        <c:axId val="171213568"/>
        <c:axId val="171215104"/>
      </c:barChart>
      <c:lineChart>
        <c:grouping val="standard"/>
        <c:varyColors val="0"/>
        <c:ser>
          <c:idx val="2"/>
          <c:order val="2"/>
          <c:tx>
            <c:v>Gesamtzahl der UPOV-Mitglieder</c:v>
          </c:tx>
          <c:spPr>
            <a:ln w="25400">
              <a:solidFill>
                <a:schemeClr val="tx2"/>
              </a:solidFill>
            </a:ln>
          </c:spPr>
          <c:marker>
            <c:symbol val="none"/>
          </c:marker>
          <c:dLbls>
            <c:dLbl>
              <c:idx val="0"/>
              <c:layout>
                <c:manualLayout>
                  <c:x val="-2.249009474661268E-2"/>
                  <c:y val="-2.7144925762344074E-2"/>
                </c:manualLayout>
              </c:layout>
              <c:showLegendKey val="0"/>
              <c:showVal val="1"/>
              <c:showCatName val="0"/>
              <c:showSerName val="0"/>
              <c:showPercent val="0"/>
              <c:showBubbleSize val="0"/>
            </c:dLbl>
            <c:dLbl>
              <c:idx val="13"/>
              <c:layout>
                <c:manualLayout>
                  <c:x val="-2.7434842249657063E-2"/>
                  <c:y val="-3.3262059984851357E-2"/>
                </c:manualLayout>
              </c:layout>
              <c:showLegendKey val="0"/>
              <c:showVal val="1"/>
              <c:showCatName val="0"/>
              <c:showSerName val="0"/>
              <c:showPercent val="0"/>
              <c:showBubbleSize val="0"/>
            </c:dLbl>
            <c:dLbl>
              <c:idx val="15"/>
              <c:layout>
                <c:manualLayout>
                  <c:x val="-3.6619207036807704E-2"/>
                  <c:y val="-2.6346743895127513E-2"/>
                </c:manualLayout>
              </c:layout>
              <c:showLegendKey val="0"/>
              <c:showVal val="1"/>
              <c:showCatName val="0"/>
              <c:showSerName val="0"/>
              <c:showPercent val="0"/>
              <c:showBubbleSize val="0"/>
            </c:dLbl>
            <c:dLbl>
              <c:idx val="27"/>
              <c:layout>
                <c:manualLayout>
                  <c:x val="5.7089758500618704E-2"/>
                  <c:y val="-5.4289870504053303E-2"/>
                </c:manualLayout>
              </c:layout>
              <c:tx>
                <c:rich>
                  <a:bodyPr/>
                  <a:lstStyle/>
                  <a:p>
                    <a:r>
                      <a:rPr lang="en-US"/>
                      <a:t>72</a:t>
                    </a:r>
                  </a:p>
                </c:rich>
              </c:tx>
              <c:showLegendKey val="0"/>
              <c:showVal val="1"/>
              <c:showCatName val="0"/>
              <c:showSerName val="0"/>
              <c:showPercent val="0"/>
              <c:showBubbleSize val="0"/>
            </c:dLbl>
            <c:showLegendKey val="0"/>
            <c:showVal val="0"/>
            <c:showCatName val="0"/>
            <c:showSerName val="0"/>
            <c:showPercent val="0"/>
            <c:showBubbleSize val="0"/>
          </c:dLbls>
          <c:val>
            <c:numRef>
              <c:f>members!$C$7:$C$20</c:f>
              <c:numCache>
                <c:formatCode>General</c:formatCode>
                <c:ptCount val="14"/>
                <c:pt idx="0">
                  <c:v>46</c:v>
                </c:pt>
                <c:pt idx="1">
                  <c:v>49</c:v>
                </c:pt>
                <c:pt idx="2">
                  <c:v>51</c:v>
                </c:pt>
                <c:pt idx="3">
                  <c:v>54</c:v>
                </c:pt>
                <c:pt idx="4">
                  <c:v>58</c:v>
                </c:pt>
                <c:pt idx="5">
                  <c:v>60</c:v>
                </c:pt>
                <c:pt idx="6">
                  <c:v>63</c:v>
                </c:pt>
                <c:pt idx="7">
                  <c:v>65</c:v>
                </c:pt>
                <c:pt idx="8">
                  <c:v>66</c:v>
                </c:pt>
                <c:pt idx="9">
                  <c:v>68</c:v>
                </c:pt>
                <c:pt idx="10">
                  <c:v>68</c:v>
                </c:pt>
                <c:pt idx="11">
                  <c:v>70</c:v>
                </c:pt>
                <c:pt idx="12">
                  <c:v>70</c:v>
                </c:pt>
                <c:pt idx="13">
                  <c:v>71</c:v>
                </c:pt>
              </c:numCache>
            </c:numRef>
          </c:val>
          <c:smooth val="0"/>
        </c:ser>
        <c:dLbls>
          <c:showLegendKey val="0"/>
          <c:showVal val="0"/>
          <c:showCatName val="0"/>
          <c:showSerName val="0"/>
          <c:showPercent val="0"/>
          <c:showBubbleSize val="0"/>
        </c:dLbls>
        <c:marker val="1"/>
        <c:smooth val="0"/>
        <c:axId val="171213568"/>
        <c:axId val="171215104"/>
      </c:lineChart>
      <c:catAx>
        <c:axId val="171213568"/>
        <c:scaling>
          <c:orientation val="minMax"/>
        </c:scaling>
        <c:delete val="0"/>
        <c:axPos val="b"/>
        <c:numFmt formatCode="General" sourceLinked="1"/>
        <c:majorTickMark val="out"/>
        <c:minorTickMark val="none"/>
        <c:tickLblPos val="nextTo"/>
        <c:txPr>
          <a:bodyPr rot="0" vert="horz"/>
          <a:lstStyle/>
          <a:p>
            <a:pPr>
              <a:defRPr/>
            </a:pPr>
            <a:endParaRPr lang="en-US"/>
          </a:p>
        </c:txPr>
        <c:crossAx val="171215104"/>
        <c:crosses val="autoZero"/>
        <c:auto val="1"/>
        <c:lblAlgn val="ctr"/>
        <c:lblOffset val="100"/>
        <c:noMultiLvlLbl val="0"/>
      </c:catAx>
      <c:valAx>
        <c:axId val="171215104"/>
        <c:scaling>
          <c:orientation val="minMax"/>
        </c:scaling>
        <c:delete val="0"/>
        <c:axPos val="l"/>
        <c:majorGridlines>
          <c:spPr>
            <a:ln>
              <a:solidFill>
                <a:srgbClr val="000000"/>
              </a:solidFill>
            </a:ln>
          </c:spPr>
        </c:majorGridlines>
        <c:title>
          <c:tx>
            <c:rich>
              <a:bodyPr rot="-5400000" vert="horz"/>
              <a:lstStyle/>
              <a:p>
                <a:pPr>
                  <a:defRPr/>
                </a:pPr>
                <a:r>
                  <a:rPr lang="en-US"/>
                  <a:t>Numberof members</a:t>
                </a:r>
              </a:p>
            </c:rich>
          </c:tx>
          <c:layout>
            <c:manualLayout>
              <c:xMode val="edge"/>
              <c:yMode val="edge"/>
              <c:x val="3.3404620257268649E-3"/>
              <c:y val="0.29542868434318814"/>
            </c:manualLayout>
          </c:layout>
          <c:overlay val="0"/>
        </c:title>
        <c:numFmt formatCode="General" sourceLinked="1"/>
        <c:majorTickMark val="out"/>
        <c:minorTickMark val="none"/>
        <c:tickLblPos val="nextTo"/>
        <c:crossAx val="171213568"/>
        <c:crosses val="autoZero"/>
        <c:crossBetween val="between"/>
      </c:valAx>
      <c:spPr>
        <a:ln>
          <a:solidFill>
            <a:srgbClr val="808080"/>
          </a:solidFill>
        </a:ln>
      </c:spPr>
    </c:plotArea>
    <c:legend>
      <c:legendPos val="r"/>
      <c:layout>
        <c:manualLayout>
          <c:xMode val="edge"/>
          <c:yMode val="edge"/>
          <c:x val="0.1221870105742955"/>
          <c:y val="0.90572484576356604"/>
          <c:w val="0.82037523087391839"/>
          <c:h val="7.4317918245523237E-2"/>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80256733169844E-2"/>
          <c:y val="5.4406054754752624E-2"/>
          <c:w val="0.88219622485878202"/>
          <c:h val="0.78439598228512031"/>
        </c:manualLayout>
      </c:layout>
      <c:barChart>
        <c:barDir val="col"/>
        <c:grouping val="stacked"/>
        <c:varyColors val="0"/>
        <c:ser>
          <c:idx val="1"/>
          <c:order val="0"/>
          <c:tx>
            <c:v>Neu</c:v>
          </c:tx>
          <c:spPr>
            <a:solidFill>
              <a:srgbClr val="003300"/>
            </a:solidFill>
            <a:ln w="12700">
              <a:solidFill>
                <a:srgbClr val="000000"/>
              </a:solidFill>
              <a:prstDash val="solid"/>
            </a:ln>
          </c:spPr>
          <c:invertIfNegative val="0"/>
          <c:cat>
            <c:numRef>
              <c:f>'fig.4+5_TGs'!$M$3:$M$35</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numCache>
            </c:numRef>
          </c:cat>
          <c:val>
            <c:numRef>
              <c:f>'fig.4+5_TGs'!$N$3:$N$34</c:f>
              <c:numCache>
                <c:formatCode>General</c:formatCode>
                <c:ptCount val="32"/>
                <c:pt idx="0">
                  <c:v>0</c:v>
                </c:pt>
                <c:pt idx="1">
                  <c:v>3</c:v>
                </c:pt>
                <c:pt idx="2">
                  <c:v>5</c:v>
                </c:pt>
                <c:pt idx="3">
                  <c:v>4</c:v>
                </c:pt>
                <c:pt idx="4">
                  <c:v>9</c:v>
                </c:pt>
                <c:pt idx="5">
                  <c:v>2</c:v>
                </c:pt>
                <c:pt idx="6">
                  <c:v>9</c:v>
                </c:pt>
                <c:pt idx="7">
                  <c:v>9</c:v>
                </c:pt>
                <c:pt idx="8">
                  <c:v>6</c:v>
                </c:pt>
                <c:pt idx="9">
                  <c:v>7</c:v>
                </c:pt>
                <c:pt idx="10">
                  <c:v>6</c:v>
                </c:pt>
                <c:pt idx="11">
                  <c:v>2</c:v>
                </c:pt>
                <c:pt idx="12">
                  <c:v>3</c:v>
                </c:pt>
                <c:pt idx="13">
                  <c:v>6</c:v>
                </c:pt>
                <c:pt idx="14">
                  <c:v>2</c:v>
                </c:pt>
                <c:pt idx="15">
                  <c:v>5</c:v>
                </c:pt>
                <c:pt idx="16">
                  <c:v>4</c:v>
                </c:pt>
                <c:pt idx="17">
                  <c:v>8</c:v>
                </c:pt>
                <c:pt idx="18">
                  <c:v>4</c:v>
                </c:pt>
                <c:pt idx="19">
                  <c:v>11</c:v>
                </c:pt>
                <c:pt idx="20">
                  <c:v>10</c:v>
                </c:pt>
                <c:pt idx="21">
                  <c:v>12</c:v>
                </c:pt>
                <c:pt idx="22">
                  <c:v>7</c:v>
                </c:pt>
                <c:pt idx="23">
                  <c:v>5</c:v>
                </c:pt>
                <c:pt idx="24">
                  <c:v>4</c:v>
                </c:pt>
                <c:pt idx="25">
                  <c:v>9</c:v>
                </c:pt>
                <c:pt idx="26">
                  <c:v>10</c:v>
                </c:pt>
                <c:pt idx="27">
                  <c:v>8</c:v>
                </c:pt>
                <c:pt idx="28">
                  <c:v>8</c:v>
                </c:pt>
                <c:pt idx="29">
                  <c:v>13</c:v>
                </c:pt>
                <c:pt idx="30">
                  <c:v>8</c:v>
                </c:pt>
                <c:pt idx="31">
                  <c:v>15</c:v>
                </c:pt>
              </c:numCache>
            </c:numRef>
          </c:val>
        </c:ser>
        <c:ser>
          <c:idx val="2"/>
          <c:order val="1"/>
          <c:tx>
            <c:v>Überarbeitungen</c:v>
          </c:tx>
          <c:spPr>
            <a:solidFill>
              <a:srgbClr val="99CC00"/>
            </a:solidFill>
            <a:ln w="12700">
              <a:solidFill>
                <a:srgbClr val="000000"/>
              </a:solidFill>
              <a:prstDash val="solid"/>
            </a:ln>
          </c:spPr>
          <c:invertIfNegative val="0"/>
          <c:cat>
            <c:numRef>
              <c:f>'fig.4+5_TGs'!$M$3:$M$35</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numCache>
            </c:numRef>
          </c:cat>
          <c:val>
            <c:numRef>
              <c:f>'fig.4+5_TGs'!$O$3:$O$34</c:f>
              <c:numCache>
                <c:formatCode>General</c:formatCode>
                <c:ptCount val="32"/>
                <c:pt idx="0">
                  <c:v>7</c:v>
                </c:pt>
                <c:pt idx="1">
                  <c:v>1</c:v>
                </c:pt>
                <c:pt idx="2">
                  <c:v>2</c:v>
                </c:pt>
                <c:pt idx="3">
                  <c:v>6</c:v>
                </c:pt>
                <c:pt idx="4">
                  <c:v>5</c:v>
                </c:pt>
                <c:pt idx="5">
                  <c:v>4</c:v>
                </c:pt>
                <c:pt idx="6">
                  <c:v>3</c:v>
                </c:pt>
                <c:pt idx="7">
                  <c:v>7</c:v>
                </c:pt>
                <c:pt idx="8">
                  <c:v>2</c:v>
                </c:pt>
                <c:pt idx="9">
                  <c:v>8</c:v>
                </c:pt>
                <c:pt idx="10">
                  <c:v>1</c:v>
                </c:pt>
                <c:pt idx="11">
                  <c:v>2</c:v>
                </c:pt>
                <c:pt idx="12">
                  <c:v>2</c:v>
                </c:pt>
                <c:pt idx="13">
                  <c:v>9</c:v>
                </c:pt>
                <c:pt idx="14">
                  <c:v>9</c:v>
                </c:pt>
                <c:pt idx="15">
                  <c:v>5</c:v>
                </c:pt>
                <c:pt idx="16">
                  <c:v>2</c:v>
                </c:pt>
                <c:pt idx="17">
                  <c:v>8</c:v>
                </c:pt>
                <c:pt idx="18">
                  <c:v>3</c:v>
                </c:pt>
                <c:pt idx="19">
                  <c:v>7</c:v>
                </c:pt>
                <c:pt idx="20">
                  <c:v>11</c:v>
                </c:pt>
                <c:pt idx="21">
                  <c:v>17</c:v>
                </c:pt>
                <c:pt idx="22">
                  <c:v>12</c:v>
                </c:pt>
                <c:pt idx="23">
                  <c:v>8</c:v>
                </c:pt>
                <c:pt idx="24">
                  <c:v>19</c:v>
                </c:pt>
                <c:pt idx="25">
                  <c:v>7</c:v>
                </c:pt>
                <c:pt idx="26">
                  <c:v>11</c:v>
                </c:pt>
                <c:pt idx="27">
                  <c:v>4</c:v>
                </c:pt>
                <c:pt idx="28">
                  <c:v>6</c:v>
                </c:pt>
                <c:pt idx="29">
                  <c:v>8</c:v>
                </c:pt>
                <c:pt idx="30">
                  <c:v>4</c:v>
                </c:pt>
                <c:pt idx="31">
                  <c:v>7</c:v>
                </c:pt>
              </c:numCache>
            </c:numRef>
          </c:val>
        </c:ser>
        <c:ser>
          <c:idx val="3"/>
          <c:order val="2"/>
          <c:tx>
            <c:v>Teilüberarbeitungen</c:v>
          </c:tx>
          <c:spPr>
            <a:solidFill>
              <a:srgbClr val="FFFF99"/>
            </a:solidFill>
            <a:ln w="12700">
              <a:solidFill>
                <a:srgbClr val="000000"/>
              </a:solidFill>
              <a:prstDash val="solid"/>
            </a:ln>
          </c:spPr>
          <c:invertIfNegative val="0"/>
          <c:cat>
            <c:numRef>
              <c:f>'fig.4+5_TGs'!$M$3:$M$35</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numCache>
            </c:numRef>
          </c:cat>
          <c:val>
            <c:numRef>
              <c:f>'fig.4+5_TGs'!$P$3:$P$34</c:f>
              <c:numCache>
                <c:formatCode>General</c:formatCode>
                <c:ptCount val="32"/>
                <c:pt idx="25">
                  <c:v>2</c:v>
                </c:pt>
                <c:pt idx="26">
                  <c:v>1</c:v>
                </c:pt>
                <c:pt idx="27">
                  <c:v>2</c:v>
                </c:pt>
                <c:pt idx="28">
                  <c:v>2</c:v>
                </c:pt>
                <c:pt idx="29">
                  <c:v>2</c:v>
                </c:pt>
                <c:pt idx="30">
                  <c:v>4</c:v>
                </c:pt>
                <c:pt idx="31">
                  <c:v>4</c:v>
                </c:pt>
              </c:numCache>
            </c:numRef>
          </c:val>
        </c:ser>
        <c:dLbls>
          <c:showLegendKey val="0"/>
          <c:showVal val="0"/>
          <c:showCatName val="0"/>
          <c:showSerName val="0"/>
          <c:showPercent val="0"/>
          <c:showBubbleSize val="0"/>
        </c:dLbls>
        <c:gapWidth val="150"/>
        <c:overlap val="100"/>
        <c:axId val="201297920"/>
        <c:axId val="210980864"/>
      </c:barChart>
      <c:catAx>
        <c:axId val="201297920"/>
        <c:scaling>
          <c:orientation val="minMax"/>
        </c:scaling>
        <c:delete val="0"/>
        <c:axPos val="b"/>
        <c:title>
          <c:tx>
            <c:rich>
              <a:bodyPr/>
              <a:lstStyle/>
              <a:p>
                <a:pPr>
                  <a:defRPr/>
                </a:pPr>
                <a:r>
                  <a:rPr lang="en-US"/>
                  <a:t>Jahr</a:t>
                </a:r>
              </a:p>
            </c:rich>
          </c:tx>
          <c:layout>
            <c:manualLayout>
              <c:xMode val="edge"/>
              <c:yMode val="edge"/>
              <c:x val="0.49742309420177783"/>
              <c:y val="0.93829229146581083"/>
            </c:manualLayout>
          </c:layout>
          <c:overlay val="0"/>
        </c:title>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210980864"/>
        <c:crosses val="autoZero"/>
        <c:auto val="1"/>
        <c:lblAlgn val="ctr"/>
        <c:lblOffset val="100"/>
        <c:tickLblSkip val="1"/>
        <c:tickMarkSkip val="1"/>
        <c:noMultiLvlLbl val="0"/>
      </c:catAx>
      <c:valAx>
        <c:axId val="210980864"/>
        <c:scaling>
          <c:orientation val="minMax"/>
          <c:max val="30"/>
          <c:min val="0"/>
        </c:scaling>
        <c:delete val="0"/>
        <c:axPos val="l"/>
        <c:majorGridlines>
          <c:spPr>
            <a:ln w="3175">
              <a:solidFill>
                <a:srgbClr val="000000"/>
              </a:solidFill>
              <a:prstDash val="solid"/>
            </a:ln>
          </c:spPr>
        </c:majorGridlines>
        <c:title>
          <c:tx>
            <c:rich>
              <a:bodyPr rot="-5400000" vert="horz"/>
              <a:lstStyle/>
              <a:p>
                <a:pPr>
                  <a:defRPr/>
                </a:pPr>
                <a:r>
                  <a:rPr lang="en-US"/>
                  <a:t>Anzahl angenommener Prüfungsrichtlinien</a:t>
                </a:r>
              </a:p>
            </c:rich>
          </c:tx>
          <c:layout>
            <c:manualLayout>
              <c:xMode val="edge"/>
              <c:yMode val="edge"/>
              <c:x val="9.3485561520956217E-3"/>
              <c:y val="0.27219934782878313"/>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01297920"/>
        <c:crosses val="autoZero"/>
        <c:crossBetween val="between"/>
      </c:valAx>
      <c:spPr>
        <a:solidFill>
          <a:srgbClr val="C0C0C0"/>
        </a:solidFill>
        <a:ln w="12700">
          <a:solidFill>
            <a:srgbClr val="808080"/>
          </a:solidFill>
          <a:prstDash val="solid"/>
        </a:ln>
      </c:spPr>
    </c:plotArea>
    <c:legend>
      <c:legendPos val="b"/>
      <c:layout>
        <c:manualLayout>
          <c:xMode val="edge"/>
          <c:yMode val="edge"/>
          <c:x val="0.17129316630211441"/>
          <c:y val="0.12270879892422799"/>
          <c:w val="0.28822601554367744"/>
          <c:h val="0.14172477723421034"/>
        </c:manualLayout>
      </c:layout>
      <c:overlay val="0"/>
      <c:spPr>
        <a:solidFill>
          <a:srgbClr val="FFFFFF"/>
        </a:solidFill>
        <a:ln w="25400">
          <a:solidFill>
            <a:schemeClr val="bg1"/>
          </a:solidFill>
        </a:ln>
      </c:spPr>
    </c:legend>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682108223411166E-2"/>
          <c:y val="7.6635926345782659E-2"/>
          <c:w val="0.91629719199247617"/>
          <c:h val="0.77332026103740925"/>
        </c:manualLayout>
      </c:layout>
      <c:barChart>
        <c:barDir val="col"/>
        <c:grouping val="stacked"/>
        <c:varyColors val="0"/>
        <c:ser>
          <c:idx val="0"/>
          <c:order val="0"/>
          <c:tx>
            <c:strRef>
              <c:f>'fig.4+5_TGs'!$B$38</c:f>
              <c:strCache>
                <c:ptCount val="1"/>
                <c:pt idx="0">
                  <c:v>Neu</c:v>
                </c:pt>
              </c:strCache>
            </c:strRef>
          </c:tx>
          <c:spPr>
            <a:solidFill>
              <a:schemeClr val="tx2"/>
            </a:solidFill>
            <a:ln>
              <a:solidFill>
                <a:schemeClr val="tx1"/>
              </a:solidFill>
            </a:ln>
          </c:spPr>
          <c:invertIfNegative val="0"/>
          <c:cat>
            <c:numRef>
              <c:f>'fig.4+5_TGs'!$A$39:$A$50</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'fig.4+5_TGs'!$B$39:$B$50</c:f>
              <c:numCache>
                <c:formatCode>0</c:formatCode>
                <c:ptCount val="12"/>
                <c:pt idx="0">
                  <c:v>30</c:v>
                </c:pt>
                <c:pt idx="1">
                  <c:v>33</c:v>
                </c:pt>
                <c:pt idx="2">
                  <c:v>30.5</c:v>
                </c:pt>
                <c:pt idx="3">
                  <c:v>34</c:v>
                </c:pt>
                <c:pt idx="4">
                  <c:v>48</c:v>
                </c:pt>
                <c:pt idx="5">
                  <c:v>55.989999999999995</c:v>
                </c:pt>
                <c:pt idx="6">
                  <c:v>54.989999999999995</c:v>
                </c:pt>
                <c:pt idx="7">
                  <c:v>51</c:v>
                </c:pt>
                <c:pt idx="8">
                  <c:v>38</c:v>
                </c:pt>
                <c:pt idx="9">
                  <c:v>37</c:v>
                </c:pt>
                <c:pt idx="10">
                  <c:v>36</c:v>
                </c:pt>
                <c:pt idx="11">
                  <c:v>30</c:v>
                </c:pt>
              </c:numCache>
            </c:numRef>
          </c:val>
        </c:ser>
        <c:ser>
          <c:idx val="1"/>
          <c:order val="1"/>
          <c:tx>
            <c:strRef>
              <c:f>'fig.4+5_TGs'!$C$38</c:f>
              <c:strCache>
                <c:ptCount val="1"/>
                <c:pt idx="0">
                  <c:v>Überarbeitungen</c:v>
                </c:pt>
              </c:strCache>
            </c:strRef>
          </c:tx>
          <c:spPr>
            <a:solidFill>
              <a:schemeClr val="tx2">
                <a:lumMod val="20000"/>
                <a:lumOff val="80000"/>
              </a:schemeClr>
            </a:solidFill>
            <a:ln>
              <a:solidFill>
                <a:schemeClr val="tx1"/>
              </a:solidFill>
            </a:ln>
          </c:spPr>
          <c:invertIfNegative val="0"/>
          <c:cat>
            <c:numRef>
              <c:f>'fig.4+5_TGs'!$A$39:$A$50</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'fig.4+5_TGs'!$C$39:$C$50</c:f>
              <c:numCache>
                <c:formatCode>0</c:formatCode>
                <c:ptCount val="12"/>
                <c:pt idx="0">
                  <c:v>27</c:v>
                </c:pt>
                <c:pt idx="1">
                  <c:v>23</c:v>
                </c:pt>
                <c:pt idx="2">
                  <c:v>23.5</c:v>
                </c:pt>
                <c:pt idx="3">
                  <c:v>28.5</c:v>
                </c:pt>
                <c:pt idx="4">
                  <c:v>24</c:v>
                </c:pt>
                <c:pt idx="5">
                  <c:v>22</c:v>
                </c:pt>
                <c:pt idx="6">
                  <c:v>19</c:v>
                </c:pt>
                <c:pt idx="7">
                  <c:v>26</c:v>
                </c:pt>
                <c:pt idx="8">
                  <c:v>17</c:v>
                </c:pt>
                <c:pt idx="9">
                  <c:v>16</c:v>
                </c:pt>
                <c:pt idx="10">
                  <c:v>16</c:v>
                </c:pt>
                <c:pt idx="11">
                  <c:v>13</c:v>
                </c:pt>
              </c:numCache>
            </c:numRef>
          </c:val>
        </c:ser>
        <c:ser>
          <c:idx val="2"/>
          <c:order val="2"/>
          <c:tx>
            <c:strRef>
              <c:f>'fig.4+5_TGs'!$D$38</c:f>
              <c:strCache>
                <c:ptCount val="1"/>
                <c:pt idx="0">
                  <c:v>Teilüberarbeitungen</c:v>
                </c:pt>
              </c:strCache>
            </c:strRef>
          </c:tx>
          <c:spPr>
            <a:solidFill>
              <a:srgbClr val="FFFF99"/>
            </a:solidFill>
            <a:ln>
              <a:solidFill>
                <a:schemeClr val="tx1"/>
              </a:solidFill>
            </a:ln>
          </c:spPr>
          <c:invertIfNegative val="0"/>
          <c:cat>
            <c:numRef>
              <c:f>'fig.4+5_TGs'!$A$39:$A$50</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'fig.4+5_TGs'!$D$39:$D$50</c:f>
              <c:numCache>
                <c:formatCode>0</c:formatCode>
                <c:ptCount val="12"/>
                <c:pt idx="0">
                  <c:v>0</c:v>
                </c:pt>
                <c:pt idx="1">
                  <c:v>0</c:v>
                </c:pt>
                <c:pt idx="2">
                  <c:v>0</c:v>
                </c:pt>
                <c:pt idx="3">
                  <c:v>0</c:v>
                </c:pt>
                <c:pt idx="4">
                  <c:v>0</c:v>
                </c:pt>
                <c:pt idx="5">
                  <c:v>0</c:v>
                </c:pt>
                <c:pt idx="6">
                  <c:v>0</c:v>
                </c:pt>
                <c:pt idx="7">
                  <c:v>5</c:v>
                </c:pt>
                <c:pt idx="8">
                  <c:v>7</c:v>
                </c:pt>
                <c:pt idx="9">
                  <c:v>7</c:v>
                </c:pt>
                <c:pt idx="10">
                  <c:v>7</c:v>
                </c:pt>
                <c:pt idx="11">
                  <c:v>6</c:v>
                </c:pt>
              </c:numCache>
            </c:numRef>
          </c:val>
        </c:ser>
        <c:dLbls>
          <c:showLegendKey val="0"/>
          <c:showVal val="0"/>
          <c:showCatName val="0"/>
          <c:showSerName val="0"/>
          <c:showPercent val="0"/>
          <c:showBubbleSize val="0"/>
        </c:dLbls>
        <c:gapWidth val="150"/>
        <c:overlap val="100"/>
        <c:axId val="220109824"/>
        <c:axId val="228762752"/>
      </c:barChart>
      <c:catAx>
        <c:axId val="220109824"/>
        <c:scaling>
          <c:orientation val="minMax"/>
        </c:scaling>
        <c:delete val="0"/>
        <c:axPos val="b"/>
        <c:numFmt formatCode="General" sourceLinked="1"/>
        <c:majorTickMark val="out"/>
        <c:minorTickMark val="none"/>
        <c:tickLblPos val="nextTo"/>
        <c:crossAx val="228762752"/>
        <c:crosses val="autoZero"/>
        <c:auto val="1"/>
        <c:lblAlgn val="ctr"/>
        <c:lblOffset val="100"/>
        <c:noMultiLvlLbl val="0"/>
      </c:catAx>
      <c:valAx>
        <c:axId val="228762752"/>
        <c:scaling>
          <c:orientation val="minMax"/>
        </c:scaling>
        <c:delete val="0"/>
        <c:axPos val="l"/>
        <c:majorGridlines/>
        <c:numFmt formatCode="0" sourceLinked="1"/>
        <c:majorTickMark val="out"/>
        <c:minorTickMark val="none"/>
        <c:tickLblPos val="nextTo"/>
        <c:crossAx val="220109824"/>
        <c:crosses val="autoZero"/>
        <c:crossBetween val="between"/>
      </c:valAx>
    </c:plotArea>
    <c:legend>
      <c:legendPos val="r"/>
      <c:layout>
        <c:manualLayout>
          <c:xMode val="edge"/>
          <c:yMode val="edge"/>
          <c:x val="0.10113909135971007"/>
          <c:y val="3.8339409908391804E-2"/>
          <c:w val="0.30347794335502071"/>
          <c:h val="0.1793391936505154"/>
        </c:manualLayout>
      </c:layout>
      <c:overlay val="0"/>
      <c:spPr>
        <a:solidFill>
          <a:sysClr val="window" lastClr="FFFFFF"/>
        </a:solidFill>
        <a:ln w="3175">
          <a:noFill/>
        </a:ln>
      </c:spPr>
    </c:legend>
    <c:plotVisOnly val="1"/>
    <c:dispBlanksAs val="gap"/>
    <c:showDLblsOverMax val="0"/>
  </c:chart>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Einträge in PLUTO insgesamt</c:v>
          </c:tx>
          <c:invertIfNegative val="0"/>
          <c:cat>
            <c:numRef>
              <c:f>Fig.6_Pluto!$A$7:$A$9</c:f>
              <c:numCache>
                <c:formatCode>General</c:formatCode>
                <c:ptCount val="3"/>
                <c:pt idx="0">
                  <c:v>2011</c:v>
                </c:pt>
                <c:pt idx="1">
                  <c:v>2012</c:v>
                </c:pt>
                <c:pt idx="2">
                  <c:v>2013</c:v>
                </c:pt>
              </c:numCache>
            </c:numRef>
          </c:cat>
          <c:val>
            <c:numRef>
              <c:f>Fig.6_Pluto!$B$7:$B$9</c:f>
              <c:numCache>
                <c:formatCode>General</c:formatCode>
                <c:ptCount val="3"/>
                <c:pt idx="0">
                  <c:v>575378</c:v>
                </c:pt>
                <c:pt idx="1">
                  <c:v>620517</c:v>
                </c:pt>
                <c:pt idx="2">
                  <c:v>645068</c:v>
                </c:pt>
              </c:numCache>
            </c:numRef>
          </c:val>
        </c:ser>
        <c:ser>
          <c:idx val="1"/>
          <c:order val="1"/>
          <c:tx>
            <c:v>Züchterrechtseinträge in PLUTO</c:v>
          </c:tx>
          <c:invertIfNegative val="0"/>
          <c:cat>
            <c:numRef>
              <c:f>Fig.6_Pluto!$A$7:$A$9</c:f>
              <c:numCache>
                <c:formatCode>General</c:formatCode>
                <c:ptCount val="3"/>
                <c:pt idx="0">
                  <c:v>2011</c:v>
                </c:pt>
                <c:pt idx="1">
                  <c:v>2012</c:v>
                </c:pt>
                <c:pt idx="2">
                  <c:v>2013</c:v>
                </c:pt>
              </c:numCache>
            </c:numRef>
          </c:cat>
          <c:val>
            <c:numRef>
              <c:f>Fig.6_Pluto!$C$7:$C$9</c:f>
              <c:numCache>
                <c:formatCode>General</c:formatCode>
                <c:ptCount val="3"/>
                <c:pt idx="0">
                  <c:v>224189</c:v>
                </c:pt>
                <c:pt idx="1">
                  <c:v>236107</c:v>
                </c:pt>
                <c:pt idx="2">
                  <c:v>247818</c:v>
                </c:pt>
              </c:numCache>
            </c:numRef>
          </c:val>
        </c:ser>
        <c:dLbls>
          <c:showLegendKey val="0"/>
          <c:showVal val="0"/>
          <c:showCatName val="0"/>
          <c:showSerName val="0"/>
          <c:showPercent val="0"/>
          <c:showBubbleSize val="0"/>
        </c:dLbls>
        <c:gapWidth val="150"/>
        <c:axId val="28873088"/>
        <c:axId val="28874624"/>
      </c:barChart>
      <c:lineChart>
        <c:grouping val="standard"/>
        <c:varyColors val="0"/>
        <c:ser>
          <c:idx val="2"/>
          <c:order val="2"/>
          <c:tx>
            <c:v>Von Prüfungsrichtlinien erfaßte Züchterrechtseinträge</c:v>
          </c:tx>
          <c:marker>
            <c:symbol val="none"/>
          </c:marker>
          <c:dLbls>
            <c:dLbl>
              <c:idx val="0"/>
              <c:layout>
                <c:manualLayout>
                  <c:x val="-7.4999999999999997E-2"/>
                  <c:y val="-3.7037037037037035E-2"/>
                </c:manualLayout>
              </c:layout>
              <c:tx>
                <c:rich>
                  <a:bodyPr/>
                  <a:lstStyle/>
                  <a:p>
                    <a:r>
                      <a:rPr lang="en-US"/>
                      <a:t>90%</a:t>
                    </a:r>
                  </a:p>
                </c:rich>
              </c:tx>
              <c:showLegendKey val="0"/>
              <c:showVal val="1"/>
              <c:showCatName val="0"/>
              <c:showSerName val="0"/>
              <c:showPercent val="0"/>
              <c:showBubbleSize val="0"/>
            </c:dLbl>
            <c:dLbl>
              <c:idx val="1"/>
              <c:layout>
                <c:manualLayout>
                  <c:x val="-7.2222222222222215E-2"/>
                  <c:y val="-3.2407407407407406E-2"/>
                </c:manualLayout>
              </c:layout>
              <c:tx>
                <c:rich>
                  <a:bodyPr/>
                  <a:lstStyle/>
                  <a:p>
                    <a:r>
                      <a:rPr lang="en-US"/>
                      <a:t>90%</a:t>
                    </a:r>
                  </a:p>
                </c:rich>
              </c:tx>
              <c:showLegendKey val="0"/>
              <c:showVal val="1"/>
              <c:showCatName val="0"/>
              <c:showSerName val="0"/>
              <c:showPercent val="0"/>
              <c:showBubbleSize val="0"/>
            </c:dLbl>
            <c:dLbl>
              <c:idx val="2"/>
              <c:layout>
                <c:manualLayout>
                  <c:x val="-7.2222222222222215E-2"/>
                  <c:y val="-3.7037037037037035E-2"/>
                </c:manualLayout>
              </c:layout>
              <c:tx>
                <c:rich>
                  <a:bodyPr/>
                  <a:lstStyle/>
                  <a:p>
                    <a:r>
                      <a:rPr lang="en-US"/>
                      <a:t>91%</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Fig.6_Pluto!$A$7:$A$9</c:f>
              <c:numCache>
                <c:formatCode>General</c:formatCode>
                <c:ptCount val="3"/>
                <c:pt idx="0">
                  <c:v>2011</c:v>
                </c:pt>
                <c:pt idx="1">
                  <c:v>2012</c:v>
                </c:pt>
                <c:pt idx="2">
                  <c:v>2013</c:v>
                </c:pt>
              </c:numCache>
            </c:numRef>
          </c:cat>
          <c:val>
            <c:numRef>
              <c:f>Fig.6_Pluto!$D$7:$D$9</c:f>
              <c:numCache>
                <c:formatCode>General</c:formatCode>
                <c:ptCount val="3"/>
                <c:pt idx="0">
                  <c:v>201873</c:v>
                </c:pt>
                <c:pt idx="1">
                  <c:v>207235</c:v>
                </c:pt>
                <c:pt idx="2">
                  <c:v>217298</c:v>
                </c:pt>
              </c:numCache>
            </c:numRef>
          </c:val>
          <c:smooth val="0"/>
        </c:ser>
        <c:dLbls>
          <c:showLegendKey val="0"/>
          <c:showVal val="0"/>
          <c:showCatName val="0"/>
          <c:showSerName val="0"/>
          <c:showPercent val="0"/>
          <c:showBubbleSize val="0"/>
        </c:dLbls>
        <c:marker val="1"/>
        <c:smooth val="0"/>
        <c:axId val="28873088"/>
        <c:axId val="28874624"/>
      </c:lineChart>
      <c:catAx>
        <c:axId val="28873088"/>
        <c:scaling>
          <c:orientation val="minMax"/>
        </c:scaling>
        <c:delete val="0"/>
        <c:axPos val="b"/>
        <c:numFmt formatCode="General" sourceLinked="1"/>
        <c:majorTickMark val="out"/>
        <c:minorTickMark val="none"/>
        <c:tickLblPos val="nextTo"/>
        <c:crossAx val="28874624"/>
        <c:crosses val="autoZero"/>
        <c:auto val="1"/>
        <c:lblAlgn val="ctr"/>
        <c:lblOffset val="100"/>
        <c:noMultiLvlLbl val="0"/>
      </c:catAx>
      <c:valAx>
        <c:axId val="28874624"/>
        <c:scaling>
          <c:orientation val="minMax"/>
        </c:scaling>
        <c:delete val="0"/>
        <c:axPos val="l"/>
        <c:majorGridlines/>
        <c:numFmt formatCode="#,##0" sourceLinked="0"/>
        <c:majorTickMark val="out"/>
        <c:minorTickMark val="none"/>
        <c:tickLblPos val="nextTo"/>
        <c:crossAx val="28873088"/>
        <c:crosses val="autoZero"/>
        <c:crossBetween val="between"/>
      </c:valAx>
    </c:plotArea>
    <c:legend>
      <c:legendPos val="r"/>
      <c:overlay val="0"/>
    </c:legend>
    <c:plotVisOnly val="1"/>
    <c:dispBlanksAs val="gap"/>
    <c:showDLblsOverMax val="0"/>
  </c:chart>
  <c:spPr>
    <a:ln>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490888638920137E-2"/>
          <c:y val="0.18241758241758241"/>
          <c:w val="0.92738398816899159"/>
          <c:h val="0.73967900564153621"/>
        </c:manualLayout>
      </c:layout>
      <c:bar3DChart>
        <c:barDir val="col"/>
        <c:grouping val="standard"/>
        <c:varyColors val="0"/>
        <c:ser>
          <c:idx val="0"/>
          <c:order val="0"/>
          <c:tx>
            <c:v>Vereinbarungen über Zusammenarbeit</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700" b="1"/>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layout>
                <c:manualLayout>
                  <c:x val="4.3080236941303177E-3"/>
                  <c:y val="5.8608058608058608E-2"/>
                </c:manualLayout>
              </c:layout>
              <c:showLegendKey val="0"/>
              <c:showVal val="1"/>
              <c:showCatName val="0"/>
              <c:showSerName val="0"/>
              <c:showPercent val="0"/>
              <c:showBubbleSize val="0"/>
            </c:dLbl>
            <c:txPr>
              <a:bodyPr/>
              <a:lstStyle/>
              <a:p>
                <a:pPr>
                  <a:defRPr sz="700" b="1"/>
                </a:pPr>
                <a:endParaRPr lang="en-US"/>
              </a:p>
            </c:txPr>
            <c:showLegendKey val="0"/>
            <c:showVal val="1"/>
            <c:showCatName val="0"/>
            <c:showSerName val="0"/>
            <c:showPercent val="0"/>
            <c:showBubbleSize val="0"/>
            <c:showLeaderLines val="0"/>
          </c:dLbls>
          <c:cat>
            <c:numRef>
              <c:f>fig.7_coop!$A$31:$A$39</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fig.7_coop!$E$31:$E$39</c:f>
              <c:numCache>
                <c:formatCode>General</c:formatCode>
                <c:ptCount val="9"/>
                <c:pt idx="0">
                  <c:v>640</c:v>
                </c:pt>
                <c:pt idx="1">
                  <c:v>570</c:v>
                </c:pt>
                <c:pt idx="2">
                  <c:v>1360</c:v>
                </c:pt>
                <c:pt idx="3">
                  <c:v>1360</c:v>
                </c:pt>
                <c:pt idx="4">
                  <c:v>1379</c:v>
                </c:pt>
                <c:pt idx="5">
                  <c:v>1417</c:v>
                </c:pt>
                <c:pt idx="6">
                  <c:v>1990</c:v>
                </c:pt>
                <c:pt idx="7">
                  <c:v>1991</c:v>
                </c:pt>
                <c:pt idx="8">
                  <c:v>1997</c:v>
                </c:pt>
              </c:numCache>
            </c:numRef>
          </c:val>
        </c:ser>
        <c:ser>
          <c:idx val="1"/>
          <c:order val="1"/>
          <c:tx>
            <c:v>Praktische Erfahrung</c:v>
          </c:tx>
          <c:spPr>
            <a:solidFill>
              <a:srgbClr val="99CC00"/>
            </a:solidFill>
            <a:ln w="12700">
              <a:solidFill>
                <a:srgbClr val="000000"/>
              </a:solidFill>
              <a:prstDash val="solid"/>
            </a:ln>
          </c:spPr>
          <c:invertIfNegative val="0"/>
          <c:dLbls>
            <c:dLbl>
              <c:idx val="0"/>
              <c:layout>
                <c:manualLayout>
                  <c:x val="-2.1034688919135511E-3"/>
                  <c:y val="4.8408179746762425E-2"/>
                </c:manualLayout>
              </c:layout>
              <c:spPr>
                <a:noFill/>
                <a:ln w="25400">
                  <a:noFill/>
                </a:ln>
              </c:spPr>
              <c:txPr>
                <a:bodyPr/>
                <a:lstStyle/>
                <a:p>
                  <a:pPr>
                    <a:defRPr sz="700" b="1"/>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layout>
                <c:manualLayout>
                  <c:x val="4.3080236941303177E-3"/>
                  <c:y val="5.5677655677655626E-2"/>
                </c:manualLayout>
              </c:layout>
              <c:showLegendKey val="0"/>
              <c:showVal val="1"/>
              <c:showCatName val="0"/>
              <c:showSerName val="0"/>
              <c:showPercent val="0"/>
              <c:showBubbleSize val="0"/>
            </c:dLbl>
            <c:txPr>
              <a:bodyPr/>
              <a:lstStyle/>
              <a:p>
                <a:pPr>
                  <a:defRPr sz="700" b="1"/>
                </a:pPr>
                <a:endParaRPr lang="en-US"/>
              </a:p>
            </c:txPr>
            <c:showLegendKey val="0"/>
            <c:showVal val="1"/>
            <c:showCatName val="0"/>
            <c:showSerName val="0"/>
            <c:showPercent val="0"/>
            <c:showBubbleSize val="0"/>
            <c:showLeaderLines val="0"/>
          </c:dLbls>
          <c:cat>
            <c:numRef>
              <c:f>fig.7_coop!$A$31:$A$39</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fig.7_coop!$D$31:$D$39</c:f>
              <c:numCache>
                <c:formatCode>General</c:formatCode>
                <c:ptCount val="9"/>
                <c:pt idx="0">
                  <c:v>1750</c:v>
                </c:pt>
                <c:pt idx="1">
                  <c:v>1900</c:v>
                </c:pt>
                <c:pt idx="2">
                  <c:v>2000</c:v>
                </c:pt>
                <c:pt idx="3">
                  <c:v>2170</c:v>
                </c:pt>
                <c:pt idx="4">
                  <c:v>2209</c:v>
                </c:pt>
                <c:pt idx="5">
                  <c:v>2254</c:v>
                </c:pt>
                <c:pt idx="6">
                  <c:v>2679</c:v>
                </c:pt>
                <c:pt idx="7">
                  <c:v>2726</c:v>
                </c:pt>
                <c:pt idx="8">
                  <c:v>2589</c:v>
                </c:pt>
              </c:numCache>
            </c:numRef>
          </c:val>
        </c:ser>
        <c:ser>
          <c:idx val="2"/>
          <c:order val="2"/>
          <c:tx>
            <c:v>Züchterrechtseinträge in der Datenbank für Pflanzensorten</c:v>
          </c:tx>
          <c:spPr>
            <a:solidFill>
              <a:srgbClr val="FFFFCC"/>
            </a:solidFill>
            <a:ln w="12700">
              <a:solidFill>
                <a:srgbClr val="000000"/>
              </a:solidFill>
              <a:prstDash val="solid"/>
            </a:ln>
          </c:spPr>
          <c:invertIfNegative val="0"/>
          <c:dLbls>
            <c:dLbl>
              <c:idx val="0"/>
              <c:layout>
                <c:manualLayout>
                  <c:x val="-6.0023999423335409E-4"/>
                  <c:y val="4.9303683193446975E-2"/>
                </c:manualLayout>
              </c:layout>
              <c:spPr>
                <a:noFill/>
                <a:ln w="25400">
                  <a:noFill/>
                </a:ln>
              </c:spPr>
              <c:txPr>
                <a:bodyPr/>
                <a:lstStyle/>
                <a:p>
                  <a:pPr>
                    <a:defRPr sz="700" b="1"/>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layout>
                <c:manualLayout>
                  <c:x val="4.3080236941303177E-3"/>
                  <c:y val="5.2747252747252747E-2"/>
                </c:manualLayout>
              </c:layout>
              <c:showLegendKey val="0"/>
              <c:showVal val="1"/>
              <c:showCatName val="0"/>
              <c:showSerName val="0"/>
              <c:showPercent val="0"/>
              <c:showBubbleSize val="0"/>
            </c:dLbl>
            <c:txPr>
              <a:bodyPr/>
              <a:lstStyle/>
              <a:p>
                <a:pPr>
                  <a:defRPr sz="700" b="1"/>
                </a:pPr>
                <a:endParaRPr lang="en-US"/>
              </a:p>
            </c:txPr>
            <c:showLegendKey val="0"/>
            <c:showVal val="1"/>
            <c:showCatName val="0"/>
            <c:showSerName val="0"/>
            <c:showPercent val="0"/>
            <c:showBubbleSize val="0"/>
            <c:showLeaderLines val="0"/>
          </c:dLbls>
          <c:cat>
            <c:numRef>
              <c:f>fig.7_coop!$A$31:$A$39</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fig.7_coop!$C$31:$C$39</c:f>
              <c:numCache>
                <c:formatCode>General</c:formatCode>
                <c:ptCount val="9"/>
                <c:pt idx="0">
                  <c:v>2336</c:v>
                </c:pt>
                <c:pt idx="1">
                  <c:v>2429</c:v>
                </c:pt>
                <c:pt idx="2">
                  <c:v>2522</c:v>
                </c:pt>
                <c:pt idx="3">
                  <c:v>2654</c:v>
                </c:pt>
                <c:pt idx="4">
                  <c:v>2790</c:v>
                </c:pt>
                <c:pt idx="5">
                  <c:v>2940</c:v>
                </c:pt>
                <c:pt idx="6">
                  <c:v>3042</c:v>
                </c:pt>
                <c:pt idx="7">
                  <c:v>3144</c:v>
                </c:pt>
                <c:pt idx="8">
                  <c:v>3297</c:v>
                </c:pt>
              </c:numCache>
            </c:numRef>
          </c:val>
        </c:ser>
        <c:dLbls>
          <c:showLegendKey val="0"/>
          <c:showVal val="0"/>
          <c:showCatName val="0"/>
          <c:showSerName val="0"/>
          <c:showPercent val="0"/>
          <c:showBubbleSize val="0"/>
        </c:dLbls>
        <c:gapWidth val="110"/>
        <c:shape val="box"/>
        <c:axId val="44447616"/>
        <c:axId val="79298560"/>
        <c:axId val="161674560"/>
      </c:bar3DChart>
      <c:catAx>
        <c:axId val="44447616"/>
        <c:scaling>
          <c:orientation val="minMax"/>
        </c:scaling>
        <c:delete val="0"/>
        <c:axPos val="b"/>
        <c:title>
          <c:tx>
            <c:rich>
              <a:bodyPr/>
              <a:lstStyle/>
              <a:p>
                <a:pPr>
                  <a:defRPr/>
                </a:pPr>
                <a:r>
                  <a:rPr lang="en-US"/>
                  <a:t>Jahr</a:t>
                </a:r>
              </a:p>
            </c:rich>
          </c:tx>
          <c:layout>
            <c:manualLayout>
              <c:xMode val="edge"/>
              <c:yMode val="edge"/>
              <c:x val="0.49865408181004839"/>
              <c:y val="0.9399267399267399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a:pPr>
            <a:endParaRPr lang="en-US"/>
          </a:p>
        </c:txPr>
        <c:crossAx val="79298560"/>
        <c:crosses val="autoZero"/>
        <c:auto val="1"/>
        <c:lblAlgn val="ctr"/>
        <c:lblOffset val="100"/>
        <c:tickLblSkip val="1"/>
        <c:tickMarkSkip val="1"/>
        <c:noMultiLvlLbl val="1"/>
      </c:catAx>
      <c:valAx>
        <c:axId val="79298560"/>
        <c:scaling>
          <c:orientation val="minMax"/>
        </c:scaling>
        <c:delete val="0"/>
        <c:axPos val="l"/>
        <c:majorGridlines>
          <c:spPr>
            <a:ln w="3175">
              <a:solidFill>
                <a:srgbClr val="000000"/>
              </a:solidFill>
              <a:prstDash val="solid"/>
            </a:ln>
          </c:spPr>
        </c:majorGridlines>
        <c:title>
          <c:tx>
            <c:rich>
              <a:bodyPr/>
              <a:lstStyle/>
              <a:p>
                <a:pPr>
                  <a:defRPr/>
                </a:pPr>
                <a:r>
                  <a:rPr lang="en-US"/>
                  <a:t>Anzahl Gattungen/Arten</a:t>
                </a:r>
              </a:p>
            </c:rich>
          </c:tx>
          <c:layout>
            <c:manualLayout>
              <c:xMode val="edge"/>
              <c:yMode val="edge"/>
              <c:x val="6.9408323959505053E-2"/>
              <c:y val="0.321919961347113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44447616"/>
        <c:crosses val="autoZero"/>
        <c:crossBetween val="between"/>
      </c:valAx>
      <c:serAx>
        <c:axId val="161674560"/>
        <c:scaling>
          <c:orientation val="minMax"/>
        </c:scaling>
        <c:delete val="1"/>
        <c:axPos val="b"/>
        <c:majorTickMark val="out"/>
        <c:minorTickMark val="none"/>
        <c:tickLblPos val="nextTo"/>
        <c:crossAx val="79298560"/>
        <c:crosses val="autoZero"/>
      </c:serAx>
      <c:spPr>
        <a:noFill/>
        <a:ln w="25400">
          <a:noFill/>
        </a:ln>
      </c:spPr>
    </c:plotArea>
    <c:legend>
      <c:legendPos val="t"/>
      <c:layout>
        <c:manualLayout>
          <c:xMode val="edge"/>
          <c:yMode val="edge"/>
          <c:x val="0.33930858642669659"/>
          <c:y val="2.3693313503597286E-2"/>
          <c:w val="0.57808705383908232"/>
          <c:h val="0.15868796572842186"/>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045190003423489E-2"/>
          <c:y val="6.0109289617486336E-2"/>
          <c:w val="0.8709499356058753"/>
          <c:h val="0.83901553289445374"/>
        </c:manualLayout>
      </c:layout>
      <c:lineChart>
        <c:grouping val="standard"/>
        <c:varyColors val="0"/>
        <c:ser>
          <c:idx val="0"/>
          <c:order val="0"/>
          <c:tx>
            <c:strRef>
              <c:f>'Fig.5+8+10+12'!$C$3</c:f>
              <c:strCache>
                <c:ptCount val="1"/>
                <c:pt idx="0">
                  <c:v>TWA</c:v>
                </c:pt>
              </c:strCache>
            </c:strRef>
          </c:tx>
          <c:marker>
            <c:symbol val="none"/>
          </c:marker>
          <c:cat>
            <c:numRef>
              <c:f>'Fig.5+8+10+12'!$A$5:$A$19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'Fig.5+8+10+12'!$S$5:$S$18</c:f>
              <c:numCache>
                <c:formatCode>General</c:formatCode>
                <c:ptCount val="14"/>
                <c:pt idx="0">
                  <c:v>1</c:v>
                </c:pt>
                <c:pt idx="1">
                  <c:v>6</c:v>
                </c:pt>
                <c:pt idx="2">
                  <c:v>7</c:v>
                </c:pt>
                <c:pt idx="3">
                  <c:v>1</c:v>
                </c:pt>
                <c:pt idx="4">
                  <c:v>3</c:v>
                </c:pt>
                <c:pt idx="5">
                  <c:v>3</c:v>
                </c:pt>
                <c:pt idx="6">
                  <c:v>3.5</c:v>
                </c:pt>
                <c:pt idx="7">
                  <c:v>1</c:v>
                </c:pt>
                <c:pt idx="8">
                  <c:v>4</c:v>
                </c:pt>
                <c:pt idx="9">
                  <c:v>1.5</c:v>
                </c:pt>
                <c:pt idx="10">
                  <c:v>1.5</c:v>
                </c:pt>
                <c:pt idx="11">
                  <c:v>1</c:v>
                </c:pt>
                <c:pt idx="12">
                  <c:v>3.5</c:v>
                </c:pt>
                <c:pt idx="13">
                  <c:v>3</c:v>
                </c:pt>
              </c:numCache>
            </c:numRef>
          </c:val>
          <c:smooth val="0"/>
        </c:ser>
        <c:ser>
          <c:idx val="1"/>
          <c:order val="1"/>
          <c:tx>
            <c:strRef>
              <c:f>'Fig.5+8+10+12'!$F$3</c:f>
              <c:strCache>
                <c:ptCount val="1"/>
                <c:pt idx="0">
                  <c:v>TWF</c:v>
                </c:pt>
              </c:strCache>
            </c:strRef>
          </c:tx>
          <c:marker>
            <c:symbol val="none"/>
          </c:marker>
          <c:cat>
            <c:numRef>
              <c:f>'Fig.5+8+10+12'!$A$5:$A$19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'Fig.5+8+10+12'!$T$5:$T$18</c:f>
              <c:numCache>
                <c:formatCode>General</c:formatCode>
                <c:ptCount val="14"/>
                <c:pt idx="0">
                  <c:v>1</c:v>
                </c:pt>
                <c:pt idx="1">
                  <c:v>1</c:v>
                </c:pt>
                <c:pt idx="2">
                  <c:v>2</c:v>
                </c:pt>
                <c:pt idx="3">
                  <c:v>8</c:v>
                </c:pt>
                <c:pt idx="4">
                  <c:v>1</c:v>
                </c:pt>
                <c:pt idx="5">
                  <c:v>2</c:v>
                </c:pt>
                <c:pt idx="6">
                  <c:v>6.5</c:v>
                </c:pt>
                <c:pt idx="7">
                  <c:v>2</c:v>
                </c:pt>
                <c:pt idx="8">
                  <c:v>5</c:v>
                </c:pt>
                <c:pt idx="9">
                  <c:v>1.5</c:v>
                </c:pt>
                <c:pt idx="10">
                  <c:v>4</c:v>
                </c:pt>
                <c:pt idx="11">
                  <c:v>8</c:v>
                </c:pt>
                <c:pt idx="12">
                  <c:v>3</c:v>
                </c:pt>
                <c:pt idx="13">
                  <c:v>3</c:v>
                </c:pt>
              </c:numCache>
            </c:numRef>
          </c:val>
          <c:smooth val="0"/>
        </c:ser>
        <c:ser>
          <c:idx val="3"/>
          <c:order val="2"/>
          <c:tx>
            <c:strRef>
              <c:f>'Fig.5+8+10+12'!$L$3</c:f>
              <c:strCache>
                <c:ptCount val="1"/>
                <c:pt idx="0">
                  <c:v>TWO</c:v>
                </c:pt>
              </c:strCache>
            </c:strRef>
          </c:tx>
          <c:marker>
            <c:symbol val="none"/>
          </c:marker>
          <c:cat>
            <c:numRef>
              <c:f>'Fig.5+8+10+12'!$A$5:$A$19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'Fig.5+8+10+12'!$U$5:$U$18</c:f>
              <c:numCache>
                <c:formatCode>General</c:formatCode>
                <c:ptCount val="14"/>
                <c:pt idx="0">
                  <c:v>3</c:v>
                </c:pt>
                <c:pt idx="1">
                  <c:v>4</c:v>
                </c:pt>
                <c:pt idx="2">
                  <c:v>7</c:v>
                </c:pt>
                <c:pt idx="3">
                  <c:v>8</c:v>
                </c:pt>
                <c:pt idx="4">
                  <c:v>4</c:v>
                </c:pt>
                <c:pt idx="5">
                  <c:v>4</c:v>
                </c:pt>
                <c:pt idx="6">
                  <c:v>7</c:v>
                </c:pt>
                <c:pt idx="7">
                  <c:v>6</c:v>
                </c:pt>
                <c:pt idx="8">
                  <c:v>5.5</c:v>
                </c:pt>
                <c:pt idx="9">
                  <c:v>6.5</c:v>
                </c:pt>
                <c:pt idx="10">
                  <c:v>7</c:v>
                </c:pt>
                <c:pt idx="11">
                  <c:v>6</c:v>
                </c:pt>
                <c:pt idx="12">
                  <c:v>5.5</c:v>
                </c:pt>
                <c:pt idx="13">
                  <c:v>10</c:v>
                </c:pt>
              </c:numCache>
            </c:numRef>
          </c:val>
          <c:smooth val="0"/>
        </c:ser>
        <c:ser>
          <c:idx val="2"/>
          <c:order val="3"/>
          <c:tx>
            <c:strRef>
              <c:f>'Fig.5+8+10+12'!$I$3</c:f>
              <c:strCache>
                <c:ptCount val="1"/>
                <c:pt idx="0">
                  <c:v>TWV</c:v>
                </c:pt>
              </c:strCache>
            </c:strRef>
          </c:tx>
          <c:marker>
            <c:symbol val="none"/>
          </c:marker>
          <c:cat>
            <c:numRef>
              <c:f>'Fig.5+8+10+12'!$A$5:$A$19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'Fig.5+8+10+12'!$V$5:$V$18</c:f>
              <c:numCache>
                <c:formatCode>General</c:formatCode>
                <c:ptCount val="14"/>
                <c:pt idx="0">
                  <c:v>1</c:v>
                </c:pt>
                <c:pt idx="1">
                  <c:v>7</c:v>
                </c:pt>
                <c:pt idx="2">
                  <c:v>6</c:v>
                </c:pt>
                <c:pt idx="3">
                  <c:v>9</c:v>
                </c:pt>
                <c:pt idx="4">
                  <c:v>8</c:v>
                </c:pt>
                <c:pt idx="5">
                  <c:v>4</c:v>
                </c:pt>
                <c:pt idx="6">
                  <c:v>6</c:v>
                </c:pt>
                <c:pt idx="7">
                  <c:v>9</c:v>
                </c:pt>
                <c:pt idx="8">
                  <c:v>6.5</c:v>
                </c:pt>
                <c:pt idx="9">
                  <c:v>5.5</c:v>
                </c:pt>
                <c:pt idx="10">
                  <c:v>3.5</c:v>
                </c:pt>
                <c:pt idx="11">
                  <c:v>5</c:v>
                </c:pt>
                <c:pt idx="12">
                  <c:v>4</c:v>
                </c:pt>
                <c:pt idx="13">
                  <c:v>8</c:v>
                </c:pt>
              </c:numCache>
            </c:numRef>
          </c:val>
          <c:smooth val="0"/>
        </c:ser>
        <c:dLbls>
          <c:showLegendKey val="0"/>
          <c:showVal val="0"/>
          <c:showCatName val="0"/>
          <c:showSerName val="0"/>
          <c:showPercent val="0"/>
          <c:showBubbleSize val="0"/>
        </c:dLbls>
        <c:marker val="1"/>
        <c:smooth val="0"/>
        <c:axId val="79510912"/>
        <c:axId val="79520896"/>
      </c:lineChart>
      <c:catAx>
        <c:axId val="7951091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79520896"/>
        <c:crosses val="autoZero"/>
        <c:auto val="1"/>
        <c:lblAlgn val="ctr"/>
        <c:lblOffset val="100"/>
        <c:noMultiLvlLbl val="0"/>
      </c:catAx>
      <c:valAx>
        <c:axId val="79520896"/>
        <c:scaling>
          <c:orientation val="minMax"/>
        </c:scaling>
        <c:delete val="0"/>
        <c:axPos val="l"/>
        <c:majorGridlines/>
        <c:numFmt formatCode="General" sourceLinked="1"/>
        <c:majorTickMark val="out"/>
        <c:minorTickMark val="none"/>
        <c:tickLblPos val="nextTo"/>
        <c:crossAx val="79510912"/>
        <c:crosses val="autoZero"/>
        <c:crossBetween val="midCat"/>
      </c:valAx>
    </c:plotArea>
    <c:legend>
      <c:legendPos val="r"/>
      <c:layout>
        <c:manualLayout>
          <c:xMode val="edge"/>
          <c:yMode val="edge"/>
          <c:x val="0.4451547904338044"/>
          <c:y val="3.4065659825308722E-2"/>
          <c:w val="0.37265059258896988"/>
          <c:h val="0.1504479153220601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sz="6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203071460079301E-2"/>
          <c:y val="4.9162745906126286E-2"/>
          <c:w val="0.8792865739145258"/>
          <c:h val="0.82312548769241678"/>
        </c:manualLayout>
      </c:layout>
      <c:lineChart>
        <c:grouping val="standard"/>
        <c:varyColors val="0"/>
        <c:ser>
          <c:idx val="0"/>
          <c:order val="0"/>
          <c:tx>
            <c:strRef>
              <c:f>'Fig.5+8+10+12'!$W$24</c:f>
              <c:strCache>
                <c:ptCount val="1"/>
                <c:pt idx="0">
                  <c:v>TWA</c:v>
                </c:pt>
              </c:strCache>
            </c:strRef>
          </c:tx>
          <c:marker>
            <c:symbol val="none"/>
          </c:marker>
          <c:cat>
            <c:numRef>
              <c:f>'Fig.5+8+10+12'!$A$25:$A$38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'Fig.5+8+10+12'!$W$25:$W$38</c:f>
              <c:numCache>
                <c:formatCode>General</c:formatCode>
                <c:ptCount val="14"/>
                <c:pt idx="0">
                  <c:v>8</c:v>
                </c:pt>
                <c:pt idx="1">
                  <c:v>12</c:v>
                </c:pt>
                <c:pt idx="2">
                  <c:v>9</c:v>
                </c:pt>
                <c:pt idx="3">
                  <c:v>10.5</c:v>
                </c:pt>
                <c:pt idx="4">
                  <c:v>12</c:v>
                </c:pt>
                <c:pt idx="5">
                  <c:v>11</c:v>
                </c:pt>
                <c:pt idx="6">
                  <c:v>8</c:v>
                </c:pt>
                <c:pt idx="7">
                  <c:v>14.33</c:v>
                </c:pt>
                <c:pt idx="8">
                  <c:v>10</c:v>
                </c:pt>
                <c:pt idx="9">
                  <c:v>11.5</c:v>
                </c:pt>
                <c:pt idx="10">
                  <c:v>11.5</c:v>
                </c:pt>
                <c:pt idx="11">
                  <c:v>12.5</c:v>
                </c:pt>
                <c:pt idx="12">
                  <c:v>15</c:v>
                </c:pt>
                <c:pt idx="13">
                  <c:v>11.5</c:v>
                </c:pt>
              </c:numCache>
            </c:numRef>
          </c:val>
          <c:smooth val="0"/>
        </c:ser>
        <c:ser>
          <c:idx val="1"/>
          <c:order val="1"/>
          <c:tx>
            <c:strRef>
              <c:f>'Fig.5+8+10+12'!$X$24</c:f>
              <c:strCache>
                <c:ptCount val="1"/>
                <c:pt idx="0">
                  <c:v>TWF</c:v>
                </c:pt>
              </c:strCache>
            </c:strRef>
          </c:tx>
          <c:marker>
            <c:symbol val="none"/>
          </c:marker>
          <c:cat>
            <c:numRef>
              <c:f>'Fig.5+8+10+12'!$A$25:$A$38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'Fig.5+8+10+12'!$X$25:$X$38</c:f>
              <c:numCache>
                <c:formatCode>General</c:formatCode>
                <c:ptCount val="14"/>
                <c:pt idx="0">
                  <c:v>9</c:v>
                </c:pt>
                <c:pt idx="1">
                  <c:v>11</c:v>
                </c:pt>
                <c:pt idx="2">
                  <c:v>17</c:v>
                </c:pt>
                <c:pt idx="3">
                  <c:v>11.5</c:v>
                </c:pt>
                <c:pt idx="4">
                  <c:v>13.5</c:v>
                </c:pt>
                <c:pt idx="5">
                  <c:v>18</c:v>
                </c:pt>
                <c:pt idx="6">
                  <c:v>19</c:v>
                </c:pt>
                <c:pt idx="7">
                  <c:v>17.5</c:v>
                </c:pt>
                <c:pt idx="8">
                  <c:v>17</c:v>
                </c:pt>
                <c:pt idx="9">
                  <c:v>21</c:v>
                </c:pt>
                <c:pt idx="10">
                  <c:v>14</c:v>
                </c:pt>
                <c:pt idx="11">
                  <c:v>11</c:v>
                </c:pt>
                <c:pt idx="12">
                  <c:v>12</c:v>
                </c:pt>
                <c:pt idx="13">
                  <c:v>12</c:v>
                </c:pt>
              </c:numCache>
            </c:numRef>
          </c:val>
          <c:smooth val="0"/>
        </c:ser>
        <c:ser>
          <c:idx val="2"/>
          <c:order val="2"/>
          <c:tx>
            <c:strRef>
              <c:f>'Fig.5+8+10+12'!$Y$24</c:f>
              <c:strCache>
                <c:ptCount val="1"/>
                <c:pt idx="0">
                  <c:v>TWO</c:v>
                </c:pt>
              </c:strCache>
            </c:strRef>
          </c:tx>
          <c:spPr>
            <a:ln>
              <a:solidFill>
                <a:srgbClr val="7030A0"/>
              </a:solidFill>
            </a:ln>
          </c:spPr>
          <c:marker>
            <c:symbol val="none"/>
          </c:marker>
          <c:cat>
            <c:numRef>
              <c:f>'Fig.5+8+10+12'!$A$25:$A$38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'Fig.5+8+10+12'!$Y$25:$Y$38</c:f>
              <c:numCache>
                <c:formatCode>General</c:formatCode>
                <c:ptCount val="14"/>
                <c:pt idx="0">
                  <c:v>14</c:v>
                </c:pt>
                <c:pt idx="1">
                  <c:v>12</c:v>
                </c:pt>
                <c:pt idx="2">
                  <c:v>18</c:v>
                </c:pt>
                <c:pt idx="3">
                  <c:v>22</c:v>
                </c:pt>
                <c:pt idx="4">
                  <c:v>17</c:v>
                </c:pt>
                <c:pt idx="5">
                  <c:v>22.5</c:v>
                </c:pt>
                <c:pt idx="6">
                  <c:v>22</c:v>
                </c:pt>
                <c:pt idx="7">
                  <c:v>19</c:v>
                </c:pt>
                <c:pt idx="8">
                  <c:v>24</c:v>
                </c:pt>
                <c:pt idx="9">
                  <c:v>22</c:v>
                </c:pt>
                <c:pt idx="10">
                  <c:v>21.5</c:v>
                </c:pt>
                <c:pt idx="11">
                  <c:v>23.5</c:v>
                </c:pt>
                <c:pt idx="12">
                  <c:v>22</c:v>
                </c:pt>
                <c:pt idx="13">
                  <c:v>15</c:v>
                </c:pt>
              </c:numCache>
            </c:numRef>
          </c:val>
          <c:smooth val="0"/>
        </c:ser>
        <c:ser>
          <c:idx val="3"/>
          <c:order val="3"/>
          <c:tx>
            <c:strRef>
              <c:f>'Fig.5+8+10+12'!$Z$24</c:f>
              <c:strCache>
                <c:ptCount val="1"/>
                <c:pt idx="0">
                  <c:v>TWV</c:v>
                </c:pt>
              </c:strCache>
            </c:strRef>
          </c:tx>
          <c:spPr>
            <a:ln>
              <a:solidFill>
                <a:srgbClr val="92D050"/>
              </a:solidFill>
            </a:ln>
          </c:spPr>
          <c:marker>
            <c:symbol val="none"/>
          </c:marker>
          <c:cat>
            <c:numRef>
              <c:f>'Fig.5+8+10+12'!$A$25:$A$38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'Fig.5+8+10+12'!$Z$25:$Z$38</c:f>
              <c:numCache>
                <c:formatCode>General</c:formatCode>
                <c:ptCount val="14"/>
                <c:pt idx="0">
                  <c:v>11</c:v>
                </c:pt>
                <c:pt idx="1">
                  <c:v>9</c:v>
                </c:pt>
                <c:pt idx="2">
                  <c:v>13</c:v>
                </c:pt>
                <c:pt idx="3">
                  <c:v>12</c:v>
                </c:pt>
                <c:pt idx="4">
                  <c:v>11.5</c:v>
                </c:pt>
                <c:pt idx="5">
                  <c:v>11</c:v>
                </c:pt>
                <c:pt idx="6">
                  <c:v>14.5</c:v>
                </c:pt>
                <c:pt idx="7">
                  <c:v>17.829999999999998</c:v>
                </c:pt>
                <c:pt idx="8">
                  <c:v>14</c:v>
                </c:pt>
                <c:pt idx="9">
                  <c:v>13</c:v>
                </c:pt>
                <c:pt idx="10">
                  <c:v>15</c:v>
                </c:pt>
                <c:pt idx="11">
                  <c:v>13</c:v>
                </c:pt>
                <c:pt idx="12">
                  <c:v>13</c:v>
                </c:pt>
                <c:pt idx="13">
                  <c:v>10.5</c:v>
                </c:pt>
              </c:numCache>
            </c:numRef>
          </c:val>
          <c:smooth val="0"/>
        </c:ser>
        <c:dLbls>
          <c:showLegendKey val="0"/>
          <c:showVal val="0"/>
          <c:showCatName val="0"/>
          <c:showSerName val="0"/>
          <c:showPercent val="0"/>
          <c:showBubbleSize val="0"/>
        </c:dLbls>
        <c:marker val="1"/>
        <c:smooth val="0"/>
        <c:axId val="79535488"/>
        <c:axId val="79537280"/>
      </c:lineChart>
      <c:catAx>
        <c:axId val="7953548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79537280"/>
        <c:crosses val="autoZero"/>
        <c:auto val="1"/>
        <c:lblAlgn val="ctr"/>
        <c:lblOffset val="100"/>
        <c:noMultiLvlLbl val="0"/>
      </c:catAx>
      <c:valAx>
        <c:axId val="79537280"/>
        <c:scaling>
          <c:orientation val="minMax"/>
        </c:scaling>
        <c:delete val="0"/>
        <c:axPos val="l"/>
        <c:majorGridlines/>
        <c:numFmt formatCode="General" sourceLinked="1"/>
        <c:majorTickMark val="out"/>
        <c:minorTickMark val="none"/>
        <c:tickLblPos val="nextTo"/>
        <c:crossAx val="79535488"/>
        <c:crosses val="autoZero"/>
        <c:crossBetween val="midCat"/>
      </c:valAx>
    </c:plotArea>
    <c:legend>
      <c:legendPos val="r"/>
      <c:layout>
        <c:manualLayout>
          <c:xMode val="edge"/>
          <c:yMode val="edge"/>
          <c:x val="0.55483934073458197"/>
          <c:y val="2.9890176864828047E-2"/>
          <c:w val="0.37097895371774181"/>
          <c:h val="0.13441927867124717"/>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sz="6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4942-125F-4656-A1A6-AAC2E260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45</Pages>
  <Words>9461</Words>
  <Characters>72635</Characters>
  <Application>Microsoft Office Word</Application>
  <DocSecurity>0</DocSecurity>
  <Lines>605</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81933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subject/>
  <dc:creator>MAY Jessica</dc:creator>
  <cp:keywords/>
  <dc:description/>
  <cp:lastModifiedBy>SANCHEZ-VIZCAINO GOMEZ Rosa Maria</cp:lastModifiedBy>
  <cp:revision>86</cp:revision>
  <cp:lastPrinted>2014-09-18T17:14:00Z</cp:lastPrinted>
  <dcterms:created xsi:type="dcterms:W3CDTF">2014-09-02T10:24:00Z</dcterms:created>
  <dcterms:modified xsi:type="dcterms:W3CDTF">2014-09-18T17:15:00Z</dcterms:modified>
</cp:coreProperties>
</file>