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7078A" w:rsidRPr="00C5280D" w:rsidTr="00F046AC">
        <w:trPr>
          <w:trHeight w:val="1760"/>
        </w:trPr>
        <w:tc>
          <w:tcPr>
            <w:tcW w:w="3993" w:type="dxa"/>
          </w:tcPr>
          <w:p w:rsidR="0067078A" w:rsidRPr="005D2FEA" w:rsidRDefault="0067078A" w:rsidP="00F046AC">
            <w:bookmarkStart w:id="0" w:name="TitleOfDoc"/>
            <w:bookmarkEnd w:id="0"/>
          </w:p>
        </w:tc>
        <w:tc>
          <w:tcPr>
            <w:tcW w:w="1549" w:type="dxa"/>
            <w:vAlign w:val="center"/>
          </w:tcPr>
          <w:p w:rsidR="0067078A" w:rsidRPr="005D2FEA" w:rsidRDefault="0067078A" w:rsidP="00F046AC">
            <w:pPr>
              <w:pStyle w:val="LogoUPOV"/>
            </w:pPr>
            <w:r w:rsidRPr="005D2FEA">
              <w:rPr>
                <w:noProof/>
                <w:lang w:val="en-US" w:eastAsia="en-US" w:bidi="ar-SA"/>
              </w:rPr>
              <w:drawing>
                <wp:inline distT="0" distB="0" distL="0" distR="0" wp14:anchorId="240415E7" wp14:editId="4BC90CD8">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67078A" w:rsidRPr="005D2FEA" w:rsidRDefault="0067078A" w:rsidP="00F046AC">
            <w:pPr>
              <w:pStyle w:val="Lettrine"/>
            </w:pPr>
            <w:r w:rsidRPr="005D2FEA">
              <w:t>G</w:t>
            </w:r>
          </w:p>
          <w:p w:rsidR="0067078A" w:rsidRPr="005D2FEA" w:rsidRDefault="0067078A" w:rsidP="00F046AC">
            <w:pPr>
              <w:pStyle w:val="Docoriginal"/>
            </w:pPr>
            <w:r w:rsidRPr="005D2FEA">
              <w:t>C/48/</w:t>
            </w:r>
            <w:bookmarkStart w:id="1" w:name="Code"/>
            <w:bookmarkEnd w:id="1"/>
            <w:r w:rsidRPr="005D2FEA">
              <w:t>10</w:t>
            </w:r>
          </w:p>
          <w:p w:rsidR="0067078A" w:rsidRPr="005D2FEA" w:rsidRDefault="0067078A" w:rsidP="00F046AC">
            <w:pPr>
              <w:pStyle w:val="Docoriginal"/>
              <w:rPr>
                <w:b w:val="0"/>
                <w:spacing w:val="0"/>
              </w:rPr>
            </w:pPr>
            <w:r w:rsidRPr="005D2FEA">
              <w:rPr>
                <w:rStyle w:val="StyleDoclangBold"/>
                <w:b/>
                <w:spacing w:val="0"/>
              </w:rPr>
              <w:t>ORIGINAL:</w:t>
            </w:r>
            <w:r w:rsidRPr="005D2FEA">
              <w:rPr>
                <w:rStyle w:val="StyleDocoriginalNotBold1"/>
                <w:spacing w:val="0"/>
              </w:rPr>
              <w:t xml:space="preserve"> </w:t>
            </w:r>
            <w:bookmarkStart w:id="2" w:name="Original"/>
            <w:bookmarkEnd w:id="2"/>
            <w:r w:rsidRPr="005D2FEA">
              <w:rPr>
                <w:b w:val="0"/>
                <w:spacing w:val="0"/>
              </w:rPr>
              <w:t>englisch</w:t>
            </w:r>
          </w:p>
          <w:p w:rsidR="0067078A" w:rsidRPr="005D2FEA" w:rsidRDefault="0067078A" w:rsidP="00F046AC">
            <w:pPr>
              <w:pStyle w:val="Docoriginal"/>
            </w:pPr>
            <w:r w:rsidRPr="005D2FEA">
              <w:t xml:space="preserve">DATUM: </w:t>
            </w:r>
            <w:bookmarkStart w:id="3" w:name="Date"/>
            <w:bookmarkEnd w:id="3"/>
            <w:r w:rsidR="005D2FEA" w:rsidRPr="005D2FEA">
              <w:rPr>
                <w:b w:val="0"/>
                <w:spacing w:val="0"/>
              </w:rPr>
              <w:t>28</w:t>
            </w:r>
            <w:r w:rsidRPr="005D2FEA">
              <w:rPr>
                <w:b w:val="0"/>
                <w:spacing w:val="0"/>
              </w:rPr>
              <w:t>. Juli 2014</w:t>
            </w:r>
          </w:p>
        </w:tc>
      </w:tr>
      <w:tr w:rsidR="0067078A" w:rsidRPr="00C5280D" w:rsidTr="00F046AC">
        <w:tc>
          <w:tcPr>
            <w:tcW w:w="9534" w:type="dxa"/>
            <w:gridSpan w:val="3"/>
          </w:tcPr>
          <w:p w:rsidR="0067078A" w:rsidRPr="00C5280D" w:rsidRDefault="0067078A" w:rsidP="00F046AC">
            <w:pPr>
              <w:pStyle w:val="upove"/>
              <w:rPr>
                <w:sz w:val="28"/>
              </w:rPr>
            </w:pPr>
            <w:r>
              <w:t xml:space="preserve">INTERNATIONALER VERBAND ZUM SCHUTZ VON PFLANZENZÜCHTUNGEN </w:t>
            </w:r>
          </w:p>
        </w:tc>
      </w:tr>
      <w:tr w:rsidR="0067078A" w:rsidRPr="00C5280D" w:rsidTr="00F046AC">
        <w:tc>
          <w:tcPr>
            <w:tcW w:w="9534" w:type="dxa"/>
            <w:gridSpan w:val="3"/>
          </w:tcPr>
          <w:p w:rsidR="0067078A" w:rsidRPr="00C5280D" w:rsidRDefault="0067078A" w:rsidP="00F046AC">
            <w:pPr>
              <w:pStyle w:val="Country"/>
            </w:pPr>
            <w:r>
              <w:t>Genf</w:t>
            </w:r>
          </w:p>
        </w:tc>
      </w:tr>
    </w:tbl>
    <w:p w:rsidR="0067078A" w:rsidRPr="00C5280D" w:rsidRDefault="0067078A" w:rsidP="0067078A">
      <w:pPr>
        <w:pStyle w:val="Sessiontc"/>
      </w:pPr>
      <w:r>
        <w:t>DER RAT</w:t>
      </w:r>
    </w:p>
    <w:p w:rsidR="0067078A" w:rsidRPr="00C5280D" w:rsidRDefault="0067078A" w:rsidP="0067078A">
      <w:pPr>
        <w:pStyle w:val="Sessiontcplacedate"/>
      </w:pPr>
      <w:r>
        <w:t>Achtundvierzigste ordentliche Tagung</w:t>
      </w:r>
      <w:r>
        <w:br/>
        <w:t>Genf, 16. Oktober 2014</w:t>
      </w:r>
    </w:p>
    <w:p w:rsidR="000D7780" w:rsidRPr="00C5280D" w:rsidRDefault="00E51D87" w:rsidP="006655D3">
      <w:pPr>
        <w:pStyle w:val="Titleofdoc0"/>
      </w:pPr>
      <w:r>
        <w:t>Bericht über den Fortschritt der Arbeiten des Technischen Ausschusses, der Technischen Arbeitsgruppen und der Arbeitsgruppe für biochemische und molekulare Verfahren und insbesondere für DNS-Profilierungsverfahren</w:t>
      </w:r>
    </w:p>
    <w:p w:rsidR="000D7780" w:rsidRPr="00C5280D" w:rsidRDefault="00AE0EF1" w:rsidP="006655D3">
      <w:pPr>
        <w:pStyle w:val="preparedby1"/>
      </w:pPr>
      <w:bookmarkStart w:id="4" w:name="Prepared"/>
      <w:bookmarkEnd w:id="4"/>
      <w:r>
        <w:t>vom Verbandsbüro erstelltes Dokument</w:t>
      </w:r>
      <w:r>
        <w:br/>
      </w:r>
      <w:r>
        <w:br/>
      </w:r>
      <w:r>
        <w:rPr>
          <w:color w:val="A6A6A6" w:themeColor="background1" w:themeShade="A6"/>
        </w:rPr>
        <w:t>Haftungsausschluß:  dieses Dokument gibt nicht die Grundsätze oder eine Anleitung der UPOV wieder</w:t>
      </w:r>
    </w:p>
    <w:p w:rsidR="00F046AC" w:rsidRPr="00262B2F" w:rsidRDefault="00F046AC" w:rsidP="00F046AC">
      <w:pPr>
        <w:rPr>
          <w:szCs w:val="24"/>
        </w:rPr>
      </w:pPr>
      <w:r w:rsidRPr="00262B2F">
        <w:fldChar w:fldCharType="begin"/>
      </w:r>
      <w:r w:rsidRPr="00262B2F">
        <w:instrText xml:space="preserve"> AUTONUM  </w:instrText>
      </w:r>
      <w:r w:rsidRPr="00262B2F">
        <w:fldChar w:fldCharType="end"/>
      </w:r>
      <w:r>
        <w:tab/>
        <w:t>Dieses Dokument enthält einen Bericht über den Fortschritt der Arbeiten des Technischen Ausschusses (TC), seiner Technischen Arbeitsgruppen (TWP) und der Arbeitsgruppe für biochemische und molekulare Verfahren und insbesondere für DNS Profilierungsverfahren (BMT).</w:t>
      </w:r>
    </w:p>
    <w:p w:rsidR="00F046AC" w:rsidRPr="00262B2F" w:rsidRDefault="00F046AC" w:rsidP="00F046AC">
      <w:pPr>
        <w:rPr>
          <w:szCs w:val="24"/>
        </w:rPr>
      </w:pPr>
    </w:p>
    <w:p w:rsidR="00F046AC" w:rsidRPr="00262B2F" w:rsidRDefault="00F046AC" w:rsidP="00F046AC">
      <w:r w:rsidRPr="00262B2F">
        <w:fldChar w:fldCharType="begin"/>
      </w:r>
      <w:r w:rsidRPr="00262B2F">
        <w:instrText xml:space="preserve"> AUTONUM  </w:instrText>
      </w:r>
      <w:r w:rsidRPr="00262B2F">
        <w:fldChar w:fldCharType="end"/>
      </w:r>
      <w:r>
        <w:tab/>
        <w:t>In diesem Dokument werden folgende Abkürzungen verwendet:</w:t>
      </w:r>
    </w:p>
    <w:p w:rsidR="00F046AC" w:rsidRPr="00262B2F" w:rsidRDefault="00F046AC" w:rsidP="00F046AC"/>
    <w:p w:rsidR="00F046AC" w:rsidRPr="00262B2F" w:rsidRDefault="00F046AC" w:rsidP="00F046AC">
      <w:pPr>
        <w:tabs>
          <w:tab w:val="left" w:pos="567"/>
        </w:tabs>
        <w:ind w:left="2552" w:right="-1" w:hanging="2552"/>
        <w:jc w:val="left"/>
      </w:pPr>
      <w:r>
        <w:tab/>
        <w:t>CAJ:</w:t>
      </w:r>
      <w:r>
        <w:tab/>
        <w:t xml:space="preserve">Verwaltungs- und Rechtsausschuß </w:t>
      </w:r>
    </w:p>
    <w:p w:rsidR="00F046AC" w:rsidRPr="00262B2F" w:rsidRDefault="00F046AC" w:rsidP="00F046AC">
      <w:pPr>
        <w:tabs>
          <w:tab w:val="left" w:pos="567"/>
        </w:tabs>
        <w:ind w:left="2552" w:right="-1" w:hanging="2552"/>
        <w:jc w:val="left"/>
      </w:pPr>
      <w:r>
        <w:tab/>
        <w:t>TC:</w:t>
      </w:r>
      <w:r>
        <w:tab/>
        <w:t>Technischer Ausschuß</w:t>
      </w:r>
    </w:p>
    <w:p w:rsidR="00F046AC" w:rsidRPr="00262B2F" w:rsidRDefault="00F046AC" w:rsidP="00F046AC">
      <w:pPr>
        <w:tabs>
          <w:tab w:val="left" w:pos="567"/>
        </w:tabs>
        <w:ind w:left="2552" w:right="-1" w:hanging="2552"/>
        <w:jc w:val="left"/>
      </w:pPr>
      <w:r>
        <w:tab/>
        <w:t>TC</w:t>
      </w:r>
      <w:r>
        <w:noBreakHyphen/>
        <w:t>EDC:</w:t>
      </w:r>
      <w:r>
        <w:tab/>
        <w:t>Erweiterter Redaktionsausschuß</w:t>
      </w:r>
    </w:p>
    <w:p w:rsidR="00F046AC" w:rsidRPr="00262B2F" w:rsidRDefault="00F046AC" w:rsidP="00F046AC">
      <w:pPr>
        <w:tabs>
          <w:tab w:val="left" w:pos="567"/>
        </w:tabs>
        <w:ind w:left="2552" w:right="-1" w:hanging="2552"/>
        <w:jc w:val="left"/>
      </w:pPr>
      <w:r>
        <w:tab/>
        <w:t>TWP:</w:t>
      </w:r>
      <w:r>
        <w:tab/>
        <w:t>Technische Arbeitsgruppen</w:t>
      </w:r>
    </w:p>
    <w:p w:rsidR="00F046AC" w:rsidRPr="00262B2F" w:rsidRDefault="00F046AC" w:rsidP="00F046AC">
      <w:pPr>
        <w:tabs>
          <w:tab w:val="left" w:pos="567"/>
        </w:tabs>
        <w:ind w:left="2552" w:right="-1" w:hanging="2552"/>
        <w:jc w:val="left"/>
      </w:pPr>
      <w:r>
        <w:tab/>
        <w:t>TWA:</w:t>
      </w:r>
      <w:r>
        <w:tab/>
        <w:t>Technische Arbeitsgruppe für landwirtschaftliche Arten</w:t>
      </w:r>
    </w:p>
    <w:p w:rsidR="00F046AC" w:rsidRPr="00262B2F" w:rsidRDefault="00F046AC" w:rsidP="00F046AC">
      <w:pPr>
        <w:tabs>
          <w:tab w:val="left" w:pos="567"/>
        </w:tabs>
        <w:ind w:left="2552" w:right="-1" w:hanging="2552"/>
        <w:jc w:val="left"/>
      </w:pPr>
      <w:r>
        <w:tab/>
        <w:t>TWC:</w:t>
      </w:r>
      <w:r>
        <w:tab/>
        <w:t>Technische Arbeitsgruppe für Automatisierung und Computerprogramme</w:t>
      </w:r>
    </w:p>
    <w:p w:rsidR="00F046AC" w:rsidRPr="00262B2F" w:rsidRDefault="00F046AC" w:rsidP="00F046AC">
      <w:pPr>
        <w:tabs>
          <w:tab w:val="left" w:pos="567"/>
        </w:tabs>
        <w:ind w:left="2552" w:right="-1" w:hanging="2552"/>
        <w:jc w:val="left"/>
      </w:pPr>
      <w:r>
        <w:tab/>
        <w:t xml:space="preserve">TWF:  </w:t>
      </w:r>
      <w:r>
        <w:tab/>
        <w:t>Technische Arbeitsgruppe für Obstarten</w:t>
      </w:r>
    </w:p>
    <w:p w:rsidR="00F046AC" w:rsidRPr="00262B2F" w:rsidRDefault="00F046AC" w:rsidP="00F046AC">
      <w:pPr>
        <w:tabs>
          <w:tab w:val="left" w:pos="567"/>
        </w:tabs>
        <w:ind w:left="2552" w:right="-1" w:hanging="2552"/>
        <w:jc w:val="left"/>
      </w:pPr>
      <w:r>
        <w:tab/>
        <w:t>TWO:</w:t>
      </w:r>
      <w:r>
        <w:tab/>
        <w:t>Technische Arbeitsgruppe für Zierpflanzen und forstliche Baumarten</w:t>
      </w:r>
    </w:p>
    <w:p w:rsidR="00F046AC" w:rsidRPr="00262B2F" w:rsidRDefault="00F046AC" w:rsidP="00F046AC">
      <w:pPr>
        <w:tabs>
          <w:tab w:val="left" w:pos="567"/>
        </w:tabs>
        <w:ind w:left="2552" w:right="-1" w:hanging="2552"/>
        <w:jc w:val="left"/>
      </w:pPr>
      <w:r>
        <w:tab/>
        <w:t>TWV:</w:t>
      </w:r>
      <w:r>
        <w:tab/>
        <w:t>Technische Arbeitsgruppe für Gemüsearten</w:t>
      </w:r>
    </w:p>
    <w:p w:rsidR="00F046AC" w:rsidRPr="00262B2F" w:rsidRDefault="00F046AC" w:rsidP="00F046AC">
      <w:pPr>
        <w:tabs>
          <w:tab w:val="left" w:pos="567"/>
        </w:tabs>
        <w:ind w:left="2552" w:right="-1" w:hanging="2552"/>
        <w:jc w:val="left"/>
      </w:pPr>
      <w:r>
        <w:tab/>
        <w:t>BMT:</w:t>
      </w:r>
      <w:r>
        <w:tab/>
        <w:t>Arbeitsgruppe für biochemische und molekulare Verfahren und insbesondere für DNS-Profilierungsverfahren</w:t>
      </w:r>
    </w:p>
    <w:p w:rsidR="00F046AC" w:rsidRPr="00262B2F" w:rsidRDefault="00F046AC" w:rsidP="00F046AC">
      <w:pPr>
        <w:tabs>
          <w:tab w:val="left" w:pos="567"/>
        </w:tabs>
        <w:ind w:left="2552" w:right="-1" w:hanging="2552"/>
        <w:jc w:val="left"/>
        <w:rPr>
          <w:rFonts w:cs="Arial"/>
        </w:rPr>
      </w:pPr>
      <w:r>
        <w:tab/>
        <w:t>DUS:</w:t>
      </w:r>
      <w:r>
        <w:tab/>
        <w:t xml:space="preserve">Unterscheidbarkeit, Homogenität und Beständigkeit </w:t>
      </w:r>
    </w:p>
    <w:p w:rsidR="00F046AC" w:rsidRPr="00262B2F" w:rsidRDefault="00F046AC" w:rsidP="00F046AC">
      <w:pPr>
        <w:tabs>
          <w:tab w:val="left" w:pos="567"/>
        </w:tabs>
        <w:ind w:left="2552" w:right="-1" w:hanging="2552"/>
        <w:jc w:val="left"/>
        <w:rPr>
          <w:rFonts w:cs="Arial"/>
        </w:rPr>
      </w:pPr>
      <w:r>
        <w:tab/>
        <w:t>Büro:</w:t>
      </w:r>
      <w:r>
        <w:tab/>
        <w:t>Verbandsbüro</w:t>
      </w:r>
    </w:p>
    <w:p w:rsidR="00F046AC" w:rsidRPr="00262B2F" w:rsidRDefault="00F046AC" w:rsidP="00F046AC">
      <w:pPr>
        <w:spacing w:line="360" w:lineRule="auto"/>
        <w:jc w:val="center"/>
        <w:rPr>
          <w:rFonts w:cs="Arial"/>
        </w:rPr>
      </w:pPr>
    </w:p>
    <w:p w:rsidR="00F046AC" w:rsidRPr="00262B2F" w:rsidRDefault="00F046AC" w:rsidP="00F046AC"/>
    <w:p w:rsidR="00F046AC" w:rsidRDefault="00F046AC" w:rsidP="00F046AC">
      <w:pPr>
        <w:rPr>
          <w:rFonts w:cs="Arial"/>
        </w:rPr>
      </w:pPr>
      <w:r>
        <w:br w:type="page"/>
      </w:r>
    </w:p>
    <w:p w:rsidR="00785424" w:rsidRDefault="00785424">
      <w:pPr>
        <w:pStyle w:val="TOC1"/>
        <w:rPr>
          <w:snapToGrid w:val="0"/>
        </w:rPr>
      </w:pPr>
      <w:r>
        <w:lastRenderedPageBreak/>
        <w:t>INHALT</w:t>
      </w:r>
    </w:p>
    <w:p w:rsidR="00785424" w:rsidRDefault="00785424">
      <w:pPr>
        <w:pStyle w:val="TOC1"/>
        <w:rPr>
          <w:snapToGrid w:val="0"/>
        </w:rPr>
      </w:pPr>
    </w:p>
    <w:p w:rsidR="00E94695" w:rsidRDefault="008A4150">
      <w:pPr>
        <w:pStyle w:val="TOC1"/>
        <w:rPr>
          <w:rFonts w:asciiTheme="minorHAnsi" w:eastAsiaTheme="minorEastAsia" w:hAnsiTheme="minorHAnsi" w:cstheme="minorBidi"/>
          <w:caps w:val="0"/>
          <w:sz w:val="22"/>
          <w:szCs w:val="22"/>
          <w:lang w:bidi="ar-SA"/>
        </w:rPr>
      </w:pPr>
      <w:r>
        <w:rPr>
          <w:snapToGrid w:val="0"/>
        </w:rPr>
        <w:fldChar w:fldCharType="begin"/>
      </w:r>
      <w:r>
        <w:rPr>
          <w:snapToGrid w:val="0"/>
        </w:rPr>
        <w:instrText xml:space="preserve"> TOC \o "1-3" \h \z \u </w:instrText>
      </w:r>
      <w:r>
        <w:rPr>
          <w:snapToGrid w:val="0"/>
        </w:rPr>
        <w:fldChar w:fldCharType="separate"/>
      </w:r>
      <w:hyperlink w:anchor="_Toc395605371" w:history="1">
        <w:r w:rsidR="00E94695" w:rsidRPr="001843DC">
          <w:rPr>
            <w:rStyle w:val="Hyperlink"/>
          </w:rPr>
          <w:t>I.</w:t>
        </w:r>
        <w:r w:rsidR="00E94695">
          <w:rPr>
            <w:rFonts w:asciiTheme="minorHAnsi" w:eastAsiaTheme="minorEastAsia" w:hAnsiTheme="minorHAnsi" w:cstheme="minorBidi"/>
            <w:caps w:val="0"/>
            <w:sz w:val="22"/>
            <w:szCs w:val="22"/>
            <w:lang w:bidi="ar-SA"/>
          </w:rPr>
          <w:tab/>
        </w:r>
        <w:r w:rsidR="00E94695" w:rsidRPr="001843DC">
          <w:rPr>
            <w:rStyle w:val="Hyperlink"/>
          </w:rPr>
          <w:t>BERICHT ÜBER DEN FORTSCHRITT DER ARBEITEN DES TECHNISCHEN AUSSCHUSSES</w:t>
        </w:r>
        <w:r w:rsidR="00E94695">
          <w:rPr>
            <w:webHidden/>
          </w:rPr>
          <w:tab/>
        </w:r>
        <w:r w:rsidR="00E94695">
          <w:rPr>
            <w:webHidden/>
          </w:rPr>
          <w:fldChar w:fldCharType="begin"/>
        </w:r>
        <w:r w:rsidR="00E94695">
          <w:rPr>
            <w:webHidden/>
          </w:rPr>
          <w:instrText xml:space="preserve"> PAGEREF _Toc395605371 \h </w:instrText>
        </w:r>
        <w:r w:rsidR="00E94695">
          <w:rPr>
            <w:webHidden/>
          </w:rPr>
        </w:r>
        <w:r w:rsidR="00E94695">
          <w:rPr>
            <w:webHidden/>
          </w:rPr>
          <w:fldChar w:fldCharType="separate"/>
        </w:r>
        <w:r w:rsidR="00E94695">
          <w:rPr>
            <w:webHidden/>
          </w:rPr>
          <w:t>4</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72" w:history="1">
        <w:r w:rsidR="00E94695" w:rsidRPr="001843DC">
          <w:rPr>
            <w:rStyle w:val="Hyperlink"/>
          </w:rPr>
          <w:t>Bericht über die Entwicklungen in der UPOV, einschließlich der auf den letzten Tagungen des Verwaltungs- und Rechtsausschusses, des Beratenden Ausschusses und des Rates erörterten wichtigen Angelegenheiten (mündlicher Bericht des Stellvertretenden Generalsekretärs)</w:t>
        </w:r>
        <w:r w:rsidR="00E94695">
          <w:rPr>
            <w:webHidden/>
          </w:rPr>
          <w:tab/>
        </w:r>
        <w:r w:rsidR="00E94695">
          <w:rPr>
            <w:webHidden/>
          </w:rPr>
          <w:fldChar w:fldCharType="begin"/>
        </w:r>
        <w:r w:rsidR="00E94695">
          <w:rPr>
            <w:webHidden/>
          </w:rPr>
          <w:instrText xml:space="preserve"> PAGEREF _Toc395605372 \h </w:instrText>
        </w:r>
        <w:r w:rsidR="00E94695">
          <w:rPr>
            <w:webHidden/>
          </w:rPr>
        </w:r>
        <w:r w:rsidR="00E94695">
          <w:rPr>
            <w:webHidden/>
          </w:rPr>
          <w:fldChar w:fldCharType="separate"/>
        </w:r>
        <w:r w:rsidR="00E94695">
          <w:rPr>
            <w:webHidden/>
          </w:rPr>
          <w:t>4</w:t>
        </w:r>
        <w:r w:rsidR="00E94695">
          <w:rPr>
            <w:webHidden/>
          </w:rPr>
          <w:fldChar w:fldCharType="end"/>
        </w:r>
      </w:hyperlink>
    </w:p>
    <w:p w:rsidR="00E94695" w:rsidRDefault="005D2FEA">
      <w:pPr>
        <w:pStyle w:val="TOC3"/>
        <w:rPr>
          <w:rFonts w:asciiTheme="minorHAnsi" w:eastAsiaTheme="minorEastAsia" w:hAnsiTheme="minorHAnsi" w:cstheme="minorBidi"/>
          <w:i w:val="0"/>
          <w:sz w:val="22"/>
          <w:szCs w:val="22"/>
          <w:lang w:bidi="ar-SA"/>
        </w:rPr>
      </w:pPr>
      <w:hyperlink w:anchor="_Toc395605373" w:history="1">
        <w:r w:rsidR="00E94695" w:rsidRPr="001843DC">
          <w:rPr>
            <w:rStyle w:val="Hyperlink"/>
          </w:rPr>
          <w:t>Fragen zur Information</w:t>
        </w:r>
        <w:r w:rsidR="00E94695">
          <w:rPr>
            <w:webHidden/>
          </w:rPr>
          <w:tab/>
        </w:r>
        <w:r w:rsidR="00E94695">
          <w:rPr>
            <w:webHidden/>
          </w:rPr>
          <w:fldChar w:fldCharType="begin"/>
        </w:r>
        <w:r w:rsidR="00E94695">
          <w:rPr>
            <w:webHidden/>
          </w:rPr>
          <w:instrText xml:space="preserve"> PAGEREF _Toc395605373 \h </w:instrText>
        </w:r>
        <w:r w:rsidR="00E94695">
          <w:rPr>
            <w:webHidden/>
          </w:rPr>
        </w:r>
        <w:r w:rsidR="00E94695">
          <w:rPr>
            <w:webHidden/>
          </w:rPr>
          <w:fldChar w:fldCharType="separate"/>
        </w:r>
        <w:r w:rsidR="00E94695">
          <w:rPr>
            <w:webHidden/>
          </w:rPr>
          <w:t>4</w:t>
        </w:r>
        <w:r w:rsidR="00E94695">
          <w:rPr>
            <w:webHidden/>
          </w:rPr>
          <w:fldChar w:fldCharType="end"/>
        </w:r>
      </w:hyperlink>
    </w:p>
    <w:p w:rsidR="00E94695" w:rsidRDefault="005D2FEA">
      <w:pPr>
        <w:pStyle w:val="TOC3"/>
        <w:rPr>
          <w:rFonts w:asciiTheme="minorHAnsi" w:eastAsiaTheme="minorEastAsia" w:hAnsiTheme="minorHAnsi" w:cstheme="minorBidi"/>
          <w:i w:val="0"/>
          <w:sz w:val="22"/>
          <w:szCs w:val="22"/>
          <w:lang w:bidi="ar-SA"/>
        </w:rPr>
      </w:pPr>
      <w:hyperlink w:anchor="_Toc395605374" w:history="1">
        <w:r w:rsidR="00E94695" w:rsidRPr="001843DC">
          <w:rPr>
            <w:rStyle w:val="Hyperlink"/>
          </w:rPr>
          <w:t>Fragen zur Prüfung durch den Technischen Ausschuß</w:t>
        </w:r>
        <w:r w:rsidR="00E94695">
          <w:rPr>
            <w:webHidden/>
          </w:rPr>
          <w:tab/>
        </w:r>
        <w:r w:rsidR="00E94695">
          <w:rPr>
            <w:webHidden/>
          </w:rPr>
          <w:fldChar w:fldCharType="begin"/>
        </w:r>
        <w:r w:rsidR="00E94695">
          <w:rPr>
            <w:webHidden/>
          </w:rPr>
          <w:instrText xml:space="preserve"> PAGEREF _Toc395605374 \h </w:instrText>
        </w:r>
        <w:r w:rsidR="00E94695">
          <w:rPr>
            <w:webHidden/>
          </w:rPr>
        </w:r>
        <w:r w:rsidR="00E94695">
          <w:rPr>
            <w:webHidden/>
          </w:rPr>
          <w:fldChar w:fldCharType="separate"/>
        </w:r>
        <w:r w:rsidR="00E94695">
          <w:rPr>
            <w:webHidden/>
          </w:rPr>
          <w:t>4</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75" w:history="1">
        <w:r w:rsidR="00E94695" w:rsidRPr="001843DC">
          <w:rPr>
            <w:rStyle w:val="Hyperlink"/>
          </w:rPr>
          <w:t>Fragen, die von den technischen Arbeitsgruppen aufgeworfen wurden</w:t>
        </w:r>
        <w:r w:rsidR="00E94695">
          <w:rPr>
            <w:webHidden/>
          </w:rPr>
          <w:tab/>
        </w:r>
        <w:r w:rsidR="00E94695">
          <w:rPr>
            <w:webHidden/>
          </w:rPr>
          <w:fldChar w:fldCharType="begin"/>
        </w:r>
        <w:r w:rsidR="00E94695">
          <w:rPr>
            <w:webHidden/>
          </w:rPr>
          <w:instrText xml:space="preserve"> PAGEREF _Toc395605375 \h </w:instrText>
        </w:r>
        <w:r w:rsidR="00E94695">
          <w:rPr>
            <w:webHidden/>
          </w:rPr>
        </w:r>
        <w:r w:rsidR="00E94695">
          <w:rPr>
            <w:webHidden/>
          </w:rPr>
          <w:fldChar w:fldCharType="separate"/>
        </w:r>
        <w:r w:rsidR="00E94695">
          <w:rPr>
            <w:webHidden/>
          </w:rPr>
          <w:t>5</w:t>
        </w:r>
        <w:r w:rsidR="00E94695">
          <w:rPr>
            <w:webHidden/>
          </w:rPr>
          <w:fldChar w:fldCharType="end"/>
        </w:r>
      </w:hyperlink>
    </w:p>
    <w:p w:rsidR="00E94695" w:rsidRDefault="005D2FEA">
      <w:pPr>
        <w:pStyle w:val="TOC3"/>
        <w:rPr>
          <w:rFonts w:asciiTheme="minorHAnsi" w:eastAsiaTheme="minorEastAsia" w:hAnsiTheme="minorHAnsi" w:cstheme="minorBidi"/>
          <w:i w:val="0"/>
          <w:sz w:val="22"/>
          <w:szCs w:val="22"/>
          <w:lang w:bidi="ar-SA"/>
        </w:rPr>
      </w:pPr>
      <w:hyperlink w:anchor="_Toc395605376" w:history="1">
        <w:r w:rsidR="00E94695" w:rsidRPr="001843DC">
          <w:rPr>
            <w:rStyle w:val="Hyperlink"/>
          </w:rPr>
          <w:t>Fragen zur Information und für eine vom Technischen Ausschuß gegebenenfalls zu treffende Entscheidung</w:t>
        </w:r>
        <w:r w:rsidR="00E94695">
          <w:rPr>
            <w:webHidden/>
          </w:rPr>
          <w:tab/>
        </w:r>
        <w:r w:rsidR="00E94695">
          <w:rPr>
            <w:webHidden/>
          </w:rPr>
          <w:fldChar w:fldCharType="begin"/>
        </w:r>
        <w:r w:rsidR="00E94695">
          <w:rPr>
            <w:webHidden/>
          </w:rPr>
          <w:instrText xml:space="preserve"> PAGEREF _Toc395605376 \h </w:instrText>
        </w:r>
        <w:r w:rsidR="00E94695">
          <w:rPr>
            <w:webHidden/>
          </w:rPr>
        </w:r>
        <w:r w:rsidR="00E94695">
          <w:rPr>
            <w:webHidden/>
          </w:rPr>
          <w:fldChar w:fldCharType="separate"/>
        </w:r>
        <w:r w:rsidR="00E94695">
          <w:rPr>
            <w:webHidden/>
          </w:rPr>
          <w:t>5</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77" w:history="1">
        <w:r w:rsidR="00E94695" w:rsidRPr="001843DC">
          <w:rPr>
            <w:rStyle w:val="Hyperlink"/>
          </w:rPr>
          <w:t>Angelegenheiten zur Information</w:t>
        </w:r>
        <w:r w:rsidR="00E94695">
          <w:rPr>
            <w:webHidden/>
          </w:rPr>
          <w:tab/>
        </w:r>
        <w:r w:rsidR="00E94695">
          <w:rPr>
            <w:webHidden/>
          </w:rPr>
          <w:fldChar w:fldCharType="begin"/>
        </w:r>
        <w:r w:rsidR="00E94695">
          <w:rPr>
            <w:webHidden/>
          </w:rPr>
          <w:instrText xml:space="preserve"> PAGEREF _Toc395605377 \h </w:instrText>
        </w:r>
        <w:r w:rsidR="00E94695">
          <w:rPr>
            <w:webHidden/>
          </w:rPr>
        </w:r>
        <w:r w:rsidR="00E94695">
          <w:rPr>
            <w:webHidden/>
          </w:rPr>
          <w:fldChar w:fldCharType="separate"/>
        </w:r>
        <w:r w:rsidR="00E94695">
          <w:rPr>
            <w:webHidden/>
          </w:rPr>
          <w:t>5</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78" w:history="1">
        <w:r w:rsidR="00E94695" w:rsidRPr="001843DC">
          <w:rPr>
            <w:rStyle w:val="Hyperlink"/>
          </w:rPr>
          <w:t>TGP-Dokumente</w:t>
        </w:r>
        <w:r w:rsidR="00E94695">
          <w:rPr>
            <w:webHidden/>
          </w:rPr>
          <w:tab/>
        </w:r>
        <w:r w:rsidR="00E94695">
          <w:rPr>
            <w:webHidden/>
          </w:rPr>
          <w:fldChar w:fldCharType="begin"/>
        </w:r>
        <w:r w:rsidR="00E94695">
          <w:rPr>
            <w:webHidden/>
          </w:rPr>
          <w:instrText xml:space="preserve"> PAGEREF _Toc395605378 \h </w:instrText>
        </w:r>
        <w:r w:rsidR="00E94695">
          <w:rPr>
            <w:webHidden/>
          </w:rPr>
        </w:r>
        <w:r w:rsidR="00E94695">
          <w:rPr>
            <w:webHidden/>
          </w:rPr>
          <w:fldChar w:fldCharType="separate"/>
        </w:r>
        <w:r w:rsidR="00E94695">
          <w:rPr>
            <w:webHidden/>
          </w:rPr>
          <w:t>6</w:t>
        </w:r>
        <w:r w:rsidR="00E94695">
          <w:rPr>
            <w:webHidden/>
          </w:rPr>
          <w:fldChar w:fldCharType="end"/>
        </w:r>
      </w:hyperlink>
    </w:p>
    <w:p w:rsidR="00E94695" w:rsidRDefault="005D2FEA">
      <w:pPr>
        <w:pStyle w:val="TOC3"/>
        <w:rPr>
          <w:rFonts w:asciiTheme="minorHAnsi" w:eastAsiaTheme="minorEastAsia" w:hAnsiTheme="minorHAnsi" w:cstheme="minorBidi"/>
          <w:i w:val="0"/>
          <w:sz w:val="22"/>
          <w:szCs w:val="22"/>
          <w:lang w:bidi="ar-SA"/>
        </w:rPr>
      </w:pPr>
      <w:hyperlink w:anchor="_Toc395605379" w:history="1">
        <w:r w:rsidR="00E94695" w:rsidRPr="001843DC">
          <w:rPr>
            <w:rStyle w:val="Hyperlink"/>
          </w:rPr>
          <w:t>Zur Überarbeitung im Jahr 2014 vorgeschlagene TGP-Dokumente</w:t>
        </w:r>
        <w:r w:rsidR="00E94695">
          <w:rPr>
            <w:webHidden/>
          </w:rPr>
          <w:tab/>
        </w:r>
        <w:r w:rsidR="00E94695">
          <w:rPr>
            <w:webHidden/>
          </w:rPr>
          <w:fldChar w:fldCharType="begin"/>
        </w:r>
        <w:r w:rsidR="00E94695">
          <w:rPr>
            <w:webHidden/>
          </w:rPr>
          <w:instrText xml:space="preserve"> PAGEREF _Toc395605379 \h </w:instrText>
        </w:r>
        <w:r w:rsidR="00E94695">
          <w:rPr>
            <w:webHidden/>
          </w:rPr>
        </w:r>
        <w:r w:rsidR="00E94695">
          <w:rPr>
            <w:webHidden/>
          </w:rPr>
          <w:fldChar w:fldCharType="separate"/>
        </w:r>
        <w:r w:rsidR="00E94695">
          <w:rPr>
            <w:webHidden/>
          </w:rPr>
          <w:t>6</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80" w:history="1">
        <w:r w:rsidR="00E94695" w:rsidRPr="001843DC">
          <w:rPr>
            <w:rStyle w:val="Hyperlink"/>
            <w:rFonts w:eastAsia="MS Mincho"/>
            <w:i/>
            <w:lang w:eastAsia="en-US"/>
          </w:rPr>
          <w:t>Künftige Überarbeitung von vom TC bereits gebilligten TGP-Dokumenten</w:t>
        </w:r>
        <w:r w:rsidR="00E94695">
          <w:rPr>
            <w:webHidden/>
          </w:rPr>
          <w:tab/>
        </w:r>
        <w:r w:rsidR="00E94695">
          <w:rPr>
            <w:webHidden/>
          </w:rPr>
          <w:fldChar w:fldCharType="begin"/>
        </w:r>
        <w:r w:rsidR="00E94695">
          <w:rPr>
            <w:webHidden/>
          </w:rPr>
          <w:instrText xml:space="preserve"> PAGEREF _Toc395605380 \h </w:instrText>
        </w:r>
        <w:r w:rsidR="00E94695">
          <w:rPr>
            <w:webHidden/>
          </w:rPr>
        </w:r>
        <w:r w:rsidR="00E94695">
          <w:rPr>
            <w:webHidden/>
          </w:rPr>
          <w:fldChar w:fldCharType="separate"/>
        </w:r>
        <w:r w:rsidR="00E94695">
          <w:rPr>
            <w:webHidden/>
          </w:rPr>
          <w:t>9</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81" w:history="1">
        <w:r w:rsidR="00E94695" w:rsidRPr="001843DC">
          <w:rPr>
            <w:rStyle w:val="Hyperlink"/>
            <w:rFonts w:eastAsia="MS Mincho"/>
            <w:i/>
            <w:lang w:eastAsia="en-US"/>
          </w:rPr>
          <w:t>Künftige Überarbeitungen, die in Ausarbeitung begriffen sind</w:t>
        </w:r>
        <w:r w:rsidR="00E94695">
          <w:rPr>
            <w:webHidden/>
          </w:rPr>
          <w:tab/>
        </w:r>
        <w:r w:rsidR="00E94695">
          <w:rPr>
            <w:webHidden/>
          </w:rPr>
          <w:fldChar w:fldCharType="begin"/>
        </w:r>
        <w:r w:rsidR="00E94695">
          <w:rPr>
            <w:webHidden/>
          </w:rPr>
          <w:instrText xml:space="preserve"> PAGEREF _Toc395605381 \h </w:instrText>
        </w:r>
        <w:r w:rsidR="00E94695">
          <w:rPr>
            <w:webHidden/>
          </w:rPr>
        </w:r>
        <w:r w:rsidR="00E94695">
          <w:rPr>
            <w:webHidden/>
          </w:rPr>
          <w:fldChar w:fldCharType="separate"/>
        </w:r>
        <w:r w:rsidR="00E94695">
          <w:rPr>
            <w:webHidden/>
          </w:rPr>
          <w:t>9</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82" w:history="1">
        <w:r w:rsidR="00E94695" w:rsidRPr="001843DC">
          <w:rPr>
            <w:rStyle w:val="Hyperlink"/>
            <w:rFonts w:eastAsia="MS Mincho"/>
            <w:i/>
            <w:lang w:eastAsia="en-US"/>
          </w:rPr>
          <w:t>Neue Vorschläge für künftige Überarbeitungen von TGP-Dokumenten</w:t>
        </w:r>
        <w:r w:rsidR="00E94695">
          <w:rPr>
            <w:webHidden/>
          </w:rPr>
          <w:tab/>
        </w:r>
        <w:r w:rsidR="00E94695">
          <w:rPr>
            <w:webHidden/>
          </w:rPr>
          <w:fldChar w:fldCharType="begin"/>
        </w:r>
        <w:r w:rsidR="00E94695">
          <w:rPr>
            <w:webHidden/>
          </w:rPr>
          <w:instrText xml:space="preserve"> PAGEREF _Toc395605382 \h </w:instrText>
        </w:r>
        <w:r w:rsidR="00E94695">
          <w:rPr>
            <w:webHidden/>
          </w:rPr>
        </w:r>
        <w:r w:rsidR="00E94695">
          <w:rPr>
            <w:webHidden/>
          </w:rPr>
          <w:fldChar w:fldCharType="separate"/>
        </w:r>
        <w:r w:rsidR="00E94695">
          <w:rPr>
            <w:webHidden/>
          </w:rPr>
          <w:t>12</w:t>
        </w:r>
        <w:r w:rsidR="00E94695">
          <w:rPr>
            <w:webHidden/>
          </w:rPr>
          <w:fldChar w:fldCharType="end"/>
        </w:r>
      </w:hyperlink>
    </w:p>
    <w:p w:rsidR="00E94695" w:rsidRDefault="005D2FEA">
      <w:pPr>
        <w:pStyle w:val="TOC3"/>
        <w:rPr>
          <w:rFonts w:asciiTheme="minorHAnsi" w:eastAsiaTheme="minorEastAsia" w:hAnsiTheme="minorHAnsi" w:cstheme="minorBidi"/>
          <w:i w:val="0"/>
          <w:sz w:val="22"/>
          <w:szCs w:val="22"/>
          <w:lang w:bidi="ar-SA"/>
        </w:rPr>
      </w:pPr>
      <w:hyperlink w:anchor="_Toc395605383" w:history="1">
        <w:r w:rsidR="00E94695" w:rsidRPr="001843DC">
          <w:rPr>
            <w:rStyle w:val="Hyperlink"/>
          </w:rPr>
          <w:t>Programm für die Ausarbeitung von TGP-Dokumenten</w:t>
        </w:r>
        <w:r w:rsidR="00E94695">
          <w:rPr>
            <w:webHidden/>
          </w:rPr>
          <w:tab/>
        </w:r>
        <w:r w:rsidR="00E94695">
          <w:rPr>
            <w:webHidden/>
          </w:rPr>
          <w:fldChar w:fldCharType="begin"/>
        </w:r>
        <w:r w:rsidR="00E94695">
          <w:rPr>
            <w:webHidden/>
          </w:rPr>
          <w:instrText xml:space="preserve"> PAGEREF _Toc395605383 \h </w:instrText>
        </w:r>
        <w:r w:rsidR="00E94695">
          <w:rPr>
            <w:webHidden/>
          </w:rPr>
        </w:r>
        <w:r w:rsidR="00E94695">
          <w:rPr>
            <w:webHidden/>
          </w:rPr>
          <w:fldChar w:fldCharType="separate"/>
        </w:r>
        <w:r w:rsidR="00E94695">
          <w:rPr>
            <w:webHidden/>
          </w:rPr>
          <w:t>13</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84" w:history="1">
        <w:r w:rsidR="00E94695" w:rsidRPr="001843DC">
          <w:rPr>
            <w:rStyle w:val="Hyperlink"/>
          </w:rPr>
          <w:t>Molekulare Verfahren</w:t>
        </w:r>
        <w:r w:rsidR="00E94695">
          <w:rPr>
            <w:webHidden/>
          </w:rPr>
          <w:tab/>
        </w:r>
        <w:r w:rsidR="00E94695">
          <w:rPr>
            <w:webHidden/>
          </w:rPr>
          <w:fldChar w:fldCharType="begin"/>
        </w:r>
        <w:r w:rsidR="00E94695">
          <w:rPr>
            <w:webHidden/>
          </w:rPr>
          <w:instrText xml:space="preserve"> PAGEREF _Toc395605384 \h </w:instrText>
        </w:r>
        <w:r w:rsidR="00E94695">
          <w:rPr>
            <w:webHidden/>
          </w:rPr>
        </w:r>
        <w:r w:rsidR="00E94695">
          <w:rPr>
            <w:webHidden/>
          </w:rPr>
          <w:fldChar w:fldCharType="separate"/>
        </w:r>
        <w:r w:rsidR="00E94695">
          <w:rPr>
            <w:webHidden/>
          </w:rPr>
          <w:t>13</w:t>
        </w:r>
        <w:r w:rsidR="00E94695">
          <w:rPr>
            <w:webHidden/>
          </w:rPr>
          <w:fldChar w:fldCharType="end"/>
        </w:r>
      </w:hyperlink>
    </w:p>
    <w:p w:rsidR="00E94695" w:rsidRDefault="005D2FEA">
      <w:pPr>
        <w:pStyle w:val="TOC3"/>
        <w:rPr>
          <w:rFonts w:asciiTheme="minorHAnsi" w:eastAsiaTheme="minorEastAsia" w:hAnsiTheme="minorHAnsi" w:cstheme="minorBidi"/>
          <w:i w:val="0"/>
          <w:sz w:val="22"/>
          <w:szCs w:val="22"/>
          <w:lang w:bidi="ar-SA"/>
        </w:rPr>
      </w:pPr>
      <w:hyperlink w:anchor="_Toc395605385" w:history="1">
        <w:r w:rsidR="00E94695" w:rsidRPr="001843DC">
          <w:rPr>
            <w:rStyle w:val="Hyperlink"/>
          </w:rPr>
          <w:t>Verwendung biochemischer und molekularer Marker bei der Prüfung der Unterscheidbarkeit, Homogenität und Beständigkeit (DUS)</w:t>
        </w:r>
        <w:r w:rsidR="00E94695">
          <w:rPr>
            <w:webHidden/>
          </w:rPr>
          <w:tab/>
        </w:r>
        <w:r w:rsidR="00E94695">
          <w:rPr>
            <w:webHidden/>
          </w:rPr>
          <w:fldChar w:fldCharType="begin"/>
        </w:r>
        <w:r w:rsidR="00E94695">
          <w:rPr>
            <w:webHidden/>
          </w:rPr>
          <w:instrText xml:space="preserve"> PAGEREF _Toc395605385 \h </w:instrText>
        </w:r>
        <w:r w:rsidR="00E94695">
          <w:rPr>
            <w:webHidden/>
          </w:rPr>
        </w:r>
        <w:r w:rsidR="00E94695">
          <w:rPr>
            <w:webHidden/>
          </w:rPr>
          <w:fldChar w:fldCharType="separate"/>
        </w:r>
        <w:r w:rsidR="00E94695">
          <w:rPr>
            <w:webHidden/>
          </w:rPr>
          <w:t>13</w:t>
        </w:r>
        <w:r w:rsidR="00E94695">
          <w:rPr>
            <w:webHidden/>
          </w:rPr>
          <w:fldChar w:fldCharType="end"/>
        </w:r>
      </w:hyperlink>
    </w:p>
    <w:p w:rsidR="00E94695" w:rsidRDefault="005D2FEA">
      <w:pPr>
        <w:pStyle w:val="TOC3"/>
        <w:rPr>
          <w:rFonts w:asciiTheme="minorHAnsi" w:eastAsiaTheme="minorEastAsia" w:hAnsiTheme="minorHAnsi" w:cstheme="minorBidi"/>
          <w:i w:val="0"/>
          <w:sz w:val="22"/>
          <w:szCs w:val="22"/>
          <w:lang w:bidi="ar-SA"/>
        </w:rPr>
      </w:pPr>
      <w:hyperlink w:anchor="_Toc395605386" w:history="1">
        <w:r w:rsidR="00E94695" w:rsidRPr="001843DC">
          <w:rPr>
            <w:rStyle w:val="Hyperlink"/>
          </w:rPr>
          <w:t>Arbeitsgruppe für biochemische und molekulare Verfahren und insbesondere für DNS-Profilierungsverfahren (BMT)</w:t>
        </w:r>
        <w:r w:rsidR="00E94695">
          <w:rPr>
            <w:webHidden/>
          </w:rPr>
          <w:tab/>
        </w:r>
        <w:r w:rsidR="00E94695">
          <w:rPr>
            <w:webHidden/>
          </w:rPr>
          <w:fldChar w:fldCharType="begin"/>
        </w:r>
        <w:r w:rsidR="00E94695">
          <w:rPr>
            <w:webHidden/>
          </w:rPr>
          <w:instrText xml:space="preserve"> PAGEREF _Toc395605386 \h </w:instrText>
        </w:r>
        <w:r w:rsidR="00E94695">
          <w:rPr>
            <w:webHidden/>
          </w:rPr>
        </w:r>
        <w:r w:rsidR="00E94695">
          <w:rPr>
            <w:webHidden/>
          </w:rPr>
          <w:fldChar w:fldCharType="separate"/>
        </w:r>
        <w:r w:rsidR="00E94695">
          <w:rPr>
            <w:webHidden/>
          </w:rPr>
          <w:t>13</w:t>
        </w:r>
        <w:r w:rsidR="00E94695">
          <w:rPr>
            <w:webHidden/>
          </w:rPr>
          <w:fldChar w:fldCharType="end"/>
        </w:r>
      </w:hyperlink>
    </w:p>
    <w:p w:rsidR="00E94695" w:rsidRDefault="005D2FEA">
      <w:pPr>
        <w:pStyle w:val="TOC3"/>
        <w:rPr>
          <w:rFonts w:asciiTheme="minorHAnsi" w:eastAsiaTheme="minorEastAsia" w:hAnsiTheme="minorHAnsi" w:cstheme="minorBidi"/>
          <w:i w:val="0"/>
          <w:sz w:val="22"/>
          <w:szCs w:val="22"/>
          <w:lang w:bidi="ar-SA"/>
        </w:rPr>
      </w:pPr>
      <w:hyperlink w:anchor="_Toc395605387" w:history="1">
        <w:r w:rsidR="00E94695" w:rsidRPr="001843DC">
          <w:rPr>
            <w:rStyle w:val="Hyperlink"/>
          </w:rPr>
          <w:t>Erteilung von Informationen zur Lage in der UPOV bezüglich der Verwendung molkularer Verfahren für ein breiteres Publikum, einschließlich Züchtern und der Öffentlichkeit im Allgmeinen</w:t>
        </w:r>
        <w:r w:rsidR="00E94695">
          <w:rPr>
            <w:webHidden/>
          </w:rPr>
          <w:tab/>
        </w:r>
        <w:r w:rsidR="00E94695">
          <w:rPr>
            <w:webHidden/>
          </w:rPr>
          <w:fldChar w:fldCharType="begin"/>
        </w:r>
        <w:r w:rsidR="00E94695">
          <w:rPr>
            <w:webHidden/>
          </w:rPr>
          <w:instrText xml:space="preserve"> PAGEREF _Toc395605387 \h </w:instrText>
        </w:r>
        <w:r w:rsidR="00E94695">
          <w:rPr>
            <w:webHidden/>
          </w:rPr>
        </w:r>
        <w:r w:rsidR="00E94695">
          <w:rPr>
            <w:webHidden/>
          </w:rPr>
          <w:fldChar w:fldCharType="separate"/>
        </w:r>
        <w:r w:rsidR="00E94695">
          <w:rPr>
            <w:webHidden/>
          </w:rPr>
          <w:t>13</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88" w:history="1">
        <w:r w:rsidR="00E94695" w:rsidRPr="001843DC">
          <w:rPr>
            <w:rStyle w:val="Hyperlink"/>
          </w:rPr>
          <w:t>Sortenbezeichnungen</w:t>
        </w:r>
        <w:r w:rsidR="00E94695">
          <w:rPr>
            <w:webHidden/>
          </w:rPr>
          <w:tab/>
        </w:r>
        <w:r w:rsidR="00E94695">
          <w:rPr>
            <w:webHidden/>
          </w:rPr>
          <w:fldChar w:fldCharType="begin"/>
        </w:r>
        <w:r w:rsidR="00E94695">
          <w:rPr>
            <w:webHidden/>
          </w:rPr>
          <w:instrText xml:space="preserve"> PAGEREF _Toc395605388 \h </w:instrText>
        </w:r>
        <w:r w:rsidR="00E94695">
          <w:rPr>
            <w:webHidden/>
          </w:rPr>
        </w:r>
        <w:r w:rsidR="00E94695">
          <w:rPr>
            <w:webHidden/>
          </w:rPr>
          <w:fldChar w:fldCharType="separate"/>
        </w:r>
        <w:r w:rsidR="00E94695">
          <w:rPr>
            <w:webHidden/>
          </w:rPr>
          <w:t>14</w:t>
        </w:r>
        <w:r w:rsidR="00E94695">
          <w:rPr>
            <w:webHidden/>
          </w:rPr>
          <w:fldChar w:fldCharType="end"/>
        </w:r>
      </w:hyperlink>
    </w:p>
    <w:p w:rsidR="00E94695" w:rsidRDefault="005D2FEA">
      <w:pPr>
        <w:pStyle w:val="TOC3"/>
        <w:rPr>
          <w:rFonts w:asciiTheme="minorHAnsi" w:eastAsiaTheme="minorEastAsia" w:hAnsiTheme="minorHAnsi" w:cstheme="minorBidi"/>
          <w:i w:val="0"/>
          <w:sz w:val="22"/>
          <w:szCs w:val="22"/>
          <w:lang w:bidi="ar-SA"/>
        </w:rPr>
      </w:pPr>
      <w:hyperlink w:anchor="_Toc395605389" w:history="1">
        <w:r w:rsidR="00E94695" w:rsidRPr="001843DC">
          <w:rPr>
            <w:rStyle w:val="Hyperlink"/>
          </w:rPr>
          <w:t>Etwaige Entwicklung eines UPOV-Suchinstruments für Ähnlichkeiten zum Zweck der Sortenbezeichnung Similarity Search Tool for variety denomination purposes</w:t>
        </w:r>
        <w:r w:rsidR="00E94695">
          <w:rPr>
            <w:webHidden/>
          </w:rPr>
          <w:tab/>
        </w:r>
        <w:r w:rsidR="00E94695">
          <w:rPr>
            <w:webHidden/>
          </w:rPr>
          <w:fldChar w:fldCharType="begin"/>
        </w:r>
        <w:r w:rsidR="00E94695">
          <w:rPr>
            <w:webHidden/>
          </w:rPr>
          <w:instrText xml:space="preserve"> PAGEREF _Toc395605389 \h </w:instrText>
        </w:r>
        <w:r w:rsidR="00E94695">
          <w:rPr>
            <w:webHidden/>
          </w:rPr>
        </w:r>
        <w:r w:rsidR="00E94695">
          <w:rPr>
            <w:webHidden/>
          </w:rPr>
          <w:fldChar w:fldCharType="separate"/>
        </w:r>
        <w:r w:rsidR="00E94695">
          <w:rPr>
            <w:webHidden/>
          </w:rPr>
          <w:t>14</w:t>
        </w:r>
        <w:r w:rsidR="00E94695">
          <w:rPr>
            <w:webHidden/>
          </w:rPr>
          <w:fldChar w:fldCharType="end"/>
        </w:r>
      </w:hyperlink>
    </w:p>
    <w:p w:rsidR="00E94695" w:rsidRDefault="005D2FEA">
      <w:pPr>
        <w:pStyle w:val="TOC3"/>
        <w:rPr>
          <w:rFonts w:asciiTheme="minorHAnsi" w:eastAsiaTheme="minorEastAsia" w:hAnsiTheme="minorHAnsi" w:cstheme="minorBidi"/>
          <w:i w:val="0"/>
          <w:sz w:val="22"/>
          <w:szCs w:val="22"/>
          <w:lang w:bidi="ar-SA"/>
        </w:rPr>
      </w:pPr>
      <w:hyperlink w:anchor="_Toc395605390" w:history="1">
        <w:r w:rsidR="00E94695" w:rsidRPr="001843DC">
          <w:rPr>
            <w:rStyle w:val="Hyperlink"/>
          </w:rPr>
          <w:t>Enwicklungen betreffend mögliche Bereiche einer Zusammenarbeit mit der IUBS-Kommission und der ISHS-Kommission</w:t>
        </w:r>
        <w:r w:rsidR="00E94695">
          <w:rPr>
            <w:webHidden/>
          </w:rPr>
          <w:tab/>
        </w:r>
        <w:r w:rsidR="00E94695">
          <w:rPr>
            <w:webHidden/>
          </w:rPr>
          <w:fldChar w:fldCharType="begin"/>
        </w:r>
        <w:r w:rsidR="00E94695">
          <w:rPr>
            <w:webHidden/>
          </w:rPr>
          <w:instrText xml:space="preserve"> PAGEREF _Toc395605390 \h </w:instrText>
        </w:r>
        <w:r w:rsidR="00E94695">
          <w:rPr>
            <w:webHidden/>
          </w:rPr>
        </w:r>
        <w:r w:rsidR="00E94695">
          <w:rPr>
            <w:webHidden/>
          </w:rPr>
          <w:fldChar w:fldCharType="separate"/>
        </w:r>
        <w:r w:rsidR="00E94695">
          <w:rPr>
            <w:webHidden/>
          </w:rPr>
          <w:t>15</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91" w:history="1">
        <w:r w:rsidR="00E94695" w:rsidRPr="001843DC">
          <w:rPr>
            <w:rStyle w:val="Hyperlink"/>
          </w:rPr>
          <w:t>Informationen und Datenbanken</w:t>
        </w:r>
        <w:r w:rsidR="00E94695">
          <w:rPr>
            <w:webHidden/>
          </w:rPr>
          <w:tab/>
        </w:r>
        <w:r w:rsidR="00E94695">
          <w:rPr>
            <w:webHidden/>
          </w:rPr>
          <w:fldChar w:fldCharType="begin"/>
        </w:r>
        <w:r w:rsidR="00E94695">
          <w:rPr>
            <w:webHidden/>
          </w:rPr>
          <w:instrText xml:space="preserve"> PAGEREF _Toc395605391 \h </w:instrText>
        </w:r>
        <w:r w:rsidR="00E94695">
          <w:rPr>
            <w:webHidden/>
          </w:rPr>
        </w:r>
        <w:r w:rsidR="00E94695">
          <w:rPr>
            <w:webHidden/>
          </w:rPr>
          <w:fldChar w:fldCharType="separate"/>
        </w:r>
        <w:r w:rsidR="00E94695">
          <w:rPr>
            <w:webHidden/>
          </w:rPr>
          <w:t>15</w:t>
        </w:r>
        <w:r w:rsidR="00E94695">
          <w:rPr>
            <w:webHidden/>
          </w:rPr>
          <w:fldChar w:fldCharType="end"/>
        </w:r>
      </w:hyperlink>
    </w:p>
    <w:p w:rsidR="00E94695" w:rsidRDefault="005D2FEA">
      <w:pPr>
        <w:pStyle w:val="TOC3"/>
        <w:rPr>
          <w:rFonts w:asciiTheme="minorHAnsi" w:eastAsiaTheme="minorEastAsia" w:hAnsiTheme="minorHAnsi" w:cstheme="minorBidi"/>
          <w:i w:val="0"/>
          <w:sz w:val="22"/>
          <w:szCs w:val="22"/>
          <w:lang w:bidi="ar-SA"/>
        </w:rPr>
      </w:pPr>
      <w:hyperlink w:anchor="_Toc395605392" w:history="1">
        <w:r w:rsidR="00E94695" w:rsidRPr="001843DC">
          <w:rPr>
            <w:rStyle w:val="Hyperlink"/>
          </w:rPr>
          <w:t>UPOV-Informationsdatenbanken</w:t>
        </w:r>
        <w:r w:rsidR="00E94695">
          <w:rPr>
            <w:webHidden/>
          </w:rPr>
          <w:tab/>
        </w:r>
        <w:r w:rsidR="00E94695">
          <w:rPr>
            <w:webHidden/>
          </w:rPr>
          <w:fldChar w:fldCharType="begin"/>
        </w:r>
        <w:r w:rsidR="00E94695">
          <w:rPr>
            <w:webHidden/>
          </w:rPr>
          <w:instrText xml:space="preserve"> PAGEREF _Toc395605392 \h </w:instrText>
        </w:r>
        <w:r w:rsidR="00E94695">
          <w:rPr>
            <w:webHidden/>
          </w:rPr>
        </w:r>
        <w:r w:rsidR="00E94695">
          <w:rPr>
            <w:webHidden/>
          </w:rPr>
          <w:fldChar w:fldCharType="separate"/>
        </w:r>
        <w:r w:rsidR="00E94695">
          <w:rPr>
            <w:webHidden/>
          </w:rPr>
          <w:t>15</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93" w:history="1">
        <w:r w:rsidR="00E94695" w:rsidRPr="001843DC">
          <w:rPr>
            <w:rStyle w:val="Hyperlink"/>
          </w:rPr>
          <w:t>Datenbanken für Sortenbezeichnungen</w:t>
        </w:r>
        <w:r w:rsidR="00E94695">
          <w:rPr>
            <w:webHidden/>
          </w:rPr>
          <w:tab/>
        </w:r>
        <w:r w:rsidR="00E94695">
          <w:rPr>
            <w:webHidden/>
          </w:rPr>
          <w:fldChar w:fldCharType="begin"/>
        </w:r>
        <w:r w:rsidR="00E94695">
          <w:rPr>
            <w:webHidden/>
          </w:rPr>
          <w:instrText xml:space="preserve"> PAGEREF _Toc395605393 \h </w:instrText>
        </w:r>
        <w:r w:rsidR="00E94695">
          <w:rPr>
            <w:webHidden/>
          </w:rPr>
        </w:r>
        <w:r w:rsidR="00E94695">
          <w:rPr>
            <w:webHidden/>
          </w:rPr>
          <w:fldChar w:fldCharType="separate"/>
        </w:r>
        <w:r w:rsidR="00E94695">
          <w:rPr>
            <w:webHidden/>
          </w:rPr>
          <w:t>16</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94" w:history="1">
        <w:r w:rsidR="00E94695" w:rsidRPr="001843DC">
          <w:rPr>
            <w:rStyle w:val="Hyperlink"/>
          </w:rPr>
          <w:t>Austauschbare Software</w:t>
        </w:r>
        <w:r w:rsidR="00E94695">
          <w:rPr>
            <w:webHidden/>
          </w:rPr>
          <w:tab/>
        </w:r>
        <w:r w:rsidR="00E94695">
          <w:rPr>
            <w:webHidden/>
          </w:rPr>
          <w:fldChar w:fldCharType="begin"/>
        </w:r>
        <w:r w:rsidR="00E94695">
          <w:rPr>
            <w:webHidden/>
          </w:rPr>
          <w:instrText xml:space="preserve"> PAGEREF _Toc395605394 \h </w:instrText>
        </w:r>
        <w:r w:rsidR="00E94695">
          <w:rPr>
            <w:webHidden/>
          </w:rPr>
        </w:r>
        <w:r w:rsidR="00E94695">
          <w:rPr>
            <w:webHidden/>
          </w:rPr>
          <w:fldChar w:fldCharType="separate"/>
        </w:r>
        <w:r w:rsidR="00E94695">
          <w:rPr>
            <w:webHidden/>
          </w:rPr>
          <w:t>16</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95" w:history="1">
        <w:r w:rsidR="00E94695" w:rsidRPr="001843DC">
          <w:rPr>
            <w:rStyle w:val="Hyperlink"/>
          </w:rPr>
          <w:t>Elektronische Systeme für die Einreichung von Anträgen</w:t>
        </w:r>
        <w:r w:rsidR="00E94695">
          <w:rPr>
            <w:webHidden/>
          </w:rPr>
          <w:tab/>
        </w:r>
        <w:r w:rsidR="00E94695">
          <w:rPr>
            <w:webHidden/>
          </w:rPr>
          <w:fldChar w:fldCharType="begin"/>
        </w:r>
        <w:r w:rsidR="00E94695">
          <w:rPr>
            <w:webHidden/>
          </w:rPr>
          <w:instrText xml:space="preserve"> PAGEREF _Toc395605395 \h </w:instrText>
        </w:r>
        <w:r w:rsidR="00E94695">
          <w:rPr>
            <w:webHidden/>
          </w:rPr>
        </w:r>
        <w:r w:rsidR="00E94695">
          <w:rPr>
            <w:webHidden/>
          </w:rPr>
          <w:fldChar w:fldCharType="separate"/>
        </w:r>
        <w:r w:rsidR="00E94695">
          <w:rPr>
            <w:webHidden/>
          </w:rPr>
          <w:t>17</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96" w:history="1">
        <w:r w:rsidR="00E94695" w:rsidRPr="001843DC">
          <w:rPr>
            <w:rStyle w:val="Hyperlink"/>
          </w:rPr>
          <w:t>Prüfung der Homogenität anhand von Abweichern aufgrund von mehr als einer Probe oder Unterproben</w:t>
        </w:r>
        <w:r w:rsidR="00E94695">
          <w:rPr>
            <w:webHidden/>
          </w:rPr>
          <w:tab/>
        </w:r>
        <w:r w:rsidR="00E94695">
          <w:rPr>
            <w:webHidden/>
          </w:rPr>
          <w:fldChar w:fldCharType="begin"/>
        </w:r>
        <w:r w:rsidR="00E94695">
          <w:rPr>
            <w:webHidden/>
          </w:rPr>
          <w:instrText xml:space="preserve"> PAGEREF _Toc395605396 \h </w:instrText>
        </w:r>
        <w:r w:rsidR="00E94695">
          <w:rPr>
            <w:webHidden/>
          </w:rPr>
        </w:r>
        <w:r w:rsidR="00E94695">
          <w:rPr>
            <w:webHidden/>
          </w:rPr>
          <w:fldChar w:fldCharType="separate"/>
        </w:r>
        <w:r w:rsidR="00E94695">
          <w:rPr>
            <w:webHidden/>
          </w:rPr>
          <w:t>17</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97" w:history="1">
        <w:r w:rsidR="00E94695" w:rsidRPr="001843DC">
          <w:rPr>
            <w:rStyle w:val="Hyperlink"/>
          </w:rPr>
          <w:t>Vorbereitende Arbeitstagungen</w:t>
        </w:r>
        <w:r w:rsidR="00E94695">
          <w:rPr>
            <w:webHidden/>
          </w:rPr>
          <w:tab/>
        </w:r>
        <w:r w:rsidR="00E94695">
          <w:rPr>
            <w:webHidden/>
          </w:rPr>
          <w:fldChar w:fldCharType="begin"/>
        </w:r>
        <w:r w:rsidR="00E94695">
          <w:rPr>
            <w:webHidden/>
          </w:rPr>
          <w:instrText xml:space="preserve"> PAGEREF _Toc395605397 \h </w:instrText>
        </w:r>
        <w:r w:rsidR="00E94695">
          <w:rPr>
            <w:webHidden/>
          </w:rPr>
        </w:r>
        <w:r w:rsidR="00E94695">
          <w:rPr>
            <w:webHidden/>
          </w:rPr>
          <w:fldChar w:fldCharType="separate"/>
        </w:r>
        <w:r w:rsidR="00E94695">
          <w:rPr>
            <w:webHidden/>
          </w:rPr>
          <w:t>18</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98" w:history="1">
        <w:r w:rsidR="00E94695" w:rsidRPr="001843DC">
          <w:rPr>
            <w:rStyle w:val="Hyperlink"/>
            <w:lang w:eastAsia="en-US"/>
          </w:rPr>
          <w:t>Vorschläge zur Verbesserung der Effektivität des Technischen Ausschusses, der Technischen Arbeitsgruppen sowie der vorbereitenden Arbeitstagungen</w:t>
        </w:r>
        <w:r w:rsidR="00E94695">
          <w:rPr>
            <w:webHidden/>
          </w:rPr>
          <w:tab/>
        </w:r>
        <w:r w:rsidR="00E94695">
          <w:rPr>
            <w:webHidden/>
          </w:rPr>
          <w:fldChar w:fldCharType="begin"/>
        </w:r>
        <w:r w:rsidR="00E94695">
          <w:rPr>
            <w:webHidden/>
          </w:rPr>
          <w:instrText xml:space="preserve"> PAGEREF _Toc395605398 \h </w:instrText>
        </w:r>
        <w:r w:rsidR="00E94695">
          <w:rPr>
            <w:webHidden/>
          </w:rPr>
        </w:r>
        <w:r w:rsidR="00E94695">
          <w:rPr>
            <w:webHidden/>
          </w:rPr>
          <w:fldChar w:fldCharType="separate"/>
        </w:r>
        <w:r w:rsidR="00E94695">
          <w:rPr>
            <w:webHidden/>
          </w:rPr>
          <w:t>18</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399" w:history="1">
        <w:r w:rsidR="00E94695" w:rsidRPr="001843DC">
          <w:rPr>
            <w:rStyle w:val="Hyperlink"/>
            <w:rFonts w:eastAsia="MS Mincho"/>
            <w:i/>
            <w:lang w:eastAsia="en-US"/>
          </w:rPr>
          <w:t>Hintergrund</w:t>
        </w:r>
        <w:r w:rsidR="00E94695">
          <w:rPr>
            <w:webHidden/>
          </w:rPr>
          <w:tab/>
        </w:r>
        <w:r w:rsidR="00E94695">
          <w:rPr>
            <w:webHidden/>
          </w:rPr>
          <w:fldChar w:fldCharType="begin"/>
        </w:r>
        <w:r w:rsidR="00E94695">
          <w:rPr>
            <w:webHidden/>
          </w:rPr>
          <w:instrText xml:space="preserve"> PAGEREF _Toc395605399 \h </w:instrText>
        </w:r>
        <w:r w:rsidR="00E94695">
          <w:rPr>
            <w:webHidden/>
          </w:rPr>
        </w:r>
        <w:r w:rsidR="00E94695">
          <w:rPr>
            <w:webHidden/>
          </w:rPr>
          <w:fldChar w:fldCharType="separate"/>
        </w:r>
        <w:r w:rsidR="00E94695">
          <w:rPr>
            <w:webHidden/>
          </w:rPr>
          <w:t>18</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00" w:history="1">
        <w:r w:rsidR="00E94695" w:rsidRPr="001843DC">
          <w:rPr>
            <w:rStyle w:val="Hyperlink"/>
            <w:rFonts w:eastAsia="MS Mincho"/>
            <w:i/>
            <w:snapToGrid w:val="0"/>
            <w:lang w:eastAsia="en-US"/>
          </w:rPr>
          <w:t>Ergebnisse der Befragungen im Jahr 2013</w:t>
        </w:r>
        <w:r w:rsidR="00E94695">
          <w:rPr>
            <w:webHidden/>
          </w:rPr>
          <w:tab/>
        </w:r>
        <w:r w:rsidR="00E94695">
          <w:rPr>
            <w:webHidden/>
          </w:rPr>
          <w:fldChar w:fldCharType="begin"/>
        </w:r>
        <w:r w:rsidR="00E94695">
          <w:rPr>
            <w:webHidden/>
          </w:rPr>
          <w:instrText xml:space="preserve"> PAGEREF _Toc395605400 \h </w:instrText>
        </w:r>
        <w:r w:rsidR="00E94695">
          <w:rPr>
            <w:webHidden/>
          </w:rPr>
        </w:r>
        <w:r w:rsidR="00E94695">
          <w:rPr>
            <w:webHidden/>
          </w:rPr>
          <w:fldChar w:fldCharType="separate"/>
        </w:r>
        <w:r w:rsidR="00E94695">
          <w:rPr>
            <w:webHidden/>
          </w:rPr>
          <w:t>18</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01" w:history="1">
        <w:r w:rsidR="00E94695" w:rsidRPr="001843DC">
          <w:rPr>
            <w:rStyle w:val="Hyperlink"/>
            <w:rFonts w:eastAsia="MS Mincho"/>
            <w:i/>
            <w:snapToGrid w:val="0"/>
            <w:lang w:eastAsia="en-US"/>
          </w:rPr>
          <w:t>Vorschläge zur Verbesserung der Effektivität des Technischen Ausschusses, der Technischen Arbeitsgruppen sowie der vorbereitenden Arbeitstagungen</w:t>
        </w:r>
        <w:r w:rsidR="00E94695">
          <w:rPr>
            <w:webHidden/>
          </w:rPr>
          <w:tab/>
        </w:r>
        <w:r w:rsidR="00E94695">
          <w:rPr>
            <w:webHidden/>
          </w:rPr>
          <w:fldChar w:fldCharType="begin"/>
        </w:r>
        <w:r w:rsidR="00E94695">
          <w:rPr>
            <w:webHidden/>
          </w:rPr>
          <w:instrText xml:space="preserve"> PAGEREF _Toc395605401 \h </w:instrText>
        </w:r>
        <w:r w:rsidR="00E94695">
          <w:rPr>
            <w:webHidden/>
          </w:rPr>
        </w:r>
        <w:r w:rsidR="00E94695">
          <w:rPr>
            <w:webHidden/>
          </w:rPr>
          <w:fldChar w:fldCharType="separate"/>
        </w:r>
        <w:r w:rsidR="00E94695">
          <w:rPr>
            <w:webHidden/>
          </w:rPr>
          <w:t>18</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02" w:history="1">
        <w:r w:rsidR="00E94695" w:rsidRPr="001843DC">
          <w:rPr>
            <w:rStyle w:val="Hyperlink"/>
            <w:rFonts w:eastAsia="MS Mincho"/>
            <w:i/>
            <w:snapToGrid w:val="0"/>
            <w:lang w:eastAsia="en-US"/>
          </w:rPr>
          <w:t>Technischer Ausschuß</w:t>
        </w:r>
        <w:r w:rsidR="00E94695">
          <w:rPr>
            <w:webHidden/>
          </w:rPr>
          <w:tab/>
        </w:r>
        <w:r w:rsidR="00E94695">
          <w:rPr>
            <w:webHidden/>
          </w:rPr>
          <w:fldChar w:fldCharType="begin"/>
        </w:r>
        <w:r w:rsidR="00E94695">
          <w:rPr>
            <w:webHidden/>
          </w:rPr>
          <w:instrText xml:space="preserve"> PAGEREF _Toc395605402 \h </w:instrText>
        </w:r>
        <w:r w:rsidR="00E94695">
          <w:rPr>
            <w:webHidden/>
          </w:rPr>
        </w:r>
        <w:r w:rsidR="00E94695">
          <w:rPr>
            <w:webHidden/>
          </w:rPr>
          <w:fldChar w:fldCharType="separate"/>
        </w:r>
        <w:r w:rsidR="00E94695">
          <w:rPr>
            <w:webHidden/>
          </w:rPr>
          <w:t>18</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03" w:history="1">
        <w:r w:rsidR="00E94695" w:rsidRPr="001843DC">
          <w:rPr>
            <w:rStyle w:val="Hyperlink"/>
            <w:rFonts w:eastAsia="MS Mincho"/>
            <w:i/>
            <w:snapToGrid w:val="0"/>
            <w:lang w:eastAsia="en-US"/>
          </w:rPr>
          <w:t>Technische Arbeitsgruppen und vorbereitende Arbeitstagungen</w:t>
        </w:r>
        <w:r w:rsidR="00E94695">
          <w:rPr>
            <w:webHidden/>
          </w:rPr>
          <w:tab/>
        </w:r>
        <w:r w:rsidR="00E94695">
          <w:rPr>
            <w:webHidden/>
          </w:rPr>
          <w:fldChar w:fldCharType="begin"/>
        </w:r>
        <w:r w:rsidR="00E94695">
          <w:rPr>
            <w:webHidden/>
          </w:rPr>
          <w:instrText xml:space="preserve"> PAGEREF _Toc395605403 \h </w:instrText>
        </w:r>
        <w:r w:rsidR="00E94695">
          <w:rPr>
            <w:webHidden/>
          </w:rPr>
        </w:r>
        <w:r w:rsidR="00E94695">
          <w:rPr>
            <w:webHidden/>
          </w:rPr>
          <w:fldChar w:fldCharType="separate"/>
        </w:r>
        <w:r w:rsidR="00E94695">
          <w:rPr>
            <w:webHidden/>
          </w:rPr>
          <w:t>18</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04" w:history="1">
        <w:r w:rsidR="00E94695" w:rsidRPr="001843DC">
          <w:rPr>
            <w:rStyle w:val="Hyperlink"/>
          </w:rPr>
          <w:t>Erörterung von Schulungsmöglichkeiten für die DUS-Prüfung</w:t>
        </w:r>
        <w:r w:rsidR="00E94695">
          <w:rPr>
            <w:webHidden/>
          </w:rPr>
          <w:tab/>
        </w:r>
        <w:r w:rsidR="00E94695">
          <w:rPr>
            <w:webHidden/>
          </w:rPr>
          <w:fldChar w:fldCharType="begin"/>
        </w:r>
        <w:r w:rsidR="00E94695">
          <w:rPr>
            <w:webHidden/>
          </w:rPr>
          <w:instrText xml:space="preserve"> PAGEREF _Toc395605404 \h </w:instrText>
        </w:r>
        <w:r w:rsidR="00E94695">
          <w:rPr>
            <w:webHidden/>
          </w:rPr>
        </w:r>
        <w:r w:rsidR="00E94695">
          <w:rPr>
            <w:webHidden/>
          </w:rPr>
          <w:fldChar w:fldCharType="separate"/>
        </w:r>
        <w:r w:rsidR="00E94695">
          <w:rPr>
            <w:webHidden/>
          </w:rPr>
          <w:t>19</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05" w:history="1">
        <w:r w:rsidR="00E94695" w:rsidRPr="001843DC">
          <w:rPr>
            <w:rStyle w:val="Hyperlink"/>
            <w:lang w:eastAsia="en-US"/>
          </w:rPr>
          <w:t>Erörterung von Zusammenarbeit mit Züchtern bei der DUS-Prüfung</w:t>
        </w:r>
        <w:r w:rsidR="00E94695">
          <w:rPr>
            <w:webHidden/>
          </w:rPr>
          <w:tab/>
        </w:r>
        <w:r w:rsidR="00E94695">
          <w:rPr>
            <w:webHidden/>
          </w:rPr>
          <w:fldChar w:fldCharType="begin"/>
        </w:r>
        <w:r w:rsidR="00E94695">
          <w:rPr>
            <w:webHidden/>
          </w:rPr>
          <w:instrText xml:space="preserve"> PAGEREF _Toc395605405 \h </w:instrText>
        </w:r>
        <w:r w:rsidR="00E94695">
          <w:rPr>
            <w:webHidden/>
          </w:rPr>
        </w:r>
        <w:r w:rsidR="00E94695">
          <w:rPr>
            <w:webHidden/>
          </w:rPr>
          <w:fldChar w:fldCharType="separate"/>
        </w:r>
        <w:r w:rsidR="00E94695">
          <w:rPr>
            <w:webHidden/>
          </w:rPr>
          <w:t>19</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06" w:history="1">
        <w:r w:rsidR="00E94695" w:rsidRPr="001843DC">
          <w:rPr>
            <w:rStyle w:val="Hyperlink"/>
          </w:rPr>
          <w:t>Prüfungsrichtlinien</w:t>
        </w:r>
        <w:r w:rsidR="00E94695">
          <w:rPr>
            <w:webHidden/>
          </w:rPr>
          <w:tab/>
        </w:r>
        <w:r w:rsidR="00E94695">
          <w:rPr>
            <w:webHidden/>
          </w:rPr>
          <w:fldChar w:fldCharType="begin"/>
        </w:r>
        <w:r w:rsidR="00E94695">
          <w:rPr>
            <w:webHidden/>
          </w:rPr>
          <w:instrText xml:space="preserve"> PAGEREF _Toc395605406 \h </w:instrText>
        </w:r>
        <w:r w:rsidR="00E94695">
          <w:rPr>
            <w:webHidden/>
          </w:rPr>
        </w:r>
        <w:r w:rsidR="00E94695">
          <w:rPr>
            <w:webHidden/>
          </w:rPr>
          <w:fldChar w:fldCharType="separate"/>
        </w:r>
        <w:r w:rsidR="00E94695">
          <w:rPr>
            <w:webHidden/>
          </w:rPr>
          <w:t>19</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07" w:history="1">
        <w:r w:rsidR="00E94695" w:rsidRPr="001843DC">
          <w:rPr>
            <w:rStyle w:val="Hyperlink"/>
            <w:i/>
            <w:lang w:eastAsia="en-US"/>
          </w:rPr>
          <w:t>Von den Technischen Arbeitsgruppen im Jahr 2013 behandelte Entwürfe für Prüfungsrichtlinien</w:t>
        </w:r>
        <w:r w:rsidR="00E94695">
          <w:rPr>
            <w:webHidden/>
          </w:rPr>
          <w:tab/>
        </w:r>
        <w:r w:rsidR="00E94695">
          <w:rPr>
            <w:webHidden/>
          </w:rPr>
          <w:fldChar w:fldCharType="begin"/>
        </w:r>
        <w:r w:rsidR="00E94695">
          <w:rPr>
            <w:webHidden/>
          </w:rPr>
          <w:instrText xml:space="preserve"> PAGEREF _Toc395605407 \h </w:instrText>
        </w:r>
        <w:r w:rsidR="00E94695">
          <w:rPr>
            <w:webHidden/>
          </w:rPr>
        </w:r>
        <w:r w:rsidR="00E94695">
          <w:rPr>
            <w:webHidden/>
          </w:rPr>
          <w:fldChar w:fldCharType="separate"/>
        </w:r>
        <w:r w:rsidR="00E94695">
          <w:rPr>
            <w:webHidden/>
          </w:rPr>
          <w:t>21</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08" w:history="1">
        <w:r w:rsidR="00E94695" w:rsidRPr="001843DC">
          <w:rPr>
            <w:rStyle w:val="Hyperlink"/>
            <w:i/>
            <w:lang w:eastAsia="en-US"/>
          </w:rPr>
          <w:t>Von den Technischen Arbeitsgruppen im Jahr 2014 zu behandelnde Entwürfe für Prüfungsrichtlinien</w:t>
        </w:r>
        <w:r w:rsidR="00E94695">
          <w:rPr>
            <w:webHidden/>
          </w:rPr>
          <w:tab/>
        </w:r>
        <w:r w:rsidR="00E94695">
          <w:rPr>
            <w:webHidden/>
          </w:rPr>
          <w:fldChar w:fldCharType="begin"/>
        </w:r>
        <w:r w:rsidR="00E94695">
          <w:rPr>
            <w:webHidden/>
          </w:rPr>
          <w:instrText xml:space="preserve"> PAGEREF _Toc395605408 \h </w:instrText>
        </w:r>
        <w:r w:rsidR="00E94695">
          <w:rPr>
            <w:webHidden/>
          </w:rPr>
        </w:r>
        <w:r w:rsidR="00E94695">
          <w:rPr>
            <w:webHidden/>
          </w:rPr>
          <w:fldChar w:fldCharType="separate"/>
        </w:r>
        <w:r w:rsidR="00E94695">
          <w:rPr>
            <w:webHidden/>
          </w:rPr>
          <w:t>21</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09" w:history="1">
        <w:r w:rsidR="00E94695" w:rsidRPr="001843DC">
          <w:rPr>
            <w:rStyle w:val="Hyperlink"/>
            <w:rFonts w:cs="Arial"/>
            <w:i/>
            <w:lang w:eastAsia="en-US"/>
          </w:rPr>
          <w:t>Prüfungsrichtlinien auf der UPOV-Website</w:t>
        </w:r>
        <w:r w:rsidR="00E94695">
          <w:rPr>
            <w:webHidden/>
          </w:rPr>
          <w:tab/>
        </w:r>
        <w:r w:rsidR="00E94695">
          <w:rPr>
            <w:webHidden/>
          </w:rPr>
          <w:fldChar w:fldCharType="begin"/>
        </w:r>
        <w:r w:rsidR="00E94695">
          <w:rPr>
            <w:webHidden/>
          </w:rPr>
          <w:instrText xml:space="preserve"> PAGEREF _Toc395605409 \h </w:instrText>
        </w:r>
        <w:r w:rsidR="00E94695">
          <w:rPr>
            <w:webHidden/>
          </w:rPr>
        </w:r>
        <w:r w:rsidR="00E94695">
          <w:rPr>
            <w:webHidden/>
          </w:rPr>
          <w:fldChar w:fldCharType="separate"/>
        </w:r>
        <w:r w:rsidR="00E94695">
          <w:rPr>
            <w:webHidden/>
          </w:rPr>
          <w:t>21</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10" w:history="1">
        <w:r w:rsidR="00E94695" w:rsidRPr="001843DC">
          <w:rPr>
            <w:rStyle w:val="Hyperlink"/>
            <w:rFonts w:eastAsia="MS Mincho"/>
            <w:i/>
            <w:lang w:eastAsia="en-US"/>
          </w:rPr>
          <w:t>Frühere Fassungen angenommener Prüfungsrichtlinien</w:t>
        </w:r>
        <w:r w:rsidR="00E94695">
          <w:rPr>
            <w:webHidden/>
          </w:rPr>
          <w:tab/>
        </w:r>
        <w:r w:rsidR="00E94695">
          <w:rPr>
            <w:webHidden/>
          </w:rPr>
          <w:fldChar w:fldCharType="begin"/>
        </w:r>
        <w:r w:rsidR="00E94695">
          <w:rPr>
            <w:webHidden/>
          </w:rPr>
          <w:instrText xml:space="preserve"> PAGEREF _Toc395605410 \h </w:instrText>
        </w:r>
        <w:r w:rsidR="00E94695">
          <w:rPr>
            <w:webHidden/>
          </w:rPr>
        </w:r>
        <w:r w:rsidR="00E94695">
          <w:rPr>
            <w:webHidden/>
          </w:rPr>
          <w:fldChar w:fldCharType="separate"/>
        </w:r>
        <w:r w:rsidR="00E94695">
          <w:rPr>
            <w:webHidden/>
          </w:rPr>
          <w:t>21</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11" w:history="1">
        <w:r w:rsidR="00E94695" w:rsidRPr="001843DC">
          <w:rPr>
            <w:rStyle w:val="Hyperlink"/>
          </w:rPr>
          <w:t>Liste der Gattungen und Arten, für die die Behörden über praktische Erfahrung bei der Prüfung der Unterscheidbarkeit, Homogenität und Beständigkeit verfügen</w:t>
        </w:r>
        <w:r w:rsidR="00E94695">
          <w:rPr>
            <w:webHidden/>
          </w:rPr>
          <w:tab/>
        </w:r>
        <w:r w:rsidR="00E94695">
          <w:rPr>
            <w:webHidden/>
          </w:rPr>
          <w:fldChar w:fldCharType="begin"/>
        </w:r>
        <w:r w:rsidR="00E94695">
          <w:rPr>
            <w:webHidden/>
          </w:rPr>
          <w:instrText xml:space="preserve"> PAGEREF _Toc395605411 \h </w:instrText>
        </w:r>
        <w:r w:rsidR="00E94695">
          <w:rPr>
            <w:webHidden/>
          </w:rPr>
        </w:r>
        <w:r w:rsidR="00E94695">
          <w:rPr>
            <w:webHidden/>
          </w:rPr>
          <w:fldChar w:fldCharType="separate"/>
        </w:r>
        <w:r w:rsidR="00E94695">
          <w:rPr>
            <w:webHidden/>
          </w:rPr>
          <w:t>21</w:t>
        </w:r>
        <w:r w:rsidR="00E94695">
          <w:rPr>
            <w:webHidden/>
          </w:rPr>
          <w:fldChar w:fldCharType="end"/>
        </w:r>
      </w:hyperlink>
    </w:p>
    <w:p w:rsidR="00E94695" w:rsidRDefault="005D2FEA">
      <w:pPr>
        <w:pStyle w:val="TOC1"/>
        <w:rPr>
          <w:rFonts w:asciiTheme="minorHAnsi" w:eastAsiaTheme="minorEastAsia" w:hAnsiTheme="minorHAnsi" w:cstheme="minorBidi"/>
          <w:caps w:val="0"/>
          <w:sz w:val="22"/>
          <w:szCs w:val="22"/>
          <w:lang w:bidi="ar-SA"/>
        </w:rPr>
      </w:pPr>
      <w:hyperlink w:anchor="_Toc395605412" w:history="1">
        <w:r w:rsidR="00E94695" w:rsidRPr="001843DC">
          <w:rPr>
            <w:rStyle w:val="Hyperlink"/>
          </w:rPr>
          <w:t>II.</w:t>
        </w:r>
        <w:r w:rsidR="00E94695">
          <w:rPr>
            <w:rFonts w:asciiTheme="minorHAnsi" w:eastAsiaTheme="minorEastAsia" w:hAnsiTheme="minorHAnsi" w:cstheme="minorBidi"/>
            <w:caps w:val="0"/>
            <w:sz w:val="22"/>
            <w:szCs w:val="22"/>
            <w:lang w:bidi="ar-SA"/>
          </w:rPr>
          <w:tab/>
        </w:r>
        <w:r w:rsidR="00E94695" w:rsidRPr="001843DC">
          <w:rPr>
            <w:rStyle w:val="Hyperlink"/>
          </w:rPr>
          <w:t>Bericht über den Fortschritt der Arbeiten des Technischen Ausschusses, der Technischen Arbeitsgruppen und der Arbeitsgruppe für biochemische und molekulare Verfahren und insbesondere für DNS-Profilierungsverfahren im Jahr 2013</w:t>
        </w:r>
        <w:r w:rsidR="00E94695">
          <w:rPr>
            <w:webHidden/>
          </w:rPr>
          <w:tab/>
        </w:r>
        <w:r w:rsidR="00E94695">
          <w:rPr>
            <w:webHidden/>
          </w:rPr>
          <w:fldChar w:fldCharType="begin"/>
        </w:r>
        <w:r w:rsidR="00E94695">
          <w:rPr>
            <w:webHidden/>
          </w:rPr>
          <w:instrText xml:space="preserve"> PAGEREF _Toc395605412 \h </w:instrText>
        </w:r>
        <w:r w:rsidR="00E94695">
          <w:rPr>
            <w:webHidden/>
          </w:rPr>
        </w:r>
        <w:r w:rsidR="00E94695">
          <w:rPr>
            <w:webHidden/>
          </w:rPr>
          <w:fldChar w:fldCharType="separate"/>
        </w:r>
        <w:r w:rsidR="00E94695">
          <w:rPr>
            <w:webHidden/>
          </w:rPr>
          <w:t>23</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13" w:history="1">
        <w:r w:rsidR="00E94695" w:rsidRPr="001843DC">
          <w:rPr>
            <w:rStyle w:val="Hyperlink"/>
          </w:rPr>
          <w:t>Technische Arbeitsgruppe für landwirtschaftliche Arten (TWA)</w:t>
        </w:r>
        <w:r w:rsidR="00E94695">
          <w:rPr>
            <w:webHidden/>
          </w:rPr>
          <w:tab/>
        </w:r>
        <w:r w:rsidR="00E94695">
          <w:rPr>
            <w:webHidden/>
          </w:rPr>
          <w:fldChar w:fldCharType="begin"/>
        </w:r>
        <w:r w:rsidR="00E94695">
          <w:rPr>
            <w:webHidden/>
          </w:rPr>
          <w:instrText xml:space="preserve"> PAGEREF _Toc395605413 \h </w:instrText>
        </w:r>
        <w:r w:rsidR="00E94695">
          <w:rPr>
            <w:webHidden/>
          </w:rPr>
        </w:r>
        <w:r w:rsidR="00E94695">
          <w:rPr>
            <w:webHidden/>
          </w:rPr>
          <w:fldChar w:fldCharType="separate"/>
        </w:r>
        <w:r w:rsidR="00E94695">
          <w:rPr>
            <w:webHidden/>
          </w:rPr>
          <w:t>23</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14" w:history="1">
        <w:r w:rsidR="00E94695" w:rsidRPr="001843DC">
          <w:rPr>
            <w:rStyle w:val="Hyperlink"/>
          </w:rPr>
          <w:t>Technische Arbeitsgruppe für Automatisierung und Computerprogramme (TWC)</w:t>
        </w:r>
        <w:r w:rsidR="00E94695">
          <w:rPr>
            <w:webHidden/>
          </w:rPr>
          <w:tab/>
        </w:r>
        <w:r w:rsidR="00E94695">
          <w:rPr>
            <w:webHidden/>
          </w:rPr>
          <w:fldChar w:fldCharType="begin"/>
        </w:r>
        <w:r w:rsidR="00E94695">
          <w:rPr>
            <w:webHidden/>
          </w:rPr>
          <w:instrText xml:space="preserve"> PAGEREF _Toc395605414 \h </w:instrText>
        </w:r>
        <w:r w:rsidR="00E94695">
          <w:rPr>
            <w:webHidden/>
          </w:rPr>
        </w:r>
        <w:r w:rsidR="00E94695">
          <w:rPr>
            <w:webHidden/>
          </w:rPr>
          <w:fldChar w:fldCharType="separate"/>
        </w:r>
        <w:r w:rsidR="00E94695">
          <w:rPr>
            <w:webHidden/>
          </w:rPr>
          <w:t>26</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15" w:history="1">
        <w:r w:rsidR="00E94695" w:rsidRPr="001843DC">
          <w:rPr>
            <w:rStyle w:val="Hyperlink"/>
          </w:rPr>
          <w:t>Technische Arbeitsgruppe für Obstarten (TWF)</w:t>
        </w:r>
        <w:r w:rsidR="00E94695">
          <w:rPr>
            <w:webHidden/>
          </w:rPr>
          <w:tab/>
        </w:r>
        <w:r w:rsidR="00E94695">
          <w:rPr>
            <w:webHidden/>
          </w:rPr>
          <w:fldChar w:fldCharType="begin"/>
        </w:r>
        <w:r w:rsidR="00E94695">
          <w:rPr>
            <w:webHidden/>
          </w:rPr>
          <w:instrText xml:space="preserve"> PAGEREF _Toc395605415 \h </w:instrText>
        </w:r>
        <w:r w:rsidR="00E94695">
          <w:rPr>
            <w:webHidden/>
          </w:rPr>
        </w:r>
        <w:r w:rsidR="00E94695">
          <w:rPr>
            <w:webHidden/>
          </w:rPr>
          <w:fldChar w:fldCharType="separate"/>
        </w:r>
        <w:r w:rsidR="00E94695">
          <w:rPr>
            <w:webHidden/>
          </w:rPr>
          <w:t>28</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16" w:history="1">
        <w:r w:rsidR="00E94695" w:rsidRPr="001843DC">
          <w:rPr>
            <w:rStyle w:val="Hyperlink"/>
          </w:rPr>
          <w:t>Technischen Arbeitsgruppe für Zierpflanzen und forstliche Baumarten (TWO)</w:t>
        </w:r>
        <w:r w:rsidR="00E94695">
          <w:rPr>
            <w:webHidden/>
          </w:rPr>
          <w:tab/>
        </w:r>
        <w:r w:rsidR="00E94695">
          <w:rPr>
            <w:webHidden/>
          </w:rPr>
          <w:fldChar w:fldCharType="begin"/>
        </w:r>
        <w:r w:rsidR="00E94695">
          <w:rPr>
            <w:webHidden/>
          </w:rPr>
          <w:instrText xml:space="preserve"> PAGEREF _Toc395605416 \h </w:instrText>
        </w:r>
        <w:r w:rsidR="00E94695">
          <w:rPr>
            <w:webHidden/>
          </w:rPr>
        </w:r>
        <w:r w:rsidR="00E94695">
          <w:rPr>
            <w:webHidden/>
          </w:rPr>
          <w:fldChar w:fldCharType="separate"/>
        </w:r>
        <w:r w:rsidR="00E94695">
          <w:rPr>
            <w:webHidden/>
          </w:rPr>
          <w:t>30</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17" w:history="1">
        <w:r w:rsidR="00E94695" w:rsidRPr="001843DC">
          <w:rPr>
            <w:rStyle w:val="Hyperlink"/>
          </w:rPr>
          <w:t>Technische Arbeitsgruppe für Gemüsearten</w:t>
        </w:r>
        <w:r w:rsidR="00E94695">
          <w:rPr>
            <w:webHidden/>
          </w:rPr>
          <w:tab/>
        </w:r>
        <w:r w:rsidR="00E94695">
          <w:rPr>
            <w:webHidden/>
          </w:rPr>
          <w:fldChar w:fldCharType="begin"/>
        </w:r>
        <w:r w:rsidR="00E94695">
          <w:rPr>
            <w:webHidden/>
          </w:rPr>
          <w:instrText xml:space="preserve"> PAGEREF _Toc395605417 \h </w:instrText>
        </w:r>
        <w:r w:rsidR="00E94695">
          <w:rPr>
            <w:webHidden/>
          </w:rPr>
        </w:r>
        <w:r w:rsidR="00E94695">
          <w:rPr>
            <w:webHidden/>
          </w:rPr>
          <w:fldChar w:fldCharType="separate"/>
        </w:r>
        <w:r w:rsidR="00E94695">
          <w:rPr>
            <w:webHidden/>
          </w:rPr>
          <w:t>33</w:t>
        </w:r>
        <w:r w:rsidR="00E94695">
          <w:rPr>
            <w:webHidden/>
          </w:rPr>
          <w:fldChar w:fldCharType="end"/>
        </w:r>
      </w:hyperlink>
    </w:p>
    <w:p w:rsidR="00E94695" w:rsidRDefault="005D2FEA">
      <w:pPr>
        <w:pStyle w:val="TOC2"/>
        <w:rPr>
          <w:rFonts w:asciiTheme="minorHAnsi" w:eastAsiaTheme="minorEastAsia" w:hAnsiTheme="minorHAnsi" w:cstheme="minorBidi"/>
          <w:sz w:val="22"/>
          <w:szCs w:val="22"/>
          <w:lang w:bidi="ar-SA"/>
        </w:rPr>
      </w:pPr>
      <w:hyperlink w:anchor="_Toc395605418" w:history="1">
        <w:r w:rsidR="00E94695" w:rsidRPr="001843DC">
          <w:rPr>
            <w:rStyle w:val="Hyperlink"/>
          </w:rPr>
          <w:t>Arbeitsgruppe für biochemische und molekulare Verfahren und insbesondere für DNS-Profilierungsverfahren (BMT)</w:t>
        </w:r>
        <w:r w:rsidR="00E94695">
          <w:rPr>
            <w:webHidden/>
          </w:rPr>
          <w:tab/>
        </w:r>
        <w:r w:rsidR="00E94695">
          <w:rPr>
            <w:webHidden/>
          </w:rPr>
          <w:fldChar w:fldCharType="begin"/>
        </w:r>
        <w:r w:rsidR="00E94695">
          <w:rPr>
            <w:webHidden/>
          </w:rPr>
          <w:instrText xml:space="preserve"> PAGEREF _Toc395605418 \h </w:instrText>
        </w:r>
        <w:r w:rsidR="00E94695">
          <w:rPr>
            <w:webHidden/>
          </w:rPr>
        </w:r>
        <w:r w:rsidR="00E94695">
          <w:rPr>
            <w:webHidden/>
          </w:rPr>
          <w:fldChar w:fldCharType="separate"/>
        </w:r>
        <w:r w:rsidR="00E94695">
          <w:rPr>
            <w:webHidden/>
          </w:rPr>
          <w:t>36</w:t>
        </w:r>
        <w:r w:rsidR="00E94695">
          <w:rPr>
            <w:webHidden/>
          </w:rPr>
          <w:fldChar w:fldCharType="end"/>
        </w:r>
      </w:hyperlink>
    </w:p>
    <w:p w:rsidR="00141FDF" w:rsidRDefault="008A4150">
      <w:pPr>
        <w:pStyle w:val="TOC1"/>
        <w:rPr>
          <w:rFonts w:asciiTheme="minorHAnsi" w:eastAsiaTheme="minorEastAsia" w:hAnsiTheme="minorHAnsi" w:cstheme="minorBidi"/>
          <w:caps w:val="0"/>
          <w:snapToGrid w:val="0"/>
          <w:sz w:val="22"/>
          <w:szCs w:val="22"/>
        </w:rPr>
      </w:pPr>
      <w:r>
        <w:rPr>
          <w:snapToGrid w:val="0"/>
        </w:rPr>
        <w:fldChar w:fldCharType="end"/>
      </w:r>
    </w:p>
    <w:p w:rsidR="005135BF" w:rsidRDefault="005135BF" w:rsidP="006B3AA5">
      <w:pPr>
        <w:tabs>
          <w:tab w:val="left" w:pos="1418"/>
        </w:tabs>
      </w:pPr>
      <w:r>
        <w:t>ANLAGE:</w:t>
      </w:r>
      <w:r>
        <w:tab/>
        <w:t>PROGRAMM FÜR DIE ERARBEITUNG VON TGP-DOKUMENTEN</w:t>
      </w:r>
    </w:p>
    <w:p w:rsidR="005135BF" w:rsidRDefault="005135BF" w:rsidP="006B3AA5">
      <w:pPr>
        <w:tabs>
          <w:tab w:val="left" w:pos="1418"/>
        </w:tabs>
      </w:pPr>
      <w:r>
        <w:t>ANHANG:</w:t>
      </w:r>
      <w:r>
        <w:tab/>
        <w:t>PROGRAMM FÜR DIE ÜBERARBEITUNG VON DOKUMENT TGP/8</w:t>
      </w:r>
    </w:p>
    <w:p w:rsidR="005135BF" w:rsidRDefault="005135BF">
      <w:pPr>
        <w:jc w:val="left"/>
      </w:pPr>
      <w:r>
        <w:br w:type="page"/>
      </w:r>
    </w:p>
    <w:p w:rsidR="00F046AC" w:rsidRDefault="00034E43" w:rsidP="005D2FEA">
      <w:pPr>
        <w:pStyle w:val="Heading1"/>
      </w:pPr>
      <w:bookmarkStart w:id="5" w:name="_Toc393187140"/>
      <w:bookmarkStart w:id="6" w:name="_Toc395605371"/>
      <w:r>
        <w:lastRenderedPageBreak/>
        <w:t>BERICHT ÜBER DEN FORTSCHRITT DER ARBEITEN DES TECHNISCHEN AUSSCHUSSES</w:t>
      </w:r>
      <w:bookmarkEnd w:id="5"/>
      <w:bookmarkEnd w:id="6"/>
    </w:p>
    <w:p w:rsidR="00F046AC" w:rsidRDefault="00F046AC" w:rsidP="00F046AC"/>
    <w:p w:rsidR="00F046AC" w:rsidRPr="00AF342C" w:rsidRDefault="00F046AC" w:rsidP="00F046AC">
      <w:r w:rsidRPr="00AF342C">
        <w:fldChar w:fldCharType="begin"/>
      </w:r>
      <w:r w:rsidRPr="00AF342C">
        <w:instrText xml:space="preserve"> AUTONUM  \* Arabic </w:instrText>
      </w:r>
      <w:r w:rsidRPr="00AF342C">
        <w:fldChar w:fldCharType="end"/>
      </w:r>
      <w:r>
        <w:tab/>
        <w:t>Der Technische Ausschuß (TC) hielt seine fünfzigste Tagung vom 7. bis 9. April 2014 unter dem Vorsitz von Herrn Alejandro Barrientos Priego (Mexiko), Vorsitzender des TC, in Genf ab. Der Bericht über die Entschließungen dieser Tagung ist in Dokument TC/50/36 „Bericht über die Entschließungen“ wiedergegeben. Der detaillierte Bericht wird als Dokument TC/50/37 „Bericht“ vorgelegt werden.</w:t>
      </w:r>
    </w:p>
    <w:p w:rsidR="00F046AC" w:rsidRDefault="00F046AC" w:rsidP="00F046AC">
      <w:pPr>
        <w:rPr>
          <w:snapToGrid w:val="0"/>
        </w:rPr>
      </w:pPr>
    </w:p>
    <w:p w:rsidR="00F046AC" w:rsidRDefault="00F046AC" w:rsidP="00F046AC">
      <w:pPr>
        <w:rPr>
          <w:snapToGrid w:val="0"/>
        </w:rPr>
      </w:pPr>
      <w:r w:rsidRPr="00284C50">
        <w:rPr>
          <w:snapToGrid w:val="0"/>
        </w:rPr>
        <w:fldChar w:fldCharType="begin"/>
      </w:r>
      <w:r w:rsidRPr="00284C50">
        <w:rPr>
          <w:snapToGrid w:val="0"/>
        </w:rPr>
        <w:instrText xml:space="preserve"> AUTONUM  </w:instrText>
      </w:r>
      <w:r w:rsidRPr="00284C50">
        <w:rPr>
          <w:snapToGrid w:val="0"/>
        </w:rPr>
        <w:fldChar w:fldCharType="end"/>
      </w:r>
      <w:r>
        <w:tab/>
        <w:t>An der Tagung nahmen 66 Teilnehmer aus 40 Verbandsmitgliedern, zwei Beobachterstaaten und fünf Beobachterorganisationen teil.</w:t>
      </w:r>
    </w:p>
    <w:p w:rsidR="00F046AC" w:rsidRDefault="00F046AC" w:rsidP="00F046AC">
      <w:pPr>
        <w:rPr>
          <w:snapToGrid w:val="0"/>
        </w:rPr>
      </w:pPr>
    </w:p>
    <w:p w:rsidR="005D2FEA" w:rsidRPr="00AF342C" w:rsidRDefault="005D2FEA" w:rsidP="00F046AC">
      <w:pPr>
        <w:rPr>
          <w:snapToGrid w:val="0"/>
        </w:rPr>
      </w:pPr>
    </w:p>
    <w:p w:rsidR="00F046AC" w:rsidRPr="00AF342C" w:rsidRDefault="00F046AC" w:rsidP="00034E43">
      <w:pPr>
        <w:pStyle w:val="Heading2"/>
      </w:pPr>
      <w:bookmarkStart w:id="7" w:name="_Toc393187141"/>
      <w:bookmarkStart w:id="8" w:name="_Toc395605372"/>
      <w:r>
        <w:t>Bericht über die Entwicklungen in der UPOV, einschließlich der auf den letzten Tagungen des Verwaltungs- und Rechtsausschusses, des Beratenden Ausschusses und des Rates erörterten wichtigen Angelegenheiten (mündlicher Bericht des Stellvertretenden Generalsekretärs)</w:t>
      </w:r>
      <w:bookmarkEnd w:id="7"/>
      <w:bookmarkEnd w:id="8"/>
    </w:p>
    <w:p w:rsidR="00F046AC" w:rsidRDefault="0061429E" w:rsidP="00034E43">
      <w:r>
        <w:t>(vergleiche Dokument TC/50/36 „Bericht über die Entschließungen”, Absätze 8 bis 16).</w:t>
      </w:r>
    </w:p>
    <w:p w:rsidR="0061429E" w:rsidRDefault="0061429E" w:rsidP="00034E43">
      <w:pPr>
        <w:rPr>
          <w:snapToGrid w:val="0"/>
        </w:rPr>
      </w:pPr>
    </w:p>
    <w:p w:rsidR="00F046AC" w:rsidRDefault="00F046AC" w:rsidP="00034E43">
      <w:pPr>
        <w:rPr>
          <w:snapToGrid w:val="0"/>
        </w:rPr>
      </w:pPr>
      <w:r>
        <w:fldChar w:fldCharType="begin"/>
      </w:r>
      <w:r>
        <w:instrText xml:space="preserve"> AUTONUM  </w:instrText>
      </w:r>
      <w:r>
        <w:fldChar w:fldCharType="end"/>
      </w:r>
      <w:r>
        <w:tab/>
        <w:t>Der TC prüfte Dokument TC/50/10 „Bericht über die Entwicklungen bei der UPOV, einschließlich der auf den letzten Tagungen des Verwaltungs- und Rechtsausschusses, des Beratenden Ausschusses und des Rates erörterten wichtigen Angelegenheiten“.</w:t>
      </w:r>
    </w:p>
    <w:p w:rsidR="00F046AC" w:rsidRPr="00AF342C" w:rsidRDefault="00F046AC" w:rsidP="00034E43">
      <w:pPr>
        <w:rPr>
          <w:snapToGrid w:val="0"/>
        </w:rPr>
      </w:pPr>
    </w:p>
    <w:p w:rsidR="00F046AC" w:rsidRPr="00034E43" w:rsidRDefault="0049556A" w:rsidP="00764DB0">
      <w:pPr>
        <w:pStyle w:val="Heading3"/>
      </w:pPr>
      <w:bookmarkStart w:id="9" w:name="_Toc393187142"/>
      <w:bookmarkStart w:id="10" w:name="_Toc395605373"/>
      <w:r>
        <w:t>Frag</w:t>
      </w:r>
      <w:r w:rsidR="00F046AC">
        <w:t>en zur Information</w:t>
      </w:r>
      <w:bookmarkEnd w:id="9"/>
      <w:bookmarkEnd w:id="10"/>
    </w:p>
    <w:p w:rsidR="00F046AC" w:rsidRPr="009E2251" w:rsidRDefault="00F046AC" w:rsidP="00F046AC">
      <w:pPr>
        <w:keepNext/>
      </w:pPr>
    </w:p>
    <w:p w:rsidR="00F046AC" w:rsidRPr="00AF342C" w:rsidRDefault="00F046AC" w:rsidP="00F046AC">
      <w:r w:rsidRPr="00AF342C">
        <w:fldChar w:fldCharType="begin"/>
      </w:r>
      <w:r w:rsidRPr="00AF342C">
        <w:instrText xml:space="preserve"> AUTONUM  \* Arabic </w:instrText>
      </w:r>
      <w:r w:rsidRPr="00AF342C">
        <w:fldChar w:fldCharType="end"/>
      </w:r>
      <w:r>
        <w:tab/>
        <w:t>Der stellvertretende Generalsekretär berichtete aufgrund der Anlage des Dokuments TC/50/10 mündlich über Entwicklungen in der UPOV, einschließlich Entwicklungen auf der siebenundsechzigsten und achtundsechzigsten Tagung des CAJ, der fünfundachtzigsten und sechsundachtzigsten Tagung des Beratenden Ausschusses und der dreißigsten außerordentlichen Tagung und der siebenundvierzigsten</w:t>
      </w:r>
      <w:r w:rsidR="0049556A">
        <w:t xml:space="preserve"> ordentlichen Tagung des Rates</w:t>
      </w:r>
      <w:r>
        <w:t xml:space="preserve">.  </w:t>
      </w:r>
    </w:p>
    <w:p w:rsidR="00F046AC" w:rsidRDefault="00F046AC" w:rsidP="00F046AC">
      <w:pPr>
        <w:tabs>
          <w:tab w:val="left" w:pos="567"/>
        </w:tabs>
        <w:spacing w:line="360" w:lineRule="auto"/>
      </w:pPr>
    </w:p>
    <w:p w:rsidR="00F046AC" w:rsidRDefault="00F046AC" w:rsidP="00764DB0">
      <w:pPr>
        <w:pStyle w:val="Heading3"/>
      </w:pPr>
      <w:bookmarkStart w:id="11" w:name="_Toc393187143"/>
      <w:bookmarkStart w:id="12" w:name="_Toc395605374"/>
      <w:r>
        <w:t>Fragen zur Prüfung durch den Technischen Ausschuß</w:t>
      </w:r>
      <w:bookmarkEnd w:id="11"/>
      <w:bookmarkEnd w:id="12"/>
    </w:p>
    <w:p w:rsidR="00F046AC" w:rsidRDefault="00F046AC" w:rsidP="00F046AC">
      <w:pPr>
        <w:tabs>
          <w:tab w:val="left" w:pos="567"/>
        </w:tabs>
      </w:pPr>
    </w:p>
    <w:p w:rsidR="00F046AC" w:rsidRPr="00D5626F" w:rsidRDefault="00F046AC" w:rsidP="00034E43">
      <w:pPr>
        <w:pStyle w:val="Heading4"/>
      </w:pPr>
      <w:r>
        <w:t>Sortenbezeichnungen</w:t>
      </w:r>
    </w:p>
    <w:p w:rsidR="00F046AC" w:rsidRDefault="00F046AC" w:rsidP="00F046AC">
      <w:pPr>
        <w:tabs>
          <w:tab w:val="left" w:pos="567"/>
        </w:tabs>
      </w:pPr>
    </w:p>
    <w:p w:rsidR="00F046AC" w:rsidRDefault="00F046AC" w:rsidP="00F046AC">
      <w:pPr>
        <w:tabs>
          <w:tab w:val="left" w:pos="567"/>
        </w:tabs>
      </w:pPr>
      <w:r>
        <w:fldChar w:fldCharType="begin"/>
      </w:r>
      <w:r>
        <w:instrText xml:space="preserve"> AUTONUM  </w:instrText>
      </w:r>
      <w:r>
        <w:fldChar w:fldCharType="end"/>
      </w:r>
      <w:r>
        <w:tab/>
        <w:t>Der TC nahm zur Kenntnis, daß der CAJ auf seiner neunundsechzigsten Tagung am 10. April 2014 in Genf den Vorschlag der Beratungsgruppe des Verwaltungs- und Rechtsausschusses (CAJ-AG) prüfen wird, den TC zu ersuchen, weitere Anleitung zu bestimmten Angelegenheiten betreffend Sortenbezeichnungen auszuarbeiten, wie in Dokument TC/50/10, Absätze 37 bis 41, dargelegt.</w:t>
      </w:r>
    </w:p>
    <w:p w:rsidR="00F046AC" w:rsidRDefault="00F046AC" w:rsidP="00F046AC">
      <w:pPr>
        <w:tabs>
          <w:tab w:val="left" w:pos="567"/>
        </w:tabs>
        <w:spacing w:line="360" w:lineRule="auto"/>
      </w:pPr>
    </w:p>
    <w:p w:rsidR="00F046AC" w:rsidRPr="009E2251" w:rsidRDefault="00F046AC" w:rsidP="00034E43">
      <w:pPr>
        <w:pStyle w:val="Heading4"/>
      </w:pPr>
      <w:r>
        <w:t>Vom International Seed Federation (ISF) aufgeworfene Fragen</w:t>
      </w:r>
    </w:p>
    <w:p w:rsidR="00F046AC" w:rsidRDefault="00F046AC" w:rsidP="00F046AC">
      <w:pPr>
        <w:tabs>
          <w:tab w:val="left" w:pos="567"/>
        </w:tabs>
      </w:pPr>
    </w:p>
    <w:p w:rsidR="00F046AC" w:rsidRDefault="00F046AC" w:rsidP="00F046AC">
      <w:pPr>
        <w:tabs>
          <w:tab w:val="left" w:pos="567"/>
        </w:tabs>
      </w:pPr>
      <w:r>
        <w:fldChar w:fldCharType="begin"/>
      </w:r>
      <w:r>
        <w:instrText xml:space="preserve"> AUTONUM  </w:instrText>
      </w:r>
      <w:r>
        <w:fldChar w:fldCharType="end"/>
      </w:r>
      <w:r>
        <w:tab/>
        <w:t>Der TC nahm zur Kenntnis, daß der Beratende Ausschuß der Ausarbeitung des Dokuments UPOV/INF/15 „Anleitung über die laufenden Verpflichtungen der Verbandsmitglieder und die damit verbundenen Notifizierungen und über die Erteilung von Auskünften zur Erleichterung der Zusammenarbeit“ zu einem Übersichtsdokument, das wichtige Aspekte für die Durchführung eines Sortenschutzsystems ausweisen würde, zugestimmt hatte, wie in Dokument TC/50/10, Absätze 44 und 45, dargelegt.</w:t>
      </w:r>
    </w:p>
    <w:p w:rsidR="00F046AC" w:rsidRDefault="00F046AC" w:rsidP="00F046AC">
      <w:pPr>
        <w:tabs>
          <w:tab w:val="left" w:pos="567"/>
        </w:tabs>
      </w:pPr>
    </w:p>
    <w:p w:rsidR="00F046AC" w:rsidRDefault="00F046AC" w:rsidP="00F046AC">
      <w:pPr>
        <w:tabs>
          <w:tab w:val="left" w:pos="567"/>
        </w:tabs>
      </w:pPr>
      <w:r>
        <w:fldChar w:fldCharType="begin"/>
      </w:r>
      <w:r>
        <w:instrText xml:space="preserve"> AUTONUM  </w:instrText>
      </w:r>
      <w:r>
        <w:fldChar w:fldCharType="end"/>
      </w:r>
      <w:r>
        <w:tab/>
        <w:t>Der TC ersuchte den ISF, die maßgeblichen UPOV-Materialien zu prüfen und zu erläutern, wo nach seiner Auffassung weitere Anleitung in bezug auf die folgenden Angelegenheiten erarbeitet werden könnte, wie in Dokument TC/50/10, Absatz 46, dargelegt:</w:t>
      </w:r>
    </w:p>
    <w:p w:rsidR="00F046AC" w:rsidRDefault="00F046AC" w:rsidP="00F046AC">
      <w:pPr>
        <w:tabs>
          <w:tab w:val="left" w:pos="567"/>
        </w:tabs>
      </w:pPr>
    </w:p>
    <w:p w:rsidR="00F046AC" w:rsidRDefault="00F046AC" w:rsidP="00F046AC">
      <w:pPr>
        <w:tabs>
          <w:tab w:val="left" w:pos="567"/>
        </w:tabs>
        <w:ind w:left="567"/>
      </w:pPr>
      <w:r>
        <w:t>a)</w:t>
      </w:r>
      <w:r>
        <w:tab/>
        <w:t>Fotoaufnahmen</w:t>
      </w:r>
    </w:p>
    <w:p w:rsidR="00F046AC" w:rsidRDefault="00F046AC" w:rsidP="00F046AC">
      <w:pPr>
        <w:tabs>
          <w:tab w:val="left" w:pos="567"/>
        </w:tabs>
        <w:ind w:left="567"/>
      </w:pPr>
      <w:r>
        <w:t>b)</w:t>
      </w:r>
      <w:r>
        <w:tab/>
        <w:t>Mindestprobengröße</w:t>
      </w:r>
    </w:p>
    <w:p w:rsidR="00F046AC" w:rsidRDefault="00F046AC" w:rsidP="00F046AC">
      <w:pPr>
        <w:tabs>
          <w:tab w:val="left" w:pos="567"/>
        </w:tabs>
        <w:ind w:left="567"/>
      </w:pPr>
      <w:r>
        <w:t>c)</w:t>
      </w:r>
      <w:r>
        <w:tab/>
        <w:t>Vergleichssammlungen</w:t>
      </w:r>
    </w:p>
    <w:p w:rsidR="00F046AC" w:rsidRDefault="00F046AC" w:rsidP="00F046AC">
      <w:pPr>
        <w:tabs>
          <w:tab w:val="left" w:pos="567"/>
        </w:tabs>
        <w:ind w:left="567"/>
      </w:pPr>
      <w:r>
        <w:t>d)</w:t>
      </w:r>
      <w:r>
        <w:tab/>
        <w:t>Dauer der Prüfung</w:t>
      </w:r>
    </w:p>
    <w:p w:rsidR="00F046AC" w:rsidRDefault="00F046AC" w:rsidP="00F046AC">
      <w:pPr>
        <w:tabs>
          <w:tab w:val="left" w:pos="567"/>
        </w:tabs>
        <w:ind w:left="567"/>
      </w:pPr>
      <w:r>
        <w:t>e)</w:t>
      </w:r>
      <w:r>
        <w:tab/>
        <w:t>Sortenbezeichnung der ähnlichsten Sorte</w:t>
      </w:r>
    </w:p>
    <w:p w:rsidR="00F046AC" w:rsidRDefault="00F046AC" w:rsidP="00F046AC">
      <w:pPr>
        <w:tabs>
          <w:tab w:val="left" w:pos="567"/>
        </w:tabs>
        <w:ind w:left="567"/>
      </w:pPr>
      <w:r>
        <w:t>f)</w:t>
      </w:r>
      <w:r>
        <w:tab/>
        <w:t>Sortenbezeichnung durch den Antragsteller</w:t>
      </w:r>
      <w:r>
        <w:tab/>
      </w:r>
    </w:p>
    <w:p w:rsidR="00F046AC" w:rsidRDefault="00F046AC" w:rsidP="00F046AC">
      <w:pPr>
        <w:tabs>
          <w:tab w:val="left" w:pos="567"/>
        </w:tabs>
        <w:ind w:left="567"/>
      </w:pPr>
      <w:r>
        <w:t>g)</w:t>
      </w:r>
      <w:r>
        <w:tab/>
        <w:t xml:space="preserve">Datenbanken für Sortenbezeichnungen </w:t>
      </w:r>
    </w:p>
    <w:p w:rsidR="00F046AC" w:rsidRDefault="00F046AC" w:rsidP="00F046AC">
      <w:pPr>
        <w:tabs>
          <w:tab w:val="left" w:pos="567"/>
        </w:tabs>
      </w:pPr>
    </w:p>
    <w:p w:rsidR="00F046AC" w:rsidRDefault="00F046AC" w:rsidP="00F046AC">
      <w:pPr>
        <w:tabs>
          <w:tab w:val="left" w:pos="567"/>
        </w:tabs>
      </w:pPr>
      <w:r>
        <w:fldChar w:fldCharType="begin"/>
      </w:r>
      <w:r>
        <w:instrText xml:space="preserve"> AUTONUM  </w:instrText>
      </w:r>
      <w:r>
        <w:fldChar w:fldCharType="end"/>
      </w:r>
      <w:r>
        <w:tab/>
        <w:t>Der TC nahm zur Kenntnis, daß der ISF ersucht worden war, dem TC gegenüber seine Ansichten bezüglich Datenbanken von Sortenbezeichnungen und den Kriterien, die vom TC für die Veröffentlichung von Sortenbezeichnungen ausgewiesen worden waren, darzulegen, wie in Dokument TC/45/9 „Veröffentlichung von Sortenbezeichnungen“ dargelegt.</w:t>
      </w:r>
    </w:p>
    <w:p w:rsidR="00197676" w:rsidRDefault="00197676">
      <w:pPr>
        <w:jc w:val="left"/>
      </w:pPr>
      <w:r>
        <w:br w:type="page"/>
      </w:r>
    </w:p>
    <w:p w:rsidR="00F046AC" w:rsidRPr="00D5626F" w:rsidRDefault="00F046AC" w:rsidP="00034E43">
      <w:pPr>
        <w:pStyle w:val="Heading4"/>
      </w:pPr>
      <w:r>
        <w:lastRenderedPageBreak/>
        <w:t>Webbasierte TG-Vorlage</w:t>
      </w:r>
    </w:p>
    <w:p w:rsidR="00F046AC" w:rsidRDefault="00F046AC" w:rsidP="00F046AC"/>
    <w:p w:rsidR="00F046AC" w:rsidRDefault="00F046AC" w:rsidP="00F046AC">
      <w:r>
        <w:fldChar w:fldCharType="begin"/>
      </w:r>
      <w:r>
        <w:instrText xml:space="preserve"> AUTONUM  </w:instrText>
      </w:r>
      <w:r>
        <w:fldChar w:fldCharType="end"/>
      </w:r>
      <w:r>
        <w:tab/>
        <w:t>Der TC hörte ein Referat über die webbasierte TG-Vorlage, von dem eine Kopie in einer Ergänzung zu Dokument</w:t>
      </w:r>
      <w:r w:rsidR="002B5969">
        <w:t xml:space="preserve"> TC/50/10 bereitgestellt wird. </w:t>
      </w:r>
      <w:r>
        <w:t xml:space="preserve">Der TC nahm die Eigenschaften der Fassung 1 der webbasierten TG-Vorlage zur Kenntnis, wie in Dokument TC/50/10, Absatz 55, dargelegt. </w:t>
      </w:r>
    </w:p>
    <w:p w:rsidR="00F046AC" w:rsidRDefault="00F046AC" w:rsidP="00F046AC"/>
    <w:p w:rsidR="00F046AC" w:rsidRDefault="00F046AC" w:rsidP="00F046AC">
      <w:r>
        <w:fldChar w:fldCharType="begin"/>
      </w:r>
      <w:r>
        <w:instrText xml:space="preserve"> AUTONUM  </w:instrText>
      </w:r>
      <w:r>
        <w:fldChar w:fldCharType="end"/>
      </w:r>
      <w:r>
        <w:tab/>
        <w:t>Der TC nahm zur Kenntnis, daß das Büro alle führenden Sachverständigen ersuchen würde, an der Prüfung von Fassung 1 im M</w:t>
      </w:r>
      <w:r w:rsidR="001934B7">
        <w:t xml:space="preserve">ai und Juni 2014 teilzunehmen. </w:t>
      </w:r>
      <w:r>
        <w:t>Der TC nahm auch zur Kenntnis, daß die führenden und beteiligten Sachverständigen ersucht werden würden, die webbasierte TG-Vorlage für die Ausarbeitung von Entwürfen von Prüfungsrichtlinien für die dreiundvierzigste Tagung der Technischen Arbeitsgruppe für landwirtschaftliche Arten (TWA) in Mar del Plata, Argentinien, vom 17. bis 2</w:t>
      </w:r>
      <w:r w:rsidR="001934B7">
        <w:t xml:space="preserve">1. November 2014 zu verwenden. </w:t>
      </w:r>
      <w:r>
        <w:t xml:space="preserve">Der TC billigte das Vorhaben zur Umsetzung der webbasierten TG-Mustervorlage, einschließlich der Notwendigkeit der ausschließlichen Verwendung der webbasierten TG-Mustervorlage für die Erstellung aller Prüfungsrichtlinien ab 2015, wie in Dokument TC/50/10, Absätze 56 bis 58, dargelegt. </w:t>
      </w:r>
    </w:p>
    <w:p w:rsidR="00F046AC" w:rsidRDefault="00F046AC" w:rsidP="00F046AC"/>
    <w:p w:rsidR="00F046AC" w:rsidRDefault="00F046AC" w:rsidP="00F046AC">
      <w:r>
        <w:fldChar w:fldCharType="begin"/>
      </w:r>
      <w:r>
        <w:instrText xml:space="preserve"> AUTONUM  </w:instrText>
      </w:r>
      <w:r>
        <w:fldChar w:fldCharType="end"/>
      </w:r>
      <w:r>
        <w:tab/>
        <w:t>Der TC nahm Besonderheiten und den Zeitplan für die Entwicklung der Fassung 2 der webbasierten TG-Mustervorlage, wie in Dokument TC/50/10, Absätze 59 bis 63, dargelegt, zur Kenntnis.</w:t>
      </w:r>
    </w:p>
    <w:p w:rsidR="00F046AC" w:rsidRDefault="00F046AC" w:rsidP="00F046AC"/>
    <w:p w:rsidR="00F046AC" w:rsidRPr="00AF342C" w:rsidRDefault="00F046AC" w:rsidP="00F046AC"/>
    <w:p w:rsidR="00F046AC" w:rsidRPr="00AF342C" w:rsidRDefault="00F046AC" w:rsidP="005339C5">
      <w:pPr>
        <w:pStyle w:val="Heading2"/>
      </w:pPr>
      <w:bookmarkStart w:id="13" w:name="_Toc393187144"/>
      <w:bookmarkStart w:id="14" w:name="_Toc395605375"/>
      <w:r>
        <w:t>Fragen, die von den technischen Arbeitsgruppen aufgeworfen wurden</w:t>
      </w:r>
      <w:bookmarkEnd w:id="13"/>
      <w:bookmarkEnd w:id="14"/>
    </w:p>
    <w:p w:rsidR="00F046AC" w:rsidRDefault="0061429E" w:rsidP="0061429E">
      <w:r>
        <w:t>(vergleiche Dokument TC/50/36 „Bericht über die Entschließungen”, Absätze 18 bis 24).</w:t>
      </w:r>
    </w:p>
    <w:p w:rsidR="0061429E" w:rsidRPr="00AF342C" w:rsidRDefault="0061429E" w:rsidP="0061429E">
      <w:pPr>
        <w:rPr>
          <w:u w:val="single"/>
        </w:rPr>
      </w:pPr>
    </w:p>
    <w:p w:rsidR="00F046AC" w:rsidRPr="00AF342C" w:rsidRDefault="00F046AC" w:rsidP="0061429E">
      <w:r w:rsidRPr="00AF342C">
        <w:fldChar w:fldCharType="begin"/>
      </w:r>
      <w:r w:rsidRPr="00AF342C">
        <w:instrText xml:space="preserve"> AUTONUM  \* Arabic </w:instrText>
      </w:r>
      <w:r w:rsidRPr="00AF342C">
        <w:fldChar w:fldCharType="end"/>
      </w:r>
      <w:r w:rsidR="0049556A">
        <w:tab/>
        <w:t xml:space="preserve">Der TC prüfte </w:t>
      </w:r>
      <w:r>
        <w:t>Dokument TC/50/3.</w:t>
      </w:r>
    </w:p>
    <w:p w:rsidR="00F046AC" w:rsidRPr="00AF342C" w:rsidRDefault="00F046AC" w:rsidP="00F046AC">
      <w:pPr>
        <w:spacing w:line="360" w:lineRule="auto"/>
      </w:pPr>
    </w:p>
    <w:p w:rsidR="00F046AC" w:rsidRPr="000D7BFB" w:rsidRDefault="00F046AC" w:rsidP="00764DB0">
      <w:pPr>
        <w:pStyle w:val="Heading3"/>
      </w:pPr>
      <w:bookmarkStart w:id="15" w:name="_Toc395605376"/>
      <w:bookmarkStart w:id="16" w:name="_Toc393187145"/>
      <w:bookmarkStart w:id="17" w:name="_Toc348535865"/>
      <w:r>
        <w:t>Fragen zur Information und für eine vom Technischen Ausschuß gegebenenfalls zu treffende Entscheidung</w:t>
      </w:r>
      <w:bookmarkEnd w:id="15"/>
      <w:r>
        <w:t xml:space="preserve"> </w:t>
      </w:r>
      <w:r>
        <w:br/>
      </w:r>
      <w:bookmarkEnd w:id="16"/>
      <w:r>
        <w:t xml:space="preserve"> </w:t>
      </w:r>
      <w:bookmarkEnd w:id="17"/>
    </w:p>
    <w:p w:rsidR="00F046AC" w:rsidRPr="00AF342C" w:rsidRDefault="00F046AC" w:rsidP="00F046AC">
      <w:pPr>
        <w:keepNext/>
      </w:pPr>
    </w:p>
    <w:p w:rsidR="00F046AC" w:rsidRPr="00E33134" w:rsidRDefault="00F046AC" w:rsidP="005339C5">
      <w:pPr>
        <w:pStyle w:val="Heading4"/>
      </w:pPr>
      <w:bookmarkStart w:id="18" w:name="_Toc348535866"/>
      <w:r>
        <w:t>Anleitung für Verfasser von Prüfungsrichtlinien</w:t>
      </w:r>
      <w:bookmarkEnd w:id="18"/>
    </w:p>
    <w:p w:rsidR="00F046AC" w:rsidRPr="00AF342C" w:rsidRDefault="00F046AC" w:rsidP="00F046AC">
      <w:pPr>
        <w:keepNext/>
      </w:pPr>
    </w:p>
    <w:p w:rsidR="00F046AC" w:rsidRDefault="00F046AC" w:rsidP="00F046AC">
      <w:r>
        <w:fldChar w:fldCharType="begin"/>
      </w:r>
      <w:r>
        <w:instrText xml:space="preserve"> AUTONUM  </w:instrText>
      </w:r>
      <w:r>
        <w:fldChar w:fldCharType="end"/>
      </w:r>
      <w:r>
        <w:t xml:space="preserve"> Der TC nahm den Bericht über Entwicklungen betreffend die neue webbasierte TG-Vorlage in Dokument TC/50/10 „Bericht über die Entwicklungen bei der UPOV, einschließlich der auf den letzten Tagungen des Verwaltungs- und Rechtsausschusses, des Beratenden Ausschusses und des Rates erörterten wichtigen Angelegenheiten“ zur Kenntnis.</w:t>
      </w:r>
    </w:p>
    <w:p w:rsidR="00F046AC" w:rsidRDefault="00F046AC" w:rsidP="00F046AC"/>
    <w:p w:rsidR="00F046AC" w:rsidRDefault="00F046AC" w:rsidP="00F046AC">
      <w:r>
        <w:fldChar w:fldCharType="begin"/>
      </w:r>
      <w:r>
        <w:instrText xml:space="preserve"> AUTONUM  </w:instrText>
      </w:r>
      <w:r>
        <w:fldChar w:fldCharType="end"/>
      </w:r>
      <w:r>
        <w:tab/>
        <w:t>Der TC vereinbarte die Organisation einer Reihe von elektronischen Arbeitstagungen (e-Arbeitstagungen) zur Demonstration der Verwendung der neuen webbasierten TG-Vorlage. Die elektronischen Arbeitstagungen würden so angesetzt werden, daß sie zeitlich mit dem Beginn der Arbeit des Verfassens durch führende Sa</w:t>
      </w:r>
      <w:r w:rsidR="002B5969">
        <w:t xml:space="preserve">chverständige zusammenfallen. </w:t>
      </w:r>
      <w:r>
        <w:t>Der TC vereinbarte auch, daß eine Demonstration der Verwendung der neuen webbasierten TG-Vorlage bei den Tagungen der Technischen Arbeitsgruppe gehalten werden sollte</w:t>
      </w:r>
    </w:p>
    <w:p w:rsidR="00F046AC" w:rsidRDefault="00F046AC" w:rsidP="00F046AC"/>
    <w:p w:rsidR="00F046AC" w:rsidRDefault="00F046AC" w:rsidP="00F046AC">
      <w:r>
        <w:fldChar w:fldCharType="begin"/>
      </w:r>
      <w:r>
        <w:instrText xml:space="preserve"> AUTONUM  </w:instrText>
      </w:r>
      <w:r>
        <w:fldChar w:fldCharType="end"/>
      </w:r>
      <w:r>
        <w:tab/>
        <w:t xml:space="preserve">Der TC nahm zur Kenntnis, daß das Verbandsbüro eine Vorlage für ein Raster für Form und Verhältnis für die Verwendung durch die </w:t>
      </w:r>
      <w:r>
        <w:rPr>
          <w:snapToGrid w:val="0"/>
          <w:color w:val="000000"/>
        </w:rPr>
        <w:t>führenden Sachverständigen</w:t>
      </w:r>
      <w:r>
        <w:t xml:space="preserve"> ausarbeiten werden würde.</w:t>
      </w:r>
    </w:p>
    <w:p w:rsidR="00F046AC" w:rsidRPr="002F6EFE" w:rsidRDefault="00F046AC" w:rsidP="00F046AC"/>
    <w:p w:rsidR="00F046AC" w:rsidRPr="00E33134" w:rsidRDefault="00F046AC" w:rsidP="005339C5">
      <w:pPr>
        <w:pStyle w:val="Heading4"/>
      </w:pPr>
      <w:r>
        <w:t>Datenlogger</w:t>
      </w:r>
    </w:p>
    <w:p w:rsidR="00F046AC" w:rsidRPr="002F6EFE" w:rsidRDefault="00F046AC" w:rsidP="00F046AC">
      <w:pPr>
        <w:keepNext/>
      </w:pPr>
    </w:p>
    <w:bookmarkStart w:id="19" w:name="_Toc348535868"/>
    <w:p w:rsidR="00F046AC" w:rsidRDefault="00F046AC" w:rsidP="00F046AC">
      <w:r w:rsidRPr="00CC587F">
        <w:fldChar w:fldCharType="begin"/>
      </w:r>
      <w:r w:rsidRPr="00CC587F">
        <w:instrText xml:space="preserve"> AUTONUM  </w:instrText>
      </w:r>
      <w:r w:rsidRPr="00CC587F">
        <w:fldChar w:fldCharType="end"/>
      </w:r>
      <w:r>
        <w:tab/>
        <w:t>Der TC ersuchte das Verbandsbüro, im Vorfeld der zweiunddreißigsten Tagung der TWC ein neues Rundschreiben betreffend Handgeräte zur Datenerhebung mit der Bitte um we</w:t>
      </w:r>
      <w:r w:rsidR="002B5969">
        <w:t xml:space="preserve">itere Einträge zu verschicken. </w:t>
      </w:r>
      <w:r>
        <w:t>Der TC vereinbarte, daß Züchter auch ersucht werden sollten, Auskünfte über die Verwendung von Handgeräten zur Datenerhebung zu erteilen.</w:t>
      </w:r>
    </w:p>
    <w:p w:rsidR="00F046AC" w:rsidRDefault="00F046AC" w:rsidP="005D2FEA"/>
    <w:p w:rsidR="005D2FEA" w:rsidRPr="005D2FEA" w:rsidRDefault="005D2FEA" w:rsidP="005D2FEA">
      <w:pPr>
        <w:rPr>
          <w:lang w:eastAsia="en-US" w:bidi="ar-SA"/>
        </w:rPr>
      </w:pPr>
    </w:p>
    <w:p w:rsidR="00F046AC" w:rsidRPr="000D7BFB" w:rsidRDefault="00F046AC" w:rsidP="00E94695">
      <w:pPr>
        <w:pStyle w:val="Heading2"/>
      </w:pPr>
      <w:bookmarkStart w:id="20" w:name="_Toc393187146"/>
      <w:bookmarkStart w:id="21" w:name="_Toc395605377"/>
      <w:r>
        <w:t>Angelegenheiten zur Information</w:t>
      </w:r>
      <w:bookmarkEnd w:id="20"/>
      <w:bookmarkEnd w:id="21"/>
    </w:p>
    <w:p w:rsidR="00F046AC" w:rsidRDefault="00F046AC" w:rsidP="00F046AC">
      <w:pPr>
        <w:keepNext/>
        <w:rPr>
          <w:caps/>
        </w:rPr>
      </w:pPr>
    </w:p>
    <w:p w:rsidR="00F046AC" w:rsidRPr="00E33134" w:rsidRDefault="00F046AC" w:rsidP="005339C5">
      <w:pPr>
        <w:pStyle w:val="Heading4"/>
      </w:pPr>
      <w:bookmarkStart w:id="22" w:name="_Toc379381037"/>
      <w:r>
        <w:t>Fragen zur Erörterung</w:t>
      </w:r>
      <w:bookmarkEnd w:id="22"/>
    </w:p>
    <w:p w:rsidR="00F046AC" w:rsidRPr="00462D28" w:rsidRDefault="00F046AC" w:rsidP="00F046AC">
      <w:pPr>
        <w:keepNext/>
      </w:pPr>
    </w:p>
    <w:bookmarkEnd w:id="19"/>
    <w:p w:rsidR="00F046AC" w:rsidRDefault="00F046AC" w:rsidP="00F046AC">
      <w:r w:rsidRPr="00CC587F">
        <w:fldChar w:fldCharType="begin"/>
      </w:r>
      <w:r w:rsidRPr="00CC587F">
        <w:instrText xml:space="preserve"> AUTONUM  </w:instrText>
      </w:r>
      <w:r w:rsidRPr="00CC587F">
        <w:fldChar w:fldCharType="end"/>
      </w:r>
      <w:r>
        <w:tab/>
        <w:t>Der TC nahm die Hinzufügung von Themen zur Erörterung auf den Tagungen der TWF und der TWV im Jahr 2014, wie in Dokument TC/50/3, Absätze 15 und 16 dargelegt, zur Kenntnis.</w:t>
      </w:r>
    </w:p>
    <w:p w:rsidR="00F046AC" w:rsidRDefault="00F046AC" w:rsidP="00F046AC"/>
    <w:p w:rsidR="00F046AC" w:rsidRPr="00E33134" w:rsidRDefault="00F046AC" w:rsidP="005339C5">
      <w:pPr>
        <w:pStyle w:val="Heading4"/>
      </w:pPr>
      <w:bookmarkStart w:id="23" w:name="_Toc378176937"/>
      <w:bookmarkStart w:id="24" w:name="_Toc379381038"/>
      <w:r>
        <w:lastRenderedPageBreak/>
        <w:t>Erfahrungen mit neuen Typen und Arten</w:t>
      </w:r>
      <w:bookmarkEnd w:id="23"/>
      <w:bookmarkEnd w:id="24"/>
    </w:p>
    <w:p w:rsidR="00F046AC" w:rsidRDefault="00F046AC" w:rsidP="00F046AC">
      <w:pPr>
        <w:keepNext/>
      </w:pPr>
    </w:p>
    <w:p w:rsidR="00F046AC" w:rsidRDefault="00F046AC" w:rsidP="00F046AC">
      <w:r w:rsidRPr="00CC587F">
        <w:fldChar w:fldCharType="begin"/>
      </w:r>
      <w:r w:rsidRPr="00CC587F">
        <w:instrText xml:space="preserve"> AUTONUM  </w:instrText>
      </w:r>
      <w:r w:rsidRPr="00CC587F">
        <w:fldChar w:fldCharType="end"/>
      </w:r>
      <w:r>
        <w:tab/>
        <w:t>Der TC nahm die Auskünfte über Erfahrungen mit neuen Typen und Arten, die der TWO und der TWA auf ihren Tagungen im Jahr 2013 erteilt wurden, wie in Dokument TC/50/3, Absätze 18 und 19 dargelegt, zur Kenntnis.</w:t>
      </w:r>
    </w:p>
    <w:p w:rsidR="00F046AC" w:rsidRDefault="00F046AC" w:rsidP="00F046AC">
      <w:pPr>
        <w:rPr>
          <w:color w:val="000000"/>
        </w:rPr>
      </w:pPr>
    </w:p>
    <w:p w:rsidR="00F046AC" w:rsidRPr="00700478" w:rsidRDefault="00F046AC" w:rsidP="00F046AC">
      <w:pPr>
        <w:rPr>
          <w:color w:val="000000"/>
        </w:rPr>
      </w:pPr>
    </w:p>
    <w:p w:rsidR="00F046AC" w:rsidRPr="0084638E" w:rsidRDefault="00F046AC" w:rsidP="00EE0613">
      <w:pPr>
        <w:pStyle w:val="Heading2"/>
      </w:pPr>
      <w:bookmarkStart w:id="25" w:name="_Toc393187147"/>
      <w:bookmarkStart w:id="26" w:name="_Toc395605378"/>
      <w:r>
        <w:t>TGP-Dokumente</w:t>
      </w:r>
      <w:bookmarkEnd w:id="25"/>
      <w:bookmarkEnd w:id="26"/>
    </w:p>
    <w:p w:rsidR="00F046AC" w:rsidRDefault="0011365B" w:rsidP="00F046AC">
      <w:pPr>
        <w:keepNext/>
        <w:ind w:left="567" w:hanging="567"/>
      </w:pPr>
      <w:r>
        <w:t>(vergleiche Dokument TC/50/36 „Bericht über die Entschließungen”, Absätze 25 bis 75).</w:t>
      </w:r>
    </w:p>
    <w:p w:rsidR="0011365B" w:rsidRDefault="0011365B" w:rsidP="00F046AC">
      <w:pPr>
        <w:keepNext/>
        <w:ind w:left="567" w:hanging="567"/>
      </w:pPr>
    </w:p>
    <w:p w:rsidR="00F046AC" w:rsidRDefault="001934B7" w:rsidP="00764DB0">
      <w:pPr>
        <w:pStyle w:val="Heading3"/>
      </w:pPr>
      <w:bookmarkStart w:id="27" w:name="_Toc395605379"/>
      <w:bookmarkStart w:id="28" w:name="_Toc393187148"/>
      <w:r>
        <w:t>Zur Überarbeitung im Jahr 2014 vorgeschlagene TGP-Dokumente</w:t>
      </w:r>
      <w:bookmarkEnd w:id="27"/>
      <w:r w:rsidR="00F046AC">
        <w:t xml:space="preserve"> </w:t>
      </w:r>
      <w:bookmarkEnd w:id="28"/>
    </w:p>
    <w:p w:rsidR="00F046AC" w:rsidRDefault="00F046AC" w:rsidP="00F046AC">
      <w:pPr>
        <w:keepNext/>
        <w:ind w:left="567" w:hanging="567"/>
      </w:pPr>
    </w:p>
    <w:p w:rsidR="00F046AC" w:rsidRPr="002B5969" w:rsidRDefault="00F046AC" w:rsidP="002B5969">
      <w:pPr>
        <w:ind w:firstLine="567"/>
        <w:rPr>
          <w:i/>
        </w:rPr>
      </w:pPr>
      <w:bookmarkStart w:id="29" w:name="_Toc374385107"/>
      <w:bookmarkStart w:id="30" w:name="_Toc374631044"/>
      <w:bookmarkStart w:id="31" w:name="_Toc374632516"/>
      <w:bookmarkStart w:id="32" w:name="_Toc374635716"/>
      <w:bookmarkStart w:id="33" w:name="_Toc378251505"/>
      <w:bookmarkStart w:id="34" w:name="_Toc381279966"/>
      <w:r w:rsidRPr="002B5969">
        <w:rPr>
          <w:i/>
        </w:rPr>
        <w:t>TGP/0:  Liste der TGP-Dokumente und Datum der jüngsten Ausgabe</w:t>
      </w:r>
      <w:bookmarkEnd w:id="29"/>
      <w:bookmarkEnd w:id="30"/>
      <w:bookmarkEnd w:id="31"/>
      <w:bookmarkEnd w:id="32"/>
      <w:bookmarkEnd w:id="33"/>
      <w:bookmarkEnd w:id="34"/>
    </w:p>
    <w:p w:rsidR="00F046AC" w:rsidRDefault="00F046AC" w:rsidP="00F046AC">
      <w:pPr>
        <w:keepNext/>
      </w:pPr>
    </w:p>
    <w:p w:rsidR="00F046AC" w:rsidRPr="00290F6F" w:rsidRDefault="00F046AC" w:rsidP="00F046AC">
      <w:r w:rsidRPr="00290F6F">
        <w:fldChar w:fldCharType="begin"/>
      </w:r>
      <w:r w:rsidRPr="00290F6F">
        <w:instrText xml:space="preserve"> AUTONUM  </w:instrText>
      </w:r>
      <w:r w:rsidRPr="00290F6F">
        <w:fldChar w:fldCharType="end"/>
      </w:r>
      <w:r>
        <w:tab/>
        <w:t xml:space="preserve">Der TC prüfte Dokument TC/50/5 „TGP-Dokumente“ und nahm zur Kenntnis, daß der Rat ersucht werden würde, Dokument TGP/0/7 anzunehmen, um die Annahme von TGP-Dokumenten wiederzugeben </w:t>
      </w:r>
    </w:p>
    <w:p w:rsidR="00F046AC" w:rsidRPr="00290F6F" w:rsidRDefault="00F046AC" w:rsidP="00F046AC"/>
    <w:p w:rsidR="00F046AC" w:rsidRPr="002B5969" w:rsidRDefault="00F046AC" w:rsidP="002B5969">
      <w:pPr>
        <w:ind w:firstLine="567"/>
        <w:rPr>
          <w:i/>
        </w:rPr>
      </w:pPr>
      <w:bookmarkStart w:id="35" w:name="_Toc374385108"/>
      <w:bookmarkStart w:id="36" w:name="_Toc374631045"/>
      <w:bookmarkStart w:id="37" w:name="_Toc374632517"/>
      <w:bookmarkStart w:id="38" w:name="_Toc374635717"/>
      <w:bookmarkStart w:id="39" w:name="_Toc378251506"/>
      <w:bookmarkStart w:id="40" w:name="_Toc381279967"/>
      <w:r w:rsidRPr="002B5969">
        <w:rPr>
          <w:i/>
        </w:rPr>
        <w:t>TGP/2:  Liste der von UPOV angenommenen Prüfungsrichtlinien</w:t>
      </w:r>
      <w:bookmarkEnd w:id="35"/>
      <w:bookmarkEnd w:id="36"/>
      <w:bookmarkEnd w:id="37"/>
      <w:bookmarkEnd w:id="38"/>
      <w:bookmarkEnd w:id="39"/>
      <w:bookmarkEnd w:id="40"/>
    </w:p>
    <w:p w:rsidR="00F046AC" w:rsidRPr="00290F6F" w:rsidRDefault="00F046AC" w:rsidP="00F046AC">
      <w:pPr>
        <w:keepNext/>
      </w:pPr>
    </w:p>
    <w:bookmarkStart w:id="41" w:name="_Toc374385109"/>
    <w:bookmarkStart w:id="42" w:name="_Toc374631046"/>
    <w:bookmarkStart w:id="43" w:name="_Toc374632518"/>
    <w:bookmarkStart w:id="44" w:name="_Toc374635718"/>
    <w:p w:rsidR="00F046AC" w:rsidRDefault="00F046AC" w:rsidP="00F046AC">
      <w:r w:rsidRPr="00290F6F">
        <w:fldChar w:fldCharType="begin"/>
      </w:r>
      <w:r w:rsidRPr="00290F6F">
        <w:instrText xml:space="preserve"> AUTONUM  </w:instrText>
      </w:r>
      <w:r w:rsidRPr="00290F6F">
        <w:fldChar w:fldCharType="end"/>
      </w:r>
      <w:r>
        <w:tab/>
        <w:t>Der TC prüfte die Überarbeitung von Dokument TGP/2, wie in Dokument TC/50/5, Absatz 12, dargelegt, und vereinbarte, daß Dokument TGP/2 folgendermaßen zu aktualisieren sei:</w:t>
      </w:r>
    </w:p>
    <w:p w:rsidR="00F046AC" w:rsidRPr="00290F6F" w:rsidRDefault="00F046AC" w:rsidP="00F046AC"/>
    <w:p w:rsidR="00F046AC" w:rsidRPr="00290F6F" w:rsidRDefault="00F046AC" w:rsidP="00F046AC">
      <w:pPr>
        <w:ind w:left="567" w:right="567"/>
        <w:rPr>
          <w:sz w:val="18"/>
        </w:rPr>
      </w:pPr>
      <w:r>
        <w:rPr>
          <w:sz w:val="18"/>
        </w:rPr>
        <w:t xml:space="preserve">„Eine Liste und Exemplare der angenommenen und veröffentlichten Prüfungsrichtlinien ist unter http://www.upov.int/test_guidelines/de/ zu finden“. </w:t>
      </w:r>
    </w:p>
    <w:p w:rsidR="00F046AC" w:rsidRPr="00290F6F" w:rsidRDefault="00F046AC" w:rsidP="00F046AC"/>
    <w:p w:rsidR="00F046AC" w:rsidRPr="002B5969" w:rsidRDefault="00F046AC" w:rsidP="002B5969">
      <w:pPr>
        <w:ind w:left="567"/>
        <w:rPr>
          <w:i/>
        </w:rPr>
      </w:pPr>
      <w:bookmarkStart w:id="45" w:name="_Toc378251507"/>
      <w:bookmarkStart w:id="46" w:name="_Toc381279968"/>
      <w:r w:rsidRPr="002B5969">
        <w:rPr>
          <w:i/>
        </w:rPr>
        <w:t>TGP/5:  Erfahrung und Zusammenarbeit bei der DUS-Prüfung: Abschnitt 10: Mitteilung zusätzlicher Merkmale</w:t>
      </w:r>
      <w:bookmarkEnd w:id="41"/>
      <w:bookmarkEnd w:id="42"/>
      <w:bookmarkEnd w:id="43"/>
      <w:bookmarkEnd w:id="44"/>
      <w:bookmarkEnd w:id="45"/>
      <w:bookmarkEnd w:id="46"/>
    </w:p>
    <w:p w:rsidR="00F046AC" w:rsidRPr="00290F6F" w:rsidRDefault="00F046AC" w:rsidP="001934B7"/>
    <w:p w:rsidR="00F046AC" w:rsidRPr="00B22F6D" w:rsidRDefault="00F046AC" w:rsidP="001934B7">
      <w:pPr>
        <w:rPr>
          <w:rFonts w:cs="Arial"/>
        </w:rPr>
      </w:pPr>
      <w:r w:rsidRPr="00B22F6D">
        <w:fldChar w:fldCharType="begin"/>
      </w:r>
      <w:r w:rsidRPr="00B22F6D">
        <w:instrText xml:space="preserve"> AUTONUM  </w:instrText>
      </w:r>
      <w:r w:rsidRPr="00B22F6D">
        <w:fldChar w:fldCharType="end"/>
      </w:r>
      <w:r>
        <w:tab/>
        <w:t>Der TC prüfte Dokument TC/50/15 und vereinbarte, daß die Anleitung in Dokument TGP/5: Abschnitt 10, folgendermaßen lauten soll:</w:t>
      </w:r>
    </w:p>
    <w:p w:rsidR="00F046AC" w:rsidRPr="00290F6F" w:rsidRDefault="00F046AC" w:rsidP="001934B7"/>
    <w:p w:rsidR="00F046AC" w:rsidRPr="00B937E4" w:rsidRDefault="00F046AC" w:rsidP="00C12FE3">
      <w:pPr>
        <w:ind w:left="567" w:right="425"/>
        <w:rPr>
          <w:sz w:val="18"/>
          <w:szCs w:val="18"/>
        </w:rPr>
      </w:pPr>
      <w:r>
        <w:rPr>
          <w:sz w:val="18"/>
        </w:rPr>
        <w:t>„4.2</w:t>
      </w:r>
      <w:r>
        <w:tab/>
        <w:t>Die mittels Dokument TGP/5 Abschnitt 10 mitgeteilten Vorschläge für zusätzliche Merkmale und Ausprägungsstufen werden der/n entsprechenden Technischen Arbeitsgruppe(n) möglichst umgehend dargelegt unter Angabe des Umfangs der Verwendung jedes Merkmals.</w:t>
      </w:r>
      <w:r w:rsidR="00C12FE3">
        <w:rPr>
          <w:sz w:val="18"/>
        </w:rPr>
        <w:t xml:space="preserve"> </w:t>
      </w:r>
      <w:r>
        <w:rPr>
          <w:sz w:val="18"/>
        </w:rPr>
        <w:t>Die Merkmale werden dann aufgrund der Bemerkungen der entsprechenden TWP gegebenenfalls in den Bereich mit eingeschränktem Zugang auf die Webpage für Verfasser von Prüfungsrichtlinien der UPOV-Website (</w:t>
      </w:r>
      <w:r>
        <w:rPr>
          <w:i/>
          <w:sz w:val="18"/>
        </w:rPr>
        <w:t>http://www.upov.int/restricted_temporary/tg/index.html</w:t>
      </w:r>
      <w:r>
        <w:rPr>
          <w:sz w:val="18"/>
        </w:rPr>
        <w:t>) gestellt und/oder die TWP leiten eine Überarbeitung oder eine Teilüberarbeitung der betreffenden Prüfungsrichtlinien ein.“</w:t>
      </w:r>
    </w:p>
    <w:p w:rsidR="00F046AC" w:rsidRDefault="00F046AC" w:rsidP="001934B7"/>
    <w:p w:rsidR="00F046AC" w:rsidRPr="00C12FE3" w:rsidRDefault="00F046AC" w:rsidP="00C12FE3">
      <w:pPr>
        <w:ind w:firstLine="567"/>
        <w:rPr>
          <w:i/>
        </w:rPr>
      </w:pPr>
      <w:bookmarkStart w:id="47" w:name="_Toc378251508"/>
      <w:bookmarkStart w:id="48" w:name="_Toc381279969"/>
      <w:r w:rsidRPr="00C12FE3">
        <w:rPr>
          <w:i/>
        </w:rPr>
        <w:t>TGP/7:  Erstellung von Prüfungsrichtlinien</w:t>
      </w:r>
      <w:bookmarkEnd w:id="47"/>
      <w:bookmarkEnd w:id="48"/>
    </w:p>
    <w:p w:rsidR="00F046AC" w:rsidRDefault="00F046AC" w:rsidP="001934B7"/>
    <w:p w:rsidR="00F046AC" w:rsidRDefault="00F046AC" w:rsidP="001934B7">
      <w:r w:rsidRPr="00290F6F">
        <w:fldChar w:fldCharType="begin"/>
      </w:r>
      <w:r w:rsidRPr="00290F6F">
        <w:instrText xml:space="preserve"> AUTONUM  </w:instrText>
      </w:r>
      <w:r w:rsidRPr="00290F6F">
        <w:fldChar w:fldCharType="end"/>
      </w:r>
      <w:r>
        <w:tab/>
        <w:t>Der TC nahm zur Kenntnis, daß die bereits vom TC gebilligten Überarbeitungen von Dokument TGP/7, wie in Dokument TC/50/5, Anlage I dargelegt, vorbehaltlich der folgenden Änderungen, eine Grundlage für die Annahme von Dokument TGP/7/4 durch den Rat auf seiner achtundvierzi</w:t>
      </w:r>
      <w:r w:rsidR="0049556A">
        <w:t>gsten ordentlichen Tagung wären</w:t>
      </w:r>
      <w:r>
        <w:t>:</w:t>
      </w:r>
    </w:p>
    <w:p w:rsidR="00F046AC" w:rsidRDefault="00F046AC" w:rsidP="001934B7"/>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7"/>
        <w:gridCol w:w="8263"/>
      </w:tblGrid>
      <w:tr w:rsidR="00F046AC" w:rsidRPr="009D2B0D" w:rsidTr="00F046AC">
        <w:tc>
          <w:tcPr>
            <w:tcW w:w="1517" w:type="dxa"/>
            <w:tcBorders>
              <w:top w:val="single" w:sz="4" w:space="0" w:color="auto"/>
              <w:left w:val="single" w:sz="4" w:space="0" w:color="auto"/>
              <w:bottom w:val="single" w:sz="4" w:space="0" w:color="auto"/>
              <w:right w:val="single" w:sz="4" w:space="0" w:color="auto"/>
            </w:tcBorders>
          </w:tcPr>
          <w:p w:rsidR="0049556A" w:rsidRDefault="00F046AC" w:rsidP="001934B7">
            <w:pPr>
              <w:rPr>
                <w:color w:val="000000" w:themeColor="text1"/>
              </w:rPr>
            </w:pPr>
            <w:r>
              <w:rPr>
                <w:color w:val="000000" w:themeColor="text1"/>
              </w:rPr>
              <w:t xml:space="preserve">Anlage I, </w:t>
            </w:r>
          </w:p>
          <w:p w:rsidR="00F046AC" w:rsidRPr="00CD0598" w:rsidRDefault="00F046AC" w:rsidP="001934B7">
            <w:pPr>
              <w:rPr>
                <w:rFonts w:cs="Arial"/>
                <w:bCs/>
                <w:color w:val="000000" w:themeColor="text1"/>
              </w:rPr>
            </w:pPr>
            <w:r>
              <w:rPr>
                <w:color w:val="000000" w:themeColor="text1"/>
              </w:rPr>
              <w:t>ASW 0</w:t>
            </w:r>
          </w:p>
        </w:tc>
        <w:tc>
          <w:tcPr>
            <w:tcW w:w="8263" w:type="dxa"/>
            <w:tcBorders>
              <w:top w:val="single" w:sz="4" w:space="0" w:color="auto"/>
              <w:left w:val="single" w:sz="4" w:space="0" w:color="auto"/>
              <w:bottom w:val="single" w:sz="4" w:space="0" w:color="auto"/>
              <w:right w:val="single" w:sz="4" w:space="0" w:color="auto"/>
            </w:tcBorders>
          </w:tcPr>
          <w:p w:rsidR="00F046AC" w:rsidRDefault="00F046AC" w:rsidP="001934B7">
            <w:pPr>
              <w:rPr>
                <w:rFonts w:cs="Arial"/>
                <w:color w:val="000000" w:themeColor="text1"/>
              </w:rPr>
            </w:pPr>
            <w:r>
              <w:rPr>
                <w:color w:val="000000" w:themeColor="text1"/>
              </w:rPr>
              <w:t>in der deutschen Fassung: ändern der Übersetzung von „Subject of these Test Guidelines“ zu „</w:t>
            </w:r>
            <w:r w:rsidRPr="0049556A">
              <w:rPr>
                <w:color w:val="000000" w:themeColor="text1"/>
                <w:u w:val="single"/>
              </w:rPr>
              <w:t>Gegenstand</w:t>
            </w:r>
            <w:r>
              <w:rPr>
                <w:color w:val="000000" w:themeColor="text1"/>
              </w:rPr>
              <w:t xml:space="preserve"> dieser Prüfungsrichtlinien“</w:t>
            </w:r>
          </w:p>
          <w:p w:rsidR="00F046AC" w:rsidRPr="00F27409" w:rsidRDefault="00F046AC" w:rsidP="001934B7">
            <w:pPr>
              <w:rPr>
                <w:rFonts w:cs="Arial"/>
                <w:color w:val="000000" w:themeColor="text1"/>
              </w:rPr>
            </w:pPr>
          </w:p>
        </w:tc>
      </w:tr>
      <w:tr w:rsidR="00F046AC" w:rsidRPr="009D2B0D" w:rsidTr="00F046AC">
        <w:tc>
          <w:tcPr>
            <w:tcW w:w="1517" w:type="dxa"/>
            <w:tcBorders>
              <w:top w:val="single" w:sz="4" w:space="0" w:color="auto"/>
              <w:left w:val="single" w:sz="4" w:space="0" w:color="auto"/>
              <w:bottom w:val="single" w:sz="4" w:space="0" w:color="auto"/>
              <w:right w:val="single" w:sz="4" w:space="0" w:color="auto"/>
            </w:tcBorders>
          </w:tcPr>
          <w:p w:rsidR="0049556A" w:rsidRDefault="00F046AC" w:rsidP="001934B7">
            <w:pPr>
              <w:rPr>
                <w:color w:val="000000" w:themeColor="text1"/>
              </w:rPr>
            </w:pPr>
            <w:r>
              <w:rPr>
                <w:color w:val="000000" w:themeColor="text1"/>
              </w:rPr>
              <w:t xml:space="preserve">Anlage I, </w:t>
            </w:r>
          </w:p>
          <w:p w:rsidR="00F046AC" w:rsidRPr="00CD0598" w:rsidRDefault="00F046AC" w:rsidP="001934B7">
            <w:pPr>
              <w:rPr>
                <w:rFonts w:cs="Arial"/>
                <w:bCs/>
                <w:color w:val="000000" w:themeColor="text1"/>
              </w:rPr>
            </w:pPr>
            <w:r>
              <w:rPr>
                <w:color w:val="000000" w:themeColor="text1"/>
              </w:rPr>
              <w:t>GN 7</w:t>
            </w:r>
          </w:p>
        </w:tc>
        <w:tc>
          <w:tcPr>
            <w:tcW w:w="8263" w:type="dxa"/>
            <w:tcBorders>
              <w:top w:val="single" w:sz="4" w:space="0" w:color="auto"/>
              <w:left w:val="single" w:sz="4" w:space="0" w:color="auto"/>
              <w:bottom w:val="single" w:sz="4" w:space="0" w:color="auto"/>
              <w:right w:val="single" w:sz="4" w:space="0" w:color="auto"/>
            </w:tcBorders>
          </w:tcPr>
          <w:p w:rsidR="00F046AC" w:rsidRDefault="00F046AC" w:rsidP="001934B7">
            <w:pPr>
              <w:rPr>
                <w:rFonts w:cs="Arial"/>
                <w:szCs w:val="18"/>
              </w:rPr>
            </w:pPr>
            <w:r>
              <w:rPr>
                <w:color w:val="000000" w:themeColor="text1"/>
              </w:rPr>
              <w:t xml:space="preserve">letzter Absatz sollte lauten: </w:t>
            </w:r>
            <w:r>
              <w:t xml:space="preserve">„In der Regel entspricht bei </w:t>
            </w:r>
            <w:r>
              <w:rPr>
                <w:i/>
              </w:rPr>
              <w:t>Pflanzen</w:t>
            </w:r>
            <w:r>
              <w:t xml:space="preserve">, die nur für eine Wachstumsperiode benötigt werden (z.B. keine für besondere Prüfungen oder Sortensammlungen benötigten Pflanzen), die Anzahl der in Kapitel 2.3 verlangten Pflanzen oft der in den Kapiteln 3.4 ‚Gestaltung der Prüfung‘ und 4.2 ‚Homogenität‘ angegebenen Anzahl Pflanzen.  Diesbezüglich wird daran erinnert, daß die Menge des Vermehrungsmaterials, das in Kapitel 2.3 der Prüfungsrichtlinien angegeben ist, die Mindestmenge ist, die eine Behörde vom Antragsteller verlangen kann.  Deshalb kann jede Behörde entscheiden, eine größere Menge Vermehrungsmaterial zu verlangen, beispielsweise, um etwaige Verluste während des Anlegens der Prüfung (vergleiche GN 7 a)) zu berücksichtigen.“  </w:t>
            </w:r>
          </w:p>
          <w:p w:rsidR="00F046AC" w:rsidRPr="00F27409" w:rsidRDefault="00F046AC" w:rsidP="001934B7">
            <w:pPr>
              <w:rPr>
                <w:rFonts w:cs="Arial"/>
                <w:color w:val="000000" w:themeColor="text1"/>
              </w:rPr>
            </w:pPr>
          </w:p>
        </w:tc>
      </w:tr>
      <w:tr w:rsidR="00F046AC" w:rsidRPr="009D2B0D" w:rsidTr="00F046AC">
        <w:tc>
          <w:tcPr>
            <w:tcW w:w="1517" w:type="dxa"/>
            <w:tcBorders>
              <w:top w:val="single" w:sz="4" w:space="0" w:color="auto"/>
              <w:left w:val="single" w:sz="4" w:space="0" w:color="auto"/>
              <w:bottom w:val="single" w:sz="4" w:space="0" w:color="auto"/>
              <w:right w:val="single" w:sz="4" w:space="0" w:color="auto"/>
            </w:tcBorders>
          </w:tcPr>
          <w:p w:rsidR="0049556A" w:rsidRDefault="00F046AC" w:rsidP="001934B7">
            <w:pPr>
              <w:rPr>
                <w:color w:val="000000" w:themeColor="text1"/>
              </w:rPr>
            </w:pPr>
            <w:r>
              <w:rPr>
                <w:color w:val="000000" w:themeColor="text1"/>
              </w:rPr>
              <w:t xml:space="preserve">Anlage I, </w:t>
            </w:r>
          </w:p>
          <w:p w:rsidR="00F046AC" w:rsidRPr="00CD0598" w:rsidRDefault="00F046AC" w:rsidP="001934B7">
            <w:pPr>
              <w:rPr>
                <w:rFonts w:cs="Arial"/>
                <w:bCs/>
                <w:snapToGrid w:val="0"/>
                <w:color w:val="000000" w:themeColor="text1"/>
              </w:rPr>
            </w:pPr>
            <w:r>
              <w:rPr>
                <w:color w:val="000000" w:themeColor="text1"/>
              </w:rPr>
              <w:t xml:space="preserve">GN 28 Abschnitt </w:t>
            </w:r>
            <w:r>
              <w:rPr>
                <w:color w:val="000000" w:themeColor="text1"/>
              </w:rPr>
              <w:lastRenderedPageBreak/>
              <w:t>3.2.2.</w:t>
            </w:r>
          </w:p>
        </w:tc>
        <w:tc>
          <w:tcPr>
            <w:tcW w:w="8263" w:type="dxa"/>
            <w:tcBorders>
              <w:top w:val="single" w:sz="4" w:space="0" w:color="auto"/>
              <w:left w:val="single" w:sz="4" w:space="0" w:color="auto"/>
              <w:bottom w:val="single" w:sz="4" w:space="0" w:color="auto"/>
              <w:right w:val="single" w:sz="4" w:space="0" w:color="auto"/>
            </w:tcBorders>
          </w:tcPr>
          <w:p w:rsidR="00F046AC" w:rsidRPr="00CE090D" w:rsidRDefault="00F046AC" w:rsidP="001934B7">
            <w:r>
              <w:rPr>
                <w:color w:val="000000" w:themeColor="text1"/>
              </w:rPr>
              <w:lastRenderedPageBreak/>
              <w:t xml:space="preserve">sollte folgendermaßen lauten: </w:t>
            </w:r>
            <w:r>
              <w:t xml:space="preserve">„3.2.2 Werden verschiedene Serien von Beispielsorten für verschiedene Sortentypen, die von denselben Prüfungsrichtlinien erfaßt werden, angegeben, werden sie in der Merkmalstabelle in derselben Spalte wie üblich aufgeführt.  </w:t>
            </w:r>
            <w:r>
              <w:lastRenderedPageBreak/>
              <w:t>Die Serien von Beispielsorten (z. B. Winter- und Sommerform) werden durch ein Semikolon getrennt und/oder mit einer Kennzeichnung versehen, die für jede Serie angegeben wird, und eine Erläuterung für die gewählte Option sollte in die Legende in Kapitel 6 der Prüfungsrichtlinien aufgenommen werden.“</w:t>
            </w:r>
          </w:p>
          <w:p w:rsidR="00F046AC" w:rsidRPr="00F27409" w:rsidRDefault="00F046AC" w:rsidP="001934B7">
            <w:pPr>
              <w:rPr>
                <w:rFonts w:cs="Arial"/>
                <w:color w:val="000000" w:themeColor="text1"/>
              </w:rPr>
            </w:pPr>
          </w:p>
        </w:tc>
      </w:tr>
      <w:tr w:rsidR="00F046AC" w:rsidRPr="009D2B0D" w:rsidTr="00F046AC">
        <w:tc>
          <w:tcPr>
            <w:tcW w:w="1517" w:type="dxa"/>
            <w:tcBorders>
              <w:top w:val="single" w:sz="4" w:space="0" w:color="auto"/>
              <w:left w:val="single" w:sz="4" w:space="0" w:color="auto"/>
              <w:bottom w:val="single" w:sz="4" w:space="0" w:color="auto"/>
              <w:right w:val="single" w:sz="4" w:space="0" w:color="auto"/>
            </w:tcBorders>
          </w:tcPr>
          <w:p w:rsidR="0049556A" w:rsidRDefault="00F046AC" w:rsidP="001934B7">
            <w:pPr>
              <w:rPr>
                <w:color w:val="000000" w:themeColor="text1"/>
              </w:rPr>
            </w:pPr>
            <w:r>
              <w:rPr>
                <w:color w:val="000000" w:themeColor="text1"/>
              </w:rPr>
              <w:lastRenderedPageBreak/>
              <w:t xml:space="preserve">Anlage I, </w:t>
            </w:r>
          </w:p>
          <w:p w:rsidR="00F046AC" w:rsidRPr="00CD0598" w:rsidRDefault="00F046AC" w:rsidP="001934B7">
            <w:pPr>
              <w:rPr>
                <w:rFonts w:cs="Arial"/>
                <w:bCs/>
                <w:snapToGrid w:val="0"/>
                <w:color w:val="000000" w:themeColor="text1"/>
              </w:rPr>
            </w:pPr>
            <w:r>
              <w:rPr>
                <w:color w:val="000000" w:themeColor="text1"/>
              </w:rPr>
              <w:t>GN 28 Abschnitt 4.</w:t>
            </w:r>
          </w:p>
        </w:tc>
        <w:tc>
          <w:tcPr>
            <w:tcW w:w="8263" w:type="dxa"/>
            <w:tcBorders>
              <w:top w:val="single" w:sz="4" w:space="0" w:color="auto"/>
              <w:left w:val="single" w:sz="4" w:space="0" w:color="auto"/>
              <w:bottom w:val="single" w:sz="4" w:space="0" w:color="auto"/>
              <w:right w:val="single" w:sz="4" w:space="0" w:color="auto"/>
            </w:tcBorders>
          </w:tcPr>
          <w:p w:rsidR="00F046AC" w:rsidRPr="00F27409" w:rsidRDefault="00F046AC" w:rsidP="001934B7">
            <w:pPr>
              <w:rPr>
                <w:rFonts w:cs="Arial"/>
                <w:color w:val="000000" w:themeColor="text1"/>
              </w:rPr>
            </w:pPr>
            <w:r>
              <w:rPr>
                <w:color w:val="000000" w:themeColor="text1"/>
              </w:rPr>
              <w:t>4.1 Verweis auf Abschnitt 2 ersetzen durch Verweis auf Abschnitt 4.2</w:t>
            </w:r>
          </w:p>
          <w:p w:rsidR="00F046AC" w:rsidRPr="00F27409" w:rsidRDefault="00F046AC" w:rsidP="001934B7">
            <w:pPr>
              <w:rPr>
                <w:rFonts w:cs="Arial"/>
                <w:color w:val="000000" w:themeColor="text1"/>
              </w:rPr>
            </w:pPr>
            <w:r>
              <w:rPr>
                <w:color w:val="000000" w:themeColor="text1"/>
              </w:rPr>
              <w:t>4.2.3 Verweis auf Figur 1 ersetzen durch Verweis auf Abschnitt 4.2.3</w:t>
            </w:r>
          </w:p>
          <w:p w:rsidR="00F046AC" w:rsidRPr="00F27409" w:rsidRDefault="00F046AC" w:rsidP="001934B7">
            <w:pPr>
              <w:rPr>
                <w:rFonts w:cs="Arial"/>
                <w:color w:val="000000" w:themeColor="text1"/>
              </w:rPr>
            </w:pPr>
            <w:r>
              <w:rPr>
                <w:color w:val="000000" w:themeColor="text1"/>
              </w:rPr>
              <w:t>4.2.5 Reference to Figure 1 to be deleted</w:t>
            </w:r>
          </w:p>
        </w:tc>
      </w:tr>
      <w:tr w:rsidR="00F046AC" w:rsidRPr="009D2B0D" w:rsidTr="00F046AC">
        <w:tc>
          <w:tcPr>
            <w:tcW w:w="1517" w:type="dxa"/>
            <w:tcBorders>
              <w:top w:val="single" w:sz="4" w:space="0" w:color="auto"/>
              <w:left w:val="single" w:sz="4" w:space="0" w:color="auto"/>
              <w:bottom w:val="single" w:sz="4" w:space="0" w:color="auto"/>
              <w:right w:val="single" w:sz="4" w:space="0" w:color="auto"/>
            </w:tcBorders>
          </w:tcPr>
          <w:p w:rsidR="00F046AC" w:rsidRPr="00CD0598" w:rsidRDefault="00F046AC" w:rsidP="001934B7">
            <w:pPr>
              <w:rPr>
                <w:rFonts w:cs="Arial"/>
                <w:bCs/>
                <w:snapToGrid w:val="0"/>
                <w:color w:val="000000" w:themeColor="text1"/>
              </w:rPr>
            </w:pPr>
            <w:r>
              <w:rPr>
                <w:color w:val="000000" w:themeColor="text1"/>
              </w:rPr>
              <w:t>Anlage I, GN 35, Einführung</w:t>
            </w:r>
          </w:p>
        </w:tc>
        <w:tc>
          <w:tcPr>
            <w:tcW w:w="8263" w:type="dxa"/>
            <w:tcBorders>
              <w:top w:val="single" w:sz="4" w:space="0" w:color="auto"/>
              <w:left w:val="single" w:sz="4" w:space="0" w:color="auto"/>
              <w:bottom w:val="single" w:sz="4" w:space="0" w:color="auto"/>
              <w:right w:val="single" w:sz="4" w:space="0" w:color="auto"/>
            </w:tcBorders>
          </w:tcPr>
          <w:p w:rsidR="00F046AC" w:rsidRPr="00F27409" w:rsidRDefault="00F046AC" w:rsidP="001934B7">
            <w:pPr>
              <w:rPr>
                <w:rFonts w:cs="Arial"/>
                <w:color w:val="000000" w:themeColor="text1"/>
              </w:rPr>
            </w:pPr>
            <w:r>
              <w:rPr>
                <w:color w:val="000000" w:themeColor="text1"/>
              </w:rPr>
              <w:t xml:space="preserve">erster Satz sollte lauten: </w:t>
            </w:r>
            <w:r>
              <w:t>„Die Aufnahme von Fotos der Kandidatensorten wird von Faktoren wie Lichtbedingungen, Qualität und Kameraeinstellungen sowie Hintergrund beeinflußt.“</w:t>
            </w:r>
          </w:p>
        </w:tc>
      </w:tr>
    </w:tbl>
    <w:p w:rsidR="00F046AC" w:rsidRDefault="00F046AC" w:rsidP="001934B7"/>
    <w:p w:rsidR="00F046AC" w:rsidRPr="00D671B7" w:rsidRDefault="00F046AC" w:rsidP="001934B7">
      <w:r w:rsidRPr="009F0871">
        <w:fldChar w:fldCharType="begin"/>
      </w:r>
      <w:r w:rsidRPr="009F0871">
        <w:instrText xml:space="preserve"> AUTONUM  </w:instrText>
      </w:r>
      <w:r w:rsidRPr="009F0871">
        <w:fldChar w:fldCharType="end"/>
      </w:r>
      <w:r>
        <w:tab/>
        <w:t>Der TC nahm zur Kenntnis, daß die Übersetzungen des englischen Originalwortlauts ins Deutsche, Französische und Spanische vor der Vorlage des Entwurfs von TGP-Dokumenten, die dem Rat auf seiner achtundvierzigsten ordentlichen Tagung zur Annahme vorgelegt werden, von den entsprechenden Mitgliedern des Redaktionsausschusses geprüft werden würden.</w:t>
      </w:r>
    </w:p>
    <w:p w:rsidR="00F046AC" w:rsidRDefault="00F046AC" w:rsidP="001934B7"/>
    <w:p w:rsidR="00F046AC" w:rsidRPr="00C12FE3" w:rsidRDefault="00F046AC" w:rsidP="00C12FE3">
      <w:pPr>
        <w:ind w:firstLine="567"/>
        <w:rPr>
          <w:sz w:val="18"/>
          <w:szCs w:val="18"/>
        </w:rPr>
      </w:pPr>
      <w:bookmarkStart w:id="49" w:name="_Toc374385111"/>
      <w:bookmarkStart w:id="50" w:name="_Toc374631048"/>
      <w:bookmarkStart w:id="51" w:name="_Toc374632520"/>
      <w:bookmarkStart w:id="52" w:name="_Toc374635720"/>
      <w:bookmarkStart w:id="53" w:name="_Toc378251509"/>
      <w:bookmarkStart w:id="54" w:name="_Toc381279970"/>
      <w:r w:rsidRPr="00C12FE3">
        <w:rPr>
          <w:sz w:val="18"/>
          <w:szCs w:val="18"/>
        </w:rPr>
        <w:t>i)</w:t>
      </w:r>
      <w:r w:rsidRPr="00C12FE3">
        <w:rPr>
          <w:sz w:val="18"/>
          <w:szCs w:val="18"/>
        </w:rPr>
        <w:tab/>
        <w:t>Überarbeitung von Dokument TGP/7: Zusätzlicher Standardwortlaut für Wachstumsperiode für tropische Arten</w:t>
      </w:r>
      <w:bookmarkEnd w:id="49"/>
      <w:bookmarkEnd w:id="50"/>
      <w:bookmarkEnd w:id="51"/>
      <w:bookmarkEnd w:id="52"/>
      <w:bookmarkEnd w:id="53"/>
      <w:bookmarkEnd w:id="54"/>
    </w:p>
    <w:p w:rsidR="00F046AC" w:rsidRDefault="00F046AC" w:rsidP="001934B7"/>
    <w:p w:rsidR="00F046AC" w:rsidRDefault="00F046AC" w:rsidP="001934B7">
      <w:r>
        <w:fldChar w:fldCharType="begin"/>
      </w:r>
      <w:r>
        <w:instrText xml:space="preserve"> AUTONUM  </w:instrText>
      </w:r>
      <w:r>
        <w:fldChar w:fldCharType="end"/>
      </w:r>
      <w:r>
        <w:tab/>
        <w:t>Der TC prüfte Dokument TC/50/16 und stimmte dem Vorschlag zu, daß der zusätzliche Standardwortlaut (ASW) für immergrüne Arten mit unbestimmtem Wachstum zur Aufnahme in Dokument TGP/7: folgendermaßen lauten sollte:</w:t>
      </w:r>
    </w:p>
    <w:p w:rsidR="00F046AC" w:rsidRDefault="00F046AC" w:rsidP="001934B7"/>
    <w:p w:rsidR="00F046AC" w:rsidRPr="002F1915" w:rsidRDefault="00F046AC" w:rsidP="00C12FE3">
      <w:pPr>
        <w:ind w:left="567" w:right="567"/>
        <w:rPr>
          <w:rFonts w:cs="Arial"/>
          <w:sz w:val="18"/>
          <w:szCs w:val="18"/>
        </w:rPr>
      </w:pPr>
      <w:r>
        <w:rPr>
          <w:sz w:val="18"/>
        </w:rPr>
        <w:t>„Neu (nach b)): Immergrüne Arten mit unbestimmtem Wachstum</w:t>
      </w:r>
    </w:p>
    <w:p w:rsidR="00F046AC" w:rsidRPr="002F1915" w:rsidRDefault="00F046AC" w:rsidP="00C12FE3">
      <w:pPr>
        <w:ind w:left="567" w:right="567"/>
        <w:rPr>
          <w:rFonts w:cs="Arial"/>
          <w:sz w:val="18"/>
          <w:szCs w:val="18"/>
        </w:rPr>
      </w:pPr>
      <w:r>
        <w:rPr>
          <w:sz w:val="18"/>
        </w:rPr>
        <w:t xml:space="preserve">„Als Wachstumsperiode wird die Periode betrachtet, die vom Beginn der Blüte einer einzelnen Blüte oder eines einzelnen Blütenstandes über die Fruchtentwicklung reicht und mit der Ernte der Früchte aus der entsprechenden einzelnen Blüte oder dem einzelnen Blütenstand endet.“ </w:t>
      </w:r>
    </w:p>
    <w:p w:rsidR="00F046AC" w:rsidRPr="002F1915" w:rsidRDefault="00F046AC" w:rsidP="001934B7">
      <w:pPr>
        <w:rPr>
          <w:sz w:val="18"/>
          <w:szCs w:val="18"/>
        </w:rPr>
      </w:pPr>
    </w:p>
    <w:p w:rsidR="00F046AC" w:rsidRPr="00C12FE3" w:rsidRDefault="00F046AC" w:rsidP="00C12FE3">
      <w:pPr>
        <w:ind w:firstLine="567"/>
        <w:rPr>
          <w:sz w:val="18"/>
          <w:szCs w:val="18"/>
        </w:rPr>
      </w:pPr>
      <w:bookmarkStart w:id="55" w:name="_Toc374385112"/>
      <w:bookmarkStart w:id="56" w:name="_Toc374631049"/>
      <w:bookmarkStart w:id="57" w:name="_Toc374632521"/>
      <w:bookmarkStart w:id="58" w:name="_Toc374635721"/>
      <w:bookmarkStart w:id="59" w:name="_Toc378251510"/>
      <w:bookmarkStart w:id="60" w:name="_Toc381279971"/>
      <w:r w:rsidRPr="00C12FE3">
        <w:rPr>
          <w:sz w:val="18"/>
          <w:szCs w:val="18"/>
        </w:rPr>
        <w:t>ii)</w:t>
      </w:r>
      <w:r w:rsidRPr="00C12FE3">
        <w:rPr>
          <w:sz w:val="18"/>
          <w:szCs w:val="18"/>
        </w:rPr>
        <w:tab/>
        <w:t>Überarbeitung von Dokument TGP/7: Angabe des Entwicklungsstadiums in Prüfungsrichtlinien</w:t>
      </w:r>
      <w:bookmarkEnd w:id="55"/>
      <w:bookmarkEnd w:id="56"/>
      <w:bookmarkEnd w:id="57"/>
      <w:bookmarkEnd w:id="58"/>
      <w:bookmarkEnd w:id="59"/>
      <w:bookmarkEnd w:id="60"/>
    </w:p>
    <w:p w:rsidR="00F046AC" w:rsidRPr="00290F6F" w:rsidRDefault="00F046AC" w:rsidP="001934B7"/>
    <w:p w:rsidR="00F046AC" w:rsidRPr="00290F6F" w:rsidRDefault="00F046AC" w:rsidP="001934B7">
      <w:r>
        <w:fldChar w:fldCharType="begin"/>
      </w:r>
      <w:r>
        <w:instrText xml:space="preserve"> AUTONUM  </w:instrText>
      </w:r>
      <w:r>
        <w:fldChar w:fldCharType="end"/>
      </w:r>
      <w:r w:rsidR="000B7320">
        <w:tab/>
        <w:t xml:space="preserve">Der TC prüfte </w:t>
      </w:r>
      <w:r>
        <w:t>Dokument TC/50/18.</w:t>
      </w:r>
    </w:p>
    <w:p w:rsidR="00F046AC" w:rsidRDefault="00F046AC" w:rsidP="001934B7"/>
    <w:p w:rsidR="00F046AC" w:rsidRDefault="00F046AC" w:rsidP="001934B7">
      <w:r w:rsidRPr="00EF6F6F">
        <w:fldChar w:fldCharType="begin"/>
      </w:r>
      <w:r w:rsidRPr="00EF6F6F">
        <w:instrText xml:space="preserve"> AUTONUM  </w:instrText>
      </w:r>
      <w:r w:rsidRPr="00EF6F6F">
        <w:fldChar w:fldCharType="end"/>
      </w:r>
      <w:r>
        <w:tab/>
      </w:r>
      <w:r w:rsidR="000B7320">
        <w:t>Der TC</w:t>
      </w:r>
      <w:r w:rsidR="000B7320" w:rsidRPr="00B0006E">
        <w:t xml:space="preserve"> vereinbarte, daß Dokument TGP/7, ASW 4, GN 24 und GN 9 </w:t>
      </w:r>
      <w:r w:rsidR="000B7320">
        <w:t xml:space="preserve">gändert werden und </w:t>
      </w:r>
      <w:r w:rsidR="000B7320" w:rsidRPr="00B0006E">
        <w:t>folgendermaßen lauten</w:t>
      </w:r>
      <w:r w:rsidR="000B7320">
        <w:t xml:space="preserve"> sollte</w:t>
      </w:r>
      <w:r>
        <w:t>:</w:t>
      </w:r>
    </w:p>
    <w:p w:rsidR="00F046AC" w:rsidRDefault="00F046AC" w:rsidP="001934B7"/>
    <w:p w:rsidR="000B7320" w:rsidRPr="001F011A" w:rsidRDefault="000B7320" w:rsidP="00C12FE3">
      <w:pPr>
        <w:ind w:left="567" w:right="850"/>
        <w:rPr>
          <w:rFonts w:cs="Arial"/>
          <w:sz w:val="18"/>
          <w:szCs w:val="18"/>
          <w:u w:val="single"/>
        </w:rPr>
      </w:pPr>
      <w:r>
        <w:rPr>
          <w:rFonts w:cs="Arial"/>
          <w:sz w:val="18"/>
          <w:szCs w:val="18"/>
          <w:u w:val="single"/>
        </w:rPr>
        <w:t>„ASW 4 (TG M</w:t>
      </w:r>
      <w:r w:rsidRPr="001F011A">
        <w:rPr>
          <w:rFonts w:cs="Arial"/>
          <w:sz w:val="18"/>
          <w:szCs w:val="18"/>
          <w:u w:val="single"/>
        </w:rPr>
        <w:t xml:space="preserve">ustervorlage: </w:t>
      </w:r>
      <w:r>
        <w:rPr>
          <w:rFonts w:cs="Arial"/>
          <w:sz w:val="18"/>
          <w:szCs w:val="18"/>
          <w:u w:val="single"/>
        </w:rPr>
        <w:t>K</w:t>
      </w:r>
      <w:r w:rsidRPr="001F011A">
        <w:rPr>
          <w:rFonts w:cs="Arial"/>
          <w:sz w:val="18"/>
          <w:szCs w:val="18"/>
          <w:u w:val="single"/>
        </w:rPr>
        <w:t xml:space="preserve">apitel 3.3 </w:t>
      </w:r>
      <w:r>
        <w:rPr>
          <w:rFonts w:cs="Arial"/>
          <w:sz w:val="18"/>
          <w:szCs w:val="18"/>
          <w:u w:val="single"/>
        </w:rPr>
        <w:t>B</w:t>
      </w:r>
      <w:r w:rsidRPr="001F011A">
        <w:rPr>
          <w:rFonts w:cs="Arial"/>
          <w:sz w:val="18"/>
          <w:szCs w:val="18"/>
          <w:u w:val="single"/>
        </w:rPr>
        <w:t xml:space="preserve">edingungen für die </w:t>
      </w:r>
      <w:r>
        <w:rPr>
          <w:rFonts w:cs="Arial"/>
          <w:sz w:val="18"/>
          <w:szCs w:val="18"/>
          <w:u w:val="single"/>
        </w:rPr>
        <w:t>D</w:t>
      </w:r>
      <w:r w:rsidRPr="001F011A">
        <w:rPr>
          <w:rFonts w:cs="Arial"/>
          <w:sz w:val="18"/>
          <w:szCs w:val="18"/>
          <w:u w:val="single"/>
        </w:rPr>
        <w:t xml:space="preserve">urchführung der </w:t>
      </w:r>
      <w:r>
        <w:rPr>
          <w:rFonts w:cs="Arial"/>
          <w:sz w:val="18"/>
          <w:szCs w:val="18"/>
          <w:u w:val="single"/>
        </w:rPr>
        <w:t>P</w:t>
      </w:r>
      <w:r w:rsidRPr="001F011A">
        <w:rPr>
          <w:rFonts w:cs="Arial"/>
          <w:sz w:val="18"/>
          <w:szCs w:val="18"/>
          <w:u w:val="single"/>
        </w:rPr>
        <w:t>rüfung</w:t>
      </w:r>
    </w:p>
    <w:p w:rsidR="000B7320" w:rsidRPr="001F011A" w:rsidRDefault="000B7320" w:rsidP="00C12FE3">
      <w:pPr>
        <w:ind w:left="567" w:right="850"/>
        <w:rPr>
          <w:rFonts w:cs="Arial"/>
          <w:i/>
          <w:iCs/>
          <w:sz w:val="18"/>
          <w:szCs w:val="18"/>
        </w:rPr>
      </w:pPr>
      <w:r>
        <w:rPr>
          <w:rFonts w:cs="Arial"/>
          <w:i/>
          <w:iCs/>
          <w:sz w:val="18"/>
          <w:szCs w:val="18"/>
        </w:rPr>
        <w:t>„I</w:t>
      </w:r>
      <w:r w:rsidRPr="001F011A">
        <w:rPr>
          <w:rFonts w:cs="Arial"/>
          <w:i/>
          <w:iCs/>
          <w:sz w:val="18"/>
          <w:szCs w:val="18"/>
        </w:rPr>
        <w:t xml:space="preserve">nformation zur </w:t>
      </w:r>
      <w:r>
        <w:rPr>
          <w:rFonts w:cs="Arial"/>
          <w:i/>
          <w:iCs/>
          <w:sz w:val="18"/>
          <w:szCs w:val="18"/>
        </w:rPr>
        <w:t>Durchführung der P</w:t>
      </w:r>
      <w:r w:rsidRPr="001F011A">
        <w:rPr>
          <w:rFonts w:cs="Arial"/>
          <w:i/>
          <w:iCs/>
          <w:sz w:val="18"/>
          <w:szCs w:val="18"/>
        </w:rPr>
        <w:t xml:space="preserve">rüfung einzelner </w:t>
      </w:r>
      <w:r>
        <w:rPr>
          <w:rFonts w:cs="Arial"/>
          <w:i/>
          <w:iCs/>
          <w:sz w:val="18"/>
          <w:szCs w:val="18"/>
        </w:rPr>
        <w:t xml:space="preserve">Merkmale </w:t>
      </w:r>
    </w:p>
    <w:p w:rsidR="000B7320" w:rsidRPr="001F011A" w:rsidRDefault="000B7320" w:rsidP="00C12FE3">
      <w:pPr>
        <w:ind w:left="567" w:right="850"/>
        <w:rPr>
          <w:rFonts w:cs="Arial"/>
          <w:i/>
          <w:iCs/>
          <w:sz w:val="18"/>
          <w:szCs w:val="18"/>
        </w:rPr>
      </w:pPr>
    </w:p>
    <w:p w:rsidR="000B7320" w:rsidRPr="00034FF2" w:rsidRDefault="000B7320" w:rsidP="00C12FE3">
      <w:pPr>
        <w:ind w:left="567" w:right="850"/>
        <w:rPr>
          <w:rFonts w:cs="Arial"/>
          <w:i/>
          <w:iCs/>
          <w:sz w:val="18"/>
          <w:szCs w:val="18"/>
        </w:rPr>
      </w:pPr>
      <w:r w:rsidRPr="00034FF2">
        <w:rPr>
          <w:rFonts w:cs="Arial"/>
          <w:i/>
          <w:iCs/>
          <w:sz w:val="18"/>
          <w:szCs w:val="18"/>
        </w:rPr>
        <w:t>„a) E</w:t>
      </w:r>
      <w:r w:rsidRPr="00034FF2">
        <w:rPr>
          <w:i/>
          <w:iCs/>
          <w:sz w:val="18"/>
          <w:szCs w:val="18"/>
        </w:rPr>
        <w:t>ntwicklungsstadium für die Prüfung</w:t>
      </w:r>
    </w:p>
    <w:p w:rsidR="000B7320" w:rsidRPr="001F011A" w:rsidRDefault="000B7320" w:rsidP="00C12FE3">
      <w:pPr>
        <w:ind w:left="567" w:right="850"/>
        <w:rPr>
          <w:sz w:val="18"/>
          <w:szCs w:val="18"/>
        </w:rPr>
      </w:pPr>
      <w:r>
        <w:rPr>
          <w:rFonts w:cs="Arial"/>
          <w:szCs w:val="18"/>
        </w:rPr>
        <w:t>‚</w:t>
      </w:r>
      <w:r>
        <w:rPr>
          <w:sz w:val="18"/>
          <w:szCs w:val="18"/>
        </w:rPr>
        <w:t>D</w:t>
      </w:r>
      <w:r w:rsidRPr="001F011A">
        <w:rPr>
          <w:sz w:val="18"/>
          <w:szCs w:val="18"/>
        </w:rPr>
        <w:t xml:space="preserve">as </w:t>
      </w:r>
      <w:r>
        <w:rPr>
          <w:sz w:val="18"/>
          <w:szCs w:val="18"/>
        </w:rPr>
        <w:t>optimale</w:t>
      </w:r>
      <w:r w:rsidRPr="001F011A">
        <w:rPr>
          <w:sz w:val="18"/>
          <w:szCs w:val="18"/>
        </w:rPr>
        <w:t xml:space="preserve"> </w:t>
      </w:r>
      <w:r>
        <w:rPr>
          <w:sz w:val="18"/>
          <w:szCs w:val="18"/>
        </w:rPr>
        <w:t>Entwicklungsstadium für die Erfassung eines jeden Merkmals ist durch eine Z</w:t>
      </w:r>
      <w:r w:rsidRPr="001F011A">
        <w:rPr>
          <w:sz w:val="18"/>
          <w:szCs w:val="18"/>
        </w:rPr>
        <w:t xml:space="preserve">ifferreferenz in der zweiten </w:t>
      </w:r>
      <w:r>
        <w:rPr>
          <w:sz w:val="18"/>
          <w:szCs w:val="18"/>
        </w:rPr>
        <w:t>S</w:t>
      </w:r>
      <w:r w:rsidRPr="001F011A">
        <w:rPr>
          <w:sz w:val="18"/>
          <w:szCs w:val="18"/>
        </w:rPr>
        <w:t xml:space="preserve">palte der </w:t>
      </w:r>
      <w:r>
        <w:rPr>
          <w:sz w:val="18"/>
          <w:szCs w:val="18"/>
        </w:rPr>
        <w:t>M</w:t>
      </w:r>
      <w:r w:rsidRPr="001F011A">
        <w:rPr>
          <w:sz w:val="18"/>
          <w:szCs w:val="18"/>
        </w:rPr>
        <w:t>erkmalstabelle angegeben.</w:t>
      </w:r>
      <w:r>
        <w:rPr>
          <w:sz w:val="18"/>
          <w:szCs w:val="18"/>
        </w:rPr>
        <w:t xml:space="preserve"> </w:t>
      </w:r>
      <w:r w:rsidRPr="008C3EE3">
        <w:rPr>
          <w:sz w:val="18"/>
          <w:szCs w:val="18"/>
        </w:rPr>
        <w:t>Die durch die einzelnen Ziffern angegebenen Entwicklungsstadien sind am Ende des Kapitels 8 beschrieben</w:t>
      </w:r>
      <w:r>
        <w:rPr>
          <w:sz w:val="18"/>
          <w:szCs w:val="18"/>
        </w:rPr>
        <w:t>[...]</w:t>
      </w:r>
      <w:r>
        <w:rPr>
          <w:rFonts w:cs="Arial"/>
          <w:szCs w:val="18"/>
        </w:rPr>
        <w:t>‘</w:t>
      </w:r>
      <w:r>
        <w:rPr>
          <w:sz w:val="18"/>
          <w:szCs w:val="18"/>
        </w:rPr>
        <w:t>“</w:t>
      </w:r>
    </w:p>
    <w:p w:rsidR="000B7320" w:rsidRPr="001F011A" w:rsidRDefault="000B7320" w:rsidP="00C12FE3">
      <w:pPr>
        <w:ind w:left="567" w:right="850"/>
        <w:rPr>
          <w:caps/>
        </w:rPr>
      </w:pPr>
    </w:p>
    <w:p w:rsidR="000B7320" w:rsidRPr="00994CAF" w:rsidRDefault="000B7320" w:rsidP="00C12FE3">
      <w:pPr>
        <w:ind w:left="567" w:right="850"/>
        <w:rPr>
          <w:rFonts w:cs="Arial"/>
          <w:sz w:val="18"/>
          <w:szCs w:val="18"/>
          <w:u w:val="single"/>
        </w:rPr>
      </w:pPr>
      <w:r>
        <w:rPr>
          <w:rFonts w:cs="Arial"/>
          <w:sz w:val="18"/>
          <w:szCs w:val="18"/>
          <w:u w:val="single"/>
        </w:rPr>
        <w:t>„</w:t>
      </w:r>
      <w:r w:rsidRPr="00994CAF">
        <w:rPr>
          <w:rFonts w:cs="Arial"/>
          <w:sz w:val="18"/>
          <w:szCs w:val="18"/>
          <w:u w:val="single"/>
        </w:rPr>
        <w:t>GN 9 (TG-Mustervorlage: Kapitel 3.3) – Schlüssel der Entwicklungsstadien</w:t>
      </w:r>
    </w:p>
    <w:p w:rsidR="000B7320" w:rsidRDefault="000B7320" w:rsidP="00C12FE3">
      <w:pPr>
        <w:ind w:left="567" w:right="850"/>
        <w:rPr>
          <w:rFonts w:cs="Arial"/>
          <w:sz w:val="18"/>
          <w:szCs w:val="18"/>
        </w:rPr>
      </w:pPr>
      <w:r w:rsidRPr="008C3EE3">
        <w:rPr>
          <w:rFonts w:cs="Arial"/>
          <w:sz w:val="18"/>
          <w:szCs w:val="18"/>
        </w:rPr>
        <w:t>„</w:t>
      </w:r>
      <w:r>
        <w:rPr>
          <w:rFonts w:cs="Arial"/>
          <w:sz w:val="18"/>
          <w:szCs w:val="18"/>
          <w:u w:val="single"/>
        </w:rPr>
        <w:t>In manchen Fällen</w:t>
      </w:r>
      <w:r w:rsidRPr="008C3EE3">
        <w:rPr>
          <w:rFonts w:cs="Arial"/>
          <w:sz w:val="18"/>
          <w:szCs w:val="18"/>
        </w:rPr>
        <w:t xml:space="preserve">, falls es angebracht ist, einen Schlüssel der Entwicklungsstadien für die Erfassung der </w:t>
      </w:r>
      <w:r>
        <w:rPr>
          <w:rFonts w:cs="Arial"/>
          <w:sz w:val="18"/>
          <w:szCs w:val="18"/>
        </w:rPr>
        <w:t xml:space="preserve">Merkmale </w:t>
      </w:r>
      <w:r w:rsidRPr="008C3EE3">
        <w:rPr>
          <w:rFonts w:cs="Arial"/>
          <w:sz w:val="18"/>
          <w:szCs w:val="18"/>
        </w:rPr>
        <w:t>anzugeben, ist die folgende Quelle ein geeigneter Leitfaden</w:t>
      </w:r>
      <w:r>
        <w:rPr>
          <w:rFonts w:cs="Arial"/>
          <w:sz w:val="18"/>
          <w:szCs w:val="18"/>
        </w:rPr>
        <w:t>:</w:t>
      </w:r>
    </w:p>
    <w:p w:rsidR="000B7320" w:rsidRPr="008C3EE3" w:rsidRDefault="000B7320" w:rsidP="00C12FE3">
      <w:pPr>
        <w:ind w:left="567" w:right="850"/>
        <w:rPr>
          <w:rFonts w:cs="Arial"/>
          <w:sz w:val="18"/>
          <w:szCs w:val="18"/>
        </w:rPr>
      </w:pPr>
      <w:r>
        <w:rPr>
          <w:rFonts w:cs="Arial"/>
          <w:szCs w:val="18"/>
        </w:rPr>
        <w:t>‚</w:t>
      </w:r>
      <w:r w:rsidRPr="008C3EE3">
        <w:t>Entwicklungsstadien mono- und dikotyler Pflanzen</w:t>
      </w:r>
      <w:r w:rsidRPr="008C3EE3">
        <w:rPr>
          <w:rFonts w:cs="Arial"/>
          <w:sz w:val="18"/>
          <w:szCs w:val="18"/>
        </w:rPr>
        <w:t xml:space="preserve"> – BBCH Monograph</w:t>
      </w:r>
      <w:r>
        <w:rPr>
          <w:rFonts w:cs="Arial"/>
          <w:szCs w:val="18"/>
        </w:rPr>
        <w:t>‘</w:t>
      </w:r>
    </w:p>
    <w:p w:rsidR="000B7320" w:rsidRPr="008C3EE3" w:rsidRDefault="000B7320" w:rsidP="00C12FE3">
      <w:pPr>
        <w:ind w:left="567" w:right="850"/>
        <w:rPr>
          <w:rFonts w:cs="Arial"/>
          <w:sz w:val="18"/>
          <w:szCs w:val="18"/>
        </w:rPr>
      </w:pPr>
      <w:r w:rsidRPr="008C3EE3">
        <w:rPr>
          <w:rFonts w:cs="Arial"/>
          <w:sz w:val="18"/>
          <w:szCs w:val="18"/>
        </w:rPr>
        <w:t>(Biologische Bundesanstalt für Land- und Forstwirtschaft (BBA)</w:t>
      </w:r>
    </w:p>
    <w:p w:rsidR="000B7320" w:rsidRDefault="000B7320" w:rsidP="00C12FE3">
      <w:pPr>
        <w:ind w:left="567" w:right="850"/>
        <w:rPr>
          <w:rFonts w:cs="Arial"/>
          <w:i/>
          <w:sz w:val="18"/>
          <w:szCs w:val="18"/>
        </w:rPr>
      </w:pPr>
      <w:r w:rsidRPr="008C3EE3">
        <w:rPr>
          <w:rFonts w:cs="Arial"/>
          <w:sz w:val="18"/>
          <w:szCs w:val="18"/>
        </w:rPr>
        <w:t>ISBN Nummer: 3-8263-3152-4</w:t>
      </w:r>
      <w:r w:rsidRPr="00994CAF">
        <w:rPr>
          <w:rFonts w:cs="Arial"/>
          <w:i/>
          <w:sz w:val="18"/>
          <w:szCs w:val="18"/>
        </w:rPr>
        <w:tab/>
      </w:r>
    </w:p>
    <w:p w:rsidR="000B7320" w:rsidRPr="00994CAF" w:rsidRDefault="000B7320" w:rsidP="00C12FE3">
      <w:pPr>
        <w:ind w:left="567" w:right="850"/>
        <w:rPr>
          <w:rFonts w:cs="Arial"/>
          <w:sz w:val="18"/>
          <w:szCs w:val="18"/>
          <w:u w:val="single"/>
        </w:rPr>
      </w:pPr>
      <w:r>
        <w:rPr>
          <w:rFonts w:cs="Arial"/>
          <w:i/>
          <w:iCs/>
          <w:sz w:val="18"/>
          <w:szCs w:val="18"/>
        </w:rPr>
        <w:tab/>
      </w:r>
      <w:r w:rsidRPr="00034FF2">
        <w:rPr>
          <w:rFonts w:cs="Arial"/>
          <w:i/>
          <w:iCs/>
          <w:sz w:val="18"/>
          <w:szCs w:val="18"/>
        </w:rPr>
        <w:t>http://www.jki.bund.de/fileadmin/dam_uploads/_veroeff/bbch/BBCH-Skala_deutsch.pdf</w:t>
      </w:r>
    </w:p>
    <w:p w:rsidR="000B7320" w:rsidRPr="00994CAF" w:rsidRDefault="000B7320" w:rsidP="00C12FE3">
      <w:pPr>
        <w:ind w:left="567" w:right="850"/>
        <w:rPr>
          <w:rFonts w:cs="Arial"/>
          <w:sz w:val="18"/>
          <w:szCs w:val="18"/>
        </w:rPr>
      </w:pPr>
      <w:r>
        <w:rPr>
          <w:rFonts w:cs="Arial"/>
          <w:sz w:val="18"/>
          <w:szCs w:val="18"/>
        </w:rPr>
        <w:t>„</w:t>
      </w:r>
      <w:r w:rsidRPr="00994CAF">
        <w:rPr>
          <w:rFonts w:cs="Arial"/>
          <w:sz w:val="18"/>
          <w:szCs w:val="18"/>
        </w:rPr>
        <w:t>In einigen anderen Fällen könnte ein vereinfachter Schlüssel der Entwicklungsstadien zweckmäßig sein, wie zum Beispiel in de</w:t>
      </w:r>
      <w:r>
        <w:rPr>
          <w:rFonts w:cs="Arial"/>
          <w:sz w:val="18"/>
          <w:szCs w:val="18"/>
        </w:rPr>
        <w:t>n</w:t>
      </w:r>
      <w:r w:rsidRPr="00994CAF">
        <w:rPr>
          <w:rFonts w:cs="Arial"/>
          <w:sz w:val="18"/>
          <w:szCs w:val="18"/>
        </w:rPr>
        <w:t xml:space="preserve"> Prüfungsrichtlinien für Kartoffel (Dokument TG/23/6):</w:t>
      </w:r>
    </w:p>
    <w:p w:rsidR="000B7320" w:rsidRPr="00994CAF" w:rsidRDefault="000B7320" w:rsidP="00C12FE3">
      <w:pPr>
        <w:ind w:left="567" w:right="850"/>
        <w:rPr>
          <w:rFonts w:cs="Arial"/>
          <w:sz w:val="18"/>
          <w:szCs w:val="18"/>
        </w:rPr>
      </w:pPr>
    </w:p>
    <w:p w:rsidR="000B7320" w:rsidRPr="00994CAF" w:rsidRDefault="000B7320" w:rsidP="00C12FE3">
      <w:pPr>
        <w:ind w:left="567" w:right="850"/>
        <w:rPr>
          <w:rFonts w:cs="Arial"/>
          <w:sz w:val="18"/>
          <w:szCs w:val="18"/>
        </w:rPr>
      </w:pPr>
      <w:r>
        <w:rPr>
          <w:rFonts w:cs="Arial"/>
          <w:sz w:val="18"/>
          <w:szCs w:val="18"/>
        </w:rPr>
        <w:t>„</w:t>
      </w:r>
      <w:r w:rsidRPr="00994CAF">
        <w:rPr>
          <w:rFonts w:cs="Arial"/>
          <w:sz w:val="18"/>
          <w:szCs w:val="18"/>
        </w:rPr>
        <w:t xml:space="preserve">8.3 </w:t>
      </w:r>
      <w:r>
        <w:rPr>
          <w:rFonts w:cs="Arial"/>
          <w:sz w:val="18"/>
          <w:szCs w:val="18"/>
        </w:rPr>
        <w:t>Optimale</w:t>
      </w:r>
      <w:r w:rsidRPr="00994CAF">
        <w:rPr>
          <w:rFonts w:cs="Arial"/>
          <w:sz w:val="18"/>
          <w:szCs w:val="18"/>
        </w:rPr>
        <w:t xml:space="preserve">s Entwicklungsstadium für die Erfassung der </w:t>
      </w:r>
      <w:r>
        <w:rPr>
          <w:rFonts w:cs="Arial"/>
          <w:sz w:val="18"/>
          <w:szCs w:val="18"/>
        </w:rPr>
        <w:t xml:space="preserve">Merkmale </w:t>
      </w:r>
    </w:p>
    <w:p w:rsidR="000B7320" w:rsidRPr="00994CAF" w:rsidRDefault="000B7320" w:rsidP="00C12FE3">
      <w:pPr>
        <w:ind w:left="567" w:right="850"/>
        <w:rPr>
          <w:rFonts w:cs="Arial"/>
          <w:sz w:val="18"/>
          <w:szCs w:val="18"/>
        </w:rPr>
      </w:pPr>
    </w:p>
    <w:p w:rsidR="000B7320" w:rsidRPr="00994CAF" w:rsidRDefault="000B7320" w:rsidP="00C12FE3">
      <w:pPr>
        <w:ind w:left="567" w:right="850"/>
        <w:rPr>
          <w:rFonts w:cs="Arial"/>
          <w:sz w:val="18"/>
          <w:szCs w:val="18"/>
        </w:rPr>
      </w:pPr>
      <w:r w:rsidRPr="00994CAF">
        <w:rPr>
          <w:rFonts w:cs="Arial"/>
          <w:sz w:val="18"/>
          <w:szCs w:val="18"/>
        </w:rPr>
        <w:t>1 = Knospenstadium</w:t>
      </w:r>
    </w:p>
    <w:p w:rsidR="000B7320" w:rsidRPr="00994CAF" w:rsidRDefault="000B7320" w:rsidP="00C12FE3">
      <w:pPr>
        <w:ind w:left="567" w:right="850"/>
        <w:rPr>
          <w:rFonts w:cs="Arial"/>
          <w:sz w:val="18"/>
          <w:szCs w:val="18"/>
        </w:rPr>
      </w:pPr>
      <w:r w:rsidRPr="00994CAF">
        <w:rPr>
          <w:rFonts w:cs="Arial"/>
          <w:sz w:val="18"/>
          <w:szCs w:val="18"/>
        </w:rPr>
        <w:t>2 = Blühstadium</w:t>
      </w:r>
    </w:p>
    <w:p w:rsidR="000B7320" w:rsidRPr="00994CAF" w:rsidRDefault="000B7320" w:rsidP="00C12FE3">
      <w:pPr>
        <w:ind w:left="567" w:right="850"/>
        <w:rPr>
          <w:rFonts w:cs="Arial"/>
          <w:sz w:val="18"/>
          <w:szCs w:val="18"/>
        </w:rPr>
      </w:pPr>
      <w:r w:rsidRPr="00994CAF">
        <w:rPr>
          <w:rFonts w:cs="Arial"/>
          <w:sz w:val="18"/>
          <w:szCs w:val="18"/>
        </w:rPr>
        <w:t>3 = Reifestadium der Knollen</w:t>
      </w:r>
    </w:p>
    <w:p w:rsidR="000B7320" w:rsidRPr="00994CAF" w:rsidRDefault="000B7320" w:rsidP="00C12FE3">
      <w:pPr>
        <w:ind w:left="567" w:right="850"/>
        <w:rPr>
          <w:rFonts w:cs="Arial"/>
          <w:sz w:val="18"/>
          <w:szCs w:val="18"/>
        </w:rPr>
      </w:pPr>
      <w:r w:rsidRPr="00994CAF">
        <w:rPr>
          <w:rFonts w:cs="Arial"/>
          <w:sz w:val="18"/>
          <w:szCs w:val="18"/>
        </w:rPr>
        <w:t>4 = nach der Ernte</w:t>
      </w:r>
      <w:r>
        <w:rPr>
          <w:rFonts w:cs="Arial"/>
          <w:sz w:val="18"/>
          <w:szCs w:val="18"/>
        </w:rPr>
        <w:t>“</w:t>
      </w:r>
    </w:p>
    <w:p w:rsidR="000B7320" w:rsidRPr="00994CAF" w:rsidRDefault="000B7320" w:rsidP="00C12FE3">
      <w:pPr>
        <w:ind w:left="567" w:right="850"/>
        <w:rPr>
          <w:rFonts w:cs="Arial"/>
          <w:sz w:val="18"/>
          <w:szCs w:val="18"/>
        </w:rPr>
      </w:pPr>
    </w:p>
    <w:p w:rsidR="000B7320" w:rsidRPr="00034FF2" w:rsidRDefault="000B7320" w:rsidP="00C12FE3">
      <w:pPr>
        <w:ind w:left="567" w:right="850"/>
        <w:rPr>
          <w:rFonts w:cs="Arial"/>
          <w:sz w:val="18"/>
          <w:szCs w:val="18"/>
          <w:u w:val="single"/>
        </w:rPr>
      </w:pPr>
      <w:r w:rsidRPr="00034FF2">
        <w:rPr>
          <w:u w:val="single"/>
        </w:rPr>
        <w:t>„</w:t>
      </w:r>
      <w:r w:rsidRPr="00034FF2">
        <w:rPr>
          <w:rFonts w:cs="Arial"/>
          <w:sz w:val="18"/>
          <w:szCs w:val="18"/>
          <w:u w:val="single"/>
        </w:rPr>
        <w:t>GN 24 (TG Mustervorlage: Kapitel 7: Spalte 2, Kopfzeile Reihe 1) – Entwicklungsstadium</w:t>
      </w:r>
    </w:p>
    <w:p w:rsidR="000B7320" w:rsidRPr="00994CAF" w:rsidRDefault="000B7320" w:rsidP="00C12FE3">
      <w:pPr>
        <w:ind w:left="567" w:right="850"/>
        <w:rPr>
          <w:rFonts w:cs="Arial"/>
          <w:sz w:val="18"/>
          <w:szCs w:val="18"/>
        </w:rPr>
      </w:pPr>
    </w:p>
    <w:p w:rsidR="00F046AC" w:rsidRPr="00BC35C7" w:rsidRDefault="000B7320" w:rsidP="005D2FEA">
      <w:pPr>
        <w:spacing w:after="360"/>
        <w:ind w:left="567" w:right="851"/>
        <w:rPr>
          <w:rFonts w:cs="Arial"/>
          <w:sz w:val="18"/>
          <w:szCs w:val="18"/>
        </w:rPr>
      </w:pPr>
      <w:r>
        <w:t>„</w:t>
      </w:r>
      <w:r w:rsidRPr="00994CAF">
        <w:rPr>
          <w:rFonts w:cs="Arial"/>
          <w:sz w:val="18"/>
          <w:szCs w:val="18"/>
        </w:rPr>
        <w:t>In einigen Prüfungsrichtlinien wird hier das Entwicklungsstadium angegeben, zu dem die Erfassung des Merkmals erfolgen sollte.</w:t>
      </w:r>
      <w:r>
        <w:rPr>
          <w:rFonts w:cs="Arial"/>
          <w:sz w:val="18"/>
          <w:szCs w:val="18"/>
        </w:rPr>
        <w:t xml:space="preserve"> </w:t>
      </w:r>
      <w:r w:rsidRPr="00994CAF">
        <w:rPr>
          <w:rFonts w:cs="Arial"/>
          <w:sz w:val="18"/>
          <w:szCs w:val="18"/>
        </w:rPr>
        <w:t>In diesen Fällen werden die Entwicklungsstadien, die mit Z</w:t>
      </w:r>
      <w:r>
        <w:rPr>
          <w:rFonts w:cs="Arial"/>
          <w:sz w:val="18"/>
          <w:szCs w:val="18"/>
        </w:rPr>
        <w:t>ifferr</w:t>
      </w:r>
      <w:r w:rsidRPr="00994CAF">
        <w:rPr>
          <w:rFonts w:cs="Arial"/>
          <w:sz w:val="18"/>
          <w:szCs w:val="18"/>
        </w:rPr>
        <w:t>eferenzen be</w:t>
      </w:r>
      <w:r>
        <w:rPr>
          <w:rFonts w:cs="Arial"/>
          <w:sz w:val="18"/>
          <w:szCs w:val="18"/>
        </w:rPr>
        <w:t>zeichnet sind, gemäß ASW 4.a</w:t>
      </w:r>
      <w:r w:rsidRPr="00994CAF">
        <w:rPr>
          <w:rFonts w:cs="Arial"/>
          <w:sz w:val="18"/>
          <w:szCs w:val="18"/>
        </w:rPr>
        <w:t xml:space="preserve"> in einem Abschnitt in Kapitel 8 beschrieben).</w:t>
      </w:r>
      <w:r>
        <w:rPr>
          <w:rFonts w:cs="Arial"/>
          <w:sz w:val="18"/>
          <w:szCs w:val="18"/>
        </w:rPr>
        <w:t>“</w:t>
      </w:r>
    </w:p>
    <w:p w:rsidR="00F046AC" w:rsidRPr="00C12FE3" w:rsidRDefault="00F046AC" w:rsidP="00C12FE3">
      <w:pPr>
        <w:ind w:firstLine="567"/>
        <w:rPr>
          <w:snapToGrid w:val="0"/>
        </w:rPr>
      </w:pPr>
      <w:bookmarkStart w:id="61" w:name="_Toc374385113"/>
      <w:bookmarkStart w:id="62" w:name="_Toc374631050"/>
      <w:bookmarkStart w:id="63" w:name="_Toc374632522"/>
      <w:bookmarkStart w:id="64" w:name="_Toc374635722"/>
      <w:bookmarkStart w:id="65" w:name="_Toc378251511"/>
      <w:bookmarkStart w:id="66" w:name="_Toc381279972"/>
      <w:r w:rsidRPr="00C12FE3">
        <w:lastRenderedPageBreak/>
        <w:t>iii)</w:t>
      </w:r>
      <w:r w:rsidRPr="00C12FE3">
        <w:tab/>
      </w:r>
      <w:r w:rsidR="000B7320" w:rsidRPr="00C12FE3">
        <w:t xml:space="preserve">Überarbeitung von Dokument TGP/7: </w:t>
      </w:r>
      <w:r w:rsidR="000B7320" w:rsidRPr="00C12FE3">
        <w:rPr>
          <w:snapToGrid w:val="0"/>
        </w:rPr>
        <w:t>Bereitstellung von Farbabbildungen in Prüfungsrichtlinien</w:t>
      </w:r>
      <w:bookmarkEnd w:id="61"/>
      <w:bookmarkEnd w:id="62"/>
      <w:bookmarkEnd w:id="63"/>
      <w:bookmarkEnd w:id="64"/>
      <w:bookmarkEnd w:id="65"/>
      <w:bookmarkEnd w:id="66"/>
    </w:p>
    <w:p w:rsidR="00F046AC" w:rsidRPr="00290F6F" w:rsidRDefault="00F046AC" w:rsidP="001934B7"/>
    <w:p w:rsidR="00F046AC" w:rsidRPr="00290F6F" w:rsidRDefault="00F046AC" w:rsidP="001934B7">
      <w:r>
        <w:fldChar w:fldCharType="begin"/>
      </w:r>
      <w:r>
        <w:instrText xml:space="preserve"> AUTONUM  </w:instrText>
      </w:r>
      <w:r>
        <w:fldChar w:fldCharType="end"/>
      </w:r>
      <w:r w:rsidR="000B7320">
        <w:tab/>
        <w:t xml:space="preserve">Der TC prüfte </w:t>
      </w:r>
      <w:r>
        <w:t>Dokument TC/50/19.</w:t>
      </w:r>
    </w:p>
    <w:p w:rsidR="00F046AC" w:rsidRDefault="00F046AC" w:rsidP="001934B7"/>
    <w:p w:rsidR="000B7320" w:rsidRPr="000B7320" w:rsidRDefault="00F046AC" w:rsidP="001934B7">
      <w:pPr>
        <w:rPr>
          <w:lang w:eastAsia="en-US" w:bidi="ar-SA"/>
        </w:rPr>
      </w:pPr>
      <w:r>
        <w:fldChar w:fldCharType="begin"/>
      </w:r>
      <w:r>
        <w:instrText xml:space="preserve"> AUTONUM  </w:instrText>
      </w:r>
      <w:r>
        <w:fldChar w:fldCharType="end"/>
      </w:r>
      <w:r>
        <w:tab/>
      </w:r>
      <w:r w:rsidR="000B7320" w:rsidRPr="000B7320">
        <w:rPr>
          <w:lang w:eastAsia="en-US" w:bidi="ar-SA"/>
        </w:rPr>
        <w:t>Der TC vereinbarte, Anleitung zu den Gefahren der Bereitstellung von Farbabbildungen in Prüfungsrichtlinien in Dokument TGP/7 aufzunehmen:</w:t>
      </w:r>
    </w:p>
    <w:p w:rsidR="000B7320" w:rsidRPr="000B7320" w:rsidRDefault="000B7320" w:rsidP="001934B7">
      <w:pPr>
        <w:rPr>
          <w:rFonts w:cs="Arial"/>
          <w:lang w:eastAsia="en-US" w:bidi="ar-SA"/>
        </w:rPr>
      </w:pPr>
    </w:p>
    <w:p w:rsidR="000B7320" w:rsidRPr="000B7320" w:rsidRDefault="000B7320" w:rsidP="00C12FE3">
      <w:pPr>
        <w:ind w:left="567" w:right="1134"/>
        <w:rPr>
          <w:snapToGrid w:val="0"/>
          <w:lang w:eastAsia="en-US" w:bidi="ar-SA"/>
        </w:rPr>
      </w:pPr>
      <w:r w:rsidRPr="000B7320">
        <w:rPr>
          <w:sz w:val="18"/>
          <w:szCs w:val="18"/>
          <w:lang w:eastAsia="en-US" w:bidi="ar-SA"/>
        </w:rPr>
        <w:t>„Im Allgemeinen ist es nicht zweckmäßig, Farbabbildungen als solche in den Prüfungsrichtlinien zu verwenden, da die Farbe in Fotoaufnahmen von der Kameratechnologie, den Geräten zur Abbildung der Fotoaufnahmen (einschließlich Drucker, Computer und Bildschirm) sowie den Lichtbedingungen, unter denen die Fotoaufnahme gemacht wird/wurde, beeinflußt werden kann. Zudem kann die Ausprägung der Farbe je nach Umgebung, in der die Sorte angepflanzt wird, variieren. Eine Fotoaufnahme einer in einer Umgebung erfaßten ‘schwachen Intensität der Anthocyanfärbung (oder einer ‘schwachen Intensität' einer Farbe) gibt beispielsweise nicht unbedingt eine in einer anderen Umgebung erfaßte ‘schwache Intensität' der Anthocyanfärbung (oder eine ‘schwache Intensität' einer Farbe) wieder.“</w:t>
      </w:r>
    </w:p>
    <w:p w:rsidR="000B7320" w:rsidRPr="000B7320" w:rsidRDefault="000B7320" w:rsidP="001934B7">
      <w:pPr>
        <w:rPr>
          <w:rFonts w:cs="Arial"/>
          <w:lang w:eastAsia="en-US" w:bidi="ar-SA"/>
        </w:rPr>
      </w:pPr>
    </w:p>
    <w:p w:rsidR="000B7320" w:rsidRPr="00C12FE3" w:rsidRDefault="000B7320" w:rsidP="00C12FE3">
      <w:pPr>
        <w:ind w:left="567"/>
        <w:rPr>
          <w:lang w:eastAsia="en-US" w:bidi="ar-SA"/>
        </w:rPr>
      </w:pPr>
      <w:bookmarkStart w:id="67" w:name="_Toc374385114"/>
      <w:bookmarkStart w:id="68" w:name="_Toc374631051"/>
      <w:bookmarkStart w:id="69" w:name="_Toc374632523"/>
      <w:bookmarkStart w:id="70" w:name="_Toc374635723"/>
      <w:bookmarkStart w:id="71" w:name="_Toc378251512"/>
      <w:bookmarkStart w:id="72" w:name="_Toc381279973"/>
      <w:r w:rsidRPr="00C12FE3">
        <w:rPr>
          <w:lang w:eastAsia="en-US" w:bidi="ar-SA"/>
        </w:rPr>
        <w:t>iv)</w:t>
      </w:r>
      <w:r w:rsidRPr="00C12FE3">
        <w:rPr>
          <w:lang w:eastAsia="en-US" w:bidi="ar-SA"/>
        </w:rPr>
        <w:tab/>
        <w:t xml:space="preserve">Überarbeitung von Dokument TGP/7: </w:t>
      </w:r>
      <w:bookmarkEnd w:id="67"/>
      <w:bookmarkEnd w:id="68"/>
      <w:bookmarkEnd w:id="69"/>
      <w:bookmarkEnd w:id="70"/>
      <w:bookmarkEnd w:id="71"/>
      <w:bookmarkEnd w:id="72"/>
      <w:r w:rsidRPr="00C12FE3">
        <w:rPr>
          <w:lang w:eastAsia="en-US" w:bidi="ar-SA"/>
        </w:rPr>
        <w:t>Anwesenheit des führenden Sachverständigen bei Tagungen der Technischen Arbeitsgruppen</w:t>
      </w:r>
    </w:p>
    <w:p w:rsidR="00F046AC" w:rsidRPr="007318ED" w:rsidRDefault="00F046AC" w:rsidP="000B7320"/>
    <w:p w:rsidR="00F046AC" w:rsidRPr="00290F6F" w:rsidRDefault="00F046AC" w:rsidP="00F046AC">
      <w:pPr>
        <w:keepNext/>
      </w:pPr>
    </w:p>
    <w:p w:rsidR="00F046AC" w:rsidRPr="00290F6F" w:rsidRDefault="00F046AC" w:rsidP="00F046AC">
      <w:r>
        <w:fldChar w:fldCharType="begin"/>
      </w:r>
      <w:r>
        <w:instrText xml:space="preserve"> AUTONUM  </w:instrText>
      </w:r>
      <w:r>
        <w:fldChar w:fldCharType="end"/>
      </w:r>
      <w:r w:rsidR="003C10A1">
        <w:tab/>
        <w:t xml:space="preserve">Der TC prüfte </w:t>
      </w:r>
      <w:r>
        <w:t>Dokument TC/50/20.</w:t>
      </w:r>
    </w:p>
    <w:p w:rsidR="00F046AC" w:rsidRDefault="00F046AC" w:rsidP="00F046AC"/>
    <w:p w:rsidR="003C10A1" w:rsidRPr="00814C11" w:rsidRDefault="00F046AC" w:rsidP="003C10A1">
      <w:r>
        <w:fldChar w:fldCharType="begin"/>
      </w:r>
      <w:r>
        <w:instrText xml:space="preserve"> AUTONUM  </w:instrText>
      </w:r>
      <w:r>
        <w:fldChar w:fldCharType="end"/>
      </w:r>
      <w:r>
        <w:tab/>
      </w:r>
      <w:r w:rsidR="003C10A1" w:rsidRPr="00814C11">
        <w:t xml:space="preserve">Der TC vereinbarte, die </w:t>
      </w:r>
      <w:r w:rsidR="003C10A1">
        <w:t>folgende Anleitung zu</w:t>
      </w:r>
      <w:r w:rsidR="003C10A1" w:rsidRPr="00814C11">
        <w:t xml:space="preserve"> </w:t>
      </w:r>
      <w:r w:rsidR="003C10A1">
        <w:t>der Anwesenheit</w:t>
      </w:r>
      <w:r w:rsidR="003C10A1" w:rsidRPr="00814C11">
        <w:t xml:space="preserve"> </w:t>
      </w:r>
      <w:r w:rsidR="003C10A1">
        <w:t>f</w:t>
      </w:r>
      <w:r w:rsidR="003C10A1" w:rsidRPr="00814C11">
        <w:t>ührender Sachverständige</w:t>
      </w:r>
      <w:r w:rsidR="003C10A1">
        <w:t>r bei Tagungen der Technischen Arbeitsgruppen</w:t>
      </w:r>
      <w:r w:rsidR="003C10A1" w:rsidRPr="00814C11">
        <w:t xml:space="preserve"> in Dokument TGP/7, Abschnitt 2.2.5.3</w:t>
      </w:r>
      <w:r w:rsidR="003C10A1">
        <w:t>, aufzunehmen</w:t>
      </w:r>
      <w:r w:rsidR="003C10A1" w:rsidRPr="00814C11">
        <w:t>:</w:t>
      </w:r>
    </w:p>
    <w:p w:rsidR="003C10A1" w:rsidRPr="00814C11" w:rsidRDefault="003C10A1" w:rsidP="003C10A1"/>
    <w:p w:rsidR="003C10A1" w:rsidRPr="00256F63" w:rsidRDefault="003C10A1" w:rsidP="003C10A1">
      <w:pPr>
        <w:ind w:left="567" w:right="567"/>
        <w:rPr>
          <w:sz w:val="18"/>
          <w:szCs w:val="18"/>
        </w:rPr>
      </w:pPr>
      <w:r>
        <w:rPr>
          <w:sz w:val="18"/>
          <w:szCs w:val="18"/>
        </w:rPr>
        <w:t>„</w:t>
      </w:r>
      <w:r w:rsidRPr="00256F63">
        <w:rPr>
          <w:sz w:val="18"/>
          <w:szCs w:val="18"/>
        </w:rPr>
        <w:t>Zur Prüfung durch eine technische Arbeitsgruppe sollte der führende Sachverständige des Entwurfs für Prüfungsrichtlinien bei der Tagung anwesend sei.</w:t>
      </w:r>
      <w:r>
        <w:rPr>
          <w:sz w:val="18"/>
          <w:szCs w:val="18"/>
        </w:rPr>
        <w:t xml:space="preserve"> </w:t>
      </w:r>
      <w:r w:rsidRPr="00256F63">
        <w:rPr>
          <w:sz w:val="18"/>
          <w:szCs w:val="18"/>
        </w:rPr>
        <w:t xml:space="preserve">Vorbehaltlich der Zustimmung des Vorsitzenden der technischen Arbeitsgruppe und wenn dies ausreichend lange vor der Tagung vereinbart werden kann, kann ein geeigneter alternativer Sachverständiger als führender Sachverständiger agieren oder kann der führende Sachverständige über elektronische Medien teilnehmen, wenn dadurch ermöglicht wird, die Prüfungsrichtlinien </w:t>
      </w:r>
      <w:r>
        <w:rPr>
          <w:sz w:val="18"/>
          <w:szCs w:val="18"/>
        </w:rPr>
        <w:t>effektiv</w:t>
      </w:r>
      <w:r w:rsidRPr="00256F63">
        <w:rPr>
          <w:sz w:val="18"/>
          <w:szCs w:val="18"/>
        </w:rPr>
        <w:t xml:space="preserve"> zu prüfen.</w:t>
      </w:r>
      <w:r>
        <w:rPr>
          <w:sz w:val="18"/>
          <w:szCs w:val="18"/>
        </w:rPr>
        <w:t>“</w:t>
      </w:r>
    </w:p>
    <w:p w:rsidR="003C10A1" w:rsidRPr="00256F63" w:rsidRDefault="003C10A1" w:rsidP="003C10A1"/>
    <w:p w:rsidR="00F046AC" w:rsidRPr="003C10A1" w:rsidRDefault="003C10A1" w:rsidP="003C10A1">
      <w:pPr>
        <w:ind w:left="567"/>
        <w:rPr>
          <w:i/>
          <w:sz w:val="18"/>
          <w:szCs w:val="18"/>
        </w:rPr>
      </w:pPr>
      <w:r w:rsidRPr="003C10A1">
        <w:rPr>
          <w:i/>
        </w:rPr>
        <w:t>TGP/8:  Prüfungsanlage und Verfahren für die Prüfung der Unterscheidbarkeit, der Homogenität und der Beständigkeit</w:t>
      </w:r>
    </w:p>
    <w:p w:rsidR="00F046AC" w:rsidRDefault="00F046AC" w:rsidP="00F046AC"/>
    <w:p w:rsidR="00F046AC" w:rsidRDefault="00F046AC" w:rsidP="00F046AC">
      <w:pPr>
        <w:keepNext/>
      </w:pPr>
    </w:p>
    <w:p w:rsidR="00F046AC" w:rsidRDefault="00F046AC" w:rsidP="00F046AC">
      <w:r w:rsidRPr="00290F6F">
        <w:fldChar w:fldCharType="begin"/>
      </w:r>
      <w:r w:rsidRPr="00290F6F">
        <w:instrText xml:space="preserve"> AUTONUM  </w:instrText>
      </w:r>
      <w:r w:rsidRPr="00290F6F">
        <w:fldChar w:fldCharType="end"/>
      </w:r>
      <w:r>
        <w:tab/>
      </w:r>
      <w:r w:rsidR="003C10A1" w:rsidRPr="00256F63">
        <w:t xml:space="preserve">Der TC nahm zur Kenntnis, daß die </w:t>
      </w:r>
      <w:r w:rsidR="003C10A1">
        <w:t>vom TC bereits gebilligten</w:t>
      </w:r>
      <w:r w:rsidR="003C10A1" w:rsidRPr="00256F63">
        <w:t xml:space="preserve"> Überarbeitungen </w:t>
      </w:r>
      <w:r w:rsidR="003C10A1">
        <w:t>von</w:t>
      </w:r>
      <w:r w:rsidR="003C10A1" w:rsidRPr="00256F63">
        <w:t xml:space="preserve"> Dokument TGP/8, </w:t>
      </w:r>
      <w:r w:rsidR="003C10A1">
        <w:t xml:space="preserve">wie in </w:t>
      </w:r>
      <w:r w:rsidR="003C10A1" w:rsidRPr="00256F63">
        <w:t xml:space="preserve">Dokument TC/50/5, </w:t>
      </w:r>
      <w:r w:rsidR="003C10A1">
        <w:t>Anlage</w:t>
      </w:r>
      <w:r w:rsidR="003C10A1" w:rsidRPr="00256F63">
        <w:t> II, vorbehaltlich der folgenden Änderungen</w:t>
      </w:r>
      <w:r w:rsidR="003C10A1">
        <w:t>, eine Grundlage für die</w:t>
      </w:r>
      <w:r w:rsidR="003C10A1" w:rsidRPr="00256F63">
        <w:t xml:space="preserve"> </w:t>
      </w:r>
      <w:r w:rsidR="003C10A1">
        <w:t>Annahme von</w:t>
      </w:r>
      <w:r w:rsidR="003C10A1" w:rsidRPr="00256F63">
        <w:t xml:space="preserve"> Dokument TGP/8/2 </w:t>
      </w:r>
      <w:r w:rsidR="003C10A1">
        <w:t>durch den Rat</w:t>
      </w:r>
      <w:r w:rsidR="003C10A1" w:rsidRPr="00256F63">
        <w:t xml:space="preserve"> </w:t>
      </w:r>
      <w:r w:rsidR="003C10A1">
        <w:t>auf seiner achtundvierzigsten ordentlichen Tagung</w:t>
      </w:r>
      <w:r w:rsidR="003C10A1" w:rsidRPr="00256F63">
        <w:t xml:space="preserve"> </w:t>
      </w:r>
      <w:r w:rsidR="003C10A1">
        <w:t>darstellen würde</w:t>
      </w:r>
      <w:r>
        <w:t>:</w:t>
      </w:r>
    </w:p>
    <w:p w:rsidR="003C10A1" w:rsidRDefault="003C10A1" w:rsidP="00F046AC"/>
    <w:p w:rsidR="003C10A1" w:rsidRPr="00256F63" w:rsidRDefault="003C10A1" w:rsidP="003C10A1"/>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079"/>
      </w:tblGrid>
      <w:tr w:rsidR="003C10A1" w:rsidRPr="002764B2" w:rsidTr="005D2FEA">
        <w:tc>
          <w:tcPr>
            <w:tcW w:w="1560" w:type="dxa"/>
            <w:tcBorders>
              <w:top w:val="single" w:sz="4" w:space="0" w:color="auto"/>
              <w:left w:val="single" w:sz="4" w:space="0" w:color="auto"/>
              <w:bottom w:val="single" w:sz="4" w:space="0" w:color="auto"/>
              <w:right w:val="single" w:sz="4" w:space="0" w:color="auto"/>
            </w:tcBorders>
          </w:tcPr>
          <w:p w:rsidR="003C10A1" w:rsidRPr="002914E7" w:rsidRDefault="003C10A1" w:rsidP="004D6191">
            <w:pPr>
              <w:jc w:val="left"/>
              <w:rPr>
                <w:rFonts w:cs="Arial"/>
                <w:bCs/>
                <w:color w:val="000000" w:themeColor="text1"/>
              </w:rPr>
            </w:pPr>
            <w:r w:rsidRPr="002914E7">
              <w:rPr>
                <w:rFonts w:cs="Arial"/>
                <w:bCs/>
                <w:color w:val="000000" w:themeColor="text1"/>
              </w:rPr>
              <w:t xml:space="preserve">Anlage II, </w:t>
            </w:r>
            <w:r>
              <w:rPr>
                <w:rFonts w:cs="Arial"/>
                <w:bCs/>
                <w:color w:val="000000" w:themeColor="text1"/>
              </w:rPr>
              <w:t xml:space="preserve">Teil </w:t>
            </w:r>
            <w:r w:rsidRPr="002914E7">
              <w:rPr>
                <w:rFonts w:cs="Arial"/>
                <w:bCs/>
                <w:color w:val="000000" w:themeColor="text1"/>
              </w:rPr>
              <w:t xml:space="preserve">I, Abschnitt </w:t>
            </w:r>
            <w:r w:rsidRPr="002914E7">
              <w:rPr>
                <w:rFonts w:cs="Arial"/>
                <w:color w:val="000000" w:themeColor="text1"/>
              </w:rPr>
              <w:t>2.3.3.6.2</w:t>
            </w:r>
          </w:p>
        </w:tc>
        <w:tc>
          <w:tcPr>
            <w:tcW w:w="8079" w:type="dxa"/>
            <w:tcBorders>
              <w:top w:val="single" w:sz="4" w:space="0" w:color="auto"/>
              <w:left w:val="single" w:sz="4" w:space="0" w:color="auto"/>
              <w:bottom w:val="single" w:sz="4" w:space="0" w:color="auto"/>
              <w:right w:val="single" w:sz="4" w:space="0" w:color="auto"/>
            </w:tcBorders>
          </w:tcPr>
          <w:p w:rsidR="003C10A1" w:rsidRPr="00256F63" w:rsidRDefault="003C10A1" w:rsidP="004D6191">
            <w:pPr>
              <w:rPr>
                <w:rFonts w:cs="Arial"/>
                <w:color w:val="000000" w:themeColor="text1"/>
              </w:rPr>
            </w:pPr>
            <w:r w:rsidRPr="007E7D07">
              <w:rPr>
                <w:rFonts w:cs="Arial"/>
                <w:color w:val="000000" w:themeColor="text1"/>
              </w:rPr>
              <w:t>Überschrift „Der absolute Nullpunkt“ streichen</w:t>
            </w:r>
          </w:p>
        </w:tc>
      </w:tr>
      <w:tr w:rsidR="003C10A1" w:rsidRPr="002764B2" w:rsidTr="005D2FEA">
        <w:tc>
          <w:tcPr>
            <w:tcW w:w="1560" w:type="dxa"/>
            <w:tcBorders>
              <w:top w:val="single" w:sz="4" w:space="0" w:color="auto"/>
              <w:left w:val="single" w:sz="4" w:space="0" w:color="auto"/>
              <w:bottom w:val="single" w:sz="4" w:space="0" w:color="auto"/>
              <w:right w:val="single" w:sz="4" w:space="0" w:color="auto"/>
            </w:tcBorders>
          </w:tcPr>
          <w:p w:rsidR="003C10A1" w:rsidRPr="002914E7" w:rsidRDefault="003C10A1" w:rsidP="004D6191">
            <w:pPr>
              <w:jc w:val="left"/>
              <w:rPr>
                <w:rFonts w:cs="Arial"/>
                <w:bCs/>
                <w:color w:val="000000" w:themeColor="text1"/>
              </w:rPr>
            </w:pPr>
            <w:r w:rsidRPr="002914E7">
              <w:rPr>
                <w:rFonts w:cs="Arial"/>
                <w:bCs/>
                <w:color w:val="000000" w:themeColor="text1"/>
              </w:rPr>
              <w:t xml:space="preserve">Anlage II, </w:t>
            </w:r>
            <w:r>
              <w:rPr>
                <w:rFonts w:cs="Arial"/>
                <w:bCs/>
                <w:color w:val="000000" w:themeColor="text1"/>
              </w:rPr>
              <w:t xml:space="preserve">Teil </w:t>
            </w:r>
            <w:r w:rsidRPr="002914E7">
              <w:rPr>
                <w:rFonts w:cs="Arial"/>
                <w:bCs/>
                <w:color w:val="000000" w:themeColor="text1"/>
              </w:rPr>
              <w:t>I, Abschnitt 2.3.3.7.3</w:t>
            </w:r>
          </w:p>
        </w:tc>
        <w:tc>
          <w:tcPr>
            <w:tcW w:w="8079" w:type="dxa"/>
            <w:tcBorders>
              <w:top w:val="single" w:sz="4" w:space="0" w:color="auto"/>
              <w:left w:val="single" w:sz="4" w:space="0" w:color="auto"/>
              <w:bottom w:val="single" w:sz="4" w:space="0" w:color="auto"/>
              <w:right w:val="single" w:sz="4" w:space="0" w:color="auto"/>
            </w:tcBorders>
          </w:tcPr>
          <w:p w:rsidR="003C10A1" w:rsidRPr="00DF30A6" w:rsidRDefault="003C10A1" w:rsidP="004D6191">
            <w:pPr>
              <w:rPr>
                <w:rFonts w:cs="Arial"/>
                <w:color w:val="000000" w:themeColor="text1"/>
              </w:rPr>
            </w:pPr>
            <w:r w:rsidRPr="007E7D07">
              <w:rPr>
                <w:rFonts w:cs="Arial"/>
                <w:color w:val="000000" w:themeColor="text1"/>
              </w:rPr>
              <w:t>Format für Fall I und Fall II und die Formeln</w:t>
            </w:r>
            <w:r>
              <w:rPr>
                <w:rFonts w:cs="Arial"/>
                <w:color w:val="000000" w:themeColor="text1"/>
              </w:rPr>
              <w:t xml:space="preserve"> berichtigen</w:t>
            </w:r>
          </w:p>
        </w:tc>
      </w:tr>
      <w:tr w:rsidR="003C10A1" w:rsidRPr="002764B2" w:rsidTr="005D2FEA">
        <w:trPr>
          <w:cantSplit/>
        </w:trPr>
        <w:tc>
          <w:tcPr>
            <w:tcW w:w="1560" w:type="dxa"/>
            <w:tcBorders>
              <w:top w:val="single" w:sz="4" w:space="0" w:color="auto"/>
              <w:left w:val="single" w:sz="4" w:space="0" w:color="auto"/>
              <w:bottom w:val="single" w:sz="4" w:space="0" w:color="auto"/>
              <w:right w:val="single" w:sz="4" w:space="0" w:color="auto"/>
            </w:tcBorders>
          </w:tcPr>
          <w:p w:rsidR="003C10A1" w:rsidRPr="002914E7" w:rsidRDefault="003C10A1" w:rsidP="004D6191">
            <w:pPr>
              <w:jc w:val="left"/>
              <w:rPr>
                <w:rFonts w:cs="Arial"/>
                <w:bCs/>
                <w:color w:val="000000" w:themeColor="text1"/>
              </w:rPr>
            </w:pPr>
            <w:r w:rsidRPr="002914E7">
              <w:rPr>
                <w:rFonts w:cs="Arial"/>
                <w:bCs/>
                <w:color w:val="000000" w:themeColor="text1"/>
              </w:rPr>
              <w:t xml:space="preserve">Anlage II, </w:t>
            </w:r>
            <w:r>
              <w:rPr>
                <w:rFonts w:cs="Arial"/>
                <w:bCs/>
                <w:color w:val="000000" w:themeColor="text1"/>
              </w:rPr>
              <w:t xml:space="preserve">Teil </w:t>
            </w:r>
            <w:r w:rsidRPr="002914E7">
              <w:rPr>
                <w:rFonts w:cs="Arial"/>
                <w:bCs/>
                <w:color w:val="000000" w:themeColor="text1"/>
              </w:rPr>
              <w:t>I, Abschnitt</w:t>
            </w:r>
            <w:r>
              <w:rPr>
                <w:rFonts w:cs="Arial"/>
                <w:bCs/>
                <w:color w:val="000000" w:themeColor="text1"/>
              </w:rPr>
              <w:t>e</w:t>
            </w:r>
            <w:r w:rsidRPr="002914E7">
              <w:rPr>
                <w:rFonts w:cs="Arial"/>
                <w:bCs/>
                <w:color w:val="000000" w:themeColor="text1"/>
              </w:rPr>
              <w:t xml:space="preserve"> 3.5.1 und 4.2.2</w:t>
            </w:r>
          </w:p>
        </w:tc>
        <w:tc>
          <w:tcPr>
            <w:tcW w:w="8079" w:type="dxa"/>
            <w:tcBorders>
              <w:top w:val="single" w:sz="4" w:space="0" w:color="auto"/>
              <w:left w:val="single" w:sz="4" w:space="0" w:color="auto"/>
              <w:bottom w:val="single" w:sz="4" w:space="0" w:color="auto"/>
              <w:right w:val="single" w:sz="4" w:space="0" w:color="auto"/>
            </w:tcBorders>
          </w:tcPr>
          <w:p w:rsidR="003C10A1" w:rsidRPr="007E7D07" w:rsidRDefault="003C10A1" w:rsidP="004D6191">
            <w:pPr>
              <w:rPr>
                <w:rFonts w:cs="Arial"/>
                <w:color w:val="000000" w:themeColor="text1"/>
              </w:rPr>
            </w:pPr>
            <w:r w:rsidRPr="007E7D07">
              <w:rPr>
                <w:rFonts w:cs="Arial"/>
                <w:color w:val="000000" w:themeColor="text1"/>
              </w:rPr>
              <w:t>Skalen wieder in die Diagramme einfügen und Farben entfernen</w:t>
            </w:r>
          </w:p>
        </w:tc>
      </w:tr>
      <w:tr w:rsidR="003C10A1" w:rsidRPr="002764B2" w:rsidTr="005D2FEA">
        <w:tc>
          <w:tcPr>
            <w:tcW w:w="1560" w:type="dxa"/>
            <w:tcBorders>
              <w:top w:val="single" w:sz="4" w:space="0" w:color="auto"/>
              <w:left w:val="single" w:sz="4" w:space="0" w:color="auto"/>
              <w:bottom w:val="single" w:sz="4" w:space="0" w:color="auto"/>
              <w:right w:val="single" w:sz="4" w:space="0" w:color="auto"/>
            </w:tcBorders>
          </w:tcPr>
          <w:p w:rsidR="003C10A1" w:rsidRPr="002914E7" w:rsidRDefault="003C10A1" w:rsidP="004D6191">
            <w:pPr>
              <w:jc w:val="left"/>
              <w:rPr>
                <w:rFonts w:cs="Arial"/>
                <w:bCs/>
                <w:color w:val="000000" w:themeColor="text1"/>
              </w:rPr>
            </w:pPr>
            <w:r w:rsidRPr="002914E7">
              <w:rPr>
                <w:rFonts w:cs="Arial"/>
                <w:bCs/>
                <w:color w:val="000000" w:themeColor="text1"/>
              </w:rPr>
              <w:t xml:space="preserve">Anlage II, </w:t>
            </w:r>
            <w:r>
              <w:rPr>
                <w:rFonts w:cs="Arial"/>
                <w:bCs/>
                <w:color w:val="000000" w:themeColor="text1"/>
              </w:rPr>
              <w:t xml:space="preserve">Teil </w:t>
            </w:r>
            <w:r w:rsidRPr="002914E7">
              <w:rPr>
                <w:rFonts w:cs="Arial"/>
                <w:bCs/>
                <w:color w:val="000000" w:themeColor="text1"/>
              </w:rPr>
              <w:t>I, Abschnitt 5</w:t>
            </w:r>
          </w:p>
        </w:tc>
        <w:tc>
          <w:tcPr>
            <w:tcW w:w="8079" w:type="dxa"/>
            <w:tcBorders>
              <w:top w:val="single" w:sz="4" w:space="0" w:color="auto"/>
              <w:left w:val="single" w:sz="4" w:space="0" w:color="auto"/>
              <w:bottom w:val="single" w:sz="4" w:space="0" w:color="auto"/>
              <w:right w:val="single" w:sz="4" w:space="0" w:color="auto"/>
            </w:tcBorders>
          </w:tcPr>
          <w:p w:rsidR="003C10A1" w:rsidRPr="007E7D07" w:rsidRDefault="003C10A1" w:rsidP="004D6191">
            <w:pPr>
              <w:pStyle w:val="ListParagraph"/>
              <w:numPr>
                <w:ilvl w:val="0"/>
                <w:numId w:val="2"/>
              </w:numPr>
              <w:ind w:left="318" w:hanging="284"/>
              <w:rPr>
                <w:rFonts w:cs="Arial"/>
                <w:color w:val="000000" w:themeColor="text1"/>
              </w:rPr>
            </w:pPr>
            <w:r w:rsidRPr="007E7D07">
              <w:rPr>
                <w:rFonts w:cs="Arial"/>
                <w:color w:val="000000" w:themeColor="text1"/>
              </w:rPr>
              <w:t>Titel sollte lauten: „Zyklischer Anbau von Sorten aus der Sortensammlung zur Verringerung der Größe von Anbauprüfungen“</w:t>
            </w:r>
          </w:p>
          <w:p w:rsidR="003C10A1" w:rsidRPr="00256F63" w:rsidRDefault="003C10A1" w:rsidP="004D6191">
            <w:pPr>
              <w:pStyle w:val="ListParagraph"/>
              <w:numPr>
                <w:ilvl w:val="0"/>
                <w:numId w:val="2"/>
              </w:numPr>
              <w:tabs>
                <w:tab w:val="left" w:pos="992"/>
              </w:tabs>
              <w:ind w:left="318" w:right="567" w:hanging="284"/>
            </w:pPr>
            <w:r w:rsidRPr="007E7D07">
              <w:rPr>
                <w:rFonts w:cs="Arial"/>
                <w:color w:val="000000" w:themeColor="text1"/>
              </w:rPr>
              <w:t>Absatz 1.1 sollte lauten: „Der zyklische Anbau von Sorten aus der Sortensammlung (etablierte Sorten) zur Verringerung der Größe von Anbauprüfungen ist bei Anbauprüfungen zweckmäßig, bei denen:“</w:t>
            </w:r>
            <w:r w:rsidRPr="00256F63">
              <w:t xml:space="preserve"> </w:t>
            </w:r>
          </w:p>
          <w:p w:rsidR="003C10A1" w:rsidRPr="007E7D07" w:rsidRDefault="003C10A1" w:rsidP="004D6191">
            <w:pPr>
              <w:pStyle w:val="ListParagraph"/>
              <w:numPr>
                <w:ilvl w:val="0"/>
                <w:numId w:val="2"/>
              </w:numPr>
              <w:ind w:left="318" w:hanging="284"/>
              <w:rPr>
                <w:rFonts w:cs="Arial"/>
                <w:color w:val="000000" w:themeColor="text1"/>
              </w:rPr>
            </w:pPr>
            <w:r>
              <w:rPr>
                <w:rFonts w:cs="Arial"/>
                <w:color w:val="000000" w:themeColor="text1"/>
              </w:rPr>
              <w:t>e</w:t>
            </w:r>
            <w:r w:rsidRPr="007E7D07">
              <w:rPr>
                <w:rFonts w:cs="Arial"/>
                <w:color w:val="000000" w:themeColor="text1"/>
              </w:rPr>
              <w:t>inen letzten Aufzählungspunkt in Absatz 1.1 einfügen: „in der Regel werden drei unabhängige Wachstumsperioden angebaut. Die nachstehende Anleitung ist für diesen Fall bestimmt. Sie kann jedoch auch für Pflanzen angepaßt werden, für die in der Regel zwei unabhängige Wachstumsperioden angebaut werden.“</w:t>
            </w:r>
          </w:p>
          <w:p w:rsidR="003C10A1" w:rsidRDefault="003C10A1" w:rsidP="004D6191">
            <w:pPr>
              <w:pStyle w:val="ListParagraph"/>
              <w:numPr>
                <w:ilvl w:val="0"/>
                <w:numId w:val="2"/>
              </w:numPr>
              <w:ind w:left="318" w:hanging="284"/>
              <w:rPr>
                <w:rFonts w:cs="Arial"/>
                <w:color w:val="000000" w:themeColor="text1"/>
              </w:rPr>
            </w:pPr>
            <w:r w:rsidRPr="007E7D07">
              <w:rPr>
                <w:rFonts w:cs="Arial"/>
                <w:color w:val="000000" w:themeColor="text1"/>
              </w:rPr>
              <w:t>Der letzte Satz des zweiten Absatzes in 1.2 sollte lauten</w:t>
            </w:r>
            <w:r>
              <w:rPr>
                <w:rFonts w:cs="Arial"/>
                <w:color w:val="000000" w:themeColor="text1"/>
              </w:rPr>
              <w:t>: „Wird eine Sorte nach der DUS-</w:t>
            </w:r>
            <w:r w:rsidRPr="007E7D07">
              <w:rPr>
                <w:rFonts w:cs="Arial"/>
                <w:color w:val="000000" w:themeColor="text1"/>
              </w:rPr>
              <w:t xml:space="preserve">Prüfung in die Sortensammlung aufgenommen, wird sie einer Serie zugeordnet und zyklisch jedes dritte Jahr von der Anbauprüfung ausgenommen.“ </w:t>
            </w:r>
          </w:p>
          <w:p w:rsidR="003C10A1" w:rsidRPr="007E7D07" w:rsidRDefault="003C10A1" w:rsidP="004D6191">
            <w:pPr>
              <w:pStyle w:val="ListParagraph"/>
              <w:numPr>
                <w:ilvl w:val="0"/>
                <w:numId w:val="2"/>
              </w:numPr>
              <w:ind w:left="318" w:hanging="284"/>
              <w:rPr>
                <w:rFonts w:cs="Arial"/>
                <w:color w:val="000000" w:themeColor="text1"/>
              </w:rPr>
            </w:pPr>
            <w:r w:rsidRPr="007E7D07">
              <w:rPr>
                <w:rFonts w:cs="Arial"/>
                <w:color w:val="000000" w:themeColor="text1"/>
              </w:rPr>
              <w:lastRenderedPageBreak/>
              <w:t>Die Sätze 5 und 6 in Absatz 1.3 sollten lauten: „Aufgrund einer möglichen Verzögerung zwischen der abschließenden DUS-Prüfung und der Entscheidung über den Antrag verbleiben die Kandidatensorten nach der dreijährigen Prüfungsperiode noch ein weiteres viertes Jahr in der Anbauprüfung. Wird eine positive Entscheidung getroffen, werden sie zu einer etablierten Sorte und nehmen am zyklischen Anbausystem teil.“</w:t>
            </w:r>
          </w:p>
          <w:p w:rsidR="003C10A1" w:rsidRPr="00B0006E" w:rsidRDefault="003C10A1" w:rsidP="004D6191">
            <w:pPr>
              <w:pStyle w:val="ListParagraph"/>
              <w:numPr>
                <w:ilvl w:val="0"/>
                <w:numId w:val="2"/>
              </w:numPr>
              <w:ind w:left="318" w:hanging="284"/>
              <w:rPr>
                <w:rFonts w:cs="Arial"/>
                <w:color w:val="000000" w:themeColor="text1"/>
              </w:rPr>
            </w:pPr>
            <w:r w:rsidRPr="007E7D07">
              <w:t>Der erste Satz in der Anmerkung in Absatz 1.4 sollte lauten: „Anmerkung: Wird die Software DUSTNT benutzt, so kann erreicht werden, daß eine Sorte als fehlend angezeigt wird, indem die Sorte aus der ‚E-Datei‘ entfernt wird.“</w:t>
            </w:r>
            <w:r w:rsidRPr="00B0006E">
              <w:t xml:space="preserve">  </w:t>
            </w:r>
          </w:p>
          <w:p w:rsidR="003C10A1" w:rsidRPr="007E7D07" w:rsidRDefault="003C10A1" w:rsidP="004D6191">
            <w:pPr>
              <w:pStyle w:val="ListParagraph"/>
              <w:numPr>
                <w:ilvl w:val="0"/>
                <w:numId w:val="2"/>
              </w:numPr>
              <w:ind w:left="318" w:hanging="284"/>
              <w:rPr>
                <w:rFonts w:cs="Arial"/>
                <w:color w:val="000000" w:themeColor="text1"/>
              </w:rPr>
            </w:pPr>
            <w:r w:rsidRPr="007E7D07">
              <w:t>In Absatz 4.2.1 ist der zusätzliche Bindestrich in „t-–test“ zu streichen [nur im englischen Text]</w:t>
            </w:r>
          </w:p>
        </w:tc>
      </w:tr>
    </w:tbl>
    <w:p w:rsidR="003C10A1" w:rsidRPr="007E7D07" w:rsidRDefault="003C10A1" w:rsidP="003C10A1">
      <w:pPr>
        <w:ind w:firstLine="567"/>
      </w:pPr>
    </w:p>
    <w:p w:rsidR="00F046AC" w:rsidRDefault="00F046AC" w:rsidP="00F046AC">
      <w:pPr>
        <w:ind w:firstLine="567"/>
      </w:pPr>
    </w:p>
    <w:p w:rsidR="008C53E4" w:rsidRPr="008B06DA" w:rsidRDefault="00F046AC" w:rsidP="008C53E4">
      <w:r w:rsidRPr="009F0871">
        <w:fldChar w:fldCharType="begin"/>
      </w:r>
      <w:r w:rsidRPr="009F0871">
        <w:instrText xml:space="preserve"> AUTONUM  </w:instrText>
      </w:r>
      <w:r w:rsidRPr="009F0871">
        <w:fldChar w:fldCharType="end"/>
      </w:r>
      <w:r>
        <w:tab/>
      </w:r>
      <w:r w:rsidR="008C53E4">
        <w:t xml:space="preserve">Der TC </w:t>
      </w:r>
      <w:r w:rsidR="008C53E4" w:rsidRPr="008B06DA">
        <w:t xml:space="preserve">nahm zur Kenntnis, daß die Übersetzungen des englischen Originalwortlauts ins Deutsche, Französische und Spanische vor der Vorlage des Entwurfs </w:t>
      </w:r>
      <w:r w:rsidR="008C53E4">
        <w:t xml:space="preserve">von TGP-Dokumenten, die dem </w:t>
      </w:r>
      <w:r w:rsidR="008C53E4" w:rsidRPr="008B06DA">
        <w:t>Rat</w:t>
      </w:r>
      <w:r w:rsidR="008C53E4">
        <w:t xml:space="preserve"> auf seiner achtundvierzigsten ordentlichen Tagung zur Annahme vorgelegt werden, </w:t>
      </w:r>
      <w:r w:rsidR="008C53E4" w:rsidRPr="008B06DA">
        <w:t>von den entsprechenden Mitgliedern des Redaktionsausschusses</w:t>
      </w:r>
      <w:r w:rsidR="008C53E4">
        <w:t xml:space="preserve"> geprüft werden würden </w:t>
      </w:r>
      <w:r w:rsidR="008C53E4" w:rsidRPr="00C12FE3">
        <w:t>(vergleiche Dokument TC/50/35 „Bericht über die Entschließungen“, Absatz 38).</w:t>
      </w:r>
    </w:p>
    <w:p w:rsidR="008C53E4" w:rsidRPr="00071E96" w:rsidRDefault="008C53E4" w:rsidP="008C53E4">
      <w:pPr>
        <w:ind w:firstLine="567"/>
      </w:pPr>
    </w:p>
    <w:p w:rsidR="00F046AC" w:rsidRPr="00C12FE3" w:rsidRDefault="008C53E4" w:rsidP="00C12FE3">
      <w:pPr>
        <w:ind w:left="567"/>
      </w:pPr>
      <w:bookmarkStart w:id="73" w:name="_Toc374385116"/>
      <w:bookmarkStart w:id="74" w:name="_Toc374631053"/>
      <w:bookmarkStart w:id="75" w:name="_Toc374632525"/>
      <w:bookmarkStart w:id="76" w:name="_Toc374635725"/>
      <w:bookmarkStart w:id="77" w:name="_Toc378251514"/>
      <w:bookmarkStart w:id="78" w:name="_Toc381279975"/>
      <w:r w:rsidRPr="00C12FE3">
        <w:t>Überarbeitung von Dokument TGP/8: Teil II: Abschnitt 10: </w:t>
      </w:r>
      <w:bookmarkEnd w:id="73"/>
      <w:bookmarkEnd w:id="74"/>
      <w:bookmarkEnd w:id="75"/>
      <w:bookmarkEnd w:id="76"/>
      <w:bookmarkEnd w:id="77"/>
      <w:bookmarkEnd w:id="78"/>
      <w:r w:rsidRPr="00C12FE3">
        <w:t>Prüfung der Homogenität anhand von Verfahren der relativen Varianz</w:t>
      </w:r>
    </w:p>
    <w:p w:rsidR="00F046AC" w:rsidRDefault="00F046AC" w:rsidP="00F046AC">
      <w:pPr>
        <w:keepNext/>
      </w:pPr>
    </w:p>
    <w:p w:rsidR="00F046AC" w:rsidRDefault="00F046AC" w:rsidP="00F046AC">
      <w:r>
        <w:fldChar w:fldCharType="begin"/>
      </w:r>
      <w:r>
        <w:instrText xml:space="preserve"> AUTONUM  </w:instrText>
      </w:r>
      <w:r>
        <w:fldChar w:fldCharType="end"/>
      </w:r>
      <w:r>
        <w:tab/>
      </w:r>
      <w:r w:rsidR="008C53E4" w:rsidRPr="00B0006E">
        <w:t xml:space="preserve">Der TC prüfte Dokument TC/50/23 und </w:t>
      </w:r>
      <w:r w:rsidR="008C53E4">
        <w:t>stimmte</w:t>
      </w:r>
      <w:r w:rsidR="008C53E4" w:rsidRPr="00B0006E">
        <w:t xml:space="preserve"> </w:t>
      </w:r>
      <w:r w:rsidR="008C53E4">
        <w:t>der vorgeschlagenen</w:t>
      </w:r>
      <w:r w:rsidR="008C53E4" w:rsidRPr="00B0006E">
        <w:t xml:space="preserve"> Überarbeitung von Dokument TGP/8, Abschnitt 10</w:t>
      </w:r>
      <w:r w:rsidR="008C53E4">
        <w:t>, zu</w:t>
      </w:r>
      <w:r w:rsidR="008C53E4" w:rsidRPr="00B0006E">
        <w:t xml:space="preserve">: </w:t>
      </w:r>
      <w:r w:rsidR="008C53E4">
        <w:t>„</w:t>
      </w:r>
      <w:r w:rsidR="008C53E4" w:rsidRPr="00B0006E">
        <w:t>Prüfung der Homogenität anhand von Verfahren der relativen Varianz</w:t>
      </w:r>
      <w:r w:rsidR="008C53E4">
        <w:t>“</w:t>
      </w:r>
      <w:r w:rsidR="008C53E4" w:rsidRPr="00B0006E">
        <w:t xml:space="preserve">, </w:t>
      </w:r>
      <w:r w:rsidR="008C53E4">
        <w:t xml:space="preserve">wie in </w:t>
      </w:r>
      <w:r w:rsidR="008C53E4" w:rsidRPr="00B0006E">
        <w:t xml:space="preserve">Dokument TC/50/23, </w:t>
      </w:r>
      <w:r w:rsidR="008C53E4">
        <w:t>Anlage</w:t>
      </w:r>
      <w:r w:rsidR="008C53E4" w:rsidRPr="00B0006E">
        <w:t xml:space="preserve"> II</w:t>
      </w:r>
      <w:r w:rsidR="008C53E4">
        <w:t>, dargelegt</w:t>
      </w:r>
      <w:r w:rsidR="008C53E4" w:rsidRPr="00B0006E">
        <w:t>.</w:t>
      </w:r>
    </w:p>
    <w:p w:rsidR="00F046AC" w:rsidRPr="00290F6F" w:rsidRDefault="00F046AC" w:rsidP="00F046AC">
      <w:pPr>
        <w:keepNext/>
      </w:pPr>
    </w:p>
    <w:p w:rsidR="00F046AC" w:rsidRPr="00D10589" w:rsidRDefault="00F046AC" w:rsidP="00EE0613">
      <w:pPr>
        <w:pStyle w:val="Heading4"/>
      </w:pPr>
      <w:bookmarkStart w:id="79" w:name="_Toc374631056"/>
      <w:bookmarkStart w:id="80" w:name="_Toc374632528"/>
      <w:bookmarkStart w:id="81" w:name="_Toc374635728"/>
      <w:bookmarkStart w:id="82" w:name="_Toc378251515"/>
      <w:bookmarkStart w:id="83" w:name="_Toc381279976"/>
      <w:r>
        <w:t xml:space="preserve">TGP/14:  </w:t>
      </w:r>
      <w:bookmarkEnd w:id="79"/>
      <w:bookmarkEnd w:id="80"/>
      <w:bookmarkEnd w:id="81"/>
      <w:bookmarkEnd w:id="82"/>
      <w:bookmarkEnd w:id="83"/>
      <w:r w:rsidR="008C53E4" w:rsidRPr="00B0006E">
        <w:t>Glossar der in den UPOV-Dokumenten verwendeten Begriffe - Berichtigung (Spanisch)</w:t>
      </w:r>
    </w:p>
    <w:p w:rsidR="00F046AC" w:rsidRPr="00290F6F" w:rsidRDefault="00F046AC" w:rsidP="00F046AC">
      <w:pPr>
        <w:keepNext/>
      </w:pPr>
    </w:p>
    <w:p w:rsidR="008C53E4" w:rsidRPr="008C53E4" w:rsidRDefault="00F046AC" w:rsidP="008C53E4">
      <w:pPr>
        <w:rPr>
          <w:lang w:eastAsia="en-US" w:bidi="ar-SA"/>
        </w:rPr>
      </w:pPr>
      <w:r w:rsidRPr="00290F6F">
        <w:fldChar w:fldCharType="begin"/>
      </w:r>
      <w:r w:rsidRPr="00290F6F">
        <w:instrText xml:space="preserve"> AUTONUM  </w:instrText>
      </w:r>
      <w:r w:rsidRPr="00290F6F">
        <w:fldChar w:fldCharType="end"/>
      </w:r>
      <w:r>
        <w:tab/>
      </w:r>
      <w:r w:rsidR="008C53E4" w:rsidRPr="008C53E4">
        <w:rPr>
          <w:lang w:eastAsia="en-US" w:bidi="ar-SA"/>
        </w:rPr>
        <w:t>Der TC nahm die Berichtigung der spanischen Fassung von Dokument TGP/14: Abschnitt 2: Unterabschnitt 3: Farbe, Absatz 2.2.2, wie in Dokument TC/50/5, Absatz 22, dargelegt, zur Kenntnis.</w:t>
      </w:r>
    </w:p>
    <w:p w:rsidR="008C53E4" w:rsidRPr="008C53E4" w:rsidRDefault="008C53E4" w:rsidP="008C53E4">
      <w:pPr>
        <w:keepNext/>
        <w:rPr>
          <w:lang w:eastAsia="en-US" w:bidi="ar-SA"/>
        </w:rPr>
      </w:pPr>
    </w:p>
    <w:p w:rsidR="008C53E4" w:rsidRPr="008C53E4" w:rsidRDefault="008C53E4" w:rsidP="008C53E4">
      <w:pPr>
        <w:keepNext/>
        <w:outlineLvl w:val="1"/>
        <w:rPr>
          <w:rFonts w:eastAsia="MS Mincho"/>
          <w:i/>
          <w:lang w:eastAsia="en-US" w:bidi="ar-SA"/>
        </w:rPr>
      </w:pPr>
      <w:bookmarkStart w:id="84" w:name="_Toc395605380"/>
      <w:bookmarkStart w:id="85" w:name="_Toc378251517"/>
      <w:bookmarkStart w:id="86" w:name="_Toc381279978"/>
      <w:r w:rsidRPr="008C53E4">
        <w:rPr>
          <w:rFonts w:eastAsia="MS Mincho"/>
          <w:i/>
          <w:lang w:eastAsia="en-US" w:bidi="ar-SA"/>
        </w:rPr>
        <w:t>Künftige Überarbeitung von vom TC bereits gebilligten TGP-Dokumenten</w:t>
      </w:r>
      <w:bookmarkEnd w:id="84"/>
      <w:r w:rsidRPr="008C53E4">
        <w:rPr>
          <w:rFonts w:eastAsia="MS Mincho"/>
          <w:i/>
          <w:lang w:eastAsia="en-US" w:bidi="ar-SA"/>
        </w:rPr>
        <w:t xml:space="preserve"> </w:t>
      </w:r>
      <w:bookmarkEnd w:id="85"/>
      <w:bookmarkEnd w:id="86"/>
    </w:p>
    <w:p w:rsidR="00F046AC" w:rsidRDefault="00F046AC" w:rsidP="008C53E4"/>
    <w:p w:rsidR="00F046AC" w:rsidRDefault="00F046AC" w:rsidP="00F046AC">
      <w:pPr>
        <w:keepNext/>
      </w:pPr>
    </w:p>
    <w:p w:rsidR="00F046AC" w:rsidRPr="00D10589" w:rsidRDefault="00F046AC" w:rsidP="00785424">
      <w:pPr>
        <w:pStyle w:val="Heading4"/>
      </w:pPr>
      <w:bookmarkStart w:id="87" w:name="_Toc352678055"/>
      <w:bookmarkStart w:id="88" w:name="_Toc353797737"/>
      <w:bookmarkStart w:id="89" w:name="_Toc374385118"/>
      <w:bookmarkStart w:id="90" w:name="_Toc374631055"/>
      <w:bookmarkStart w:id="91" w:name="_Toc374632527"/>
      <w:bookmarkStart w:id="92" w:name="_Toc374635727"/>
      <w:bookmarkStart w:id="93" w:name="_Toc378079621"/>
      <w:bookmarkStart w:id="94" w:name="_Toc378251518"/>
      <w:bookmarkStart w:id="95" w:name="_Toc381279979"/>
      <w:r>
        <w:t xml:space="preserve">TGP/9:  </w:t>
      </w:r>
      <w:r w:rsidR="008C53E4" w:rsidRPr="00946CB9">
        <w:t>Prüfung der Unterscheidbarkeit</w:t>
      </w:r>
      <w:r w:rsidR="008C53E4">
        <w:t xml:space="preserve"> </w:t>
      </w:r>
      <w:bookmarkEnd w:id="87"/>
      <w:bookmarkEnd w:id="88"/>
      <w:bookmarkEnd w:id="89"/>
      <w:bookmarkEnd w:id="90"/>
      <w:bookmarkEnd w:id="91"/>
      <w:bookmarkEnd w:id="92"/>
      <w:bookmarkEnd w:id="93"/>
      <w:bookmarkEnd w:id="94"/>
      <w:bookmarkEnd w:id="95"/>
    </w:p>
    <w:p w:rsidR="00F046AC" w:rsidRPr="00290F6F" w:rsidRDefault="00F046AC" w:rsidP="00F046AC">
      <w:pPr>
        <w:keepNext/>
      </w:pPr>
    </w:p>
    <w:p w:rsidR="00F046AC" w:rsidRDefault="00F046AC" w:rsidP="00F046AC">
      <w:r w:rsidRPr="00290F6F">
        <w:fldChar w:fldCharType="begin"/>
      </w:r>
      <w:r w:rsidRPr="00290F6F">
        <w:instrText xml:space="preserve"> AUTONUM  </w:instrText>
      </w:r>
      <w:r w:rsidRPr="00290F6F">
        <w:fldChar w:fldCharType="end"/>
      </w:r>
      <w:r>
        <w:tab/>
      </w:r>
      <w:r w:rsidR="008C53E4" w:rsidRPr="00946CB9">
        <w:t xml:space="preserve">Der TC </w:t>
      </w:r>
      <w:r w:rsidR="008C53E4">
        <w:t>nahm die vom TC bereits gebilligten Ü</w:t>
      </w:r>
      <w:r w:rsidR="008C53E4" w:rsidRPr="00946CB9">
        <w:t>berarbeitungen</w:t>
      </w:r>
      <w:r w:rsidR="008C53E4">
        <w:t xml:space="preserve"> von </w:t>
      </w:r>
      <w:r w:rsidR="008C53E4" w:rsidRPr="00946CB9">
        <w:t xml:space="preserve">Dokument TGP/9, </w:t>
      </w:r>
      <w:r w:rsidR="008C53E4">
        <w:t xml:space="preserve">wie in </w:t>
      </w:r>
      <w:r w:rsidR="008C53E4" w:rsidRPr="00946CB9">
        <w:t>Dokument TC/50/5, Anlage III</w:t>
      </w:r>
      <w:r w:rsidR="008C53E4">
        <w:t>, dargelegt, zur Kenntnis</w:t>
      </w:r>
      <w:r>
        <w:t>.</w:t>
      </w:r>
    </w:p>
    <w:p w:rsidR="00F046AC" w:rsidRDefault="00F046AC" w:rsidP="00F046AC"/>
    <w:p w:rsidR="00F046AC" w:rsidRDefault="00F046AC" w:rsidP="00F046AC">
      <w:pPr>
        <w:rPr>
          <w:i/>
        </w:rPr>
      </w:pPr>
      <w:r>
        <w:fldChar w:fldCharType="begin"/>
      </w:r>
      <w:r>
        <w:instrText xml:space="preserve"> AUTONUM  </w:instrText>
      </w:r>
      <w:r>
        <w:fldChar w:fldCharType="end"/>
      </w:r>
      <w:r>
        <w:tab/>
      </w:r>
      <w:r w:rsidR="008C53E4" w:rsidRPr="00D41F10">
        <w:t xml:space="preserve">Der TC vereinbarte, </w:t>
      </w:r>
      <w:r w:rsidR="008C53E4">
        <w:t>einen</w:t>
      </w:r>
      <w:r w:rsidR="008C53E4" w:rsidRPr="00D41F10">
        <w:t xml:space="preserve"> Sachverständige</w:t>
      </w:r>
      <w:r w:rsidR="008C53E4">
        <w:t>n</w:t>
      </w:r>
      <w:r w:rsidR="008C53E4" w:rsidRPr="00D41F10">
        <w:t xml:space="preserve"> </w:t>
      </w:r>
      <w:r w:rsidR="008C53E4">
        <w:t>aus Deutschland</w:t>
      </w:r>
      <w:r w:rsidR="008C53E4" w:rsidRPr="00D41F10">
        <w:t xml:space="preserve"> </w:t>
      </w:r>
      <w:r w:rsidR="008C53E4">
        <w:t xml:space="preserve">zu ersuchen, Anleitung zur </w:t>
      </w:r>
      <w:r w:rsidR="008C53E4" w:rsidRPr="00D41F10">
        <w:t xml:space="preserve">Verwendung </w:t>
      </w:r>
      <w:r w:rsidR="008C53E4">
        <w:t xml:space="preserve">von </w:t>
      </w:r>
      <w:r w:rsidR="008C53E4" w:rsidRPr="00D41F10">
        <w:t xml:space="preserve">Fotoaufnahmen für </w:t>
      </w:r>
      <w:r w:rsidR="008C53E4">
        <w:t>die Analyse</w:t>
      </w:r>
      <w:r w:rsidR="008C53E4" w:rsidRPr="00D41F10">
        <w:t xml:space="preserve"> </w:t>
      </w:r>
      <w:r w:rsidR="008C53E4">
        <w:t>der</w:t>
      </w:r>
      <w:r w:rsidR="008C53E4" w:rsidRPr="00D41F10">
        <w:t xml:space="preserve"> </w:t>
      </w:r>
      <w:r w:rsidR="008C53E4">
        <w:t>Unterscheidbarkeit</w:t>
      </w:r>
      <w:r w:rsidR="008C53E4" w:rsidRPr="00D41F10">
        <w:t xml:space="preserve"> </w:t>
      </w:r>
      <w:r w:rsidR="008C53E4">
        <w:t>zur Aufnahme</w:t>
      </w:r>
      <w:r w:rsidR="008C53E4" w:rsidRPr="00D41F10">
        <w:t xml:space="preserve"> in Dokument TGP/9</w:t>
      </w:r>
      <w:r w:rsidR="008C53E4">
        <w:t xml:space="preserve"> auszuarbeiten</w:t>
      </w:r>
      <w:r w:rsidR="008C53E4" w:rsidRPr="00D41F10">
        <w:t xml:space="preserve">. </w:t>
      </w:r>
      <w:r w:rsidR="008C53E4">
        <w:t xml:space="preserve">Die neue </w:t>
      </w:r>
      <w:r w:rsidR="008C53E4" w:rsidRPr="0065717A">
        <w:t xml:space="preserve">Anleitung </w:t>
      </w:r>
      <w:r w:rsidR="008C53E4">
        <w:t>würde auf die</w:t>
      </w:r>
      <w:r w:rsidR="008C53E4" w:rsidRPr="0065717A">
        <w:t xml:space="preserve"> </w:t>
      </w:r>
      <w:r w:rsidR="008C53E4">
        <w:t>vollständige</w:t>
      </w:r>
      <w:r w:rsidR="008C53E4" w:rsidRPr="0065717A">
        <w:t xml:space="preserve"> Anleitung </w:t>
      </w:r>
      <w:r w:rsidR="008C53E4">
        <w:t xml:space="preserve">verweisen, die </w:t>
      </w:r>
      <w:r w:rsidR="008C53E4" w:rsidRPr="0065717A">
        <w:t>in TGP/7</w:t>
      </w:r>
      <w:r w:rsidR="008C53E4">
        <w:t xml:space="preserve"> verfügbar ist</w:t>
      </w:r>
      <w:r w:rsidR="008C53E4" w:rsidRPr="0065717A">
        <w:t>.</w:t>
      </w:r>
    </w:p>
    <w:p w:rsidR="00F046AC" w:rsidRDefault="00F046AC" w:rsidP="00F046AC">
      <w:pPr>
        <w:spacing w:line="360" w:lineRule="auto"/>
      </w:pPr>
    </w:p>
    <w:p w:rsidR="008C53E4" w:rsidRPr="008C53E4" w:rsidRDefault="008C53E4" w:rsidP="008C53E4">
      <w:pPr>
        <w:keepNext/>
        <w:outlineLvl w:val="1"/>
        <w:rPr>
          <w:rFonts w:eastAsia="MS Mincho"/>
          <w:i/>
          <w:lang w:eastAsia="en-US" w:bidi="ar-SA"/>
        </w:rPr>
      </w:pPr>
      <w:bookmarkStart w:id="96" w:name="_Toc395605381"/>
      <w:bookmarkStart w:id="97" w:name="_Toc378251519"/>
      <w:bookmarkStart w:id="98" w:name="_Toc381279980"/>
      <w:bookmarkStart w:id="99" w:name="_Toc393187150"/>
      <w:r w:rsidRPr="008C53E4">
        <w:rPr>
          <w:rFonts w:eastAsia="MS Mincho"/>
          <w:i/>
          <w:lang w:eastAsia="en-US" w:bidi="ar-SA"/>
        </w:rPr>
        <w:t>Künftige Überarbeitungen, die in Ausarbeitung begriffen sind</w:t>
      </w:r>
      <w:bookmarkEnd w:id="96"/>
    </w:p>
    <w:bookmarkEnd w:id="97"/>
    <w:bookmarkEnd w:id="98"/>
    <w:bookmarkEnd w:id="99"/>
    <w:p w:rsidR="00F046AC" w:rsidRPr="00D34190" w:rsidRDefault="00F046AC" w:rsidP="00F046AC"/>
    <w:p w:rsidR="00F046AC" w:rsidRPr="00D10589" w:rsidRDefault="00F046AC" w:rsidP="00785424">
      <w:pPr>
        <w:pStyle w:val="Heading4"/>
      </w:pPr>
      <w:bookmarkStart w:id="100" w:name="_Toc352678059"/>
      <w:bookmarkStart w:id="101" w:name="_Toc353797740"/>
      <w:bookmarkStart w:id="102" w:name="_Toc374385120"/>
      <w:bookmarkStart w:id="103" w:name="_Toc374631058"/>
      <w:bookmarkStart w:id="104" w:name="_Toc374632530"/>
      <w:bookmarkStart w:id="105" w:name="_Toc374635730"/>
      <w:bookmarkStart w:id="106" w:name="_Toc378251520"/>
      <w:bookmarkStart w:id="107" w:name="_Toc381279981"/>
      <w:r>
        <w:t xml:space="preserve">TGP/7:  </w:t>
      </w:r>
      <w:bookmarkEnd w:id="100"/>
      <w:bookmarkEnd w:id="101"/>
      <w:bookmarkEnd w:id="102"/>
      <w:bookmarkEnd w:id="103"/>
      <w:bookmarkEnd w:id="104"/>
      <w:bookmarkEnd w:id="105"/>
      <w:bookmarkEnd w:id="106"/>
      <w:bookmarkEnd w:id="107"/>
      <w:r w:rsidR="008C53E4" w:rsidRPr="00163DB6">
        <w:t>Erstellung von Prüfungsrichtlinien</w:t>
      </w:r>
    </w:p>
    <w:p w:rsidR="00F046AC" w:rsidRPr="00290F6F" w:rsidRDefault="00F046AC" w:rsidP="00F046AC">
      <w:pPr>
        <w:keepNext/>
      </w:pPr>
    </w:p>
    <w:p w:rsidR="008C53E4" w:rsidRPr="008C53E4" w:rsidRDefault="008C53E4" w:rsidP="008C53E4">
      <w:pPr>
        <w:keepNext/>
        <w:ind w:left="567"/>
        <w:rPr>
          <w:sz w:val="18"/>
          <w:szCs w:val="18"/>
        </w:rPr>
      </w:pPr>
      <w:bookmarkStart w:id="108" w:name="_Toc374385121"/>
      <w:bookmarkStart w:id="109" w:name="_Toc374631059"/>
      <w:bookmarkStart w:id="110" w:name="_Toc374632531"/>
      <w:bookmarkStart w:id="111" w:name="_Toc374635731"/>
      <w:bookmarkStart w:id="112" w:name="_Toc378251521"/>
      <w:bookmarkStart w:id="113" w:name="_Toc381279982"/>
      <w:r w:rsidRPr="008C53E4">
        <w:rPr>
          <w:sz w:val="18"/>
          <w:szCs w:val="18"/>
        </w:rPr>
        <w:t>Überarbeitung von Dokument TGP/7: Ursprung von Vermehrungsmaterial</w:t>
      </w:r>
    </w:p>
    <w:bookmarkEnd w:id="108"/>
    <w:bookmarkEnd w:id="109"/>
    <w:bookmarkEnd w:id="110"/>
    <w:bookmarkEnd w:id="111"/>
    <w:bookmarkEnd w:id="112"/>
    <w:bookmarkEnd w:id="113"/>
    <w:p w:rsidR="00F046AC" w:rsidRDefault="00F046AC" w:rsidP="00F046AC">
      <w:pPr>
        <w:keepNext/>
      </w:pPr>
    </w:p>
    <w:p w:rsidR="00F046AC" w:rsidRDefault="00F046AC" w:rsidP="00F046AC">
      <w:pPr>
        <w:keepNext/>
      </w:pPr>
      <w:r>
        <w:fldChar w:fldCharType="begin"/>
      </w:r>
      <w:r>
        <w:instrText xml:space="preserve"> AUTONUM  </w:instrText>
      </w:r>
      <w:r>
        <w:fldChar w:fldCharType="end"/>
      </w:r>
      <w:r w:rsidR="008C53E4">
        <w:tab/>
        <w:t xml:space="preserve">Der TC prüfte </w:t>
      </w:r>
      <w:r>
        <w:t>Dokument TC/50/17.</w:t>
      </w:r>
    </w:p>
    <w:p w:rsidR="00F046AC" w:rsidRDefault="00F046AC" w:rsidP="00F046AC">
      <w:pPr>
        <w:keepNext/>
      </w:pPr>
    </w:p>
    <w:p w:rsidR="00F046AC" w:rsidRDefault="00F046AC" w:rsidP="00F046AC">
      <w:r w:rsidRPr="00330930">
        <w:fldChar w:fldCharType="begin"/>
      </w:r>
      <w:r w:rsidRPr="00330930">
        <w:instrText xml:space="preserve"> AUTONUM  </w:instrText>
      </w:r>
      <w:r w:rsidRPr="00330930">
        <w:fldChar w:fldCharType="end"/>
      </w:r>
      <w:r>
        <w:tab/>
      </w:r>
      <w:r w:rsidR="008C53E4" w:rsidRPr="002D2108">
        <w:t xml:space="preserve">Der TC forderte Sachverständige auf, den </w:t>
      </w:r>
      <w:r w:rsidR="008C53E4">
        <w:t>TWP</w:t>
      </w:r>
      <w:r w:rsidR="008C53E4" w:rsidRPr="002D2108">
        <w:t xml:space="preserve"> auf ihren Tagungen im Jahr 2014 </w:t>
      </w:r>
      <w:r w:rsidR="008C53E4">
        <w:t xml:space="preserve">ihre </w:t>
      </w:r>
      <w:r w:rsidR="008C53E4" w:rsidRPr="002D2108">
        <w:t xml:space="preserve">Erfahrungen in bezug auf </w:t>
      </w:r>
      <w:r w:rsidR="008C53E4">
        <w:t>Pflanzenmaterial</w:t>
      </w:r>
      <w:r w:rsidR="008C53E4" w:rsidRPr="002D2108">
        <w:t xml:space="preserve"> </w:t>
      </w:r>
      <w:r w:rsidR="008C53E4">
        <w:t xml:space="preserve">zur Prüfung vorzulegen </w:t>
      </w:r>
      <w:r w:rsidR="008C53E4" w:rsidRPr="002D2108">
        <w:t>und und wie sie mit den Problemen, die sich ergeben könnten, verfahren sind,</w:t>
      </w:r>
      <w:r w:rsidR="008C53E4">
        <w:t xml:space="preserve"> die in </w:t>
      </w:r>
      <w:r w:rsidR="008C53E4" w:rsidRPr="002D2108">
        <w:t>Anleitung</w:t>
      </w:r>
      <w:r w:rsidR="008C53E4">
        <w:t xml:space="preserve"> umgesetzt werden könnten, die gute Praxis wiedergeben würden</w:t>
      </w:r>
      <w:r w:rsidR="008C53E4" w:rsidRPr="002D2108">
        <w:t>.</w:t>
      </w:r>
      <w:r w:rsidR="008C53E4">
        <w:t xml:space="preserve"> Der </w:t>
      </w:r>
      <w:r w:rsidR="008C53E4" w:rsidRPr="005F60DD">
        <w:t>Titel</w:t>
      </w:r>
      <w:r w:rsidR="008C53E4">
        <w:t xml:space="preserve"> des</w:t>
      </w:r>
      <w:r w:rsidR="008C53E4" w:rsidRPr="005F60DD">
        <w:t xml:space="preserve"> Dokument</w:t>
      </w:r>
      <w:r w:rsidR="008C53E4">
        <w:t>s sollte entsprechend geändert werden</w:t>
      </w:r>
      <w:r>
        <w:t xml:space="preserve">. </w:t>
      </w:r>
    </w:p>
    <w:p w:rsidR="00F046AC" w:rsidRDefault="00F046AC" w:rsidP="00F046AC"/>
    <w:p w:rsidR="00F046AC" w:rsidRPr="00D10589" w:rsidRDefault="00F046AC" w:rsidP="00785424">
      <w:pPr>
        <w:pStyle w:val="Heading4"/>
      </w:pPr>
      <w:bookmarkStart w:id="114" w:name="_Toc374385123"/>
      <w:bookmarkStart w:id="115" w:name="_Toc374631061"/>
      <w:bookmarkStart w:id="116" w:name="_Toc374632533"/>
      <w:bookmarkStart w:id="117" w:name="_Toc374635733"/>
      <w:bookmarkStart w:id="118" w:name="_Toc378251522"/>
      <w:bookmarkStart w:id="119" w:name="_Toc381279983"/>
      <w:r>
        <w:lastRenderedPageBreak/>
        <w:t xml:space="preserve">TGP/8:  </w:t>
      </w:r>
      <w:r w:rsidR="008C53E4" w:rsidRPr="005F60DD">
        <w:t>Prüfungsanlage und Verfahren für die Prüfung der Unterscheidbarkeit, der Homogenität und der Beständigkeit</w:t>
      </w:r>
      <w:bookmarkEnd w:id="114"/>
      <w:bookmarkEnd w:id="115"/>
      <w:bookmarkEnd w:id="116"/>
      <w:bookmarkEnd w:id="117"/>
      <w:bookmarkEnd w:id="118"/>
      <w:bookmarkEnd w:id="119"/>
    </w:p>
    <w:p w:rsidR="00F046AC" w:rsidRPr="00290F6F" w:rsidRDefault="00F046AC" w:rsidP="00F046AC">
      <w:pPr>
        <w:pStyle w:val="Heading2"/>
      </w:pPr>
    </w:p>
    <w:p w:rsidR="00F046AC" w:rsidRPr="008C53E4" w:rsidRDefault="00F046AC" w:rsidP="00785424">
      <w:pPr>
        <w:pStyle w:val="Heading5"/>
      </w:pPr>
      <w:bookmarkStart w:id="120" w:name="_Toc374385124"/>
      <w:bookmarkStart w:id="121" w:name="_Toc374631062"/>
      <w:bookmarkStart w:id="122" w:name="_Toc374632534"/>
      <w:bookmarkStart w:id="123" w:name="_Toc374635734"/>
      <w:bookmarkStart w:id="124" w:name="_Toc378251523"/>
      <w:bookmarkStart w:id="125" w:name="_Toc381279984"/>
      <w:r>
        <w:t>i)</w:t>
      </w:r>
      <w:r>
        <w:tab/>
        <w:t>Überarbeitung von Dok</w:t>
      </w:r>
      <w:r w:rsidR="008C53E4">
        <w:t>ument TGP/8: Teil I: Neuer Abschnitt</w:t>
      </w:r>
      <w:r>
        <w:t xml:space="preserve">: </w:t>
      </w:r>
      <w:bookmarkEnd w:id="120"/>
      <w:bookmarkEnd w:id="121"/>
      <w:bookmarkEnd w:id="122"/>
      <w:bookmarkEnd w:id="123"/>
      <w:bookmarkEnd w:id="124"/>
      <w:bookmarkEnd w:id="125"/>
      <w:r w:rsidR="008C53E4" w:rsidRPr="008C53E4">
        <w:t>Neuer Abschnitt: Minimierung der Variation infolge verschiedener Erfasser</w:t>
      </w:r>
    </w:p>
    <w:p w:rsidR="00F046AC" w:rsidRDefault="00F046AC" w:rsidP="00F046AC">
      <w:pPr>
        <w:keepNext/>
        <w:rPr>
          <w:rFonts w:cs="Arial"/>
        </w:rPr>
      </w:pPr>
    </w:p>
    <w:p w:rsidR="00F046AC" w:rsidRDefault="00F046AC" w:rsidP="00F046AC">
      <w:pPr>
        <w:rPr>
          <w:rFonts w:cs="Arial"/>
        </w:rPr>
      </w:pPr>
      <w:r>
        <w:rPr>
          <w:rFonts w:cs="Arial"/>
        </w:rPr>
        <w:fldChar w:fldCharType="begin"/>
      </w:r>
      <w:r>
        <w:rPr>
          <w:rFonts w:cs="Arial"/>
        </w:rPr>
        <w:instrText xml:space="preserve"> AUTONUM  </w:instrText>
      </w:r>
      <w:r>
        <w:rPr>
          <w:rFonts w:cs="Arial"/>
        </w:rPr>
        <w:fldChar w:fldCharType="end"/>
      </w:r>
      <w:r w:rsidR="008C53E4">
        <w:tab/>
        <w:t xml:space="preserve">Der TC prüfte </w:t>
      </w:r>
      <w:r>
        <w:t>Dokument TC/50/21.</w:t>
      </w:r>
    </w:p>
    <w:p w:rsidR="00F046AC" w:rsidRDefault="00F046AC" w:rsidP="00F046AC">
      <w:pPr>
        <w:rPr>
          <w:rFonts w:cs="Arial"/>
        </w:rPr>
      </w:pPr>
    </w:p>
    <w:p w:rsidR="004D6191" w:rsidRPr="00914CCB" w:rsidRDefault="00F046AC" w:rsidP="004D6191">
      <w:r w:rsidRPr="008A668D">
        <w:fldChar w:fldCharType="begin"/>
      </w:r>
      <w:r w:rsidRPr="008A668D">
        <w:instrText xml:space="preserve"> AUTONUM  </w:instrText>
      </w:r>
      <w:r w:rsidRPr="008A668D">
        <w:fldChar w:fldCharType="end"/>
      </w:r>
      <w:r>
        <w:tab/>
      </w:r>
      <w:r w:rsidR="004D6191" w:rsidRPr="00914CCB">
        <w:t xml:space="preserve">Der TC nahm zur Kenntnis, daß die TWF </w:t>
      </w:r>
      <w:r w:rsidR="004D6191">
        <w:t>e</w:t>
      </w:r>
      <w:r w:rsidR="004D6191" w:rsidRPr="00914CCB">
        <w:t xml:space="preserve">inen Sachverständigen aus Neuseeland ersucht habe, auf ihrer Tagung im Jahr 2014 über die zuvor erstellte Arbeit über harmonisierte </w:t>
      </w:r>
      <w:r w:rsidR="004D6191">
        <w:t>Sortenbezeichnung</w:t>
      </w:r>
      <w:r w:rsidR="004D6191" w:rsidRPr="00914CCB">
        <w:t xml:space="preserve"> für Apfel für eine vereinbarte Sortenserie, wie in Dokument </w:t>
      </w:r>
      <w:r w:rsidR="004D6191">
        <w:t>TC/50/21</w:t>
      </w:r>
      <w:r w:rsidR="004D6191" w:rsidRPr="00914CCB">
        <w:t>, Absatz 17</w:t>
      </w:r>
      <w:r w:rsidR="004D6191">
        <w:t>,</w:t>
      </w:r>
      <w:r w:rsidR="004D6191" w:rsidRPr="00914CCB">
        <w:t xml:space="preserve"> zu berichten.</w:t>
      </w:r>
    </w:p>
    <w:p w:rsidR="004D6191" w:rsidRPr="00914CCB" w:rsidRDefault="004D6191" w:rsidP="004D6191"/>
    <w:p w:rsidR="004D6191" w:rsidRPr="00914CCB" w:rsidRDefault="004D6191" w:rsidP="004D6191">
      <w:r>
        <w:fldChar w:fldCharType="begin"/>
      </w:r>
      <w:r w:rsidRPr="00914CCB">
        <w:instrText xml:space="preserve"> AUTONUM  </w:instrText>
      </w:r>
      <w:r>
        <w:fldChar w:fldCharType="end"/>
      </w:r>
      <w:r w:rsidRPr="00914CCB">
        <w:tab/>
      </w:r>
      <w:r>
        <w:t>Der TC</w:t>
      </w:r>
      <w:r w:rsidRPr="00914CCB">
        <w:t xml:space="preserve"> </w:t>
      </w:r>
      <w:r>
        <w:t xml:space="preserve">ersuchte </w:t>
      </w:r>
      <w:r w:rsidRPr="00914CCB">
        <w:t>den Sachverständigen aus Australien, mit Unterstützung von Sachverständigen aus der Europäischen Union, Frankreich, Deutschland, den Niederlanden und dem Vereinigten Königreich</w:t>
      </w:r>
      <w:r>
        <w:t>,</w:t>
      </w:r>
      <w:r w:rsidRPr="00914CCB">
        <w:t xml:space="preserve"> einen Entwurf einer weiteren Anleitung zur Aufnahme in eine künftige Überarbeitung von Dokument TGP/8 über die Minimierung der Variation infolge verschiedener Erfasser, einschließlich einer Anleitung zu PQ- und QN/MG-</w:t>
      </w:r>
      <w:r>
        <w:t>Merkmalen</w:t>
      </w:r>
      <w:r w:rsidRPr="00914CCB">
        <w:t xml:space="preserve"> zur Prüfung durch die TWP auf ihren Tagungen im Jahr 2014</w:t>
      </w:r>
      <w:r>
        <w:t>,</w:t>
      </w:r>
      <w:r w:rsidRPr="00914CCB">
        <w:t xml:space="preserve"> zu verfassen.</w:t>
      </w:r>
    </w:p>
    <w:p w:rsidR="00F046AC" w:rsidRPr="00290F6F" w:rsidRDefault="00F046AC" w:rsidP="00F046AC">
      <w:pPr>
        <w:spacing w:line="360" w:lineRule="auto"/>
        <w:rPr>
          <w:rFonts w:cs="Arial"/>
        </w:rPr>
      </w:pPr>
    </w:p>
    <w:p w:rsidR="00F046AC" w:rsidRPr="00FE500E" w:rsidRDefault="00F046AC" w:rsidP="00785424">
      <w:pPr>
        <w:pStyle w:val="Heading5"/>
      </w:pPr>
      <w:bookmarkStart w:id="126" w:name="_Toc374385125"/>
      <w:bookmarkStart w:id="127" w:name="_Toc374631063"/>
      <w:bookmarkStart w:id="128" w:name="_Toc374632535"/>
      <w:bookmarkStart w:id="129" w:name="_Toc374635735"/>
      <w:bookmarkStart w:id="130" w:name="_Toc378251524"/>
      <w:bookmarkStart w:id="131" w:name="_Toc381279985"/>
      <w:r>
        <w:t>ii)</w:t>
      </w:r>
      <w:r>
        <w:tab/>
        <w:t xml:space="preserve">Überarbeitung von Dokument TGP/8: Part II: </w:t>
      </w:r>
      <w:r w:rsidR="004D6191" w:rsidRPr="004D6191">
        <w:rPr>
          <w:iCs/>
        </w:rPr>
        <w:t>Verfahren für die Berechnung von</w:t>
      </w:r>
      <w:r w:rsidR="004D6191" w:rsidRPr="0000280A">
        <w:rPr>
          <w:i/>
          <w:iCs/>
        </w:rPr>
        <w:t xml:space="preserve"> </w:t>
      </w:r>
      <w:r>
        <w:t>COYU</w:t>
      </w:r>
      <w:bookmarkEnd w:id="126"/>
      <w:bookmarkEnd w:id="127"/>
      <w:bookmarkEnd w:id="128"/>
      <w:bookmarkEnd w:id="129"/>
      <w:bookmarkEnd w:id="130"/>
      <w:bookmarkEnd w:id="131"/>
    </w:p>
    <w:p w:rsidR="00F046AC" w:rsidRDefault="00F046AC" w:rsidP="00F046AC">
      <w:pPr>
        <w:keepNext/>
      </w:pPr>
    </w:p>
    <w:p w:rsidR="004D6191" w:rsidRPr="00FD5AE8" w:rsidRDefault="00F046AC" w:rsidP="004D6191">
      <w:r>
        <w:rPr>
          <w:rFonts w:cs="Arial"/>
        </w:rPr>
        <w:fldChar w:fldCharType="begin"/>
      </w:r>
      <w:r>
        <w:rPr>
          <w:rFonts w:cs="Arial"/>
        </w:rPr>
        <w:instrText xml:space="preserve"> AUTONUM  </w:instrText>
      </w:r>
      <w:r>
        <w:rPr>
          <w:rFonts w:cs="Arial"/>
        </w:rPr>
        <w:fldChar w:fldCharType="end"/>
      </w:r>
      <w:r>
        <w:tab/>
      </w:r>
      <w:r w:rsidR="004D6191" w:rsidRPr="00EF517F">
        <w:rPr>
          <w:rFonts w:cs="Arial"/>
        </w:rPr>
        <w:t xml:space="preserve">Der TC prüfte Dokument TC/50/22 und hörte ein Referat von Herrn Adrian Roberts (Vereinigtes Königreich) über </w:t>
      </w:r>
      <w:r w:rsidR="004D6191">
        <w:rPr>
          <w:rFonts w:cs="Arial"/>
        </w:rPr>
        <w:t>„v</w:t>
      </w:r>
      <w:r w:rsidR="004D6191" w:rsidRPr="0000280A">
        <w:rPr>
          <w:rFonts w:cs="Arial"/>
        </w:rPr>
        <w:t>orgeschlagene Verbesserungen an COYU</w:t>
      </w:r>
      <w:r w:rsidR="004D6191">
        <w:t>“</w:t>
      </w:r>
      <w:r w:rsidR="004D6191" w:rsidRPr="00EF517F">
        <w:rPr>
          <w:rFonts w:cs="Arial"/>
        </w:rPr>
        <w:t>.</w:t>
      </w:r>
      <w:r w:rsidR="004D6191" w:rsidRPr="00EF517F">
        <w:t xml:space="preserve"> </w:t>
      </w:r>
      <w:r w:rsidR="004D6191">
        <w:t xml:space="preserve">Er </w:t>
      </w:r>
      <w:r w:rsidR="004D6191" w:rsidRPr="00FD5AE8">
        <w:t>nahm zur Kenntnis</w:t>
      </w:r>
      <w:r w:rsidR="004D6191">
        <w:t xml:space="preserve">, daß </w:t>
      </w:r>
      <w:r w:rsidR="004D6191" w:rsidRPr="00FD5AE8">
        <w:t xml:space="preserve">eine Kopie </w:t>
      </w:r>
      <w:r w:rsidR="004D6191">
        <w:t>des Referats</w:t>
      </w:r>
      <w:r w:rsidR="004D6191" w:rsidRPr="00FD5AE8">
        <w:t xml:space="preserve"> </w:t>
      </w:r>
      <w:r w:rsidR="004D6191">
        <w:t xml:space="preserve">als </w:t>
      </w:r>
      <w:r w:rsidR="004D6191" w:rsidRPr="00FD5AE8">
        <w:t>Ergänzung zu Dokument TC/50/22</w:t>
      </w:r>
      <w:r w:rsidR="004D6191">
        <w:t xml:space="preserve"> zur Verfügung gestellt werden würde</w:t>
      </w:r>
      <w:r w:rsidR="004D6191" w:rsidRPr="00FD5AE8">
        <w:t xml:space="preserve">. </w:t>
      </w:r>
    </w:p>
    <w:p w:rsidR="004D6191" w:rsidRPr="00FD5AE8" w:rsidRDefault="004D6191" w:rsidP="004D6191">
      <w:pPr>
        <w:rPr>
          <w:rFonts w:cs="Arial"/>
        </w:rPr>
      </w:pPr>
    </w:p>
    <w:p w:rsidR="004D6191" w:rsidRPr="00EF517F" w:rsidRDefault="004D6191" w:rsidP="004D6191">
      <w:r w:rsidRPr="006B6D27">
        <w:fldChar w:fldCharType="begin"/>
      </w:r>
      <w:r w:rsidRPr="00EF517F">
        <w:instrText xml:space="preserve"> AUTONUM  </w:instrText>
      </w:r>
      <w:r w:rsidRPr="006B6D27">
        <w:fldChar w:fldCharType="end"/>
      </w:r>
      <w:r w:rsidRPr="00EF517F">
        <w:tab/>
      </w:r>
      <w:r>
        <w:t>Der TC</w:t>
      </w:r>
      <w:r w:rsidRPr="00EF517F">
        <w:t xml:space="preserve"> </w:t>
      </w:r>
      <w:r>
        <w:t xml:space="preserve">nahm </w:t>
      </w:r>
      <w:r w:rsidRPr="00EF517F">
        <w:t xml:space="preserve">die Entwicklungen bei der Arbeit betreffend die Vorschläge zur Behebung der Verzerrung im derzeitigen Verfahren für die Berechnung von COYU, wie in den Absätzen 8 bis 21 </w:t>
      </w:r>
      <w:r>
        <w:t xml:space="preserve">von Dokument </w:t>
      </w:r>
      <w:r w:rsidRPr="00FD5AE8">
        <w:t>TC/50/</w:t>
      </w:r>
      <w:r>
        <w:t>22</w:t>
      </w:r>
      <w:r w:rsidRPr="00EF517F">
        <w:t xml:space="preserve"> d</w:t>
      </w:r>
      <w:r>
        <w:t>argelegt, zur Kenntnis</w:t>
      </w:r>
      <w:r w:rsidRPr="00EF517F">
        <w:t>.</w:t>
      </w:r>
    </w:p>
    <w:p w:rsidR="004D6191" w:rsidRPr="00EF517F" w:rsidRDefault="004D6191" w:rsidP="004D6191"/>
    <w:p w:rsidR="004D6191" w:rsidRPr="00E724B1" w:rsidRDefault="004D6191" w:rsidP="004D6191">
      <w:r>
        <w:fldChar w:fldCharType="begin"/>
      </w:r>
      <w:r w:rsidRPr="002D2108">
        <w:instrText xml:space="preserve"> AUTONUM  </w:instrText>
      </w:r>
      <w:r>
        <w:fldChar w:fldCharType="end"/>
      </w:r>
      <w:r w:rsidRPr="002D2108">
        <w:tab/>
        <w:t xml:space="preserve">Der TC vereinbarte, daß </w:t>
      </w:r>
      <w:r>
        <w:t>die</w:t>
      </w:r>
      <w:r w:rsidRPr="002D2108">
        <w:t xml:space="preserve"> Entwicklung eine</w:t>
      </w:r>
      <w:r>
        <w:t>s</w:t>
      </w:r>
      <w:r w:rsidRPr="002D2108">
        <w:t xml:space="preserve"> </w:t>
      </w:r>
      <w:r>
        <w:t>Demonstrationsmoduls</w:t>
      </w:r>
      <w:r w:rsidRPr="002D2108">
        <w:t xml:space="preserve"> in DUST </w:t>
      </w:r>
      <w:r>
        <w:t>fortgesetzt und der</w:t>
      </w:r>
      <w:r w:rsidRPr="002D2108">
        <w:t xml:space="preserve"> TWC </w:t>
      </w:r>
      <w:r>
        <w:t xml:space="preserve">auf ihrer </w:t>
      </w:r>
      <w:r w:rsidRPr="002D2108">
        <w:t>Tagung im Jahr 2014</w:t>
      </w:r>
      <w:r>
        <w:t xml:space="preserve"> vorgestellt werden sollte</w:t>
      </w:r>
      <w:r w:rsidRPr="002D2108">
        <w:t xml:space="preserve">. </w:t>
      </w:r>
      <w:r w:rsidRPr="00E724B1">
        <w:t xml:space="preserve">Der TC vereinbarte, daß ein praktischer Versuch </w:t>
      </w:r>
      <w:r>
        <w:t>unter Verwendung echter</w:t>
      </w:r>
      <w:r w:rsidRPr="00E724B1">
        <w:t xml:space="preserve"> </w:t>
      </w:r>
      <w:r>
        <w:t xml:space="preserve">Daten </w:t>
      </w:r>
      <w:r w:rsidRPr="00E724B1">
        <w:t>d</w:t>
      </w:r>
      <w:r>
        <w:t>urchgeführt werden sollte, um Entscheidungen, die unter Verwendung</w:t>
      </w:r>
      <w:r w:rsidRPr="00E724B1">
        <w:t xml:space="preserve"> </w:t>
      </w:r>
      <w:r>
        <w:t>der derzeitigen</w:t>
      </w:r>
      <w:r w:rsidRPr="00E724B1">
        <w:t xml:space="preserve"> und </w:t>
      </w:r>
      <w:r>
        <w:t>der</w:t>
      </w:r>
      <w:r w:rsidRPr="00E724B1">
        <w:t xml:space="preserve"> vorgeschlagenen </w:t>
      </w:r>
      <w:r>
        <w:t>verbesserten Methode getroffen wurden, zu vergleichen</w:t>
      </w:r>
      <w:r w:rsidRPr="00E724B1">
        <w:t>.</w:t>
      </w:r>
    </w:p>
    <w:p w:rsidR="004D6191" w:rsidRPr="00E724B1" w:rsidRDefault="004D6191" w:rsidP="004D6191"/>
    <w:p w:rsidR="004D6191" w:rsidRDefault="004D6191" w:rsidP="004D6191">
      <w:pPr>
        <w:rPr>
          <w:rFonts w:cs="Arial"/>
        </w:rPr>
      </w:pPr>
      <w:r>
        <w:rPr>
          <w:rFonts w:cs="Arial"/>
        </w:rPr>
        <w:fldChar w:fldCharType="begin"/>
      </w:r>
      <w:r w:rsidRPr="00C24F33">
        <w:rPr>
          <w:rFonts w:cs="Arial"/>
        </w:rPr>
        <w:instrText xml:space="preserve"> AUTONUM  </w:instrText>
      </w:r>
      <w:r>
        <w:rPr>
          <w:rFonts w:cs="Arial"/>
        </w:rPr>
        <w:fldChar w:fldCharType="end"/>
      </w:r>
      <w:r w:rsidRPr="00C24F33">
        <w:rPr>
          <w:rFonts w:cs="Arial"/>
        </w:rPr>
        <w:tab/>
      </w:r>
      <w:r w:rsidRPr="00C24F33">
        <w:t xml:space="preserve">Der TC ersuchte das Verbandsbüro, </w:t>
      </w:r>
      <w:r>
        <w:t xml:space="preserve">im Vorfeld der zweiunddreißigsten </w:t>
      </w:r>
      <w:r w:rsidRPr="00C24F33">
        <w:t xml:space="preserve">Tagung </w:t>
      </w:r>
      <w:r>
        <w:t>der</w:t>
      </w:r>
      <w:r w:rsidRPr="00C24F33">
        <w:t xml:space="preserve"> TWC ein neues Rundschreiben</w:t>
      </w:r>
      <w:r>
        <w:t xml:space="preserve"> herauszugeben, in dem um weitere</w:t>
      </w:r>
      <w:r w:rsidRPr="00C24F33">
        <w:t xml:space="preserve"> </w:t>
      </w:r>
      <w:r>
        <w:t>Auskünfte</w:t>
      </w:r>
      <w:r w:rsidRPr="00C24F33">
        <w:t xml:space="preserve"> über</w:t>
      </w:r>
      <w:r w:rsidRPr="00C24F33">
        <w:rPr>
          <w:rFonts w:cs="Arial"/>
        </w:rPr>
        <w:t xml:space="preserve"> </w:t>
      </w:r>
      <w:r>
        <w:rPr>
          <w:rFonts w:cs="Arial"/>
        </w:rPr>
        <w:t xml:space="preserve">das Ausmaß und die Modalitäten der Verwendung des </w:t>
      </w:r>
      <w:r w:rsidRPr="00C24F33">
        <w:t>derzeitigen COYU</w:t>
      </w:r>
      <w:r>
        <w:t>-Verfahrens ersucht würde</w:t>
      </w:r>
      <w:r w:rsidRPr="00C24F33">
        <w:t>.</w:t>
      </w:r>
      <w:r>
        <w:t xml:space="preserve"> </w:t>
      </w:r>
    </w:p>
    <w:p w:rsidR="00F046AC" w:rsidRPr="00290F6F" w:rsidRDefault="00F046AC" w:rsidP="00F046AC">
      <w:pPr>
        <w:spacing w:line="360" w:lineRule="auto"/>
      </w:pPr>
    </w:p>
    <w:p w:rsidR="00F046AC" w:rsidRPr="004D6191" w:rsidRDefault="00F046AC" w:rsidP="00785424">
      <w:pPr>
        <w:pStyle w:val="Heading5"/>
      </w:pPr>
      <w:bookmarkStart w:id="132" w:name="_Toc374385117"/>
      <w:bookmarkStart w:id="133" w:name="_Toc374631054"/>
      <w:bookmarkStart w:id="134" w:name="_Toc374632526"/>
      <w:bookmarkStart w:id="135" w:name="_Toc374635726"/>
      <w:bookmarkStart w:id="136" w:name="_Toc378251525"/>
      <w:bookmarkStart w:id="137" w:name="_Toc381279986"/>
      <w:r>
        <w:t>iii)</w:t>
      </w:r>
      <w:r>
        <w:tab/>
      </w:r>
      <w:r w:rsidR="004D6191" w:rsidRPr="004D6191">
        <w:t xml:space="preserve">Überarbeitung von Dokument TGP/8: Teil II: Neuer Abschnitt 11: </w:t>
      </w:r>
      <w:r w:rsidR="004D6191" w:rsidRPr="004D6191">
        <w:rPr>
          <w:iCs/>
        </w:rPr>
        <w:t>DUS-Prüfung an Mischproben</w:t>
      </w:r>
      <w:r w:rsidR="004D6191" w:rsidRPr="004D6191">
        <w:t xml:space="preserve"> </w:t>
      </w:r>
      <w:bookmarkEnd w:id="132"/>
      <w:bookmarkEnd w:id="133"/>
      <w:bookmarkEnd w:id="134"/>
      <w:bookmarkEnd w:id="135"/>
      <w:bookmarkEnd w:id="136"/>
      <w:bookmarkEnd w:id="137"/>
    </w:p>
    <w:p w:rsidR="00F046AC" w:rsidRDefault="00F046AC" w:rsidP="00F046AC">
      <w:pPr>
        <w:keepNext/>
      </w:pPr>
    </w:p>
    <w:p w:rsidR="00F046AC" w:rsidRDefault="00F046AC" w:rsidP="00F046AC">
      <w:pPr>
        <w:rPr>
          <w:rFonts w:cs="Arial"/>
        </w:rPr>
      </w:pPr>
      <w:r>
        <w:rPr>
          <w:rFonts w:cs="Arial"/>
        </w:rPr>
        <w:fldChar w:fldCharType="begin"/>
      </w:r>
      <w:r>
        <w:rPr>
          <w:rFonts w:cs="Arial"/>
        </w:rPr>
        <w:instrText xml:space="preserve"> AUTONUM  </w:instrText>
      </w:r>
      <w:r>
        <w:rPr>
          <w:rFonts w:cs="Arial"/>
        </w:rPr>
        <w:fldChar w:fldCharType="end"/>
      </w:r>
      <w:r w:rsidR="004D6191">
        <w:tab/>
        <w:t xml:space="preserve">Der TC prüfte </w:t>
      </w:r>
      <w:r>
        <w:t>Dokument TC/50/24.</w:t>
      </w:r>
    </w:p>
    <w:p w:rsidR="00F046AC" w:rsidRDefault="00F046AC" w:rsidP="00F046AC">
      <w:pPr>
        <w:rPr>
          <w:rFonts w:cs="Arial"/>
        </w:rPr>
      </w:pPr>
    </w:p>
    <w:p w:rsidR="004D6191" w:rsidRDefault="00F046AC" w:rsidP="004D6191">
      <w:r w:rsidRPr="00251639">
        <w:fldChar w:fldCharType="begin"/>
      </w:r>
      <w:r w:rsidRPr="00251639">
        <w:instrText xml:space="preserve"> AUTONUM  </w:instrText>
      </w:r>
      <w:r w:rsidRPr="00251639">
        <w:fldChar w:fldCharType="end"/>
      </w:r>
      <w:r>
        <w:tab/>
      </w:r>
      <w:r w:rsidR="004D6191" w:rsidRPr="00B061C7">
        <w:t>Der TC ersuchte Sachverständige aus Frankreich und den Niederlanden, Beispiele für ihre Erfahrung mit der auf Mischproben basierenden Entwicklung von Merkmalen für samenvermehrte und vegetativ vermehrte Pflanzen als eine Grundlage für die Ausarbeitung von Anleitung zu der auf Mischproben basierenden Entwicklung von Merkmalen für samenvermehrte und vegetativ vermehrte Pflanzen zu liefern.</w:t>
      </w:r>
    </w:p>
    <w:p w:rsidR="004D6191" w:rsidRPr="00EB776A" w:rsidRDefault="004D6191" w:rsidP="004D6191"/>
    <w:p w:rsidR="004D6191" w:rsidRPr="00764DB0" w:rsidRDefault="004D6191" w:rsidP="004D6191">
      <w:pPr>
        <w:keepNext/>
        <w:ind w:left="993" w:hanging="426"/>
        <w:rPr>
          <w:iCs/>
          <w:sz w:val="18"/>
          <w:szCs w:val="18"/>
        </w:rPr>
      </w:pPr>
      <w:r w:rsidRPr="00764DB0">
        <w:rPr>
          <w:sz w:val="18"/>
          <w:szCs w:val="18"/>
        </w:rPr>
        <w:t>iv)</w:t>
      </w:r>
      <w:r w:rsidRPr="00764DB0">
        <w:rPr>
          <w:sz w:val="18"/>
          <w:szCs w:val="18"/>
        </w:rPr>
        <w:tab/>
        <w:t xml:space="preserve">Überarbeitung von Dokument TGP/8: Teil II: Neuer Abschnitt: </w:t>
      </w:r>
      <w:r w:rsidRPr="00764DB0">
        <w:rPr>
          <w:iCs/>
          <w:sz w:val="18"/>
          <w:szCs w:val="18"/>
        </w:rPr>
        <w:t>Datenverarbeitung für die Prüfung der Unterscheidbarkeit und die Erarbeitung von Sortenbezeichnungen</w:t>
      </w:r>
    </w:p>
    <w:p w:rsidR="00F046AC" w:rsidRDefault="00F046AC" w:rsidP="00F046AC">
      <w:pPr>
        <w:keepNext/>
      </w:pPr>
    </w:p>
    <w:p w:rsidR="00F046AC" w:rsidRDefault="00F046AC" w:rsidP="00F046AC">
      <w:pPr>
        <w:rPr>
          <w:rFonts w:cs="Arial"/>
        </w:rPr>
      </w:pPr>
      <w:r>
        <w:rPr>
          <w:rFonts w:cs="Arial"/>
        </w:rPr>
        <w:fldChar w:fldCharType="begin"/>
      </w:r>
      <w:r>
        <w:rPr>
          <w:rFonts w:cs="Arial"/>
        </w:rPr>
        <w:instrText xml:space="preserve"> AUTONUM  </w:instrText>
      </w:r>
      <w:r>
        <w:rPr>
          <w:rFonts w:cs="Arial"/>
        </w:rPr>
        <w:fldChar w:fldCharType="end"/>
      </w:r>
      <w:r w:rsidR="004D6191">
        <w:tab/>
        <w:t xml:space="preserve">Der TC prüfte </w:t>
      </w:r>
      <w:r>
        <w:t>Dokument TC/50/25.</w:t>
      </w:r>
    </w:p>
    <w:p w:rsidR="00F046AC" w:rsidRDefault="00F046AC" w:rsidP="00F046AC">
      <w:pPr>
        <w:rPr>
          <w:rFonts w:cs="Arial"/>
        </w:rPr>
      </w:pPr>
    </w:p>
    <w:p w:rsidR="004D6191" w:rsidRPr="00EB776A" w:rsidRDefault="00F046AC" w:rsidP="004D6191">
      <w:pPr>
        <w:rPr>
          <w:snapToGrid w:val="0"/>
        </w:rPr>
      </w:pPr>
      <w:r w:rsidRPr="0008344F">
        <w:rPr>
          <w:color w:val="000000"/>
        </w:rPr>
        <w:fldChar w:fldCharType="begin"/>
      </w:r>
      <w:r w:rsidRPr="0008344F">
        <w:rPr>
          <w:color w:val="000000"/>
        </w:rPr>
        <w:instrText xml:space="preserve"> AUTONUM  </w:instrText>
      </w:r>
      <w:r w:rsidRPr="0008344F">
        <w:rPr>
          <w:color w:val="000000"/>
        </w:rPr>
        <w:fldChar w:fldCharType="end"/>
      </w:r>
      <w:r>
        <w:tab/>
      </w:r>
      <w:r w:rsidR="004D6191" w:rsidRPr="00B061C7">
        <w:t>Der TC nahm die Einladung eines Sachverständigen aus Neuseeland durch die TWF zur Kenntnis, auf ihrer fünfundvierzigsten Tagung ein Referat über das im Jahr 2011 in Neuseeland gestartete Projekt „Referenzsorten von Apfel“ sowie darüber, wie diese Arbeit dazu beitragen könnte, bessere Beispielsorten und Sortenbezeichnungen zu entwickeln, zu halten</w:t>
      </w:r>
      <w:r w:rsidR="004D6191" w:rsidRPr="00EB776A">
        <w:rPr>
          <w:snapToGrid w:val="0"/>
        </w:rPr>
        <w:t>.</w:t>
      </w:r>
    </w:p>
    <w:p w:rsidR="004D6191" w:rsidRPr="00EB776A" w:rsidRDefault="004D6191" w:rsidP="004D6191">
      <w:pPr>
        <w:rPr>
          <w:snapToGrid w:val="0"/>
        </w:rPr>
      </w:pPr>
    </w:p>
    <w:p w:rsidR="004D6191" w:rsidRPr="00EB776A" w:rsidRDefault="004D6191" w:rsidP="004D6191">
      <w:pPr>
        <w:rPr>
          <w:snapToGrid w:val="0"/>
        </w:rPr>
      </w:pPr>
      <w:r>
        <w:fldChar w:fldCharType="begin"/>
      </w:r>
      <w:r w:rsidRPr="00EB776A">
        <w:instrText xml:space="preserve"> AUTONUM  </w:instrText>
      </w:r>
      <w:r>
        <w:fldChar w:fldCharType="end"/>
      </w:r>
      <w:r w:rsidRPr="00EB776A">
        <w:tab/>
      </w:r>
      <w:r>
        <w:t>Der TC</w:t>
      </w:r>
      <w:r w:rsidRPr="00EB776A">
        <w:t xml:space="preserve"> vereinbarte, </w:t>
      </w:r>
      <w:r>
        <w:t>einen</w:t>
      </w:r>
      <w:r w:rsidRPr="00EB776A">
        <w:t xml:space="preserve"> Sachverständige</w:t>
      </w:r>
      <w:r>
        <w:t>n</w:t>
      </w:r>
      <w:r w:rsidRPr="00EB776A">
        <w:t xml:space="preserve"> aus Deutschland</w:t>
      </w:r>
      <w:r>
        <w:t xml:space="preserve"> zu ersuchen, </w:t>
      </w:r>
      <w:r w:rsidRPr="00EB776A">
        <w:t>einen Wortlaut aus</w:t>
      </w:r>
      <w:r>
        <w:t>zu</w:t>
      </w:r>
      <w:r w:rsidRPr="00EB776A">
        <w:t xml:space="preserve">arbeiten, um zu erläutern, welche verschiedenen Formen die </w:t>
      </w:r>
      <w:r>
        <w:t>Sortenbezeichnung</w:t>
      </w:r>
      <w:r w:rsidRPr="00EB776A">
        <w:t>en annehmen könnten</w:t>
      </w:r>
      <w:r>
        <w:t>,</w:t>
      </w:r>
      <w:r w:rsidRPr="00EB776A">
        <w:t xml:space="preserve"> sowie zu erläutern, welche Bedeutung diesbezüglich den Skalenniveau</w:t>
      </w:r>
      <w:r>
        <w:t>s</w:t>
      </w:r>
      <w:r w:rsidRPr="00EB776A">
        <w:t xml:space="preserve"> zukommt</w:t>
      </w:r>
      <w:r w:rsidRPr="00EB776A">
        <w:rPr>
          <w:snapToGrid w:val="0"/>
        </w:rPr>
        <w:t>.</w:t>
      </w:r>
    </w:p>
    <w:p w:rsidR="004D6191" w:rsidRPr="00EB776A" w:rsidRDefault="004D6191" w:rsidP="004D6191"/>
    <w:p w:rsidR="004D6191" w:rsidRPr="00914F9D" w:rsidRDefault="004D6191" w:rsidP="004D6191">
      <w:r w:rsidRPr="00E27362">
        <w:lastRenderedPageBreak/>
        <w:fldChar w:fldCharType="begin"/>
      </w:r>
      <w:r w:rsidRPr="00914F9D">
        <w:instrText xml:space="preserve"> AUTONUM  </w:instrText>
      </w:r>
      <w:r w:rsidRPr="00E27362">
        <w:fldChar w:fldCharType="end"/>
      </w:r>
      <w:r w:rsidRPr="00914F9D">
        <w:tab/>
        <w:t>Der TC vereinbarte, daß die Sachverständige</w:t>
      </w:r>
      <w:r>
        <w:t>n</w:t>
      </w:r>
      <w:r w:rsidRPr="00914F9D">
        <w:t xml:space="preserve"> aus Frankreich, Deutschland, </w:t>
      </w:r>
      <w:r>
        <w:t>Italien</w:t>
      </w:r>
      <w:r w:rsidRPr="00914F9D">
        <w:t xml:space="preserve">, Japan, </w:t>
      </w:r>
      <w:r>
        <w:t>den Niederlanden</w:t>
      </w:r>
      <w:r w:rsidRPr="00914F9D">
        <w:t xml:space="preserve">, </w:t>
      </w:r>
      <w:r>
        <w:t>Republik Korea</w:t>
      </w:r>
      <w:r w:rsidRPr="00914F9D">
        <w:t xml:space="preserve"> und </w:t>
      </w:r>
      <w:r>
        <w:t>dem Vereinigten Königreich</w:t>
      </w:r>
      <w:r w:rsidRPr="00914F9D">
        <w:t xml:space="preserve"> </w:t>
      </w:r>
      <w:r>
        <w:t xml:space="preserve">die Ergebnisse über den </w:t>
      </w:r>
      <w:r w:rsidRPr="00914F9D">
        <w:t>praktische</w:t>
      </w:r>
      <w:r>
        <w:t xml:space="preserve">n Versuch dem </w:t>
      </w:r>
      <w:r w:rsidRPr="00914F9D">
        <w:t>Verbandsbüro</w:t>
      </w:r>
      <w:r>
        <w:t xml:space="preserve"> zukommen lassen sollten,</w:t>
      </w:r>
      <w:r w:rsidRPr="00914F9D">
        <w:t xml:space="preserve"> und nahm </w:t>
      </w:r>
      <w:r>
        <w:t>das Vorhaben</w:t>
      </w:r>
      <w:r w:rsidRPr="00914F9D">
        <w:t xml:space="preserve"> eine</w:t>
      </w:r>
      <w:r>
        <w:t>r</w:t>
      </w:r>
      <w:r w:rsidRPr="00914F9D">
        <w:t xml:space="preserve"> </w:t>
      </w:r>
      <w:r>
        <w:t>Zusammenfassung</w:t>
      </w:r>
      <w:r w:rsidRPr="00914F9D">
        <w:t xml:space="preserve"> </w:t>
      </w:r>
      <w:r>
        <w:t xml:space="preserve">von Gemeinsamkeiten und Unterschieden </w:t>
      </w:r>
      <w:r>
        <w:rPr>
          <w:rFonts w:cs="Arial"/>
        </w:rPr>
        <w:t xml:space="preserve">der </w:t>
      </w:r>
      <w:r w:rsidRPr="00914F9D">
        <w:rPr>
          <w:rFonts w:cs="Arial"/>
        </w:rPr>
        <w:t>Methode</w:t>
      </w:r>
      <w:r>
        <w:rPr>
          <w:rFonts w:cs="Arial"/>
        </w:rPr>
        <w:t xml:space="preserve">n </w:t>
      </w:r>
      <w:r w:rsidRPr="00914F9D">
        <w:t>zur Kenntnis</w:t>
      </w:r>
      <w:r>
        <w:rPr>
          <w:rFonts w:cs="Arial"/>
        </w:rPr>
        <w:t xml:space="preserve">, die den </w:t>
      </w:r>
      <w:r>
        <w:t>TWP</w:t>
      </w:r>
      <w:r w:rsidRPr="00914F9D">
        <w:t xml:space="preserve"> im Jahr 2014 und </w:t>
      </w:r>
      <w:r>
        <w:t xml:space="preserve">dem </w:t>
      </w:r>
      <w:r w:rsidRPr="00914F9D">
        <w:t xml:space="preserve">TC </w:t>
      </w:r>
      <w:r>
        <w:t>auf seiner einundfünfzigsten</w:t>
      </w:r>
      <w:r w:rsidRPr="00914F9D">
        <w:t xml:space="preserve"> Tagung</w:t>
      </w:r>
      <w:r>
        <w:t xml:space="preserve"> vorgelegt werden solle</w:t>
      </w:r>
      <w:r w:rsidRPr="00914F9D">
        <w:t xml:space="preserve">. </w:t>
      </w:r>
    </w:p>
    <w:p w:rsidR="004D6191" w:rsidRPr="00914F9D" w:rsidRDefault="004D6191" w:rsidP="004D6191"/>
    <w:p w:rsidR="004D6191" w:rsidRPr="00EB776A" w:rsidRDefault="004D6191" w:rsidP="004D6191">
      <w:r>
        <w:fldChar w:fldCharType="begin"/>
      </w:r>
      <w:r w:rsidRPr="00EB776A">
        <w:instrText xml:space="preserve"> AUTONUM  </w:instrText>
      </w:r>
      <w:r>
        <w:fldChar w:fldCharType="end"/>
      </w:r>
      <w:r w:rsidRPr="00EB776A">
        <w:tab/>
        <w:t xml:space="preserve">Der TC nahm zur Kenntnis, daß </w:t>
      </w:r>
      <w:r>
        <w:t>er aufgrund der</w:t>
      </w:r>
      <w:r w:rsidRPr="00EB776A">
        <w:t xml:space="preserve"> </w:t>
      </w:r>
      <w:r>
        <w:t>Ergebnisse</w:t>
      </w:r>
      <w:r w:rsidRPr="00EB776A">
        <w:t xml:space="preserve"> </w:t>
      </w:r>
      <w:r>
        <w:t>des</w:t>
      </w:r>
      <w:r w:rsidRPr="00EB776A">
        <w:t xml:space="preserve"> </w:t>
      </w:r>
      <w:r>
        <w:t>praktischen Versuchs ersucht</w:t>
      </w:r>
      <w:r w:rsidRPr="00EB776A">
        <w:t xml:space="preserve"> </w:t>
      </w:r>
      <w:r>
        <w:t xml:space="preserve">werden würde, zu prüfen, ob </w:t>
      </w:r>
      <w:r w:rsidRPr="00EB776A">
        <w:t xml:space="preserve">eine Anleitung zur Datenverarbeitung für die Prüfung der Unterscheidbarkeit und die Erarbeitung von </w:t>
      </w:r>
      <w:r>
        <w:t>Sortenbezeichnung</w:t>
      </w:r>
      <w:r w:rsidRPr="00EB776A">
        <w:t>en, die für verschiedene Vermehrungsarten gelten würden, ausgearbeitet werden sollte.</w:t>
      </w:r>
    </w:p>
    <w:p w:rsidR="004D6191" w:rsidRPr="00EB776A" w:rsidRDefault="004D6191" w:rsidP="004D6191">
      <w:pPr>
        <w:spacing w:line="360" w:lineRule="auto"/>
      </w:pPr>
    </w:p>
    <w:p w:rsidR="004D6191" w:rsidRPr="00874770" w:rsidRDefault="004D6191" w:rsidP="004D6191">
      <w:pPr>
        <w:keepNext/>
        <w:ind w:left="993" w:hanging="426"/>
        <w:rPr>
          <w:sz w:val="18"/>
          <w:szCs w:val="18"/>
        </w:rPr>
      </w:pPr>
      <w:r w:rsidRPr="00874770">
        <w:rPr>
          <w:sz w:val="18"/>
          <w:szCs w:val="18"/>
        </w:rPr>
        <w:t>v)</w:t>
      </w:r>
      <w:r w:rsidRPr="00874770">
        <w:rPr>
          <w:sz w:val="18"/>
          <w:szCs w:val="18"/>
        </w:rPr>
        <w:tab/>
        <w:t>Überarbeitung von Dokument TGP/8: Teil II: Neuer Abschnitt</w:t>
      </w:r>
      <w:r w:rsidRPr="00874770">
        <w:rPr>
          <w:iCs/>
          <w:sz w:val="18"/>
          <w:szCs w:val="18"/>
        </w:rPr>
        <w:t xml:space="preserve">: </w:t>
      </w:r>
      <w:r w:rsidRPr="00874770">
        <w:rPr>
          <w:sz w:val="18"/>
          <w:szCs w:val="18"/>
        </w:rPr>
        <w:t>Anleitung zur Datenanalyse für randomisierte Blindprüfungen</w:t>
      </w:r>
    </w:p>
    <w:p w:rsidR="00F046AC" w:rsidRPr="006348F0" w:rsidRDefault="00F046AC" w:rsidP="00F046AC">
      <w:pPr>
        <w:keepNext/>
      </w:pPr>
    </w:p>
    <w:p w:rsidR="00874770" w:rsidRPr="00BB5032" w:rsidRDefault="00F046AC" w:rsidP="00874770">
      <w:pPr>
        <w:rPr>
          <w:rFonts w:cs="Arial"/>
        </w:rPr>
      </w:pPr>
      <w:r>
        <w:rPr>
          <w:rFonts w:cs="Arial"/>
        </w:rPr>
        <w:fldChar w:fldCharType="begin"/>
      </w:r>
      <w:r>
        <w:rPr>
          <w:rFonts w:cs="Arial"/>
        </w:rPr>
        <w:instrText xml:space="preserve"> AUTONUM  </w:instrText>
      </w:r>
      <w:r>
        <w:rPr>
          <w:rFonts w:cs="Arial"/>
        </w:rPr>
        <w:fldChar w:fldCharType="end"/>
      </w:r>
      <w:r>
        <w:tab/>
      </w:r>
      <w:r w:rsidR="00874770" w:rsidRPr="00BB5032">
        <w:rPr>
          <w:rFonts w:cs="Arial"/>
        </w:rPr>
        <w:t>Der TC prüfte Dokument TC/50/26 und vereinbarte, Sachverständige</w:t>
      </w:r>
      <w:r w:rsidR="00874770">
        <w:rPr>
          <w:rFonts w:cs="Arial"/>
        </w:rPr>
        <w:t xml:space="preserve"> aus Frankreich zu ersuchen, die</w:t>
      </w:r>
      <w:r w:rsidR="00874770" w:rsidRPr="00BB5032">
        <w:rPr>
          <w:rFonts w:cs="Arial"/>
        </w:rPr>
        <w:t xml:space="preserve"> </w:t>
      </w:r>
      <w:r w:rsidR="00874770">
        <w:rPr>
          <w:rFonts w:cs="Arial"/>
        </w:rPr>
        <w:t>Ausarbeitung der vorgeschlagenen</w:t>
      </w:r>
      <w:r w:rsidR="00874770" w:rsidRPr="00BB5032">
        <w:rPr>
          <w:rFonts w:cs="Arial"/>
        </w:rPr>
        <w:t xml:space="preserve"> </w:t>
      </w:r>
      <w:r w:rsidR="00874770">
        <w:rPr>
          <w:rFonts w:cs="Arial"/>
        </w:rPr>
        <w:t>Anleitung</w:t>
      </w:r>
      <w:r w:rsidR="00874770" w:rsidRPr="00BB5032">
        <w:rPr>
          <w:rFonts w:cs="Arial"/>
        </w:rPr>
        <w:t xml:space="preserve"> aufgrund der </w:t>
      </w:r>
      <w:r w:rsidR="00874770">
        <w:rPr>
          <w:rFonts w:cs="Arial"/>
        </w:rPr>
        <w:t>Bemerkungen</w:t>
      </w:r>
      <w:r w:rsidR="00874770" w:rsidRPr="00BB5032">
        <w:rPr>
          <w:rFonts w:cs="Arial"/>
        </w:rPr>
        <w:t xml:space="preserve"> in </w:t>
      </w:r>
      <w:r w:rsidR="00874770">
        <w:rPr>
          <w:rFonts w:cs="Arial"/>
        </w:rPr>
        <w:t>diesem</w:t>
      </w:r>
      <w:r w:rsidR="00874770" w:rsidRPr="00BB5032">
        <w:rPr>
          <w:rFonts w:cs="Arial"/>
        </w:rPr>
        <w:t xml:space="preserve"> Dokument</w:t>
      </w:r>
      <w:r w:rsidR="00874770">
        <w:rPr>
          <w:rFonts w:cs="Arial"/>
        </w:rPr>
        <w:t xml:space="preserve"> fortzusetzen</w:t>
      </w:r>
      <w:r w:rsidR="00874770" w:rsidRPr="00BB5032">
        <w:rPr>
          <w:rFonts w:cs="Arial"/>
        </w:rPr>
        <w:t>.</w:t>
      </w:r>
    </w:p>
    <w:p w:rsidR="00874770" w:rsidRPr="00BB5032" w:rsidRDefault="00874770" w:rsidP="00874770"/>
    <w:p w:rsidR="00874770" w:rsidRPr="000D4D50" w:rsidRDefault="00874770" w:rsidP="00874770">
      <w:r>
        <w:fldChar w:fldCharType="begin"/>
      </w:r>
      <w:r w:rsidRPr="000D4D50">
        <w:instrText xml:space="preserve"> AUTONUM  </w:instrText>
      </w:r>
      <w:r>
        <w:fldChar w:fldCharType="end"/>
      </w:r>
      <w:r w:rsidRPr="000D4D50">
        <w:tab/>
        <w:t xml:space="preserve">Der TC vereinbarte, daß die Umstände, unter denen randomisierte Blindprüfungen </w:t>
      </w:r>
      <w:r>
        <w:t>zweckmäßig sind, geklärt werden sollten</w:t>
      </w:r>
      <w:r w:rsidRPr="000D4D50">
        <w:t xml:space="preserve">. </w:t>
      </w:r>
    </w:p>
    <w:p w:rsidR="00874770" w:rsidRPr="000D4D50" w:rsidRDefault="00874770" w:rsidP="00874770"/>
    <w:p w:rsidR="00874770" w:rsidRPr="00D41F10" w:rsidRDefault="00874770" w:rsidP="00874770">
      <w:r>
        <w:fldChar w:fldCharType="begin"/>
      </w:r>
      <w:r w:rsidRPr="0065717A">
        <w:instrText xml:space="preserve"> AUTONUM  </w:instrText>
      </w:r>
      <w:r>
        <w:fldChar w:fldCharType="end"/>
      </w:r>
      <w:r w:rsidRPr="0065717A">
        <w:tab/>
        <w:t>Der TC vereinbarte, den Aufbau des Dokuments zu überarbeiten, um es klarer zu machen</w:t>
      </w:r>
      <w:r>
        <w:t>,</w:t>
      </w:r>
      <w:r w:rsidRPr="0065717A">
        <w:t xml:space="preserve"> und </w:t>
      </w:r>
      <w:r>
        <w:t xml:space="preserve">daß geprüft werden sollte, ob die </w:t>
      </w:r>
      <w:r w:rsidRPr="0065717A">
        <w:t xml:space="preserve">Anleitung </w:t>
      </w:r>
      <w:r>
        <w:t>zur</w:t>
      </w:r>
      <w:r w:rsidRPr="0065717A">
        <w:t xml:space="preserve"> Verwendung </w:t>
      </w:r>
      <w:r>
        <w:t xml:space="preserve">von </w:t>
      </w:r>
      <w:r w:rsidRPr="000D4D50">
        <w:t>randomisierte</w:t>
      </w:r>
      <w:r>
        <w:t>n</w:t>
      </w:r>
      <w:r w:rsidRPr="000D4D50">
        <w:t xml:space="preserve"> Blindprüfungen </w:t>
      </w:r>
      <w:r>
        <w:t>ohne</w:t>
      </w:r>
      <w:r w:rsidRPr="0065717A">
        <w:t xml:space="preserve"> </w:t>
      </w:r>
      <w:r>
        <w:t>Daten</w:t>
      </w:r>
      <w:r w:rsidRPr="0065717A">
        <w:t>analys</w:t>
      </w:r>
      <w:r>
        <w:t>e aufgenommen werden sollte</w:t>
      </w:r>
      <w:r w:rsidRPr="0065717A">
        <w:t xml:space="preserve">, </w:t>
      </w:r>
      <w:r>
        <w:t xml:space="preserve">was die Streichung von </w:t>
      </w:r>
      <w:r w:rsidRPr="0065717A">
        <w:t>„</w:t>
      </w:r>
      <w:r>
        <w:t>Datenanalyse</w:t>
      </w:r>
      <w:r w:rsidRPr="0065717A">
        <w:t xml:space="preserve">“ </w:t>
      </w:r>
      <w:r>
        <w:t xml:space="preserve">aus dem </w:t>
      </w:r>
      <w:r w:rsidRPr="0065717A">
        <w:t>Titel</w:t>
      </w:r>
      <w:r>
        <w:t xml:space="preserve"> des</w:t>
      </w:r>
      <w:r w:rsidRPr="0065717A">
        <w:t xml:space="preserve"> Dokument</w:t>
      </w:r>
      <w:r>
        <w:t>s erfordern würde</w:t>
      </w:r>
      <w:r w:rsidRPr="0065717A">
        <w:t xml:space="preserve">. </w:t>
      </w:r>
      <w:r w:rsidRPr="00D41F10">
        <w:t xml:space="preserve">Der TC vereinbarte, daß </w:t>
      </w:r>
      <w:r>
        <w:t>das</w:t>
      </w:r>
      <w:r w:rsidRPr="00D41F10">
        <w:t xml:space="preserve"> Verbandsbüro </w:t>
      </w:r>
      <w:r>
        <w:t>Auskünfte</w:t>
      </w:r>
      <w:r w:rsidRPr="00D41F10">
        <w:t xml:space="preserve"> über die Verwendung </w:t>
      </w:r>
      <w:r>
        <w:t xml:space="preserve">von </w:t>
      </w:r>
      <w:r w:rsidRPr="000D4D50">
        <w:t>randomisierte</w:t>
      </w:r>
      <w:r>
        <w:t>n</w:t>
      </w:r>
      <w:r w:rsidRPr="000D4D50">
        <w:t xml:space="preserve"> Blindprüfungen </w:t>
      </w:r>
      <w:r w:rsidRPr="00D41F10">
        <w:t>für</w:t>
      </w:r>
      <w:r>
        <w:t xml:space="preserve"> die Vorlage bei den TWP</w:t>
      </w:r>
      <w:r w:rsidRPr="00D41F10">
        <w:t xml:space="preserve"> und </w:t>
      </w:r>
      <w:r>
        <w:t>dem</w:t>
      </w:r>
      <w:r w:rsidRPr="00D41F10">
        <w:t xml:space="preserve"> TC</w:t>
      </w:r>
      <w:r>
        <w:t xml:space="preserve"> einholen solle</w:t>
      </w:r>
      <w:r w:rsidRPr="00D41F10">
        <w:t>.</w:t>
      </w:r>
    </w:p>
    <w:p w:rsidR="00874770" w:rsidRPr="00D41F10" w:rsidRDefault="00874770" w:rsidP="00874770">
      <w:pPr>
        <w:spacing w:line="360" w:lineRule="auto"/>
      </w:pPr>
    </w:p>
    <w:p w:rsidR="00874770" w:rsidRPr="00874770" w:rsidRDefault="00874770" w:rsidP="00874770">
      <w:pPr>
        <w:keepNext/>
        <w:ind w:left="993" w:hanging="426"/>
        <w:rPr>
          <w:sz w:val="18"/>
          <w:szCs w:val="18"/>
        </w:rPr>
      </w:pPr>
      <w:r w:rsidRPr="00874770">
        <w:rPr>
          <w:sz w:val="18"/>
          <w:szCs w:val="18"/>
        </w:rPr>
        <w:t>vi)</w:t>
      </w:r>
      <w:r w:rsidRPr="00874770">
        <w:rPr>
          <w:sz w:val="18"/>
          <w:szCs w:val="18"/>
        </w:rPr>
        <w:tab/>
        <w:t>Überarbeitung von Dokument TGP/8: Teil II: Neuer Abschnitt: Prüfung von Merkmalen anhand der Bildanalyse</w:t>
      </w:r>
    </w:p>
    <w:p w:rsidR="00874770" w:rsidRPr="00075797" w:rsidRDefault="00874770" w:rsidP="00874770">
      <w:pPr>
        <w:keepNext/>
      </w:pPr>
    </w:p>
    <w:p w:rsidR="00874770" w:rsidRPr="005E7EB4" w:rsidRDefault="00874770" w:rsidP="00874770">
      <w:pPr>
        <w:rPr>
          <w:rFonts w:cs="Arial"/>
        </w:rPr>
      </w:pPr>
      <w:r>
        <w:rPr>
          <w:rFonts w:cs="Arial"/>
        </w:rPr>
        <w:fldChar w:fldCharType="begin"/>
      </w:r>
      <w:r w:rsidRPr="005E7EB4">
        <w:rPr>
          <w:rFonts w:cs="Arial"/>
        </w:rPr>
        <w:instrText xml:space="preserve"> AUTONUM  </w:instrText>
      </w:r>
      <w:r>
        <w:rPr>
          <w:rFonts w:cs="Arial"/>
        </w:rPr>
        <w:fldChar w:fldCharType="end"/>
      </w:r>
      <w:r w:rsidRPr="005E7EB4">
        <w:rPr>
          <w:rFonts w:cs="Arial"/>
        </w:rPr>
        <w:tab/>
        <w:t>Der TC prüfte Dokument TC/50/27.</w:t>
      </w:r>
    </w:p>
    <w:p w:rsidR="00874770" w:rsidRPr="005E7EB4" w:rsidRDefault="00874770" w:rsidP="00874770">
      <w:pPr>
        <w:rPr>
          <w:rFonts w:cs="Arial"/>
        </w:rPr>
      </w:pPr>
    </w:p>
    <w:p w:rsidR="00874770" w:rsidRPr="00EB776A" w:rsidRDefault="00874770" w:rsidP="00874770">
      <w:r w:rsidRPr="002509C6">
        <w:fldChar w:fldCharType="begin"/>
      </w:r>
      <w:r w:rsidRPr="00EB776A">
        <w:instrText xml:space="preserve"> AUTONUM  </w:instrText>
      </w:r>
      <w:r w:rsidRPr="002509C6">
        <w:fldChar w:fldCharType="end"/>
      </w:r>
      <w:r w:rsidRPr="00EB776A">
        <w:tab/>
      </w:r>
      <w:r>
        <w:t>Der TC</w:t>
      </w:r>
      <w:r w:rsidRPr="00EB776A">
        <w:t xml:space="preserve"> </w:t>
      </w:r>
      <w:r>
        <w:t xml:space="preserve">stimmte der von einem Sachverständigen aus der Europäischen Union vorgeschlagenen </w:t>
      </w:r>
      <w:r w:rsidRPr="00EB776A">
        <w:t xml:space="preserve">Neuformulierung des Wortlauts in unpersönliche Standardterminologie der TGP </w:t>
      </w:r>
      <w:r>
        <w:t>sowie</w:t>
      </w:r>
      <w:r w:rsidRPr="00EB776A">
        <w:t xml:space="preserve"> </w:t>
      </w:r>
      <w:r>
        <w:t>der Hinzufügung der folgenden</w:t>
      </w:r>
      <w:r w:rsidRPr="00EB776A">
        <w:t xml:space="preserve"> Einführung </w:t>
      </w:r>
      <w:r>
        <w:t xml:space="preserve">für den </w:t>
      </w:r>
      <w:r w:rsidRPr="00EB776A">
        <w:t xml:space="preserve">vorgeschlagenen Wortlaut, </w:t>
      </w:r>
      <w:r>
        <w:t xml:space="preserve">wie in </w:t>
      </w:r>
      <w:r w:rsidRPr="00EB776A">
        <w:t>Dokument TC/50/27, Absatz 9</w:t>
      </w:r>
      <w:r>
        <w:t>, dargelegt, zu</w:t>
      </w:r>
      <w:r w:rsidRPr="00EB776A">
        <w:t>:</w:t>
      </w:r>
    </w:p>
    <w:p w:rsidR="008205FC" w:rsidRDefault="008205FC" w:rsidP="00F046AC">
      <w:pPr>
        <w:tabs>
          <w:tab w:val="left" w:pos="913"/>
        </w:tabs>
        <w:spacing w:line="360" w:lineRule="auto"/>
      </w:pPr>
    </w:p>
    <w:p w:rsidR="00874770" w:rsidRPr="00163DB6" w:rsidRDefault="00874770" w:rsidP="0014099B">
      <w:pPr>
        <w:pStyle w:val="Heading4"/>
        <w:rPr>
          <w:rFonts w:cs="Arial"/>
          <w:sz w:val="18"/>
          <w:szCs w:val="16"/>
        </w:rPr>
      </w:pPr>
      <w:bookmarkStart w:id="138" w:name="_Toc222280950"/>
      <w:r>
        <w:t xml:space="preserve">„1.     </w:t>
      </w:r>
      <w:r>
        <w:rPr>
          <w:rFonts w:cs="Arial"/>
          <w:sz w:val="18"/>
          <w:szCs w:val="16"/>
        </w:rPr>
        <w:t>Einführung</w:t>
      </w:r>
    </w:p>
    <w:p w:rsidR="00874770" w:rsidRPr="00163DB6" w:rsidRDefault="00874770" w:rsidP="00874770">
      <w:pPr>
        <w:ind w:left="446" w:right="459"/>
        <w:rPr>
          <w:rFonts w:cs="Arial"/>
          <w:sz w:val="18"/>
          <w:szCs w:val="16"/>
        </w:rPr>
      </w:pPr>
    </w:p>
    <w:p w:rsidR="00874770" w:rsidRPr="00EB776A" w:rsidRDefault="00874770" w:rsidP="00874770">
      <w:pPr>
        <w:ind w:left="446" w:right="459"/>
        <w:rPr>
          <w:rFonts w:cs="Arial"/>
          <w:sz w:val="18"/>
          <w:szCs w:val="16"/>
        </w:rPr>
      </w:pPr>
      <w:r>
        <w:rPr>
          <w:rFonts w:cs="Arial"/>
          <w:sz w:val="18"/>
          <w:szCs w:val="16"/>
        </w:rPr>
        <w:t xml:space="preserve">Merkmale, </w:t>
      </w:r>
      <w:r w:rsidRPr="00EB776A">
        <w:rPr>
          <w:rFonts w:cs="Arial"/>
          <w:sz w:val="18"/>
          <w:szCs w:val="16"/>
        </w:rPr>
        <w:t>die anhand der Bildanalyse geprüft werden können, sollten je nach Fall auch durch visuelle Erfassung und/oder manuelle Messung geprüft werden können.</w:t>
      </w:r>
      <w:r>
        <w:rPr>
          <w:rFonts w:cs="Arial"/>
          <w:sz w:val="18"/>
          <w:szCs w:val="16"/>
        </w:rPr>
        <w:t xml:space="preserve"> </w:t>
      </w:r>
      <w:r w:rsidRPr="00EB776A">
        <w:rPr>
          <w:rFonts w:cs="Arial"/>
          <w:sz w:val="18"/>
          <w:szCs w:val="16"/>
        </w:rPr>
        <w:t xml:space="preserve">Die Erläuterungen zur Erfassung dieser </w:t>
      </w:r>
      <w:r>
        <w:rPr>
          <w:rFonts w:cs="Arial"/>
          <w:sz w:val="18"/>
          <w:szCs w:val="16"/>
        </w:rPr>
        <w:t xml:space="preserve">Merkmale, </w:t>
      </w:r>
      <w:r w:rsidRPr="00EB776A">
        <w:rPr>
          <w:rFonts w:cs="Arial"/>
          <w:sz w:val="18"/>
          <w:szCs w:val="16"/>
        </w:rPr>
        <w:t>gegebenenfalls einschließlich geeigneter Erläuterungen in den Prüfungsrichtlinien, sollten sicherstellen, daß das Merkmal in Begriffen erläute</w:t>
      </w:r>
      <w:r>
        <w:rPr>
          <w:rFonts w:cs="Arial"/>
          <w:sz w:val="18"/>
          <w:szCs w:val="16"/>
        </w:rPr>
        <w:t>r</w:t>
      </w:r>
      <w:r w:rsidRPr="00EB776A">
        <w:rPr>
          <w:rFonts w:cs="Arial"/>
          <w:sz w:val="18"/>
          <w:szCs w:val="16"/>
        </w:rPr>
        <w:t>t wird, die es ermöglichen, daß das Merkmal von allen DUS-Sachverständigen verstanden und geprüft werden kann.</w:t>
      </w:r>
      <w:r w:rsidRPr="0008240A">
        <w:rPr>
          <w:sz w:val="18"/>
          <w:szCs w:val="18"/>
        </w:rPr>
        <w:t>“</w:t>
      </w:r>
    </w:p>
    <w:p w:rsidR="00874770" w:rsidRPr="00EB776A" w:rsidRDefault="00874770" w:rsidP="00874770">
      <w:pPr>
        <w:ind w:left="446" w:right="459"/>
        <w:rPr>
          <w:rFonts w:cs="Arial"/>
          <w:sz w:val="18"/>
          <w:szCs w:val="16"/>
        </w:rPr>
      </w:pPr>
    </w:p>
    <w:p w:rsidR="00874770" w:rsidRPr="00EB776A" w:rsidRDefault="00874770" w:rsidP="00874770">
      <w:pPr>
        <w:ind w:left="446" w:right="459"/>
        <w:rPr>
          <w:rFonts w:cs="Arial"/>
          <w:sz w:val="18"/>
          <w:szCs w:val="16"/>
        </w:rPr>
      </w:pPr>
      <w:r>
        <w:rPr>
          <w:rFonts w:cs="Arial"/>
          <w:sz w:val="18"/>
          <w:szCs w:val="16"/>
        </w:rPr>
        <w:t>„</w:t>
      </w:r>
      <w:r w:rsidRPr="00EB776A">
        <w:rPr>
          <w:rFonts w:cs="Arial"/>
          <w:sz w:val="18"/>
          <w:szCs w:val="16"/>
        </w:rPr>
        <w:t>2</w:t>
      </w:r>
      <w:r>
        <w:rPr>
          <w:rFonts w:cs="Arial"/>
          <w:sz w:val="18"/>
          <w:szCs w:val="16"/>
        </w:rPr>
        <w:t>.</w:t>
      </w:r>
      <w:r w:rsidRPr="00163DB6">
        <w:rPr>
          <w:rFonts w:cs="Arial"/>
          <w:sz w:val="18"/>
          <w:szCs w:val="16"/>
        </w:rPr>
        <w:t xml:space="preserve">     </w:t>
      </w:r>
      <w:r w:rsidRPr="00EB776A">
        <w:rPr>
          <w:rFonts w:cs="Arial"/>
          <w:sz w:val="18"/>
          <w:szCs w:val="16"/>
        </w:rPr>
        <w:t xml:space="preserve">Kombinierte </w:t>
      </w:r>
      <w:r>
        <w:rPr>
          <w:rFonts w:cs="Arial"/>
          <w:sz w:val="18"/>
          <w:szCs w:val="16"/>
        </w:rPr>
        <w:t xml:space="preserve">Merkmale </w:t>
      </w:r>
    </w:p>
    <w:p w:rsidR="00874770" w:rsidRPr="00EB776A" w:rsidRDefault="00874770" w:rsidP="00874770">
      <w:pPr>
        <w:ind w:left="446" w:right="459"/>
        <w:rPr>
          <w:rFonts w:cs="Arial"/>
          <w:sz w:val="18"/>
          <w:szCs w:val="16"/>
        </w:rPr>
      </w:pPr>
    </w:p>
    <w:p w:rsidR="00874770" w:rsidRPr="00EB776A" w:rsidRDefault="00874770" w:rsidP="00874770">
      <w:pPr>
        <w:ind w:left="446" w:right="459"/>
        <w:rPr>
          <w:rFonts w:cs="Arial"/>
          <w:sz w:val="18"/>
          <w:szCs w:val="16"/>
        </w:rPr>
      </w:pPr>
      <w:r>
        <w:rPr>
          <w:rFonts w:cs="Arial"/>
          <w:sz w:val="18"/>
          <w:szCs w:val="16"/>
        </w:rPr>
        <w:t>„</w:t>
      </w:r>
      <w:r w:rsidRPr="00EB776A">
        <w:rPr>
          <w:rFonts w:cs="Arial"/>
          <w:sz w:val="18"/>
          <w:szCs w:val="16"/>
        </w:rPr>
        <w:t>2.1</w:t>
      </w:r>
      <w:r>
        <w:rPr>
          <w:rFonts w:cs="Arial"/>
          <w:sz w:val="18"/>
          <w:szCs w:val="16"/>
        </w:rPr>
        <w:t xml:space="preserve">   </w:t>
      </w:r>
      <w:r w:rsidRPr="00EB776A">
        <w:rPr>
          <w:rFonts w:cs="Arial"/>
          <w:sz w:val="18"/>
          <w:szCs w:val="16"/>
        </w:rPr>
        <w:t>Die Allgemeine Einführung (Dokument TG/1/3, Kapitel 4, Abschnitt 4) sagt aus:</w:t>
      </w:r>
    </w:p>
    <w:p w:rsidR="00874770" w:rsidRPr="00EB776A" w:rsidRDefault="00874770" w:rsidP="00874770">
      <w:pPr>
        <w:ind w:left="446" w:right="459"/>
        <w:rPr>
          <w:rFonts w:cs="Arial"/>
          <w:sz w:val="18"/>
          <w:szCs w:val="16"/>
        </w:rPr>
      </w:pPr>
    </w:p>
    <w:p w:rsidR="00874770" w:rsidRPr="00EB776A" w:rsidRDefault="00874770" w:rsidP="00874770">
      <w:pPr>
        <w:ind w:left="446" w:right="459"/>
        <w:rPr>
          <w:rFonts w:cs="Arial"/>
          <w:sz w:val="18"/>
          <w:szCs w:val="16"/>
        </w:rPr>
      </w:pPr>
      <w:r w:rsidRPr="00EB776A">
        <w:rPr>
          <w:rFonts w:cs="Arial"/>
          <w:sz w:val="18"/>
          <w:szCs w:val="16"/>
        </w:rPr>
        <w:t xml:space="preserve">‚4.6.3 </w:t>
      </w:r>
      <w:r>
        <w:rPr>
          <w:rFonts w:cs="Arial"/>
          <w:sz w:val="18"/>
          <w:szCs w:val="16"/>
        </w:rPr>
        <w:tab/>
      </w:r>
      <w:r w:rsidRPr="00EB776A">
        <w:rPr>
          <w:rFonts w:cs="Arial"/>
          <w:sz w:val="18"/>
          <w:szCs w:val="16"/>
        </w:rPr>
        <w:t xml:space="preserve">Kombinierte </w:t>
      </w:r>
      <w:r>
        <w:rPr>
          <w:rFonts w:cs="Arial"/>
          <w:sz w:val="18"/>
          <w:szCs w:val="16"/>
        </w:rPr>
        <w:t xml:space="preserve">Merkmale </w:t>
      </w:r>
    </w:p>
    <w:p w:rsidR="00874770" w:rsidRPr="00EB776A" w:rsidRDefault="00874770" w:rsidP="00874770">
      <w:pPr>
        <w:ind w:left="446" w:right="459"/>
        <w:rPr>
          <w:rFonts w:cs="Arial"/>
          <w:sz w:val="18"/>
          <w:szCs w:val="16"/>
        </w:rPr>
      </w:pPr>
    </w:p>
    <w:p w:rsidR="00874770" w:rsidRPr="00EB776A" w:rsidRDefault="00874770" w:rsidP="00874770">
      <w:pPr>
        <w:ind w:left="446" w:right="459"/>
        <w:rPr>
          <w:rFonts w:cs="Arial"/>
          <w:sz w:val="18"/>
          <w:szCs w:val="16"/>
        </w:rPr>
      </w:pPr>
      <w:r w:rsidRPr="00EB776A">
        <w:rPr>
          <w:rFonts w:cs="Arial"/>
          <w:sz w:val="18"/>
          <w:szCs w:val="16"/>
        </w:rPr>
        <w:t>‚</w:t>
      </w:r>
      <w:r>
        <w:rPr>
          <w:rFonts w:cs="Arial"/>
          <w:sz w:val="18"/>
          <w:szCs w:val="16"/>
        </w:rPr>
        <w:t>4.6.3.1</w:t>
      </w:r>
      <w:r>
        <w:rPr>
          <w:rFonts w:cs="Arial"/>
          <w:sz w:val="18"/>
          <w:szCs w:val="16"/>
        </w:rPr>
        <w:tab/>
      </w:r>
      <w:r w:rsidRPr="00EB776A">
        <w:rPr>
          <w:rFonts w:cs="Arial"/>
          <w:sz w:val="18"/>
          <w:szCs w:val="16"/>
        </w:rPr>
        <w:t xml:space="preserve">Ein kombiniertes Merkmal ist eine einfache Kombination weniger </w:t>
      </w:r>
      <w:r>
        <w:rPr>
          <w:rFonts w:cs="Arial"/>
          <w:sz w:val="18"/>
          <w:szCs w:val="16"/>
        </w:rPr>
        <w:t>Merkmale</w:t>
      </w:r>
      <w:r w:rsidRPr="00EB776A">
        <w:rPr>
          <w:rFonts w:cs="Arial"/>
          <w:sz w:val="18"/>
          <w:szCs w:val="16"/>
        </w:rPr>
        <w:t>.</w:t>
      </w:r>
      <w:r>
        <w:rPr>
          <w:rFonts w:cs="Arial"/>
          <w:sz w:val="18"/>
          <w:szCs w:val="16"/>
        </w:rPr>
        <w:t xml:space="preserve"> </w:t>
      </w:r>
      <w:r w:rsidRPr="00EB776A">
        <w:rPr>
          <w:rFonts w:cs="Arial"/>
          <w:sz w:val="18"/>
          <w:szCs w:val="16"/>
        </w:rPr>
        <w:t xml:space="preserve">Sofern die Kombination biologisch sinnvoll ist, können </w:t>
      </w:r>
      <w:r>
        <w:rPr>
          <w:rFonts w:cs="Arial"/>
          <w:sz w:val="18"/>
          <w:szCs w:val="16"/>
        </w:rPr>
        <w:t xml:space="preserve">Merkmale, </w:t>
      </w:r>
      <w:r w:rsidRPr="00EB776A">
        <w:rPr>
          <w:rFonts w:cs="Arial"/>
          <w:sz w:val="18"/>
          <w:szCs w:val="16"/>
        </w:rPr>
        <w:t>die getrennt erfaßt werden, anschließend kombiniert werden (beispielsweise das Verhältnis von Länge und Breite), um ein derartiges, kombiniertes Merkmal zu bilden.</w:t>
      </w:r>
      <w:r>
        <w:rPr>
          <w:rFonts w:cs="Arial"/>
          <w:sz w:val="18"/>
          <w:szCs w:val="16"/>
        </w:rPr>
        <w:t xml:space="preserve"> </w:t>
      </w:r>
    </w:p>
    <w:p w:rsidR="00874770" w:rsidRPr="00EB776A" w:rsidRDefault="00874770" w:rsidP="00874770">
      <w:pPr>
        <w:ind w:left="446" w:right="459"/>
        <w:rPr>
          <w:rFonts w:cs="Arial"/>
          <w:sz w:val="18"/>
          <w:szCs w:val="16"/>
        </w:rPr>
      </w:pPr>
      <w:r w:rsidRPr="00EB776A">
        <w:rPr>
          <w:rFonts w:cs="Arial"/>
          <w:sz w:val="18"/>
          <w:szCs w:val="16"/>
        </w:rPr>
        <w:t xml:space="preserve">Kombinierte </w:t>
      </w:r>
      <w:r>
        <w:rPr>
          <w:rFonts w:cs="Arial"/>
          <w:sz w:val="18"/>
          <w:szCs w:val="16"/>
        </w:rPr>
        <w:t xml:space="preserve">Merkmale </w:t>
      </w:r>
      <w:r w:rsidRPr="00EB776A">
        <w:rPr>
          <w:rFonts w:cs="Arial"/>
          <w:sz w:val="18"/>
          <w:szCs w:val="16"/>
        </w:rPr>
        <w:t xml:space="preserve">müssen im gleichen Umfang wie andere </w:t>
      </w:r>
      <w:r>
        <w:rPr>
          <w:rFonts w:cs="Arial"/>
          <w:sz w:val="18"/>
          <w:szCs w:val="16"/>
        </w:rPr>
        <w:t xml:space="preserve">Merkmale </w:t>
      </w:r>
      <w:r w:rsidRPr="00EB776A">
        <w:rPr>
          <w:rFonts w:cs="Arial"/>
          <w:sz w:val="18"/>
          <w:szCs w:val="16"/>
        </w:rPr>
        <w:t>auf Unterscheidbarkeit, Homogenität und Beständigkeit geprüft werden.</w:t>
      </w:r>
      <w:r>
        <w:rPr>
          <w:rFonts w:cs="Arial"/>
          <w:sz w:val="18"/>
          <w:szCs w:val="16"/>
        </w:rPr>
        <w:t xml:space="preserve"> </w:t>
      </w:r>
      <w:r w:rsidRPr="00EB776A">
        <w:rPr>
          <w:rFonts w:cs="Arial"/>
          <w:sz w:val="18"/>
          <w:szCs w:val="16"/>
        </w:rPr>
        <w:t xml:space="preserve">In einzelnen Fällen werden die kombinierten </w:t>
      </w:r>
      <w:r>
        <w:rPr>
          <w:rFonts w:cs="Arial"/>
          <w:sz w:val="18"/>
          <w:szCs w:val="16"/>
        </w:rPr>
        <w:t xml:space="preserve">Merkmale </w:t>
      </w:r>
      <w:r w:rsidRPr="00EB776A">
        <w:rPr>
          <w:rFonts w:cs="Arial"/>
          <w:sz w:val="18"/>
          <w:szCs w:val="16"/>
        </w:rPr>
        <w:t>unter Einsatz von Techniken wie der Bildanalyse geprüft.</w:t>
      </w:r>
      <w:r>
        <w:rPr>
          <w:rFonts w:cs="Arial"/>
          <w:sz w:val="18"/>
          <w:szCs w:val="16"/>
        </w:rPr>
        <w:t xml:space="preserve"> </w:t>
      </w:r>
      <w:r w:rsidRPr="00EB776A">
        <w:rPr>
          <w:rFonts w:cs="Arial"/>
          <w:sz w:val="18"/>
          <w:szCs w:val="16"/>
        </w:rPr>
        <w:t xml:space="preserve">Für diese Fälle sind die Verfahren für eine geeignete DUS Prüfung in Dokument TGP/12, ‚Besondere </w:t>
      </w:r>
      <w:r>
        <w:rPr>
          <w:rFonts w:cs="Arial"/>
          <w:sz w:val="18"/>
          <w:szCs w:val="16"/>
        </w:rPr>
        <w:t>Merkmale</w:t>
      </w:r>
      <w:r w:rsidRPr="00EB776A">
        <w:rPr>
          <w:rFonts w:cs="Arial"/>
          <w:sz w:val="18"/>
          <w:szCs w:val="16"/>
        </w:rPr>
        <w:t>‛, zu finden.‛</w:t>
      </w:r>
    </w:p>
    <w:p w:rsidR="00874770" w:rsidRPr="00EB776A" w:rsidRDefault="00874770" w:rsidP="00874770">
      <w:pPr>
        <w:ind w:left="446" w:right="459"/>
        <w:rPr>
          <w:rFonts w:cs="Arial"/>
          <w:sz w:val="18"/>
          <w:szCs w:val="16"/>
        </w:rPr>
      </w:pPr>
    </w:p>
    <w:p w:rsidR="00874770" w:rsidRPr="00EB776A" w:rsidRDefault="00874770" w:rsidP="00874770">
      <w:pPr>
        <w:ind w:left="446" w:right="459"/>
        <w:rPr>
          <w:rFonts w:cs="Arial"/>
          <w:sz w:val="18"/>
          <w:szCs w:val="16"/>
        </w:rPr>
      </w:pPr>
      <w:r>
        <w:rPr>
          <w:rFonts w:cs="Arial"/>
          <w:sz w:val="18"/>
          <w:szCs w:val="16"/>
        </w:rPr>
        <w:t>„</w:t>
      </w:r>
      <w:r w:rsidRPr="00EB776A">
        <w:rPr>
          <w:rFonts w:cs="Arial"/>
          <w:sz w:val="18"/>
          <w:szCs w:val="16"/>
        </w:rPr>
        <w:t xml:space="preserve">2.2 </w:t>
      </w:r>
      <w:r>
        <w:rPr>
          <w:rFonts w:cs="Arial"/>
          <w:sz w:val="18"/>
          <w:szCs w:val="16"/>
        </w:rPr>
        <w:t xml:space="preserve">  </w:t>
      </w:r>
      <w:r w:rsidRPr="00EB776A">
        <w:rPr>
          <w:rFonts w:cs="Arial"/>
          <w:sz w:val="18"/>
          <w:szCs w:val="16"/>
        </w:rPr>
        <w:t xml:space="preserve">Somit stellt die Allgemeine Einführung klar, daß der Einsatz der Bildanalyse ein mögliches Verfahren zur Prüfung von </w:t>
      </w:r>
      <w:r>
        <w:rPr>
          <w:rFonts w:cs="Arial"/>
          <w:sz w:val="18"/>
          <w:szCs w:val="16"/>
        </w:rPr>
        <w:t>Merkmalen</w:t>
      </w:r>
      <w:r w:rsidRPr="00EB776A">
        <w:rPr>
          <w:rFonts w:cs="Arial"/>
          <w:sz w:val="18"/>
          <w:szCs w:val="16"/>
        </w:rPr>
        <w:t xml:space="preserve"> ist, das die grundlegenden Anforderungen für die Verwendung bei der DUS-Prüfung erfüllt (vergleiche Dokument TG/1/3, Kapitel 4.2); hierzu gehört, daß diese </w:t>
      </w:r>
      <w:r>
        <w:rPr>
          <w:rFonts w:cs="Arial"/>
          <w:sz w:val="18"/>
          <w:szCs w:val="16"/>
        </w:rPr>
        <w:t xml:space="preserve">Merkmale </w:t>
      </w:r>
      <w:r w:rsidRPr="00EB776A">
        <w:rPr>
          <w:rFonts w:cs="Arial"/>
          <w:sz w:val="18"/>
          <w:szCs w:val="16"/>
        </w:rPr>
        <w:t>auf Homogenität und Beständigkeit geprüft werden müssen.</w:t>
      </w:r>
      <w:r>
        <w:rPr>
          <w:rFonts w:cs="Arial"/>
          <w:sz w:val="18"/>
          <w:szCs w:val="16"/>
        </w:rPr>
        <w:t xml:space="preserve"> </w:t>
      </w:r>
      <w:r w:rsidRPr="00EB776A">
        <w:rPr>
          <w:rFonts w:cs="Arial"/>
          <w:sz w:val="18"/>
          <w:szCs w:val="16"/>
        </w:rPr>
        <w:t xml:space="preserve">Hinsichtlich der kombinierten </w:t>
      </w:r>
      <w:r>
        <w:rPr>
          <w:rFonts w:cs="Arial"/>
          <w:sz w:val="18"/>
          <w:szCs w:val="16"/>
        </w:rPr>
        <w:t xml:space="preserve">Merkmale </w:t>
      </w:r>
      <w:r w:rsidRPr="00EB776A">
        <w:rPr>
          <w:rFonts w:cs="Arial"/>
          <w:sz w:val="18"/>
          <w:szCs w:val="16"/>
        </w:rPr>
        <w:t xml:space="preserve">erläutert die Allgemeine Einführung auch, daß diese </w:t>
      </w:r>
      <w:r>
        <w:rPr>
          <w:rFonts w:cs="Arial"/>
          <w:sz w:val="18"/>
          <w:szCs w:val="16"/>
        </w:rPr>
        <w:t xml:space="preserve">Merkmale </w:t>
      </w:r>
      <w:r w:rsidRPr="00EB776A">
        <w:rPr>
          <w:rFonts w:cs="Arial"/>
          <w:sz w:val="18"/>
          <w:szCs w:val="16"/>
        </w:rPr>
        <w:t>biologisch sinnvoll sein sollten</w:t>
      </w:r>
      <w:r>
        <w:rPr>
          <w:rFonts w:cs="Arial"/>
          <w:sz w:val="18"/>
          <w:szCs w:val="16"/>
        </w:rPr>
        <w:t>.</w:t>
      </w:r>
      <w:r w:rsidRPr="0008240A">
        <w:rPr>
          <w:sz w:val="18"/>
          <w:szCs w:val="18"/>
        </w:rPr>
        <w:t>“</w:t>
      </w:r>
      <w:r w:rsidRPr="0008240A">
        <w:rPr>
          <w:rFonts w:cs="Arial"/>
          <w:sz w:val="18"/>
          <w:szCs w:val="16"/>
        </w:rPr>
        <w:t xml:space="preserve"> </w:t>
      </w:r>
    </w:p>
    <w:p w:rsidR="00874770" w:rsidRPr="00EB776A" w:rsidRDefault="00874770" w:rsidP="00874770">
      <w:pPr>
        <w:tabs>
          <w:tab w:val="left" w:pos="913"/>
        </w:tabs>
        <w:spacing w:line="360" w:lineRule="auto"/>
      </w:pPr>
    </w:p>
    <w:p w:rsidR="00764DB0" w:rsidRPr="00764DB0" w:rsidRDefault="00874770" w:rsidP="00764DB0">
      <w:pPr>
        <w:ind w:left="426"/>
        <w:rPr>
          <w:iCs/>
          <w:sz w:val="18"/>
          <w:szCs w:val="18"/>
        </w:rPr>
      </w:pPr>
      <w:r w:rsidRPr="00874770">
        <w:rPr>
          <w:sz w:val="18"/>
          <w:szCs w:val="18"/>
        </w:rPr>
        <w:lastRenderedPageBreak/>
        <w:t>vii)</w:t>
      </w:r>
      <w:r w:rsidRPr="00874770">
        <w:rPr>
          <w:sz w:val="18"/>
          <w:szCs w:val="18"/>
        </w:rPr>
        <w:tab/>
        <w:t xml:space="preserve">Überarbeitung von Dokument TGP/8: Teil II: Neuer Abschnitt: </w:t>
      </w:r>
      <w:r w:rsidRPr="00874770">
        <w:rPr>
          <w:iCs/>
          <w:sz w:val="18"/>
          <w:szCs w:val="18"/>
        </w:rPr>
        <w:t>Statistische Verfahren für visuell erfaßte Merkmale</w:t>
      </w:r>
      <w:bookmarkEnd w:id="138"/>
    </w:p>
    <w:p w:rsidR="00F046AC" w:rsidRPr="007F63CD" w:rsidRDefault="00F046AC" w:rsidP="00F046AC">
      <w:pPr>
        <w:ind w:left="446" w:right="459"/>
        <w:rPr>
          <w:rFonts w:cs="Arial"/>
          <w:sz w:val="18"/>
          <w:szCs w:val="16"/>
        </w:rPr>
      </w:pPr>
    </w:p>
    <w:p w:rsidR="00874770" w:rsidRPr="00874770" w:rsidRDefault="00764DB0" w:rsidP="00874770">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874770" w:rsidRPr="00874770">
        <w:rPr>
          <w:rFonts w:cs="Arial"/>
          <w:lang w:eastAsia="en-US" w:bidi="ar-SA"/>
        </w:rPr>
        <w:t>Der TC prüfte Dokument TC/50/28.</w:t>
      </w:r>
    </w:p>
    <w:p w:rsidR="00874770" w:rsidRPr="00874770" w:rsidRDefault="00874770" w:rsidP="00874770">
      <w:pPr>
        <w:rPr>
          <w:rFonts w:cs="Arial"/>
          <w:lang w:eastAsia="en-US" w:bidi="ar-SA"/>
        </w:rPr>
      </w:pPr>
    </w:p>
    <w:p w:rsidR="00874770" w:rsidRPr="00874770" w:rsidRDefault="00874770" w:rsidP="00874770">
      <w:pPr>
        <w:rPr>
          <w:lang w:eastAsia="en-US" w:bidi="ar-SA"/>
        </w:rPr>
      </w:pPr>
      <w:r w:rsidRPr="00874770">
        <w:rPr>
          <w:lang w:val="en-US" w:eastAsia="en-US" w:bidi="ar-SA"/>
        </w:rPr>
        <w:fldChar w:fldCharType="begin"/>
      </w:r>
      <w:r w:rsidRPr="00874770">
        <w:rPr>
          <w:lang w:eastAsia="en-US" w:bidi="ar-SA"/>
        </w:rPr>
        <w:instrText xml:space="preserve"> AUTONUM  </w:instrText>
      </w:r>
      <w:r w:rsidRPr="00874770">
        <w:rPr>
          <w:lang w:val="en-US" w:eastAsia="en-US" w:bidi="ar-SA"/>
        </w:rPr>
        <w:fldChar w:fldCharType="end"/>
      </w:r>
      <w:r w:rsidRPr="00874770">
        <w:rPr>
          <w:lang w:eastAsia="en-US" w:bidi="ar-SA"/>
        </w:rPr>
        <w:tab/>
        <w:t>Der TC vereinbarte die Entwicklung eines neuen Verfahrens für multinomial verteilte Daten.</w:t>
      </w:r>
    </w:p>
    <w:p w:rsidR="00874770" w:rsidRPr="00874770" w:rsidRDefault="00874770" w:rsidP="00874770">
      <w:pPr>
        <w:rPr>
          <w:lang w:eastAsia="en-US" w:bidi="ar-SA"/>
        </w:rPr>
      </w:pPr>
    </w:p>
    <w:p w:rsidR="00874770" w:rsidRPr="00874770" w:rsidRDefault="00874770" w:rsidP="00874770">
      <w:pPr>
        <w:rPr>
          <w:lang w:eastAsia="en-US" w:bidi="ar-SA"/>
        </w:rPr>
      </w:pPr>
      <w:r w:rsidRPr="00874770">
        <w:rPr>
          <w:lang w:val="en-US" w:eastAsia="en-US" w:bidi="ar-SA"/>
        </w:rPr>
        <w:fldChar w:fldCharType="begin"/>
      </w:r>
      <w:r w:rsidRPr="00874770">
        <w:rPr>
          <w:lang w:eastAsia="en-US" w:bidi="ar-SA"/>
        </w:rPr>
        <w:instrText xml:space="preserve"> AUTONUM  </w:instrText>
      </w:r>
      <w:r w:rsidRPr="00874770">
        <w:rPr>
          <w:lang w:val="en-US" w:eastAsia="en-US" w:bidi="ar-SA"/>
        </w:rPr>
        <w:fldChar w:fldCharType="end"/>
      </w:r>
      <w:r w:rsidRPr="00874770">
        <w:rPr>
          <w:lang w:eastAsia="en-US" w:bidi="ar-SA"/>
        </w:rPr>
        <w:tab/>
        <w:t>Der TC ersuchte die TWC, die neue Methode für multinomial verteilte Daten mit dem Chi-Quadrat-Test zu vergleichen, wie in Dokument TC/50/28, Absatz 10, dargelegt.</w:t>
      </w:r>
    </w:p>
    <w:p w:rsidR="00874770" w:rsidRPr="00874770" w:rsidRDefault="00874770" w:rsidP="00874770">
      <w:pPr>
        <w:rPr>
          <w:lang w:eastAsia="en-US" w:bidi="ar-SA"/>
        </w:rPr>
      </w:pPr>
    </w:p>
    <w:p w:rsidR="00874770" w:rsidRPr="00874770" w:rsidRDefault="00874770" w:rsidP="00874770">
      <w:pPr>
        <w:rPr>
          <w:snapToGrid w:val="0"/>
          <w:lang w:eastAsia="en-US" w:bidi="ar-SA"/>
        </w:rPr>
      </w:pPr>
      <w:r w:rsidRPr="00874770">
        <w:rPr>
          <w:lang w:val="en-US" w:eastAsia="en-US" w:bidi="ar-SA"/>
        </w:rPr>
        <w:fldChar w:fldCharType="begin"/>
      </w:r>
      <w:r w:rsidRPr="00874770">
        <w:rPr>
          <w:lang w:eastAsia="en-US" w:bidi="ar-SA"/>
        </w:rPr>
        <w:instrText xml:space="preserve"> AUTONUM  </w:instrText>
      </w:r>
      <w:r w:rsidRPr="00874770">
        <w:rPr>
          <w:lang w:val="en-US" w:eastAsia="en-US" w:bidi="ar-SA"/>
        </w:rPr>
        <w:fldChar w:fldCharType="end"/>
      </w:r>
      <w:r w:rsidRPr="00874770">
        <w:rPr>
          <w:lang w:eastAsia="en-US" w:bidi="ar-SA"/>
        </w:rPr>
        <w:tab/>
        <w:t>Der TC ersuchte die TWC, einen geeigneten Sachverständigen für die Ausarbeitung eines Entwurfs für das Dokument zu benennen.</w:t>
      </w:r>
    </w:p>
    <w:p w:rsidR="00874770" w:rsidRPr="00874770" w:rsidRDefault="00874770" w:rsidP="00874770">
      <w:pPr>
        <w:spacing w:line="360" w:lineRule="auto"/>
        <w:rPr>
          <w:lang w:eastAsia="en-US" w:bidi="ar-SA"/>
        </w:rPr>
      </w:pPr>
    </w:p>
    <w:p w:rsidR="00874770" w:rsidRPr="00764DB0" w:rsidRDefault="00874770" w:rsidP="009C2B3F">
      <w:pPr>
        <w:pStyle w:val="Heading4"/>
      </w:pPr>
      <w:bookmarkStart w:id="139" w:name="_Toc378251530"/>
      <w:bookmarkStart w:id="140" w:name="_Toc381279991"/>
      <w:r w:rsidRPr="00764DB0">
        <w:t xml:space="preserve">TGP/14:  </w:t>
      </w:r>
      <w:bookmarkEnd w:id="139"/>
      <w:bookmarkEnd w:id="140"/>
      <w:r w:rsidRPr="00764DB0">
        <w:t>Glossar der in den UPOV-Dokumenten verwendeten Begriffe</w:t>
      </w:r>
    </w:p>
    <w:p w:rsidR="00874770" w:rsidRPr="00874770" w:rsidRDefault="00874770" w:rsidP="00874770">
      <w:pPr>
        <w:keepNext/>
        <w:rPr>
          <w:lang w:eastAsia="en-US" w:bidi="ar-SA"/>
        </w:rPr>
      </w:pPr>
    </w:p>
    <w:p w:rsidR="00874770" w:rsidRPr="00874770" w:rsidRDefault="00874770" w:rsidP="00874770">
      <w:pPr>
        <w:keepNext/>
        <w:ind w:left="567"/>
        <w:rPr>
          <w:i/>
          <w:iCs/>
          <w:lang w:eastAsia="en-US" w:bidi="ar-SA"/>
        </w:rPr>
      </w:pPr>
      <w:bookmarkStart w:id="141" w:name="_Toc374385131"/>
      <w:bookmarkStart w:id="142" w:name="_Toc374631069"/>
      <w:bookmarkStart w:id="143" w:name="_Toc374632541"/>
      <w:bookmarkStart w:id="144" w:name="_Toc374635741"/>
      <w:bookmarkStart w:id="145" w:name="_Toc378251531"/>
      <w:bookmarkStart w:id="146" w:name="_Toc381279992"/>
      <w:r w:rsidRPr="00874770">
        <w:rPr>
          <w:i/>
          <w:lang w:eastAsia="en-US" w:bidi="ar-SA"/>
        </w:rPr>
        <w:t xml:space="preserve">Überarbeitung von Dokument TGP/14: Abschnitt 2: </w:t>
      </w:r>
      <w:bookmarkEnd w:id="141"/>
      <w:bookmarkEnd w:id="142"/>
      <w:bookmarkEnd w:id="143"/>
      <w:bookmarkEnd w:id="144"/>
      <w:bookmarkEnd w:id="145"/>
      <w:bookmarkEnd w:id="146"/>
      <w:r w:rsidRPr="00874770">
        <w:rPr>
          <w:i/>
          <w:iCs/>
          <w:lang w:eastAsia="en-US" w:bidi="ar-SA"/>
        </w:rPr>
        <w:t>Botanische Begriffe, Unterabschnitt 3: Farbe: Begriffsbestimmung von „Dot“ (Punkt)</w:t>
      </w:r>
    </w:p>
    <w:p w:rsidR="00874770" w:rsidRPr="00874770" w:rsidRDefault="00874770" w:rsidP="00874770">
      <w:pPr>
        <w:keepNext/>
        <w:rPr>
          <w:lang w:eastAsia="en-US" w:bidi="ar-SA"/>
        </w:rPr>
      </w:pPr>
    </w:p>
    <w:p w:rsidR="00874770" w:rsidRPr="00874770" w:rsidRDefault="00874770" w:rsidP="00874770">
      <w:pPr>
        <w:rPr>
          <w:rFonts w:cs="Arial"/>
          <w:lang w:eastAsia="en-US" w:bidi="ar-SA"/>
        </w:rPr>
      </w:pPr>
      <w:r w:rsidRPr="00874770">
        <w:rPr>
          <w:rFonts w:cs="Arial"/>
          <w:lang w:val="en-US" w:eastAsia="en-US" w:bidi="ar-SA"/>
        </w:rPr>
        <w:fldChar w:fldCharType="begin"/>
      </w:r>
      <w:r w:rsidRPr="00874770">
        <w:rPr>
          <w:rFonts w:cs="Arial"/>
          <w:lang w:eastAsia="en-US" w:bidi="ar-SA"/>
        </w:rPr>
        <w:instrText xml:space="preserve"> AUTONUM  </w:instrText>
      </w:r>
      <w:r w:rsidRPr="00874770">
        <w:rPr>
          <w:rFonts w:cs="Arial"/>
          <w:lang w:val="en-US" w:eastAsia="en-US" w:bidi="ar-SA"/>
        </w:rPr>
        <w:fldChar w:fldCharType="end"/>
      </w:r>
      <w:r w:rsidRPr="00874770">
        <w:rPr>
          <w:rFonts w:cs="Arial"/>
          <w:lang w:eastAsia="en-US" w:bidi="ar-SA"/>
        </w:rPr>
        <w:tab/>
        <w:t>Der TC prüfte Dokument TC/50/29 und vereinbarte, keine Begriffsbestimmung von „dot“(Punkt) zur Aufnahme in Dokument TGP/14, Abschnitt 2: „Botanische Begriffe, Unterabschnitt 3: Farbe“, auszuarbeiten.</w:t>
      </w:r>
    </w:p>
    <w:p w:rsidR="00874770" w:rsidRPr="00874770" w:rsidRDefault="00874770" w:rsidP="00874770">
      <w:pPr>
        <w:rPr>
          <w:lang w:eastAsia="en-US" w:bidi="ar-SA"/>
        </w:rPr>
      </w:pPr>
    </w:p>
    <w:p w:rsidR="00874770" w:rsidRPr="00764DB0" w:rsidRDefault="00874770" w:rsidP="00874770">
      <w:pPr>
        <w:keepNext/>
        <w:outlineLvl w:val="1"/>
        <w:rPr>
          <w:rFonts w:eastAsia="MS Mincho"/>
          <w:i/>
          <w:lang w:eastAsia="en-US" w:bidi="ar-SA"/>
        </w:rPr>
      </w:pPr>
      <w:bookmarkStart w:id="147" w:name="_Toc395605382"/>
      <w:r w:rsidRPr="00764DB0">
        <w:rPr>
          <w:rFonts w:eastAsia="MS Mincho"/>
          <w:i/>
          <w:lang w:eastAsia="en-US" w:bidi="ar-SA"/>
        </w:rPr>
        <w:t>Neue Vorschläge für künftige Überarbeitungen von TGP-Dokumenten</w:t>
      </w:r>
      <w:bookmarkEnd w:id="147"/>
    </w:p>
    <w:p w:rsidR="00874770" w:rsidRPr="00874770" w:rsidRDefault="00874770" w:rsidP="00874770">
      <w:pPr>
        <w:keepNext/>
        <w:rPr>
          <w:lang w:eastAsia="en-US" w:bidi="ar-SA"/>
        </w:rPr>
      </w:pPr>
    </w:p>
    <w:p w:rsidR="00874770" w:rsidRPr="00874770" w:rsidRDefault="00874770" w:rsidP="009C2B3F">
      <w:pPr>
        <w:pStyle w:val="Heading4"/>
        <w:rPr>
          <w:i w:val="0"/>
          <w:lang w:eastAsia="en-US" w:bidi="ar-SA"/>
        </w:rPr>
      </w:pPr>
      <w:r w:rsidRPr="00874770">
        <w:rPr>
          <w:i w:val="0"/>
          <w:lang w:eastAsia="en-US" w:bidi="ar-SA"/>
        </w:rPr>
        <w:t xml:space="preserve">TGP/7:  Erstellung von Prüfungsrichtlinien </w:t>
      </w:r>
    </w:p>
    <w:p w:rsidR="00874770" w:rsidRPr="00874770" w:rsidRDefault="00874770" w:rsidP="00874770">
      <w:pPr>
        <w:keepNext/>
        <w:rPr>
          <w:lang w:eastAsia="en-US" w:bidi="ar-SA"/>
        </w:rPr>
      </w:pPr>
    </w:p>
    <w:p w:rsidR="00874770" w:rsidRPr="00874770" w:rsidRDefault="00874770" w:rsidP="00874770">
      <w:pPr>
        <w:keepNext/>
        <w:numPr>
          <w:ilvl w:val="0"/>
          <w:numId w:val="32"/>
        </w:numPr>
        <w:outlineLvl w:val="3"/>
        <w:rPr>
          <w:i/>
          <w:iCs/>
          <w:lang w:eastAsia="en-US" w:bidi="ar-SA"/>
        </w:rPr>
      </w:pPr>
      <w:bookmarkStart w:id="148" w:name="_Toc378687969"/>
      <w:bookmarkStart w:id="149" w:name="_Toc381285487"/>
      <w:r w:rsidRPr="00874770">
        <w:rPr>
          <w:i/>
          <w:iCs/>
          <w:lang w:eastAsia="en-US" w:bidi="ar-SA"/>
        </w:rPr>
        <w:t>Geltungsbereich der Prüfungsrichtlinien</w:t>
      </w:r>
      <w:bookmarkEnd w:id="148"/>
      <w:bookmarkEnd w:id="149"/>
    </w:p>
    <w:p w:rsidR="00874770" w:rsidRPr="00874770" w:rsidRDefault="00874770" w:rsidP="00874770">
      <w:pPr>
        <w:keepNext/>
        <w:rPr>
          <w:lang w:val="en-US" w:eastAsia="en-US" w:bidi="ar-SA"/>
        </w:rPr>
      </w:pPr>
    </w:p>
    <w:p w:rsidR="00874770" w:rsidRPr="00874770" w:rsidRDefault="00874770" w:rsidP="00874770">
      <w:pPr>
        <w:rPr>
          <w:rFonts w:cs="Arial"/>
          <w:snapToGrid w:val="0"/>
          <w:lang w:eastAsia="en-US" w:bidi="ar-SA"/>
        </w:rPr>
      </w:pPr>
      <w:r w:rsidRPr="00874770">
        <w:rPr>
          <w:lang w:val="en-US" w:eastAsia="en-US" w:bidi="ar-SA"/>
        </w:rPr>
        <w:fldChar w:fldCharType="begin"/>
      </w:r>
      <w:r w:rsidRPr="00874770">
        <w:rPr>
          <w:lang w:eastAsia="en-US" w:bidi="ar-SA"/>
        </w:rPr>
        <w:instrText xml:space="preserve"> AUTONUM  </w:instrText>
      </w:r>
      <w:r w:rsidRPr="00874770">
        <w:rPr>
          <w:lang w:val="en-US" w:eastAsia="en-US" w:bidi="ar-SA"/>
        </w:rPr>
        <w:fldChar w:fldCharType="end"/>
      </w:r>
      <w:r w:rsidRPr="00874770">
        <w:rPr>
          <w:lang w:eastAsia="en-US" w:bidi="ar-SA"/>
        </w:rPr>
        <w:tab/>
        <w:t xml:space="preserve">Der TC vereinbarte, das Verbandsbüro zu ersuchen, eine Anleitung für Prüfungsrichtlinien auszuarbeiten, die auf der Grundlage von Sorten mit einer Vermehrungsart erarbeitet werden, wenn die Sorten künftig mit anderen Vermehrungsarten entwickelt werden könnten. </w:t>
      </w:r>
    </w:p>
    <w:p w:rsidR="00874770" w:rsidRPr="00874770" w:rsidRDefault="00874770" w:rsidP="00874770">
      <w:pPr>
        <w:rPr>
          <w:lang w:eastAsia="en-US" w:bidi="ar-SA"/>
        </w:rPr>
      </w:pPr>
    </w:p>
    <w:p w:rsidR="00874770" w:rsidRPr="00874770" w:rsidRDefault="00874770" w:rsidP="00874770">
      <w:pPr>
        <w:keepNext/>
        <w:ind w:left="993" w:hanging="426"/>
        <w:rPr>
          <w:i/>
          <w:lang w:eastAsia="en-US" w:bidi="ar-SA"/>
        </w:rPr>
      </w:pPr>
      <w:r w:rsidRPr="00874770">
        <w:rPr>
          <w:i/>
          <w:lang w:eastAsia="en-US" w:bidi="ar-SA"/>
        </w:rPr>
        <w:t>ii)</w:t>
      </w:r>
      <w:r w:rsidRPr="00874770">
        <w:rPr>
          <w:i/>
          <w:lang w:eastAsia="en-US" w:bidi="ar-SA"/>
        </w:rPr>
        <w:tab/>
        <w:t>Überarbeitung von Dokument TGP/7:  Anleitung für Verfasser von Prüfungsrichtlinien</w:t>
      </w:r>
    </w:p>
    <w:p w:rsidR="00874770" w:rsidRPr="00874770" w:rsidRDefault="00874770" w:rsidP="00874770">
      <w:pPr>
        <w:keepNext/>
        <w:rPr>
          <w:lang w:eastAsia="en-US" w:bidi="ar-SA"/>
        </w:rPr>
      </w:pPr>
    </w:p>
    <w:p w:rsidR="00874770" w:rsidRPr="00874770" w:rsidRDefault="00874770" w:rsidP="00874770">
      <w:pPr>
        <w:rPr>
          <w:rFonts w:cs="Arial"/>
          <w:snapToGrid w:val="0"/>
          <w:lang w:eastAsia="en-US" w:bidi="ar-SA"/>
        </w:rPr>
      </w:pPr>
      <w:r w:rsidRPr="00874770">
        <w:rPr>
          <w:lang w:val="en-US" w:eastAsia="en-US" w:bidi="ar-SA"/>
        </w:rPr>
        <w:fldChar w:fldCharType="begin"/>
      </w:r>
      <w:r w:rsidRPr="00874770">
        <w:rPr>
          <w:lang w:eastAsia="en-US" w:bidi="ar-SA"/>
        </w:rPr>
        <w:instrText xml:space="preserve"> AUTONUM  </w:instrText>
      </w:r>
      <w:r w:rsidRPr="00874770">
        <w:rPr>
          <w:lang w:val="en-US" w:eastAsia="en-US" w:bidi="ar-SA"/>
        </w:rPr>
        <w:fldChar w:fldCharType="end"/>
      </w:r>
      <w:r w:rsidRPr="00874770">
        <w:rPr>
          <w:lang w:eastAsia="en-US" w:bidi="ar-SA"/>
        </w:rPr>
        <w:tab/>
        <w:t>Der TC vereinbarte, daß Dokument TGP/7, Abschnitt 4.3: „Anleitung für Verfasser von Prüfungsrichtlinien“ und Anlage 4 „Sammlung gebilligter Merkmale“ überarbeitet werden sollten, vorbehaltlich der Einführung der neuen elektronischen TG-Mustervorlage im Jahr 2014.</w:t>
      </w:r>
    </w:p>
    <w:p w:rsidR="00874770" w:rsidRPr="00874770" w:rsidRDefault="00874770" w:rsidP="009C2B3F">
      <w:pPr>
        <w:pStyle w:val="Heading4"/>
        <w:rPr>
          <w:rFonts w:cs="Arial"/>
          <w:lang w:eastAsia="en-US" w:bidi="ar-SA"/>
        </w:rPr>
      </w:pPr>
    </w:p>
    <w:p w:rsidR="00874770" w:rsidRPr="00874770" w:rsidRDefault="00874770" w:rsidP="009C2B3F">
      <w:pPr>
        <w:pStyle w:val="Heading4"/>
        <w:rPr>
          <w:i w:val="0"/>
          <w:lang w:eastAsia="en-US" w:bidi="ar-SA"/>
        </w:rPr>
      </w:pPr>
      <w:r w:rsidRPr="00874770">
        <w:rPr>
          <w:i w:val="0"/>
          <w:lang w:eastAsia="en-US" w:bidi="ar-SA"/>
        </w:rPr>
        <w:t>TGP/9:  Prüfung der Unterscheidbarkeit</w:t>
      </w:r>
    </w:p>
    <w:p w:rsidR="00874770" w:rsidRPr="00874770" w:rsidRDefault="00874770" w:rsidP="00874770">
      <w:pPr>
        <w:keepNext/>
        <w:rPr>
          <w:lang w:eastAsia="en-US" w:bidi="ar-SA"/>
        </w:rPr>
      </w:pPr>
    </w:p>
    <w:p w:rsidR="00874770" w:rsidRPr="00874770" w:rsidRDefault="00874770" w:rsidP="00874770">
      <w:pPr>
        <w:keepNext/>
        <w:numPr>
          <w:ilvl w:val="0"/>
          <w:numId w:val="33"/>
        </w:numPr>
        <w:outlineLvl w:val="3"/>
        <w:rPr>
          <w:i/>
          <w:iCs/>
          <w:lang w:eastAsia="en-US" w:bidi="ar-SA"/>
        </w:rPr>
      </w:pPr>
      <w:bookmarkStart w:id="150" w:name="_Toc378687972"/>
      <w:bookmarkStart w:id="151" w:name="_Toc381285490"/>
      <w:r w:rsidRPr="00874770">
        <w:rPr>
          <w:i/>
          <w:iCs/>
          <w:lang w:eastAsia="en-US" w:bidi="ar-SA"/>
        </w:rPr>
        <w:t>Erfassungsmethode</w:t>
      </w:r>
      <w:bookmarkEnd w:id="150"/>
      <w:bookmarkEnd w:id="151"/>
    </w:p>
    <w:p w:rsidR="00874770" w:rsidRPr="00874770" w:rsidRDefault="00874770" w:rsidP="00874770">
      <w:pPr>
        <w:keepNext/>
        <w:rPr>
          <w:lang w:val="en-US" w:eastAsia="en-US" w:bidi="ar-SA"/>
        </w:rPr>
      </w:pPr>
    </w:p>
    <w:p w:rsidR="00874770" w:rsidRPr="00874770" w:rsidRDefault="00874770" w:rsidP="00874770">
      <w:pPr>
        <w:rPr>
          <w:rFonts w:cs="Arial"/>
          <w:snapToGrid w:val="0"/>
          <w:lang w:eastAsia="en-US" w:bidi="ar-SA"/>
        </w:rPr>
      </w:pPr>
      <w:r w:rsidRPr="00874770">
        <w:rPr>
          <w:lang w:val="en-US" w:eastAsia="en-US" w:bidi="ar-SA"/>
        </w:rPr>
        <w:fldChar w:fldCharType="begin"/>
      </w:r>
      <w:r w:rsidRPr="00874770">
        <w:rPr>
          <w:lang w:eastAsia="en-US" w:bidi="ar-SA"/>
        </w:rPr>
        <w:instrText xml:space="preserve"> AUTONUM  </w:instrText>
      </w:r>
      <w:r w:rsidRPr="00874770">
        <w:rPr>
          <w:lang w:val="en-US" w:eastAsia="en-US" w:bidi="ar-SA"/>
        </w:rPr>
        <w:fldChar w:fldCharType="end"/>
      </w:r>
      <w:r w:rsidRPr="00874770">
        <w:rPr>
          <w:lang w:eastAsia="en-US" w:bidi="ar-SA"/>
        </w:rPr>
        <w:tab/>
        <w:t>Der TC vereinbarte, daß Beispiele und Abbildungen zur Erläuterung einer einmaligen Messung (MG) an Pflanzenteilen vom Verbandsbüro zusammengestellt und den TWP zur Aufnahme in eine künftige Überarbeitung von Dokument TGP/9, Unterabschnitte 4.3.2 und 4.3.4, vorgelegt werden sollten.</w:t>
      </w:r>
    </w:p>
    <w:p w:rsidR="00874770" w:rsidRPr="00874770" w:rsidRDefault="00874770" w:rsidP="00874770">
      <w:pPr>
        <w:rPr>
          <w:lang w:eastAsia="en-US" w:bidi="ar-SA"/>
        </w:rPr>
      </w:pPr>
    </w:p>
    <w:p w:rsidR="00874770" w:rsidRPr="00874770" w:rsidRDefault="00874770" w:rsidP="00874770">
      <w:pPr>
        <w:keepNext/>
        <w:numPr>
          <w:ilvl w:val="0"/>
          <w:numId w:val="33"/>
        </w:numPr>
        <w:outlineLvl w:val="3"/>
        <w:rPr>
          <w:i/>
          <w:iCs/>
          <w:lang w:eastAsia="en-US" w:bidi="ar-SA"/>
        </w:rPr>
      </w:pPr>
      <w:bookmarkStart w:id="152" w:name="_Toc378687973"/>
      <w:bookmarkStart w:id="153" w:name="_Toc381285491"/>
      <w:r w:rsidRPr="00874770">
        <w:rPr>
          <w:i/>
          <w:iCs/>
          <w:lang w:eastAsia="en-US" w:bidi="ar-SA"/>
        </w:rPr>
        <w:t>Schematischer Überblick über die TGP-Dokumente zur Unterscheidbarkeit</w:t>
      </w:r>
      <w:bookmarkEnd w:id="152"/>
      <w:bookmarkEnd w:id="153"/>
    </w:p>
    <w:p w:rsidR="00874770" w:rsidRPr="00874770" w:rsidRDefault="00874770" w:rsidP="00874770">
      <w:pPr>
        <w:keepNext/>
        <w:rPr>
          <w:lang w:eastAsia="en-US" w:bidi="ar-SA"/>
        </w:rPr>
      </w:pPr>
    </w:p>
    <w:p w:rsidR="00874770" w:rsidRPr="00874770" w:rsidRDefault="00874770" w:rsidP="00874770">
      <w:pPr>
        <w:rPr>
          <w:lang w:eastAsia="en-US" w:bidi="ar-SA"/>
        </w:rPr>
      </w:pPr>
      <w:r w:rsidRPr="00874770">
        <w:rPr>
          <w:lang w:eastAsia="en-US" w:bidi="ar-SA"/>
        </w:rPr>
        <w:fldChar w:fldCharType="begin"/>
      </w:r>
      <w:r w:rsidRPr="00874770">
        <w:rPr>
          <w:lang w:eastAsia="en-US" w:bidi="ar-SA"/>
        </w:rPr>
        <w:instrText xml:space="preserve"> AUTONUM  </w:instrText>
      </w:r>
      <w:r w:rsidRPr="00874770">
        <w:rPr>
          <w:lang w:eastAsia="en-US" w:bidi="ar-SA"/>
        </w:rPr>
        <w:fldChar w:fldCharType="end"/>
      </w:r>
      <w:r w:rsidRPr="00874770">
        <w:rPr>
          <w:lang w:eastAsia="en-US" w:bidi="ar-SA"/>
        </w:rPr>
        <w:tab/>
        <w:t>Der TC prüfte die Überarbeitung des Flußdiagramms in TGP/9, wie in Dokument TC/50/5, Absatz 34, dargelegt, und vereinbarte, daß es in Verbindung mit anderen etwaigen Änderungen, die in Dokumente TGP/4 „Errichtung und Erhaltung von Sortensammlungen“ und TGP/9 „Prüfung der Unterscheidbarkeit“ als Ergebnis der Annahme von Dokument UPOV/INF/15 „Anleitung über die laufenden Verpflichtungen der Verbandsmitglieder und die damit verbundenen Notifizierungen und zur Erteilung von Informationen zu Erleichterung der Zusammenarbeit“ aufgenommen werden sollen, überprüft werden solle.</w:t>
      </w:r>
    </w:p>
    <w:p w:rsidR="00874770" w:rsidRPr="00874770" w:rsidRDefault="00874770" w:rsidP="00874770">
      <w:pPr>
        <w:rPr>
          <w:i/>
          <w:lang w:eastAsia="en-US" w:bidi="ar-SA"/>
        </w:rPr>
      </w:pPr>
    </w:p>
    <w:p w:rsidR="00874770" w:rsidRPr="00874770" w:rsidRDefault="00874770" w:rsidP="009C2B3F">
      <w:pPr>
        <w:pStyle w:val="Heading4"/>
        <w:rPr>
          <w:i w:val="0"/>
          <w:lang w:eastAsia="en-US" w:bidi="ar-SA"/>
        </w:rPr>
      </w:pPr>
      <w:r w:rsidRPr="00874770">
        <w:rPr>
          <w:i w:val="0"/>
          <w:lang w:eastAsia="en-US" w:bidi="ar-SA"/>
        </w:rPr>
        <w:t>TGP/14:  Glossar der in den UPOV-Dokumenten verwendeten Begriffe</w:t>
      </w:r>
    </w:p>
    <w:p w:rsidR="00F046AC" w:rsidRPr="00290F6F" w:rsidRDefault="00F046AC" w:rsidP="00F046AC">
      <w:pPr>
        <w:keepNext/>
      </w:pPr>
    </w:p>
    <w:p w:rsidR="00874770" w:rsidRPr="009E765B" w:rsidRDefault="00874770" w:rsidP="00874770">
      <w:pPr>
        <w:keepNext/>
        <w:ind w:left="567"/>
        <w:rPr>
          <w:i/>
        </w:rPr>
      </w:pPr>
      <w:r w:rsidRPr="00075797">
        <w:rPr>
          <w:i/>
        </w:rPr>
        <w:t>Abschnitt 2.4</w:t>
      </w:r>
      <w:r w:rsidRPr="009E765B">
        <w:rPr>
          <w:i/>
        </w:rPr>
        <w:t>:  Merkmale für die Form des Apex/der Spitze</w:t>
      </w:r>
    </w:p>
    <w:p w:rsidR="00874770" w:rsidRPr="009E765B" w:rsidRDefault="00874770" w:rsidP="00874770">
      <w:pPr>
        <w:keepNext/>
        <w:rPr>
          <w:i/>
        </w:rPr>
      </w:pPr>
    </w:p>
    <w:p w:rsidR="00874770" w:rsidRPr="00011217" w:rsidRDefault="00874770" w:rsidP="00874770">
      <w:pPr>
        <w:rPr>
          <w:rFonts w:cs="Arial"/>
          <w:snapToGrid w:val="0"/>
        </w:rPr>
      </w:pPr>
      <w:r w:rsidRPr="00290F6F">
        <w:fldChar w:fldCharType="begin"/>
      </w:r>
      <w:r w:rsidRPr="00011217">
        <w:instrText xml:space="preserve"> AUTONUM  </w:instrText>
      </w:r>
      <w:r w:rsidRPr="00290F6F">
        <w:fldChar w:fldCharType="end"/>
      </w:r>
      <w:r w:rsidRPr="00011217">
        <w:tab/>
      </w:r>
      <w:r>
        <w:t>Der TC</w:t>
      </w:r>
      <w:r w:rsidRPr="00011217">
        <w:t xml:space="preserve"> </w:t>
      </w:r>
      <w:r>
        <w:t>ersuchte</w:t>
      </w:r>
      <w:r w:rsidRPr="00011217">
        <w:t xml:space="preserve"> </w:t>
      </w:r>
      <w:r>
        <w:t xml:space="preserve">das </w:t>
      </w:r>
      <w:r w:rsidRPr="00011217">
        <w:t>Verbandsbüro</w:t>
      </w:r>
      <w:r>
        <w:t xml:space="preserve">, eine </w:t>
      </w:r>
      <w:r w:rsidRPr="00011217">
        <w:t>Erläuterung, daß es in einigen Fällen bei einem Merkmal zum Apex möglich sein könnte, eine Ausprägungsstufe aufgrund einer differenzierten Spitze aufzunehmen</w:t>
      </w:r>
      <w:r>
        <w:t>, zur Prüfung durch die TWP auf ihren Tagungen im Jahr 2014 auszu</w:t>
      </w:r>
      <w:r w:rsidRPr="00011217">
        <w:t>arbeite</w:t>
      </w:r>
      <w:r>
        <w:t>n.</w:t>
      </w:r>
    </w:p>
    <w:p w:rsidR="00F046AC" w:rsidRPr="00290F6F" w:rsidRDefault="00F046AC" w:rsidP="00F046AC">
      <w:pPr>
        <w:rPr>
          <w:rFonts w:cs="Arial"/>
          <w:snapToGrid w:val="0"/>
        </w:rPr>
      </w:pPr>
      <w:r>
        <w:t>.</w:t>
      </w:r>
    </w:p>
    <w:p w:rsidR="00F046AC" w:rsidRDefault="00F046AC" w:rsidP="00F046AC"/>
    <w:p w:rsidR="00F046AC" w:rsidRPr="00245163" w:rsidRDefault="00EE0613" w:rsidP="00764DB0">
      <w:pPr>
        <w:pStyle w:val="Heading3"/>
      </w:pPr>
      <w:bookmarkStart w:id="154" w:name="_Toc393187152"/>
      <w:bookmarkStart w:id="155" w:name="_Toc395605383"/>
      <w:r>
        <w:t>Program</w:t>
      </w:r>
      <w:r w:rsidR="00874770">
        <w:t>m für die Ausarbeitung von</w:t>
      </w:r>
      <w:r>
        <w:t xml:space="preserve"> </w:t>
      </w:r>
      <w:r w:rsidR="00874770">
        <w:t>TGP-Dok</w:t>
      </w:r>
      <w:r>
        <w:t>ument</w:t>
      </w:r>
      <w:bookmarkEnd w:id="154"/>
      <w:r w:rsidR="00874770">
        <w:t>en</w:t>
      </w:r>
      <w:bookmarkEnd w:id="155"/>
    </w:p>
    <w:p w:rsidR="00F046AC" w:rsidRPr="00DA2B9D" w:rsidRDefault="00F046AC" w:rsidP="00F046AC">
      <w:pPr>
        <w:keepNext/>
        <w:rPr>
          <w:rFonts w:cs="Arial"/>
          <w:i/>
          <w:color w:val="000000"/>
        </w:rPr>
      </w:pPr>
    </w:p>
    <w:p w:rsidR="00874770" w:rsidRPr="00994CAF" w:rsidRDefault="00F046AC" w:rsidP="00874770">
      <w:r w:rsidRPr="003A75ED">
        <w:fldChar w:fldCharType="begin"/>
      </w:r>
      <w:r w:rsidRPr="003A75ED">
        <w:instrText xml:space="preserve"> AUTONUM  </w:instrText>
      </w:r>
      <w:r w:rsidRPr="003A75ED">
        <w:fldChar w:fldCharType="end"/>
      </w:r>
      <w:r>
        <w:tab/>
      </w:r>
      <w:r w:rsidR="00874770">
        <w:t>Der TC</w:t>
      </w:r>
      <w:r w:rsidR="00874770" w:rsidRPr="00994CAF">
        <w:t xml:space="preserve"> vereinbarte, die Überarbeitung von Dokument TGP/9 </w:t>
      </w:r>
      <w:r w:rsidR="00874770">
        <w:t>ins Jahr</w:t>
      </w:r>
      <w:r w:rsidR="00874770" w:rsidRPr="00994CAF">
        <w:t xml:space="preserve"> 2015</w:t>
      </w:r>
      <w:r w:rsidR="00874770">
        <w:t xml:space="preserve"> zu verschieben</w:t>
      </w:r>
      <w:r w:rsidR="00874770" w:rsidRPr="00994CAF">
        <w:t>.</w:t>
      </w:r>
    </w:p>
    <w:p w:rsidR="00874770" w:rsidRPr="00994CAF" w:rsidRDefault="00874770" w:rsidP="00874770"/>
    <w:p w:rsidR="00874770" w:rsidRPr="00D251B8" w:rsidRDefault="00874770" w:rsidP="00874770">
      <w:r w:rsidRPr="00290F6F">
        <w:fldChar w:fldCharType="begin"/>
      </w:r>
      <w:r w:rsidRPr="00D251B8">
        <w:instrText xml:space="preserve"> AUTONUM  </w:instrText>
      </w:r>
      <w:r w:rsidRPr="00290F6F">
        <w:fldChar w:fldCharType="end"/>
      </w:r>
      <w:r w:rsidRPr="00D251B8">
        <w:tab/>
        <w:t xml:space="preserve">Der TC vereinbarte das Programm für </w:t>
      </w:r>
      <w:r>
        <w:t xml:space="preserve">die </w:t>
      </w:r>
      <w:r w:rsidRPr="00D251B8">
        <w:t xml:space="preserve">Erarbeitung von TGP-Dokumenten, </w:t>
      </w:r>
      <w:r w:rsidR="007E1EF5">
        <w:t xml:space="preserve">wie in der </w:t>
      </w:r>
      <w:r>
        <w:t>Anlage</w:t>
      </w:r>
      <w:r w:rsidR="007E1EF5">
        <w:t xml:space="preserve"> dieses Dokuments</w:t>
      </w:r>
      <w:r>
        <w:t xml:space="preserve"> dargelegt,</w:t>
      </w:r>
      <w:r w:rsidRPr="00D251B8">
        <w:t xml:space="preserve"> </w:t>
      </w:r>
      <w:r>
        <w:t>vorbehaltlich seiner Entschließungen, wie oben genannt</w:t>
      </w:r>
      <w:r w:rsidRPr="00D251B8">
        <w:t xml:space="preserve">, </w:t>
      </w:r>
      <w:r>
        <w:t>über Angelegenheiten</w:t>
      </w:r>
      <w:r w:rsidRPr="00D251B8">
        <w:t xml:space="preserve"> </w:t>
      </w:r>
      <w:r>
        <w:t>betreffend</w:t>
      </w:r>
      <w:r w:rsidRPr="00D251B8">
        <w:t xml:space="preserve"> TGP-Dokumente.</w:t>
      </w:r>
    </w:p>
    <w:p w:rsidR="00AC5D8F" w:rsidRDefault="00AC5D8F">
      <w:pPr>
        <w:jc w:val="left"/>
      </w:pPr>
    </w:p>
    <w:p w:rsidR="0011365B" w:rsidRDefault="0011365B">
      <w:pPr>
        <w:jc w:val="left"/>
      </w:pPr>
    </w:p>
    <w:p w:rsidR="00F046AC" w:rsidRPr="0084638E" w:rsidRDefault="00F046AC" w:rsidP="00EE0613">
      <w:pPr>
        <w:pStyle w:val="Heading2"/>
      </w:pPr>
      <w:bookmarkStart w:id="156" w:name="_Toc393187153"/>
      <w:bookmarkStart w:id="157" w:name="_Toc395605384"/>
      <w:r>
        <w:t>Mole</w:t>
      </w:r>
      <w:bookmarkEnd w:id="156"/>
      <w:r w:rsidR="007E1EF5">
        <w:t>kulare Verfahren</w:t>
      </w:r>
      <w:bookmarkEnd w:id="157"/>
    </w:p>
    <w:p w:rsidR="00F046AC" w:rsidRDefault="0011365B" w:rsidP="00F046AC">
      <w:pPr>
        <w:keepNext/>
        <w:rPr>
          <w:rFonts w:eastAsia="MS Mincho"/>
          <w:snapToGrid w:val="0"/>
        </w:rPr>
      </w:pPr>
      <w:r>
        <w:t>(vergleiche Dokument TC/50/36 „Bericht über die Entschließungen”, Absätze 76 bis 85).</w:t>
      </w:r>
    </w:p>
    <w:p w:rsidR="0011365B" w:rsidRPr="0084638E" w:rsidRDefault="0011365B" w:rsidP="00F046AC">
      <w:pPr>
        <w:keepNext/>
      </w:pPr>
    </w:p>
    <w:p w:rsidR="00F046AC" w:rsidRPr="0084638E" w:rsidRDefault="00F046AC" w:rsidP="00F046AC">
      <w:r>
        <w:fldChar w:fldCharType="begin"/>
      </w:r>
      <w:r w:rsidRPr="0084638E">
        <w:instrText xml:space="preserve"> AUTONUM  </w:instrText>
      </w:r>
      <w:r>
        <w:fldChar w:fldCharType="end"/>
      </w:r>
      <w:r w:rsidR="007E1EF5">
        <w:tab/>
        <w:t xml:space="preserve">Der TC prüfte </w:t>
      </w:r>
      <w:r>
        <w:t>Dokument TC/50/13.</w:t>
      </w:r>
    </w:p>
    <w:p w:rsidR="00F046AC" w:rsidRPr="0084638E" w:rsidRDefault="00F046AC" w:rsidP="00F046AC">
      <w:pPr>
        <w:spacing w:line="360" w:lineRule="auto"/>
      </w:pPr>
    </w:p>
    <w:p w:rsidR="00F046AC" w:rsidRPr="00245163" w:rsidRDefault="00381894" w:rsidP="00764DB0">
      <w:pPr>
        <w:pStyle w:val="Heading3"/>
      </w:pPr>
      <w:bookmarkStart w:id="158" w:name="_Toc393187154"/>
      <w:bookmarkStart w:id="159" w:name="_Toc395605385"/>
      <w:r>
        <w:t xml:space="preserve">Verwendung biochemischer und molekularer Marker bei der Prüfung der Unterscheidbarkeit, Homogenität und Beständigkeit </w:t>
      </w:r>
      <w:r w:rsidRPr="00D251B8">
        <w:t>(DUS)</w:t>
      </w:r>
      <w:bookmarkEnd w:id="158"/>
      <w:bookmarkEnd w:id="159"/>
    </w:p>
    <w:p w:rsidR="00F046AC" w:rsidRPr="00245163" w:rsidRDefault="00F046AC" w:rsidP="00F046AC"/>
    <w:p w:rsidR="00F046AC" w:rsidRPr="007C25BD" w:rsidRDefault="00F046AC" w:rsidP="00F046AC">
      <w:pPr>
        <w:rPr>
          <w:rFonts w:eastAsia="MS Mincho"/>
          <w:snapToGrid w:val="0"/>
        </w:rPr>
      </w:pPr>
      <w:r w:rsidRPr="007C25BD">
        <w:fldChar w:fldCharType="begin"/>
      </w:r>
      <w:r w:rsidRPr="007C25BD">
        <w:instrText xml:space="preserve"> AUTONUM  </w:instrText>
      </w:r>
      <w:r w:rsidRPr="007C25BD">
        <w:fldChar w:fldCharType="end"/>
      </w:r>
      <w:r>
        <w:tab/>
      </w:r>
      <w:r w:rsidR="00381894" w:rsidRPr="001B5A5A">
        <w:rPr>
          <w:rFonts w:eastAsia="MS Mincho"/>
          <w:snapToGrid w:val="0"/>
        </w:rPr>
        <w:t xml:space="preserve">Der TC </w:t>
      </w:r>
      <w:r w:rsidR="00381894">
        <w:rPr>
          <w:rFonts w:eastAsia="MS Mincho"/>
          <w:snapToGrid w:val="0"/>
        </w:rPr>
        <w:t>ersuchte</w:t>
      </w:r>
      <w:r w:rsidR="00381894" w:rsidRPr="001B5A5A">
        <w:rPr>
          <w:rFonts w:eastAsia="MS Mincho"/>
          <w:snapToGrid w:val="0"/>
        </w:rPr>
        <w:t xml:space="preserve"> Sachverständige aus China, der Republik Korea und andere</w:t>
      </w:r>
      <w:r w:rsidR="00381894">
        <w:rPr>
          <w:rFonts w:eastAsia="MS Mincho"/>
          <w:snapToGrid w:val="0"/>
        </w:rPr>
        <w:t>n</w:t>
      </w:r>
      <w:r w:rsidR="00381894" w:rsidRPr="001B5A5A">
        <w:rPr>
          <w:rFonts w:eastAsia="MS Mincho"/>
          <w:snapToGrid w:val="0"/>
        </w:rPr>
        <w:t xml:space="preserve"> Verbandsmitgliedern</w:t>
      </w:r>
      <w:r w:rsidR="00381894">
        <w:rPr>
          <w:rFonts w:eastAsia="MS Mincho"/>
          <w:snapToGrid w:val="0"/>
        </w:rPr>
        <w:t>,</w:t>
      </w:r>
      <w:r w:rsidR="00381894" w:rsidRPr="001B5A5A">
        <w:rPr>
          <w:rFonts w:eastAsia="MS Mincho"/>
          <w:snapToGrid w:val="0"/>
        </w:rPr>
        <w:t xml:space="preserve"> auf der vierzehnten Tagung der BMT Referate über die Verwendung molekularer Verfahren zur Verbesserung der Auswahl der in die Anbauprüfung aufzunehmenden ähnlichen Sorten zu halten, </w:t>
      </w:r>
      <w:r w:rsidR="00381894">
        <w:rPr>
          <w:rFonts w:eastAsia="MS Mincho"/>
          <w:snapToGrid w:val="0"/>
        </w:rPr>
        <w:t xml:space="preserve">wie in Absatz 6 von Dokument </w:t>
      </w:r>
      <w:r w:rsidR="00381894" w:rsidRPr="00D251B8">
        <w:t>TC/50/</w:t>
      </w:r>
      <w:r w:rsidR="00381894">
        <w:t>13</w:t>
      </w:r>
      <w:r w:rsidR="00381894" w:rsidRPr="001B5A5A">
        <w:rPr>
          <w:rFonts w:eastAsia="MS Mincho"/>
          <w:snapToGrid w:val="0"/>
        </w:rPr>
        <w:t xml:space="preserve"> dargelegt.</w:t>
      </w:r>
    </w:p>
    <w:p w:rsidR="00F046AC" w:rsidRPr="007C25BD" w:rsidRDefault="00F046AC" w:rsidP="009C2B3F">
      <w:pPr>
        <w:pStyle w:val="Heading3"/>
      </w:pPr>
    </w:p>
    <w:p w:rsidR="00381894" w:rsidRPr="00381894" w:rsidRDefault="00381894" w:rsidP="009C2B3F">
      <w:pPr>
        <w:pStyle w:val="Heading3"/>
        <w:rPr>
          <w:i w:val="0"/>
        </w:rPr>
      </w:pPr>
      <w:bookmarkStart w:id="160" w:name="_Toc395605386"/>
      <w:bookmarkStart w:id="161" w:name="_Toc393187155"/>
      <w:r w:rsidRPr="00381894">
        <w:rPr>
          <w:i w:val="0"/>
        </w:rPr>
        <w:t>Arbeitsgruppe für biochemische und molekulare Verfahren und insbesondere für DNS-Profilierungsverfahren (BMT)</w:t>
      </w:r>
      <w:bookmarkEnd w:id="160"/>
    </w:p>
    <w:p w:rsidR="00381894" w:rsidRPr="001B5A5A" w:rsidRDefault="00381894" w:rsidP="00381894"/>
    <w:p w:rsidR="00381894" w:rsidRPr="001B5A5A" w:rsidRDefault="00381894" w:rsidP="00381894">
      <w:r w:rsidRPr="007C25BD">
        <w:fldChar w:fldCharType="begin"/>
      </w:r>
      <w:r w:rsidRPr="001B5A5A">
        <w:instrText xml:space="preserve"> AUTONUM  </w:instrText>
      </w:r>
      <w:r w:rsidRPr="007C25BD">
        <w:fldChar w:fldCharType="end"/>
      </w:r>
      <w:r w:rsidRPr="001B5A5A">
        <w:tab/>
      </w:r>
      <w:r w:rsidRPr="001B5A5A">
        <w:rPr>
          <w:rFonts w:eastAsia="MS Mincho"/>
          <w:snapToGrid w:val="0"/>
        </w:rPr>
        <w:t xml:space="preserve">Der TC nahm zur Kenntnis, </w:t>
      </w:r>
      <w:r>
        <w:rPr>
          <w:rFonts w:eastAsia="MS Mincho"/>
          <w:snapToGrid w:val="0"/>
        </w:rPr>
        <w:t>d</w:t>
      </w:r>
      <w:r w:rsidRPr="001B5A5A">
        <w:rPr>
          <w:rFonts w:eastAsia="MS Mincho"/>
          <w:snapToGrid w:val="0"/>
        </w:rPr>
        <w:t>aß die vierzehnte Tagung der BMT vom 10. bis 13. November 2014 in Seoul, Republik Korea, stattfinden wird.</w:t>
      </w:r>
    </w:p>
    <w:p w:rsidR="00381894" w:rsidRPr="001B5A5A" w:rsidRDefault="00381894" w:rsidP="00381894"/>
    <w:p w:rsidR="00381894" w:rsidRPr="001B5A5A" w:rsidRDefault="00381894" w:rsidP="00381894">
      <w:r>
        <w:fldChar w:fldCharType="begin"/>
      </w:r>
      <w:r w:rsidRPr="001B5A5A">
        <w:instrText xml:space="preserve"> AUTONUM  </w:instrText>
      </w:r>
      <w:r>
        <w:fldChar w:fldCharType="end"/>
      </w:r>
      <w:r w:rsidRPr="001B5A5A">
        <w:tab/>
        <w:t xml:space="preserve">Der TC </w:t>
      </w:r>
      <w:r>
        <w:t>stimmte der</w:t>
      </w:r>
      <w:r w:rsidRPr="001B5A5A">
        <w:t xml:space="preserve"> vorgeschlagenen Änderung des Programms der vierzehnten Tagung der BMT, wie in Absatz 20 </w:t>
      </w:r>
      <w:r>
        <w:t>von</w:t>
      </w:r>
      <w:r w:rsidRPr="001B5A5A">
        <w:t xml:space="preserve"> Dokument</w:t>
      </w:r>
      <w:r>
        <w:t xml:space="preserve"> </w:t>
      </w:r>
      <w:r w:rsidRPr="00D251B8">
        <w:t>TC/50/</w:t>
      </w:r>
      <w:r>
        <w:t>13</w:t>
      </w:r>
      <w:r w:rsidRPr="001B5A5A">
        <w:t xml:space="preserve"> dargelegt</w:t>
      </w:r>
      <w:r>
        <w:t>, zu</w:t>
      </w:r>
      <w:r w:rsidRPr="001B5A5A">
        <w:t>.</w:t>
      </w:r>
    </w:p>
    <w:p w:rsidR="00381894" w:rsidRPr="001B5A5A" w:rsidRDefault="00381894" w:rsidP="00381894"/>
    <w:p w:rsidR="00381894" w:rsidRPr="009318F5" w:rsidRDefault="00381894" w:rsidP="00381894">
      <w:r>
        <w:rPr>
          <w:rFonts w:eastAsia="MS Mincho"/>
          <w:snapToGrid w:val="0"/>
        </w:rPr>
        <w:fldChar w:fldCharType="begin"/>
      </w:r>
      <w:r w:rsidRPr="002F04B2">
        <w:rPr>
          <w:rFonts w:eastAsia="MS Mincho"/>
          <w:snapToGrid w:val="0"/>
        </w:rPr>
        <w:instrText xml:space="preserve"> AUTONUM  </w:instrText>
      </w:r>
      <w:r>
        <w:rPr>
          <w:rFonts w:eastAsia="MS Mincho"/>
          <w:snapToGrid w:val="0"/>
        </w:rPr>
        <w:fldChar w:fldCharType="end"/>
      </w:r>
      <w:r w:rsidRPr="002F04B2">
        <w:rPr>
          <w:rFonts w:eastAsia="MS Mincho"/>
          <w:snapToGrid w:val="0"/>
        </w:rPr>
        <w:tab/>
        <w:t xml:space="preserve">Der TC </w:t>
      </w:r>
      <w:r>
        <w:rPr>
          <w:rFonts w:eastAsia="MS Mincho"/>
          <w:snapToGrid w:val="0"/>
        </w:rPr>
        <w:t>stimmte dem vorgeschlagenen</w:t>
      </w:r>
      <w:r w:rsidRPr="002F04B2">
        <w:rPr>
          <w:rFonts w:eastAsia="MS Mincho"/>
          <w:snapToGrid w:val="0"/>
        </w:rPr>
        <w:t xml:space="preserve"> </w:t>
      </w:r>
      <w:r>
        <w:rPr>
          <w:rFonts w:eastAsia="MS Mincho"/>
          <w:snapToGrid w:val="0"/>
        </w:rPr>
        <w:t>P</w:t>
      </w:r>
      <w:r w:rsidRPr="002F04B2">
        <w:rPr>
          <w:rFonts w:eastAsia="MS Mincho"/>
          <w:snapToGrid w:val="0"/>
        </w:rPr>
        <w:t xml:space="preserve">lan für </w:t>
      </w:r>
      <w:r>
        <w:rPr>
          <w:rFonts w:eastAsia="MS Mincho"/>
          <w:snapToGrid w:val="0"/>
        </w:rPr>
        <w:t xml:space="preserve">die vierzehnte </w:t>
      </w:r>
      <w:r w:rsidRPr="002F04B2">
        <w:rPr>
          <w:rFonts w:eastAsia="MS Mincho"/>
          <w:snapToGrid w:val="0"/>
        </w:rPr>
        <w:t xml:space="preserve">Tagung </w:t>
      </w:r>
      <w:r>
        <w:rPr>
          <w:rFonts w:eastAsia="MS Mincho"/>
          <w:snapToGrid w:val="0"/>
        </w:rPr>
        <w:t>der</w:t>
      </w:r>
      <w:r w:rsidRPr="002F04B2">
        <w:rPr>
          <w:rFonts w:eastAsia="MS Mincho"/>
          <w:snapToGrid w:val="0"/>
        </w:rPr>
        <w:t xml:space="preserve"> BMT</w:t>
      </w:r>
      <w:r>
        <w:rPr>
          <w:rFonts w:eastAsia="MS Mincho"/>
          <w:snapToGrid w:val="0"/>
        </w:rPr>
        <w:t>, die in Verbindung mit</w:t>
      </w:r>
      <w:r w:rsidRPr="002F04B2">
        <w:rPr>
          <w:rFonts w:eastAsia="MS Mincho"/>
          <w:snapToGrid w:val="0"/>
        </w:rPr>
        <w:t xml:space="preserve"> </w:t>
      </w:r>
      <w:r>
        <w:rPr>
          <w:rFonts w:eastAsia="MS Mincho"/>
          <w:snapToGrid w:val="0"/>
        </w:rPr>
        <w:t xml:space="preserve">der </w:t>
      </w:r>
      <w:r w:rsidRPr="002F04B2">
        <w:rPr>
          <w:rFonts w:eastAsia="MS Mincho"/>
          <w:snapToGrid w:val="0"/>
        </w:rPr>
        <w:t xml:space="preserve">gemeinsamen Arbeitstagung mit ISTA und OECD am 12. </w:t>
      </w:r>
      <w:r w:rsidRPr="009318F5">
        <w:rPr>
          <w:rFonts w:eastAsia="MS Mincho"/>
          <w:snapToGrid w:val="0"/>
        </w:rPr>
        <w:t xml:space="preserve">November 2014 stattfinden </w:t>
      </w:r>
      <w:r>
        <w:rPr>
          <w:rFonts w:eastAsia="MS Mincho"/>
          <w:snapToGrid w:val="0"/>
        </w:rPr>
        <w:t>soll, wie in Absatz </w:t>
      </w:r>
      <w:r w:rsidRPr="009318F5">
        <w:rPr>
          <w:rFonts w:eastAsia="MS Mincho"/>
          <w:snapToGrid w:val="0"/>
        </w:rPr>
        <w:t xml:space="preserve">21 </w:t>
      </w:r>
      <w:r>
        <w:rPr>
          <w:rFonts w:eastAsia="MS Mincho"/>
          <w:snapToGrid w:val="0"/>
        </w:rPr>
        <w:t>von</w:t>
      </w:r>
      <w:r w:rsidRPr="009318F5">
        <w:rPr>
          <w:rFonts w:eastAsia="MS Mincho"/>
          <w:snapToGrid w:val="0"/>
        </w:rPr>
        <w:t xml:space="preserve"> Dokument</w:t>
      </w:r>
      <w:r>
        <w:rPr>
          <w:rFonts w:eastAsia="MS Mincho"/>
          <w:snapToGrid w:val="0"/>
        </w:rPr>
        <w:t xml:space="preserve"> </w:t>
      </w:r>
      <w:r w:rsidRPr="00D251B8">
        <w:t>TC/50/</w:t>
      </w:r>
      <w:r>
        <w:t>13</w:t>
      </w:r>
      <w:r w:rsidRPr="009318F5">
        <w:rPr>
          <w:rFonts w:eastAsia="MS Mincho"/>
          <w:snapToGrid w:val="0"/>
        </w:rPr>
        <w:t xml:space="preserve"> dargelegt</w:t>
      </w:r>
      <w:r>
        <w:rPr>
          <w:rFonts w:eastAsia="MS Mincho"/>
          <w:snapToGrid w:val="0"/>
        </w:rPr>
        <w:t>, zu</w:t>
      </w:r>
      <w:r w:rsidRPr="009318F5">
        <w:rPr>
          <w:rFonts w:eastAsia="MS Mincho"/>
          <w:snapToGrid w:val="0"/>
        </w:rPr>
        <w:t>.</w:t>
      </w:r>
    </w:p>
    <w:p w:rsidR="00381894" w:rsidRPr="009318F5" w:rsidRDefault="00381894" w:rsidP="00381894"/>
    <w:p w:rsidR="00381894" w:rsidRPr="009318F5" w:rsidRDefault="00381894" w:rsidP="00381894">
      <w:r>
        <w:fldChar w:fldCharType="begin"/>
      </w:r>
      <w:r w:rsidRPr="009318F5">
        <w:instrText xml:space="preserve"> AUTONUM  </w:instrText>
      </w:r>
      <w:r>
        <w:fldChar w:fldCharType="end"/>
      </w:r>
      <w:r w:rsidRPr="009318F5">
        <w:tab/>
        <w:t xml:space="preserve">Der TC vereinbarte, daß </w:t>
      </w:r>
      <w:r>
        <w:t>der Fortschritt der</w:t>
      </w:r>
      <w:r w:rsidRPr="009318F5">
        <w:t xml:space="preserve"> Arbeit </w:t>
      </w:r>
      <w:r>
        <w:t>der</w:t>
      </w:r>
      <w:r w:rsidRPr="009318F5">
        <w:t xml:space="preserve"> BMT und </w:t>
      </w:r>
      <w:r>
        <w:t>die</w:t>
      </w:r>
      <w:r w:rsidRPr="009318F5">
        <w:t xml:space="preserve"> </w:t>
      </w:r>
      <w:r>
        <w:t>Ergebnisse</w:t>
      </w:r>
      <w:r w:rsidRPr="009318F5">
        <w:t xml:space="preserve"> </w:t>
      </w:r>
      <w:r>
        <w:t>der gemeinsamen Arbeitstagung</w:t>
      </w:r>
      <w:r w:rsidRPr="009318F5">
        <w:rPr>
          <w:rFonts w:eastAsia="MS Mincho"/>
          <w:snapToGrid w:val="0"/>
        </w:rPr>
        <w:t xml:space="preserve"> </w:t>
      </w:r>
      <w:r>
        <w:rPr>
          <w:rFonts w:eastAsia="MS Mincho"/>
          <w:snapToGrid w:val="0"/>
        </w:rPr>
        <w:t xml:space="preserve">mit </w:t>
      </w:r>
      <w:r w:rsidRPr="009318F5">
        <w:rPr>
          <w:rFonts w:eastAsia="MS Mincho"/>
          <w:snapToGrid w:val="0"/>
        </w:rPr>
        <w:t xml:space="preserve">ISTA und OECD </w:t>
      </w:r>
      <w:r>
        <w:rPr>
          <w:rFonts w:eastAsia="MS Mincho"/>
          <w:snapToGrid w:val="0"/>
        </w:rPr>
        <w:t xml:space="preserve">dem </w:t>
      </w:r>
      <w:r w:rsidRPr="009318F5">
        <w:rPr>
          <w:rFonts w:eastAsia="MS Mincho"/>
          <w:snapToGrid w:val="0"/>
        </w:rPr>
        <w:t xml:space="preserve">TC </w:t>
      </w:r>
      <w:r>
        <w:rPr>
          <w:rFonts w:eastAsia="MS Mincho"/>
          <w:snapToGrid w:val="0"/>
        </w:rPr>
        <w:t>auf seiner einundfünfzigsten</w:t>
      </w:r>
      <w:r w:rsidRPr="009318F5">
        <w:rPr>
          <w:rFonts w:eastAsia="MS Mincho"/>
          <w:snapToGrid w:val="0"/>
        </w:rPr>
        <w:t xml:space="preserve"> Tagung</w:t>
      </w:r>
      <w:r>
        <w:rPr>
          <w:rFonts w:eastAsia="MS Mincho"/>
          <w:snapToGrid w:val="0"/>
        </w:rPr>
        <w:t xml:space="preserve"> berichtet werden sollten</w:t>
      </w:r>
      <w:r w:rsidRPr="009318F5">
        <w:rPr>
          <w:rFonts w:eastAsia="MS Mincho"/>
          <w:snapToGrid w:val="0"/>
        </w:rPr>
        <w:t>.</w:t>
      </w:r>
    </w:p>
    <w:p w:rsidR="00381894" w:rsidRDefault="00381894" w:rsidP="00764DB0">
      <w:pPr>
        <w:pStyle w:val="Heading3"/>
      </w:pPr>
      <w:bookmarkStart w:id="162" w:name="_Toc393187156"/>
      <w:bookmarkEnd w:id="161"/>
    </w:p>
    <w:p w:rsidR="00381894" w:rsidRPr="00381894" w:rsidRDefault="00381894" w:rsidP="009C2B3F">
      <w:pPr>
        <w:pStyle w:val="Heading3"/>
        <w:rPr>
          <w:i w:val="0"/>
        </w:rPr>
      </w:pPr>
      <w:bookmarkStart w:id="163" w:name="_Toc395605387"/>
      <w:r w:rsidRPr="00381894">
        <w:rPr>
          <w:i w:val="0"/>
        </w:rPr>
        <w:t>Erteilung von Informationen zur Lage in der UPOV bezüglich der Verwendung molkularer Verfahren für ein breiteres Publikum, einschließlich Züchtern und der Öffentlichkeit im Allgmeinen</w:t>
      </w:r>
      <w:bookmarkEnd w:id="163"/>
      <w:r w:rsidRPr="00381894">
        <w:rPr>
          <w:i w:val="0"/>
        </w:rPr>
        <w:t xml:space="preserve"> </w:t>
      </w:r>
    </w:p>
    <w:p w:rsidR="00381894" w:rsidRPr="00381894" w:rsidRDefault="00381894" w:rsidP="009C2B3F">
      <w:pPr>
        <w:pStyle w:val="Heading3"/>
      </w:pPr>
    </w:p>
    <w:p w:rsidR="00381894" w:rsidRPr="00381894" w:rsidRDefault="00381894" w:rsidP="00381894">
      <w:pPr>
        <w:rPr>
          <w:lang w:eastAsia="en-US" w:bidi="ar-SA"/>
        </w:rPr>
      </w:pPr>
      <w:r w:rsidRPr="00381894">
        <w:rPr>
          <w:iCs/>
          <w:lang w:val="en-US" w:eastAsia="en-US" w:bidi="ar-SA"/>
        </w:rPr>
        <w:fldChar w:fldCharType="begin"/>
      </w:r>
      <w:r w:rsidRPr="00381894">
        <w:rPr>
          <w:iCs/>
          <w:lang w:eastAsia="en-US" w:bidi="ar-SA"/>
        </w:rPr>
        <w:instrText xml:space="preserve"> AUTONUM  </w:instrText>
      </w:r>
      <w:r w:rsidRPr="00381894">
        <w:rPr>
          <w:iCs/>
          <w:lang w:val="en-US" w:eastAsia="en-US" w:bidi="ar-SA"/>
        </w:rPr>
        <w:fldChar w:fldCharType="end"/>
      </w:r>
      <w:r w:rsidRPr="00381894">
        <w:rPr>
          <w:iCs/>
          <w:lang w:eastAsia="en-US" w:bidi="ar-SA"/>
        </w:rPr>
        <w:tab/>
      </w:r>
      <w:r w:rsidRPr="00381894">
        <w:rPr>
          <w:lang w:eastAsia="en-US" w:bidi="ar-SA"/>
        </w:rPr>
        <w:t>Der TC prüfte die vorgeschlagene Erläuterung der Lage in der UPOV bezüglich der Verwendung molekularer Verfahren, wie in Dokument TC/50/13, Absatz 26, dargelegt.</w:t>
      </w:r>
    </w:p>
    <w:p w:rsidR="00381894" w:rsidRPr="00381894" w:rsidRDefault="00381894" w:rsidP="00381894">
      <w:pPr>
        <w:rPr>
          <w:lang w:eastAsia="en-US" w:bidi="ar-SA"/>
        </w:rPr>
      </w:pPr>
    </w:p>
    <w:p w:rsidR="00381894" w:rsidRDefault="00381894" w:rsidP="00381894">
      <w:pPr>
        <w:rPr>
          <w:lang w:eastAsia="en-US" w:bidi="ar-SA"/>
        </w:rPr>
      </w:pPr>
      <w:r w:rsidRPr="00381894">
        <w:rPr>
          <w:lang w:val="en-US" w:eastAsia="en-US" w:bidi="ar-SA"/>
        </w:rPr>
        <w:fldChar w:fldCharType="begin"/>
      </w:r>
      <w:r w:rsidRPr="00381894">
        <w:rPr>
          <w:lang w:eastAsia="en-US" w:bidi="ar-SA"/>
        </w:rPr>
        <w:instrText xml:space="preserve"> AUTONUM  </w:instrText>
      </w:r>
      <w:r w:rsidRPr="00381894">
        <w:rPr>
          <w:lang w:val="en-US" w:eastAsia="en-US" w:bidi="ar-SA"/>
        </w:rPr>
        <w:fldChar w:fldCharType="end"/>
      </w:r>
      <w:r w:rsidRPr="00381894">
        <w:rPr>
          <w:lang w:eastAsia="en-US" w:bidi="ar-SA"/>
        </w:rPr>
        <w:tab/>
        <w:t>Der TC erinnerte daran, daß er auf seiner neunundvierzigsten Tagung vom 18. März bis 20. März 2013 in Genf vereinbart hatte, daß es notwendig sei, einem breiteren Publikum, einschließlich Züchtern und der Öffentlichkeit im allgemeinen, geeignete Informationen über die Lage in der UPOV im Hinblick auf die Verwendung molekularer Verfahren zur Verfügung zu stellen. Diese Informationen sollten die potentiellen Vorteile und Nachteile der Verfahren und die der Lage bei der UPOV zugrundeliegende Beziehung zwischen Genotyp und Phänotyp erklären (vergleiche Dokument TC/49/41, „Bericht über die Entschließungen“).</w:t>
      </w:r>
    </w:p>
    <w:p w:rsidR="000F2FF2" w:rsidRPr="00381894" w:rsidRDefault="000F2FF2" w:rsidP="00381894">
      <w:pPr>
        <w:rPr>
          <w:lang w:eastAsia="en-US" w:bidi="ar-SA"/>
        </w:rPr>
      </w:pPr>
    </w:p>
    <w:p w:rsidR="00381894" w:rsidRPr="000F2FF2" w:rsidRDefault="000F2FF2" w:rsidP="000F2FF2">
      <w:pPr>
        <w:rPr>
          <w:lang w:eastAsia="en-US" w:bidi="ar-SA"/>
        </w:rPr>
      </w:pPr>
      <w:r w:rsidRPr="00A52651">
        <w:fldChar w:fldCharType="begin"/>
      </w:r>
      <w:r w:rsidRPr="00A52651">
        <w:instrText xml:space="preserve"> AUTONUM  </w:instrText>
      </w:r>
      <w:r w:rsidRPr="00A52651">
        <w:fldChar w:fldCharType="end"/>
      </w:r>
      <w:r w:rsidRPr="00A52651">
        <w:tab/>
      </w:r>
      <w:r w:rsidR="00381894" w:rsidRPr="000F2FF2">
        <w:t>Der TC vereinbarte, daß die Erläuterung in Dokument TC/50/13, Absatz 26, vorbehaltlich der nachstehenden Änderungen, geeignete Informationen über die Lage in der UPOV im Hinblick auf die Verwendung molekularer Verfahren für Züchter und Personen mit Kenntnis der DUS-Prüfung enthalte:</w:t>
      </w:r>
    </w:p>
    <w:bookmarkEnd w:id="162"/>
    <w:p w:rsidR="00F046AC" w:rsidRDefault="00F046AC" w:rsidP="00F046AC"/>
    <w:p w:rsidR="006D7458" w:rsidRPr="001B5A5A" w:rsidRDefault="006D7458" w:rsidP="006D7458">
      <w:pPr>
        <w:ind w:left="567" w:right="567"/>
      </w:pPr>
      <w:r w:rsidRPr="001B5A5A">
        <w:rPr>
          <w:rFonts w:cs="Arial"/>
        </w:rPr>
        <w:t>Frage: Läßt die UPOV molekulare Verfahren (DNS-Profile) bei der DUS-Prüfung zu?</w:t>
      </w:r>
    </w:p>
    <w:p w:rsidR="006D7458" w:rsidRPr="001B5A5A" w:rsidRDefault="006D7458" w:rsidP="006D7458">
      <w:pPr>
        <w:ind w:left="567" w:right="567"/>
      </w:pPr>
    </w:p>
    <w:p w:rsidR="006D7458" w:rsidRPr="001B5A5A" w:rsidRDefault="006D7458" w:rsidP="005D2FEA">
      <w:pPr>
        <w:spacing w:after="240"/>
        <w:ind w:left="567" w:right="567"/>
      </w:pPr>
      <w:r w:rsidRPr="001B5A5A">
        <w:t>Antwort:</w:t>
      </w:r>
      <w:r>
        <w:t xml:space="preserve"> „E</w:t>
      </w:r>
      <w:r w:rsidRPr="001B5A5A">
        <w:t>s ist wichtig anzumerken, daß in einigen Fällen S</w:t>
      </w:r>
      <w:r>
        <w:t>orten ein unterschiedliches DNS-</w:t>
      </w:r>
      <w:r w:rsidRPr="001B5A5A">
        <w:t xml:space="preserve">Profil haben, jedoch </w:t>
      </w:r>
      <w:r w:rsidRPr="007711AB">
        <w:rPr>
          <w:strike/>
          <w:highlight w:val="lightGray"/>
        </w:rPr>
        <w:t>morphologisch</w:t>
      </w:r>
      <w:r w:rsidRPr="007711AB">
        <w:rPr>
          <w:highlight w:val="lightGray"/>
        </w:rPr>
        <w:t xml:space="preserve"> </w:t>
      </w:r>
      <w:r w:rsidRPr="007711AB">
        <w:rPr>
          <w:highlight w:val="lightGray"/>
          <w:u w:val="single"/>
        </w:rPr>
        <w:t>phänotypisch</w:t>
      </w:r>
      <w:r w:rsidRPr="001B5A5A">
        <w:t xml:space="preserve"> identisch sein können, während in anderen Fällen Sorten, die einen großen phänotypischen Unterschied aufweisen, dasselbe DNS-Profil für eine bestimmte Serie von molekularen Markern haben können (z.</w:t>
      </w:r>
      <w:r>
        <w:t xml:space="preserve"> </w:t>
      </w:r>
      <w:r w:rsidRPr="001B5A5A">
        <w:t>B. einige Mutationen).</w:t>
      </w:r>
    </w:p>
    <w:p w:rsidR="006D7458" w:rsidRPr="001B5A5A" w:rsidRDefault="006D7458" w:rsidP="006D7458">
      <w:pPr>
        <w:ind w:left="567" w:right="567"/>
      </w:pPr>
      <w:r>
        <w:lastRenderedPageBreak/>
        <w:t>„</w:t>
      </w:r>
      <w:r w:rsidRPr="001B5A5A">
        <w:t xml:space="preserve">In bezug auf die </w:t>
      </w:r>
      <w:r w:rsidRPr="007711AB">
        <w:rPr>
          <w:highlight w:val="lightGray"/>
        </w:rPr>
        <w:t>Verwendung molekularer Marker</w:t>
      </w:r>
      <w:r w:rsidRPr="001B5A5A">
        <w:t xml:space="preserve">, die nicht mit phänotypischen Unterschieden in Bezug stehen, lautet die </w:t>
      </w:r>
      <w:r w:rsidRPr="007711AB">
        <w:rPr>
          <w:highlight w:val="lightGray"/>
        </w:rPr>
        <w:t>Besorgnis, daß es möglich sein könnte, eine unbegrenzte Anzahl Marker zu verwenden, um Unterschiede zwischen Sorten</w:t>
      </w:r>
      <w:r w:rsidRPr="007E3D85">
        <w:rPr>
          <w:strike/>
          <w:highlight w:val="lightGray"/>
        </w:rPr>
        <w:t xml:space="preserve">. Insbesondere könnten Unterschiede </w:t>
      </w:r>
      <w:r w:rsidRPr="007711AB">
        <w:rPr>
          <w:highlight w:val="lightGray"/>
        </w:rPr>
        <w:t xml:space="preserve">auf genetischer Ebene, die sich in </w:t>
      </w:r>
      <w:r w:rsidRPr="007711AB">
        <w:rPr>
          <w:strike/>
          <w:highlight w:val="lightGray"/>
        </w:rPr>
        <w:t>morphologischen</w:t>
      </w:r>
      <w:r w:rsidRPr="007711AB">
        <w:rPr>
          <w:highlight w:val="lightGray"/>
        </w:rPr>
        <w:t xml:space="preserve"> </w:t>
      </w:r>
      <w:r w:rsidRPr="007711AB">
        <w:rPr>
          <w:highlight w:val="lightGray"/>
          <w:u w:val="single"/>
        </w:rPr>
        <w:t>phänotypischen</w:t>
      </w:r>
      <w:r w:rsidRPr="007711AB">
        <w:rPr>
          <w:highlight w:val="lightGray"/>
        </w:rPr>
        <w:t xml:space="preserve"> </w:t>
      </w:r>
      <w:r>
        <w:rPr>
          <w:highlight w:val="lightGray"/>
        </w:rPr>
        <w:t>Merkmalen</w:t>
      </w:r>
      <w:r w:rsidRPr="007711AB">
        <w:rPr>
          <w:highlight w:val="lightGray"/>
        </w:rPr>
        <w:t xml:space="preserve"> nicht </w:t>
      </w:r>
      <w:r w:rsidRPr="00C43823">
        <w:rPr>
          <w:highlight w:val="lightGray"/>
        </w:rPr>
        <w:t>reflektieren, zu finden</w:t>
      </w:r>
      <w:r w:rsidRPr="001B5A5A">
        <w:t>.</w:t>
      </w:r>
    </w:p>
    <w:p w:rsidR="006D7458" w:rsidRPr="001B5A5A" w:rsidRDefault="006D7458" w:rsidP="006D7458">
      <w:pPr>
        <w:ind w:left="567" w:right="567"/>
      </w:pPr>
    </w:p>
    <w:p w:rsidR="006D7458" w:rsidRPr="001B5A5A" w:rsidRDefault="006D7458" w:rsidP="006D7458">
      <w:pPr>
        <w:ind w:left="567" w:right="567"/>
      </w:pPr>
      <w:r>
        <w:t>„</w:t>
      </w:r>
      <w:r w:rsidRPr="001B5A5A">
        <w:t>Auf der obigen Grundlage vereinbarte die UPOV folgende Verwendungen molekularer Marker in bezug auf die DUS-Prüfung:</w:t>
      </w:r>
    </w:p>
    <w:p w:rsidR="006D7458" w:rsidRPr="001B5A5A" w:rsidRDefault="006D7458" w:rsidP="006D7458">
      <w:pPr>
        <w:ind w:left="567" w:right="567"/>
      </w:pPr>
    </w:p>
    <w:p w:rsidR="006D7458" w:rsidRPr="001B5A5A" w:rsidRDefault="006D7458" w:rsidP="006D7458">
      <w:pPr>
        <w:ind w:left="567" w:right="567"/>
      </w:pPr>
      <w:r>
        <w:t>„</w:t>
      </w:r>
      <w:r w:rsidRPr="001B5A5A">
        <w:t xml:space="preserve">a) </w:t>
      </w:r>
      <w:r w:rsidRPr="007711AB">
        <w:rPr>
          <w:highlight w:val="lightGray"/>
        </w:rPr>
        <w:t>Molekulare Marker können als eine</w:t>
      </w:r>
      <w:r>
        <w:rPr>
          <w:highlight w:val="lightGray"/>
        </w:rPr>
        <w:t xml:space="preserve"> Methode</w:t>
      </w:r>
      <w:r w:rsidRPr="007711AB">
        <w:rPr>
          <w:highlight w:val="lightGray"/>
        </w:rPr>
        <w:t xml:space="preserve"> zur Prüfung von DUS-</w:t>
      </w:r>
      <w:r>
        <w:rPr>
          <w:highlight w:val="lightGray"/>
        </w:rPr>
        <w:t>Merkmalen</w:t>
      </w:r>
      <w:r w:rsidRPr="007711AB">
        <w:rPr>
          <w:highlight w:val="lightGray"/>
        </w:rPr>
        <w:t xml:space="preserve">, die die Kriterien für die in der Allgemeinen Einführung dargelegten </w:t>
      </w:r>
      <w:r>
        <w:rPr>
          <w:highlight w:val="lightGray"/>
        </w:rPr>
        <w:t xml:space="preserve">Merkmale </w:t>
      </w:r>
      <w:r w:rsidRPr="007711AB">
        <w:rPr>
          <w:highlight w:val="lightGray"/>
        </w:rPr>
        <w:t xml:space="preserve">erfüllen, verwendet werden, </w:t>
      </w:r>
      <w:r w:rsidRPr="0034735A">
        <w:t xml:space="preserve">falls es eine zuverlässige </w:t>
      </w:r>
      <w:r w:rsidRPr="007711AB">
        <w:rPr>
          <w:highlight w:val="lightGray"/>
        </w:rPr>
        <w:t>Kopplung zwischen dem Marker und dem Merkmal gibt</w:t>
      </w:r>
      <w:r w:rsidRPr="001B5A5A">
        <w:t>.</w:t>
      </w:r>
    </w:p>
    <w:p w:rsidR="006D7458" w:rsidRPr="001B5A5A" w:rsidRDefault="006D7458" w:rsidP="006D7458">
      <w:pPr>
        <w:ind w:left="567" w:right="567"/>
      </w:pPr>
    </w:p>
    <w:p w:rsidR="006D7458" w:rsidRPr="001B5A5A" w:rsidRDefault="006D7458" w:rsidP="006D7458">
      <w:pPr>
        <w:ind w:left="567" w:right="567"/>
      </w:pPr>
      <w:r>
        <w:t>„</w:t>
      </w:r>
      <w:r w:rsidRPr="001B5A5A">
        <w:t xml:space="preserve">b) </w:t>
      </w:r>
      <w:r w:rsidRPr="007711AB">
        <w:rPr>
          <w:highlight w:val="lightGray"/>
        </w:rPr>
        <w:t xml:space="preserve">Eine Kombination phänotypischer Unterschiede und molekularer Abstände kann angewandt werden, um die Auswahl der </w:t>
      </w:r>
      <w:r w:rsidRPr="007711AB">
        <w:t xml:space="preserve">in der Anbauprüfung zu vergleichenden </w:t>
      </w:r>
      <w:r w:rsidRPr="007711AB">
        <w:rPr>
          <w:highlight w:val="lightGray"/>
        </w:rPr>
        <w:t xml:space="preserve">Sorten zu verbessern, wenn die molekularen Abstände ausreichend in Bezug zu den phänotypischen Unterschieden stehen </w:t>
      </w:r>
      <w:r w:rsidRPr="007711AB">
        <w:t>und</w:t>
      </w:r>
      <w:r w:rsidRPr="007711AB">
        <w:rPr>
          <w:highlight w:val="lightGray"/>
        </w:rPr>
        <w:t xml:space="preserve"> die</w:t>
      </w:r>
      <w:r>
        <w:rPr>
          <w:highlight w:val="lightGray"/>
        </w:rPr>
        <w:t xml:space="preserve"> Methode</w:t>
      </w:r>
      <w:r w:rsidRPr="007711AB">
        <w:rPr>
          <w:highlight w:val="lightGray"/>
        </w:rPr>
        <w:t xml:space="preserve"> kein erhöhtes Risiko schafft, daß eine Sorte in der Sortensammlung, die mit den Kandidatensorten in der </w:t>
      </w:r>
      <w:r w:rsidRPr="007711AB">
        <w:t>DUS</w:t>
      </w:r>
      <w:r w:rsidRPr="007711AB">
        <w:rPr>
          <w:highlight w:val="lightGray"/>
        </w:rPr>
        <w:t>-Anbauprüfung verglichen werden muß, nicht ausgewählt wird</w:t>
      </w:r>
      <w:r w:rsidRPr="001B5A5A">
        <w:t>.</w:t>
      </w:r>
    </w:p>
    <w:p w:rsidR="006D7458" w:rsidRPr="001B5A5A" w:rsidRDefault="006D7458" w:rsidP="006D7458">
      <w:pPr>
        <w:ind w:left="567" w:right="567"/>
      </w:pPr>
    </w:p>
    <w:p w:rsidR="006D7458" w:rsidRPr="001B5A5A" w:rsidRDefault="006D7458" w:rsidP="006D7458">
      <w:pPr>
        <w:ind w:left="567" w:right="567"/>
        <w:rPr>
          <w:snapToGrid w:val="0"/>
        </w:rPr>
      </w:pPr>
      <w:r>
        <w:t>„</w:t>
      </w:r>
      <w:r w:rsidRPr="001B5A5A">
        <w:t>Die Lage in der UPOV wird in den Dokumenten TGP/15 ‚Anleitung zur Verwendung biochemischer und molekularer Marker bei der Prüfung der Unterscheidbarkeit, Homogenität und Beständigkeit (DUS)‘ und UPOV/INF/18, ‚Etwaige Verwendung molekularer Marker bei der Prüfung der Unterscheidbarkeit, der Homogenität und der Beständigkeit (DUS)‘ erläutert.</w:t>
      </w:r>
      <w:r>
        <w:t>“</w:t>
      </w:r>
      <w:r w:rsidRPr="001B5A5A">
        <w:rPr>
          <w:rFonts w:cs="Arial"/>
        </w:rPr>
        <w:t xml:space="preserve"> </w:t>
      </w:r>
    </w:p>
    <w:p w:rsidR="006D7458" w:rsidRPr="001B5A5A" w:rsidRDefault="006D7458" w:rsidP="006D7458"/>
    <w:p w:rsidR="00F046AC" w:rsidRPr="00A52651" w:rsidRDefault="006D7458" w:rsidP="000F2FF2">
      <w:pPr>
        <w:ind w:right="567"/>
      </w:pPr>
      <w:r w:rsidRPr="00A52651">
        <w:fldChar w:fldCharType="begin"/>
      </w:r>
      <w:r w:rsidRPr="007E55E2">
        <w:instrText xml:space="preserve"> AUTONUM  </w:instrText>
      </w:r>
      <w:r w:rsidRPr="00A52651">
        <w:fldChar w:fldCharType="end"/>
      </w:r>
      <w:r w:rsidRPr="007E55E2">
        <w:tab/>
        <w:t xml:space="preserve">Hinsichtlich eines breiteren Publikums </w:t>
      </w:r>
      <w:r>
        <w:t xml:space="preserve">vereinbarte </w:t>
      </w:r>
      <w:r w:rsidRPr="007E55E2">
        <w:t>der TC, daß die Frage nicht angemessen formuliert sei und es deshalb nicht angebracht wäre, eine Antwort auf diese Frage auszuarbeiten</w:t>
      </w:r>
      <w:r>
        <w:t xml:space="preserve">. </w:t>
      </w:r>
      <w:r w:rsidRPr="007E55E2">
        <w:t>Der TC vereinbart</w:t>
      </w:r>
      <w:r>
        <w:t>e</w:t>
      </w:r>
      <w:r w:rsidRPr="007E55E2">
        <w:t>, daß die Frage nach der Klärung der Aspekte von Interesse für ein breiteres Publikum neu formuliert werden sollte.</w:t>
      </w:r>
      <w:r>
        <w:t xml:space="preserve"> </w:t>
      </w:r>
    </w:p>
    <w:p w:rsidR="00F046AC" w:rsidRDefault="00F046AC" w:rsidP="00F046AC">
      <w:pPr>
        <w:rPr>
          <w:highlight w:val="yellow"/>
        </w:rPr>
      </w:pPr>
    </w:p>
    <w:p w:rsidR="008205FC" w:rsidRDefault="008205FC" w:rsidP="00F046AC">
      <w:pPr>
        <w:rPr>
          <w:highlight w:val="yellow"/>
        </w:rPr>
      </w:pPr>
    </w:p>
    <w:p w:rsidR="00F046AC" w:rsidRPr="0084638E" w:rsidRDefault="006D7458" w:rsidP="00EE0613">
      <w:pPr>
        <w:pStyle w:val="Heading2"/>
      </w:pPr>
      <w:bookmarkStart w:id="164" w:name="_Toc395605388"/>
      <w:r>
        <w:t>Sortenbezeichnungen</w:t>
      </w:r>
      <w:bookmarkEnd w:id="164"/>
    </w:p>
    <w:p w:rsidR="00F046AC" w:rsidRDefault="0037690B" w:rsidP="00F046AC">
      <w:pPr>
        <w:keepNext/>
        <w:ind w:left="567" w:hanging="567"/>
      </w:pPr>
      <w:r>
        <w:t>(vergleiche Dokument TC/50/36 „Bericht über die Entschließungen”, Absätze 86 bis 93).</w:t>
      </w:r>
    </w:p>
    <w:p w:rsidR="0037690B" w:rsidRPr="0084638E" w:rsidRDefault="0037690B" w:rsidP="00F046AC">
      <w:pPr>
        <w:keepNext/>
        <w:ind w:left="567" w:hanging="567"/>
      </w:pPr>
    </w:p>
    <w:p w:rsidR="00F046AC" w:rsidRPr="0084638E" w:rsidRDefault="00F046AC" w:rsidP="00F046AC">
      <w:pPr>
        <w:ind w:left="567" w:hanging="567"/>
      </w:pPr>
      <w:r>
        <w:fldChar w:fldCharType="begin"/>
      </w:r>
      <w:r w:rsidRPr="0084638E">
        <w:instrText xml:space="preserve"> AUTONUM  </w:instrText>
      </w:r>
      <w:r>
        <w:fldChar w:fldCharType="end"/>
      </w:r>
      <w:r w:rsidR="006D7458">
        <w:tab/>
        <w:t xml:space="preserve">Der TC prüfte </w:t>
      </w:r>
      <w:r>
        <w:t>Dokument TC/50/14.</w:t>
      </w:r>
    </w:p>
    <w:p w:rsidR="00F046AC" w:rsidRPr="0084638E" w:rsidRDefault="00F046AC" w:rsidP="00F046AC">
      <w:pPr>
        <w:ind w:left="567" w:hanging="567"/>
      </w:pPr>
    </w:p>
    <w:p w:rsidR="00F046AC" w:rsidRPr="00245163" w:rsidRDefault="006D7458" w:rsidP="009C2B3F">
      <w:bookmarkStart w:id="165" w:name="_Toc393187158"/>
      <w:r>
        <w:t>Mögliche Überarbeitung von Dokument UPOV/INF/12 „Erläuterungen zu Sortenbezeichnungen nach dem UPOV-Übereinkommen</w:t>
      </w:r>
      <w:r w:rsidR="006A6657">
        <w:t>”</w:t>
      </w:r>
      <w:bookmarkEnd w:id="165"/>
    </w:p>
    <w:p w:rsidR="00F046AC" w:rsidRDefault="00F046AC" w:rsidP="009C2B3F"/>
    <w:p w:rsidR="006D7458" w:rsidRPr="00F7190B" w:rsidRDefault="00F046AC" w:rsidP="009C2B3F">
      <w:r w:rsidRPr="001960CC">
        <w:fldChar w:fldCharType="begin"/>
      </w:r>
      <w:r w:rsidRPr="001960CC">
        <w:instrText xml:space="preserve"> AUTONUM  </w:instrText>
      </w:r>
      <w:r w:rsidRPr="001960CC">
        <w:fldChar w:fldCharType="end"/>
      </w:r>
      <w:r>
        <w:tab/>
      </w:r>
      <w:r w:rsidR="006D7458" w:rsidRPr="00F7190B">
        <w:t xml:space="preserve">Der TC </w:t>
      </w:r>
      <w:r w:rsidR="006D7458">
        <w:t>nahm die</w:t>
      </w:r>
      <w:r w:rsidR="006D7458" w:rsidRPr="00F7190B">
        <w:t xml:space="preserve"> laufenden Arbeiten der CAJ-AG </w:t>
      </w:r>
      <w:r w:rsidR="006D7458">
        <w:t xml:space="preserve">an der Ausarbeitung von Anleitung </w:t>
      </w:r>
      <w:r w:rsidR="006D7458" w:rsidRPr="00F7190B">
        <w:t xml:space="preserve">zu Sortenbezeichnungen, wie in Absätzen 3 bis 6 </w:t>
      </w:r>
      <w:r w:rsidR="006D7458">
        <w:t xml:space="preserve">von </w:t>
      </w:r>
      <w:r w:rsidR="006D7458" w:rsidRPr="00F7190B">
        <w:t>Dokument TC/50/14</w:t>
      </w:r>
      <w:r w:rsidR="006D7458">
        <w:t xml:space="preserve"> </w:t>
      </w:r>
      <w:r w:rsidR="006D7458" w:rsidRPr="00F7190B">
        <w:t>dargelegt</w:t>
      </w:r>
      <w:r w:rsidR="006D7458">
        <w:t>, zur Kenntnis</w:t>
      </w:r>
      <w:r w:rsidR="006D7458" w:rsidRPr="00F7190B">
        <w:t xml:space="preserve">.  </w:t>
      </w:r>
    </w:p>
    <w:p w:rsidR="006D7458" w:rsidRPr="00F7190B" w:rsidRDefault="006D7458" w:rsidP="009C2B3F"/>
    <w:p w:rsidR="006D7458" w:rsidRPr="00F7190B" w:rsidRDefault="006D7458" w:rsidP="009C2B3F">
      <w:r>
        <w:fldChar w:fldCharType="begin"/>
      </w:r>
      <w:r w:rsidRPr="00F7190B">
        <w:instrText xml:space="preserve"> AUTONUM  </w:instrText>
      </w:r>
      <w:r>
        <w:fldChar w:fldCharType="end"/>
      </w:r>
      <w:r w:rsidRPr="00F7190B">
        <w:tab/>
        <w:t xml:space="preserve">Der TC nahm zur Kenntnis, </w:t>
      </w:r>
      <w:r>
        <w:t xml:space="preserve">daß </w:t>
      </w:r>
      <w:r w:rsidRPr="00F7190B">
        <w:t xml:space="preserve">der CAJ </w:t>
      </w:r>
      <w:r>
        <w:t xml:space="preserve">auf seiner </w:t>
      </w:r>
      <w:r w:rsidRPr="00F7190B">
        <w:t>neunundsechzigsten Tagung am 10.</w:t>
      </w:r>
      <w:r>
        <w:t xml:space="preserve"> </w:t>
      </w:r>
      <w:r w:rsidRPr="00F7190B">
        <w:t xml:space="preserve">April 2014 ersucht </w:t>
      </w:r>
      <w:r>
        <w:t>werden würde</w:t>
      </w:r>
      <w:r w:rsidRPr="00F7190B">
        <w:t>, zu prüfen, ob es zweckdienlich wäre, Dokument UPOV/INF/12</w:t>
      </w:r>
      <w:r>
        <w:t>, Absatz 2.3.3. Nummer i</w:t>
      </w:r>
      <w:r w:rsidRPr="00F7190B">
        <w:t>, wie in Dokument</w:t>
      </w:r>
      <w:r>
        <w:t xml:space="preserve"> TC/50/14, Absatz 7,</w:t>
      </w:r>
      <w:r w:rsidRPr="00F7190B">
        <w:t xml:space="preserve"> dargelegt, zu ändern.</w:t>
      </w:r>
    </w:p>
    <w:p w:rsidR="006D7458" w:rsidRPr="00F7190B" w:rsidRDefault="006D7458" w:rsidP="009C2B3F"/>
    <w:p w:rsidR="006D7458" w:rsidRPr="007E55E2" w:rsidRDefault="006D7458" w:rsidP="009C2B3F">
      <w:r w:rsidRPr="00560C72">
        <w:fldChar w:fldCharType="begin"/>
      </w:r>
      <w:r w:rsidRPr="00DF30A6">
        <w:instrText xml:space="preserve"> AUTONUM  </w:instrText>
      </w:r>
      <w:r w:rsidRPr="00560C72">
        <w:fldChar w:fldCharType="end"/>
      </w:r>
      <w:r w:rsidRPr="00DF30A6">
        <w:tab/>
        <w:t xml:space="preserve">Der TC vereinbarte, daß </w:t>
      </w:r>
      <w:r>
        <w:t xml:space="preserve">das </w:t>
      </w:r>
      <w:r w:rsidRPr="00DF30A6">
        <w:t xml:space="preserve">Beispiel </w:t>
      </w:r>
      <w:r>
        <w:t>„</w:t>
      </w:r>
      <w:r w:rsidRPr="00DF30A6">
        <w:t>Bough</w:t>
      </w:r>
      <w:r>
        <w:t>“</w:t>
      </w:r>
      <w:r w:rsidRPr="00DF30A6">
        <w:t xml:space="preserve"> und </w:t>
      </w:r>
      <w:r>
        <w:t>„</w:t>
      </w:r>
      <w:r w:rsidRPr="00DF30A6">
        <w:t>Bow</w:t>
      </w:r>
      <w:r>
        <w:t>“</w:t>
      </w:r>
      <w:r w:rsidRPr="00DF30A6">
        <w:t xml:space="preserve"> in Dokument UPOV/INF/12, Absatz 2.3.3</w:t>
      </w:r>
      <w:r>
        <w:t xml:space="preserve"> Nummer i, durch ein geeignetes</w:t>
      </w:r>
      <w:r w:rsidRPr="00DF30A6">
        <w:t xml:space="preserve"> Beispiel</w:t>
      </w:r>
      <w:r>
        <w:t xml:space="preserve"> ersetzt werden solle,</w:t>
      </w:r>
      <w:r w:rsidRPr="00DF30A6">
        <w:t xml:space="preserve"> und </w:t>
      </w:r>
      <w:r>
        <w:t xml:space="preserve">nahm weiter zur Kenntnis, daß die </w:t>
      </w:r>
      <w:r w:rsidRPr="00DF30A6">
        <w:t xml:space="preserve">Arbeit </w:t>
      </w:r>
      <w:r>
        <w:t>an der e</w:t>
      </w:r>
      <w:r w:rsidRPr="00DF30A6">
        <w:t>twaige</w:t>
      </w:r>
      <w:r>
        <w:t xml:space="preserve">n Ausarbeitung </w:t>
      </w:r>
      <w:r w:rsidRPr="00DF30A6">
        <w:t xml:space="preserve">eines UPOV-Suchinstruments für Ähnlichkeiten </w:t>
      </w:r>
      <w:r>
        <w:t>in einer Überprüfung von Dokument</w:t>
      </w:r>
      <w:r w:rsidRPr="00DF30A6">
        <w:t xml:space="preserve"> UPOV/INF/12</w:t>
      </w:r>
      <w:r>
        <w:t xml:space="preserve"> widergespiegelt werden sollte</w:t>
      </w:r>
      <w:r w:rsidRPr="00DF30A6">
        <w:t xml:space="preserve">. </w:t>
      </w:r>
      <w:r w:rsidRPr="007E55E2">
        <w:t xml:space="preserve">Er vereinbarte auch, daß weiterhin Anleitung über Verwechslungen aus phonetischen Gründen in das Dokument UPOV/INF/12 aufgenommen werden sollte. </w:t>
      </w:r>
    </w:p>
    <w:p w:rsidR="00F046AC" w:rsidRPr="001960CC" w:rsidRDefault="00F046AC" w:rsidP="009C2B3F"/>
    <w:p w:rsidR="006D7458" w:rsidRPr="006D7458" w:rsidRDefault="006D7458" w:rsidP="009C2B3F">
      <w:pPr>
        <w:pStyle w:val="Heading3"/>
        <w:rPr>
          <w:i w:val="0"/>
        </w:rPr>
      </w:pPr>
      <w:bookmarkStart w:id="166" w:name="_Toc393187159"/>
      <w:bookmarkStart w:id="167" w:name="_Toc395605389"/>
      <w:r w:rsidRPr="006D7458">
        <w:rPr>
          <w:i w:val="0"/>
        </w:rPr>
        <w:t>Etwaige Entwicklung eines</w:t>
      </w:r>
      <w:r w:rsidR="006A6657" w:rsidRPr="006D7458">
        <w:rPr>
          <w:i w:val="0"/>
        </w:rPr>
        <w:t xml:space="preserve"> UPOV</w:t>
      </w:r>
      <w:r w:rsidRPr="006D7458">
        <w:rPr>
          <w:i w:val="0"/>
        </w:rPr>
        <w:t>-Suchinstruments für Ähnlichkeiten zum Zweck der Sortenbezeichnung</w:t>
      </w:r>
      <w:r w:rsidR="006A6657" w:rsidRPr="006D7458">
        <w:rPr>
          <w:i w:val="0"/>
        </w:rPr>
        <w:t xml:space="preserve"> Similarity Search Tool for variety denomination purposes</w:t>
      </w:r>
      <w:bookmarkEnd w:id="166"/>
      <w:bookmarkEnd w:id="167"/>
      <w:r w:rsidRPr="006D7458">
        <w:rPr>
          <w:i w:val="0"/>
        </w:rPr>
        <w:t xml:space="preserve"> </w:t>
      </w:r>
    </w:p>
    <w:p w:rsidR="006D7458" w:rsidRPr="00F7190B" w:rsidRDefault="006D7458" w:rsidP="009C2B3F">
      <w:pPr>
        <w:pStyle w:val="Heading3"/>
      </w:pPr>
    </w:p>
    <w:p w:rsidR="006D7458" w:rsidRPr="00F7190B" w:rsidRDefault="006D7458" w:rsidP="009C2B3F">
      <w:r w:rsidRPr="00C920D5">
        <w:fldChar w:fldCharType="begin"/>
      </w:r>
      <w:r w:rsidRPr="00F7190B">
        <w:instrText xml:space="preserve"> AUTONUM  </w:instrText>
      </w:r>
      <w:r w:rsidRPr="00C920D5">
        <w:fldChar w:fldCharType="end"/>
      </w:r>
      <w:r w:rsidRPr="00F7190B">
        <w:tab/>
        <w:t xml:space="preserve">Der TC </w:t>
      </w:r>
      <w:r>
        <w:t>nahm den Bericht über die</w:t>
      </w:r>
      <w:r w:rsidRPr="00F7190B">
        <w:t xml:space="preserve"> </w:t>
      </w:r>
      <w:r>
        <w:t>e</w:t>
      </w:r>
      <w:r w:rsidRPr="00F7190B">
        <w:t>twaige Entwicklung eines UPOV-Suchinstruments für Ähnlichkeiten zum Zweck der Sortenbezeichnung</w:t>
      </w:r>
      <w:r w:rsidRPr="00F7190B">
        <w:rPr>
          <w:kern w:val="28"/>
        </w:rPr>
        <w:t xml:space="preserve"> in Dokument TC/50/14, Abschnitt II</w:t>
      </w:r>
      <w:r>
        <w:rPr>
          <w:kern w:val="28"/>
        </w:rPr>
        <w:t xml:space="preserve">, </w:t>
      </w:r>
      <w:r>
        <w:t>zur Kenntnis</w:t>
      </w:r>
      <w:r w:rsidRPr="00F7190B">
        <w:rPr>
          <w:rFonts w:eastAsia="MS Mincho"/>
          <w:snapToGrid w:val="0"/>
        </w:rPr>
        <w:t>.</w:t>
      </w:r>
    </w:p>
    <w:p w:rsidR="006D7458" w:rsidRPr="00F7190B" w:rsidRDefault="006D7458" w:rsidP="009C2B3F"/>
    <w:p w:rsidR="006D7458" w:rsidRPr="00371E8C" w:rsidRDefault="006D7458" w:rsidP="009C2B3F">
      <w:r w:rsidRPr="003371D7">
        <w:fldChar w:fldCharType="begin"/>
      </w:r>
      <w:r w:rsidRPr="00371E8C">
        <w:instrText xml:space="preserve"> AUTONUM  </w:instrText>
      </w:r>
      <w:r w:rsidRPr="003371D7">
        <w:fldChar w:fldCharType="end"/>
      </w:r>
      <w:r w:rsidRPr="00371E8C">
        <w:tab/>
        <w:t xml:space="preserve">Der TC begrüßte </w:t>
      </w:r>
      <w:r>
        <w:t>die Einsetzung einer Arbeitsgruppe</w:t>
      </w:r>
      <w:r w:rsidRPr="00371E8C">
        <w:t xml:space="preserve"> für </w:t>
      </w:r>
      <w:r>
        <w:t>die</w:t>
      </w:r>
      <w:r w:rsidRPr="00371E8C">
        <w:t xml:space="preserve"> Entwicklung </w:t>
      </w:r>
      <w:r>
        <w:t>eines</w:t>
      </w:r>
      <w:r w:rsidRPr="00371E8C">
        <w:t xml:space="preserve"> </w:t>
      </w:r>
      <w:r>
        <w:t>UPOV-Suchinstruments für Ähnlichkeiten</w:t>
      </w:r>
      <w:r w:rsidRPr="00371E8C">
        <w:t xml:space="preserve"> und ersucht</w:t>
      </w:r>
      <w:r>
        <w:t>e</w:t>
      </w:r>
      <w:r w:rsidRPr="00371E8C">
        <w:t xml:space="preserve"> Sachverständige</w:t>
      </w:r>
      <w:r>
        <w:t xml:space="preserve">, sich an deren </w:t>
      </w:r>
      <w:r w:rsidRPr="00371E8C">
        <w:t>Arbeit</w:t>
      </w:r>
      <w:r>
        <w:t xml:space="preserve"> zu beteiligen</w:t>
      </w:r>
      <w:r w:rsidRPr="00371E8C">
        <w:t xml:space="preserve">. </w:t>
      </w:r>
    </w:p>
    <w:p w:rsidR="006D7458" w:rsidRPr="00371E8C" w:rsidRDefault="006D7458" w:rsidP="009C2B3F"/>
    <w:p w:rsidR="006D7458" w:rsidRPr="00371E8C" w:rsidRDefault="006D7458" w:rsidP="009C2B3F">
      <w:r w:rsidRPr="003371D7">
        <w:lastRenderedPageBreak/>
        <w:fldChar w:fldCharType="begin"/>
      </w:r>
      <w:r w:rsidRPr="00371E8C">
        <w:instrText xml:space="preserve"> AUTONUM  </w:instrText>
      </w:r>
      <w:r w:rsidRPr="003371D7">
        <w:fldChar w:fldCharType="end"/>
      </w:r>
      <w:r w:rsidRPr="00371E8C">
        <w:tab/>
        <w:t xml:space="preserve">Der TC </w:t>
      </w:r>
      <w:r>
        <w:t>vereinbarte</w:t>
      </w:r>
      <w:r w:rsidRPr="00371E8C">
        <w:t>, daß es</w:t>
      </w:r>
      <w:r>
        <w:t xml:space="preserve"> gewisse</w:t>
      </w:r>
      <w:r w:rsidRPr="00371E8C">
        <w:t xml:space="preserve"> Herausforderungen bezüglich sprachlicher und alphabetischer Aspekte gebe, die von der Arbeitsgruppe bei der Festlegung der Zielsetzungen für ihre Arbeit geprüft werden sollten. </w:t>
      </w:r>
    </w:p>
    <w:p w:rsidR="00F046AC" w:rsidRDefault="00F046AC" w:rsidP="00764DB0">
      <w:pPr>
        <w:pStyle w:val="Heading3"/>
      </w:pPr>
    </w:p>
    <w:p w:rsidR="006D7458" w:rsidRDefault="006D7458" w:rsidP="009C2B3F">
      <w:pPr>
        <w:pStyle w:val="Heading3"/>
        <w:rPr>
          <w:i w:val="0"/>
        </w:rPr>
      </w:pPr>
      <w:bookmarkStart w:id="168" w:name="_Toc395605390"/>
      <w:bookmarkStart w:id="169" w:name="_Toc382388626"/>
      <w:bookmarkStart w:id="170" w:name="_Toc393187160"/>
      <w:r w:rsidRPr="006D7458">
        <w:rPr>
          <w:i w:val="0"/>
        </w:rPr>
        <w:t>Enwicklungen betreffend mögliche Bereiche einer Zusammenarbeit mit der IUBS-Kommission und der ISHS-Kommission</w:t>
      </w:r>
      <w:bookmarkEnd w:id="168"/>
    </w:p>
    <w:p w:rsidR="0061370A" w:rsidRPr="006D7458" w:rsidRDefault="0061370A" w:rsidP="006D7458">
      <w:pPr>
        <w:keepNext/>
        <w:rPr>
          <w:rFonts w:cs="Arial"/>
          <w:i/>
          <w:snapToGrid w:val="0"/>
          <w:lang w:eastAsia="en-US" w:bidi="ar-SA"/>
        </w:rPr>
      </w:pPr>
    </w:p>
    <w:p w:rsidR="00F046AC" w:rsidRPr="0077395B" w:rsidRDefault="0061370A" w:rsidP="0077395B">
      <w:pPr>
        <w:keepNext/>
        <w:rPr>
          <w:rFonts w:cs="Arial"/>
          <w:snapToGrid w:val="0"/>
          <w:lang w:eastAsia="en-US" w:bidi="ar-SA"/>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r>
      <w:r w:rsidR="006D7458" w:rsidRPr="0077395B">
        <w:t>Der TC nahm die Entwicklungen betreffend mögliche Bereiche einer Zusammenarbeit zwischen der Internationalen Kommission für die Nomenklatur der Kulturpflanzen (International Commission for the Nomenclature of Cultivated Plants) der Internationalen Vereinigung der biologischen Wissenschaften (International Union of Biological Sciences) (IUBS-Kommission) und der Kommission für die Nomenklatur der Kulturpflanzen der Internationalen Gesellschaft für Gartenbaukunde (International Society for Horticultural Science Commission for Nomenclature and Cultivar Registration) (ISHS-Kommission) und der UPOV</w:t>
      </w:r>
      <w:r w:rsidR="006D7458" w:rsidRPr="0077395B">
        <w:rPr>
          <w:rFonts w:eastAsia="MS Mincho" w:cs="Arial"/>
          <w:kern w:val="2"/>
          <w:lang w:eastAsia="ja-JP"/>
        </w:rPr>
        <w:t xml:space="preserve">, </w:t>
      </w:r>
      <w:r w:rsidR="006D7458" w:rsidRPr="0077395B">
        <w:t xml:space="preserve">wie in Dokument </w:t>
      </w:r>
      <w:r w:rsidR="006D7458" w:rsidRPr="0077395B">
        <w:rPr>
          <w:kern w:val="28"/>
        </w:rPr>
        <w:t xml:space="preserve">TC/50/14, </w:t>
      </w:r>
      <w:r w:rsidR="006D7458" w:rsidRPr="0077395B">
        <w:t>Abschnitt III, dargelegt, zur Kenntnis</w:t>
      </w:r>
      <w:bookmarkEnd w:id="169"/>
      <w:bookmarkEnd w:id="170"/>
      <w:r w:rsidR="006D7458" w:rsidRPr="0077395B">
        <w:t>.</w:t>
      </w:r>
    </w:p>
    <w:p w:rsidR="0037690B" w:rsidRDefault="0037690B">
      <w:pPr>
        <w:jc w:val="left"/>
      </w:pPr>
    </w:p>
    <w:p w:rsidR="00AC5D8F" w:rsidRDefault="00AC5D8F">
      <w:pPr>
        <w:jc w:val="left"/>
      </w:pPr>
    </w:p>
    <w:p w:rsidR="00F046AC" w:rsidRPr="0084638E" w:rsidRDefault="00F046AC" w:rsidP="005339C5">
      <w:pPr>
        <w:pStyle w:val="Heading2"/>
      </w:pPr>
      <w:bookmarkStart w:id="171" w:name="_Toc393187161"/>
      <w:bookmarkStart w:id="172" w:name="_Toc395605391"/>
      <w:r>
        <w:t>Information</w:t>
      </w:r>
      <w:r w:rsidR="00A54C13">
        <w:t>en und Datenbanken</w:t>
      </w:r>
      <w:bookmarkEnd w:id="171"/>
      <w:bookmarkEnd w:id="172"/>
    </w:p>
    <w:p w:rsidR="00F046AC" w:rsidRDefault="00A54C13" w:rsidP="00F046AC">
      <w:pPr>
        <w:keepNext/>
        <w:ind w:left="567" w:hanging="567"/>
      </w:pPr>
      <w:r>
        <w:t>(vergleiche Dok</w:t>
      </w:r>
      <w:r w:rsidR="0037690B">
        <w:t xml:space="preserve">ument TC/50/36 </w:t>
      </w:r>
      <w:r>
        <w:t>„Bericht über die Entschließungen”, Absätze 94 u</w:t>
      </w:r>
      <w:r w:rsidR="0037690B">
        <w:t>nd 101)</w:t>
      </w:r>
    </w:p>
    <w:p w:rsidR="0037690B" w:rsidRPr="0084638E" w:rsidRDefault="0037690B" w:rsidP="00F046AC">
      <w:pPr>
        <w:keepNext/>
        <w:ind w:left="567" w:hanging="567"/>
        <w:rPr>
          <w:u w:val="single"/>
        </w:rPr>
      </w:pPr>
    </w:p>
    <w:p w:rsidR="00F046AC" w:rsidRPr="0084638E" w:rsidRDefault="00A54C13" w:rsidP="00764DB0">
      <w:pPr>
        <w:pStyle w:val="Heading3"/>
      </w:pPr>
      <w:bookmarkStart w:id="173" w:name="_Toc393187162"/>
      <w:bookmarkStart w:id="174" w:name="_Toc395605392"/>
      <w:r>
        <w:t>UPOV-Informations</w:t>
      </w:r>
      <w:r w:rsidR="00F046AC">
        <w:t>dat</w:t>
      </w:r>
      <w:bookmarkEnd w:id="173"/>
      <w:r>
        <w:t>enbanken</w:t>
      </w:r>
      <w:bookmarkEnd w:id="174"/>
    </w:p>
    <w:p w:rsidR="00F046AC" w:rsidRPr="0084638E" w:rsidRDefault="00F046AC" w:rsidP="00F046AC"/>
    <w:p w:rsidR="00F046AC" w:rsidRPr="0084638E" w:rsidRDefault="00F046AC" w:rsidP="00F046AC">
      <w:r>
        <w:fldChar w:fldCharType="begin"/>
      </w:r>
      <w:r w:rsidRPr="0084638E">
        <w:instrText xml:space="preserve"> AUTONUM  </w:instrText>
      </w:r>
      <w:r>
        <w:fldChar w:fldCharType="end"/>
      </w:r>
      <w:r w:rsidR="00A54C13">
        <w:tab/>
        <w:t xml:space="preserve">Der TC prüfte </w:t>
      </w:r>
      <w:r>
        <w:t>Dokument TC/50/6.</w:t>
      </w:r>
    </w:p>
    <w:p w:rsidR="00F046AC" w:rsidRDefault="00F046AC" w:rsidP="00F046AC">
      <w:pPr>
        <w:spacing w:line="360" w:lineRule="auto"/>
      </w:pPr>
    </w:p>
    <w:p w:rsidR="008227D3" w:rsidRPr="008227D3" w:rsidRDefault="008227D3" w:rsidP="008227D3">
      <w:pPr>
        <w:ind w:firstLine="567"/>
        <w:rPr>
          <w:rFonts w:eastAsia="MS Mincho"/>
          <w:i/>
        </w:rPr>
      </w:pPr>
      <w:r w:rsidRPr="008227D3">
        <w:rPr>
          <w:rFonts w:eastAsia="MS Mincho"/>
          <w:i/>
        </w:rPr>
        <w:t>Informationen über den Pflanzentyp</w:t>
      </w:r>
    </w:p>
    <w:p w:rsidR="008227D3" w:rsidRPr="00946CB9" w:rsidRDefault="008227D3" w:rsidP="008227D3"/>
    <w:p w:rsidR="008227D3" w:rsidRPr="00371E8C" w:rsidRDefault="008227D3" w:rsidP="008227D3">
      <w:r w:rsidRPr="00FB2998">
        <w:fldChar w:fldCharType="begin"/>
      </w:r>
      <w:r w:rsidRPr="002914E7">
        <w:instrText xml:space="preserve"> AUTONUM  </w:instrText>
      </w:r>
      <w:r w:rsidRPr="00FB2998">
        <w:fldChar w:fldCharType="end"/>
      </w:r>
      <w:r w:rsidRPr="002914E7">
        <w:tab/>
        <w:t xml:space="preserve">Der TC vereinbarte, Informationen über den Pflanzentyp für jeden UPOV-Code in der GENIE-Datenbank, wie </w:t>
      </w:r>
      <w:r>
        <w:t>Dokument TC/50/6,</w:t>
      </w:r>
      <w:r w:rsidRPr="002914E7">
        <w:t xml:space="preserve"> Absatz 8</w:t>
      </w:r>
      <w:r>
        <w:t>,</w:t>
      </w:r>
      <w:r w:rsidRPr="002914E7">
        <w:t xml:space="preserve"> dargelegt, bereitzustellen. </w:t>
      </w:r>
      <w:r w:rsidRPr="00FD22BD">
        <w:t>Es wurde klargestellt, daß einem einzigen UPOV-Code mehr als ein Pfl</w:t>
      </w:r>
      <w:r>
        <w:t>anzentyp zugeordnet werden kann.</w:t>
      </w:r>
    </w:p>
    <w:p w:rsidR="008227D3" w:rsidRPr="00371E8C" w:rsidRDefault="008227D3" w:rsidP="008227D3"/>
    <w:p w:rsidR="008227D3" w:rsidRPr="00FB2998" w:rsidRDefault="008227D3" w:rsidP="008227D3">
      <w:r>
        <w:fldChar w:fldCharType="begin"/>
      </w:r>
      <w:r w:rsidRPr="002914E7">
        <w:instrText xml:space="preserve"> AUTONUM  </w:instrText>
      </w:r>
      <w:r>
        <w:fldChar w:fldCharType="end"/>
      </w:r>
      <w:r w:rsidRPr="002914E7">
        <w:tab/>
        <w:t xml:space="preserve">Der TC nahm zur Kenntnis, daß </w:t>
      </w:r>
      <w:r>
        <w:t xml:space="preserve">es </w:t>
      </w:r>
      <w:r w:rsidRPr="002914E7">
        <w:t xml:space="preserve">der </w:t>
      </w:r>
      <w:r>
        <w:t>vorgeschlagene</w:t>
      </w:r>
      <w:r w:rsidRPr="002914E7">
        <w:t xml:space="preserve"> Ansatz ermöglichen würde, die Daten in der PLUTO-Datenbank im Hinblick auf eingereichte Anträge, erteilte Schutztitel und abgelaufene Schutztitel in Bezugsjahren nach Pflanzentyp zu analysieren,</w:t>
      </w:r>
      <w:r>
        <w:t xml:space="preserve"> u</w:t>
      </w:r>
      <w:r w:rsidRPr="00FD22BD">
        <w:t xml:space="preserve">nd </w:t>
      </w:r>
      <w:r>
        <w:t xml:space="preserve">wies </w:t>
      </w:r>
      <w:r w:rsidRPr="00FD22BD">
        <w:t>zugleich darauf hin, daß mehrere Pflanzentypen für einige UPOV-Codes diesbezüglich zu gewissen Einschränkungen führen würden</w:t>
      </w:r>
      <w:r w:rsidRPr="002914E7">
        <w:t>.</w:t>
      </w:r>
    </w:p>
    <w:p w:rsidR="00F046AC" w:rsidRDefault="00F046AC" w:rsidP="00F046AC">
      <w:pPr>
        <w:spacing w:line="360" w:lineRule="auto"/>
      </w:pPr>
    </w:p>
    <w:p w:rsidR="00F046AC" w:rsidRPr="00245163" w:rsidRDefault="00F046AC" w:rsidP="005339C5">
      <w:pPr>
        <w:pStyle w:val="Heading4"/>
      </w:pPr>
      <w:bookmarkStart w:id="175" w:name="_Toc381022345"/>
      <w:r>
        <w:t>UPOV</w:t>
      </w:r>
      <w:bookmarkEnd w:id="175"/>
      <w:r w:rsidR="008227D3">
        <w:t>-Code-</w:t>
      </w:r>
      <w:r>
        <w:t>System</w:t>
      </w:r>
    </w:p>
    <w:p w:rsidR="00F046AC" w:rsidRPr="001E700D" w:rsidRDefault="00F046AC" w:rsidP="00F046AC">
      <w:pPr>
        <w:keepNext/>
      </w:pPr>
    </w:p>
    <w:p w:rsidR="008227D3" w:rsidRPr="002914E7" w:rsidRDefault="00F046AC" w:rsidP="008227D3">
      <w:r w:rsidRPr="00AF2B73">
        <w:fldChar w:fldCharType="begin"/>
      </w:r>
      <w:r w:rsidRPr="00AF2B73">
        <w:instrText xml:space="preserve"> AUTONUM  </w:instrText>
      </w:r>
      <w:r w:rsidRPr="00AF2B73">
        <w:fldChar w:fldCharType="end"/>
      </w:r>
      <w:r>
        <w:tab/>
      </w:r>
      <w:r w:rsidR="008227D3" w:rsidRPr="002914E7">
        <w:t xml:space="preserve">Der TC nahm die Entwicklungen betreffend </w:t>
      </w:r>
      <w:r w:rsidR="008227D3">
        <w:t>UPOV-Codes</w:t>
      </w:r>
      <w:r w:rsidR="008227D3" w:rsidRPr="002914E7">
        <w:rPr>
          <w:snapToGrid w:val="0"/>
        </w:rPr>
        <w:t xml:space="preserve">, </w:t>
      </w:r>
      <w:r w:rsidR="008227D3">
        <w:rPr>
          <w:snapToGrid w:val="0"/>
        </w:rPr>
        <w:t xml:space="preserve">wie in </w:t>
      </w:r>
      <w:r w:rsidR="008227D3" w:rsidRPr="002914E7">
        <w:t xml:space="preserve">Dokument TC/50/6, </w:t>
      </w:r>
      <w:r w:rsidR="008227D3" w:rsidRPr="002914E7">
        <w:rPr>
          <w:snapToGrid w:val="0"/>
        </w:rPr>
        <w:t>Absatz 13</w:t>
      </w:r>
      <w:r w:rsidR="008227D3">
        <w:rPr>
          <w:snapToGrid w:val="0"/>
        </w:rPr>
        <w:t>, dargelegt, zur Kenntnis</w:t>
      </w:r>
      <w:r w:rsidR="008227D3" w:rsidRPr="002914E7">
        <w:t>.</w:t>
      </w:r>
    </w:p>
    <w:p w:rsidR="008227D3" w:rsidRPr="002914E7" w:rsidRDefault="008227D3" w:rsidP="008227D3"/>
    <w:p w:rsidR="008227D3" w:rsidRDefault="008227D3" w:rsidP="008227D3">
      <w:r>
        <w:fldChar w:fldCharType="begin"/>
      </w:r>
      <w:r w:rsidRPr="002914E7">
        <w:instrText xml:space="preserve"> AUTONUM  </w:instrText>
      </w:r>
      <w:r>
        <w:fldChar w:fldCharType="end"/>
      </w:r>
      <w:r w:rsidRPr="002914E7">
        <w:tab/>
        <w:t xml:space="preserve">Der TC </w:t>
      </w:r>
      <w:r>
        <w:t>nahm das Vorhaben</w:t>
      </w:r>
      <w:r w:rsidRPr="002914E7">
        <w:t xml:space="preserve"> des Verbandsbüros zur Erstellung von Tabellen mit den Ergänzungen und Änderungen der UPOV­Codes zur Überprüfung durch die zuständigen Behörden für jede Tagung der TWP im Jahr 2014, wie in Absatz 14 </w:t>
      </w:r>
      <w:r>
        <w:t>von</w:t>
      </w:r>
      <w:r w:rsidRPr="002914E7">
        <w:t xml:space="preserve"> Dokument TC/50/6</w:t>
      </w:r>
      <w:r>
        <w:t xml:space="preserve"> </w:t>
      </w:r>
      <w:r w:rsidRPr="002914E7">
        <w:t>dargelegt</w:t>
      </w:r>
      <w:r>
        <w:t>, zur Kenntnis.</w:t>
      </w:r>
    </w:p>
    <w:p w:rsidR="00F046AC" w:rsidRDefault="00F046AC" w:rsidP="00892F72">
      <w:r>
        <w:t>.</w:t>
      </w:r>
    </w:p>
    <w:p w:rsidR="00F046AC" w:rsidRPr="00245163" w:rsidRDefault="00F046AC" w:rsidP="005339C5">
      <w:pPr>
        <w:pStyle w:val="Heading4"/>
      </w:pPr>
      <w:bookmarkStart w:id="176" w:name="_Toc381022348"/>
      <w:r>
        <w:t>PLUTO</w:t>
      </w:r>
      <w:bookmarkEnd w:id="176"/>
      <w:r w:rsidR="008227D3">
        <w:t>-Datenbank</w:t>
      </w:r>
    </w:p>
    <w:p w:rsidR="00F046AC" w:rsidRDefault="00F046AC" w:rsidP="00F046AC">
      <w:pPr>
        <w:keepNext/>
      </w:pPr>
    </w:p>
    <w:p w:rsidR="008227D3" w:rsidRPr="002914E7" w:rsidRDefault="00F046AC" w:rsidP="008227D3">
      <w:r w:rsidRPr="00AF2B73">
        <w:fldChar w:fldCharType="begin"/>
      </w:r>
      <w:r w:rsidRPr="00AF2B73">
        <w:instrText xml:space="preserve"> AUTONUM  </w:instrText>
      </w:r>
      <w:r w:rsidRPr="00AF2B73">
        <w:fldChar w:fldCharType="end"/>
      </w:r>
      <w:r>
        <w:tab/>
      </w:r>
      <w:r w:rsidR="008227D3" w:rsidRPr="002914E7">
        <w:t xml:space="preserve">Der TC nahm die Entwicklungen betreffend das Programm für Verbesserungen der Datenbank für Pflanzensorten, </w:t>
      </w:r>
      <w:r w:rsidR="008227D3">
        <w:t>w</w:t>
      </w:r>
      <w:r w:rsidR="008227D3" w:rsidRPr="002914E7">
        <w:t xml:space="preserve">ie in Dokument TC/50/6, Absätze 16 </w:t>
      </w:r>
      <w:r w:rsidR="008227D3">
        <w:t>bis</w:t>
      </w:r>
      <w:r w:rsidR="008227D3" w:rsidRPr="002914E7">
        <w:t xml:space="preserve"> 38</w:t>
      </w:r>
      <w:r w:rsidR="008227D3">
        <w:t xml:space="preserve">, berichtet, </w:t>
      </w:r>
      <w:r w:rsidR="008227D3" w:rsidRPr="002914E7">
        <w:t>zur Kenntnis.</w:t>
      </w:r>
    </w:p>
    <w:p w:rsidR="00F046AC" w:rsidRPr="00AF2B73" w:rsidRDefault="00F046AC" w:rsidP="00F046AC">
      <w:pPr>
        <w:spacing w:line="360" w:lineRule="auto"/>
      </w:pPr>
    </w:p>
    <w:p w:rsidR="008227D3" w:rsidRPr="008227D3" w:rsidRDefault="008227D3" w:rsidP="008227D3">
      <w:pPr>
        <w:keepNext/>
        <w:rPr>
          <w:i/>
        </w:rPr>
      </w:pPr>
      <w:bookmarkStart w:id="177" w:name="_Toc381022358"/>
      <w:r w:rsidRPr="008227D3">
        <w:rPr>
          <w:i/>
        </w:rPr>
        <w:t xml:space="preserve">Befragung der Verbandsmitglieder über deren Nutzung von Datenbanken und elektronischen Systemen für die Einreichung von Anträgen </w:t>
      </w:r>
    </w:p>
    <w:p w:rsidR="008227D3" w:rsidRPr="008227D3" w:rsidRDefault="008227D3" w:rsidP="008227D3">
      <w:pPr>
        <w:keepNext/>
        <w:rPr>
          <w:i/>
        </w:rPr>
      </w:pPr>
    </w:p>
    <w:p w:rsidR="008227D3" w:rsidRPr="002914E7" w:rsidRDefault="008227D3" w:rsidP="008227D3">
      <w:r w:rsidRPr="00AF2B73">
        <w:fldChar w:fldCharType="begin"/>
      </w:r>
      <w:r w:rsidRPr="002914E7">
        <w:instrText xml:space="preserve"> AUTONUM  </w:instrText>
      </w:r>
      <w:r w:rsidRPr="00AF2B73">
        <w:fldChar w:fldCharType="end"/>
      </w:r>
      <w:r w:rsidRPr="002914E7">
        <w:tab/>
        <w:t xml:space="preserve">Der TC </w:t>
      </w:r>
      <w:r>
        <w:t xml:space="preserve">nahm die </w:t>
      </w:r>
      <w:r w:rsidRPr="002914E7">
        <w:t xml:space="preserve">Ergebnisse der Befragung der Verbandsmitglieder über deren Nutzung von Datenbanken für Sortenschutzzwecke sowie über deren Nutzung von elektronischen Systemen für die Einreichung von Daten, </w:t>
      </w:r>
      <w:r>
        <w:t xml:space="preserve">wie in </w:t>
      </w:r>
      <w:r w:rsidRPr="002914E7">
        <w:t xml:space="preserve">Dokument TC/50/6, </w:t>
      </w:r>
      <w:r>
        <w:t>Anlage</w:t>
      </w:r>
      <w:r w:rsidRPr="002914E7">
        <w:t xml:space="preserve"> IV</w:t>
      </w:r>
      <w:r>
        <w:t>, dargelegt, zur Kenntnis</w:t>
      </w:r>
      <w:r w:rsidRPr="002914E7">
        <w:t>.</w:t>
      </w:r>
    </w:p>
    <w:p w:rsidR="008227D3" w:rsidRPr="002914E7" w:rsidRDefault="008227D3" w:rsidP="008227D3"/>
    <w:p w:rsidR="00F046AC" w:rsidRPr="00AF2B73" w:rsidRDefault="008227D3" w:rsidP="008227D3">
      <w:r>
        <w:fldChar w:fldCharType="begin"/>
      </w:r>
      <w:r w:rsidRPr="007E792B">
        <w:instrText xml:space="preserve"> AUTONUM  </w:instrText>
      </w:r>
      <w:r>
        <w:fldChar w:fldCharType="end"/>
      </w:r>
      <w:r w:rsidRPr="007E792B">
        <w:tab/>
        <w:t xml:space="preserve">Der TC nahm zur Kenntnis, </w:t>
      </w:r>
      <w:r>
        <w:t xml:space="preserve">daß der </w:t>
      </w:r>
      <w:r w:rsidRPr="007E792B">
        <w:t>CAJ auf seiner neunundsechzigsten Tagung vom 10.</w:t>
      </w:r>
      <w:r>
        <w:t xml:space="preserve"> </w:t>
      </w:r>
      <w:r w:rsidRPr="007E792B">
        <w:t>April 2014 in Genf ersucht werden</w:t>
      </w:r>
      <w:r>
        <w:t xml:space="preserve"> würde</w:t>
      </w:r>
      <w:r w:rsidRPr="007E792B">
        <w:t>, die Ergebnisse der Befragung zu prüfen</w:t>
      </w:r>
      <w:bookmarkEnd w:id="177"/>
      <w:r w:rsidR="00892F72">
        <w:t>.</w:t>
      </w:r>
    </w:p>
    <w:p w:rsidR="00F046AC" w:rsidRDefault="00F046AC" w:rsidP="00F046AC"/>
    <w:p w:rsidR="00F046AC" w:rsidRDefault="00F046AC" w:rsidP="00F046AC"/>
    <w:p w:rsidR="00F046AC" w:rsidRDefault="00DB67B7" w:rsidP="0037690B">
      <w:pPr>
        <w:pStyle w:val="Heading2"/>
      </w:pPr>
      <w:bookmarkStart w:id="178" w:name="_Toc393187163"/>
      <w:bookmarkStart w:id="179" w:name="_Toc395605393"/>
      <w:r>
        <w:lastRenderedPageBreak/>
        <w:t>Datenbanken für Sortenbezeichnungen</w:t>
      </w:r>
      <w:bookmarkEnd w:id="178"/>
      <w:bookmarkEnd w:id="179"/>
    </w:p>
    <w:p w:rsidR="00F046AC" w:rsidRDefault="0037690B" w:rsidP="00F046AC">
      <w:pPr>
        <w:keepNext/>
      </w:pPr>
      <w:r>
        <w:t>(vergleiche Dokument TC/50/36 „Bericht über die Entschließungen”, Absätze 102 bis 108).</w:t>
      </w:r>
    </w:p>
    <w:p w:rsidR="0037690B" w:rsidRDefault="0037690B" w:rsidP="00F046AC">
      <w:pPr>
        <w:keepNext/>
      </w:pPr>
    </w:p>
    <w:p w:rsidR="00DB67B7" w:rsidRPr="00946CB9" w:rsidRDefault="00F046AC" w:rsidP="00DB67B7">
      <w:r>
        <w:fldChar w:fldCharType="begin"/>
      </w:r>
      <w:r>
        <w:instrText xml:space="preserve"> AUTONUM  </w:instrText>
      </w:r>
      <w:r>
        <w:fldChar w:fldCharType="end"/>
      </w:r>
      <w:r w:rsidR="00DB67B7">
        <w:tab/>
      </w:r>
      <w:r w:rsidR="00DB67B7" w:rsidRPr="00946CB9">
        <w:t>Der TC prüfte Dokument TC/50/7.</w:t>
      </w:r>
    </w:p>
    <w:p w:rsidR="00DB67B7" w:rsidRPr="00946CB9" w:rsidRDefault="00DB67B7" w:rsidP="00DB67B7"/>
    <w:p w:rsidR="00DB67B7" w:rsidRPr="007E792B" w:rsidRDefault="00DB67B7" w:rsidP="00DB67B7">
      <w:pPr>
        <w:rPr>
          <w:snapToGrid w:val="0"/>
        </w:rPr>
      </w:pPr>
      <w:r w:rsidRPr="0008344F">
        <w:rPr>
          <w:color w:val="000000"/>
        </w:rPr>
        <w:fldChar w:fldCharType="begin"/>
      </w:r>
      <w:r w:rsidRPr="007E792B">
        <w:rPr>
          <w:color w:val="000000"/>
        </w:rPr>
        <w:instrText xml:space="preserve"> AUTONUM  </w:instrText>
      </w:r>
      <w:r w:rsidRPr="0008344F">
        <w:rPr>
          <w:color w:val="000000"/>
        </w:rPr>
        <w:fldChar w:fldCharType="end"/>
      </w:r>
      <w:r w:rsidRPr="007E792B">
        <w:rPr>
          <w:color w:val="000000"/>
        </w:rPr>
        <w:tab/>
      </w:r>
      <w:r w:rsidRPr="007E792B">
        <w:t xml:space="preserve">Der TC nahm die Entwicklungen betreffend </w:t>
      </w:r>
      <w:r w:rsidRPr="007E792B">
        <w:rPr>
          <w:snapToGrid w:val="0"/>
        </w:rPr>
        <w:t xml:space="preserve">Datenbanken für </w:t>
      </w:r>
      <w:r>
        <w:rPr>
          <w:snapToGrid w:val="0"/>
        </w:rPr>
        <w:t>Sortenbezeichnung</w:t>
      </w:r>
      <w:r w:rsidRPr="007E792B">
        <w:rPr>
          <w:snapToGrid w:val="0"/>
        </w:rPr>
        <w:t>en,</w:t>
      </w:r>
      <w:r>
        <w:rPr>
          <w:snapToGrid w:val="0"/>
        </w:rPr>
        <w:t xml:space="preserve"> wie </w:t>
      </w:r>
      <w:r w:rsidRPr="007E792B">
        <w:rPr>
          <w:snapToGrid w:val="0"/>
        </w:rPr>
        <w:t xml:space="preserve">in Dokument TC/50/7, Absätze 10 </w:t>
      </w:r>
      <w:r>
        <w:rPr>
          <w:snapToGrid w:val="0"/>
        </w:rPr>
        <w:t>bis</w:t>
      </w:r>
      <w:r w:rsidRPr="007E792B">
        <w:rPr>
          <w:snapToGrid w:val="0"/>
        </w:rPr>
        <w:t xml:space="preserve"> 21</w:t>
      </w:r>
      <w:r>
        <w:rPr>
          <w:snapToGrid w:val="0"/>
        </w:rPr>
        <w:t>, dargelegt, zur Kenntnis</w:t>
      </w:r>
      <w:r w:rsidRPr="007E792B">
        <w:rPr>
          <w:snapToGrid w:val="0"/>
        </w:rPr>
        <w:t>.</w:t>
      </w:r>
    </w:p>
    <w:p w:rsidR="00DB67B7" w:rsidRPr="007E792B" w:rsidRDefault="00DB67B7" w:rsidP="00DB67B7">
      <w:pPr>
        <w:rPr>
          <w:snapToGrid w:val="0"/>
        </w:rPr>
      </w:pPr>
    </w:p>
    <w:p w:rsidR="00DB67B7" w:rsidRPr="004E0504" w:rsidRDefault="00DB67B7" w:rsidP="00DB67B7">
      <w:r>
        <w:rPr>
          <w:snapToGrid w:val="0"/>
        </w:rPr>
        <w:fldChar w:fldCharType="begin"/>
      </w:r>
      <w:r w:rsidRPr="007E792B">
        <w:rPr>
          <w:snapToGrid w:val="0"/>
        </w:rPr>
        <w:instrText xml:space="preserve"> AUTONUM  </w:instrText>
      </w:r>
      <w:r>
        <w:rPr>
          <w:snapToGrid w:val="0"/>
        </w:rPr>
        <w:fldChar w:fldCharType="end"/>
      </w:r>
      <w:r w:rsidRPr="007E792B">
        <w:rPr>
          <w:snapToGrid w:val="0"/>
        </w:rPr>
        <w:tab/>
        <w:t xml:space="preserve">Der TC nahm zur Kenntnis, daß </w:t>
      </w:r>
      <w:r>
        <w:rPr>
          <w:snapToGrid w:val="0"/>
        </w:rPr>
        <w:t xml:space="preserve">die </w:t>
      </w:r>
      <w:r w:rsidRPr="007E792B">
        <w:t>TWV den Sachverständigen aus Frankreich</w:t>
      </w:r>
      <w:r>
        <w:t xml:space="preserve"> ersucht hatte</w:t>
      </w:r>
      <w:r w:rsidRPr="007E792B">
        <w:t xml:space="preserve">, auf ihrer achtundvierzigsten Tagung ein Referat über die GEMMA-Software zu halten, die von der </w:t>
      </w:r>
      <w:r w:rsidRPr="007E3D85">
        <w:rPr>
          <w:i/>
        </w:rPr>
        <w:t>Groupe d'Étude et de contrôle des Variétés et des Semences</w:t>
      </w:r>
      <w:r w:rsidRPr="007E792B">
        <w:t xml:space="preserve"> (GEVES) in einem Forschungs- und Entwicklungsprojekt des Gemeinschaftlichen Sortenamtes der Europäischen Union (CPVO) verwendet wird. </w:t>
      </w:r>
      <w:r w:rsidRPr="004E0504">
        <w:t xml:space="preserve">Diesbezüglich nahm er </w:t>
      </w:r>
      <w:r>
        <w:t>den Bericht von</w:t>
      </w:r>
      <w:r w:rsidRPr="004E0504">
        <w:t xml:space="preserve"> Frankreich</w:t>
      </w:r>
      <w:r w:rsidRPr="004863AE">
        <w:t xml:space="preserve"> </w:t>
      </w:r>
      <w:r w:rsidRPr="004E0504">
        <w:t>zur Kenntnis</w:t>
      </w:r>
      <w:r>
        <w:t xml:space="preserve">, daß das Referat im Jahr </w:t>
      </w:r>
      <w:r w:rsidRPr="004E0504">
        <w:t>2014</w:t>
      </w:r>
      <w:r>
        <w:t xml:space="preserve"> nicht möglich sein werde</w:t>
      </w:r>
      <w:r w:rsidRPr="004E0504">
        <w:t>.</w:t>
      </w:r>
    </w:p>
    <w:p w:rsidR="00DB67B7" w:rsidRPr="004E0504" w:rsidRDefault="00DB67B7" w:rsidP="00DB67B7"/>
    <w:p w:rsidR="00DB67B7" w:rsidRPr="004E0504" w:rsidRDefault="00DB67B7" w:rsidP="00DB67B7">
      <w:r>
        <w:fldChar w:fldCharType="begin"/>
      </w:r>
      <w:r w:rsidRPr="00860D54">
        <w:instrText xml:space="preserve"> AUTONUM  </w:instrText>
      </w:r>
      <w:r>
        <w:fldChar w:fldCharType="end"/>
      </w:r>
      <w:r w:rsidRPr="00860D54">
        <w:tab/>
        <w:t>Der TC nahm zur Kenntnis, daß</w:t>
      </w:r>
      <w:r>
        <w:t xml:space="preserve"> die</w:t>
      </w:r>
      <w:r w:rsidRPr="00860D54">
        <w:t xml:space="preserve"> TWC einen Sachverständigen aus China ersucht ha</w:t>
      </w:r>
      <w:r>
        <w:t>t,</w:t>
      </w:r>
      <w:r w:rsidRPr="00860D54">
        <w:t xml:space="preserve"> auf ihrer zweiunddreißigsten Tagung ein Referat über die Variation bei </w:t>
      </w:r>
      <w:r>
        <w:t>Sortenbezeichnung</w:t>
      </w:r>
      <w:r w:rsidRPr="00860D54">
        <w:t xml:space="preserve">en über die Jahre an verschiedenen Orten zu halten. </w:t>
      </w:r>
      <w:r w:rsidRPr="004E0504">
        <w:t>Der TC vereinbarte, daß es vorteilhaft wäre, ei</w:t>
      </w:r>
      <w:r>
        <w:t>nen Vortrag vor der</w:t>
      </w:r>
      <w:r w:rsidRPr="004E0504">
        <w:t xml:space="preserve"> TWA</w:t>
      </w:r>
      <w:r>
        <w:t xml:space="preserve"> zu halten</w:t>
      </w:r>
      <w:r w:rsidRPr="004E0504">
        <w:t>.</w:t>
      </w:r>
    </w:p>
    <w:p w:rsidR="00DB67B7" w:rsidRPr="004E0504" w:rsidRDefault="00DB67B7" w:rsidP="00DB67B7"/>
    <w:p w:rsidR="00DB67B7" w:rsidRPr="00860D54" w:rsidRDefault="00DB67B7" w:rsidP="00DB67B7">
      <w:r>
        <w:fldChar w:fldCharType="begin"/>
      </w:r>
      <w:r w:rsidRPr="00860D54">
        <w:instrText xml:space="preserve"> AUTONUM  </w:instrText>
      </w:r>
      <w:r>
        <w:fldChar w:fldCharType="end"/>
      </w:r>
      <w:r w:rsidRPr="00860D54">
        <w:tab/>
        <w:t xml:space="preserve">Der TC nahm zur Kenntnis, </w:t>
      </w:r>
      <w:r>
        <w:t xml:space="preserve">daß die </w:t>
      </w:r>
      <w:r w:rsidRPr="00860D54">
        <w:t>TWC vorgeschlagen ha</w:t>
      </w:r>
      <w:r>
        <w:t>tt</w:t>
      </w:r>
      <w:r w:rsidRPr="00860D54">
        <w:t xml:space="preserve">e, der BMT die auf ihrer einunddreißigsten Tagung von Sachverständigen aus China dargelegten Informationen über die Studie über die Erstellung einer DNS-Fingerabdrucksdatenbank für Mais zur Verfügung </w:t>
      </w:r>
      <w:r>
        <w:t>zu stellen</w:t>
      </w:r>
      <w:r w:rsidRPr="00860D54">
        <w:rPr>
          <w:color w:val="000000"/>
        </w:rPr>
        <w:t>.</w:t>
      </w:r>
    </w:p>
    <w:p w:rsidR="00DB67B7" w:rsidRPr="00860D54" w:rsidRDefault="00DB67B7" w:rsidP="00DB67B7"/>
    <w:p w:rsidR="00DB67B7" w:rsidRPr="00860D54" w:rsidRDefault="00DB67B7" w:rsidP="00DB67B7">
      <w:r>
        <w:fldChar w:fldCharType="begin"/>
      </w:r>
      <w:r w:rsidRPr="00860D54">
        <w:instrText xml:space="preserve"> AUTONUM  </w:instrText>
      </w:r>
      <w:r>
        <w:fldChar w:fldCharType="end"/>
      </w:r>
      <w:r w:rsidRPr="00860D54">
        <w:tab/>
        <w:t xml:space="preserve">Der TC nahm zur Kenntnis, daß </w:t>
      </w:r>
      <w:r>
        <w:t xml:space="preserve">die </w:t>
      </w:r>
      <w:r w:rsidRPr="00860D54">
        <w:t xml:space="preserve">TWF einen Sachverständigen aus der </w:t>
      </w:r>
      <w:r>
        <w:t>Europäischen Union ersucht hatt</w:t>
      </w:r>
      <w:r w:rsidRPr="00860D54">
        <w:t>e, die Entwicklung einer Datenbank für Pfirsich vorzustellen</w:t>
      </w:r>
      <w:r>
        <w:t>, und nahm den Bericht zur Kenntnis, daß dieses Referat nun im Jahr 2015 gehalten werde</w:t>
      </w:r>
      <w:r w:rsidRPr="00860D54">
        <w:t>.</w:t>
      </w:r>
    </w:p>
    <w:p w:rsidR="00DB67B7" w:rsidRPr="00860D54" w:rsidRDefault="00DB67B7" w:rsidP="00DB67B7"/>
    <w:p w:rsidR="00F046AC" w:rsidRPr="00705103" w:rsidRDefault="00DB67B7" w:rsidP="00DB67B7">
      <w:r>
        <w:fldChar w:fldCharType="begin"/>
      </w:r>
      <w:r w:rsidRPr="00860D54">
        <w:instrText xml:space="preserve"> AUTONUM  </w:instrText>
      </w:r>
      <w:r>
        <w:fldChar w:fldCharType="end"/>
      </w:r>
      <w:r w:rsidRPr="00860D54">
        <w:tab/>
        <w:t xml:space="preserve">Der TC nahm zur Kenntnis, </w:t>
      </w:r>
      <w:r>
        <w:t xml:space="preserve">daß die TWO </w:t>
      </w:r>
      <w:r w:rsidRPr="00860D54">
        <w:t>einen Sachverständigen aus Australien ersucht ha</w:t>
      </w:r>
      <w:r>
        <w:t>tt</w:t>
      </w:r>
      <w:r w:rsidRPr="00860D54">
        <w:t>e, auf ihrer siebenundvierzigsten Tagung auf ähnliche Weise wie die Datenbank, die derzeit für Erbse entwickelt wird, eine erste Studie über die Durchführbarkeit der Entwicklung einer Datenbank zu leiten.</w:t>
      </w:r>
    </w:p>
    <w:p w:rsidR="00F046AC" w:rsidRDefault="00F046AC" w:rsidP="00F046AC"/>
    <w:p w:rsidR="00F046AC" w:rsidRDefault="00F046AC" w:rsidP="00F046AC"/>
    <w:p w:rsidR="00F046AC" w:rsidRDefault="00DB67B7" w:rsidP="0037690B">
      <w:pPr>
        <w:pStyle w:val="Heading2"/>
      </w:pPr>
      <w:bookmarkStart w:id="180" w:name="_Toc393187164"/>
      <w:bookmarkStart w:id="181" w:name="_Toc395605394"/>
      <w:r>
        <w:t>Austauschbare S</w:t>
      </w:r>
      <w:r w:rsidR="00F046AC">
        <w:t>oftware</w:t>
      </w:r>
      <w:bookmarkEnd w:id="180"/>
      <w:bookmarkEnd w:id="181"/>
    </w:p>
    <w:p w:rsidR="00F046AC" w:rsidRDefault="0037690B" w:rsidP="00F046AC">
      <w:pPr>
        <w:keepNext/>
      </w:pPr>
      <w:r>
        <w:t>(vergleiche Dokument TC/50/36 „Bericht über die Entschließungen”, Absätze 109 bis 120).</w:t>
      </w:r>
    </w:p>
    <w:p w:rsidR="0037690B" w:rsidRPr="00930345" w:rsidRDefault="0037690B" w:rsidP="00F046AC">
      <w:pPr>
        <w:keepNext/>
      </w:pPr>
    </w:p>
    <w:p w:rsidR="00F046AC" w:rsidRDefault="00F046AC" w:rsidP="00F046AC">
      <w:r>
        <w:fldChar w:fldCharType="begin"/>
      </w:r>
      <w:r>
        <w:instrText xml:space="preserve"> AUTONUM  </w:instrText>
      </w:r>
      <w:r>
        <w:fldChar w:fldCharType="end"/>
      </w:r>
      <w:r w:rsidR="00DB67B7">
        <w:tab/>
        <w:t xml:space="preserve">Der TC prüfte </w:t>
      </w:r>
      <w:r>
        <w:t>Dokument TC/50/8.</w:t>
      </w:r>
    </w:p>
    <w:p w:rsidR="00F046AC" w:rsidRDefault="00F046AC" w:rsidP="00F046AC"/>
    <w:p w:rsidR="00F046AC" w:rsidRPr="00245163" w:rsidRDefault="00DB67B7" w:rsidP="005339C5">
      <w:pPr>
        <w:pStyle w:val="Heading4"/>
      </w:pPr>
      <w:bookmarkStart w:id="182" w:name="_Toc380588280"/>
      <w:r>
        <w:t>Vorschlag für die Entwicklung eines neuen Informationsdokuments</w:t>
      </w:r>
      <w:bookmarkEnd w:id="182"/>
    </w:p>
    <w:p w:rsidR="00F046AC" w:rsidRDefault="00F046AC" w:rsidP="00F046AC">
      <w:pPr>
        <w:keepNext/>
        <w:rPr>
          <w:rFonts w:eastAsia="MS Mincho"/>
          <w:u w:val="single"/>
        </w:rPr>
      </w:pPr>
    </w:p>
    <w:p w:rsidR="00DB67B7" w:rsidRPr="004F1185" w:rsidRDefault="00F046AC" w:rsidP="00DB67B7">
      <w:pPr>
        <w:rPr>
          <w:rFonts w:eastAsia="MS Mincho"/>
        </w:rPr>
      </w:pPr>
      <w:r w:rsidRPr="00FB6572">
        <w:rPr>
          <w:rFonts w:eastAsia="MS Mincho"/>
        </w:rPr>
        <w:fldChar w:fldCharType="begin"/>
      </w:r>
      <w:r w:rsidRPr="00FB6572">
        <w:rPr>
          <w:rFonts w:eastAsia="MS Mincho"/>
        </w:rPr>
        <w:instrText xml:space="preserve"> AUTONUM  </w:instrText>
      </w:r>
      <w:r w:rsidRPr="00FB6572">
        <w:rPr>
          <w:rFonts w:eastAsia="MS Mincho"/>
        </w:rPr>
        <w:fldChar w:fldCharType="end"/>
      </w:r>
      <w:r>
        <w:tab/>
      </w:r>
      <w:r w:rsidR="00DB67B7" w:rsidRPr="004F1185">
        <w:rPr>
          <w:rFonts w:eastAsia="MS Mincho"/>
        </w:rPr>
        <w:t>Der TC vereinbarte, dem Rat auf seiner achtundvierzigsten ordentlichen Tagung am 16.</w:t>
      </w:r>
      <w:r w:rsidR="00DB67B7">
        <w:rPr>
          <w:rFonts w:eastAsia="MS Mincho"/>
        </w:rPr>
        <w:t xml:space="preserve"> </w:t>
      </w:r>
      <w:r w:rsidR="00DB67B7" w:rsidRPr="004F1185">
        <w:rPr>
          <w:rFonts w:eastAsia="MS Mincho"/>
        </w:rPr>
        <w:t xml:space="preserve">Oktober 2014 in Genf Dokument UPOV/INF/22 </w:t>
      </w:r>
      <w:r w:rsidR="00DB67B7">
        <w:rPr>
          <w:rFonts w:eastAsia="MS Mincho"/>
        </w:rPr>
        <w:t>„</w:t>
      </w:r>
      <w:r w:rsidR="00DB67B7" w:rsidRPr="004F1185">
        <w:rPr>
          <w:rFonts w:eastAsia="MS Mincho"/>
        </w:rPr>
        <w:t>Von Verbandsmitgliedern verwendete Software und Ausrüstung</w:t>
      </w:r>
      <w:r w:rsidR="00DB67B7">
        <w:t>“</w:t>
      </w:r>
      <w:r w:rsidR="00DB67B7">
        <w:rPr>
          <w:rFonts w:eastAsia="MS Mincho"/>
        </w:rPr>
        <w:t xml:space="preserve"> </w:t>
      </w:r>
      <w:r w:rsidR="00DB67B7" w:rsidRPr="004F1185">
        <w:rPr>
          <w:rFonts w:eastAsia="MS Mincho"/>
        </w:rPr>
        <w:t xml:space="preserve">zur Annahme vorzulegen, wie in </w:t>
      </w:r>
      <w:r w:rsidR="00DB67B7">
        <w:rPr>
          <w:rFonts w:eastAsia="MS Mincho"/>
        </w:rPr>
        <w:t xml:space="preserve">Dokument </w:t>
      </w:r>
      <w:r w:rsidR="00DB67B7">
        <w:t>TC/50/</w:t>
      </w:r>
      <w:r w:rsidR="00DB67B7" w:rsidRPr="004F1185">
        <w:rPr>
          <w:rFonts w:eastAsia="MS Mincho"/>
        </w:rPr>
        <w:t xml:space="preserve"> </w:t>
      </w:r>
      <w:r w:rsidR="00DB67B7">
        <w:rPr>
          <w:rFonts w:eastAsia="MS Mincho"/>
        </w:rPr>
        <w:t xml:space="preserve">8, </w:t>
      </w:r>
      <w:r w:rsidR="00DB67B7" w:rsidRPr="004F1185">
        <w:rPr>
          <w:rFonts w:eastAsia="MS Mincho"/>
        </w:rPr>
        <w:t>Absätze 6 bis 8</w:t>
      </w:r>
      <w:r w:rsidR="00DB67B7">
        <w:rPr>
          <w:rFonts w:eastAsia="MS Mincho"/>
        </w:rPr>
        <w:t>,</w:t>
      </w:r>
      <w:r w:rsidR="00DB67B7" w:rsidRPr="004F1185">
        <w:rPr>
          <w:rFonts w:eastAsia="MS Mincho"/>
        </w:rPr>
        <w:t xml:space="preserve"> dargelegt</w:t>
      </w:r>
      <w:r w:rsidR="00DB67B7">
        <w:rPr>
          <w:rFonts w:eastAsia="MS Mincho"/>
        </w:rPr>
        <w:t>.</w:t>
      </w:r>
    </w:p>
    <w:p w:rsidR="00DB67B7" w:rsidRPr="004F1185" w:rsidRDefault="00DB67B7" w:rsidP="00DB67B7">
      <w:pPr>
        <w:rPr>
          <w:rFonts w:eastAsia="MS Mincho"/>
        </w:rPr>
      </w:pPr>
    </w:p>
    <w:p w:rsidR="00DB67B7" w:rsidRPr="004F1185" w:rsidRDefault="00DB67B7" w:rsidP="00DB67B7">
      <w:pPr>
        <w:rPr>
          <w:rFonts w:eastAsia="MS Mincho"/>
        </w:rPr>
      </w:pPr>
      <w:r>
        <w:rPr>
          <w:rFonts w:eastAsia="MS Mincho"/>
        </w:rPr>
        <w:fldChar w:fldCharType="begin"/>
      </w:r>
      <w:r w:rsidRPr="004F1185">
        <w:rPr>
          <w:rFonts w:eastAsia="MS Mincho"/>
        </w:rPr>
        <w:instrText xml:space="preserve"> AUTONUM  </w:instrText>
      </w:r>
      <w:r>
        <w:rPr>
          <w:rFonts w:eastAsia="MS Mincho"/>
        </w:rPr>
        <w:fldChar w:fldCharType="end"/>
      </w:r>
      <w:r w:rsidRPr="004F1185">
        <w:rPr>
          <w:rFonts w:eastAsia="MS Mincho"/>
        </w:rPr>
        <w:tab/>
        <w:t xml:space="preserve">Der TC nahm zur Kenntnis, </w:t>
      </w:r>
      <w:r>
        <w:rPr>
          <w:rFonts w:eastAsia="MS Mincho"/>
        </w:rPr>
        <w:t xml:space="preserve">daß die </w:t>
      </w:r>
      <w:r w:rsidRPr="004F1185">
        <w:rPr>
          <w:rFonts w:eastAsia="MS Mincho"/>
        </w:rPr>
        <w:t xml:space="preserve">Bemerkungen des TC zu dem vorgeschlagenen neuen Informationsdokument UPOV/INF/22 auf seiner </w:t>
      </w:r>
      <w:r>
        <w:rPr>
          <w:rFonts w:eastAsia="MS Mincho"/>
        </w:rPr>
        <w:t>fünfzigsten</w:t>
      </w:r>
      <w:r w:rsidRPr="004F1185">
        <w:rPr>
          <w:rFonts w:eastAsia="MS Mincho"/>
        </w:rPr>
        <w:t xml:space="preserve"> Tagung dem CAJ auf seiner neunundsechzigsten Tagung am 10.</w:t>
      </w:r>
      <w:r>
        <w:rPr>
          <w:rFonts w:eastAsia="MS Mincho"/>
        </w:rPr>
        <w:t xml:space="preserve"> </w:t>
      </w:r>
      <w:r w:rsidRPr="004F1185">
        <w:rPr>
          <w:rFonts w:eastAsia="MS Mincho"/>
        </w:rPr>
        <w:t>April 2014 berichtet werden</w:t>
      </w:r>
      <w:r>
        <w:rPr>
          <w:rFonts w:eastAsia="MS Mincho"/>
        </w:rPr>
        <w:t xml:space="preserve"> würden</w:t>
      </w:r>
      <w:r w:rsidRPr="004F1185">
        <w:rPr>
          <w:rFonts w:eastAsia="MS Mincho"/>
        </w:rPr>
        <w:t>.</w:t>
      </w:r>
    </w:p>
    <w:p w:rsidR="00DB67B7" w:rsidRPr="004F1185" w:rsidRDefault="00DB67B7" w:rsidP="00DB67B7">
      <w:pPr>
        <w:rPr>
          <w:rFonts w:eastAsia="MS Mincho"/>
        </w:rPr>
      </w:pPr>
    </w:p>
    <w:p w:rsidR="00DB67B7" w:rsidRDefault="00DB67B7" w:rsidP="00DB67B7">
      <w:r>
        <w:rPr>
          <w:rFonts w:eastAsia="MS Mincho"/>
        </w:rPr>
        <w:fldChar w:fldCharType="begin"/>
      </w:r>
      <w:r w:rsidRPr="004F1185">
        <w:rPr>
          <w:rFonts w:eastAsia="MS Mincho"/>
        </w:rPr>
        <w:instrText xml:space="preserve"> AUTONUM  </w:instrText>
      </w:r>
      <w:r>
        <w:rPr>
          <w:rFonts w:eastAsia="MS Mincho"/>
        </w:rPr>
        <w:fldChar w:fldCharType="end"/>
      </w:r>
      <w:r w:rsidRPr="004F1185">
        <w:rPr>
          <w:rFonts w:eastAsia="MS Mincho"/>
        </w:rPr>
        <w:tab/>
      </w:r>
      <w:r>
        <w:rPr>
          <w:rFonts w:eastAsia="MS Mincho"/>
        </w:rPr>
        <w:t>Der TC vereinbarte, v</w:t>
      </w:r>
      <w:r w:rsidRPr="004F1185">
        <w:rPr>
          <w:rFonts w:eastAsia="MS Mincho"/>
        </w:rPr>
        <w:t xml:space="preserve">orbehaltlich der Annahme des Dokuments UPOV/INF/22 durch den Rat auf </w:t>
      </w:r>
      <w:r>
        <w:rPr>
          <w:rFonts w:eastAsia="MS Mincho"/>
        </w:rPr>
        <w:t>dessen</w:t>
      </w:r>
      <w:r w:rsidRPr="004F1185">
        <w:rPr>
          <w:rFonts w:eastAsia="MS Mincho"/>
        </w:rPr>
        <w:t xml:space="preserve"> achtundvierzigste</w:t>
      </w:r>
      <w:r>
        <w:rPr>
          <w:rFonts w:eastAsia="MS Mincho"/>
        </w:rPr>
        <w:t>r</w:t>
      </w:r>
      <w:r w:rsidRPr="004F1185">
        <w:rPr>
          <w:rFonts w:eastAsia="MS Mincho"/>
        </w:rPr>
        <w:t xml:space="preserve"> ordentliche</w:t>
      </w:r>
      <w:r>
        <w:rPr>
          <w:rFonts w:eastAsia="MS Mincho"/>
        </w:rPr>
        <w:t>r</w:t>
      </w:r>
      <w:r w:rsidRPr="004F1185">
        <w:rPr>
          <w:rFonts w:eastAsia="MS Mincho"/>
        </w:rPr>
        <w:t xml:space="preserve"> Tagung am 16. Oktober 2014 in Genf, ein Rundschreiben an die bezeichneten Personen der Verbandsmitglieder im TC herauszugeben, in dem diese ersucht würden, wenn sinnvoll, Informationen zu von Verbandsmitgliedern verwendeter Standardsoftware und Ausrüstung zu erteilen, wie in Dokument TC/50/8</w:t>
      </w:r>
      <w:r>
        <w:rPr>
          <w:rFonts w:eastAsia="MS Mincho"/>
        </w:rPr>
        <w:t xml:space="preserve">, </w:t>
      </w:r>
      <w:r w:rsidRPr="004F1185">
        <w:rPr>
          <w:rFonts w:eastAsia="MS Mincho"/>
        </w:rPr>
        <w:t>Absatz 9</w:t>
      </w:r>
      <w:r>
        <w:rPr>
          <w:rFonts w:eastAsia="MS Mincho"/>
        </w:rPr>
        <w:t xml:space="preserve">, </w:t>
      </w:r>
      <w:r w:rsidRPr="004F1185">
        <w:rPr>
          <w:rFonts w:eastAsia="MS Mincho"/>
        </w:rPr>
        <w:t>dargelegt</w:t>
      </w:r>
      <w:r>
        <w:rPr>
          <w:rFonts w:eastAsia="MS Mincho"/>
        </w:rPr>
        <w:t>.</w:t>
      </w:r>
    </w:p>
    <w:p w:rsidR="00F046AC" w:rsidRDefault="00F046AC" w:rsidP="00F046AC">
      <w:pPr>
        <w:spacing w:line="360" w:lineRule="auto"/>
        <w:rPr>
          <w:rFonts w:eastAsia="MS Mincho"/>
          <w:highlight w:val="cyan"/>
        </w:rPr>
      </w:pPr>
    </w:p>
    <w:p w:rsidR="00F046AC" w:rsidRPr="00245163" w:rsidRDefault="00DB67B7" w:rsidP="005339C5">
      <w:pPr>
        <w:pStyle w:val="Heading4"/>
        <w:rPr>
          <w:rFonts w:eastAsia="MS Mincho"/>
          <w:snapToGrid w:val="0"/>
        </w:rPr>
      </w:pPr>
      <w:bookmarkStart w:id="183" w:name="_Toc380588283"/>
      <w:r>
        <w:t>Überarbeitung von Dok</w:t>
      </w:r>
      <w:r w:rsidR="00F046AC">
        <w:t>u</w:t>
      </w:r>
      <w:r>
        <w:t>ment UPOV/INF/16 „Austauschbare S</w:t>
      </w:r>
      <w:r w:rsidR="00F046AC">
        <w:t>oftware”</w:t>
      </w:r>
      <w:bookmarkEnd w:id="183"/>
    </w:p>
    <w:p w:rsidR="00F046AC" w:rsidRDefault="00F046AC" w:rsidP="00F046AC">
      <w:pPr>
        <w:keepNext/>
        <w:rPr>
          <w:rFonts w:eastAsia="MS Mincho"/>
        </w:rPr>
      </w:pPr>
    </w:p>
    <w:p w:rsidR="00DB67B7" w:rsidRPr="00AD2A42" w:rsidRDefault="00DB67B7" w:rsidP="00892F72">
      <w:pPr>
        <w:ind w:firstLine="567"/>
        <w:rPr>
          <w:i/>
          <w:lang w:eastAsia="en-US" w:bidi="ar-SA"/>
        </w:rPr>
      </w:pPr>
      <w:r w:rsidRPr="00AD2A42">
        <w:rPr>
          <w:i/>
          <w:lang w:eastAsia="en-US" w:bidi="ar-SA"/>
        </w:rPr>
        <w:t>Software, die zur Aufnahme in Dokument UPOV/INF/16 „Austauschbare Software“ vorgeschlagen ist</w:t>
      </w:r>
    </w:p>
    <w:p w:rsidR="00DB67B7" w:rsidRPr="00DB67B7" w:rsidRDefault="00DB67B7" w:rsidP="00DB67B7">
      <w:pPr>
        <w:rPr>
          <w:rFonts w:eastAsia="MS Mincho"/>
          <w:lang w:eastAsia="en-US" w:bidi="ar-SA"/>
        </w:rPr>
      </w:pPr>
    </w:p>
    <w:p w:rsidR="00DB67B7" w:rsidRPr="00DB67B7" w:rsidRDefault="00DB67B7" w:rsidP="00DB67B7">
      <w:pPr>
        <w:rPr>
          <w:rFonts w:eastAsia="MS Mincho"/>
          <w:color w:val="000000"/>
          <w:lang w:eastAsia="en-US" w:bidi="ar-SA"/>
        </w:rPr>
      </w:pPr>
      <w:r w:rsidRPr="00DB67B7">
        <w:rPr>
          <w:rFonts w:eastAsia="MS Mincho"/>
          <w:lang w:val="en-US" w:eastAsia="en-US" w:bidi="ar-SA"/>
        </w:rPr>
        <w:fldChar w:fldCharType="begin"/>
      </w:r>
      <w:r w:rsidRPr="00DB67B7">
        <w:rPr>
          <w:rFonts w:eastAsia="MS Mincho"/>
          <w:lang w:eastAsia="en-US" w:bidi="ar-SA"/>
        </w:rPr>
        <w:instrText xml:space="preserve"> AUTONUM  </w:instrText>
      </w:r>
      <w:r w:rsidRPr="00DB67B7">
        <w:rPr>
          <w:rFonts w:eastAsia="MS Mincho"/>
          <w:lang w:val="en-US" w:eastAsia="en-US" w:bidi="ar-SA"/>
        </w:rPr>
        <w:fldChar w:fldCharType="end"/>
      </w:r>
      <w:r w:rsidRPr="00DB67B7">
        <w:rPr>
          <w:rFonts w:eastAsia="MS Mincho"/>
          <w:lang w:eastAsia="en-US" w:bidi="ar-SA"/>
        </w:rPr>
        <w:tab/>
        <w:t xml:space="preserve">Der TC </w:t>
      </w:r>
      <w:r w:rsidRPr="00DB67B7">
        <w:rPr>
          <w:rFonts w:eastAsia="MS Mincho"/>
          <w:color w:val="000000"/>
          <w:lang w:eastAsia="en-US" w:bidi="ar-SA"/>
        </w:rPr>
        <w:t>vereinbarte, die SIVAVE-Software in Dokument UPOV/INF/16 aufzunehmen, wie in Dokument TC/50/8, Absatz 15, dargelegt.</w:t>
      </w:r>
    </w:p>
    <w:p w:rsidR="00DB67B7" w:rsidRPr="00DB67B7" w:rsidRDefault="00DB67B7" w:rsidP="00DB67B7">
      <w:pPr>
        <w:rPr>
          <w:rFonts w:eastAsia="MS Mincho"/>
          <w:highlight w:val="yellow"/>
          <w:lang w:eastAsia="en-US" w:bidi="ar-SA"/>
        </w:rPr>
      </w:pPr>
    </w:p>
    <w:p w:rsidR="00DB67B7" w:rsidRPr="00DB67B7" w:rsidRDefault="00DB67B7" w:rsidP="00DB67B7">
      <w:pPr>
        <w:rPr>
          <w:rFonts w:eastAsia="MS Mincho"/>
          <w:color w:val="000000"/>
          <w:lang w:eastAsia="en-US" w:bidi="ar-SA"/>
        </w:rPr>
      </w:pPr>
      <w:r w:rsidRPr="00DB67B7">
        <w:rPr>
          <w:rFonts w:eastAsia="MS Mincho"/>
          <w:color w:val="000000"/>
          <w:lang w:val="en-US" w:eastAsia="en-US" w:bidi="ar-SA"/>
        </w:rPr>
        <w:lastRenderedPageBreak/>
        <w:fldChar w:fldCharType="begin"/>
      </w:r>
      <w:r w:rsidRPr="00DB67B7">
        <w:rPr>
          <w:rFonts w:eastAsia="MS Mincho"/>
          <w:color w:val="000000"/>
          <w:lang w:eastAsia="en-US" w:bidi="ar-SA"/>
        </w:rPr>
        <w:instrText xml:space="preserve"> AUTONUM  </w:instrText>
      </w:r>
      <w:r w:rsidRPr="00DB67B7">
        <w:rPr>
          <w:rFonts w:eastAsia="MS Mincho"/>
          <w:color w:val="000000"/>
          <w:lang w:val="en-US" w:eastAsia="en-US" w:bidi="ar-SA"/>
        </w:rPr>
        <w:fldChar w:fldCharType="end"/>
      </w:r>
      <w:r w:rsidRPr="00DB67B7">
        <w:rPr>
          <w:rFonts w:eastAsia="MS Mincho"/>
          <w:color w:val="000000"/>
          <w:lang w:eastAsia="en-US" w:bidi="ar-SA"/>
        </w:rPr>
        <w:tab/>
        <w:t>Der TC nahm zur Kenntnis, daß eine Überarbeitung von Dokument UPOV/INF/16/3 betreffend die Aufnahme der SIVAVE-Software dem CAJ auf seiner neunundsechzigsten Tagung am 10. April 2014 vorgelegt werden würde, und im Fall der Zustimmung des CAJ dem Rat auf seiner achtundvierzigsten ordentlichen Tagung am 16. Oktober 2014 zur Annahme vorgelegt werden würde, wie in Dokument TC/50/8, Absätze 16 und 17, dargelegt.</w:t>
      </w:r>
    </w:p>
    <w:p w:rsidR="00DB67B7" w:rsidRPr="00DB67B7" w:rsidRDefault="00DB67B7" w:rsidP="00DB67B7">
      <w:pPr>
        <w:rPr>
          <w:rFonts w:eastAsia="MS Mincho"/>
          <w:color w:val="000000"/>
          <w:highlight w:val="yellow"/>
          <w:lang w:eastAsia="en-US" w:bidi="ar-SA"/>
        </w:rPr>
      </w:pPr>
    </w:p>
    <w:p w:rsidR="00DB67B7" w:rsidRPr="00DB67B7" w:rsidRDefault="00DB67B7" w:rsidP="00DB67B7">
      <w:pPr>
        <w:rPr>
          <w:rFonts w:eastAsia="MS Mincho"/>
          <w:snapToGrid w:val="0"/>
          <w:lang w:eastAsia="en-US" w:bidi="ar-SA"/>
        </w:rPr>
      </w:pPr>
      <w:r w:rsidRPr="00DB67B7">
        <w:rPr>
          <w:rFonts w:eastAsia="MS Mincho"/>
          <w:color w:val="000000"/>
          <w:lang w:val="en-US" w:eastAsia="en-US" w:bidi="ar-SA"/>
        </w:rPr>
        <w:fldChar w:fldCharType="begin"/>
      </w:r>
      <w:r w:rsidRPr="00DB67B7">
        <w:rPr>
          <w:rFonts w:eastAsia="MS Mincho"/>
          <w:color w:val="000000"/>
          <w:lang w:eastAsia="en-US" w:bidi="ar-SA"/>
        </w:rPr>
        <w:instrText xml:space="preserve"> AUTONUM  </w:instrText>
      </w:r>
      <w:r w:rsidRPr="00DB67B7">
        <w:rPr>
          <w:rFonts w:eastAsia="MS Mincho"/>
          <w:color w:val="000000"/>
          <w:lang w:val="en-US" w:eastAsia="en-US" w:bidi="ar-SA"/>
        </w:rPr>
        <w:fldChar w:fldCharType="end"/>
      </w:r>
      <w:r w:rsidRPr="00DB67B7">
        <w:rPr>
          <w:rFonts w:eastAsia="MS Mincho"/>
          <w:color w:val="000000"/>
          <w:lang w:eastAsia="en-US" w:bidi="ar-SA"/>
        </w:rPr>
        <w:tab/>
        <w:t>Der TC nahm zur Kenntnis, daß</w:t>
      </w:r>
      <w:r w:rsidRPr="00DB67B7">
        <w:rPr>
          <w:rFonts w:eastAsia="MS Mincho"/>
          <w:snapToGrid w:val="0"/>
          <w:lang w:eastAsia="en-US" w:bidi="ar-SA"/>
        </w:rPr>
        <w:t xml:space="preserve"> Mexiko ersucht worden war, auf der zweiunddreißigsten Tagung der TWC weitere Informationen über die SISNAVA-Software zu erteilen.</w:t>
      </w:r>
    </w:p>
    <w:p w:rsidR="00DB67B7" w:rsidRPr="00DB67B7" w:rsidRDefault="00DB67B7" w:rsidP="00DB67B7">
      <w:pPr>
        <w:rPr>
          <w:rFonts w:eastAsia="MS Mincho"/>
          <w:snapToGrid w:val="0"/>
          <w:lang w:eastAsia="en-US" w:bidi="ar-SA"/>
        </w:rPr>
      </w:pPr>
    </w:p>
    <w:p w:rsidR="00DB67B7" w:rsidRPr="00892F72" w:rsidRDefault="00DB67B7" w:rsidP="009C2B3F">
      <w:pPr>
        <w:pStyle w:val="Heading4"/>
        <w:rPr>
          <w:rFonts w:eastAsia="MS Mincho"/>
          <w:i w:val="0"/>
          <w:lang w:eastAsia="en-US" w:bidi="ar-SA"/>
        </w:rPr>
      </w:pPr>
      <w:r w:rsidRPr="00892F72">
        <w:rPr>
          <w:rFonts w:eastAsia="MS Mincho"/>
          <w:i w:val="0"/>
          <w:lang w:eastAsia="en-US" w:bidi="ar-SA"/>
        </w:rPr>
        <w:t>Informationen über die Nutzung durch die Mitglieder</w:t>
      </w:r>
    </w:p>
    <w:p w:rsidR="00DB67B7" w:rsidRPr="00DB67B7" w:rsidRDefault="00DB67B7" w:rsidP="00DB67B7">
      <w:pPr>
        <w:rPr>
          <w:lang w:eastAsia="en-US" w:bidi="ar-SA"/>
        </w:rPr>
      </w:pPr>
    </w:p>
    <w:p w:rsidR="00DB67B7" w:rsidRPr="00DB67B7" w:rsidRDefault="00DB67B7" w:rsidP="00DB67B7">
      <w:pPr>
        <w:rPr>
          <w:lang w:eastAsia="en-US" w:bidi="ar-SA"/>
        </w:rPr>
      </w:pPr>
      <w:r w:rsidRPr="00DB67B7">
        <w:rPr>
          <w:lang w:val="en-US" w:eastAsia="en-US" w:bidi="ar-SA"/>
        </w:rPr>
        <w:fldChar w:fldCharType="begin"/>
      </w:r>
      <w:r w:rsidRPr="00DB67B7">
        <w:rPr>
          <w:lang w:eastAsia="en-US" w:bidi="ar-SA"/>
        </w:rPr>
        <w:instrText xml:space="preserve"> AUTONUM  </w:instrText>
      </w:r>
      <w:r w:rsidRPr="00DB67B7">
        <w:rPr>
          <w:lang w:val="en-US" w:eastAsia="en-US" w:bidi="ar-SA"/>
        </w:rPr>
        <w:fldChar w:fldCharType="end"/>
      </w:r>
      <w:r w:rsidRPr="00DB67B7">
        <w:rPr>
          <w:lang w:eastAsia="en-US" w:bidi="ar-SA"/>
        </w:rPr>
        <w:tab/>
        <w:t>Der TC billigte die Überarbeitung von Dokument UPOV/INF/16 betreffend die Aufnahme von Informationen über die Verwendung von Software durch Verbandsmitglieder, wie in Anlage III des Dokuments TC/50/8 dargelegt.</w:t>
      </w:r>
    </w:p>
    <w:p w:rsidR="00DB67B7" w:rsidRPr="00DB67B7" w:rsidRDefault="00DB67B7" w:rsidP="00DB67B7">
      <w:pPr>
        <w:rPr>
          <w:lang w:eastAsia="en-US" w:bidi="ar-SA"/>
        </w:rPr>
      </w:pPr>
    </w:p>
    <w:p w:rsidR="00AD2A42" w:rsidRDefault="00DB67B7" w:rsidP="00AD2A42">
      <w:pPr>
        <w:rPr>
          <w:rFonts w:eastAsia="MS Mincho"/>
          <w:snapToGrid w:val="0"/>
          <w:lang w:eastAsia="en-US" w:bidi="ar-SA"/>
        </w:rPr>
      </w:pPr>
      <w:r w:rsidRPr="00DB67B7">
        <w:rPr>
          <w:rFonts w:eastAsia="MS Mincho"/>
          <w:snapToGrid w:val="0"/>
          <w:lang w:val="en-US" w:eastAsia="en-US" w:bidi="ar-SA"/>
        </w:rPr>
        <w:fldChar w:fldCharType="begin"/>
      </w:r>
      <w:r w:rsidRPr="00DB67B7">
        <w:rPr>
          <w:rFonts w:eastAsia="MS Mincho"/>
          <w:snapToGrid w:val="0"/>
          <w:lang w:eastAsia="en-US" w:bidi="ar-SA"/>
        </w:rPr>
        <w:instrText xml:space="preserve"> AUTONUM  </w:instrText>
      </w:r>
      <w:r w:rsidRPr="00DB67B7">
        <w:rPr>
          <w:rFonts w:eastAsia="MS Mincho"/>
          <w:snapToGrid w:val="0"/>
          <w:lang w:val="en-US" w:eastAsia="en-US" w:bidi="ar-SA"/>
        </w:rPr>
        <w:fldChar w:fldCharType="end"/>
      </w:r>
      <w:r w:rsidRPr="00DB67B7">
        <w:rPr>
          <w:rFonts w:eastAsia="MS Mincho"/>
          <w:snapToGrid w:val="0"/>
          <w:lang w:eastAsia="en-US" w:bidi="ar-SA"/>
        </w:rPr>
        <w:tab/>
        <w:t>Der TC nahm zur Kenntnis, daß die Bemerkungen des TC auf seiner fünfzigsten Tagung zu der Verwendung von Software durch die Verbandsmitglieder dem CAJ auf seiner neunundsechzigsten Tagung am 10. April 2014 in Genf berichtet werden würden.</w:t>
      </w:r>
    </w:p>
    <w:p w:rsidR="00F046AC" w:rsidRDefault="00F046AC" w:rsidP="00F046AC">
      <w:pPr>
        <w:rPr>
          <w:rFonts w:eastAsia="MS Mincho"/>
          <w:snapToGrid w:val="0"/>
        </w:rPr>
      </w:pPr>
    </w:p>
    <w:p w:rsidR="00AC5D8F" w:rsidRDefault="00AC5D8F">
      <w:pPr>
        <w:jc w:val="left"/>
      </w:pPr>
    </w:p>
    <w:p w:rsidR="00F046AC" w:rsidRPr="00245163" w:rsidRDefault="00AD2A42" w:rsidP="005339C5">
      <w:pPr>
        <w:pStyle w:val="Heading4"/>
      </w:pPr>
      <w:bookmarkStart w:id="184" w:name="_Toc380588288"/>
      <w:r>
        <w:t>Übersetzung von Software in Dok</w:t>
      </w:r>
      <w:r w:rsidR="00F046AC">
        <w:t>ument UPOV/INF/16/3</w:t>
      </w:r>
      <w:bookmarkEnd w:id="184"/>
    </w:p>
    <w:p w:rsidR="00F046AC" w:rsidRPr="00005232" w:rsidRDefault="00F046AC" w:rsidP="00F046AC"/>
    <w:p w:rsidR="00AD2A42" w:rsidRPr="00323B04" w:rsidRDefault="00F046AC" w:rsidP="00AD2A42">
      <w:pPr>
        <w:rPr>
          <w:rFonts w:eastAsia="MS Mincho"/>
        </w:rPr>
      </w:pPr>
      <w:r w:rsidRPr="00A26403">
        <w:rPr>
          <w:rFonts w:eastAsia="MS Mincho"/>
        </w:rPr>
        <w:fldChar w:fldCharType="begin"/>
      </w:r>
      <w:r w:rsidRPr="00A26403">
        <w:rPr>
          <w:rFonts w:eastAsia="MS Mincho"/>
        </w:rPr>
        <w:instrText xml:space="preserve"> AUTONUM  </w:instrText>
      </w:r>
      <w:r w:rsidRPr="00A26403">
        <w:rPr>
          <w:rFonts w:eastAsia="MS Mincho"/>
        </w:rPr>
        <w:fldChar w:fldCharType="end"/>
      </w:r>
      <w:r>
        <w:tab/>
      </w:r>
      <w:r w:rsidR="00AD2A42" w:rsidRPr="00323B04">
        <w:rPr>
          <w:rFonts w:eastAsia="MS Mincho"/>
        </w:rPr>
        <w:t xml:space="preserve">Der TC nahm zur Kenntnis, </w:t>
      </w:r>
      <w:r w:rsidR="00AD2A42">
        <w:rPr>
          <w:rFonts w:eastAsia="MS Mincho"/>
        </w:rPr>
        <w:t xml:space="preserve">daß </w:t>
      </w:r>
      <w:r w:rsidR="00AD2A42" w:rsidRPr="00323B04">
        <w:rPr>
          <w:rFonts w:eastAsia="MS Mincho"/>
        </w:rPr>
        <w:t>auf der zweiunddreißigsten Tagung der TWC ein Sachverständiger aus Frankreich auf der Grundlage der englischen Übersetzung der Software einen Vortrag über die AIM-Software halten werde, wie in Dokument TC/50/8, Absatz 25</w:t>
      </w:r>
      <w:r w:rsidR="00AD2A42">
        <w:rPr>
          <w:rFonts w:eastAsia="MS Mincho"/>
        </w:rPr>
        <w:t>, dargelegt</w:t>
      </w:r>
      <w:r w:rsidR="00AD2A42" w:rsidRPr="00323B04">
        <w:rPr>
          <w:rFonts w:eastAsia="MS Mincho"/>
        </w:rPr>
        <w:t>.</w:t>
      </w:r>
    </w:p>
    <w:p w:rsidR="00AD2A42" w:rsidRPr="00323B04" w:rsidRDefault="00AD2A42" w:rsidP="00AD2A42">
      <w:pPr>
        <w:rPr>
          <w:rFonts w:eastAsia="MS Mincho"/>
        </w:rPr>
      </w:pPr>
    </w:p>
    <w:p w:rsidR="00AD2A42" w:rsidRPr="00323B04" w:rsidRDefault="00AD2A42" w:rsidP="00AD2A42">
      <w:pPr>
        <w:rPr>
          <w:rFonts w:eastAsia="MS Mincho"/>
        </w:rPr>
      </w:pPr>
      <w:r>
        <w:rPr>
          <w:rFonts w:eastAsia="MS Mincho"/>
          <w:snapToGrid w:val="0"/>
        </w:rPr>
        <w:fldChar w:fldCharType="begin"/>
      </w:r>
      <w:r w:rsidRPr="00323B04">
        <w:rPr>
          <w:rFonts w:eastAsia="MS Mincho"/>
          <w:snapToGrid w:val="0"/>
        </w:rPr>
        <w:instrText xml:space="preserve"> AUTONUM  </w:instrText>
      </w:r>
      <w:r>
        <w:rPr>
          <w:rFonts w:eastAsia="MS Mincho"/>
          <w:snapToGrid w:val="0"/>
        </w:rPr>
        <w:fldChar w:fldCharType="end"/>
      </w:r>
      <w:r w:rsidRPr="00323B04">
        <w:rPr>
          <w:rFonts w:eastAsia="MS Mincho"/>
          <w:snapToGrid w:val="0"/>
        </w:rPr>
        <w:tab/>
        <w:t xml:space="preserve">Der TC nahm zur Kenntnis, daß sich die Übersetzung der Anwenderschnittstellen der Software </w:t>
      </w:r>
      <w:r>
        <w:rPr>
          <w:rFonts w:eastAsia="MS Mincho"/>
          <w:snapToGrid w:val="0"/>
        </w:rPr>
        <w:t>„</w:t>
      </w:r>
      <w:r w:rsidRPr="00323B04">
        <w:rPr>
          <w:rFonts w:eastAsia="MS Mincho"/>
          <w:snapToGrid w:val="0"/>
        </w:rPr>
        <w:t>Information System (IS) used</w:t>
      </w:r>
      <w:r>
        <w:rPr>
          <w:rFonts w:eastAsia="MS Mincho"/>
          <w:snapToGrid w:val="0"/>
        </w:rPr>
        <w:t xml:space="preserve"> für </w:t>
      </w:r>
      <w:r w:rsidRPr="00323B04">
        <w:rPr>
          <w:rFonts w:eastAsia="MS Mincho"/>
          <w:snapToGrid w:val="0"/>
        </w:rPr>
        <w:t xml:space="preserve">Test and Protection of </w:t>
      </w:r>
      <w:r>
        <w:rPr>
          <w:rFonts w:eastAsia="MS Mincho"/>
          <w:snapToGrid w:val="0"/>
        </w:rPr>
        <w:t>Plant Varieties</w:t>
      </w:r>
      <w:r w:rsidRPr="00323B04">
        <w:rPr>
          <w:rFonts w:eastAsia="MS Mincho"/>
          <w:snapToGrid w:val="0"/>
        </w:rPr>
        <w:t xml:space="preserve"> in the Russian </w:t>
      </w:r>
      <w:r>
        <w:rPr>
          <w:rFonts w:eastAsia="MS Mincho"/>
          <w:snapToGrid w:val="0"/>
        </w:rPr>
        <w:t>Federation</w:t>
      </w:r>
      <w:r>
        <w:t>“</w:t>
      </w:r>
      <w:r w:rsidRPr="00323B04">
        <w:rPr>
          <w:rFonts w:eastAsia="MS Mincho"/>
          <w:snapToGrid w:val="0"/>
        </w:rPr>
        <w:t xml:space="preserve"> (Informationssystem für die Prüfung und den Schutz von Pflanzensorten in der Russischen </w:t>
      </w:r>
      <w:r>
        <w:rPr>
          <w:rFonts w:eastAsia="MS Mincho"/>
          <w:snapToGrid w:val="0"/>
        </w:rPr>
        <w:t>Föderation</w:t>
      </w:r>
      <w:r w:rsidRPr="00323B04">
        <w:rPr>
          <w:rFonts w:eastAsia="MS Mincho"/>
          <w:snapToGrid w:val="0"/>
        </w:rPr>
        <w:t>) technisch sehr kompliziert gestalten würde.</w:t>
      </w:r>
    </w:p>
    <w:p w:rsidR="00AD2A42" w:rsidRPr="00323B04" w:rsidRDefault="00AD2A42" w:rsidP="00AD2A42">
      <w:pPr>
        <w:rPr>
          <w:rFonts w:eastAsia="MS Mincho"/>
          <w:snapToGrid w:val="0"/>
        </w:rPr>
      </w:pPr>
    </w:p>
    <w:p w:rsidR="00AD2A42" w:rsidRPr="00323B04" w:rsidRDefault="00AD2A42" w:rsidP="00AD2A42">
      <w:pPr>
        <w:rPr>
          <w:rFonts w:eastAsia="MS Mincho"/>
        </w:rPr>
      </w:pPr>
      <w:r>
        <w:rPr>
          <w:rFonts w:eastAsia="MS Mincho"/>
          <w:snapToGrid w:val="0"/>
        </w:rPr>
        <w:fldChar w:fldCharType="begin"/>
      </w:r>
      <w:r w:rsidRPr="00323B04">
        <w:rPr>
          <w:rFonts w:eastAsia="MS Mincho"/>
          <w:snapToGrid w:val="0"/>
        </w:rPr>
        <w:instrText xml:space="preserve"> AUTONUM  </w:instrText>
      </w:r>
      <w:r>
        <w:rPr>
          <w:rFonts w:eastAsia="MS Mincho"/>
          <w:snapToGrid w:val="0"/>
        </w:rPr>
        <w:fldChar w:fldCharType="end"/>
      </w:r>
      <w:r w:rsidRPr="00323B04">
        <w:rPr>
          <w:rFonts w:eastAsia="MS Mincho"/>
          <w:snapToGrid w:val="0"/>
        </w:rPr>
        <w:tab/>
        <w:t xml:space="preserve">Der TC vereinbarte, daß </w:t>
      </w:r>
      <w:r>
        <w:rPr>
          <w:rFonts w:eastAsia="MS Mincho"/>
          <w:snapToGrid w:val="0"/>
        </w:rPr>
        <w:t>a</w:t>
      </w:r>
      <w:r w:rsidRPr="00323B04">
        <w:rPr>
          <w:rFonts w:eastAsia="MS Mincho"/>
          <w:snapToGrid w:val="0"/>
        </w:rPr>
        <w:t xml:space="preserve">usgewählte Bildschirmfotos der Software </w:t>
      </w:r>
      <w:r>
        <w:rPr>
          <w:rFonts w:eastAsia="MS Mincho"/>
          <w:snapToGrid w:val="0"/>
        </w:rPr>
        <w:t>„</w:t>
      </w:r>
      <w:r w:rsidRPr="00323B04">
        <w:rPr>
          <w:rFonts w:eastAsia="MS Mincho"/>
          <w:snapToGrid w:val="0"/>
        </w:rPr>
        <w:t xml:space="preserve">Informationssystem für die Prüfung und den Schutz von Pflanzensorten in der Russischen </w:t>
      </w:r>
      <w:r>
        <w:rPr>
          <w:rFonts w:eastAsia="MS Mincho"/>
          <w:snapToGrid w:val="0"/>
        </w:rPr>
        <w:t>Föderation</w:t>
      </w:r>
      <w:r>
        <w:t>“</w:t>
      </w:r>
      <w:r>
        <w:rPr>
          <w:rFonts w:eastAsia="MS Mincho"/>
          <w:snapToGrid w:val="0"/>
        </w:rPr>
        <w:t xml:space="preserve"> </w:t>
      </w:r>
      <w:r w:rsidRPr="00323B04">
        <w:rPr>
          <w:rFonts w:eastAsia="MS Mincho"/>
          <w:snapToGrid w:val="0"/>
        </w:rPr>
        <w:t xml:space="preserve">auf der zweiunddreißigsten Tagung der TWC auf Englisch vorgestellt werden sollen, um die Funktionsweise der Software zu erklären, wie in </w:t>
      </w:r>
      <w:r w:rsidRPr="00323B04">
        <w:rPr>
          <w:rFonts w:eastAsia="MS Mincho"/>
        </w:rPr>
        <w:t>Dokument TC/50/8, Absatz 28</w:t>
      </w:r>
      <w:r>
        <w:rPr>
          <w:rFonts w:eastAsia="MS Mincho"/>
        </w:rPr>
        <w:t>, dargelegt</w:t>
      </w:r>
      <w:r w:rsidRPr="00323B04">
        <w:rPr>
          <w:rFonts w:eastAsia="MS Mincho"/>
        </w:rPr>
        <w:t>.</w:t>
      </w:r>
    </w:p>
    <w:p w:rsidR="00F046AC" w:rsidRPr="005332DD" w:rsidRDefault="00F046AC" w:rsidP="00AD2A42">
      <w:pPr>
        <w:rPr>
          <w:rFonts w:eastAsia="MS Mincho"/>
        </w:rPr>
      </w:pPr>
    </w:p>
    <w:p w:rsidR="00F046AC" w:rsidRDefault="00F046AC" w:rsidP="00F046AC"/>
    <w:p w:rsidR="00F046AC" w:rsidRDefault="00F046AC" w:rsidP="005A2989">
      <w:pPr>
        <w:pStyle w:val="Heading2"/>
      </w:pPr>
      <w:bookmarkStart w:id="185" w:name="_Toc393187165"/>
      <w:bookmarkStart w:id="186" w:name="_Toc395605395"/>
      <w:r>
        <w:t>Ele</w:t>
      </w:r>
      <w:bookmarkEnd w:id="185"/>
      <w:r w:rsidR="00AD2A42">
        <w:t>ktronische Sys</w:t>
      </w:r>
      <w:r w:rsidR="00892F72">
        <w:t>teme für die Einreichung von Ant</w:t>
      </w:r>
      <w:r w:rsidR="00AD2A42">
        <w:t>rägen</w:t>
      </w:r>
      <w:bookmarkEnd w:id="186"/>
    </w:p>
    <w:p w:rsidR="00F046AC" w:rsidRDefault="00AD2A42" w:rsidP="008205FC">
      <w:r>
        <w:t>(vergleiche Dok</w:t>
      </w:r>
      <w:r w:rsidR="005A2989">
        <w:t>ument TC/50/36</w:t>
      </w:r>
      <w:r>
        <w:t xml:space="preserve"> „Bericht über die Entschließungen”, Absätze 121 u</w:t>
      </w:r>
      <w:r w:rsidR="005A2989">
        <w:t>nd 122)</w:t>
      </w:r>
    </w:p>
    <w:p w:rsidR="005A2989" w:rsidRDefault="005A2989" w:rsidP="008205FC"/>
    <w:p w:rsidR="00F046AC" w:rsidRDefault="00F046AC" w:rsidP="008205FC">
      <w:r>
        <w:fldChar w:fldCharType="begin"/>
      </w:r>
      <w:r>
        <w:instrText xml:space="preserve"> AUTONUM  </w:instrText>
      </w:r>
      <w:r>
        <w:fldChar w:fldCharType="end"/>
      </w:r>
      <w:r w:rsidR="00AD2A42">
        <w:tab/>
        <w:t xml:space="preserve">Der TC prüfte </w:t>
      </w:r>
      <w:r>
        <w:t>Dokument TC/50/9.</w:t>
      </w:r>
    </w:p>
    <w:p w:rsidR="00F046AC" w:rsidRDefault="00F046AC" w:rsidP="008205FC"/>
    <w:p w:rsidR="00F046AC" w:rsidRDefault="00F046AC" w:rsidP="00F046AC">
      <w:pPr>
        <w:rPr>
          <w:snapToGrid w:val="0"/>
        </w:rPr>
      </w:pPr>
      <w:r w:rsidRPr="00DF74BA">
        <w:rPr>
          <w:snapToGrid w:val="0"/>
        </w:rPr>
        <w:fldChar w:fldCharType="begin"/>
      </w:r>
      <w:r w:rsidRPr="00DF74BA">
        <w:rPr>
          <w:snapToGrid w:val="0"/>
        </w:rPr>
        <w:instrText xml:space="preserve"> AUTONUM  </w:instrText>
      </w:r>
      <w:r w:rsidRPr="00DF74BA">
        <w:rPr>
          <w:snapToGrid w:val="0"/>
        </w:rPr>
        <w:fldChar w:fldCharType="end"/>
      </w:r>
      <w:r>
        <w:tab/>
      </w:r>
      <w:r w:rsidR="00AD2A42" w:rsidRPr="00876B1F">
        <w:rPr>
          <w:snapToGrid w:val="0"/>
        </w:rPr>
        <w:t xml:space="preserve">Der TC nahm die Entwicklungen bezüglich </w:t>
      </w:r>
      <w:r w:rsidR="00AD2A42">
        <w:rPr>
          <w:snapToGrid w:val="0"/>
        </w:rPr>
        <w:t>der</w:t>
      </w:r>
      <w:r w:rsidR="00AD2A42" w:rsidRPr="00876B1F">
        <w:rPr>
          <w:snapToGrid w:val="0"/>
        </w:rPr>
        <w:t xml:space="preserve"> Ausarbeitung eines Prototyps eines elektronischen Formblatts</w:t>
      </w:r>
      <w:r w:rsidR="00AD2A42">
        <w:rPr>
          <w:snapToGrid w:val="0"/>
        </w:rPr>
        <w:t xml:space="preserve">, wie </w:t>
      </w:r>
      <w:r w:rsidR="00AD2A42" w:rsidRPr="00876B1F">
        <w:rPr>
          <w:snapToGrid w:val="0"/>
        </w:rPr>
        <w:t>Dokument TC/50/9</w:t>
      </w:r>
      <w:r w:rsidR="00AD2A42">
        <w:rPr>
          <w:snapToGrid w:val="0"/>
        </w:rPr>
        <w:t xml:space="preserve"> dargelegt, zur Kenntnis</w:t>
      </w:r>
      <w:r>
        <w:t>.</w:t>
      </w:r>
    </w:p>
    <w:p w:rsidR="00F046AC" w:rsidRDefault="00F046AC" w:rsidP="00F046AC">
      <w:pPr>
        <w:rPr>
          <w:snapToGrid w:val="0"/>
        </w:rPr>
      </w:pPr>
    </w:p>
    <w:p w:rsidR="00F046AC" w:rsidRPr="00555C36" w:rsidRDefault="00F046AC" w:rsidP="00F046AC">
      <w:pPr>
        <w:rPr>
          <w:snapToGrid w:val="0"/>
        </w:rPr>
      </w:pPr>
    </w:p>
    <w:p w:rsidR="00AD2A42" w:rsidRDefault="00AD2A42" w:rsidP="009C2B3F">
      <w:pPr>
        <w:pStyle w:val="Heading2"/>
      </w:pPr>
      <w:bookmarkStart w:id="187" w:name="_Toc395605396"/>
      <w:bookmarkStart w:id="188" w:name="_Toc393187166"/>
      <w:r w:rsidRPr="00876B1F">
        <w:t>Prüfung der Homogenität anhand von Abweichern aufgrund von mehr als einer Probe oder Unterproben</w:t>
      </w:r>
      <w:bookmarkEnd w:id="187"/>
    </w:p>
    <w:bookmarkEnd w:id="188"/>
    <w:p w:rsidR="00F046AC" w:rsidRDefault="005A2989" w:rsidP="005A2989">
      <w:r>
        <w:t>(vergleiche Dokument TC/50/36 „Bericht über die Entschließungen”, Absätze 123 bis 127).</w:t>
      </w:r>
    </w:p>
    <w:p w:rsidR="005A2989" w:rsidRDefault="005A2989" w:rsidP="005A2989"/>
    <w:p w:rsidR="00F046AC" w:rsidRDefault="00F046AC" w:rsidP="005A2989">
      <w:r>
        <w:fldChar w:fldCharType="begin"/>
      </w:r>
      <w:r>
        <w:instrText xml:space="preserve"> AUTONUM  </w:instrText>
      </w:r>
      <w:r>
        <w:fldChar w:fldCharType="end"/>
      </w:r>
      <w:r w:rsidR="00AD2A42">
        <w:tab/>
        <w:t xml:space="preserve">Der TC prüfte </w:t>
      </w:r>
      <w:r>
        <w:t>Dokument TC/50/12.</w:t>
      </w:r>
    </w:p>
    <w:p w:rsidR="00AD2A42" w:rsidRPr="005E7EB4" w:rsidRDefault="00AD2A42" w:rsidP="00AD2A42">
      <w:pPr>
        <w:keepNext/>
      </w:pPr>
    </w:p>
    <w:p w:rsidR="00AD2A42" w:rsidRPr="00C6279E" w:rsidRDefault="00AD2A42" w:rsidP="00AD2A42">
      <w:r>
        <w:fldChar w:fldCharType="begin"/>
      </w:r>
      <w:r w:rsidRPr="00876B1F">
        <w:instrText xml:space="preserve"> AUTONUM  </w:instrText>
      </w:r>
      <w:r>
        <w:fldChar w:fldCharType="end"/>
      </w:r>
      <w:r w:rsidRPr="00876B1F">
        <w:tab/>
        <w:t>Der TC nahm zur Kenntnis, daß die TWC vorgeschlagen hat</w:t>
      </w:r>
      <w:r>
        <w:t>te</w:t>
      </w:r>
      <w:r w:rsidRPr="00876B1F">
        <w:t>, detailliertere Informationen und weitere Analysen zu den Folgen der Verwendung unterschiedlicher Herangehensweisen in den Situationen A, B, C und D auf ihrer Tagung im Jahr 2014</w:t>
      </w:r>
      <w:r>
        <w:t xml:space="preserve"> zu erteilen, wie in </w:t>
      </w:r>
      <w:r w:rsidRPr="00876B1F">
        <w:t>Dokument TC/50/12, Absatz 33</w:t>
      </w:r>
      <w:r>
        <w:t>, dargelegt</w:t>
      </w:r>
      <w:r w:rsidRPr="00876B1F">
        <w:t xml:space="preserve">. </w:t>
      </w:r>
      <w:r w:rsidRPr="00C6279E">
        <w:t>Der TC vereinbarte, daß das Dokument geä</w:t>
      </w:r>
      <w:r>
        <w:t xml:space="preserve">ndert werden sollte, um zu </w:t>
      </w:r>
      <w:r w:rsidRPr="00C6279E">
        <w:t>erläutern</w:t>
      </w:r>
      <w:r>
        <w:t xml:space="preserve">, daß </w:t>
      </w:r>
      <w:r w:rsidRPr="00C6279E">
        <w:t>in Situation</w:t>
      </w:r>
      <w:r>
        <w:t>en A</w:t>
      </w:r>
      <w:r w:rsidRPr="00C6279E">
        <w:t xml:space="preserve"> und B eine </w:t>
      </w:r>
      <w:r>
        <w:t>Sorte</w:t>
      </w:r>
      <w:r w:rsidRPr="00C6279E">
        <w:t xml:space="preserve"> </w:t>
      </w:r>
      <w:r>
        <w:t>unter gewissen Umständen nach einer Wachstumsperiode</w:t>
      </w:r>
      <w:r w:rsidRPr="00C6279E">
        <w:t xml:space="preserve"> </w:t>
      </w:r>
      <w:r>
        <w:t>zurückgewiesen werden könne</w:t>
      </w:r>
      <w:r w:rsidRPr="00C6279E">
        <w:t>.</w:t>
      </w:r>
    </w:p>
    <w:p w:rsidR="00AD2A42" w:rsidRPr="00C6279E" w:rsidRDefault="00AD2A42" w:rsidP="00AD2A42">
      <w:pPr>
        <w:rPr>
          <w:i/>
        </w:rPr>
      </w:pPr>
    </w:p>
    <w:p w:rsidR="00AD2A42" w:rsidRPr="00876B1F" w:rsidRDefault="00AD2A42" w:rsidP="00AD2A42">
      <w:r>
        <w:fldChar w:fldCharType="begin"/>
      </w:r>
      <w:r w:rsidRPr="00876B1F">
        <w:instrText xml:space="preserve"> AUTONUM  </w:instrText>
      </w:r>
      <w:r>
        <w:fldChar w:fldCharType="end"/>
      </w:r>
      <w:r w:rsidRPr="00876B1F">
        <w:tab/>
        <w:t>Der TC nahm zur Kenntnis, daß die TWC vorgeschlagen hat</w:t>
      </w:r>
      <w:r>
        <w:t>te</w:t>
      </w:r>
      <w:r w:rsidRPr="00876B1F">
        <w:t>, die statistische Grundlage für die akzeptable Anzahl von Abweichern in Situation D auf ihrer Tagung im Jahr 2014</w:t>
      </w:r>
      <w:r>
        <w:t xml:space="preserve"> w</w:t>
      </w:r>
      <w:r w:rsidRPr="00876B1F">
        <w:t xml:space="preserve">eiter </w:t>
      </w:r>
      <w:r>
        <w:t xml:space="preserve">zu </w:t>
      </w:r>
      <w:r w:rsidRPr="00876B1F">
        <w:t>erörter</w:t>
      </w:r>
      <w:r>
        <w:t>n</w:t>
      </w:r>
      <w:r w:rsidRPr="00876B1F">
        <w:t xml:space="preserve">, </w:t>
      </w:r>
      <w:r>
        <w:t xml:space="preserve">wie in </w:t>
      </w:r>
      <w:r w:rsidRPr="00876B1F">
        <w:t xml:space="preserve">Dokument </w:t>
      </w:r>
      <w:r>
        <w:t xml:space="preserve">TC/50/12, </w:t>
      </w:r>
      <w:r w:rsidRPr="00876B1F">
        <w:t>Absätze 34 und 35</w:t>
      </w:r>
      <w:r>
        <w:t>, dargelegt</w:t>
      </w:r>
      <w:r w:rsidRPr="00876B1F">
        <w:t>.</w:t>
      </w:r>
    </w:p>
    <w:p w:rsidR="00AD2A42" w:rsidRPr="00876B1F" w:rsidRDefault="00AD2A42" w:rsidP="00AD2A42"/>
    <w:p w:rsidR="00AD2A42" w:rsidRPr="00876B1F" w:rsidRDefault="00AD2A42" w:rsidP="00AD2A42">
      <w:r>
        <w:fldChar w:fldCharType="begin"/>
      </w:r>
      <w:r w:rsidRPr="00876B1F">
        <w:instrText xml:space="preserve"> AUTONUM  </w:instrText>
      </w:r>
      <w:r>
        <w:fldChar w:fldCharType="end"/>
      </w:r>
      <w:r w:rsidRPr="00876B1F">
        <w:tab/>
        <w:t>Der TC vereinbarte,</w:t>
      </w:r>
      <w:r>
        <w:t xml:space="preserve"> </w:t>
      </w:r>
      <w:r>
        <w:rPr>
          <w:snapToGrid w:val="0"/>
        </w:rPr>
        <w:t>nach Prüfung</w:t>
      </w:r>
      <w:r w:rsidRPr="00876B1F">
        <w:rPr>
          <w:snapToGrid w:val="0"/>
        </w:rPr>
        <w:t xml:space="preserve"> </w:t>
      </w:r>
      <w:r>
        <w:rPr>
          <w:snapToGrid w:val="0"/>
        </w:rPr>
        <w:t>der Bemerkungen</w:t>
      </w:r>
      <w:r w:rsidRPr="00876B1F">
        <w:rPr>
          <w:snapToGrid w:val="0"/>
        </w:rPr>
        <w:t xml:space="preserve"> </w:t>
      </w:r>
      <w:r>
        <w:rPr>
          <w:snapToGrid w:val="0"/>
        </w:rPr>
        <w:t>der</w:t>
      </w:r>
      <w:r w:rsidRPr="00876B1F">
        <w:rPr>
          <w:snapToGrid w:val="0"/>
        </w:rPr>
        <w:t xml:space="preserve"> TWC</w:t>
      </w:r>
      <w:r w:rsidRPr="00876B1F">
        <w:t xml:space="preserve"> in Dokument TGP/10</w:t>
      </w:r>
      <w:r>
        <w:t xml:space="preserve"> </w:t>
      </w:r>
      <w:r w:rsidRPr="00876B1F">
        <w:t xml:space="preserve">Anleitung für Situationen A, B, C und D </w:t>
      </w:r>
      <w:r>
        <w:t>zu entwickeln</w:t>
      </w:r>
      <w:r w:rsidRPr="00876B1F">
        <w:t xml:space="preserve">, wie in den </w:t>
      </w:r>
      <w:r>
        <w:t>A</w:t>
      </w:r>
      <w:r w:rsidRPr="00876B1F">
        <w:t xml:space="preserve">nlagen I bis IV </w:t>
      </w:r>
      <w:r>
        <w:t xml:space="preserve">des </w:t>
      </w:r>
      <w:r w:rsidRPr="00876B1F">
        <w:t>Dokument</w:t>
      </w:r>
      <w:r>
        <w:t>s</w:t>
      </w:r>
      <w:r w:rsidRPr="00876B1F">
        <w:t xml:space="preserve"> TC/50/12</w:t>
      </w:r>
      <w:r>
        <w:t xml:space="preserve"> dargelegt</w:t>
      </w:r>
      <w:r w:rsidRPr="00876B1F">
        <w:t>.</w:t>
      </w:r>
    </w:p>
    <w:p w:rsidR="00AD2A42" w:rsidRPr="00876B1F" w:rsidRDefault="00AD2A42" w:rsidP="00AD2A42"/>
    <w:p w:rsidR="00AD2A42" w:rsidRPr="003232C8" w:rsidRDefault="00AD2A42" w:rsidP="00AD2A42">
      <w:pPr>
        <w:rPr>
          <w:rFonts w:cs="Arial"/>
        </w:rPr>
      </w:pPr>
      <w:r>
        <w:fldChar w:fldCharType="begin"/>
      </w:r>
      <w:r w:rsidRPr="0065717A">
        <w:instrText xml:space="preserve"> AUTONUM  </w:instrText>
      </w:r>
      <w:r>
        <w:fldChar w:fldCharType="end"/>
      </w:r>
      <w:r w:rsidRPr="0065717A">
        <w:tab/>
        <w:t xml:space="preserve">Der TC vereinbarte, daß </w:t>
      </w:r>
      <w:r>
        <w:t>bei der Prüfung der etwaigen</w:t>
      </w:r>
      <w:r w:rsidRPr="0065717A">
        <w:t xml:space="preserve"> Entwicklung </w:t>
      </w:r>
      <w:r>
        <w:t>von</w:t>
      </w:r>
      <w:r w:rsidRPr="0065717A">
        <w:t xml:space="preserve"> Anleitung zu </w:t>
      </w:r>
      <w:r>
        <w:t>dem</w:t>
      </w:r>
      <w:r w:rsidRPr="0065717A">
        <w:t xml:space="preserve"> </w:t>
      </w:r>
      <w:r>
        <w:t xml:space="preserve">in </w:t>
      </w:r>
      <w:r w:rsidRPr="00C6279E">
        <w:t>Situation C dargelegte</w:t>
      </w:r>
      <w:r>
        <w:t>n</w:t>
      </w:r>
      <w:r w:rsidRPr="00C6279E">
        <w:t xml:space="preserve"> Ansatz</w:t>
      </w:r>
      <w:r w:rsidRPr="0065717A">
        <w:t>, wie in Dokument TC/50/12, Anlage III</w:t>
      </w:r>
      <w:r>
        <w:t xml:space="preserve">, dargelegt, </w:t>
      </w:r>
      <w:r w:rsidRPr="0065717A">
        <w:t>Dokument</w:t>
      </w:r>
      <w:r>
        <w:t>,</w:t>
      </w:r>
      <w:r w:rsidRPr="0065717A">
        <w:t xml:space="preserve"> TGP/10</w:t>
      </w:r>
      <w:r>
        <w:t xml:space="preserve">, </w:t>
      </w:r>
      <w:r w:rsidRPr="0065717A">
        <w:t>Absatz 6</w:t>
      </w:r>
      <w:r>
        <w:t>, geprüft werden sollte</w:t>
      </w:r>
      <w:r w:rsidRPr="0065717A">
        <w:t>.</w:t>
      </w:r>
    </w:p>
    <w:p w:rsidR="00F046AC" w:rsidRDefault="00F046AC" w:rsidP="00F046AC"/>
    <w:p w:rsidR="00F046AC" w:rsidRDefault="00F046AC" w:rsidP="00F046AC"/>
    <w:p w:rsidR="00F046AC" w:rsidRDefault="002A0CCF" w:rsidP="00EE0613">
      <w:pPr>
        <w:pStyle w:val="Heading2"/>
      </w:pPr>
      <w:bookmarkStart w:id="189" w:name="_Toc395605397"/>
      <w:r>
        <w:t>Vorbereitende Arbeitstagungen</w:t>
      </w:r>
      <w:bookmarkEnd w:id="189"/>
    </w:p>
    <w:p w:rsidR="00F046AC" w:rsidRDefault="005A2989" w:rsidP="005A2989">
      <w:r>
        <w:t>(vergleiche Dokument TC/50/36 „Bericht über die Entschließungen”, Absätze 128 bis 131).</w:t>
      </w:r>
    </w:p>
    <w:p w:rsidR="005A2989" w:rsidRPr="00B74303" w:rsidRDefault="005A2989" w:rsidP="005A2989"/>
    <w:p w:rsidR="00F046AC" w:rsidRPr="00B74303" w:rsidRDefault="00F046AC" w:rsidP="005A2989">
      <w:r w:rsidRPr="00B74303">
        <w:fldChar w:fldCharType="begin"/>
      </w:r>
      <w:r w:rsidRPr="00B74303">
        <w:instrText xml:space="preserve"> AUTONUM  </w:instrText>
      </w:r>
      <w:r w:rsidRPr="00B74303">
        <w:fldChar w:fldCharType="end"/>
      </w:r>
      <w:r w:rsidR="002A0CCF">
        <w:tab/>
        <w:t xml:space="preserve">Der TC prüfte </w:t>
      </w:r>
      <w:r>
        <w:t>Dokument TC/50/11.</w:t>
      </w:r>
    </w:p>
    <w:p w:rsidR="00F046AC" w:rsidRPr="00B74303" w:rsidRDefault="00F046AC" w:rsidP="005A2989"/>
    <w:p w:rsidR="002A0CCF" w:rsidRPr="00946CB9" w:rsidRDefault="00F046AC" w:rsidP="002A0CCF">
      <w:pPr>
        <w:keepNext/>
      </w:pPr>
      <w:r w:rsidRPr="007953E6">
        <w:fldChar w:fldCharType="begin"/>
      </w:r>
      <w:r w:rsidRPr="007953E6">
        <w:instrText xml:space="preserve"> AUTONUM  </w:instrText>
      </w:r>
      <w:r w:rsidRPr="007953E6">
        <w:fldChar w:fldCharType="end"/>
      </w:r>
      <w:r>
        <w:tab/>
      </w:r>
      <w:r w:rsidR="006777DC" w:rsidRPr="00876B1F">
        <w:t xml:space="preserve">Der TC </w:t>
      </w:r>
      <w:r w:rsidR="006777DC">
        <w:t>nahm den</w:t>
      </w:r>
      <w:r w:rsidR="006777DC" w:rsidRPr="00876B1F">
        <w:t xml:space="preserve"> Bericht über </w:t>
      </w:r>
      <w:r w:rsidR="006777DC">
        <w:t>die</w:t>
      </w:r>
      <w:r w:rsidR="006777DC" w:rsidRPr="00876B1F">
        <w:t xml:space="preserve"> vorbereitende</w:t>
      </w:r>
      <w:r w:rsidR="006777DC">
        <w:t>n</w:t>
      </w:r>
      <w:r w:rsidR="006777DC" w:rsidRPr="00876B1F">
        <w:t xml:space="preserve"> Arbeitstagungen </w:t>
      </w:r>
      <w:r w:rsidR="006777DC">
        <w:t>im Jahr 20</w:t>
      </w:r>
      <w:r w:rsidR="006777DC" w:rsidRPr="00876B1F">
        <w:t>13</w:t>
      </w:r>
      <w:r w:rsidR="006777DC">
        <w:t xml:space="preserve"> zur Kenntnis</w:t>
      </w:r>
      <w:r w:rsidR="006777DC" w:rsidRPr="00876B1F">
        <w:t>.</w:t>
      </w:r>
    </w:p>
    <w:p w:rsidR="002A0CCF" w:rsidRPr="00946CB9" w:rsidRDefault="002A0CCF" w:rsidP="002A0CCF">
      <w:pPr>
        <w:keepNext/>
      </w:pPr>
    </w:p>
    <w:p w:rsidR="002A0CCF" w:rsidRPr="00876B1F" w:rsidRDefault="002A0CCF" w:rsidP="006777DC">
      <w:r w:rsidRPr="007953E6">
        <w:fldChar w:fldCharType="begin"/>
      </w:r>
      <w:r w:rsidRPr="00876B1F">
        <w:instrText xml:space="preserve"> AUTONUM  </w:instrText>
      </w:r>
      <w:r w:rsidRPr="007953E6">
        <w:fldChar w:fldCharType="end"/>
      </w:r>
      <w:r w:rsidRPr="00876B1F">
        <w:tab/>
      </w:r>
      <w:r w:rsidR="006777DC" w:rsidRPr="006777DC">
        <w:t>Der TC nahm zur Kenntnis, daß die Ergebnisse der Befragung und mögliche Mittel zur Steigerung der Effektivität der vorbereitenden Arbeitstagungen in Dokument TC/50/35 geprüft wurden</w:t>
      </w:r>
      <w:r w:rsidR="006777DC">
        <w:t xml:space="preserve">. </w:t>
      </w:r>
    </w:p>
    <w:p w:rsidR="002A0CCF" w:rsidRPr="00876B1F" w:rsidRDefault="002A0CCF" w:rsidP="002A0CCF"/>
    <w:p w:rsidR="00F046AC" w:rsidRDefault="002A0CCF" w:rsidP="00F046AC">
      <w:r>
        <w:fldChar w:fldCharType="begin"/>
      </w:r>
      <w:r w:rsidRPr="00876B1F">
        <w:instrText xml:space="preserve"> AUTONUM  </w:instrText>
      </w:r>
      <w:r>
        <w:fldChar w:fldCharType="end"/>
      </w:r>
      <w:r w:rsidRPr="00876B1F">
        <w:tab/>
        <w:t>Der TC prüfte</w:t>
      </w:r>
      <w:r>
        <w:t xml:space="preserve"> das vorgeschlagene</w:t>
      </w:r>
      <w:r w:rsidRPr="00876B1F">
        <w:t xml:space="preserve"> Programm für vorbereitende Arbeitstagungen</w:t>
      </w:r>
      <w:r>
        <w:t xml:space="preserve"> für </w:t>
      </w:r>
      <w:r w:rsidRPr="00876B1F">
        <w:t xml:space="preserve">2014, </w:t>
      </w:r>
      <w:r>
        <w:t xml:space="preserve">wie in </w:t>
      </w:r>
      <w:r w:rsidRPr="00876B1F">
        <w:t>Dokument TC/50/11</w:t>
      </w:r>
      <w:r>
        <w:t xml:space="preserve">, </w:t>
      </w:r>
      <w:r w:rsidRPr="00876B1F">
        <w:t xml:space="preserve">Absätze 10 </w:t>
      </w:r>
      <w:r>
        <w:t>bis</w:t>
      </w:r>
      <w:r w:rsidRPr="00876B1F">
        <w:t xml:space="preserve"> 12</w:t>
      </w:r>
      <w:r>
        <w:t>, dargelegt</w:t>
      </w:r>
      <w:r w:rsidRPr="00876B1F">
        <w:t>.</w:t>
      </w:r>
    </w:p>
    <w:p w:rsidR="00F046AC" w:rsidRDefault="00F046AC" w:rsidP="00F046AC"/>
    <w:p w:rsidR="00AC5D8F" w:rsidRDefault="00AC5D8F">
      <w:pPr>
        <w:jc w:val="left"/>
      </w:pPr>
    </w:p>
    <w:p w:rsidR="002A0CCF" w:rsidRPr="002A0CCF" w:rsidRDefault="002A0CCF" w:rsidP="00B4666D">
      <w:pPr>
        <w:pStyle w:val="Heading2"/>
        <w:rPr>
          <w:lang w:eastAsia="en-US" w:bidi="ar-SA"/>
        </w:rPr>
      </w:pPr>
      <w:bookmarkStart w:id="190" w:name="_Toc395605398"/>
      <w:bookmarkStart w:id="191" w:name="_Toc393187168"/>
      <w:r w:rsidRPr="002A0CCF">
        <w:rPr>
          <w:lang w:eastAsia="en-US" w:bidi="ar-SA"/>
        </w:rPr>
        <w:t>Vorschläge zur Verbesserung der Effektivität des Technischen Ausschusses, der Technischen Arbeitsgruppen sowie der vorbereitenden Arbeitstagungen</w:t>
      </w:r>
      <w:bookmarkEnd w:id="190"/>
    </w:p>
    <w:p w:rsidR="002A0CCF" w:rsidRDefault="002A0CCF" w:rsidP="002A0CCF">
      <w:r>
        <w:t>(vergleiche Dokument TC/50/36 „Bericht über die Entschließungen”, Absätze 132 bis 140).</w:t>
      </w:r>
    </w:p>
    <w:p w:rsidR="002A0CCF" w:rsidRPr="002A0CCF" w:rsidRDefault="002A0CCF" w:rsidP="002A0CCF">
      <w:pPr>
        <w:rPr>
          <w:lang w:eastAsia="en-US" w:bidi="ar-SA"/>
        </w:rPr>
      </w:pPr>
    </w:p>
    <w:p w:rsidR="002A0CCF" w:rsidRPr="002A0CCF" w:rsidRDefault="002A0CCF" w:rsidP="002A0CCF">
      <w:pPr>
        <w:rPr>
          <w:lang w:eastAsia="en-US" w:bidi="ar-SA"/>
        </w:rPr>
      </w:pPr>
      <w:r w:rsidRPr="002A0CCF">
        <w:rPr>
          <w:lang w:val="en-US" w:eastAsia="en-US" w:bidi="ar-SA"/>
        </w:rPr>
        <w:fldChar w:fldCharType="begin"/>
      </w:r>
      <w:r w:rsidRPr="002A0CCF">
        <w:rPr>
          <w:lang w:eastAsia="en-US" w:bidi="ar-SA"/>
        </w:rPr>
        <w:instrText xml:space="preserve"> AUTONUM  </w:instrText>
      </w:r>
      <w:r w:rsidRPr="002A0CCF">
        <w:rPr>
          <w:lang w:val="en-US" w:eastAsia="en-US" w:bidi="ar-SA"/>
        </w:rPr>
        <w:fldChar w:fldCharType="end"/>
      </w:r>
      <w:r w:rsidRPr="002A0CCF">
        <w:rPr>
          <w:lang w:eastAsia="en-US" w:bidi="ar-SA"/>
        </w:rPr>
        <w:tab/>
        <w:t>Der TC prüfte Dokument TC/50/35 und hörte ein Referat von dem Verbandsbüro über die Verbesserung der Effektivität des Technischen Ausschusses, der Technischen Arbeitsgruppen und der Vorbereitenden Arbeitstagungen.</w:t>
      </w:r>
    </w:p>
    <w:p w:rsidR="002A0CCF" w:rsidRPr="002A0CCF" w:rsidRDefault="002A0CCF" w:rsidP="002A0CCF">
      <w:pPr>
        <w:spacing w:line="360" w:lineRule="auto"/>
        <w:rPr>
          <w:lang w:eastAsia="en-US" w:bidi="ar-SA"/>
        </w:rPr>
      </w:pPr>
    </w:p>
    <w:p w:rsidR="002A0CCF" w:rsidRPr="006777DC" w:rsidRDefault="002A0CCF" w:rsidP="00B4666D">
      <w:pPr>
        <w:pStyle w:val="Heading2"/>
        <w:rPr>
          <w:rFonts w:eastAsia="MS Mincho"/>
          <w:i/>
          <w:lang w:eastAsia="en-US" w:bidi="ar-SA"/>
        </w:rPr>
      </w:pPr>
      <w:bookmarkStart w:id="192" w:name="_Toc395605399"/>
      <w:r w:rsidRPr="006777DC">
        <w:rPr>
          <w:rFonts w:eastAsia="MS Mincho"/>
          <w:i/>
          <w:lang w:eastAsia="en-US" w:bidi="ar-SA"/>
        </w:rPr>
        <w:t>Hintergrund</w:t>
      </w:r>
      <w:bookmarkEnd w:id="192"/>
    </w:p>
    <w:p w:rsidR="002A0CCF" w:rsidRPr="002A0CCF" w:rsidRDefault="002A0CCF" w:rsidP="002A0CCF">
      <w:pPr>
        <w:rPr>
          <w:lang w:eastAsia="en-US" w:bidi="ar-SA"/>
        </w:rPr>
      </w:pPr>
    </w:p>
    <w:p w:rsidR="002A0CCF" w:rsidRPr="002A0CCF" w:rsidRDefault="002A0CCF" w:rsidP="002A0CCF">
      <w:pPr>
        <w:rPr>
          <w:lang w:eastAsia="en-US" w:bidi="ar-SA"/>
        </w:rPr>
      </w:pPr>
      <w:r w:rsidRPr="002A0CCF">
        <w:rPr>
          <w:lang w:val="en-US" w:eastAsia="en-US" w:bidi="ar-SA"/>
        </w:rPr>
        <w:fldChar w:fldCharType="begin"/>
      </w:r>
      <w:r w:rsidRPr="002A0CCF">
        <w:rPr>
          <w:lang w:eastAsia="en-US" w:bidi="ar-SA"/>
        </w:rPr>
        <w:instrText xml:space="preserve"> AUTONUM  </w:instrText>
      </w:r>
      <w:r w:rsidRPr="002A0CCF">
        <w:rPr>
          <w:lang w:val="en-US" w:eastAsia="en-US" w:bidi="ar-SA"/>
        </w:rPr>
        <w:fldChar w:fldCharType="end"/>
      </w:r>
      <w:r w:rsidRPr="002A0CCF">
        <w:rPr>
          <w:lang w:eastAsia="en-US" w:bidi="ar-SA"/>
        </w:rPr>
        <w:tab/>
        <w:t>Der TC nahm die auf den TWP-Tagungen im Jahre 2013 umgesetzten Maßnahmen zur Steigerung der Effektivität der TWP</w:t>
      </w:r>
      <w:r w:rsidRPr="002A0CCF">
        <w:rPr>
          <w:snapToGrid w:val="0"/>
          <w:lang w:eastAsia="en-US" w:bidi="ar-SA"/>
        </w:rPr>
        <w:t>, wie in Absatz 10 von Dokument TC/50/35 dargelegt, zur Kenntnis</w:t>
      </w:r>
      <w:r w:rsidRPr="002A0CCF">
        <w:rPr>
          <w:lang w:eastAsia="en-US" w:bidi="ar-SA"/>
        </w:rPr>
        <w:t>.</w:t>
      </w:r>
    </w:p>
    <w:p w:rsidR="002A0CCF" w:rsidRPr="002A0CCF" w:rsidRDefault="002A0CCF" w:rsidP="009C2B3F">
      <w:pPr>
        <w:pStyle w:val="Heading4"/>
        <w:rPr>
          <w:lang w:eastAsia="en-US" w:bidi="ar-SA"/>
        </w:rPr>
      </w:pPr>
    </w:p>
    <w:p w:rsidR="002A0CCF" w:rsidRPr="006777DC" w:rsidRDefault="002A0CCF" w:rsidP="00B4666D">
      <w:pPr>
        <w:pStyle w:val="Heading2"/>
        <w:rPr>
          <w:rFonts w:eastAsia="MS Mincho"/>
          <w:i/>
          <w:snapToGrid w:val="0"/>
          <w:lang w:eastAsia="en-US" w:bidi="ar-SA"/>
        </w:rPr>
      </w:pPr>
      <w:bookmarkStart w:id="193" w:name="_Toc395605400"/>
      <w:r w:rsidRPr="006777DC">
        <w:rPr>
          <w:rFonts w:eastAsia="MS Mincho"/>
          <w:i/>
          <w:snapToGrid w:val="0"/>
          <w:lang w:eastAsia="en-US" w:bidi="ar-SA"/>
        </w:rPr>
        <w:t>Ergebnisse der Befragungen im Jahr 2013</w:t>
      </w:r>
      <w:bookmarkEnd w:id="193"/>
      <w:r w:rsidRPr="006777DC">
        <w:rPr>
          <w:rFonts w:eastAsia="MS Mincho"/>
          <w:i/>
          <w:snapToGrid w:val="0"/>
          <w:lang w:eastAsia="en-US" w:bidi="ar-SA"/>
        </w:rPr>
        <w:t xml:space="preserve"> </w:t>
      </w:r>
    </w:p>
    <w:p w:rsidR="002A0CCF" w:rsidRPr="002A0CCF" w:rsidRDefault="002A0CCF" w:rsidP="002A0CCF">
      <w:pPr>
        <w:rPr>
          <w:lang w:eastAsia="en-US" w:bidi="ar-SA"/>
        </w:rPr>
      </w:pPr>
    </w:p>
    <w:p w:rsidR="002A0CCF" w:rsidRPr="002A0CCF" w:rsidRDefault="002A0CCF" w:rsidP="002A0CCF">
      <w:pPr>
        <w:rPr>
          <w:lang w:eastAsia="en-US" w:bidi="ar-SA"/>
        </w:rPr>
      </w:pPr>
      <w:r w:rsidRPr="002A0CCF">
        <w:rPr>
          <w:lang w:val="en-US" w:eastAsia="en-US" w:bidi="ar-SA"/>
        </w:rPr>
        <w:fldChar w:fldCharType="begin"/>
      </w:r>
      <w:r w:rsidRPr="002A0CCF">
        <w:rPr>
          <w:lang w:eastAsia="en-US" w:bidi="ar-SA"/>
        </w:rPr>
        <w:instrText xml:space="preserve"> AUTONUM  </w:instrText>
      </w:r>
      <w:r w:rsidRPr="002A0CCF">
        <w:rPr>
          <w:lang w:val="en-US" w:eastAsia="en-US" w:bidi="ar-SA"/>
        </w:rPr>
        <w:fldChar w:fldCharType="end"/>
      </w:r>
      <w:r w:rsidRPr="002A0CCF">
        <w:rPr>
          <w:lang w:eastAsia="en-US" w:bidi="ar-SA"/>
        </w:rPr>
        <w:tab/>
        <w:t>Der TC nahm die Beteiligung an den Befragungen im Jahr 2013, wie in Absätzen 12 und 13 von Dokument TC/50/35 dargelegt, zur Kenntnis.</w:t>
      </w:r>
    </w:p>
    <w:p w:rsidR="002A0CCF" w:rsidRPr="002A0CCF" w:rsidRDefault="002A0CCF" w:rsidP="002A0CCF">
      <w:pPr>
        <w:rPr>
          <w:lang w:eastAsia="en-US" w:bidi="ar-SA"/>
        </w:rPr>
      </w:pPr>
    </w:p>
    <w:p w:rsidR="002A0CCF" w:rsidRPr="002A0CCF" w:rsidRDefault="002A0CCF" w:rsidP="002A0CCF">
      <w:pPr>
        <w:rPr>
          <w:lang w:eastAsia="en-US" w:bidi="ar-SA"/>
        </w:rPr>
      </w:pPr>
      <w:r w:rsidRPr="002A0CCF">
        <w:rPr>
          <w:lang w:val="en-US" w:eastAsia="en-US" w:bidi="ar-SA"/>
        </w:rPr>
        <w:fldChar w:fldCharType="begin"/>
      </w:r>
      <w:r w:rsidRPr="002A0CCF">
        <w:rPr>
          <w:lang w:eastAsia="en-US" w:bidi="ar-SA"/>
        </w:rPr>
        <w:instrText xml:space="preserve"> AUTONUM  </w:instrText>
      </w:r>
      <w:r w:rsidRPr="002A0CCF">
        <w:rPr>
          <w:lang w:val="en-US" w:eastAsia="en-US" w:bidi="ar-SA"/>
        </w:rPr>
        <w:fldChar w:fldCharType="end"/>
      </w:r>
      <w:r w:rsidRPr="002A0CCF">
        <w:rPr>
          <w:lang w:eastAsia="en-US" w:bidi="ar-SA"/>
        </w:rPr>
        <w:tab/>
        <w:t>Der TC nahm die Ergebnisse der Befragungen im Jahr 2013, wie in Anlage I von Dokument TC/50/35 dargelegt, zur Kenntnis.</w:t>
      </w:r>
    </w:p>
    <w:p w:rsidR="002A0CCF" w:rsidRPr="002A0CCF" w:rsidRDefault="002A0CCF" w:rsidP="002A0CCF">
      <w:pPr>
        <w:spacing w:line="360" w:lineRule="auto"/>
        <w:rPr>
          <w:highlight w:val="lightGray"/>
          <w:lang w:eastAsia="en-US" w:bidi="ar-SA"/>
        </w:rPr>
      </w:pPr>
    </w:p>
    <w:p w:rsidR="002A0CCF" w:rsidRPr="006777DC" w:rsidRDefault="002A0CCF" w:rsidP="002A0CCF">
      <w:pPr>
        <w:keepNext/>
        <w:outlineLvl w:val="1"/>
        <w:rPr>
          <w:rFonts w:eastAsia="MS Mincho"/>
          <w:i/>
          <w:snapToGrid w:val="0"/>
          <w:lang w:eastAsia="en-US" w:bidi="ar-SA"/>
        </w:rPr>
      </w:pPr>
      <w:bookmarkStart w:id="194" w:name="_Toc395605401"/>
      <w:r w:rsidRPr="006777DC">
        <w:rPr>
          <w:rFonts w:eastAsia="MS Mincho"/>
          <w:i/>
          <w:snapToGrid w:val="0"/>
          <w:lang w:eastAsia="en-US" w:bidi="ar-SA"/>
        </w:rPr>
        <w:t>Vorschläge zur Verbesserung der Effektivität des Technischen Ausschusses, der Technischen Arbeitsgruppen sowie der vorbereitenden Arbeitstagungen</w:t>
      </w:r>
      <w:bookmarkEnd w:id="194"/>
    </w:p>
    <w:p w:rsidR="002A0CCF" w:rsidRPr="006777DC" w:rsidRDefault="002A0CCF" w:rsidP="002A0CCF">
      <w:pPr>
        <w:rPr>
          <w:i/>
          <w:highlight w:val="lightGray"/>
          <w:lang w:eastAsia="en-US" w:bidi="ar-SA"/>
        </w:rPr>
      </w:pPr>
    </w:p>
    <w:p w:rsidR="002A0CCF" w:rsidRPr="002A0CCF" w:rsidRDefault="002A0CCF" w:rsidP="002A0CCF">
      <w:pPr>
        <w:rPr>
          <w:lang w:eastAsia="en-US" w:bidi="ar-SA"/>
        </w:rPr>
      </w:pPr>
      <w:r w:rsidRPr="002A0CCF">
        <w:rPr>
          <w:lang w:val="en-US" w:eastAsia="en-US" w:bidi="ar-SA"/>
        </w:rPr>
        <w:fldChar w:fldCharType="begin"/>
      </w:r>
      <w:r w:rsidRPr="002A0CCF">
        <w:rPr>
          <w:lang w:eastAsia="en-US" w:bidi="ar-SA"/>
        </w:rPr>
        <w:instrText xml:space="preserve"> AUTONUM  </w:instrText>
      </w:r>
      <w:r w:rsidRPr="002A0CCF">
        <w:rPr>
          <w:lang w:val="en-US" w:eastAsia="en-US" w:bidi="ar-SA"/>
        </w:rPr>
        <w:fldChar w:fldCharType="end"/>
      </w:r>
      <w:r w:rsidRPr="002A0CCF">
        <w:rPr>
          <w:lang w:eastAsia="en-US" w:bidi="ar-SA"/>
        </w:rPr>
        <w:tab/>
        <w:t>Der TC nahm die in Absatz 18 von Dokument TC/50/35 ausgeführten Ziele, welche die Grundlage für die Vorschläge zur Verbesserung der Effektivität der TWP bilden, zur Kenntnis.</w:t>
      </w:r>
    </w:p>
    <w:p w:rsidR="002A0CCF" w:rsidRPr="002A0CCF" w:rsidRDefault="002A0CCF" w:rsidP="002A0CCF">
      <w:pPr>
        <w:rPr>
          <w:lang w:eastAsia="en-US" w:bidi="ar-SA"/>
        </w:rPr>
      </w:pPr>
    </w:p>
    <w:p w:rsidR="002A0CCF" w:rsidRPr="002A0CCF" w:rsidRDefault="002A0CCF" w:rsidP="002A0CCF">
      <w:pPr>
        <w:rPr>
          <w:lang w:eastAsia="en-US" w:bidi="ar-SA"/>
        </w:rPr>
      </w:pPr>
      <w:r w:rsidRPr="002A0CCF">
        <w:rPr>
          <w:lang w:val="en-US" w:eastAsia="en-US" w:bidi="ar-SA"/>
        </w:rPr>
        <w:fldChar w:fldCharType="begin"/>
      </w:r>
      <w:r w:rsidRPr="002A0CCF">
        <w:rPr>
          <w:lang w:eastAsia="en-US" w:bidi="ar-SA"/>
        </w:rPr>
        <w:instrText xml:space="preserve"> AUTONUM  </w:instrText>
      </w:r>
      <w:r w:rsidRPr="002A0CCF">
        <w:rPr>
          <w:lang w:val="en-US" w:eastAsia="en-US" w:bidi="ar-SA"/>
        </w:rPr>
        <w:fldChar w:fldCharType="end"/>
      </w:r>
      <w:r w:rsidRPr="002A0CCF">
        <w:rPr>
          <w:lang w:eastAsia="en-US" w:bidi="ar-SA"/>
        </w:rPr>
        <w:tab/>
        <w:t>Der TC nahm die in Anlage II von Dokument TC/50/35 ausgeführten Informationen zur Kenntnis, welche Informationen zur Teilnahme der Verbandsmitglieder am TC und den TWP in den vergangenen 5 Jahren enthalten.</w:t>
      </w:r>
    </w:p>
    <w:p w:rsidR="002A0CCF" w:rsidRDefault="002A0CCF" w:rsidP="00764DB0">
      <w:pPr>
        <w:pStyle w:val="Heading3"/>
      </w:pPr>
      <w:bookmarkStart w:id="195" w:name="_Toc379378113"/>
      <w:bookmarkStart w:id="196" w:name="_Toc393187172"/>
      <w:bookmarkEnd w:id="191"/>
    </w:p>
    <w:p w:rsidR="002A0CCF" w:rsidRPr="006777DC" w:rsidRDefault="002A0CCF" w:rsidP="002A0CCF">
      <w:pPr>
        <w:keepNext/>
        <w:outlineLvl w:val="1"/>
        <w:rPr>
          <w:rFonts w:eastAsia="MS Mincho" w:cs="Arial"/>
          <w:i/>
          <w:color w:val="000000"/>
          <w:lang w:eastAsia="en-US" w:bidi="ar-SA"/>
        </w:rPr>
      </w:pPr>
      <w:bookmarkStart w:id="197" w:name="_Toc395605402"/>
      <w:bookmarkEnd w:id="195"/>
      <w:bookmarkEnd w:id="196"/>
      <w:r w:rsidRPr="006777DC">
        <w:rPr>
          <w:rFonts w:eastAsia="MS Mincho"/>
          <w:i/>
          <w:snapToGrid w:val="0"/>
          <w:lang w:eastAsia="en-US" w:bidi="ar-SA"/>
        </w:rPr>
        <w:t>Technischer Ausschuß</w:t>
      </w:r>
      <w:bookmarkEnd w:id="197"/>
    </w:p>
    <w:p w:rsidR="002A0CCF" w:rsidRPr="002A0CCF" w:rsidRDefault="002A0CCF" w:rsidP="002A0CCF">
      <w:pPr>
        <w:rPr>
          <w:rFonts w:cs="Arial"/>
          <w:color w:val="000000"/>
          <w:lang w:eastAsia="en-US" w:bidi="ar-SA"/>
        </w:rPr>
      </w:pPr>
    </w:p>
    <w:p w:rsidR="002A0CCF" w:rsidRPr="002A0CCF" w:rsidRDefault="002A0CCF" w:rsidP="002A0CCF">
      <w:pPr>
        <w:rPr>
          <w:lang w:eastAsia="en-US" w:bidi="ar-SA"/>
        </w:rPr>
      </w:pPr>
      <w:r w:rsidRPr="002A0CCF">
        <w:rPr>
          <w:lang w:val="en-US" w:eastAsia="en-US" w:bidi="ar-SA"/>
        </w:rPr>
        <w:fldChar w:fldCharType="begin"/>
      </w:r>
      <w:r w:rsidRPr="002A0CCF">
        <w:rPr>
          <w:lang w:eastAsia="en-US" w:bidi="ar-SA"/>
        </w:rPr>
        <w:instrText xml:space="preserve"> AUTONUM  </w:instrText>
      </w:r>
      <w:r w:rsidRPr="002A0CCF">
        <w:rPr>
          <w:lang w:val="en-US" w:eastAsia="en-US" w:bidi="ar-SA"/>
        </w:rPr>
        <w:fldChar w:fldCharType="end"/>
      </w:r>
      <w:r w:rsidRPr="002A0CCF">
        <w:rPr>
          <w:lang w:eastAsia="en-US" w:bidi="ar-SA"/>
        </w:rPr>
        <w:tab/>
        <w:t xml:space="preserve">Der TC vereinbarte die Vorschläge betreffend mögliche Maßnahmen zur </w:t>
      </w:r>
      <w:r w:rsidRPr="002A0CCF">
        <w:rPr>
          <w:snapToGrid w:val="0"/>
          <w:lang w:eastAsia="en-US" w:bidi="ar-SA"/>
        </w:rPr>
        <w:t>Verbesserung der Effektivität des Technischen Ausschusses</w:t>
      </w:r>
      <w:r w:rsidRPr="002A0CCF">
        <w:rPr>
          <w:lang w:eastAsia="en-US" w:bidi="ar-SA"/>
        </w:rPr>
        <w:t>, wie in Dokument TC/50/35, Absatz 21, dargelegt, und vereinbarte, daß weitere Vorschläge auf seiner einundfünfzigsten Tagung geprüft werden sollten.</w:t>
      </w:r>
    </w:p>
    <w:p w:rsidR="002A0CCF" w:rsidRPr="002A0CCF" w:rsidRDefault="002A0CCF" w:rsidP="002A0CCF">
      <w:pPr>
        <w:spacing w:line="360" w:lineRule="auto"/>
        <w:rPr>
          <w:lang w:eastAsia="en-US" w:bidi="ar-SA"/>
        </w:rPr>
      </w:pPr>
    </w:p>
    <w:p w:rsidR="002A0CCF" w:rsidRPr="006777DC" w:rsidRDefault="006777DC" w:rsidP="002A0CCF">
      <w:pPr>
        <w:keepNext/>
        <w:outlineLvl w:val="1"/>
        <w:rPr>
          <w:rFonts w:eastAsia="MS Mincho"/>
          <w:i/>
          <w:snapToGrid w:val="0"/>
          <w:lang w:eastAsia="en-US" w:bidi="ar-SA"/>
        </w:rPr>
      </w:pPr>
      <w:bookmarkStart w:id="198" w:name="_Toc395605403"/>
      <w:r>
        <w:rPr>
          <w:rFonts w:eastAsia="MS Mincho"/>
          <w:i/>
          <w:snapToGrid w:val="0"/>
          <w:lang w:eastAsia="en-US" w:bidi="ar-SA"/>
        </w:rPr>
        <w:t>Technische Arbeitsgruppen und v</w:t>
      </w:r>
      <w:r w:rsidR="002A0CCF" w:rsidRPr="006777DC">
        <w:rPr>
          <w:rFonts w:eastAsia="MS Mincho"/>
          <w:i/>
          <w:snapToGrid w:val="0"/>
          <w:lang w:eastAsia="en-US" w:bidi="ar-SA"/>
        </w:rPr>
        <w:t>orbereitende Arbeitstagungen</w:t>
      </w:r>
      <w:bookmarkEnd w:id="198"/>
    </w:p>
    <w:p w:rsidR="002A0CCF" w:rsidRPr="002A0CCF" w:rsidRDefault="002A0CCF" w:rsidP="002A0CCF">
      <w:pPr>
        <w:rPr>
          <w:lang w:eastAsia="en-US" w:bidi="ar-SA"/>
        </w:rPr>
      </w:pPr>
    </w:p>
    <w:p w:rsidR="002A0CCF" w:rsidRPr="002A0CCF" w:rsidRDefault="002A0CCF" w:rsidP="005D2FEA">
      <w:pPr>
        <w:spacing w:after="240"/>
        <w:rPr>
          <w:lang w:eastAsia="en-US" w:bidi="ar-SA"/>
        </w:rPr>
      </w:pPr>
      <w:r w:rsidRPr="002A0CCF">
        <w:rPr>
          <w:lang w:val="en-US" w:eastAsia="en-US" w:bidi="ar-SA"/>
        </w:rPr>
        <w:fldChar w:fldCharType="begin"/>
      </w:r>
      <w:r w:rsidRPr="002A0CCF">
        <w:rPr>
          <w:lang w:eastAsia="en-US" w:bidi="ar-SA"/>
        </w:rPr>
        <w:instrText xml:space="preserve"> AUTONUM  </w:instrText>
      </w:r>
      <w:r w:rsidRPr="002A0CCF">
        <w:rPr>
          <w:lang w:val="en-US" w:eastAsia="en-US" w:bidi="ar-SA"/>
        </w:rPr>
        <w:fldChar w:fldCharType="end"/>
      </w:r>
      <w:r w:rsidRPr="002A0CCF">
        <w:rPr>
          <w:lang w:eastAsia="en-US" w:bidi="ar-SA"/>
        </w:rPr>
        <w:tab/>
        <w:t xml:space="preserve">Der TC prüfte die Vorschläge betreffend mögliche Maßnahmen zur </w:t>
      </w:r>
      <w:r w:rsidRPr="002A0CCF">
        <w:rPr>
          <w:snapToGrid w:val="0"/>
          <w:lang w:eastAsia="en-US" w:bidi="ar-SA"/>
        </w:rPr>
        <w:t>Verbesserung der Effektivität der</w:t>
      </w:r>
      <w:r w:rsidRPr="002A0CCF">
        <w:rPr>
          <w:lang w:eastAsia="en-US" w:bidi="ar-SA"/>
        </w:rPr>
        <w:t xml:space="preserve"> TWP, wie in Dokument TC/50/35, Absätze 23 bis 27, dargelegt, und vereinbarte:</w:t>
      </w:r>
    </w:p>
    <w:p w:rsidR="002A0CCF" w:rsidRPr="002A0CCF" w:rsidRDefault="002A0CCF" w:rsidP="006777DC">
      <w:pPr>
        <w:ind w:firstLine="567"/>
        <w:rPr>
          <w:lang w:eastAsia="en-US" w:bidi="ar-SA"/>
        </w:rPr>
      </w:pPr>
      <w:r w:rsidRPr="002A0CCF">
        <w:rPr>
          <w:lang w:eastAsia="en-US" w:bidi="ar-SA"/>
        </w:rPr>
        <w:lastRenderedPageBreak/>
        <w:t>a)</w:t>
      </w:r>
      <w:r w:rsidRPr="002A0CCF">
        <w:rPr>
          <w:lang w:eastAsia="en-US" w:bidi="ar-SA"/>
        </w:rPr>
        <w:tab/>
        <w:t>die TWP-Einladungen, wie in Anlage III von Dokument TC/50/35 dargelegt, zu überarbeiten;  und</w:t>
      </w:r>
    </w:p>
    <w:p w:rsidR="002A0CCF" w:rsidRPr="002A0CCF" w:rsidRDefault="002A0CCF" w:rsidP="002A0CCF">
      <w:pPr>
        <w:rPr>
          <w:lang w:eastAsia="en-US" w:bidi="ar-SA"/>
        </w:rPr>
      </w:pPr>
    </w:p>
    <w:p w:rsidR="002A0CCF" w:rsidRPr="002A0CCF" w:rsidRDefault="002A0CCF" w:rsidP="002A0CCF">
      <w:pPr>
        <w:rPr>
          <w:lang w:eastAsia="en-US" w:bidi="ar-SA"/>
        </w:rPr>
      </w:pPr>
      <w:r w:rsidRPr="002A0CCF">
        <w:rPr>
          <w:lang w:eastAsia="en-US" w:bidi="ar-SA"/>
        </w:rPr>
        <w:tab/>
        <w:t>b)</w:t>
      </w:r>
      <w:r w:rsidRPr="002A0CCF">
        <w:rPr>
          <w:lang w:eastAsia="en-US" w:bidi="ar-SA"/>
        </w:rPr>
        <w:tab/>
        <w:t>aufgrund der Anlage IV von Dokument TC/50/35 eine Befragung unter den Teilnehmern der TWP-Tagungen im Jahr 2014 durchzuführen und dabei eine Frage aufzunehmen, ob Teilnehmer der TWP und der Vorbereitenden Arbeitstagungen an den UPOV-Fernlehrgängen teilgenommen haben.</w:t>
      </w:r>
    </w:p>
    <w:p w:rsidR="002A0CCF" w:rsidRPr="002A0CCF" w:rsidRDefault="002A0CCF" w:rsidP="002A0CCF">
      <w:pPr>
        <w:rPr>
          <w:lang w:eastAsia="en-US" w:bidi="ar-SA"/>
        </w:rPr>
      </w:pPr>
    </w:p>
    <w:p w:rsidR="005A2989" w:rsidRDefault="002A0CCF" w:rsidP="002A0CCF">
      <w:r w:rsidRPr="002A0CCF">
        <w:rPr>
          <w:lang w:val="en-US" w:eastAsia="en-US" w:bidi="ar-SA"/>
        </w:rPr>
        <w:fldChar w:fldCharType="begin"/>
      </w:r>
      <w:r w:rsidRPr="002A0CCF">
        <w:rPr>
          <w:lang w:eastAsia="en-US" w:bidi="ar-SA"/>
        </w:rPr>
        <w:instrText xml:space="preserve"> AUTONUM  </w:instrText>
      </w:r>
      <w:r w:rsidRPr="002A0CCF">
        <w:rPr>
          <w:lang w:val="en-US" w:eastAsia="en-US" w:bidi="ar-SA"/>
        </w:rPr>
        <w:fldChar w:fldCharType="end"/>
      </w:r>
      <w:r w:rsidRPr="002A0CCF">
        <w:rPr>
          <w:lang w:eastAsia="en-US" w:bidi="ar-SA"/>
        </w:rPr>
        <w:tab/>
        <w:t>Im Fall von Vorschlägen, die Änderungen bezüglich Zeit oder Kosten ergeben könnten, vereinbarte er, daß die TWP ersucht werden sollten, die Vorschläge, wie in Absätzen 23 und 24 von Dokument TC/50/35 dargelegt, aufgrund von vom Verbandsbüro bereitgestellter weiterer Informationen zu prüfen. Der TC würde diese Vorschläge aufgrund der Bemerkungen der TWP auf seiner einundfünfzigsten Tagung prüfen.</w:t>
      </w:r>
    </w:p>
    <w:p w:rsidR="00AC5D8F" w:rsidRDefault="00AC5D8F">
      <w:pPr>
        <w:jc w:val="left"/>
      </w:pPr>
    </w:p>
    <w:p w:rsidR="00F046AC" w:rsidRPr="00C26415" w:rsidRDefault="007D6260" w:rsidP="005339C5">
      <w:pPr>
        <w:pStyle w:val="Heading2"/>
      </w:pPr>
      <w:bookmarkStart w:id="199" w:name="_Toc395605404"/>
      <w:bookmarkStart w:id="200" w:name="_Toc393187174"/>
      <w:r w:rsidRPr="00211FD2">
        <w:t>Erörterung von Schulungsmöglichkeiten für die DUS-Prüfung</w:t>
      </w:r>
      <w:bookmarkEnd w:id="199"/>
      <w:r>
        <w:t xml:space="preserve"> </w:t>
      </w:r>
      <w:bookmarkEnd w:id="200"/>
    </w:p>
    <w:p w:rsidR="00F046AC" w:rsidRDefault="007D6260" w:rsidP="00F046AC">
      <w:r>
        <w:t>(vergleiche Dok</w:t>
      </w:r>
      <w:r w:rsidR="005A2989">
        <w:t>um</w:t>
      </w:r>
      <w:r>
        <w:t>ent TC/50/36 „Bericht über die Entschließungen”, Absätze 141 u</w:t>
      </w:r>
      <w:r w:rsidR="005A2989">
        <w:t>nd 142)</w:t>
      </w:r>
    </w:p>
    <w:p w:rsidR="005A2989" w:rsidRDefault="005A2989" w:rsidP="00F046AC"/>
    <w:p w:rsidR="007D6260" w:rsidRPr="007D6260" w:rsidRDefault="00F046AC" w:rsidP="007D6260">
      <w:pPr>
        <w:rPr>
          <w:lang w:eastAsia="en-US" w:bidi="ar-SA"/>
        </w:rPr>
      </w:pPr>
      <w:r>
        <w:fldChar w:fldCharType="begin"/>
      </w:r>
      <w:r>
        <w:instrText xml:space="preserve"> AUTONUM  </w:instrText>
      </w:r>
      <w:r>
        <w:fldChar w:fldCharType="end"/>
      </w:r>
      <w:r>
        <w:tab/>
      </w:r>
      <w:r w:rsidR="007D6260" w:rsidRPr="007D6260">
        <w:rPr>
          <w:lang w:eastAsia="en-US" w:bidi="ar-SA"/>
        </w:rPr>
        <w:t xml:space="preserve">Der TC hörte die folgenden Referate über Schulungsmöglichkeiten für die DUS-Prüfung: </w:t>
      </w:r>
    </w:p>
    <w:p w:rsidR="007D6260" w:rsidRPr="007D6260" w:rsidRDefault="007D6260" w:rsidP="007D6260">
      <w:pPr>
        <w:rPr>
          <w:lang w:eastAsia="en-US" w:bidi="ar-SA"/>
        </w:rPr>
      </w:pPr>
    </w:p>
    <w:tbl>
      <w:tblPr>
        <w:tblStyle w:val="TableGrid"/>
        <w:tblW w:w="974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793"/>
      </w:tblGrid>
      <w:tr w:rsidR="007D6260" w:rsidRPr="007D6260" w:rsidTr="001934B7">
        <w:tc>
          <w:tcPr>
            <w:tcW w:w="5954" w:type="dxa"/>
            <w:vAlign w:val="center"/>
          </w:tcPr>
          <w:p w:rsidR="007D6260" w:rsidRPr="007D6260" w:rsidRDefault="007D6260" w:rsidP="007D6260">
            <w:pPr>
              <w:spacing w:line="360" w:lineRule="auto"/>
              <w:jc w:val="left"/>
              <w:rPr>
                <w:lang w:eastAsia="en-US" w:bidi="ar-SA"/>
              </w:rPr>
            </w:pPr>
            <w:r w:rsidRPr="007D6260">
              <w:rPr>
                <w:lang w:eastAsia="en-US" w:bidi="ar-SA"/>
              </w:rPr>
              <w:t>Australien: Schulungsmöglichkeiten für die DUS-Prüfung</w:t>
            </w:r>
          </w:p>
        </w:tc>
        <w:tc>
          <w:tcPr>
            <w:tcW w:w="3793" w:type="dxa"/>
            <w:vAlign w:val="center"/>
          </w:tcPr>
          <w:p w:rsidR="007D6260" w:rsidRPr="007D6260" w:rsidRDefault="007D6260" w:rsidP="007D6260">
            <w:pPr>
              <w:spacing w:line="360" w:lineRule="auto"/>
              <w:jc w:val="left"/>
              <w:rPr>
                <w:lang w:val="en-US" w:eastAsia="en-US" w:bidi="ar-SA"/>
              </w:rPr>
            </w:pPr>
            <w:r w:rsidRPr="007D6260">
              <w:rPr>
                <w:lang w:val="en-US" w:eastAsia="en-US" w:bidi="ar-SA"/>
              </w:rPr>
              <w:t>Australien (Herr Nik Hulse)</w:t>
            </w:r>
          </w:p>
        </w:tc>
      </w:tr>
      <w:tr w:rsidR="007D6260" w:rsidRPr="007D6260" w:rsidTr="001934B7">
        <w:tc>
          <w:tcPr>
            <w:tcW w:w="5954" w:type="dxa"/>
            <w:vAlign w:val="center"/>
          </w:tcPr>
          <w:p w:rsidR="007D6260" w:rsidRPr="007D6260" w:rsidRDefault="007D6260" w:rsidP="007D6260">
            <w:pPr>
              <w:spacing w:line="360" w:lineRule="auto"/>
              <w:jc w:val="left"/>
              <w:rPr>
                <w:lang w:eastAsia="en-US" w:bidi="ar-SA"/>
              </w:rPr>
            </w:pPr>
            <w:r w:rsidRPr="007D6260">
              <w:rPr>
                <w:lang w:eastAsia="en-US" w:bidi="ar-SA"/>
              </w:rPr>
              <w:t>Schulungsmöglichkeiten für die DUS-Prüfung in Japan</w:t>
            </w:r>
          </w:p>
        </w:tc>
        <w:tc>
          <w:tcPr>
            <w:tcW w:w="3793" w:type="dxa"/>
            <w:vAlign w:val="center"/>
          </w:tcPr>
          <w:p w:rsidR="007D6260" w:rsidRPr="007D6260" w:rsidRDefault="007D6260" w:rsidP="007D6260">
            <w:pPr>
              <w:spacing w:line="360" w:lineRule="auto"/>
              <w:jc w:val="left"/>
              <w:rPr>
                <w:lang w:val="en-US" w:eastAsia="en-US" w:bidi="ar-SA"/>
              </w:rPr>
            </w:pPr>
            <w:r w:rsidRPr="007D6260">
              <w:rPr>
                <w:lang w:val="en-US" w:eastAsia="en-US" w:bidi="ar-SA"/>
              </w:rPr>
              <w:t>Japan (Herr Kenji Numaguchi)</w:t>
            </w:r>
          </w:p>
        </w:tc>
      </w:tr>
      <w:tr w:rsidR="007D6260" w:rsidRPr="007D6260" w:rsidTr="001934B7">
        <w:tc>
          <w:tcPr>
            <w:tcW w:w="5954" w:type="dxa"/>
            <w:vAlign w:val="center"/>
          </w:tcPr>
          <w:p w:rsidR="007D6260" w:rsidRPr="007D6260" w:rsidRDefault="007D6260" w:rsidP="007D6260">
            <w:pPr>
              <w:spacing w:line="360" w:lineRule="auto"/>
              <w:jc w:val="left"/>
              <w:rPr>
                <w:lang w:eastAsia="en-US" w:bidi="ar-SA"/>
              </w:rPr>
            </w:pPr>
            <w:r w:rsidRPr="007D6260">
              <w:rPr>
                <w:lang w:eastAsia="en-US" w:bidi="ar-SA"/>
              </w:rPr>
              <w:t>Schulungsmöglichkeiten für die DUS-Prüfung in den Niederlanden</w:t>
            </w:r>
          </w:p>
        </w:tc>
        <w:tc>
          <w:tcPr>
            <w:tcW w:w="3793" w:type="dxa"/>
            <w:vAlign w:val="center"/>
          </w:tcPr>
          <w:p w:rsidR="007D6260" w:rsidRPr="007D6260" w:rsidRDefault="007D6260" w:rsidP="007D6260">
            <w:pPr>
              <w:spacing w:line="360" w:lineRule="auto"/>
              <w:jc w:val="left"/>
              <w:rPr>
                <w:lang w:eastAsia="en-US" w:bidi="ar-SA"/>
              </w:rPr>
            </w:pPr>
            <w:r w:rsidRPr="007D6260">
              <w:rPr>
                <w:lang w:eastAsia="en-US" w:bidi="ar-SA"/>
              </w:rPr>
              <w:t>Niederlande (Herr Kees van Ettekoven)</w:t>
            </w:r>
          </w:p>
        </w:tc>
      </w:tr>
      <w:tr w:rsidR="007D6260" w:rsidRPr="007D6260" w:rsidTr="001934B7">
        <w:tc>
          <w:tcPr>
            <w:tcW w:w="5954" w:type="dxa"/>
            <w:vAlign w:val="center"/>
          </w:tcPr>
          <w:p w:rsidR="007D6260" w:rsidRPr="007D6260" w:rsidRDefault="007D6260" w:rsidP="007D6260">
            <w:pPr>
              <w:spacing w:line="360" w:lineRule="auto"/>
              <w:jc w:val="left"/>
              <w:rPr>
                <w:lang w:val="es-ES" w:eastAsia="en-US" w:bidi="ar-SA"/>
              </w:rPr>
            </w:pPr>
            <w:r w:rsidRPr="007D6260">
              <w:rPr>
                <w:lang w:val="es-ES" w:eastAsia="en-US" w:bidi="ar-SA"/>
              </w:rPr>
              <w:t>Ausbildungsprogramme für die DUS-Prüfung mitorganisiert von Spanien</w:t>
            </w:r>
          </w:p>
        </w:tc>
        <w:tc>
          <w:tcPr>
            <w:tcW w:w="3793" w:type="dxa"/>
            <w:vAlign w:val="center"/>
          </w:tcPr>
          <w:p w:rsidR="007D6260" w:rsidRPr="007D6260" w:rsidRDefault="007D6260" w:rsidP="007D6260">
            <w:pPr>
              <w:spacing w:line="360" w:lineRule="auto"/>
              <w:jc w:val="left"/>
              <w:rPr>
                <w:lang w:val="en-US" w:eastAsia="en-US" w:bidi="ar-SA"/>
              </w:rPr>
            </w:pPr>
            <w:r w:rsidRPr="007D6260">
              <w:rPr>
                <w:lang w:val="en-US" w:eastAsia="en-US" w:bidi="ar-SA"/>
              </w:rPr>
              <w:t>Spanien (Herr Luis Salaices)</w:t>
            </w:r>
          </w:p>
        </w:tc>
      </w:tr>
      <w:tr w:rsidR="007D6260" w:rsidRPr="007D6260" w:rsidTr="001934B7">
        <w:tc>
          <w:tcPr>
            <w:tcW w:w="5954" w:type="dxa"/>
            <w:vAlign w:val="center"/>
          </w:tcPr>
          <w:p w:rsidR="007D6260" w:rsidRPr="007D6260" w:rsidRDefault="007D6260" w:rsidP="008A4150">
            <w:pPr>
              <w:rPr>
                <w:lang w:val="en-US" w:eastAsia="en-US" w:bidi="ar-SA"/>
              </w:rPr>
            </w:pPr>
            <w:r w:rsidRPr="007D6260">
              <w:rPr>
                <w:lang w:val="en-US" w:eastAsia="en-US" w:bidi="ar-SA"/>
              </w:rPr>
              <w:t>Ausbildungsmittel der UPOV</w:t>
            </w:r>
          </w:p>
        </w:tc>
        <w:tc>
          <w:tcPr>
            <w:tcW w:w="3793" w:type="dxa"/>
            <w:vAlign w:val="center"/>
          </w:tcPr>
          <w:p w:rsidR="007D6260" w:rsidRPr="007D6260" w:rsidRDefault="007D6260" w:rsidP="008A4150">
            <w:pPr>
              <w:rPr>
                <w:lang w:val="en-US" w:eastAsia="en-US" w:bidi="ar-SA"/>
              </w:rPr>
            </w:pPr>
            <w:r w:rsidRPr="007D6260">
              <w:rPr>
                <w:lang w:val="en-US" w:eastAsia="en-US" w:bidi="ar-SA"/>
              </w:rPr>
              <w:t>UPOV-Büro (Herr Peter Button)</w:t>
            </w:r>
          </w:p>
        </w:tc>
      </w:tr>
    </w:tbl>
    <w:p w:rsidR="007D6260" w:rsidRPr="007D6260" w:rsidRDefault="007D6260" w:rsidP="007D6260">
      <w:pPr>
        <w:rPr>
          <w:lang w:val="en-US" w:eastAsia="en-US" w:bidi="ar-SA"/>
        </w:rPr>
      </w:pPr>
    </w:p>
    <w:p w:rsidR="00F046AC" w:rsidRDefault="007D6260" w:rsidP="007D6260">
      <w:r w:rsidRPr="007D6260">
        <w:rPr>
          <w:lang w:val="en-US" w:eastAsia="en-US" w:bidi="ar-SA"/>
        </w:rPr>
        <w:fldChar w:fldCharType="begin"/>
      </w:r>
      <w:r w:rsidRPr="007D6260">
        <w:rPr>
          <w:lang w:eastAsia="en-US" w:bidi="ar-SA"/>
        </w:rPr>
        <w:instrText xml:space="preserve"> AUTONUM  </w:instrText>
      </w:r>
      <w:r w:rsidRPr="007D6260">
        <w:rPr>
          <w:lang w:val="en-US" w:eastAsia="en-US" w:bidi="ar-SA"/>
        </w:rPr>
        <w:fldChar w:fldCharType="end"/>
      </w:r>
      <w:r w:rsidRPr="007D6260">
        <w:rPr>
          <w:lang w:eastAsia="en-US" w:bidi="ar-SA"/>
        </w:rPr>
        <w:tab/>
        <w:t>Der TC nahm zur Kenntnis, daß eine Kopie der Referate auf der UPOV-Website verfügbar gemacht werden würd</w:t>
      </w:r>
      <w:r>
        <w:rPr>
          <w:lang w:eastAsia="en-US" w:bidi="ar-SA"/>
        </w:rPr>
        <w:t xml:space="preserve">e.  </w:t>
      </w:r>
    </w:p>
    <w:p w:rsidR="00F046AC" w:rsidRPr="00C26415" w:rsidRDefault="00F046AC" w:rsidP="00F046AC"/>
    <w:p w:rsidR="00F046AC" w:rsidRPr="007D6260" w:rsidRDefault="007D6260" w:rsidP="008A4150">
      <w:pPr>
        <w:pStyle w:val="Heading2"/>
        <w:rPr>
          <w:lang w:eastAsia="en-US" w:bidi="ar-SA"/>
        </w:rPr>
      </w:pPr>
      <w:bookmarkStart w:id="201" w:name="_Toc393187175"/>
      <w:bookmarkStart w:id="202" w:name="_Toc395605405"/>
      <w:r w:rsidRPr="007D6260">
        <w:rPr>
          <w:lang w:eastAsia="en-US" w:bidi="ar-SA"/>
        </w:rPr>
        <w:t>Erörterung von Zusammenarbeit mit Züchtern bei der DUS-Prüfung</w:t>
      </w:r>
      <w:bookmarkEnd w:id="201"/>
      <w:bookmarkEnd w:id="202"/>
    </w:p>
    <w:p w:rsidR="00F046AC" w:rsidRDefault="007D6260" w:rsidP="00F046AC">
      <w:r>
        <w:t>(vergleiche Dok</w:t>
      </w:r>
      <w:r w:rsidR="005A2989">
        <w:t>ument TC/</w:t>
      </w:r>
      <w:r>
        <w:t>50/36 „Bericht über die Entschließungen</w:t>
      </w:r>
      <w:r w:rsidR="005A2989">
        <w:t>”</w:t>
      </w:r>
      <w:r>
        <w:t>, Absätze 143 u</w:t>
      </w:r>
      <w:r w:rsidR="005A2989">
        <w:t>nd 144)</w:t>
      </w:r>
    </w:p>
    <w:p w:rsidR="005A2989" w:rsidRDefault="005A2989" w:rsidP="00F046AC"/>
    <w:p w:rsidR="007D6260" w:rsidRPr="007D6260" w:rsidRDefault="00F046AC" w:rsidP="007D6260">
      <w:pPr>
        <w:rPr>
          <w:lang w:eastAsia="en-US" w:bidi="ar-SA"/>
        </w:rPr>
      </w:pPr>
      <w:r>
        <w:fldChar w:fldCharType="begin"/>
      </w:r>
      <w:r>
        <w:instrText xml:space="preserve"> AUTONUM  </w:instrText>
      </w:r>
      <w:r>
        <w:fldChar w:fldCharType="end"/>
      </w:r>
      <w:r>
        <w:tab/>
      </w:r>
      <w:r w:rsidR="007D6260" w:rsidRPr="007D6260">
        <w:rPr>
          <w:lang w:eastAsia="en-US" w:bidi="ar-SA"/>
        </w:rPr>
        <w:t xml:space="preserve">Der TC hörte die folgenden Referate über Schulungsmöglichkeiten für die DUS-Prüfung: </w:t>
      </w:r>
    </w:p>
    <w:p w:rsidR="007D6260" w:rsidRPr="007D6260" w:rsidRDefault="007D6260" w:rsidP="007D6260">
      <w:pPr>
        <w:rPr>
          <w:lang w:eastAsia="en-US" w:bidi="ar-SA"/>
        </w:rPr>
      </w:pPr>
    </w:p>
    <w:tbl>
      <w:tblPr>
        <w:tblStyle w:val="TableGrid"/>
        <w:tblW w:w="974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3793"/>
      </w:tblGrid>
      <w:tr w:rsidR="007D6260" w:rsidRPr="007D6260" w:rsidTr="001934B7">
        <w:tc>
          <w:tcPr>
            <w:tcW w:w="5954" w:type="dxa"/>
            <w:vAlign w:val="center"/>
          </w:tcPr>
          <w:p w:rsidR="007D6260" w:rsidRPr="007D6260" w:rsidRDefault="007D6260" w:rsidP="007D6260">
            <w:pPr>
              <w:spacing w:line="360" w:lineRule="auto"/>
              <w:jc w:val="left"/>
              <w:rPr>
                <w:lang w:eastAsia="en-US" w:bidi="ar-SA"/>
              </w:rPr>
            </w:pPr>
            <w:r w:rsidRPr="007D6260">
              <w:rPr>
                <w:lang w:eastAsia="en-US" w:bidi="ar-SA"/>
              </w:rPr>
              <w:t>Australien: Schulungsmöglichkeiten für die DUS-Prüfung</w:t>
            </w:r>
          </w:p>
        </w:tc>
        <w:tc>
          <w:tcPr>
            <w:tcW w:w="3793" w:type="dxa"/>
            <w:vAlign w:val="center"/>
          </w:tcPr>
          <w:p w:rsidR="007D6260" w:rsidRPr="007D6260" w:rsidRDefault="007D6260" w:rsidP="007D6260">
            <w:pPr>
              <w:spacing w:line="360" w:lineRule="auto"/>
              <w:jc w:val="left"/>
              <w:rPr>
                <w:lang w:val="en-US" w:eastAsia="en-US" w:bidi="ar-SA"/>
              </w:rPr>
            </w:pPr>
            <w:r w:rsidRPr="007D6260">
              <w:rPr>
                <w:lang w:val="en-US" w:eastAsia="en-US" w:bidi="ar-SA"/>
              </w:rPr>
              <w:t>Australien (Herr Nik Hulse)</w:t>
            </w:r>
          </w:p>
        </w:tc>
      </w:tr>
      <w:tr w:rsidR="007D6260" w:rsidRPr="007D6260" w:rsidTr="001934B7">
        <w:tc>
          <w:tcPr>
            <w:tcW w:w="5954" w:type="dxa"/>
            <w:vAlign w:val="center"/>
          </w:tcPr>
          <w:p w:rsidR="007D6260" w:rsidRPr="007D6260" w:rsidRDefault="007D6260" w:rsidP="007D6260">
            <w:pPr>
              <w:spacing w:line="360" w:lineRule="auto"/>
              <w:jc w:val="left"/>
              <w:rPr>
                <w:lang w:eastAsia="en-US" w:bidi="ar-SA"/>
              </w:rPr>
            </w:pPr>
            <w:r w:rsidRPr="007D6260">
              <w:rPr>
                <w:lang w:eastAsia="en-US" w:bidi="ar-SA"/>
              </w:rPr>
              <w:t>Schulungsmöglichkeiten für die DUS-Prüfung in Japan</w:t>
            </w:r>
          </w:p>
        </w:tc>
        <w:tc>
          <w:tcPr>
            <w:tcW w:w="3793" w:type="dxa"/>
            <w:vAlign w:val="center"/>
          </w:tcPr>
          <w:p w:rsidR="007D6260" w:rsidRPr="007D6260" w:rsidRDefault="007D6260" w:rsidP="007D6260">
            <w:pPr>
              <w:spacing w:line="360" w:lineRule="auto"/>
              <w:jc w:val="left"/>
              <w:rPr>
                <w:lang w:val="en-US" w:eastAsia="en-US" w:bidi="ar-SA"/>
              </w:rPr>
            </w:pPr>
            <w:r w:rsidRPr="007D6260">
              <w:rPr>
                <w:lang w:val="en-US" w:eastAsia="en-US" w:bidi="ar-SA"/>
              </w:rPr>
              <w:t>Japan (Herr Kenji Numaguchi)</w:t>
            </w:r>
          </w:p>
        </w:tc>
      </w:tr>
      <w:tr w:rsidR="007D6260" w:rsidRPr="007D6260" w:rsidTr="001934B7">
        <w:tc>
          <w:tcPr>
            <w:tcW w:w="5954" w:type="dxa"/>
            <w:vAlign w:val="center"/>
          </w:tcPr>
          <w:p w:rsidR="007D6260" w:rsidRPr="007D6260" w:rsidRDefault="007D6260" w:rsidP="007D6260">
            <w:pPr>
              <w:spacing w:line="360" w:lineRule="auto"/>
              <w:jc w:val="left"/>
              <w:rPr>
                <w:lang w:eastAsia="en-US" w:bidi="ar-SA"/>
              </w:rPr>
            </w:pPr>
            <w:r w:rsidRPr="007D6260">
              <w:rPr>
                <w:lang w:eastAsia="en-US" w:bidi="ar-SA"/>
              </w:rPr>
              <w:t>Schulungsmöglichkeiten für die DUS-Prüfung in den Niederlanden</w:t>
            </w:r>
          </w:p>
        </w:tc>
        <w:tc>
          <w:tcPr>
            <w:tcW w:w="3793" w:type="dxa"/>
            <w:vAlign w:val="center"/>
          </w:tcPr>
          <w:p w:rsidR="007D6260" w:rsidRPr="007D6260" w:rsidRDefault="007D6260" w:rsidP="007D6260">
            <w:pPr>
              <w:spacing w:line="360" w:lineRule="auto"/>
              <w:jc w:val="left"/>
              <w:rPr>
                <w:lang w:eastAsia="en-US" w:bidi="ar-SA"/>
              </w:rPr>
            </w:pPr>
            <w:r w:rsidRPr="007D6260">
              <w:rPr>
                <w:lang w:eastAsia="en-US" w:bidi="ar-SA"/>
              </w:rPr>
              <w:t>Niederlande (Herr Kees van Ettekoven)</w:t>
            </w:r>
          </w:p>
        </w:tc>
      </w:tr>
      <w:tr w:rsidR="007D6260" w:rsidRPr="007D6260" w:rsidTr="001934B7">
        <w:tc>
          <w:tcPr>
            <w:tcW w:w="5954" w:type="dxa"/>
            <w:vAlign w:val="center"/>
          </w:tcPr>
          <w:p w:rsidR="007D6260" w:rsidRPr="007D6260" w:rsidRDefault="007D6260" w:rsidP="007D6260">
            <w:pPr>
              <w:spacing w:line="360" w:lineRule="auto"/>
              <w:jc w:val="left"/>
              <w:rPr>
                <w:lang w:val="es-ES" w:eastAsia="en-US" w:bidi="ar-SA"/>
              </w:rPr>
            </w:pPr>
            <w:r w:rsidRPr="007D6260">
              <w:rPr>
                <w:lang w:val="es-ES" w:eastAsia="en-US" w:bidi="ar-SA"/>
              </w:rPr>
              <w:t>Ausbildungsprogramme für die DUS-Prüfung mitorganisiert von Spanien</w:t>
            </w:r>
          </w:p>
        </w:tc>
        <w:tc>
          <w:tcPr>
            <w:tcW w:w="3793" w:type="dxa"/>
            <w:vAlign w:val="center"/>
          </w:tcPr>
          <w:p w:rsidR="007D6260" w:rsidRPr="007D6260" w:rsidRDefault="007D6260" w:rsidP="007D6260">
            <w:pPr>
              <w:spacing w:line="360" w:lineRule="auto"/>
              <w:jc w:val="left"/>
              <w:rPr>
                <w:lang w:val="en-US" w:eastAsia="en-US" w:bidi="ar-SA"/>
              </w:rPr>
            </w:pPr>
            <w:r w:rsidRPr="007D6260">
              <w:rPr>
                <w:lang w:val="en-US" w:eastAsia="en-US" w:bidi="ar-SA"/>
              </w:rPr>
              <w:t>Spanien (Herr Luis Salaices)</w:t>
            </w:r>
          </w:p>
        </w:tc>
      </w:tr>
      <w:tr w:rsidR="007D6260" w:rsidRPr="007D6260" w:rsidTr="001934B7">
        <w:tc>
          <w:tcPr>
            <w:tcW w:w="5954" w:type="dxa"/>
            <w:vAlign w:val="center"/>
          </w:tcPr>
          <w:p w:rsidR="007D6260" w:rsidRPr="007D6260" w:rsidRDefault="007D6260" w:rsidP="008A4150">
            <w:pPr>
              <w:rPr>
                <w:lang w:val="en-US" w:eastAsia="en-US" w:bidi="ar-SA"/>
              </w:rPr>
            </w:pPr>
            <w:r w:rsidRPr="007D6260">
              <w:rPr>
                <w:lang w:val="en-US" w:eastAsia="en-US" w:bidi="ar-SA"/>
              </w:rPr>
              <w:t>Ausbildungsmittel der UPOV</w:t>
            </w:r>
          </w:p>
        </w:tc>
        <w:tc>
          <w:tcPr>
            <w:tcW w:w="3793" w:type="dxa"/>
            <w:vAlign w:val="center"/>
          </w:tcPr>
          <w:p w:rsidR="007D6260" w:rsidRPr="007D6260" w:rsidRDefault="007D6260" w:rsidP="008A4150">
            <w:pPr>
              <w:rPr>
                <w:lang w:val="en-US" w:eastAsia="en-US" w:bidi="ar-SA"/>
              </w:rPr>
            </w:pPr>
            <w:r w:rsidRPr="007D6260">
              <w:rPr>
                <w:lang w:val="en-US" w:eastAsia="en-US" w:bidi="ar-SA"/>
              </w:rPr>
              <w:t>UPOV-Büro (Herr Peter Button)</w:t>
            </w:r>
          </w:p>
        </w:tc>
      </w:tr>
    </w:tbl>
    <w:p w:rsidR="007D6260" w:rsidRPr="007D6260" w:rsidRDefault="007D6260" w:rsidP="007D6260">
      <w:pPr>
        <w:rPr>
          <w:lang w:val="en-US" w:eastAsia="en-US" w:bidi="ar-SA"/>
        </w:rPr>
      </w:pPr>
    </w:p>
    <w:p w:rsidR="007D6260" w:rsidRPr="007D6260" w:rsidRDefault="007D6260" w:rsidP="007D6260">
      <w:pPr>
        <w:rPr>
          <w:lang w:eastAsia="en-US" w:bidi="ar-SA"/>
        </w:rPr>
      </w:pPr>
      <w:r w:rsidRPr="007D6260">
        <w:rPr>
          <w:lang w:val="en-US" w:eastAsia="en-US" w:bidi="ar-SA"/>
        </w:rPr>
        <w:fldChar w:fldCharType="begin"/>
      </w:r>
      <w:r w:rsidRPr="007D6260">
        <w:rPr>
          <w:lang w:eastAsia="en-US" w:bidi="ar-SA"/>
        </w:rPr>
        <w:instrText xml:space="preserve"> AUTONUM  </w:instrText>
      </w:r>
      <w:r w:rsidRPr="007D6260">
        <w:rPr>
          <w:lang w:val="en-US" w:eastAsia="en-US" w:bidi="ar-SA"/>
        </w:rPr>
        <w:fldChar w:fldCharType="end"/>
      </w:r>
      <w:r w:rsidRPr="007D6260">
        <w:rPr>
          <w:lang w:eastAsia="en-US" w:bidi="ar-SA"/>
        </w:rPr>
        <w:tab/>
        <w:t>Der TC nahm zur Kenntnis, daß eine Kopie der Referate auf der UPOV-Website verfügbar gemacht werden würde.</w:t>
      </w:r>
    </w:p>
    <w:p w:rsidR="00F046AC" w:rsidRDefault="00F046AC" w:rsidP="007D6260"/>
    <w:p w:rsidR="00F046AC" w:rsidRDefault="00F046AC" w:rsidP="00F046AC"/>
    <w:p w:rsidR="00F046AC" w:rsidRPr="00B74303" w:rsidRDefault="002761BA" w:rsidP="00EE0613">
      <w:pPr>
        <w:pStyle w:val="Heading2"/>
      </w:pPr>
      <w:bookmarkStart w:id="203" w:name="_Toc395605406"/>
      <w:r>
        <w:t>Prüfungsrichtlinien</w:t>
      </w:r>
      <w:bookmarkEnd w:id="203"/>
    </w:p>
    <w:p w:rsidR="00F046AC" w:rsidRDefault="005A2989" w:rsidP="00F046AC">
      <w:r>
        <w:t>(vergleiche Dokument TC/50/36 „Bericht über die Entschließungen”, Absätze 145 bis 161).</w:t>
      </w:r>
    </w:p>
    <w:p w:rsidR="002761BA" w:rsidRDefault="002761BA" w:rsidP="00F046AC"/>
    <w:p w:rsidR="002761BA" w:rsidRPr="002B3509" w:rsidRDefault="00F046AC" w:rsidP="002761BA">
      <w:r>
        <w:fldChar w:fldCharType="begin"/>
      </w:r>
      <w:r>
        <w:instrText xml:space="preserve"> AUTONUM  </w:instrText>
      </w:r>
      <w:r>
        <w:fldChar w:fldCharType="end"/>
      </w:r>
      <w:r>
        <w:tab/>
      </w:r>
      <w:r w:rsidR="002761BA" w:rsidRPr="002B3509">
        <w:t>Der TC prüfte Dokumente TC/50/2, TC/50/30, TC/50/31, TC/50/32, TC/50/33 und TC/50/34.</w:t>
      </w:r>
    </w:p>
    <w:p w:rsidR="002761BA" w:rsidRPr="002B3509" w:rsidRDefault="002761BA" w:rsidP="002761BA"/>
    <w:p w:rsidR="002761BA" w:rsidRDefault="002761BA" w:rsidP="002761BA">
      <w:pPr>
        <w:rPr>
          <w:rFonts w:cs="Arial"/>
          <w:snapToGrid w:val="0"/>
        </w:rPr>
      </w:pPr>
      <w:r w:rsidRPr="00896790">
        <w:fldChar w:fldCharType="begin"/>
      </w:r>
      <w:r w:rsidRPr="002B3509">
        <w:instrText xml:space="preserve"> AUTONUM  </w:instrText>
      </w:r>
      <w:r w:rsidRPr="00896790">
        <w:fldChar w:fldCharType="end"/>
      </w:r>
      <w:r w:rsidRPr="002B3509">
        <w:tab/>
      </w:r>
      <w:r w:rsidRPr="002B3509">
        <w:rPr>
          <w:rFonts w:cs="Arial"/>
          <w:snapToGrid w:val="0"/>
        </w:rPr>
        <w:t xml:space="preserve">Der TC </w:t>
      </w:r>
      <w:r>
        <w:rPr>
          <w:rFonts w:cs="Arial"/>
          <w:snapToGrid w:val="0"/>
        </w:rPr>
        <w:t>nahm sechs n</w:t>
      </w:r>
      <w:r>
        <w:rPr>
          <w:snapToGrid w:val="0"/>
        </w:rPr>
        <w:t>eue</w:t>
      </w:r>
      <w:r w:rsidRPr="002B3509">
        <w:rPr>
          <w:snapToGrid w:val="0"/>
        </w:rPr>
        <w:t xml:space="preserve"> Prüfungsrichtlinien für die Durchführung der Prüfung auf Unterscheidbarkeit, Homogenität und Beständigkeit </w:t>
      </w:r>
      <w:r w:rsidRPr="002B3509">
        <w:t xml:space="preserve">und </w:t>
      </w:r>
      <w:r>
        <w:t>neun</w:t>
      </w:r>
      <w:r w:rsidRPr="002B3509">
        <w:rPr>
          <w:snapToGrid w:val="0"/>
        </w:rPr>
        <w:t xml:space="preserve"> </w:t>
      </w:r>
      <w:r>
        <w:rPr>
          <w:snapToGrid w:val="0"/>
        </w:rPr>
        <w:t>überarbeitete</w:t>
      </w:r>
      <w:r w:rsidRPr="002B3509">
        <w:rPr>
          <w:snapToGrid w:val="0"/>
        </w:rPr>
        <w:t xml:space="preserve"> Prüfungsrichtlinien</w:t>
      </w:r>
      <w:r>
        <w:rPr>
          <w:snapToGrid w:val="0"/>
        </w:rPr>
        <w:t>, wie in der untenstehenden Tabelle</w:t>
      </w:r>
      <w:r>
        <w:rPr>
          <w:rFonts w:cs="Arial"/>
          <w:snapToGrid w:val="0"/>
        </w:rPr>
        <w:t xml:space="preserve"> aufgeführt</w:t>
      </w:r>
      <w:r w:rsidRPr="002B3509">
        <w:rPr>
          <w:rFonts w:cs="Arial"/>
          <w:snapToGrid w:val="0"/>
        </w:rPr>
        <w:t xml:space="preserve">, </w:t>
      </w:r>
      <w:r w:rsidRPr="00D74460">
        <w:rPr>
          <w:rFonts w:cs="Arial"/>
          <w:snapToGrid w:val="0"/>
        </w:rPr>
        <w:t>auf</w:t>
      </w:r>
      <w:r>
        <w:rPr>
          <w:rFonts w:cs="Arial"/>
          <w:snapToGrid w:val="0"/>
        </w:rPr>
        <w:t xml:space="preserve">grund </w:t>
      </w:r>
      <w:r w:rsidRPr="00D74460">
        <w:rPr>
          <w:rFonts w:cs="Arial"/>
          <w:snapToGrid w:val="0"/>
        </w:rPr>
        <w:t xml:space="preserve">der in Anlage II dieses Dokuments ausgeführten Änderungen und vom TC-EDC empfohlenen sprachlichen Änderungen </w:t>
      </w:r>
      <w:r>
        <w:rPr>
          <w:rFonts w:cs="Arial"/>
          <w:snapToGrid w:val="0"/>
        </w:rPr>
        <w:t xml:space="preserve">an </w:t>
      </w:r>
      <w:r w:rsidRPr="00D74460">
        <w:rPr>
          <w:rFonts w:cs="Arial"/>
          <w:snapToGrid w:val="0"/>
        </w:rPr>
        <w:t>und vereinbarte, daß sie sobald wie möglich auf der UPOV-Website veröffentlicht werden sollen:</w:t>
      </w:r>
    </w:p>
    <w:p w:rsidR="002761BA" w:rsidRDefault="002761BA" w:rsidP="002761BA">
      <w:pPr>
        <w:rPr>
          <w:rFonts w:cs="Arial"/>
          <w:snapToGrid w:val="0"/>
        </w:rPr>
      </w:pPr>
    </w:p>
    <w:tbl>
      <w:tblPr>
        <w:tblW w:w="10348" w:type="dxa"/>
        <w:jc w:val="center"/>
        <w:tblLayout w:type="fixed"/>
        <w:tblCellMar>
          <w:top w:w="28" w:type="dxa"/>
          <w:left w:w="57" w:type="dxa"/>
          <w:right w:w="57" w:type="dxa"/>
        </w:tblCellMar>
        <w:tblLook w:val="04A0" w:firstRow="1" w:lastRow="0" w:firstColumn="1" w:lastColumn="0" w:noHBand="0" w:noVBand="1"/>
      </w:tblPr>
      <w:tblGrid>
        <w:gridCol w:w="666"/>
        <w:gridCol w:w="591"/>
        <w:gridCol w:w="1489"/>
        <w:gridCol w:w="1416"/>
        <w:gridCol w:w="1417"/>
        <w:gridCol w:w="1416"/>
        <w:gridCol w:w="1417"/>
        <w:gridCol w:w="1936"/>
      </w:tblGrid>
      <w:tr w:rsidR="002761BA" w:rsidTr="001934B7">
        <w:trPr>
          <w:cantSplit/>
          <w:tblHeader/>
          <w:jc w:val="center"/>
        </w:trPr>
        <w:tc>
          <w:tcPr>
            <w:tcW w:w="666" w:type="dxa"/>
            <w:tcBorders>
              <w:top w:val="single" w:sz="4" w:space="0" w:color="auto"/>
              <w:left w:val="nil"/>
              <w:bottom w:val="single" w:sz="4" w:space="0" w:color="auto"/>
              <w:right w:val="nil"/>
            </w:tcBorders>
            <w:shd w:val="clear" w:color="auto" w:fill="D9D9D9"/>
            <w:noWrap/>
            <w:vAlign w:val="center"/>
            <w:hideMark/>
          </w:tcPr>
          <w:p w:rsidR="002761BA" w:rsidRDefault="002761BA" w:rsidP="001934B7">
            <w:pPr>
              <w:keepNext/>
              <w:jc w:val="left"/>
              <w:rPr>
                <w:rFonts w:eastAsia="MS Mincho" w:cs="Arial"/>
                <w:bCs/>
                <w:sz w:val="16"/>
                <w:szCs w:val="16"/>
                <w:lang w:eastAsia="ja-JP"/>
              </w:rPr>
            </w:pPr>
            <w:r>
              <w:rPr>
                <w:rFonts w:eastAsia="MS Mincho" w:cs="Arial"/>
                <w:bCs/>
                <w:sz w:val="16"/>
                <w:szCs w:val="16"/>
                <w:lang w:eastAsia="ja-JP"/>
              </w:rPr>
              <w:lastRenderedPageBreak/>
              <w:t>**</w:t>
            </w:r>
          </w:p>
        </w:tc>
        <w:tc>
          <w:tcPr>
            <w:tcW w:w="591" w:type="dxa"/>
            <w:tcBorders>
              <w:top w:val="single" w:sz="4" w:space="0" w:color="auto"/>
              <w:left w:val="nil"/>
              <w:bottom w:val="single" w:sz="4" w:space="0" w:color="auto"/>
              <w:right w:val="nil"/>
            </w:tcBorders>
            <w:shd w:val="clear" w:color="auto" w:fill="D9D9D9"/>
            <w:vAlign w:val="center"/>
            <w:hideMark/>
          </w:tcPr>
          <w:p w:rsidR="002761BA" w:rsidRDefault="002761BA" w:rsidP="001934B7">
            <w:pPr>
              <w:keepNext/>
              <w:jc w:val="left"/>
              <w:rPr>
                <w:rFonts w:eastAsia="MS Mincho" w:cs="Arial"/>
                <w:bCs/>
                <w:sz w:val="16"/>
                <w:szCs w:val="16"/>
                <w:lang w:eastAsia="ja-JP"/>
              </w:rPr>
            </w:pPr>
            <w:r>
              <w:rPr>
                <w:rFonts w:eastAsia="MS Mincho" w:cs="Arial"/>
                <w:bCs/>
                <w:sz w:val="16"/>
                <w:szCs w:val="16"/>
                <w:lang w:eastAsia="ja-JP"/>
              </w:rPr>
              <w:t>TWP</w:t>
            </w:r>
          </w:p>
        </w:tc>
        <w:tc>
          <w:tcPr>
            <w:tcW w:w="1489" w:type="dxa"/>
            <w:tcBorders>
              <w:top w:val="single" w:sz="4" w:space="0" w:color="auto"/>
              <w:left w:val="nil"/>
              <w:bottom w:val="single" w:sz="4" w:space="0" w:color="auto"/>
              <w:right w:val="nil"/>
            </w:tcBorders>
            <w:shd w:val="clear" w:color="auto" w:fill="D9D9D9"/>
            <w:vAlign w:val="center"/>
            <w:hideMark/>
          </w:tcPr>
          <w:p w:rsidR="002761BA" w:rsidRDefault="002761BA" w:rsidP="001934B7">
            <w:pPr>
              <w:keepNext/>
              <w:jc w:val="left"/>
              <w:rPr>
                <w:rFonts w:eastAsia="MS Mincho" w:cs="Arial"/>
                <w:bCs/>
                <w:sz w:val="16"/>
                <w:szCs w:val="16"/>
                <w:lang w:eastAsia="ja-JP"/>
              </w:rPr>
            </w:pPr>
            <w:r>
              <w:rPr>
                <w:rFonts w:eastAsia="MS Mincho" w:cs="Arial"/>
                <w:bCs/>
                <w:sz w:val="16"/>
                <w:szCs w:val="16"/>
                <w:lang w:val="fr-CH" w:eastAsia="ja-JP"/>
              </w:rPr>
              <w:t xml:space="preserve">Document No. </w:t>
            </w:r>
            <w:r>
              <w:rPr>
                <w:rFonts w:eastAsia="MS Mincho" w:cs="Arial"/>
                <w:bCs/>
                <w:sz w:val="16"/>
                <w:szCs w:val="16"/>
                <w:lang w:val="fr-CH" w:eastAsia="ja-JP"/>
              </w:rPr>
              <w:br/>
              <w:t xml:space="preserve">No. du document </w:t>
            </w:r>
            <w:r>
              <w:rPr>
                <w:rFonts w:eastAsia="MS Mincho" w:cs="Arial"/>
                <w:bCs/>
                <w:sz w:val="16"/>
                <w:szCs w:val="16"/>
                <w:lang w:val="fr-CH" w:eastAsia="ja-JP"/>
              </w:rPr>
              <w:br/>
              <w:t xml:space="preserve">Dokument-Nr. </w:t>
            </w:r>
            <w:r>
              <w:rPr>
                <w:rFonts w:eastAsia="MS Mincho" w:cs="Arial"/>
                <w:bCs/>
                <w:sz w:val="16"/>
                <w:szCs w:val="16"/>
                <w:lang w:val="fr-CH" w:eastAsia="ja-JP"/>
              </w:rPr>
              <w:br/>
            </w:r>
            <w:r>
              <w:rPr>
                <w:rFonts w:eastAsia="MS Mincho" w:cs="Arial"/>
                <w:bCs/>
                <w:sz w:val="16"/>
                <w:szCs w:val="16"/>
                <w:lang w:eastAsia="ja-JP"/>
              </w:rPr>
              <w:t>No del documento</w:t>
            </w:r>
          </w:p>
        </w:tc>
        <w:tc>
          <w:tcPr>
            <w:tcW w:w="1416" w:type="dxa"/>
            <w:tcBorders>
              <w:top w:val="single" w:sz="4" w:space="0" w:color="auto"/>
              <w:left w:val="nil"/>
              <w:bottom w:val="single" w:sz="4" w:space="0" w:color="auto"/>
              <w:right w:val="nil"/>
            </w:tcBorders>
            <w:shd w:val="clear" w:color="auto" w:fill="D9D9D9"/>
            <w:vAlign w:val="center"/>
            <w:hideMark/>
          </w:tcPr>
          <w:p w:rsidR="002761BA" w:rsidRDefault="002761BA" w:rsidP="001934B7">
            <w:pPr>
              <w:keepNext/>
              <w:jc w:val="left"/>
              <w:rPr>
                <w:rFonts w:eastAsia="MS Mincho" w:cs="Arial"/>
                <w:bCs/>
                <w:sz w:val="16"/>
                <w:szCs w:val="16"/>
                <w:lang w:eastAsia="ja-JP"/>
              </w:rPr>
            </w:pPr>
            <w:r>
              <w:rPr>
                <w:rFonts w:eastAsia="MS Mincho" w:cs="Arial"/>
                <w:bCs/>
                <w:sz w:val="16"/>
                <w:szCs w:val="16"/>
                <w:lang w:eastAsia="ja-JP"/>
              </w:rPr>
              <w:t>English</w:t>
            </w:r>
          </w:p>
        </w:tc>
        <w:tc>
          <w:tcPr>
            <w:tcW w:w="1417" w:type="dxa"/>
            <w:tcBorders>
              <w:top w:val="single" w:sz="4" w:space="0" w:color="auto"/>
              <w:left w:val="nil"/>
              <w:bottom w:val="single" w:sz="4" w:space="0" w:color="auto"/>
              <w:right w:val="nil"/>
            </w:tcBorders>
            <w:shd w:val="clear" w:color="auto" w:fill="D9D9D9"/>
            <w:vAlign w:val="center"/>
            <w:hideMark/>
          </w:tcPr>
          <w:p w:rsidR="002761BA" w:rsidRDefault="002761BA" w:rsidP="001934B7">
            <w:pPr>
              <w:keepNext/>
              <w:jc w:val="left"/>
              <w:rPr>
                <w:rFonts w:eastAsia="MS Mincho" w:cs="Arial"/>
                <w:sz w:val="16"/>
                <w:szCs w:val="16"/>
                <w:lang w:eastAsia="ja-JP"/>
              </w:rPr>
            </w:pPr>
            <w:r>
              <w:rPr>
                <w:rFonts w:eastAsia="MS Mincho" w:cs="Arial"/>
                <w:sz w:val="16"/>
                <w:szCs w:val="16"/>
                <w:lang w:eastAsia="ja-JP"/>
              </w:rPr>
              <w:t>Français</w:t>
            </w:r>
          </w:p>
        </w:tc>
        <w:tc>
          <w:tcPr>
            <w:tcW w:w="1416" w:type="dxa"/>
            <w:tcBorders>
              <w:top w:val="single" w:sz="4" w:space="0" w:color="auto"/>
              <w:left w:val="nil"/>
              <w:bottom w:val="single" w:sz="4" w:space="0" w:color="auto"/>
              <w:right w:val="nil"/>
            </w:tcBorders>
            <w:shd w:val="clear" w:color="auto" w:fill="D9D9D9"/>
            <w:vAlign w:val="center"/>
            <w:hideMark/>
          </w:tcPr>
          <w:p w:rsidR="002761BA" w:rsidRDefault="002761BA" w:rsidP="001934B7">
            <w:pPr>
              <w:keepNext/>
              <w:jc w:val="left"/>
              <w:rPr>
                <w:rFonts w:eastAsia="MS Mincho" w:cs="Arial"/>
                <w:sz w:val="16"/>
                <w:szCs w:val="16"/>
                <w:lang w:eastAsia="ja-JP"/>
              </w:rPr>
            </w:pPr>
            <w:r>
              <w:rPr>
                <w:rFonts w:eastAsia="MS Mincho" w:cs="Arial"/>
                <w:sz w:val="16"/>
                <w:szCs w:val="16"/>
                <w:lang w:eastAsia="ja-JP"/>
              </w:rPr>
              <w:t>Deutsch</w:t>
            </w:r>
          </w:p>
        </w:tc>
        <w:tc>
          <w:tcPr>
            <w:tcW w:w="1417" w:type="dxa"/>
            <w:tcBorders>
              <w:top w:val="single" w:sz="4" w:space="0" w:color="auto"/>
              <w:left w:val="nil"/>
              <w:bottom w:val="single" w:sz="4" w:space="0" w:color="auto"/>
              <w:right w:val="nil"/>
            </w:tcBorders>
            <w:shd w:val="clear" w:color="auto" w:fill="D9D9D9"/>
            <w:vAlign w:val="center"/>
            <w:hideMark/>
          </w:tcPr>
          <w:p w:rsidR="002761BA" w:rsidRDefault="002761BA" w:rsidP="001934B7">
            <w:pPr>
              <w:keepNext/>
              <w:jc w:val="left"/>
              <w:rPr>
                <w:rFonts w:eastAsia="MS Mincho" w:cs="Arial"/>
                <w:sz w:val="16"/>
                <w:szCs w:val="16"/>
                <w:lang w:eastAsia="ja-JP"/>
              </w:rPr>
            </w:pPr>
            <w:r>
              <w:rPr>
                <w:rFonts w:eastAsia="MS Mincho" w:cs="Arial"/>
                <w:sz w:val="16"/>
                <w:szCs w:val="16"/>
                <w:lang w:eastAsia="ja-JP"/>
              </w:rPr>
              <w:t>Español</w:t>
            </w:r>
          </w:p>
        </w:tc>
        <w:tc>
          <w:tcPr>
            <w:tcW w:w="1936" w:type="dxa"/>
            <w:tcBorders>
              <w:top w:val="single" w:sz="4" w:space="0" w:color="auto"/>
              <w:left w:val="nil"/>
              <w:bottom w:val="single" w:sz="4" w:space="0" w:color="auto"/>
              <w:right w:val="nil"/>
            </w:tcBorders>
            <w:shd w:val="clear" w:color="auto" w:fill="D9D9D9"/>
            <w:vAlign w:val="center"/>
            <w:hideMark/>
          </w:tcPr>
          <w:p w:rsidR="002761BA" w:rsidRDefault="002761BA" w:rsidP="001934B7">
            <w:pPr>
              <w:keepNext/>
              <w:jc w:val="left"/>
              <w:rPr>
                <w:rFonts w:eastAsia="MS Mincho" w:cs="Arial"/>
                <w:sz w:val="16"/>
                <w:szCs w:val="16"/>
                <w:lang w:eastAsia="ja-JP"/>
              </w:rPr>
            </w:pPr>
            <w:r>
              <w:rPr>
                <w:rFonts w:eastAsia="MS Mincho" w:cs="Arial"/>
                <w:sz w:val="16"/>
                <w:szCs w:val="16"/>
                <w:lang w:eastAsia="ja-JP"/>
              </w:rPr>
              <w:t>Botanical name</w:t>
            </w:r>
          </w:p>
        </w:tc>
      </w:tr>
      <w:tr w:rsidR="002761BA" w:rsidRPr="002865AC" w:rsidTr="001934B7">
        <w:trPr>
          <w:cantSplit/>
          <w:jc w:val="center"/>
        </w:trPr>
        <w:tc>
          <w:tcPr>
            <w:tcW w:w="10348" w:type="dxa"/>
            <w:gridSpan w:val="8"/>
            <w:tcBorders>
              <w:top w:val="single" w:sz="4" w:space="0" w:color="auto"/>
              <w:left w:val="single" w:sz="4" w:space="0" w:color="auto"/>
              <w:bottom w:val="single" w:sz="4" w:space="0" w:color="auto"/>
              <w:right w:val="single" w:sz="4" w:space="0" w:color="auto"/>
            </w:tcBorders>
            <w:noWrap/>
            <w:hideMark/>
          </w:tcPr>
          <w:p w:rsidR="002761BA" w:rsidRDefault="002761BA" w:rsidP="001934B7">
            <w:pPr>
              <w:spacing w:before="120" w:after="120"/>
              <w:jc w:val="left"/>
              <w:rPr>
                <w:rFonts w:eastAsia="MS Mincho" w:cs="Arial"/>
                <w:bCs/>
                <w:sz w:val="16"/>
                <w:szCs w:val="16"/>
                <w:u w:val="single"/>
                <w:lang w:val="fr-FR" w:eastAsia="ja-JP"/>
              </w:rPr>
            </w:pPr>
            <w:r>
              <w:rPr>
                <w:rFonts w:cs="Arial"/>
                <w:bCs/>
                <w:sz w:val="16"/>
                <w:szCs w:val="16"/>
                <w:u w:val="single"/>
                <w:lang w:val="fr-FR"/>
              </w:rPr>
              <w:t>NEW TEST GUIDELINES / NOUVEAUX PRINCIPES DIRECTEURS D’EXAMEN / NEUE PRÜFUNGSRICHTILINIEN /</w:t>
            </w:r>
            <w:r>
              <w:rPr>
                <w:rFonts w:cs="Arial"/>
                <w:bCs/>
                <w:sz w:val="16"/>
                <w:szCs w:val="16"/>
                <w:u w:val="single"/>
                <w:lang w:val="fr-FR"/>
              </w:rPr>
              <w:br/>
              <w:t>NUEVAS DIRECTRICES DE EXAMEN</w:t>
            </w:r>
          </w:p>
        </w:tc>
      </w:tr>
      <w:tr w:rsidR="002761BA" w:rsidTr="001934B7">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NL</w:t>
            </w:r>
          </w:p>
        </w:tc>
        <w:tc>
          <w:tcPr>
            <w:tcW w:w="591"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TG/HOSTA (proj.9)</w:t>
            </w:r>
          </w:p>
        </w:tc>
        <w:tc>
          <w:tcPr>
            <w:tcW w:w="141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Funkia, Hosta, Plantain Lily</w:t>
            </w:r>
          </w:p>
        </w:tc>
        <w:tc>
          <w:tcPr>
            <w:tcW w:w="1417"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Funkia, Hémérocalle du Japon</w:t>
            </w:r>
          </w:p>
        </w:tc>
        <w:tc>
          <w:tcPr>
            <w:tcW w:w="141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Funkie</w:t>
            </w:r>
          </w:p>
        </w:tc>
        <w:tc>
          <w:tcPr>
            <w:tcW w:w="1417"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Hosta</w:t>
            </w:r>
          </w:p>
        </w:tc>
        <w:tc>
          <w:tcPr>
            <w:tcW w:w="193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Hosta Tratt.</w:t>
            </w:r>
          </w:p>
        </w:tc>
      </w:tr>
      <w:tr w:rsidR="002761BA" w:rsidTr="001934B7">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CN</w:t>
            </w:r>
          </w:p>
        </w:tc>
        <w:tc>
          <w:tcPr>
            <w:tcW w:w="591"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TG/LILAC(proj.6)</w:t>
            </w:r>
          </w:p>
        </w:tc>
        <w:tc>
          <w:tcPr>
            <w:tcW w:w="141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Lilac</w:t>
            </w:r>
          </w:p>
        </w:tc>
        <w:tc>
          <w:tcPr>
            <w:tcW w:w="1417"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Lilas</w:t>
            </w:r>
          </w:p>
        </w:tc>
        <w:tc>
          <w:tcPr>
            <w:tcW w:w="141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Flieder</w:t>
            </w:r>
          </w:p>
        </w:tc>
        <w:tc>
          <w:tcPr>
            <w:tcW w:w="1417"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Lila</w:t>
            </w:r>
          </w:p>
        </w:tc>
        <w:tc>
          <w:tcPr>
            <w:tcW w:w="193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Syringa L.</w:t>
            </w:r>
          </w:p>
        </w:tc>
      </w:tr>
      <w:tr w:rsidR="002761BA" w:rsidTr="001934B7">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CN</w:t>
            </w:r>
          </w:p>
        </w:tc>
        <w:tc>
          <w:tcPr>
            <w:tcW w:w="591"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TWF</w:t>
            </w:r>
          </w:p>
        </w:tc>
        <w:tc>
          <w:tcPr>
            <w:tcW w:w="1489"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TG/LITCHI (proj.5)</w:t>
            </w:r>
          </w:p>
        </w:tc>
        <w:tc>
          <w:tcPr>
            <w:tcW w:w="141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Litchi, Lychee</w:t>
            </w:r>
          </w:p>
        </w:tc>
        <w:tc>
          <w:tcPr>
            <w:tcW w:w="1417"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Litchi</w:t>
            </w:r>
          </w:p>
        </w:tc>
        <w:tc>
          <w:tcPr>
            <w:tcW w:w="141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Litschi</w:t>
            </w:r>
          </w:p>
        </w:tc>
        <w:tc>
          <w:tcPr>
            <w:tcW w:w="1417"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Litchi</w:t>
            </w:r>
          </w:p>
        </w:tc>
        <w:tc>
          <w:tcPr>
            <w:tcW w:w="193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Litchi chinensis Sonn.</w:t>
            </w:r>
          </w:p>
        </w:tc>
      </w:tr>
      <w:tr w:rsidR="002761BA" w:rsidRPr="00312879" w:rsidTr="001934B7">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NL</w:t>
            </w:r>
          </w:p>
        </w:tc>
        <w:tc>
          <w:tcPr>
            <w:tcW w:w="591"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TWO</w:t>
            </w:r>
          </w:p>
        </w:tc>
        <w:tc>
          <w:tcPr>
            <w:tcW w:w="1489"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TG/MANDE (proj.7)</w:t>
            </w:r>
          </w:p>
        </w:tc>
        <w:tc>
          <w:tcPr>
            <w:tcW w:w="141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Brazilian-jasmine</w:t>
            </w:r>
          </w:p>
        </w:tc>
        <w:tc>
          <w:tcPr>
            <w:tcW w:w="1417"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 </w:t>
            </w:r>
          </w:p>
        </w:tc>
        <w:tc>
          <w:tcPr>
            <w:tcW w:w="141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Brasilijasmin</w:t>
            </w:r>
          </w:p>
        </w:tc>
        <w:tc>
          <w:tcPr>
            <w:tcW w:w="1417"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 </w:t>
            </w:r>
          </w:p>
        </w:tc>
        <w:tc>
          <w:tcPr>
            <w:tcW w:w="193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val="fr-CH" w:eastAsia="ja-JP"/>
              </w:rPr>
            </w:pPr>
            <w:r>
              <w:rPr>
                <w:rFonts w:eastAsia="MS Mincho" w:cs="Arial"/>
                <w:sz w:val="16"/>
                <w:szCs w:val="16"/>
                <w:lang w:val="fr-CH" w:eastAsia="ja-JP"/>
              </w:rPr>
              <w:t>Mandevilla Lindl., Dipladenia A. DC.</w:t>
            </w:r>
          </w:p>
        </w:tc>
      </w:tr>
      <w:tr w:rsidR="002761BA" w:rsidTr="001934B7">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AU</w:t>
            </w:r>
          </w:p>
        </w:tc>
        <w:tc>
          <w:tcPr>
            <w:tcW w:w="591"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TWA</w:t>
            </w:r>
          </w:p>
        </w:tc>
        <w:tc>
          <w:tcPr>
            <w:tcW w:w="1489"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TG/RHODES (proj.4)</w:t>
            </w:r>
          </w:p>
        </w:tc>
        <w:tc>
          <w:tcPr>
            <w:tcW w:w="141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Rhodesgrass</w:t>
            </w:r>
          </w:p>
        </w:tc>
        <w:tc>
          <w:tcPr>
            <w:tcW w:w="1417"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Herbe de Rhodes</w:t>
            </w:r>
          </w:p>
        </w:tc>
        <w:tc>
          <w:tcPr>
            <w:tcW w:w="141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Rhodesgras</w:t>
            </w:r>
          </w:p>
        </w:tc>
        <w:tc>
          <w:tcPr>
            <w:tcW w:w="1417"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Hierba de Rhodes</w:t>
            </w:r>
          </w:p>
        </w:tc>
        <w:tc>
          <w:tcPr>
            <w:tcW w:w="193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Chloris gayana Kunth</w:t>
            </w:r>
          </w:p>
        </w:tc>
      </w:tr>
      <w:tr w:rsidR="002761BA" w:rsidTr="001934B7">
        <w:trPr>
          <w:cantSplit/>
          <w:jc w:val="center"/>
        </w:trPr>
        <w:tc>
          <w:tcPr>
            <w:tcW w:w="666" w:type="dxa"/>
            <w:tcBorders>
              <w:top w:val="single" w:sz="4" w:space="0" w:color="auto"/>
              <w:left w:val="single" w:sz="4" w:space="0" w:color="auto"/>
              <w:bottom w:val="single" w:sz="4" w:space="0" w:color="auto"/>
              <w:right w:val="single" w:sz="4" w:space="0" w:color="auto"/>
            </w:tcBorders>
            <w:noWrap/>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MX</w:t>
            </w:r>
          </w:p>
        </w:tc>
        <w:tc>
          <w:tcPr>
            <w:tcW w:w="591"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TWF</w:t>
            </w:r>
          </w:p>
        </w:tc>
        <w:tc>
          <w:tcPr>
            <w:tcW w:w="1489"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TG/VANIL(proj.5)</w:t>
            </w:r>
          </w:p>
        </w:tc>
        <w:tc>
          <w:tcPr>
            <w:tcW w:w="141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Vanilla</w:t>
            </w:r>
          </w:p>
        </w:tc>
        <w:tc>
          <w:tcPr>
            <w:tcW w:w="1417"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Vanillier</w:t>
            </w:r>
          </w:p>
        </w:tc>
        <w:tc>
          <w:tcPr>
            <w:tcW w:w="141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Vanille-Pflanze</w:t>
            </w:r>
          </w:p>
        </w:tc>
        <w:tc>
          <w:tcPr>
            <w:tcW w:w="1417"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Vainilla, Xanath</w:t>
            </w:r>
          </w:p>
        </w:tc>
        <w:tc>
          <w:tcPr>
            <w:tcW w:w="1936" w:type="dxa"/>
            <w:tcBorders>
              <w:top w:val="single" w:sz="4" w:space="0" w:color="auto"/>
              <w:left w:val="nil"/>
              <w:bottom w:val="single" w:sz="4" w:space="0" w:color="auto"/>
              <w:right w:val="single" w:sz="4" w:space="0" w:color="auto"/>
            </w:tcBorders>
            <w:hideMark/>
          </w:tcPr>
          <w:p w:rsidR="002761BA" w:rsidRDefault="002761BA" w:rsidP="001934B7">
            <w:pPr>
              <w:jc w:val="left"/>
              <w:rPr>
                <w:rFonts w:eastAsia="MS Mincho" w:cs="Arial"/>
                <w:sz w:val="16"/>
                <w:szCs w:val="16"/>
                <w:lang w:eastAsia="ja-JP"/>
              </w:rPr>
            </w:pPr>
            <w:r>
              <w:rPr>
                <w:rFonts w:eastAsia="MS Mincho" w:cs="Arial"/>
                <w:sz w:val="16"/>
                <w:szCs w:val="16"/>
                <w:lang w:eastAsia="ja-JP"/>
              </w:rPr>
              <w:t>Vanilla planifolia Jacks.</w:t>
            </w:r>
          </w:p>
        </w:tc>
      </w:tr>
      <w:tr w:rsidR="002761BA" w:rsidRPr="002865AC" w:rsidTr="001934B7">
        <w:trPr>
          <w:cantSplit/>
          <w:jc w:val="center"/>
        </w:trPr>
        <w:tc>
          <w:tcPr>
            <w:tcW w:w="10348" w:type="dxa"/>
            <w:gridSpan w:val="8"/>
            <w:tcBorders>
              <w:top w:val="nil"/>
              <w:left w:val="single" w:sz="4" w:space="0" w:color="auto"/>
              <w:bottom w:val="single" w:sz="4" w:space="0" w:color="auto"/>
              <w:right w:val="single" w:sz="4" w:space="0" w:color="auto"/>
            </w:tcBorders>
            <w:hideMark/>
          </w:tcPr>
          <w:p w:rsidR="002761BA" w:rsidRDefault="002761BA" w:rsidP="001934B7">
            <w:pPr>
              <w:keepNext/>
              <w:spacing w:before="120" w:after="120"/>
              <w:jc w:val="left"/>
              <w:rPr>
                <w:rFonts w:eastAsia="MS Mincho" w:cs="Arial"/>
                <w:bCs/>
                <w:sz w:val="16"/>
                <w:szCs w:val="16"/>
                <w:u w:val="single"/>
                <w:lang w:val="fr-FR" w:eastAsia="ja-JP"/>
              </w:rPr>
            </w:pPr>
            <w:r>
              <w:rPr>
                <w:rFonts w:eastAsia="MS Mincho" w:cs="Arial"/>
                <w:b/>
                <w:bCs/>
                <w:sz w:val="16"/>
                <w:szCs w:val="16"/>
                <w:u w:val="single"/>
                <w:lang w:val="fr-FR" w:eastAsia="ja-JP"/>
              </w:rPr>
              <w:t> </w:t>
            </w:r>
            <w:r>
              <w:rPr>
                <w:rFonts w:cs="Arial"/>
                <w:bCs/>
                <w:sz w:val="16"/>
                <w:szCs w:val="16"/>
                <w:u w:val="single"/>
                <w:lang w:val="fr-FR"/>
              </w:rPr>
              <w:t xml:space="preserve">REVISIONS OF TEST GUIDELINES / </w:t>
            </w:r>
            <w:r>
              <w:rPr>
                <w:rFonts w:cs="Arial"/>
                <w:sz w:val="16"/>
                <w:szCs w:val="16"/>
                <w:u w:val="single"/>
                <w:lang w:val="fr-FR"/>
              </w:rPr>
              <w:t>RÉVISIONS DE PRINCIPES DIRECTEURS D’EXAMEN ADOPTÉS / REVISIONEN ANGENOMMENER PRÜFUNGSRICHTLINIEN / REVISIONES DE DIRECTRICES DE EXAMEN ADOPTADAS</w:t>
            </w:r>
          </w:p>
        </w:tc>
      </w:tr>
      <w:tr w:rsidR="002761BA" w:rsidTr="001934B7">
        <w:trPr>
          <w:cantSplit/>
          <w:jc w:val="center"/>
        </w:trPr>
        <w:tc>
          <w:tcPr>
            <w:tcW w:w="666" w:type="dxa"/>
            <w:tcBorders>
              <w:top w:val="nil"/>
              <w:left w:val="single" w:sz="4" w:space="0" w:color="auto"/>
              <w:bottom w:val="single" w:sz="4" w:space="0" w:color="auto"/>
              <w:right w:val="single" w:sz="4" w:space="0" w:color="auto"/>
            </w:tcBorders>
            <w:noWrap/>
            <w:hideMark/>
          </w:tcPr>
          <w:p w:rsidR="002761BA" w:rsidRDefault="002761BA" w:rsidP="001934B7">
            <w:pPr>
              <w:jc w:val="left"/>
              <w:rPr>
                <w:rFonts w:cs="Arial"/>
                <w:sz w:val="16"/>
                <w:szCs w:val="16"/>
              </w:rPr>
            </w:pPr>
            <w:r>
              <w:rPr>
                <w:rFonts w:cs="Arial"/>
                <w:sz w:val="16"/>
                <w:szCs w:val="16"/>
              </w:rPr>
              <w:t>DE</w:t>
            </w:r>
          </w:p>
        </w:tc>
        <w:tc>
          <w:tcPr>
            <w:tcW w:w="591"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TWA</w:t>
            </w:r>
          </w:p>
        </w:tc>
        <w:tc>
          <w:tcPr>
            <w:tcW w:w="1489"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TG/33/7(proj.4)</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Kentucky Bluegrass</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Pâturin des prés</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 xml:space="preserve">Wiesenrispe </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Poa de los prados</w:t>
            </w:r>
          </w:p>
        </w:tc>
        <w:tc>
          <w:tcPr>
            <w:tcW w:w="1936"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Poa pratensis L.</w:t>
            </w:r>
          </w:p>
        </w:tc>
      </w:tr>
      <w:tr w:rsidR="002761BA" w:rsidTr="001934B7">
        <w:trPr>
          <w:cantSplit/>
          <w:jc w:val="center"/>
        </w:trPr>
        <w:tc>
          <w:tcPr>
            <w:tcW w:w="666" w:type="dxa"/>
            <w:tcBorders>
              <w:top w:val="nil"/>
              <w:left w:val="single" w:sz="4" w:space="0" w:color="auto"/>
              <w:bottom w:val="single" w:sz="4" w:space="0" w:color="auto"/>
              <w:right w:val="single" w:sz="4" w:space="0" w:color="auto"/>
            </w:tcBorders>
            <w:noWrap/>
            <w:hideMark/>
          </w:tcPr>
          <w:p w:rsidR="002761BA" w:rsidRDefault="002761BA" w:rsidP="001934B7">
            <w:pPr>
              <w:jc w:val="left"/>
              <w:rPr>
                <w:rFonts w:cs="Arial"/>
                <w:color w:val="000000"/>
                <w:sz w:val="16"/>
                <w:szCs w:val="16"/>
              </w:rPr>
            </w:pPr>
            <w:r>
              <w:rPr>
                <w:rFonts w:cs="Arial"/>
                <w:color w:val="000000"/>
                <w:sz w:val="16"/>
                <w:szCs w:val="16"/>
              </w:rPr>
              <w:t>ZA</w:t>
            </w:r>
          </w:p>
        </w:tc>
        <w:tc>
          <w:tcPr>
            <w:tcW w:w="591" w:type="dxa"/>
            <w:tcBorders>
              <w:top w:val="nil"/>
              <w:left w:val="nil"/>
              <w:bottom w:val="single" w:sz="4" w:space="0" w:color="auto"/>
              <w:right w:val="single" w:sz="4" w:space="0" w:color="auto"/>
            </w:tcBorders>
            <w:hideMark/>
          </w:tcPr>
          <w:p w:rsidR="002761BA" w:rsidRDefault="002761BA" w:rsidP="001934B7">
            <w:pPr>
              <w:jc w:val="left"/>
              <w:rPr>
                <w:rFonts w:cs="Arial"/>
                <w:color w:val="000000"/>
                <w:sz w:val="16"/>
                <w:szCs w:val="16"/>
              </w:rPr>
            </w:pPr>
            <w:r>
              <w:rPr>
                <w:rFonts w:cs="Arial"/>
                <w:color w:val="000000"/>
                <w:sz w:val="16"/>
                <w:szCs w:val="16"/>
              </w:rPr>
              <w:t>TWA</w:t>
            </w:r>
          </w:p>
        </w:tc>
        <w:tc>
          <w:tcPr>
            <w:tcW w:w="1489"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TG/93/4(proj.5)</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Groundnut</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Arachide</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Erdnuß</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Cacahuete, Maní</w:t>
            </w:r>
          </w:p>
        </w:tc>
        <w:tc>
          <w:tcPr>
            <w:tcW w:w="1936"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Arachis L.</w:t>
            </w:r>
          </w:p>
        </w:tc>
      </w:tr>
      <w:tr w:rsidR="002761BA" w:rsidTr="001934B7">
        <w:trPr>
          <w:cantSplit/>
          <w:jc w:val="center"/>
        </w:trPr>
        <w:tc>
          <w:tcPr>
            <w:tcW w:w="666" w:type="dxa"/>
            <w:tcBorders>
              <w:top w:val="nil"/>
              <w:left w:val="single" w:sz="4" w:space="0" w:color="auto"/>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HU</w:t>
            </w:r>
          </w:p>
        </w:tc>
        <w:tc>
          <w:tcPr>
            <w:tcW w:w="591"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TWV</w:t>
            </w:r>
          </w:p>
        </w:tc>
        <w:tc>
          <w:tcPr>
            <w:tcW w:w="1489"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 xml:space="preserve">TG/166/4(proj.6) </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Opium/Seed Poppy</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OEillette, Pavot</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Mohn, Schlafmohn</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Adormidera, Amapola, Opio</w:t>
            </w:r>
          </w:p>
        </w:tc>
        <w:tc>
          <w:tcPr>
            <w:tcW w:w="1936"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Papaver somniferum L.</w:t>
            </w:r>
          </w:p>
        </w:tc>
      </w:tr>
      <w:tr w:rsidR="002761BA" w:rsidTr="001934B7">
        <w:trPr>
          <w:cantSplit/>
          <w:jc w:val="center"/>
        </w:trPr>
        <w:tc>
          <w:tcPr>
            <w:tcW w:w="666" w:type="dxa"/>
            <w:tcBorders>
              <w:top w:val="nil"/>
              <w:left w:val="single" w:sz="4" w:space="0" w:color="auto"/>
              <w:bottom w:val="single" w:sz="4" w:space="0" w:color="auto"/>
              <w:right w:val="single" w:sz="4" w:space="0" w:color="auto"/>
            </w:tcBorders>
            <w:noWrap/>
            <w:hideMark/>
          </w:tcPr>
          <w:p w:rsidR="002761BA" w:rsidRDefault="002761BA" w:rsidP="001934B7">
            <w:pPr>
              <w:jc w:val="left"/>
              <w:rPr>
                <w:rFonts w:cs="Arial"/>
                <w:sz w:val="16"/>
                <w:szCs w:val="16"/>
              </w:rPr>
            </w:pPr>
            <w:r>
              <w:rPr>
                <w:rFonts w:cs="Arial"/>
                <w:sz w:val="16"/>
                <w:szCs w:val="16"/>
              </w:rPr>
              <w:t>DE</w:t>
            </w:r>
          </w:p>
        </w:tc>
        <w:tc>
          <w:tcPr>
            <w:tcW w:w="591"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TWF</w:t>
            </w:r>
          </w:p>
        </w:tc>
        <w:tc>
          <w:tcPr>
            <w:tcW w:w="1489"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TG/187/2(proj.4)</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Prunus Rootstocks</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Porte-greffes de Prunus</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Prunus-Unterlagen</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Portainjertos de prunus</w:t>
            </w:r>
          </w:p>
        </w:tc>
        <w:tc>
          <w:tcPr>
            <w:tcW w:w="1936"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Prunus L.</w:t>
            </w:r>
          </w:p>
        </w:tc>
      </w:tr>
      <w:tr w:rsidR="002761BA" w:rsidTr="001934B7">
        <w:trPr>
          <w:cantSplit/>
          <w:jc w:val="center"/>
        </w:trPr>
        <w:tc>
          <w:tcPr>
            <w:tcW w:w="666" w:type="dxa"/>
            <w:tcBorders>
              <w:top w:val="nil"/>
              <w:left w:val="single" w:sz="4" w:space="0" w:color="auto"/>
              <w:bottom w:val="single" w:sz="4" w:space="0" w:color="auto"/>
              <w:right w:val="single" w:sz="4" w:space="0" w:color="auto"/>
            </w:tcBorders>
            <w:noWrap/>
            <w:hideMark/>
          </w:tcPr>
          <w:p w:rsidR="002761BA" w:rsidRDefault="002761BA" w:rsidP="001934B7">
            <w:pPr>
              <w:jc w:val="left"/>
              <w:rPr>
                <w:rFonts w:cs="Arial"/>
                <w:sz w:val="16"/>
                <w:szCs w:val="16"/>
              </w:rPr>
            </w:pPr>
            <w:r>
              <w:rPr>
                <w:rFonts w:cs="Arial"/>
                <w:sz w:val="16"/>
                <w:szCs w:val="16"/>
              </w:rPr>
              <w:t>NL</w:t>
            </w:r>
          </w:p>
        </w:tc>
        <w:tc>
          <w:tcPr>
            <w:tcW w:w="591"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TWV</w:t>
            </w:r>
          </w:p>
        </w:tc>
        <w:tc>
          <w:tcPr>
            <w:tcW w:w="1489"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TG/198/2(proj.4)</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Chives, Asatsuki</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Ciboulette, Civette</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Schnittlauch</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Cebollino</w:t>
            </w:r>
          </w:p>
        </w:tc>
        <w:tc>
          <w:tcPr>
            <w:tcW w:w="1936" w:type="dxa"/>
            <w:tcBorders>
              <w:top w:val="nil"/>
              <w:left w:val="nil"/>
              <w:bottom w:val="single" w:sz="4" w:space="0" w:color="auto"/>
              <w:right w:val="single" w:sz="4" w:space="0" w:color="auto"/>
            </w:tcBorders>
            <w:hideMark/>
          </w:tcPr>
          <w:p w:rsidR="002761BA" w:rsidRDefault="002761BA" w:rsidP="001934B7">
            <w:pPr>
              <w:jc w:val="left"/>
              <w:rPr>
                <w:rFonts w:cs="Arial"/>
                <w:sz w:val="16"/>
                <w:szCs w:val="16"/>
              </w:rPr>
            </w:pPr>
            <w:r>
              <w:rPr>
                <w:rFonts w:cs="Arial"/>
                <w:sz w:val="16"/>
                <w:szCs w:val="16"/>
              </w:rPr>
              <w:t>Allium schoenoprasum L.</w:t>
            </w:r>
          </w:p>
        </w:tc>
      </w:tr>
      <w:tr w:rsidR="002761BA" w:rsidRPr="002865AC" w:rsidTr="001934B7">
        <w:trPr>
          <w:cantSplit/>
          <w:jc w:val="center"/>
        </w:trPr>
        <w:tc>
          <w:tcPr>
            <w:tcW w:w="10348" w:type="dxa"/>
            <w:gridSpan w:val="8"/>
            <w:tcBorders>
              <w:top w:val="nil"/>
              <w:left w:val="single" w:sz="4" w:space="0" w:color="auto"/>
              <w:bottom w:val="single" w:sz="4" w:space="0" w:color="auto"/>
              <w:right w:val="single" w:sz="4" w:space="0" w:color="auto"/>
            </w:tcBorders>
            <w:hideMark/>
          </w:tcPr>
          <w:p w:rsidR="002761BA" w:rsidRDefault="002761BA" w:rsidP="001934B7">
            <w:pPr>
              <w:keepNext/>
              <w:spacing w:before="120" w:after="120"/>
              <w:jc w:val="left"/>
              <w:rPr>
                <w:rFonts w:eastAsia="MS Mincho" w:cs="Arial"/>
                <w:bCs/>
                <w:sz w:val="16"/>
                <w:szCs w:val="16"/>
                <w:u w:val="single"/>
                <w:lang w:val="fr-FR" w:eastAsia="ja-JP"/>
              </w:rPr>
            </w:pPr>
            <w:r>
              <w:rPr>
                <w:rFonts w:cs="Arial"/>
                <w:bCs/>
                <w:sz w:val="16"/>
                <w:szCs w:val="16"/>
                <w:u w:val="single"/>
                <w:lang w:val="fr-FR"/>
              </w:rPr>
              <w:t xml:space="preserve">PARTIAL REVISIONS OF TEST GUIDELINES / </w:t>
            </w:r>
            <w:r>
              <w:rPr>
                <w:rFonts w:cs="Arial"/>
                <w:sz w:val="16"/>
                <w:szCs w:val="16"/>
                <w:u w:val="single"/>
                <w:lang w:val="fr-FR"/>
              </w:rPr>
              <w:t>RÉVISIONS PARTIELLES DE PRINCIPES DIRECTEURS D’EXAMEN ADOPTÉS /</w:t>
            </w:r>
            <w:r>
              <w:rPr>
                <w:rFonts w:cs="Arial"/>
                <w:sz w:val="16"/>
                <w:szCs w:val="16"/>
                <w:u w:val="single"/>
                <w:lang w:val="fr-FR"/>
              </w:rPr>
              <w:br/>
              <w:t>TEILREVISIONEN ANGENOMMENER PRÜFUNGSRICHTLINIEN / REVISIONES PARCIALES DE DIRECTRICES DE EXAMEN ADOPTADAS</w:t>
            </w:r>
          </w:p>
        </w:tc>
      </w:tr>
      <w:tr w:rsidR="002761BA" w:rsidTr="001934B7">
        <w:trPr>
          <w:cantSplit/>
          <w:jc w:val="center"/>
        </w:trPr>
        <w:tc>
          <w:tcPr>
            <w:tcW w:w="666" w:type="dxa"/>
            <w:tcBorders>
              <w:top w:val="nil"/>
              <w:left w:val="single" w:sz="4" w:space="0" w:color="auto"/>
              <w:bottom w:val="single" w:sz="4" w:space="0" w:color="auto"/>
              <w:right w:val="single" w:sz="4" w:space="0" w:color="auto"/>
            </w:tcBorders>
            <w:hideMark/>
          </w:tcPr>
          <w:p w:rsidR="002761BA" w:rsidRDefault="002761BA" w:rsidP="001934B7">
            <w:pPr>
              <w:jc w:val="left"/>
              <w:rPr>
                <w:rFonts w:cs="Arial"/>
                <w:sz w:val="16"/>
              </w:rPr>
            </w:pPr>
            <w:r>
              <w:rPr>
                <w:rFonts w:cs="Arial"/>
                <w:sz w:val="16"/>
              </w:rPr>
              <w:t>FR</w:t>
            </w:r>
          </w:p>
        </w:tc>
        <w:tc>
          <w:tcPr>
            <w:tcW w:w="591"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TG/7/10 and document TC/50/32</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Pea</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Pois</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Erbse</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Guisante, Arveja</w:t>
            </w:r>
          </w:p>
        </w:tc>
        <w:tc>
          <w:tcPr>
            <w:tcW w:w="1936"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Pisum sativum L.</w:t>
            </w:r>
          </w:p>
        </w:tc>
      </w:tr>
      <w:tr w:rsidR="002761BA" w:rsidTr="001934B7">
        <w:trPr>
          <w:cantSplit/>
          <w:jc w:val="center"/>
        </w:trPr>
        <w:tc>
          <w:tcPr>
            <w:tcW w:w="666" w:type="dxa"/>
            <w:tcBorders>
              <w:top w:val="nil"/>
              <w:left w:val="single" w:sz="4" w:space="0" w:color="auto"/>
              <w:bottom w:val="single" w:sz="4" w:space="0" w:color="auto"/>
              <w:right w:val="single" w:sz="4" w:space="0" w:color="auto"/>
            </w:tcBorders>
            <w:noWrap/>
            <w:hideMark/>
          </w:tcPr>
          <w:p w:rsidR="002761BA" w:rsidRDefault="002761BA" w:rsidP="001934B7">
            <w:pPr>
              <w:jc w:val="left"/>
              <w:rPr>
                <w:rFonts w:cs="Arial"/>
                <w:sz w:val="16"/>
              </w:rPr>
            </w:pPr>
            <w:r>
              <w:rPr>
                <w:rFonts w:cs="Arial"/>
                <w:sz w:val="16"/>
              </w:rPr>
              <w:t>FR</w:t>
            </w:r>
          </w:p>
        </w:tc>
        <w:tc>
          <w:tcPr>
            <w:tcW w:w="591"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TWF</w:t>
            </w:r>
          </w:p>
        </w:tc>
        <w:tc>
          <w:tcPr>
            <w:tcW w:w="1489"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TG/53/7 and documents TC/50/33,</w:t>
            </w:r>
          </w:p>
          <w:p w:rsidR="002761BA" w:rsidRDefault="002761BA" w:rsidP="001934B7">
            <w:pPr>
              <w:jc w:val="left"/>
              <w:rPr>
                <w:rFonts w:cs="Arial"/>
                <w:sz w:val="16"/>
              </w:rPr>
            </w:pPr>
            <w:r>
              <w:rPr>
                <w:rFonts w:cs="Arial"/>
                <w:sz w:val="16"/>
              </w:rPr>
              <w:t>TG/53/7 Rev. (proj.1)</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Peach</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Pêcher</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Pfirsich</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Durazno, Melocotonero</w:t>
            </w:r>
          </w:p>
        </w:tc>
        <w:tc>
          <w:tcPr>
            <w:tcW w:w="1936"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lang w:val="es-ES"/>
              </w:rPr>
              <w:t xml:space="preserve">Prunus persica (L.) Batsch, Persica vulgaris Mill., Prunus L. subg. </w:t>
            </w:r>
            <w:r>
              <w:rPr>
                <w:rFonts w:cs="Arial"/>
                <w:sz w:val="16"/>
              </w:rPr>
              <w:t>Persica</w:t>
            </w:r>
          </w:p>
        </w:tc>
      </w:tr>
      <w:tr w:rsidR="002761BA" w:rsidTr="001934B7">
        <w:trPr>
          <w:cantSplit/>
          <w:jc w:val="center"/>
        </w:trPr>
        <w:tc>
          <w:tcPr>
            <w:tcW w:w="666" w:type="dxa"/>
            <w:tcBorders>
              <w:top w:val="nil"/>
              <w:left w:val="single" w:sz="4" w:space="0" w:color="auto"/>
              <w:bottom w:val="single" w:sz="4" w:space="0" w:color="auto"/>
              <w:right w:val="single" w:sz="4" w:space="0" w:color="auto"/>
            </w:tcBorders>
            <w:noWrap/>
            <w:hideMark/>
          </w:tcPr>
          <w:p w:rsidR="002761BA" w:rsidRDefault="002761BA" w:rsidP="001934B7">
            <w:pPr>
              <w:jc w:val="left"/>
              <w:rPr>
                <w:rFonts w:cs="Arial"/>
                <w:sz w:val="16"/>
              </w:rPr>
            </w:pPr>
            <w:r>
              <w:rPr>
                <w:rFonts w:cs="Arial"/>
                <w:sz w:val="16"/>
              </w:rPr>
              <w:t>NL/FR</w:t>
            </w:r>
          </w:p>
        </w:tc>
        <w:tc>
          <w:tcPr>
            <w:tcW w:w="591"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TG/61/7 and document TC/50/30</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Cucumber, Gherkin</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Concombre, Cornichon</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Gurke</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Pepino, Pepinillo</w:t>
            </w:r>
          </w:p>
        </w:tc>
        <w:tc>
          <w:tcPr>
            <w:tcW w:w="1936"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Cucumis sativus L.</w:t>
            </w:r>
          </w:p>
        </w:tc>
      </w:tr>
      <w:tr w:rsidR="002761BA" w:rsidTr="001934B7">
        <w:trPr>
          <w:cantSplit/>
          <w:jc w:val="center"/>
        </w:trPr>
        <w:tc>
          <w:tcPr>
            <w:tcW w:w="666" w:type="dxa"/>
            <w:tcBorders>
              <w:top w:val="nil"/>
              <w:left w:val="single" w:sz="4" w:space="0" w:color="auto"/>
              <w:bottom w:val="single" w:sz="4" w:space="0" w:color="auto"/>
              <w:right w:val="single" w:sz="4" w:space="0" w:color="auto"/>
            </w:tcBorders>
            <w:noWrap/>
            <w:hideMark/>
          </w:tcPr>
          <w:p w:rsidR="002761BA" w:rsidRDefault="002761BA" w:rsidP="001934B7">
            <w:pPr>
              <w:jc w:val="left"/>
              <w:rPr>
                <w:rFonts w:cs="Arial"/>
                <w:sz w:val="16"/>
              </w:rPr>
            </w:pPr>
            <w:r>
              <w:rPr>
                <w:rFonts w:cs="Arial"/>
                <w:sz w:val="16"/>
              </w:rPr>
              <w:t>NL/FR</w:t>
            </w:r>
          </w:p>
        </w:tc>
        <w:tc>
          <w:tcPr>
            <w:tcW w:w="591"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TWV</w:t>
            </w:r>
          </w:p>
        </w:tc>
        <w:tc>
          <w:tcPr>
            <w:tcW w:w="1489"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TG/104/5 and document TC/50/31</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Melon</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Melon</w:t>
            </w:r>
          </w:p>
        </w:tc>
        <w:tc>
          <w:tcPr>
            <w:tcW w:w="1416"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Melone</w:t>
            </w:r>
          </w:p>
        </w:tc>
        <w:tc>
          <w:tcPr>
            <w:tcW w:w="1417"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Melón</w:t>
            </w:r>
          </w:p>
        </w:tc>
        <w:tc>
          <w:tcPr>
            <w:tcW w:w="1936" w:type="dxa"/>
            <w:tcBorders>
              <w:top w:val="nil"/>
              <w:left w:val="nil"/>
              <w:bottom w:val="single" w:sz="4" w:space="0" w:color="auto"/>
              <w:right w:val="single" w:sz="4" w:space="0" w:color="auto"/>
            </w:tcBorders>
            <w:hideMark/>
          </w:tcPr>
          <w:p w:rsidR="002761BA" w:rsidRDefault="002761BA" w:rsidP="001934B7">
            <w:pPr>
              <w:jc w:val="left"/>
              <w:rPr>
                <w:rFonts w:cs="Arial"/>
                <w:sz w:val="16"/>
              </w:rPr>
            </w:pPr>
            <w:r>
              <w:rPr>
                <w:rFonts w:cs="Arial"/>
                <w:sz w:val="16"/>
              </w:rPr>
              <w:t>Cucumis melo L.</w:t>
            </w:r>
          </w:p>
        </w:tc>
      </w:tr>
    </w:tbl>
    <w:p w:rsidR="002761BA" w:rsidRDefault="002761BA" w:rsidP="002761BA">
      <w:pPr>
        <w:rPr>
          <w:rFonts w:cs="Arial"/>
        </w:rPr>
      </w:pPr>
    </w:p>
    <w:p w:rsidR="00F046AC" w:rsidRDefault="00F046AC" w:rsidP="002761BA">
      <w:pPr>
        <w:rPr>
          <w:rFonts w:cs="Arial"/>
        </w:rPr>
      </w:pPr>
    </w:p>
    <w:p w:rsidR="002761BA" w:rsidRPr="002761BA" w:rsidRDefault="00F046AC" w:rsidP="002761BA">
      <w:pPr>
        <w:rPr>
          <w:lang w:eastAsia="en-US" w:bidi="ar-SA"/>
        </w:rPr>
      </w:pPr>
      <w:r w:rsidRPr="00896790">
        <w:rPr>
          <w:snapToGrid w:val="0"/>
        </w:rPr>
        <w:fldChar w:fldCharType="begin"/>
      </w:r>
      <w:r w:rsidRPr="00896790">
        <w:rPr>
          <w:snapToGrid w:val="0"/>
        </w:rPr>
        <w:instrText xml:space="preserve"> AUTONUM  </w:instrText>
      </w:r>
      <w:r w:rsidRPr="00896790">
        <w:rPr>
          <w:snapToGrid w:val="0"/>
        </w:rPr>
        <w:fldChar w:fldCharType="end"/>
      </w:r>
      <w:r>
        <w:tab/>
      </w:r>
      <w:r w:rsidR="002761BA" w:rsidRPr="002761BA">
        <w:rPr>
          <w:snapToGrid w:val="0"/>
          <w:lang w:eastAsia="en-US" w:bidi="ar-SA"/>
        </w:rPr>
        <w:t>Die UPOV hat 301 Prüfungsrichtlinien angenommen, die alle frei verfügbar auf der UPOV-Website sind (</w:t>
      </w:r>
      <w:hyperlink r:id="rId10" w:history="1">
        <w:r w:rsidR="002761BA" w:rsidRPr="002761BA">
          <w:rPr>
            <w:snapToGrid w:val="0"/>
            <w:color w:val="0000FF"/>
            <w:u w:val="single"/>
            <w:lang w:eastAsia="en-US" w:bidi="ar-SA"/>
          </w:rPr>
          <w:t>http://www.upov.int/test_guidelines/de/</w:t>
        </w:r>
      </w:hyperlink>
      <w:r w:rsidR="002761BA" w:rsidRPr="002761BA">
        <w:rPr>
          <w:snapToGrid w:val="0"/>
          <w:lang w:eastAsia="en-US" w:bidi="ar-SA"/>
        </w:rPr>
        <w:t>)</w:t>
      </w:r>
    </w:p>
    <w:p w:rsidR="002761BA" w:rsidRPr="002761BA" w:rsidRDefault="002761BA" w:rsidP="002761BA">
      <w:pPr>
        <w:rPr>
          <w:rFonts w:cs="Arial"/>
          <w:lang w:eastAsia="en-US" w:bidi="ar-SA"/>
        </w:rPr>
      </w:pPr>
    </w:p>
    <w:p w:rsidR="002761BA" w:rsidRPr="002761BA" w:rsidRDefault="002761BA" w:rsidP="002761BA">
      <w:pPr>
        <w:rPr>
          <w:lang w:eastAsia="en-US" w:bidi="ar-SA"/>
        </w:rPr>
      </w:pPr>
      <w:r w:rsidRPr="002761BA">
        <w:rPr>
          <w:rFonts w:cs="Arial"/>
          <w:lang w:val="en-US" w:eastAsia="en-US" w:bidi="ar-SA"/>
        </w:rPr>
        <w:fldChar w:fldCharType="begin"/>
      </w:r>
      <w:r w:rsidRPr="002761BA">
        <w:rPr>
          <w:rFonts w:cs="Arial"/>
          <w:lang w:eastAsia="en-US" w:bidi="ar-SA"/>
        </w:rPr>
        <w:instrText xml:space="preserve"> AUTONUM  </w:instrText>
      </w:r>
      <w:r w:rsidRPr="002761BA">
        <w:rPr>
          <w:rFonts w:cs="Arial"/>
          <w:lang w:val="en-US" w:eastAsia="en-US" w:bidi="ar-SA"/>
        </w:rPr>
        <w:fldChar w:fldCharType="end"/>
      </w:r>
      <w:r w:rsidRPr="002761BA">
        <w:rPr>
          <w:rFonts w:cs="Arial"/>
          <w:lang w:eastAsia="en-US" w:bidi="ar-SA"/>
        </w:rPr>
        <w:tab/>
        <w:t xml:space="preserve">In bezug auf die Prüfungsrichtlinien für Pfirsich (Dokumente TC/50/33 und TG/53/7 Rev.(proj.1)) nahm der TC die Prüfungsrichtlinien </w:t>
      </w:r>
      <w:r w:rsidRPr="002761BA">
        <w:rPr>
          <w:lang w:eastAsia="en-US" w:bidi="ar-SA"/>
        </w:rPr>
        <w:t>vorbehaltlich der Billigung der folgenden Punkte durch die TWF auf ihrer fünfundvierzigsten Tagung, wie in Anlage II dieses Berichtes dargelegt, an:</w:t>
      </w:r>
    </w:p>
    <w:p w:rsidR="002761BA" w:rsidRPr="002761BA" w:rsidRDefault="002761BA" w:rsidP="002761BA">
      <w:pPr>
        <w:rPr>
          <w:lang w:eastAsia="en-US" w:bidi="ar-SA"/>
        </w:rPr>
      </w:pPr>
    </w:p>
    <w:p w:rsidR="002761BA" w:rsidRPr="002761BA" w:rsidRDefault="002761BA" w:rsidP="002761BA">
      <w:pPr>
        <w:keepNext/>
        <w:numPr>
          <w:ilvl w:val="0"/>
          <w:numId w:val="1"/>
        </w:numPr>
        <w:ind w:left="714" w:hanging="357"/>
        <w:contextualSpacing/>
        <w:jc w:val="left"/>
        <w:rPr>
          <w:rFonts w:cs="Arial"/>
          <w:lang w:eastAsia="en-US" w:bidi="ar-SA"/>
        </w:rPr>
      </w:pPr>
      <w:r w:rsidRPr="002761BA">
        <w:rPr>
          <w:rFonts w:cs="Arial"/>
          <w:lang w:eastAsia="en-US" w:bidi="ar-SA"/>
        </w:rPr>
        <w:t xml:space="preserve">Gruppierungsmerkmale </w:t>
      </w:r>
    </w:p>
    <w:p w:rsidR="002761BA" w:rsidRPr="002761BA" w:rsidRDefault="002761BA" w:rsidP="002761BA">
      <w:pPr>
        <w:keepNext/>
        <w:numPr>
          <w:ilvl w:val="0"/>
          <w:numId w:val="1"/>
        </w:numPr>
        <w:ind w:left="714" w:hanging="357"/>
        <w:contextualSpacing/>
        <w:jc w:val="left"/>
        <w:rPr>
          <w:rFonts w:cs="Arial"/>
          <w:bCs/>
          <w:snapToGrid w:val="0"/>
          <w:color w:val="000000"/>
          <w:lang w:eastAsia="en-US" w:bidi="ar-SA"/>
        </w:rPr>
      </w:pPr>
      <w:r w:rsidRPr="002761BA">
        <w:rPr>
          <w:rFonts w:cs="Arial"/>
          <w:bCs/>
          <w:snapToGrid w:val="0"/>
          <w:color w:val="000000"/>
          <w:lang w:eastAsia="en-US" w:bidi="ar-SA"/>
        </w:rPr>
        <w:t>Streichung von „Frucht: Fleischtyp“ aus TQ 5 (in TQ 7.3 verschieben).</w:t>
      </w:r>
    </w:p>
    <w:p w:rsidR="002761BA" w:rsidRPr="002761BA" w:rsidRDefault="002761BA" w:rsidP="002761BA">
      <w:pPr>
        <w:keepNext/>
        <w:numPr>
          <w:ilvl w:val="0"/>
          <w:numId w:val="1"/>
        </w:numPr>
        <w:ind w:left="714" w:hanging="357"/>
        <w:contextualSpacing/>
        <w:jc w:val="left"/>
        <w:rPr>
          <w:rFonts w:cs="Arial"/>
          <w:lang w:eastAsia="en-US" w:bidi="ar-SA"/>
        </w:rPr>
      </w:pPr>
      <w:r w:rsidRPr="002761BA">
        <w:rPr>
          <w:rFonts w:cs="Arial"/>
          <w:bCs/>
          <w:snapToGrid w:val="0"/>
          <w:color w:val="000000"/>
          <w:lang w:eastAsia="en-US" w:bidi="ar-SA"/>
        </w:rPr>
        <w:t>Änderung der Erfassungsmethode für Merkmale 56 und 59</w:t>
      </w:r>
    </w:p>
    <w:p w:rsidR="002761BA" w:rsidRPr="002761BA" w:rsidRDefault="002761BA" w:rsidP="002761BA">
      <w:pPr>
        <w:rPr>
          <w:rFonts w:cs="Arial"/>
          <w:lang w:eastAsia="en-US" w:bidi="ar-SA"/>
        </w:rPr>
      </w:pPr>
    </w:p>
    <w:p w:rsidR="002761BA" w:rsidRPr="002761BA" w:rsidRDefault="002761BA" w:rsidP="002761BA">
      <w:pPr>
        <w:rPr>
          <w:lang w:eastAsia="en-US" w:bidi="ar-SA"/>
        </w:rPr>
      </w:pPr>
      <w:r w:rsidRPr="002761BA">
        <w:rPr>
          <w:rFonts w:cs="Arial"/>
          <w:lang w:val="en-US" w:eastAsia="en-US" w:bidi="ar-SA"/>
        </w:rPr>
        <w:fldChar w:fldCharType="begin"/>
      </w:r>
      <w:r w:rsidRPr="002761BA">
        <w:rPr>
          <w:rFonts w:cs="Arial"/>
          <w:lang w:eastAsia="en-US" w:bidi="ar-SA"/>
        </w:rPr>
        <w:instrText xml:space="preserve"> AUTONUM  </w:instrText>
      </w:r>
      <w:r w:rsidRPr="002761BA">
        <w:rPr>
          <w:rFonts w:cs="Arial"/>
          <w:lang w:val="en-US" w:eastAsia="en-US" w:bidi="ar-SA"/>
        </w:rPr>
        <w:fldChar w:fldCharType="end"/>
      </w:r>
      <w:r w:rsidRPr="002761BA">
        <w:rPr>
          <w:rFonts w:cs="Arial"/>
          <w:lang w:eastAsia="en-US" w:bidi="ar-SA"/>
        </w:rPr>
        <w:tab/>
        <w:t xml:space="preserve">Der TC nahm die Prüfungsrichtlinien für Vanille </w:t>
      </w:r>
      <w:r w:rsidRPr="002761BA">
        <w:rPr>
          <w:lang w:eastAsia="en-US" w:bidi="ar-SA"/>
        </w:rPr>
        <w:t>vorbehaltlich der Billigung der Hinzufügung von Sternchen zu Merkmalen 5, 7, 11, 14, 21 durch die TWF auf dem Schriftweg, wie in Anlage II dieses Berichts dargelegt, an.</w:t>
      </w:r>
    </w:p>
    <w:p w:rsidR="002761BA" w:rsidRPr="002761BA" w:rsidRDefault="002761BA" w:rsidP="002761BA">
      <w:pPr>
        <w:rPr>
          <w:lang w:eastAsia="en-US" w:bidi="ar-SA"/>
        </w:rPr>
      </w:pPr>
    </w:p>
    <w:p w:rsidR="002761BA" w:rsidRPr="002761BA" w:rsidRDefault="002761BA" w:rsidP="005D2FEA">
      <w:pPr>
        <w:spacing w:after="240"/>
        <w:rPr>
          <w:rFonts w:cs="Arial"/>
          <w:lang w:eastAsia="en-US" w:bidi="ar-SA"/>
        </w:rPr>
      </w:pPr>
      <w:r w:rsidRPr="002761BA">
        <w:rPr>
          <w:rFonts w:cs="Arial"/>
          <w:lang w:val="en-US" w:eastAsia="en-US" w:bidi="ar-SA"/>
        </w:rPr>
        <w:fldChar w:fldCharType="begin"/>
      </w:r>
      <w:r w:rsidRPr="002761BA">
        <w:rPr>
          <w:rFonts w:cs="Arial"/>
          <w:lang w:eastAsia="en-US" w:bidi="ar-SA"/>
        </w:rPr>
        <w:instrText xml:space="preserve"> AUTONUM  </w:instrText>
      </w:r>
      <w:r w:rsidRPr="002761BA">
        <w:rPr>
          <w:rFonts w:cs="Arial"/>
          <w:lang w:val="en-US" w:eastAsia="en-US" w:bidi="ar-SA"/>
        </w:rPr>
        <w:fldChar w:fldCharType="end"/>
      </w:r>
      <w:r w:rsidRPr="002761BA">
        <w:rPr>
          <w:rFonts w:cs="Arial"/>
          <w:lang w:eastAsia="en-US" w:bidi="ar-SA"/>
        </w:rPr>
        <w:tab/>
        <w:t>Der TC nahm zur Kenntnis, daß der führende Sachverständige, Herr Hennie Venter (Südafrika) nach Rücksprache mit der Vorsitzenden der TWF, darum gebeten hatte, daß der Entwurf für die Prüfungsrichtlinien für Apfel-Unterlagen (</w:t>
      </w:r>
      <w:r w:rsidRPr="002761BA">
        <w:rPr>
          <w:rFonts w:cs="Arial"/>
          <w:i/>
          <w:iCs/>
          <w:lang w:eastAsia="en-US" w:bidi="ar-SA"/>
        </w:rPr>
        <w:t>Malus</w:t>
      </w:r>
      <w:r w:rsidRPr="002761BA">
        <w:rPr>
          <w:rFonts w:cs="Arial"/>
          <w:lang w:eastAsia="en-US" w:bidi="ar-SA"/>
        </w:rPr>
        <w:t xml:space="preserve"> Mill.) von der TWF auf ihrer fünfundvierzigsten Tagung nochmals erörtert werde, um den Vorschlägen betreffend Beispielsorten</w:t>
      </w:r>
      <w:r w:rsidRPr="002761BA">
        <w:rPr>
          <w:lang w:eastAsia="en-US" w:bidi="ar-SA"/>
        </w:rPr>
        <w:t xml:space="preserve">, wie in Anlage II dieses Berichts dargelegt, </w:t>
      </w:r>
      <w:r w:rsidRPr="002761BA">
        <w:rPr>
          <w:rFonts w:cs="Arial"/>
          <w:lang w:eastAsia="en-US" w:bidi="ar-SA"/>
        </w:rPr>
        <w:t>zuzustimmen.</w:t>
      </w:r>
    </w:p>
    <w:p w:rsidR="002761BA" w:rsidRPr="002761BA" w:rsidRDefault="002761BA" w:rsidP="002761BA">
      <w:pPr>
        <w:rPr>
          <w:rFonts w:cs="Arial"/>
          <w:lang w:eastAsia="en-US" w:bidi="ar-SA"/>
        </w:rPr>
      </w:pPr>
      <w:r w:rsidRPr="002761BA">
        <w:rPr>
          <w:rFonts w:cs="Arial"/>
          <w:lang w:val="en-US" w:eastAsia="en-US" w:bidi="ar-SA"/>
        </w:rPr>
        <w:lastRenderedPageBreak/>
        <w:fldChar w:fldCharType="begin"/>
      </w:r>
      <w:r w:rsidRPr="002761BA">
        <w:rPr>
          <w:rFonts w:cs="Arial"/>
          <w:lang w:eastAsia="en-US" w:bidi="ar-SA"/>
        </w:rPr>
        <w:instrText xml:space="preserve"> AUTONUM  </w:instrText>
      </w:r>
      <w:r w:rsidRPr="002761BA">
        <w:rPr>
          <w:rFonts w:cs="Arial"/>
          <w:lang w:val="en-US" w:eastAsia="en-US" w:bidi="ar-SA"/>
        </w:rPr>
        <w:fldChar w:fldCharType="end"/>
      </w:r>
      <w:r w:rsidRPr="002761BA">
        <w:rPr>
          <w:rFonts w:cs="Arial"/>
          <w:lang w:eastAsia="en-US" w:bidi="ar-SA"/>
        </w:rPr>
        <w:tab/>
        <w:t>Der TC vereinbarte, die TWP davon in Kenntnis zu setzen, daß es hilfreich wäre, wenn der führende Sachverständige während der Tagungen des TC-EDC per E-mail kontaktiert werden könnte, um kleinere Fragen zu klären.</w:t>
      </w:r>
    </w:p>
    <w:p w:rsidR="002761BA" w:rsidRPr="002761BA" w:rsidRDefault="002761BA" w:rsidP="002761BA">
      <w:pPr>
        <w:rPr>
          <w:rFonts w:cs="Arial"/>
          <w:lang w:eastAsia="en-US" w:bidi="ar-SA"/>
        </w:rPr>
      </w:pPr>
    </w:p>
    <w:p w:rsidR="002761BA" w:rsidRPr="002761BA" w:rsidRDefault="002761BA" w:rsidP="00E94695">
      <w:pPr>
        <w:pStyle w:val="Heading4"/>
        <w:rPr>
          <w:i w:val="0"/>
          <w:lang w:eastAsia="en-US" w:bidi="ar-SA"/>
        </w:rPr>
      </w:pPr>
      <w:r w:rsidRPr="002761BA">
        <w:rPr>
          <w:i w:val="0"/>
          <w:lang w:eastAsia="en-US" w:bidi="ar-SA"/>
        </w:rPr>
        <w:t>Berichtigungen an Prüfungsrichtlinien</w:t>
      </w:r>
    </w:p>
    <w:p w:rsidR="002761BA" w:rsidRPr="002761BA" w:rsidRDefault="002761BA" w:rsidP="002761BA">
      <w:pPr>
        <w:keepNext/>
        <w:outlineLvl w:val="0"/>
        <w:rPr>
          <w:rFonts w:ascii="ArialMT" w:eastAsia="MS Mincho" w:hAnsi="ArialMT" w:cs="ArialMT"/>
          <w:lang w:eastAsia="ja-JP" w:bidi="ar-SA"/>
        </w:rPr>
      </w:pPr>
    </w:p>
    <w:p w:rsidR="002761BA" w:rsidRPr="002761BA" w:rsidRDefault="002761BA" w:rsidP="002761BA">
      <w:pPr>
        <w:rPr>
          <w:lang w:eastAsia="en-US" w:bidi="ar-SA"/>
        </w:rPr>
      </w:pPr>
      <w:r w:rsidRPr="002761BA">
        <w:rPr>
          <w:lang w:val="en-US" w:eastAsia="en-US" w:bidi="ar-SA"/>
        </w:rPr>
        <w:fldChar w:fldCharType="begin"/>
      </w:r>
      <w:r w:rsidRPr="002761BA">
        <w:rPr>
          <w:lang w:eastAsia="en-US" w:bidi="ar-SA"/>
        </w:rPr>
        <w:instrText xml:space="preserve"> AUTONUM  </w:instrText>
      </w:r>
      <w:r w:rsidRPr="002761BA">
        <w:rPr>
          <w:lang w:val="en-US" w:eastAsia="en-US" w:bidi="ar-SA"/>
        </w:rPr>
        <w:fldChar w:fldCharType="end"/>
      </w:r>
      <w:r w:rsidRPr="002761BA">
        <w:rPr>
          <w:lang w:eastAsia="en-US" w:bidi="ar-SA"/>
        </w:rPr>
        <w:tab/>
        <w:t>Der TC nahm die aufgrund von Dokument TC/50/34 an den angenommenen Prüfungsrichtlinien für Grünkohl (Dokument TG/90/6), Tomatenunterlagen (Dokument TG/294/1) und Agapanthus, Schmucklilie (Dokument TG/266/1 Rev.) vorgenommenen Berichtigungen zur Kenntnis.</w:t>
      </w:r>
    </w:p>
    <w:p w:rsidR="002761BA" w:rsidRPr="002761BA" w:rsidRDefault="002761BA" w:rsidP="005D2FEA">
      <w:pPr>
        <w:spacing w:line="480" w:lineRule="auto"/>
        <w:outlineLvl w:val="0"/>
        <w:rPr>
          <w:lang w:eastAsia="en-US" w:bidi="ar-SA"/>
        </w:rPr>
      </w:pPr>
    </w:p>
    <w:p w:rsidR="002761BA" w:rsidRPr="002761BA" w:rsidRDefault="002761BA" w:rsidP="00B4666D">
      <w:pPr>
        <w:pStyle w:val="Heading2"/>
        <w:rPr>
          <w:i/>
          <w:lang w:eastAsia="en-US" w:bidi="ar-SA"/>
        </w:rPr>
      </w:pPr>
      <w:bookmarkStart w:id="204" w:name="_Toc395605407"/>
      <w:r w:rsidRPr="002761BA">
        <w:rPr>
          <w:i/>
          <w:lang w:eastAsia="en-US" w:bidi="ar-SA"/>
        </w:rPr>
        <w:t>Von den Technischen Arbeitsgruppen im Jahr 2013 behandelte Entwürfe für Prüfungsrichtlinien</w:t>
      </w:r>
      <w:bookmarkEnd w:id="204"/>
    </w:p>
    <w:p w:rsidR="002761BA" w:rsidRPr="002761BA" w:rsidRDefault="002761BA" w:rsidP="002761BA">
      <w:pPr>
        <w:keepNext/>
        <w:rPr>
          <w:lang w:eastAsia="en-US" w:bidi="ar-SA"/>
        </w:rPr>
      </w:pPr>
    </w:p>
    <w:p w:rsidR="002761BA" w:rsidRPr="002761BA" w:rsidRDefault="002761BA" w:rsidP="002761BA">
      <w:pPr>
        <w:rPr>
          <w:lang w:eastAsia="en-US" w:bidi="ar-SA"/>
        </w:rPr>
      </w:pPr>
      <w:r w:rsidRPr="002761BA">
        <w:rPr>
          <w:lang w:val="en-US" w:eastAsia="en-US" w:bidi="ar-SA"/>
        </w:rPr>
        <w:fldChar w:fldCharType="begin"/>
      </w:r>
      <w:r w:rsidRPr="002761BA">
        <w:rPr>
          <w:lang w:eastAsia="en-US" w:bidi="ar-SA"/>
        </w:rPr>
        <w:instrText xml:space="preserve"> AUTONUM  </w:instrText>
      </w:r>
      <w:r w:rsidRPr="002761BA">
        <w:rPr>
          <w:lang w:val="en-US" w:eastAsia="en-US" w:bidi="ar-SA"/>
        </w:rPr>
        <w:fldChar w:fldCharType="end"/>
      </w:r>
      <w:r w:rsidRPr="002761BA">
        <w:rPr>
          <w:lang w:eastAsia="en-US" w:bidi="ar-SA"/>
        </w:rPr>
        <w:tab/>
        <w:t>Der TC nahm die von den Technischen Arbeitsgruppen auf ihren Tagungen im Jahr 2013 behandelten Entwürfe für Prüfungsrichtlinien, wie in Anlage II von Dokument TC/50/2 dargelegt, zur Kenntnis.</w:t>
      </w:r>
    </w:p>
    <w:p w:rsidR="002761BA" w:rsidRPr="002761BA" w:rsidRDefault="002761BA" w:rsidP="005D2FEA">
      <w:pPr>
        <w:spacing w:line="480" w:lineRule="auto"/>
        <w:rPr>
          <w:lang w:eastAsia="en-US" w:bidi="ar-SA"/>
        </w:rPr>
      </w:pPr>
    </w:p>
    <w:p w:rsidR="002761BA" w:rsidRPr="002761BA" w:rsidRDefault="002761BA" w:rsidP="00B4666D">
      <w:pPr>
        <w:pStyle w:val="Heading2"/>
        <w:rPr>
          <w:i/>
          <w:lang w:eastAsia="en-US" w:bidi="ar-SA"/>
        </w:rPr>
      </w:pPr>
      <w:bookmarkStart w:id="205" w:name="_Toc395605408"/>
      <w:r w:rsidRPr="002761BA">
        <w:rPr>
          <w:i/>
          <w:lang w:eastAsia="en-US" w:bidi="ar-SA"/>
        </w:rPr>
        <w:t>Von den Technischen Arbeitsgruppen im Jahr 2014 zu behandelnde Entwürfe für Prüfungsrichtlinien</w:t>
      </w:r>
      <w:bookmarkEnd w:id="205"/>
    </w:p>
    <w:p w:rsidR="002761BA" w:rsidRPr="002761BA" w:rsidRDefault="002761BA" w:rsidP="002761BA">
      <w:pPr>
        <w:keepNext/>
        <w:tabs>
          <w:tab w:val="left" w:pos="567"/>
        </w:tabs>
        <w:ind w:left="567" w:hanging="567"/>
        <w:outlineLvl w:val="0"/>
        <w:rPr>
          <w:rFonts w:cs="Arial"/>
          <w:lang w:eastAsia="en-US" w:bidi="ar-SA"/>
        </w:rPr>
      </w:pPr>
    </w:p>
    <w:p w:rsidR="002761BA" w:rsidRPr="002761BA" w:rsidRDefault="002761BA" w:rsidP="002761BA">
      <w:pPr>
        <w:rPr>
          <w:rFonts w:cs="Arial"/>
          <w:lang w:eastAsia="en-US" w:bidi="ar-SA"/>
        </w:rPr>
      </w:pPr>
      <w:r w:rsidRPr="002761BA">
        <w:rPr>
          <w:lang w:val="en-US" w:eastAsia="en-US" w:bidi="ar-SA"/>
        </w:rPr>
        <w:fldChar w:fldCharType="begin"/>
      </w:r>
      <w:r w:rsidRPr="002761BA">
        <w:rPr>
          <w:lang w:eastAsia="en-US" w:bidi="ar-SA"/>
        </w:rPr>
        <w:instrText xml:space="preserve"> AUTONUM  </w:instrText>
      </w:r>
      <w:r w:rsidRPr="002761BA">
        <w:rPr>
          <w:lang w:val="en-US" w:eastAsia="en-US" w:bidi="ar-SA"/>
        </w:rPr>
        <w:fldChar w:fldCharType="end"/>
      </w:r>
      <w:r w:rsidRPr="002761BA">
        <w:rPr>
          <w:lang w:eastAsia="en-US" w:bidi="ar-SA"/>
        </w:rPr>
        <w:tab/>
        <w:t>Der TC vereinbarte</w:t>
      </w:r>
      <w:r w:rsidRPr="002761BA">
        <w:rPr>
          <w:rFonts w:cs="Arial"/>
          <w:lang w:eastAsia="en-US" w:bidi="ar-SA"/>
        </w:rPr>
        <w:t xml:space="preserve"> das Programm für die Entwicklung neuer Prüfungsrichtlinien und für die Überarbeitung von Prüfungsrichtlinien, wie in Anlage III von Dokument TC/50/2 gezeigt, vorbehaltlich der Aufnahme der Teilüberarbeitung der Prüfungsrichtlinien für Spinat (Dokument TG/55/7 Rev. 2).</w:t>
      </w:r>
    </w:p>
    <w:p w:rsidR="002761BA" w:rsidRPr="002761BA" w:rsidRDefault="002761BA" w:rsidP="002761BA">
      <w:pPr>
        <w:rPr>
          <w:rFonts w:cs="Arial"/>
          <w:lang w:eastAsia="en-US" w:bidi="ar-SA"/>
        </w:rPr>
      </w:pPr>
    </w:p>
    <w:p w:rsidR="002761BA" w:rsidRPr="002761BA" w:rsidRDefault="002761BA" w:rsidP="002761BA">
      <w:pPr>
        <w:rPr>
          <w:rFonts w:cs="Arial"/>
          <w:lang w:eastAsia="en-US" w:bidi="ar-SA"/>
        </w:rPr>
      </w:pPr>
      <w:r w:rsidRPr="002761BA">
        <w:rPr>
          <w:rFonts w:cs="Arial"/>
          <w:lang w:val="en-US" w:eastAsia="en-US" w:bidi="ar-SA"/>
        </w:rPr>
        <w:fldChar w:fldCharType="begin"/>
      </w:r>
      <w:r w:rsidRPr="002761BA">
        <w:rPr>
          <w:rFonts w:cs="Arial"/>
          <w:lang w:eastAsia="en-US" w:bidi="ar-SA"/>
        </w:rPr>
        <w:instrText xml:space="preserve"> AUTONUM  </w:instrText>
      </w:r>
      <w:r w:rsidRPr="002761BA">
        <w:rPr>
          <w:rFonts w:cs="Arial"/>
          <w:lang w:val="en-US" w:eastAsia="en-US" w:bidi="ar-SA"/>
        </w:rPr>
        <w:fldChar w:fldCharType="end"/>
      </w:r>
      <w:r w:rsidRPr="002761BA">
        <w:rPr>
          <w:rFonts w:cs="Arial"/>
          <w:lang w:eastAsia="en-US" w:bidi="ar-SA"/>
        </w:rPr>
        <w:tab/>
        <w:t>Der TC nahm Stand der bestehenden Prüfungsrichtlinien, wie in Anlage IV des Dokuments TC/50/2 aufgeführt, zur Kenntnis.</w:t>
      </w:r>
    </w:p>
    <w:p w:rsidR="002761BA" w:rsidRPr="002761BA" w:rsidRDefault="002761BA" w:rsidP="005D2FEA">
      <w:pPr>
        <w:spacing w:line="480" w:lineRule="auto"/>
        <w:rPr>
          <w:lang w:eastAsia="en-US" w:bidi="ar-SA"/>
        </w:rPr>
      </w:pPr>
    </w:p>
    <w:p w:rsidR="002761BA" w:rsidRPr="002761BA" w:rsidRDefault="002761BA" w:rsidP="00B4666D">
      <w:pPr>
        <w:pStyle w:val="Heading2"/>
        <w:rPr>
          <w:i/>
          <w:lang w:eastAsia="en-US" w:bidi="ar-SA"/>
        </w:rPr>
      </w:pPr>
      <w:bookmarkStart w:id="206" w:name="_Toc395605409"/>
      <w:r w:rsidRPr="002761BA">
        <w:rPr>
          <w:rFonts w:cs="Arial"/>
          <w:i/>
          <w:lang w:eastAsia="en-US" w:bidi="ar-SA"/>
        </w:rPr>
        <w:t>Prüfungsrichtlinien auf der UPOV-Website</w:t>
      </w:r>
      <w:bookmarkEnd w:id="206"/>
    </w:p>
    <w:p w:rsidR="002761BA" w:rsidRPr="002761BA" w:rsidRDefault="002761BA" w:rsidP="002761BA">
      <w:pPr>
        <w:keepNext/>
        <w:tabs>
          <w:tab w:val="center" w:pos="4820"/>
          <w:tab w:val="center" w:pos="5245"/>
        </w:tabs>
        <w:jc w:val="left"/>
        <w:rPr>
          <w:rFonts w:cs="Arial"/>
          <w:u w:val="single"/>
          <w:lang w:eastAsia="en-US" w:bidi="ar-SA"/>
        </w:rPr>
      </w:pPr>
    </w:p>
    <w:p w:rsidR="002761BA" w:rsidRPr="00B73E0B" w:rsidRDefault="002761BA" w:rsidP="00E94695">
      <w:pPr>
        <w:pStyle w:val="Heading4"/>
        <w:rPr>
          <w:rFonts w:eastAsia="MS Mincho"/>
          <w:i w:val="0"/>
          <w:lang w:eastAsia="en-US" w:bidi="ar-SA"/>
        </w:rPr>
      </w:pPr>
      <w:bookmarkStart w:id="207" w:name="_Toc395605410"/>
      <w:r w:rsidRPr="00B73E0B">
        <w:rPr>
          <w:rFonts w:eastAsia="MS Mincho"/>
          <w:i w:val="0"/>
          <w:lang w:eastAsia="en-US" w:bidi="ar-SA"/>
        </w:rPr>
        <w:t>Frühere Fassungen angenommener Prüfungsrichtlinien</w:t>
      </w:r>
      <w:bookmarkEnd w:id="207"/>
      <w:r w:rsidRPr="00B73E0B">
        <w:rPr>
          <w:rFonts w:eastAsia="MS Mincho"/>
          <w:i w:val="0"/>
          <w:lang w:eastAsia="en-US" w:bidi="ar-SA"/>
        </w:rPr>
        <w:t xml:space="preserve"> </w:t>
      </w:r>
    </w:p>
    <w:p w:rsidR="002761BA" w:rsidRPr="002761BA" w:rsidRDefault="002761BA" w:rsidP="002761BA">
      <w:pPr>
        <w:rPr>
          <w:lang w:eastAsia="en-US" w:bidi="ar-SA"/>
        </w:rPr>
      </w:pPr>
    </w:p>
    <w:p w:rsidR="002761BA" w:rsidRPr="002761BA" w:rsidRDefault="002761BA" w:rsidP="002761BA">
      <w:pPr>
        <w:rPr>
          <w:lang w:eastAsia="en-US" w:bidi="ar-SA"/>
        </w:rPr>
      </w:pPr>
      <w:r w:rsidRPr="002761BA">
        <w:rPr>
          <w:lang w:val="en-US" w:eastAsia="en-US" w:bidi="ar-SA"/>
        </w:rPr>
        <w:fldChar w:fldCharType="begin"/>
      </w:r>
      <w:r w:rsidRPr="002761BA">
        <w:rPr>
          <w:lang w:eastAsia="en-US" w:bidi="ar-SA"/>
        </w:rPr>
        <w:instrText xml:space="preserve"> AUTONUM  </w:instrText>
      </w:r>
      <w:r w:rsidRPr="002761BA">
        <w:rPr>
          <w:lang w:val="en-US" w:eastAsia="en-US" w:bidi="ar-SA"/>
        </w:rPr>
        <w:fldChar w:fldCharType="end"/>
      </w:r>
      <w:r w:rsidRPr="002761BA">
        <w:rPr>
          <w:lang w:eastAsia="en-US" w:bidi="ar-SA"/>
        </w:rPr>
        <w:tab/>
        <w:t>Der TC nahm die Liste früherer Fassungen von Prüfungsrichtlinien, wie in Dokument TC/50/2, Anlage V dargelegt, zur Kenntnis.</w:t>
      </w:r>
    </w:p>
    <w:p w:rsidR="002761BA" w:rsidRPr="002761BA" w:rsidRDefault="002761BA" w:rsidP="002761BA">
      <w:pPr>
        <w:rPr>
          <w:lang w:eastAsia="en-US" w:bidi="ar-SA"/>
        </w:rPr>
      </w:pPr>
    </w:p>
    <w:p w:rsidR="002761BA" w:rsidRPr="002761BA" w:rsidRDefault="002761BA" w:rsidP="002761BA">
      <w:pPr>
        <w:rPr>
          <w:lang w:eastAsia="en-US" w:bidi="ar-SA"/>
        </w:rPr>
      </w:pPr>
      <w:r w:rsidRPr="002761BA">
        <w:rPr>
          <w:lang w:val="en-US" w:eastAsia="en-US" w:bidi="ar-SA"/>
        </w:rPr>
        <w:fldChar w:fldCharType="begin"/>
      </w:r>
      <w:r w:rsidRPr="002761BA">
        <w:rPr>
          <w:lang w:eastAsia="en-US" w:bidi="ar-SA"/>
        </w:rPr>
        <w:instrText xml:space="preserve"> AUTONUM  </w:instrText>
      </w:r>
      <w:r w:rsidRPr="002761BA">
        <w:rPr>
          <w:lang w:val="en-US" w:eastAsia="en-US" w:bidi="ar-SA"/>
        </w:rPr>
        <w:fldChar w:fldCharType="end"/>
      </w:r>
      <w:r w:rsidRPr="002761BA">
        <w:rPr>
          <w:lang w:eastAsia="en-US" w:bidi="ar-SA"/>
        </w:rPr>
        <w:tab/>
        <w:t>Der TC nahm zur Kenntnis, daß Informationen zum Datum der Annahme von Prüfungsrichtlinien auf der UPOV-Website verfügbar gemacht wurden.</w:t>
      </w:r>
    </w:p>
    <w:p w:rsidR="002761BA" w:rsidRPr="002761BA" w:rsidRDefault="002761BA" w:rsidP="002761BA">
      <w:pPr>
        <w:rPr>
          <w:lang w:eastAsia="en-US" w:bidi="ar-SA"/>
        </w:rPr>
      </w:pPr>
    </w:p>
    <w:p w:rsidR="00F046AC" w:rsidRPr="00924DBD" w:rsidRDefault="002761BA" w:rsidP="002761BA">
      <w:pPr>
        <w:rPr>
          <w:szCs w:val="24"/>
        </w:rPr>
      </w:pPr>
      <w:r w:rsidRPr="002761BA">
        <w:rPr>
          <w:rFonts w:cs="Arial"/>
          <w:lang w:val="en-US" w:eastAsia="en-US" w:bidi="ar-SA"/>
        </w:rPr>
        <w:fldChar w:fldCharType="begin"/>
      </w:r>
      <w:r w:rsidRPr="002761BA">
        <w:rPr>
          <w:rFonts w:cs="Arial"/>
          <w:lang w:eastAsia="en-US" w:bidi="ar-SA"/>
        </w:rPr>
        <w:instrText xml:space="preserve"> AUTONUM  </w:instrText>
      </w:r>
      <w:r w:rsidRPr="002761BA">
        <w:rPr>
          <w:rFonts w:cs="Arial"/>
          <w:lang w:val="en-US" w:eastAsia="en-US" w:bidi="ar-SA"/>
        </w:rPr>
        <w:fldChar w:fldCharType="end"/>
      </w:r>
      <w:r w:rsidRPr="002761BA">
        <w:rPr>
          <w:rFonts w:cs="Arial"/>
          <w:lang w:eastAsia="en-US" w:bidi="ar-SA"/>
        </w:rPr>
        <w:tab/>
        <w:t>Der TC billigte das Deckblatt und den Ort ersetzter Fassungen von Prüfungsrichtlinien auf der UPOV-Website, wie in Dokument TC/50/2, Absätze 22 und 23, dargelegt.</w:t>
      </w:r>
    </w:p>
    <w:p w:rsidR="00F046AC" w:rsidRDefault="00F046AC" w:rsidP="00F046AC">
      <w:pPr>
        <w:spacing w:line="360" w:lineRule="auto"/>
        <w:rPr>
          <w:szCs w:val="24"/>
        </w:rPr>
      </w:pPr>
    </w:p>
    <w:p w:rsidR="006F0A60" w:rsidRPr="00E546E5" w:rsidRDefault="006F0A60" w:rsidP="006F0A60">
      <w:pPr>
        <w:keepNext/>
        <w:ind w:left="567"/>
        <w:rPr>
          <w:i/>
        </w:rPr>
      </w:pPr>
      <w:r w:rsidRPr="00E546E5">
        <w:rPr>
          <w:i/>
        </w:rPr>
        <w:t>Anleitung für Verfasser von Prüfungsrichtlinien</w:t>
      </w:r>
    </w:p>
    <w:p w:rsidR="006F0A60" w:rsidRPr="00E546E5" w:rsidRDefault="006F0A60" w:rsidP="006F0A60">
      <w:pPr>
        <w:keepNext/>
        <w:rPr>
          <w:szCs w:val="24"/>
        </w:rPr>
      </w:pPr>
    </w:p>
    <w:p w:rsidR="006F0A60" w:rsidRPr="00355C9A" w:rsidRDefault="006F0A60" w:rsidP="006F0A60">
      <w:r w:rsidRPr="00AC492D">
        <w:fldChar w:fldCharType="begin"/>
      </w:r>
      <w:r w:rsidRPr="00355C9A">
        <w:instrText xml:space="preserve"> AUTONUM  </w:instrText>
      </w:r>
      <w:r w:rsidRPr="00AC492D">
        <w:fldChar w:fldCharType="end"/>
      </w:r>
      <w:r w:rsidRPr="00355C9A">
        <w:tab/>
        <w:t xml:space="preserve">Der TC nahm zur Kenntnis, daß </w:t>
      </w:r>
      <w:r>
        <w:t xml:space="preserve">die </w:t>
      </w:r>
      <w:r w:rsidRPr="008D670E">
        <w:t xml:space="preserve">Bereitstellung von praktischer Anleitung zur Verwendung </w:t>
      </w:r>
      <w:r>
        <w:rPr>
          <w:snapToGrid w:val="0"/>
        </w:rPr>
        <w:t>der</w:t>
      </w:r>
      <w:r w:rsidRPr="00355C9A">
        <w:rPr>
          <w:snapToGrid w:val="0"/>
        </w:rPr>
        <w:t xml:space="preserve"> </w:t>
      </w:r>
      <w:r>
        <w:rPr>
          <w:rFonts w:cs="Arial"/>
        </w:rPr>
        <w:t>webbasierten</w:t>
      </w:r>
      <w:r w:rsidRPr="00355C9A">
        <w:rPr>
          <w:rFonts w:cs="Arial"/>
        </w:rPr>
        <w:t xml:space="preserve"> </w:t>
      </w:r>
      <w:r w:rsidRPr="00355C9A">
        <w:rPr>
          <w:snapToGrid w:val="0"/>
        </w:rPr>
        <w:t>TG</w:t>
      </w:r>
      <w:r>
        <w:rPr>
          <w:snapToGrid w:val="0"/>
        </w:rPr>
        <w:t>-</w:t>
      </w:r>
      <w:r w:rsidRPr="00355C9A">
        <w:rPr>
          <w:snapToGrid w:val="0"/>
        </w:rPr>
        <w:t xml:space="preserve">Mustervorlage für Prüfungsrichtlinien in Dokument TC/50/3 </w:t>
      </w:r>
      <w:r>
        <w:rPr>
          <w:snapToGrid w:val="0"/>
        </w:rPr>
        <w:t>„</w:t>
      </w:r>
      <w:r w:rsidRPr="00355C9A">
        <w:rPr>
          <w:snapToGrid w:val="0"/>
        </w:rPr>
        <w:t>Von den Technischen Arbeitsgruppen vorgebrachte Fragen</w:t>
      </w:r>
      <w:r>
        <w:t>“</w:t>
      </w:r>
      <w:r>
        <w:rPr>
          <w:snapToGrid w:val="0"/>
        </w:rPr>
        <w:t>, geprüft wurde</w:t>
      </w:r>
      <w:r w:rsidRPr="00355C9A">
        <w:t>.</w:t>
      </w:r>
    </w:p>
    <w:p w:rsidR="006F0A60" w:rsidRPr="00355C9A" w:rsidRDefault="006F0A60" w:rsidP="006F0A60"/>
    <w:p w:rsidR="006F0A60" w:rsidRPr="007A327B" w:rsidRDefault="006F0A60" w:rsidP="006F0A60">
      <w:r>
        <w:rPr>
          <w:rFonts w:cs="Arial"/>
        </w:rPr>
        <w:fldChar w:fldCharType="begin"/>
      </w:r>
      <w:r w:rsidRPr="007A327B">
        <w:rPr>
          <w:rFonts w:cs="Arial"/>
        </w:rPr>
        <w:instrText xml:space="preserve"> AUTONUM  </w:instrText>
      </w:r>
      <w:r>
        <w:rPr>
          <w:rFonts w:cs="Arial"/>
        </w:rPr>
        <w:fldChar w:fldCharType="end"/>
      </w:r>
      <w:r w:rsidRPr="007A327B">
        <w:rPr>
          <w:rFonts w:cs="Arial"/>
        </w:rPr>
        <w:tab/>
        <w:t>Der TC nahm zur Kenntnis, daß</w:t>
      </w:r>
      <w:r>
        <w:rPr>
          <w:rFonts w:cs="Arial"/>
        </w:rPr>
        <w:t xml:space="preserve"> ein Bericht</w:t>
      </w:r>
      <w:r w:rsidRPr="007A327B">
        <w:rPr>
          <w:rFonts w:cs="Arial"/>
        </w:rPr>
        <w:t xml:space="preserve"> </w:t>
      </w:r>
      <w:r>
        <w:rPr>
          <w:rFonts w:cs="Arial"/>
        </w:rPr>
        <w:t>über die Entwicklung</w:t>
      </w:r>
      <w:r w:rsidRPr="007A327B">
        <w:rPr>
          <w:rFonts w:cs="Arial"/>
        </w:rPr>
        <w:t xml:space="preserve"> </w:t>
      </w:r>
      <w:r>
        <w:rPr>
          <w:rFonts w:cs="Arial"/>
        </w:rPr>
        <w:t xml:space="preserve">einer webbasierten </w:t>
      </w:r>
      <w:r w:rsidRPr="00355C9A">
        <w:rPr>
          <w:snapToGrid w:val="0"/>
        </w:rPr>
        <w:t>TG</w:t>
      </w:r>
      <w:r>
        <w:rPr>
          <w:snapToGrid w:val="0"/>
        </w:rPr>
        <w:t>-</w:t>
      </w:r>
      <w:r w:rsidRPr="00355C9A">
        <w:rPr>
          <w:snapToGrid w:val="0"/>
        </w:rPr>
        <w:t xml:space="preserve">Mustervorlage </w:t>
      </w:r>
      <w:r>
        <w:rPr>
          <w:snapToGrid w:val="0"/>
        </w:rPr>
        <w:t>in Dokument TC/50/10 „</w:t>
      </w:r>
      <w:r w:rsidRPr="008B17DA">
        <w:rPr>
          <w:rFonts w:cs="Arial"/>
        </w:rPr>
        <w:t>Bericht über die Entwicklungen in der UPOV, u. a. die auf den letzten Tagungen des Verwaltungs- und Rechtsausschusses, des Beratenden Ausschusses und des Rates erörterten wichtigen Angelegenheiten</w:t>
      </w:r>
      <w:r>
        <w:rPr>
          <w:rFonts w:cs="Arial"/>
        </w:rPr>
        <w:t>“, geprüft wurde</w:t>
      </w:r>
      <w:r w:rsidRPr="007A327B">
        <w:t>.</w:t>
      </w:r>
    </w:p>
    <w:p w:rsidR="006F0A60" w:rsidRPr="007A327B" w:rsidRDefault="006F0A60" w:rsidP="006F0A60"/>
    <w:p w:rsidR="00F046AC" w:rsidRPr="00E423D0" w:rsidRDefault="006F0A60" w:rsidP="00F046AC">
      <w:r>
        <w:fldChar w:fldCharType="begin"/>
      </w:r>
      <w:r w:rsidRPr="008B17DA">
        <w:instrText xml:space="preserve"> AUTONUM  </w:instrText>
      </w:r>
      <w:r>
        <w:fldChar w:fldCharType="end"/>
      </w:r>
      <w:r w:rsidRPr="008B17DA">
        <w:tab/>
        <w:t>Der TC nahm die Bedeutung eine</w:t>
      </w:r>
      <w:r>
        <w:t>s</w:t>
      </w:r>
      <w:r w:rsidRPr="008B17DA">
        <w:t xml:space="preserve"> </w:t>
      </w:r>
      <w:r>
        <w:t>harmonisierten</w:t>
      </w:r>
      <w:r w:rsidRPr="008B17DA">
        <w:t xml:space="preserve"> </w:t>
      </w:r>
      <w:r>
        <w:t>Ansatzes</w:t>
      </w:r>
      <w:r w:rsidRPr="008B17DA">
        <w:t xml:space="preserve"> </w:t>
      </w:r>
      <w:r>
        <w:t>bei den</w:t>
      </w:r>
      <w:r w:rsidRPr="008B17DA">
        <w:t xml:space="preserve"> verschiedenen Prüfungsrichtlinien</w:t>
      </w:r>
      <w:r>
        <w:t xml:space="preserve"> für die Berücksichtigung der Prüfung der Homogenität</w:t>
      </w:r>
      <w:r w:rsidRPr="008B17DA">
        <w:t xml:space="preserve"> </w:t>
      </w:r>
      <w:r>
        <w:t xml:space="preserve">die spezielle </w:t>
      </w:r>
      <w:r w:rsidRPr="008B17DA">
        <w:t xml:space="preserve">Frage </w:t>
      </w:r>
      <w:r>
        <w:t>von</w:t>
      </w:r>
      <w:r w:rsidRPr="008B17DA">
        <w:t xml:space="preserve"> </w:t>
      </w:r>
      <w:r>
        <w:t>fremdbefruchtenden Sorten</w:t>
      </w:r>
      <w:r w:rsidRPr="008B17DA">
        <w:t xml:space="preserve"> (relative </w:t>
      </w:r>
      <w:r>
        <w:t>Homogenitäts</w:t>
      </w:r>
      <w:r w:rsidRPr="008B17DA">
        <w:t>standard) zur Kenntnis.</w:t>
      </w:r>
      <w:r>
        <w:t xml:space="preserve"> Diese Angelegenheit wird</w:t>
      </w:r>
      <w:r w:rsidRPr="008B17DA">
        <w:t xml:space="preserve"> in TGP/7</w:t>
      </w:r>
      <w:r>
        <w:t xml:space="preserve"> behandelt</w:t>
      </w:r>
      <w:r w:rsidRPr="008B17DA">
        <w:t xml:space="preserve">, </w:t>
      </w:r>
      <w:r>
        <w:t>welches</w:t>
      </w:r>
      <w:r w:rsidRPr="008B17DA">
        <w:t xml:space="preserve"> noch nicht in Kraft war, als </w:t>
      </w:r>
      <w:r>
        <w:t>viele der bestehenden</w:t>
      </w:r>
      <w:r w:rsidRPr="008B17DA">
        <w:t xml:space="preserve"> Prüfungsrichtlinien </w:t>
      </w:r>
      <w:r>
        <w:t>angenommen wurden</w:t>
      </w:r>
      <w:r w:rsidRPr="008B17DA">
        <w:t xml:space="preserve">. </w:t>
      </w:r>
    </w:p>
    <w:p w:rsidR="00F046AC" w:rsidRDefault="00F046AC" w:rsidP="00F046AC"/>
    <w:p w:rsidR="005A2989" w:rsidRDefault="005A2989" w:rsidP="00F046AC"/>
    <w:p w:rsidR="00F046AC" w:rsidRDefault="006F0A60" w:rsidP="00B4666D">
      <w:pPr>
        <w:pStyle w:val="Heading2"/>
      </w:pPr>
      <w:bookmarkStart w:id="208" w:name="_Toc395605411"/>
      <w:bookmarkStart w:id="209" w:name="_Toc393187181"/>
      <w:r w:rsidRPr="008E31D5">
        <w:lastRenderedPageBreak/>
        <w:t>Liste der Gattungen und Arten, für die die Behörden über praktische Erfahrung bei der Prüfung der Unterscheidbarkeit, Homogenität und Beständigkeit verfügen</w:t>
      </w:r>
      <w:bookmarkEnd w:id="208"/>
      <w:r w:rsidRPr="008E31D5">
        <w:t xml:space="preserve"> </w:t>
      </w:r>
      <w:bookmarkEnd w:id="209"/>
    </w:p>
    <w:p w:rsidR="00F046AC" w:rsidRDefault="006F0A60" w:rsidP="005D2FEA">
      <w:pPr>
        <w:keepNext/>
      </w:pPr>
      <w:r>
        <w:t>(vergleiche Dok</w:t>
      </w:r>
      <w:r w:rsidR="005A2989">
        <w:t>ument TC/</w:t>
      </w:r>
      <w:r>
        <w:t>50/36 „Bericht über die Entschließungen”, Absatz</w:t>
      </w:r>
      <w:r w:rsidR="005A2989">
        <w:t xml:space="preserve"> 162)</w:t>
      </w:r>
    </w:p>
    <w:p w:rsidR="005A2989" w:rsidRDefault="005A2989" w:rsidP="005D2FEA">
      <w:pPr>
        <w:keepNext/>
      </w:pPr>
    </w:p>
    <w:p w:rsidR="006F0A60" w:rsidRPr="008E31D5" w:rsidRDefault="00F046AC" w:rsidP="006F0A60">
      <w:pPr>
        <w:rPr>
          <w:rFonts w:cs="Arial"/>
        </w:rPr>
      </w:pPr>
      <w:r>
        <w:fldChar w:fldCharType="begin"/>
      </w:r>
      <w:r>
        <w:instrText xml:space="preserve"> AUTONUM  </w:instrText>
      </w:r>
      <w:r>
        <w:fldChar w:fldCharType="end"/>
      </w:r>
      <w:r>
        <w:tab/>
      </w:r>
      <w:r w:rsidR="006F0A60" w:rsidRPr="008E31D5">
        <w:t xml:space="preserve">Der TC prüfte Dokument TC/50/4 und </w:t>
      </w:r>
      <w:r w:rsidR="006F0A60">
        <w:t>nahm zur Kenntnis, daß</w:t>
      </w:r>
      <w:r w:rsidR="006F0A60" w:rsidRPr="008E31D5">
        <w:t xml:space="preserve"> </w:t>
      </w:r>
      <w:r w:rsidR="006F0A60">
        <w:t>die</w:t>
      </w:r>
      <w:r w:rsidR="006F0A60" w:rsidRPr="008E31D5">
        <w:rPr>
          <w:color w:val="000000"/>
        </w:rPr>
        <w:t xml:space="preserve"> </w:t>
      </w:r>
      <w:r w:rsidR="006F0A60">
        <w:rPr>
          <w:color w:val="000000"/>
        </w:rPr>
        <w:t>Anzahl</w:t>
      </w:r>
      <w:r w:rsidR="006F0A60" w:rsidRPr="008E31D5">
        <w:rPr>
          <w:color w:val="000000"/>
        </w:rPr>
        <w:t xml:space="preserve"> der Gattungen und Arten, für die Verbandsmitglieder </w:t>
      </w:r>
      <w:r w:rsidR="006F0A60">
        <w:rPr>
          <w:color w:val="000000"/>
        </w:rPr>
        <w:t>ihre</w:t>
      </w:r>
      <w:r w:rsidR="006F0A60" w:rsidRPr="008E31D5">
        <w:rPr>
          <w:color w:val="000000"/>
        </w:rPr>
        <w:t xml:space="preserve"> praktische Erfahrung bei der Prüfung der Unterscheidbarkeit, Homogenität und Beständigkeit </w:t>
      </w:r>
      <w:r w:rsidR="006F0A60">
        <w:rPr>
          <w:color w:val="000000"/>
        </w:rPr>
        <w:t xml:space="preserve">angeben, von </w:t>
      </w:r>
      <w:r w:rsidR="006F0A60" w:rsidRPr="008E31D5">
        <w:rPr>
          <w:color w:val="000000"/>
        </w:rPr>
        <w:t>2</w:t>
      </w:r>
      <w:r w:rsidR="006F0A60">
        <w:rPr>
          <w:color w:val="000000"/>
        </w:rPr>
        <w:t>.</w:t>
      </w:r>
      <w:r w:rsidR="006F0A60" w:rsidRPr="008E31D5">
        <w:rPr>
          <w:color w:val="000000"/>
        </w:rPr>
        <w:t xml:space="preserve">589 </w:t>
      </w:r>
      <w:r w:rsidR="006F0A60">
        <w:rPr>
          <w:color w:val="000000"/>
        </w:rPr>
        <w:t>im Jahr 20</w:t>
      </w:r>
      <w:r w:rsidR="006F0A60" w:rsidRPr="008E31D5">
        <w:rPr>
          <w:color w:val="000000"/>
        </w:rPr>
        <w:t xml:space="preserve">13 </w:t>
      </w:r>
      <w:r w:rsidR="006F0A60">
        <w:rPr>
          <w:color w:val="000000"/>
        </w:rPr>
        <w:t>auf</w:t>
      </w:r>
      <w:r w:rsidR="006F0A60" w:rsidRPr="008E31D5">
        <w:rPr>
          <w:color w:val="000000"/>
        </w:rPr>
        <w:t xml:space="preserve"> 3</w:t>
      </w:r>
      <w:r w:rsidR="006F0A60">
        <w:rPr>
          <w:color w:val="000000"/>
        </w:rPr>
        <w:t>.</w:t>
      </w:r>
      <w:r w:rsidR="006F0A60" w:rsidRPr="008E31D5">
        <w:rPr>
          <w:color w:val="000000"/>
        </w:rPr>
        <w:t xml:space="preserve">305 </w:t>
      </w:r>
      <w:r w:rsidR="006F0A60">
        <w:rPr>
          <w:color w:val="000000"/>
        </w:rPr>
        <w:t>im Jahr 20</w:t>
      </w:r>
      <w:r w:rsidR="006F0A60" w:rsidRPr="008E31D5">
        <w:rPr>
          <w:color w:val="000000"/>
        </w:rPr>
        <w:t>14 (+ 27.7%)</w:t>
      </w:r>
      <w:r w:rsidR="006F0A60">
        <w:rPr>
          <w:color w:val="000000"/>
        </w:rPr>
        <w:t xml:space="preserve"> gestiegen ist</w:t>
      </w:r>
      <w:r w:rsidR="006F0A60" w:rsidRPr="008E31D5">
        <w:rPr>
          <w:color w:val="000000"/>
        </w:rPr>
        <w:t xml:space="preserve">. </w:t>
      </w:r>
      <w:r w:rsidR="006F0A60">
        <w:rPr>
          <w:color w:val="000000"/>
        </w:rPr>
        <w:t xml:space="preserve">Die </w:t>
      </w:r>
      <w:r w:rsidR="006F0A60" w:rsidRPr="008E31D5">
        <w:rPr>
          <w:color w:val="000000"/>
        </w:rPr>
        <w:t xml:space="preserve">Informationen über </w:t>
      </w:r>
      <w:r w:rsidR="006F0A60">
        <w:rPr>
          <w:color w:val="000000"/>
        </w:rPr>
        <w:t xml:space="preserve">Verbandsmitglieder mit </w:t>
      </w:r>
      <w:r w:rsidR="006F0A60" w:rsidRPr="008E31D5">
        <w:rPr>
          <w:color w:val="000000"/>
        </w:rPr>
        <w:t>praktische</w:t>
      </w:r>
      <w:r w:rsidR="006F0A60">
        <w:rPr>
          <w:color w:val="000000"/>
        </w:rPr>
        <w:t>r</w:t>
      </w:r>
      <w:r w:rsidR="006F0A60" w:rsidRPr="008E31D5">
        <w:rPr>
          <w:color w:val="000000"/>
        </w:rPr>
        <w:t xml:space="preserve"> Erfahrung bei der Prüfung der Unterscheidbarkeit, Homogenität und Beständigkeit </w:t>
      </w:r>
      <w:r w:rsidR="006F0A60">
        <w:rPr>
          <w:color w:val="000000"/>
        </w:rPr>
        <w:t>sind über</w:t>
      </w:r>
      <w:r w:rsidR="006F0A60" w:rsidRPr="008E31D5">
        <w:rPr>
          <w:color w:val="000000"/>
        </w:rPr>
        <w:t xml:space="preserve"> die GENIE-Datenbank </w:t>
      </w:r>
      <w:r w:rsidR="006F0A60">
        <w:rPr>
          <w:color w:val="000000"/>
        </w:rPr>
        <w:t xml:space="preserve">sind </w:t>
      </w:r>
      <w:r w:rsidR="006F0A60" w:rsidRPr="008E31D5">
        <w:rPr>
          <w:color w:val="000000"/>
        </w:rPr>
        <w:t>frei zugänglich.</w:t>
      </w:r>
    </w:p>
    <w:p w:rsidR="006F0A60" w:rsidRPr="008E31D5" w:rsidRDefault="006F0A60" w:rsidP="006F0A60"/>
    <w:p w:rsidR="006F0A60" w:rsidRPr="008E31D5" w:rsidRDefault="006F0A60" w:rsidP="006F0A60"/>
    <w:p w:rsidR="006F0A60" w:rsidRPr="00B56D9F" w:rsidRDefault="006F0A60" w:rsidP="006F0A60">
      <w:pPr>
        <w:rPr>
          <w:u w:val="single"/>
        </w:rPr>
      </w:pPr>
      <w:r w:rsidRPr="00B56D9F">
        <w:rPr>
          <w:u w:val="single"/>
        </w:rPr>
        <w:t>Vorsitzende</w:t>
      </w:r>
    </w:p>
    <w:p w:rsidR="006F0A60" w:rsidRPr="00B56D9F" w:rsidRDefault="006F0A60" w:rsidP="006F0A60"/>
    <w:p w:rsidR="006F0A60" w:rsidRPr="00FB1A8A" w:rsidRDefault="006F0A60" w:rsidP="006F0A60">
      <w:pPr>
        <w:autoSpaceDE w:val="0"/>
        <w:autoSpaceDN w:val="0"/>
        <w:rPr>
          <w:rFonts w:cs="Arial"/>
        </w:rPr>
      </w:pPr>
      <w:r w:rsidRPr="002865AC">
        <w:rPr>
          <w:rFonts w:cs="Arial"/>
        </w:rPr>
        <w:fldChar w:fldCharType="begin"/>
      </w:r>
      <w:r w:rsidRPr="00FB1A8A">
        <w:rPr>
          <w:rFonts w:cs="Arial"/>
        </w:rPr>
        <w:instrText xml:space="preserve"> AUTONUM  </w:instrText>
      </w:r>
      <w:r w:rsidRPr="002865AC">
        <w:rPr>
          <w:rFonts w:cs="Arial"/>
        </w:rPr>
        <w:fldChar w:fldCharType="end"/>
      </w:r>
      <w:r w:rsidRPr="00FB1A8A">
        <w:rPr>
          <w:rFonts w:cs="Arial"/>
        </w:rPr>
        <w:tab/>
        <w:t>Der TC vereinbarte, dem Rat die W</w:t>
      </w:r>
      <w:r>
        <w:rPr>
          <w:rFonts w:cs="Arial"/>
        </w:rPr>
        <w:t>ahl der folgenden nächsten</w:t>
      </w:r>
      <w:r w:rsidRPr="00FB1A8A">
        <w:rPr>
          <w:rFonts w:cs="Arial"/>
        </w:rPr>
        <w:t xml:space="preserve"> Vorsitzende</w:t>
      </w:r>
      <w:r>
        <w:rPr>
          <w:rFonts w:cs="Arial"/>
        </w:rPr>
        <w:t>n der</w:t>
      </w:r>
      <w:r w:rsidRPr="00FB1A8A">
        <w:rPr>
          <w:rFonts w:cs="Arial"/>
        </w:rPr>
        <w:t xml:space="preserve"> </w:t>
      </w:r>
      <w:r>
        <w:rPr>
          <w:rFonts w:cs="Arial"/>
        </w:rPr>
        <w:t>TWP</w:t>
      </w:r>
      <w:r w:rsidRPr="00FB1A8A">
        <w:rPr>
          <w:rFonts w:cs="Arial"/>
        </w:rPr>
        <w:t xml:space="preserve"> </w:t>
      </w:r>
      <w:r>
        <w:rPr>
          <w:rFonts w:cs="Arial"/>
        </w:rPr>
        <w:t>zu empfehlen</w:t>
      </w:r>
      <w:r w:rsidRPr="00FB1A8A">
        <w:rPr>
          <w:rFonts w:cs="Arial"/>
        </w:rPr>
        <w:t>:</w:t>
      </w:r>
    </w:p>
    <w:p w:rsidR="00F046AC" w:rsidRDefault="006F0A60" w:rsidP="00F046AC">
      <w:pPr>
        <w:autoSpaceDE w:val="0"/>
        <w:autoSpaceDN w:val="0"/>
      </w:pPr>
      <w:r>
        <w:t>(vergleiche Dokument TC/50/36 „Bericht über die Entschließungen”, Absatz</w:t>
      </w:r>
      <w:r w:rsidR="00F046AC">
        <w:t xml:space="preserve"> 163):</w:t>
      </w:r>
    </w:p>
    <w:p w:rsidR="006F0A60" w:rsidRPr="00FB1A8A" w:rsidRDefault="006F0A60" w:rsidP="006F0A60">
      <w:pPr>
        <w:autoSpaceDE w:val="0"/>
        <w:autoSpaceDN w:val="0"/>
        <w:rPr>
          <w:rFonts w:cs="Arial"/>
        </w:rPr>
      </w:pPr>
    </w:p>
    <w:tbl>
      <w:tblPr>
        <w:tblStyle w:val="TableGrid"/>
        <w:tblW w:w="0" w:type="auto"/>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993"/>
        <w:gridCol w:w="3827"/>
      </w:tblGrid>
      <w:tr w:rsidR="006F0A60" w:rsidRPr="00983F26" w:rsidTr="001934B7">
        <w:tc>
          <w:tcPr>
            <w:tcW w:w="993" w:type="dxa"/>
          </w:tcPr>
          <w:p w:rsidR="006F0A60" w:rsidRPr="00983F26" w:rsidRDefault="006F0A60" w:rsidP="001934B7">
            <w:pPr>
              <w:spacing w:before="120" w:after="120"/>
              <w:rPr>
                <w:rFonts w:cs="Arial"/>
                <w:snapToGrid w:val="0"/>
                <w:u w:val="single"/>
              </w:rPr>
            </w:pPr>
            <w:r w:rsidRPr="00983F26">
              <w:rPr>
                <w:rFonts w:cs="Arial"/>
                <w:snapToGrid w:val="0"/>
                <w:u w:val="single"/>
              </w:rPr>
              <w:t>TWP</w:t>
            </w:r>
          </w:p>
        </w:tc>
        <w:tc>
          <w:tcPr>
            <w:tcW w:w="3827" w:type="dxa"/>
          </w:tcPr>
          <w:p w:rsidR="006F0A60" w:rsidRPr="00983F26" w:rsidRDefault="006F0A60" w:rsidP="001934B7">
            <w:pPr>
              <w:spacing w:before="120" w:after="120"/>
              <w:rPr>
                <w:rFonts w:cs="Arial"/>
                <w:snapToGrid w:val="0"/>
                <w:u w:val="single"/>
              </w:rPr>
            </w:pPr>
            <w:r>
              <w:rPr>
                <w:rFonts w:cs="Arial"/>
                <w:snapToGrid w:val="0"/>
                <w:u w:val="single"/>
              </w:rPr>
              <w:t>Vorschlag</w:t>
            </w:r>
          </w:p>
        </w:tc>
      </w:tr>
      <w:tr w:rsidR="006F0A60" w:rsidRPr="00983F26" w:rsidTr="001934B7">
        <w:tc>
          <w:tcPr>
            <w:tcW w:w="993" w:type="dxa"/>
          </w:tcPr>
          <w:p w:rsidR="006F0A60" w:rsidRPr="00983F26" w:rsidRDefault="006F0A60" w:rsidP="001934B7">
            <w:pPr>
              <w:spacing w:before="120" w:after="120"/>
              <w:rPr>
                <w:rFonts w:cs="Arial"/>
                <w:snapToGrid w:val="0"/>
              </w:rPr>
            </w:pPr>
            <w:r w:rsidRPr="00983F26">
              <w:rPr>
                <w:rFonts w:cs="Arial"/>
                <w:snapToGrid w:val="0"/>
              </w:rPr>
              <w:t>TWA</w:t>
            </w:r>
          </w:p>
        </w:tc>
        <w:tc>
          <w:tcPr>
            <w:tcW w:w="3827" w:type="dxa"/>
          </w:tcPr>
          <w:p w:rsidR="006F0A60" w:rsidRPr="00983F26" w:rsidRDefault="006F0A60" w:rsidP="001934B7">
            <w:pPr>
              <w:spacing w:before="120" w:after="120"/>
              <w:rPr>
                <w:rFonts w:cs="Arial"/>
                <w:snapToGrid w:val="0"/>
              </w:rPr>
            </w:pPr>
            <w:r>
              <w:rPr>
                <w:rFonts w:cs="Arial"/>
                <w:snapToGrid w:val="0"/>
              </w:rPr>
              <w:t>Herr</w:t>
            </w:r>
            <w:r w:rsidRPr="00983F26">
              <w:rPr>
                <w:rFonts w:cs="Arial"/>
                <w:snapToGrid w:val="0"/>
              </w:rPr>
              <w:t xml:space="preserve"> </w:t>
            </w:r>
            <w:r>
              <w:rPr>
                <w:rFonts w:cs="Arial"/>
                <w:snapToGrid w:val="0"/>
              </w:rPr>
              <w:t>Tanvir Hossain (Australien)</w:t>
            </w:r>
          </w:p>
        </w:tc>
      </w:tr>
      <w:tr w:rsidR="006F0A60" w:rsidRPr="002764B2" w:rsidTr="001934B7">
        <w:tc>
          <w:tcPr>
            <w:tcW w:w="993" w:type="dxa"/>
          </w:tcPr>
          <w:p w:rsidR="006F0A60" w:rsidRPr="00983F26" w:rsidRDefault="006F0A60" w:rsidP="001934B7">
            <w:pPr>
              <w:spacing w:before="120" w:after="120"/>
              <w:rPr>
                <w:rFonts w:cs="Arial"/>
                <w:snapToGrid w:val="0"/>
              </w:rPr>
            </w:pPr>
            <w:r w:rsidRPr="00983F26">
              <w:rPr>
                <w:rFonts w:cs="Arial"/>
                <w:snapToGrid w:val="0"/>
              </w:rPr>
              <w:t>TWC</w:t>
            </w:r>
          </w:p>
        </w:tc>
        <w:tc>
          <w:tcPr>
            <w:tcW w:w="3827" w:type="dxa"/>
          </w:tcPr>
          <w:p w:rsidR="006F0A60" w:rsidRPr="00914F9D" w:rsidRDefault="006F0A60" w:rsidP="001934B7">
            <w:pPr>
              <w:spacing w:before="120" w:after="120"/>
              <w:rPr>
                <w:rFonts w:cs="Arial"/>
                <w:snapToGrid w:val="0"/>
              </w:rPr>
            </w:pPr>
            <w:r w:rsidRPr="00914F9D">
              <w:rPr>
                <w:rFonts w:cs="Arial"/>
                <w:szCs w:val="24"/>
                <w:lang w:eastAsia="ja-JP"/>
              </w:rPr>
              <w:t>Herr Adrian Roberts (Vereinigtes Königreich)</w:t>
            </w:r>
          </w:p>
        </w:tc>
      </w:tr>
      <w:tr w:rsidR="006F0A60" w:rsidRPr="00983F26" w:rsidTr="001934B7">
        <w:tc>
          <w:tcPr>
            <w:tcW w:w="993" w:type="dxa"/>
          </w:tcPr>
          <w:p w:rsidR="006F0A60" w:rsidRPr="00983F26" w:rsidRDefault="006F0A60" w:rsidP="001934B7">
            <w:pPr>
              <w:spacing w:before="120" w:after="120"/>
              <w:rPr>
                <w:rFonts w:cs="Arial"/>
                <w:snapToGrid w:val="0"/>
              </w:rPr>
            </w:pPr>
            <w:r w:rsidRPr="00983F26">
              <w:rPr>
                <w:rFonts w:cs="Arial"/>
                <w:snapToGrid w:val="0"/>
              </w:rPr>
              <w:t>TWF</w:t>
            </w:r>
          </w:p>
        </w:tc>
        <w:tc>
          <w:tcPr>
            <w:tcW w:w="3827" w:type="dxa"/>
          </w:tcPr>
          <w:p w:rsidR="006F0A60" w:rsidRPr="00983F26" w:rsidRDefault="006F0A60" w:rsidP="001934B7">
            <w:pPr>
              <w:spacing w:before="120" w:after="120"/>
              <w:rPr>
                <w:rFonts w:cs="Arial"/>
                <w:snapToGrid w:val="0"/>
              </w:rPr>
            </w:pPr>
            <w:r>
              <w:rPr>
                <w:rFonts w:cs="Arial"/>
                <w:snapToGrid w:val="0"/>
              </w:rPr>
              <w:t>Herr</w:t>
            </w:r>
            <w:r w:rsidRPr="00983F26">
              <w:rPr>
                <w:rFonts w:cs="Arial"/>
                <w:snapToGrid w:val="0"/>
              </w:rPr>
              <w:t xml:space="preserve"> </w:t>
            </w:r>
            <w:r>
              <w:rPr>
                <w:rFonts w:cs="Arial"/>
                <w:snapToGrid w:val="0"/>
              </w:rPr>
              <w:t xml:space="preserve">Katsumi Yamaguchi </w:t>
            </w:r>
            <w:r w:rsidRPr="00983F26">
              <w:rPr>
                <w:rFonts w:cs="Arial"/>
                <w:snapToGrid w:val="0"/>
              </w:rPr>
              <w:t>(</w:t>
            </w:r>
            <w:r>
              <w:rPr>
                <w:rFonts w:cs="Arial"/>
                <w:snapToGrid w:val="0"/>
                <w:lang w:val="en-GB"/>
              </w:rPr>
              <w:t>Japan</w:t>
            </w:r>
            <w:r w:rsidRPr="00983F26">
              <w:rPr>
                <w:rFonts w:cs="Arial"/>
                <w:snapToGrid w:val="0"/>
              </w:rPr>
              <w:t>)</w:t>
            </w:r>
          </w:p>
        </w:tc>
      </w:tr>
      <w:tr w:rsidR="006F0A60" w:rsidRPr="00983F26" w:rsidTr="001934B7">
        <w:tc>
          <w:tcPr>
            <w:tcW w:w="993" w:type="dxa"/>
          </w:tcPr>
          <w:p w:rsidR="006F0A60" w:rsidRPr="00983F26" w:rsidRDefault="006F0A60" w:rsidP="001934B7">
            <w:pPr>
              <w:spacing w:before="120" w:after="120"/>
              <w:rPr>
                <w:rFonts w:cs="Arial"/>
                <w:snapToGrid w:val="0"/>
              </w:rPr>
            </w:pPr>
            <w:r w:rsidRPr="00983F26">
              <w:rPr>
                <w:rFonts w:cs="Arial"/>
                <w:snapToGrid w:val="0"/>
              </w:rPr>
              <w:t>TWO</w:t>
            </w:r>
          </w:p>
        </w:tc>
        <w:tc>
          <w:tcPr>
            <w:tcW w:w="3827" w:type="dxa"/>
          </w:tcPr>
          <w:p w:rsidR="006F0A60" w:rsidRPr="00983F26" w:rsidRDefault="006F0A60" w:rsidP="001934B7">
            <w:pPr>
              <w:spacing w:before="120" w:after="120"/>
              <w:rPr>
                <w:rFonts w:cs="Arial"/>
                <w:snapToGrid w:val="0"/>
              </w:rPr>
            </w:pPr>
            <w:r>
              <w:rPr>
                <w:rFonts w:cs="Arial"/>
                <w:snapToGrid w:val="0"/>
              </w:rPr>
              <w:t>Herr</w:t>
            </w:r>
            <w:r w:rsidRPr="00983F26">
              <w:rPr>
                <w:rFonts w:cs="Arial"/>
                <w:snapToGrid w:val="0"/>
              </w:rPr>
              <w:t xml:space="preserve"> </w:t>
            </w:r>
            <w:r>
              <w:rPr>
                <w:rFonts w:cs="Arial"/>
                <w:snapToGrid w:val="0"/>
              </w:rPr>
              <w:t>Kenji Numaguchi</w:t>
            </w:r>
            <w:r w:rsidRPr="00983F26">
              <w:rPr>
                <w:rFonts w:cs="Arial"/>
                <w:snapToGrid w:val="0"/>
              </w:rPr>
              <w:t xml:space="preserve"> (</w:t>
            </w:r>
            <w:r>
              <w:rPr>
                <w:rFonts w:cs="Arial"/>
                <w:snapToGrid w:val="0"/>
              </w:rPr>
              <w:t>Japan</w:t>
            </w:r>
            <w:r w:rsidRPr="00983F26">
              <w:rPr>
                <w:rFonts w:cs="Arial"/>
                <w:snapToGrid w:val="0"/>
              </w:rPr>
              <w:t>)</w:t>
            </w:r>
          </w:p>
        </w:tc>
      </w:tr>
      <w:tr w:rsidR="006F0A60" w:rsidRPr="00983F26" w:rsidTr="001934B7">
        <w:tc>
          <w:tcPr>
            <w:tcW w:w="993" w:type="dxa"/>
          </w:tcPr>
          <w:p w:rsidR="006F0A60" w:rsidRPr="00983F26" w:rsidRDefault="006F0A60" w:rsidP="001934B7">
            <w:pPr>
              <w:spacing w:before="120" w:after="120"/>
              <w:rPr>
                <w:rFonts w:cs="Arial"/>
                <w:snapToGrid w:val="0"/>
              </w:rPr>
            </w:pPr>
            <w:r w:rsidRPr="00983F26">
              <w:rPr>
                <w:rFonts w:cs="Arial"/>
                <w:snapToGrid w:val="0"/>
              </w:rPr>
              <w:t>TWV</w:t>
            </w:r>
          </w:p>
        </w:tc>
        <w:tc>
          <w:tcPr>
            <w:tcW w:w="3827" w:type="dxa"/>
          </w:tcPr>
          <w:p w:rsidR="006F0A60" w:rsidRPr="00983F26" w:rsidRDefault="006F0A60" w:rsidP="001934B7">
            <w:pPr>
              <w:spacing w:before="120" w:after="120"/>
              <w:rPr>
                <w:rFonts w:cs="Arial"/>
                <w:snapToGrid w:val="0"/>
              </w:rPr>
            </w:pPr>
            <w:r>
              <w:rPr>
                <w:rFonts w:cs="Arial"/>
                <w:snapToGrid w:val="0"/>
              </w:rPr>
              <w:t>Frau Swenja</w:t>
            </w:r>
            <w:r w:rsidRPr="00983F26">
              <w:rPr>
                <w:rFonts w:cs="Arial"/>
                <w:snapToGrid w:val="0"/>
              </w:rPr>
              <w:t xml:space="preserve"> </w:t>
            </w:r>
            <w:r>
              <w:rPr>
                <w:rFonts w:cs="Arial"/>
                <w:snapToGrid w:val="0"/>
              </w:rPr>
              <w:t>Tams</w:t>
            </w:r>
            <w:r w:rsidRPr="00983F26">
              <w:rPr>
                <w:rFonts w:cs="Arial"/>
                <w:snapToGrid w:val="0"/>
              </w:rPr>
              <w:t xml:space="preserve"> (</w:t>
            </w:r>
            <w:r>
              <w:rPr>
                <w:rFonts w:cs="Arial"/>
                <w:snapToGrid w:val="0"/>
              </w:rPr>
              <w:t>Deutschland</w:t>
            </w:r>
            <w:r w:rsidRPr="00983F26">
              <w:rPr>
                <w:rFonts w:cs="Arial"/>
                <w:snapToGrid w:val="0"/>
              </w:rPr>
              <w:t>)</w:t>
            </w:r>
          </w:p>
        </w:tc>
      </w:tr>
      <w:tr w:rsidR="006F0A60" w:rsidRPr="002764B2" w:rsidTr="001934B7">
        <w:tc>
          <w:tcPr>
            <w:tcW w:w="993" w:type="dxa"/>
          </w:tcPr>
          <w:p w:rsidR="006F0A60" w:rsidRPr="002865AC" w:rsidRDefault="006F0A60" w:rsidP="001934B7">
            <w:pPr>
              <w:spacing w:before="120" w:after="120"/>
              <w:rPr>
                <w:rFonts w:cs="Arial"/>
                <w:snapToGrid w:val="0"/>
              </w:rPr>
            </w:pPr>
            <w:r w:rsidRPr="002865AC">
              <w:rPr>
                <w:rFonts w:cs="Arial"/>
                <w:snapToGrid w:val="0"/>
              </w:rPr>
              <w:t>BMT</w:t>
            </w:r>
          </w:p>
        </w:tc>
        <w:tc>
          <w:tcPr>
            <w:tcW w:w="3827" w:type="dxa"/>
          </w:tcPr>
          <w:p w:rsidR="006F0A60" w:rsidRPr="0097095B" w:rsidRDefault="006F0A60" w:rsidP="001934B7">
            <w:pPr>
              <w:spacing w:before="120" w:after="120"/>
              <w:rPr>
                <w:rFonts w:cs="Arial"/>
                <w:snapToGrid w:val="0"/>
              </w:rPr>
            </w:pPr>
            <w:r w:rsidRPr="0097095B">
              <w:rPr>
                <w:rFonts w:cs="Arial"/>
                <w:snapToGrid w:val="0"/>
              </w:rPr>
              <w:t>Herr Kees van Ettekoven (</w:t>
            </w:r>
            <w:r>
              <w:rPr>
                <w:rFonts w:cs="Arial"/>
                <w:snapToGrid w:val="0"/>
              </w:rPr>
              <w:t>Niederlande</w:t>
            </w:r>
            <w:r w:rsidRPr="0097095B">
              <w:rPr>
                <w:rFonts w:cs="Arial"/>
                <w:snapToGrid w:val="0"/>
              </w:rPr>
              <w:t>)</w:t>
            </w:r>
          </w:p>
        </w:tc>
      </w:tr>
    </w:tbl>
    <w:p w:rsidR="006F0A60" w:rsidRPr="0097095B" w:rsidRDefault="006F0A60" w:rsidP="006F0A60">
      <w:pPr>
        <w:ind w:left="567" w:hanging="567"/>
        <w:rPr>
          <w:rFonts w:cs="Arial"/>
          <w:snapToGrid w:val="0"/>
        </w:rPr>
      </w:pPr>
    </w:p>
    <w:p w:rsidR="006F0A60" w:rsidRPr="0097095B" w:rsidRDefault="006F0A60" w:rsidP="006F0A60"/>
    <w:p w:rsidR="006F0A60" w:rsidRDefault="006F0A60" w:rsidP="006F0A60">
      <w:pPr>
        <w:rPr>
          <w:u w:val="single"/>
        </w:rPr>
      </w:pPr>
      <w:r w:rsidRPr="00B34420">
        <w:rPr>
          <w:u w:val="single"/>
        </w:rPr>
        <w:t>Programm für die einundfünfzigste Tagung</w:t>
      </w:r>
    </w:p>
    <w:p w:rsidR="006F0A60" w:rsidRPr="00914F9D" w:rsidRDefault="006F0A60" w:rsidP="006F0A60"/>
    <w:p w:rsidR="006F0A60" w:rsidRPr="00914F9D" w:rsidRDefault="006F0A60" w:rsidP="006F0A60">
      <w:r w:rsidRPr="00AF342C">
        <w:rPr>
          <w:snapToGrid w:val="0"/>
        </w:rPr>
        <w:fldChar w:fldCharType="begin"/>
      </w:r>
      <w:r w:rsidRPr="00914F9D">
        <w:rPr>
          <w:snapToGrid w:val="0"/>
        </w:rPr>
        <w:instrText xml:space="preserve"> AUTONUM  </w:instrText>
      </w:r>
      <w:r w:rsidRPr="00AF342C">
        <w:rPr>
          <w:snapToGrid w:val="0"/>
        </w:rPr>
        <w:fldChar w:fldCharType="end"/>
      </w:r>
      <w:r w:rsidRPr="00914F9D">
        <w:rPr>
          <w:snapToGrid w:val="0"/>
        </w:rPr>
        <w:tab/>
      </w:r>
      <w:r>
        <w:t>F</w:t>
      </w:r>
      <w:r w:rsidRPr="00914F9D">
        <w:t xml:space="preserve">ür </w:t>
      </w:r>
      <w:r>
        <w:t>die</w:t>
      </w:r>
      <w:r w:rsidRPr="00914F9D">
        <w:t xml:space="preserve"> </w:t>
      </w:r>
      <w:r>
        <w:t>einundfünfzigste</w:t>
      </w:r>
      <w:r w:rsidRPr="00914F9D">
        <w:t xml:space="preserve"> Tagung </w:t>
      </w:r>
      <w:r>
        <w:t xml:space="preserve">des </w:t>
      </w:r>
      <w:r w:rsidRPr="00914F9D">
        <w:t>TC</w:t>
      </w:r>
      <w:r>
        <w:t xml:space="preserve"> in </w:t>
      </w:r>
      <w:r w:rsidRPr="00914F9D">
        <w:t>Genf im Jahr 2015</w:t>
      </w:r>
      <w:r>
        <w:t xml:space="preserve"> wurde d</w:t>
      </w:r>
      <w:r>
        <w:rPr>
          <w:snapToGrid w:val="0"/>
        </w:rPr>
        <w:t xml:space="preserve">er </w:t>
      </w:r>
      <w:r>
        <w:t>folgende</w:t>
      </w:r>
      <w:r w:rsidRPr="00914F9D">
        <w:t xml:space="preserve"> Entwurf</w:t>
      </w:r>
      <w:r>
        <w:t xml:space="preserve"> für eine Tagesordnung </w:t>
      </w:r>
      <w:r w:rsidRPr="00914F9D">
        <w:t>vereinba</w:t>
      </w:r>
      <w:r w:rsidR="00B73E0B">
        <w:t xml:space="preserve">rt </w:t>
      </w:r>
      <w:r>
        <w:t>(vergleiche Dokument TC/50/36 „Bericht über die Entschließung”, Absätze 164 und 165):</w:t>
      </w:r>
    </w:p>
    <w:p w:rsidR="006F0A60" w:rsidRPr="00914F9D" w:rsidRDefault="006F0A60" w:rsidP="006F0A60">
      <w:pPr>
        <w:rPr>
          <w:snapToGrid w:val="0"/>
        </w:rPr>
      </w:pPr>
    </w:p>
    <w:p w:rsidR="006F0A60" w:rsidRPr="008E31D5" w:rsidRDefault="006F0A60" w:rsidP="006F0A60">
      <w:pPr>
        <w:spacing w:after="120"/>
        <w:ind w:left="1134" w:hanging="567"/>
        <w:rPr>
          <w:rFonts w:cs="Arial"/>
          <w:snapToGrid w:val="0"/>
        </w:rPr>
      </w:pPr>
      <w:r w:rsidRPr="008E31D5">
        <w:rPr>
          <w:rFonts w:cs="Arial"/>
          <w:snapToGrid w:val="0"/>
        </w:rPr>
        <w:t>1.</w:t>
      </w:r>
      <w:r w:rsidRPr="008E31D5">
        <w:rPr>
          <w:rFonts w:cs="Arial"/>
          <w:snapToGrid w:val="0"/>
        </w:rPr>
        <w:tab/>
        <w:t>Eröffnung der Tagung</w:t>
      </w:r>
    </w:p>
    <w:p w:rsidR="006F0A60" w:rsidRPr="008E31D5" w:rsidRDefault="006F0A60" w:rsidP="006F0A60">
      <w:pPr>
        <w:spacing w:after="120"/>
        <w:ind w:left="1134" w:hanging="567"/>
        <w:rPr>
          <w:rFonts w:cs="Arial"/>
          <w:snapToGrid w:val="0"/>
        </w:rPr>
      </w:pPr>
      <w:r w:rsidRPr="008E31D5">
        <w:rPr>
          <w:rFonts w:cs="Arial"/>
          <w:snapToGrid w:val="0"/>
        </w:rPr>
        <w:t>2.</w:t>
      </w:r>
      <w:r w:rsidRPr="008E31D5">
        <w:rPr>
          <w:rFonts w:cs="Arial"/>
          <w:snapToGrid w:val="0"/>
        </w:rPr>
        <w:tab/>
        <w:t>Annahme der Tagesordnung</w:t>
      </w:r>
    </w:p>
    <w:p w:rsidR="006F0A60" w:rsidRPr="00946CB9" w:rsidRDefault="006F0A60" w:rsidP="006F0A60">
      <w:pPr>
        <w:spacing w:after="120"/>
        <w:ind w:left="1134" w:hanging="567"/>
        <w:rPr>
          <w:rFonts w:cs="Arial"/>
          <w:snapToGrid w:val="0"/>
        </w:rPr>
      </w:pPr>
      <w:r w:rsidRPr="00946CB9">
        <w:rPr>
          <w:rFonts w:cs="Arial"/>
          <w:snapToGrid w:val="0"/>
        </w:rPr>
        <w:t>3.</w:t>
      </w:r>
      <w:r w:rsidRPr="00946CB9">
        <w:rPr>
          <w:rFonts w:cs="Arial"/>
          <w:snapToGrid w:val="0"/>
        </w:rPr>
        <w:tab/>
        <w:t>Erörterungen zu:</w:t>
      </w:r>
    </w:p>
    <w:p w:rsidR="006F0A60" w:rsidRPr="00946CB9" w:rsidRDefault="006F0A60" w:rsidP="006F0A60">
      <w:pPr>
        <w:spacing w:before="60" w:after="60" w:line="276" w:lineRule="auto"/>
        <w:ind w:left="1701" w:hanging="567"/>
      </w:pPr>
      <w:r w:rsidRPr="00946CB9">
        <w:t xml:space="preserve">a) </w:t>
      </w:r>
      <w:r w:rsidRPr="00946CB9">
        <w:tab/>
        <w:t>Molekulare</w:t>
      </w:r>
      <w:r>
        <w:t>n</w:t>
      </w:r>
      <w:r w:rsidRPr="00946CB9">
        <w:t xml:space="preserve"> Verfahren</w:t>
      </w:r>
    </w:p>
    <w:p w:rsidR="006F0A60" w:rsidRPr="00946CB9" w:rsidRDefault="006F0A60" w:rsidP="006F0A60">
      <w:pPr>
        <w:spacing w:before="60" w:after="60" w:line="276" w:lineRule="auto"/>
        <w:ind w:left="1701" w:hanging="567"/>
      </w:pPr>
      <w:r w:rsidRPr="00946CB9">
        <w:t>b)</w:t>
      </w:r>
      <w:r w:rsidRPr="00946CB9">
        <w:tab/>
      </w:r>
      <w:r>
        <w:t>Etwaigen Möglichkeiten für die Verbesserung der</w:t>
      </w:r>
      <w:r w:rsidRPr="00946CB9">
        <w:t xml:space="preserve"> </w:t>
      </w:r>
      <w:r>
        <w:t>Effektivität</w:t>
      </w:r>
      <w:r w:rsidRPr="00946CB9">
        <w:t xml:space="preserve"> </w:t>
      </w:r>
      <w:r>
        <w:t>des</w:t>
      </w:r>
      <w:r w:rsidRPr="00946CB9">
        <w:t xml:space="preserve"> TC, </w:t>
      </w:r>
      <w:r>
        <w:t>der TWP</w:t>
      </w:r>
      <w:r w:rsidRPr="00946CB9">
        <w:t xml:space="preserve"> und </w:t>
      </w:r>
      <w:r>
        <w:t xml:space="preserve">der </w:t>
      </w:r>
      <w:r w:rsidRPr="00946CB9">
        <w:t>Vorbereitende</w:t>
      </w:r>
      <w:r>
        <w:t>n</w:t>
      </w:r>
      <w:r w:rsidRPr="00946CB9">
        <w:t xml:space="preserve"> Arbeitstagungen</w:t>
      </w:r>
    </w:p>
    <w:p w:rsidR="006F0A60" w:rsidRPr="007A327B" w:rsidRDefault="006F0A60" w:rsidP="006F0A60">
      <w:pPr>
        <w:spacing w:after="120"/>
        <w:ind w:left="1134" w:hanging="567"/>
        <w:rPr>
          <w:rFonts w:cs="Arial"/>
          <w:snapToGrid w:val="0"/>
        </w:rPr>
      </w:pPr>
      <w:r w:rsidRPr="007A327B">
        <w:rPr>
          <w:rFonts w:cs="Arial"/>
          <w:snapToGrid w:val="0"/>
        </w:rPr>
        <w:t>4.</w:t>
      </w:r>
      <w:r w:rsidRPr="007A327B">
        <w:rPr>
          <w:rFonts w:cs="Arial"/>
          <w:snapToGrid w:val="0"/>
        </w:rPr>
        <w:tab/>
      </w:r>
      <w:r w:rsidRPr="008E31D5">
        <w:rPr>
          <w:rFonts w:cs="Arial"/>
          <w:snapToGrid w:val="0"/>
        </w:rPr>
        <w:t>Bericht über die Entwicklungen in der UPOV, u. a. die auf den letzten Tagungen des Verwaltungs- und Rechtsausschusses, des Beratenden Ausschusses und des Rates erörterten wichtigen Angelegenheiten (mündlicher Bericht des Stellvertretenden Generalsekretärs</w:t>
      </w:r>
      <w:r w:rsidRPr="007A327B">
        <w:rPr>
          <w:rFonts w:cs="Arial"/>
          <w:snapToGrid w:val="0"/>
        </w:rPr>
        <w:t>)</w:t>
      </w:r>
    </w:p>
    <w:p w:rsidR="006F0A60" w:rsidRPr="001B5A5A" w:rsidRDefault="006F0A60" w:rsidP="006F0A60">
      <w:pPr>
        <w:spacing w:after="120"/>
        <w:ind w:left="1134" w:hanging="567"/>
      </w:pPr>
      <w:r w:rsidRPr="001B5A5A">
        <w:rPr>
          <w:rFonts w:cs="Arial"/>
          <w:snapToGrid w:val="0"/>
        </w:rPr>
        <w:t>5.</w:t>
      </w:r>
      <w:r w:rsidRPr="001B5A5A">
        <w:rPr>
          <w:rFonts w:cs="Arial"/>
          <w:snapToGrid w:val="0"/>
        </w:rPr>
        <w:tab/>
      </w:r>
      <w:r>
        <w:rPr>
          <w:rFonts w:cs="Arial"/>
          <w:snapToGrid w:val="0"/>
        </w:rPr>
        <w:t>B</w:t>
      </w:r>
      <w:r w:rsidRPr="008E31D5">
        <w:t>erichte über den Fortschritt der Arbeiten der Technischen Arbeitsgruppen, einschließlich der Arbeitsgruppe für biochemische und molekulare Verfahren und insbesondere für DNS Profilierungsverfahren (BMT)</w:t>
      </w:r>
    </w:p>
    <w:p w:rsidR="006F0A60" w:rsidRPr="008E31D5" w:rsidRDefault="006F0A60" w:rsidP="006F0A60">
      <w:pPr>
        <w:spacing w:after="120"/>
        <w:ind w:left="1134" w:hanging="567"/>
        <w:rPr>
          <w:rFonts w:cs="Arial"/>
          <w:snapToGrid w:val="0"/>
        </w:rPr>
      </w:pPr>
      <w:r w:rsidRPr="008E31D5">
        <w:rPr>
          <w:rFonts w:cs="Arial"/>
          <w:snapToGrid w:val="0"/>
        </w:rPr>
        <w:t>6.</w:t>
      </w:r>
      <w:r w:rsidRPr="008E31D5">
        <w:rPr>
          <w:rFonts w:cs="Arial"/>
          <w:snapToGrid w:val="0"/>
        </w:rPr>
        <w:tab/>
        <w:t>Fragen, die von den technischen Arbeitsgruppen aufgeworfen wurden</w:t>
      </w:r>
    </w:p>
    <w:p w:rsidR="006F0A60" w:rsidRPr="00163DB6" w:rsidRDefault="006F0A60" w:rsidP="006F0A60">
      <w:pPr>
        <w:keepLines/>
        <w:spacing w:after="120"/>
        <w:ind w:left="567"/>
        <w:jc w:val="left"/>
        <w:rPr>
          <w:rFonts w:cs="Arial"/>
          <w:snapToGrid w:val="0"/>
        </w:rPr>
      </w:pPr>
      <w:r w:rsidRPr="00163DB6">
        <w:rPr>
          <w:rFonts w:cs="Arial"/>
          <w:snapToGrid w:val="0"/>
        </w:rPr>
        <w:t>7.</w:t>
      </w:r>
      <w:r w:rsidRPr="00163DB6">
        <w:rPr>
          <w:rFonts w:cs="Arial"/>
          <w:snapToGrid w:val="0"/>
        </w:rPr>
        <w:tab/>
        <w:t>TGP-Dokumente</w:t>
      </w:r>
    </w:p>
    <w:p w:rsidR="006F0A60" w:rsidRPr="00163DB6" w:rsidRDefault="006F0A60" w:rsidP="006F0A60">
      <w:pPr>
        <w:spacing w:after="120"/>
        <w:ind w:left="1134" w:hanging="567"/>
        <w:rPr>
          <w:rFonts w:cs="Arial"/>
        </w:rPr>
      </w:pPr>
      <w:r w:rsidRPr="00163DB6">
        <w:rPr>
          <w:rFonts w:cs="Arial"/>
          <w:snapToGrid w:val="0"/>
        </w:rPr>
        <w:t>8.</w:t>
      </w:r>
      <w:r w:rsidRPr="00163DB6">
        <w:rPr>
          <w:rFonts w:cs="Arial"/>
          <w:snapToGrid w:val="0"/>
        </w:rPr>
        <w:tab/>
        <w:t>Molekulare Verfahren</w:t>
      </w:r>
    </w:p>
    <w:p w:rsidR="006F0A60" w:rsidRPr="00163DB6" w:rsidRDefault="006F0A60" w:rsidP="006F0A60">
      <w:pPr>
        <w:spacing w:after="120"/>
        <w:ind w:left="1134" w:hanging="567"/>
        <w:rPr>
          <w:rFonts w:cs="Arial"/>
          <w:snapToGrid w:val="0"/>
        </w:rPr>
      </w:pPr>
      <w:r w:rsidRPr="00163DB6">
        <w:rPr>
          <w:rFonts w:cs="Arial"/>
          <w:snapToGrid w:val="0"/>
        </w:rPr>
        <w:t>9.</w:t>
      </w:r>
      <w:r w:rsidRPr="00163DB6">
        <w:rPr>
          <w:rFonts w:cs="Arial"/>
          <w:snapToGrid w:val="0"/>
        </w:rPr>
        <w:tab/>
      </w:r>
      <w:r w:rsidRPr="008E31D5">
        <w:rPr>
          <w:rFonts w:cs="Arial"/>
          <w:snapToGrid w:val="0"/>
        </w:rPr>
        <w:t>Sortenbezeichnungen</w:t>
      </w:r>
    </w:p>
    <w:p w:rsidR="006F0A60" w:rsidRPr="002914E7" w:rsidRDefault="006F0A60" w:rsidP="006F0A60">
      <w:pPr>
        <w:spacing w:after="120"/>
        <w:ind w:left="1134" w:hanging="567"/>
        <w:rPr>
          <w:rFonts w:cs="Arial"/>
          <w:snapToGrid w:val="0"/>
        </w:rPr>
      </w:pPr>
      <w:r w:rsidRPr="002914E7">
        <w:rPr>
          <w:rFonts w:cs="Arial"/>
          <w:snapToGrid w:val="0"/>
        </w:rPr>
        <w:t>10.</w:t>
      </w:r>
      <w:r w:rsidRPr="002914E7">
        <w:rPr>
          <w:rFonts w:cs="Arial"/>
          <w:snapToGrid w:val="0"/>
        </w:rPr>
        <w:tab/>
        <w:t>Information und Datenbanken</w:t>
      </w:r>
    </w:p>
    <w:p w:rsidR="006F0A60" w:rsidRPr="002914E7" w:rsidRDefault="006F0A60" w:rsidP="006F0A60">
      <w:pPr>
        <w:spacing w:after="120"/>
        <w:ind w:left="1701" w:hanging="567"/>
        <w:rPr>
          <w:rFonts w:cs="Arial"/>
          <w:snapToGrid w:val="0"/>
        </w:rPr>
      </w:pPr>
      <w:r>
        <w:rPr>
          <w:rFonts w:cs="Arial"/>
          <w:snapToGrid w:val="0"/>
        </w:rPr>
        <w:lastRenderedPageBreak/>
        <w:t>a)</w:t>
      </w:r>
      <w:r>
        <w:rPr>
          <w:rFonts w:cs="Arial"/>
          <w:snapToGrid w:val="0"/>
        </w:rPr>
        <w:tab/>
        <w:t>UPOV-Informationsdatenbank</w:t>
      </w:r>
      <w:r w:rsidRPr="002914E7">
        <w:rPr>
          <w:rFonts w:cs="Arial"/>
          <w:snapToGrid w:val="0"/>
        </w:rPr>
        <w:t>en</w:t>
      </w:r>
    </w:p>
    <w:p w:rsidR="006F0A60" w:rsidRPr="008E31D5" w:rsidRDefault="006F0A60" w:rsidP="006F0A60">
      <w:pPr>
        <w:spacing w:after="120"/>
        <w:ind w:left="1701" w:hanging="567"/>
        <w:rPr>
          <w:rFonts w:cs="Arial"/>
          <w:snapToGrid w:val="0"/>
        </w:rPr>
      </w:pPr>
      <w:r w:rsidRPr="008E31D5">
        <w:rPr>
          <w:rFonts w:cs="Arial"/>
          <w:snapToGrid w:val="0"/>
        </w:rPr>
        <w:t>b)</w:t>
      </w:r>
      <w:r w:rsidRPr="008E31D5">
        <w:rPr>
          <w:rFonts w:cs="Arial"/>
          <w:snapToGrid w:val="0"/>
        </w:rPr>
        <w:tab/>
        <w:t>Elektronische Systeme für die Einreichung von Anträgen</w:t>
      </w:r>
    </w:p>
    <w:p w:rsidR="006F0A60" w:rsidRPr="007A3ABD" w:rsidRDefault="006F0A60" w:rsidP="006F0A60">
      <w:pPr>
        <w:spacing w:after="120"/>
        <w:ind w:left="1701" w:hanging="567"/>
        <w:rPr>
          <w:rFonts w:cs="Arial"/>
          <w:snapToGrid w:val="0"/>
        </w:rPr>
      </w:pPr>
      <w:r w:rsidRPr="007A3ABD">
        <w:rPr>
          <w:rFonts w:cs="Arial"/>
          <w:snapToGrid w:val="0"/>
        </w:rPr>
        <w:t>c)</w:t>
      </w:r>
      <w:r w:rsidRPr="007A3ABD">
        <w:rPr>
          <w:rFonts w:cs="Arial"/>
          <w:snapToGrid w:val="0"/>
        </w:rPr>
        <w:tab/>
        <w:t xml:space="preserve">Austauschbare Software </w:t>
      </w:r>
    </w:p>
    <w:p w:rsidR="006F0A60" w:rsidRPr="007A3ABD" w:rsidRDefault="006F0A60" w:rsidP="006F0A60">
      <w:pPr>
        <w:spacing w:after="120"/>
        <w:ind w:left="1701" w:hanging="567"/>
        <w:rPr>
          <w:rFonts w:cs="Arial"/>
          <w:snapToGrid w:val="0"/>
        </w:rPr>
      </w:pPr>
      <w:r w:rsidRPr="007A3ABD">
        <w:rPr>
          <w:rFonts w:cs="Arial"/>
          <w:snapToGrid w:val="0"/>
        </w:rPr>
        <w:t>d)</w:t>
      </w:r>
      <w:r w:rsidRPr="007A3ABD">
        <w:rPr>
          <w:rFonts w:cs="Arial"/>
          <w:snapToGrid w:val="0"/>
        </w:rPr>
        <w:tab/>
        <w:t xml:space="preserve">Datenbanken für </w:t>
      </w:r>
      <w:r>
        <w:rPr>
          <w:rFonts w:cs="Arial"/>
          <w:snapToGrid w:val="0"/>
        </w:rPr>
        <w:t>Sortenbezeichnung</w:t>
      </w:r>
      <w:r w:rsidRPr="007A3ABD">
        <w:rPr>
          <w:rFonts w:cs="Arial"/>
          <w:snapToGrid w:val="0"/>
        </w:rPr>
        <w:t>en</w:t>
      </w:r>
    </w:p>
    <w:p w:rsidR="006F0A60" w:rsidRPr="007A3ABD" w:rsidRDefault="006F0A60" w:rsidP="006F0A60">
      <w:pPr>
        <w:spacing w:after="120"/>
        <w:ind w:left="1134" w:hanging="567"/>
        <w:rPr>
          <w:rFonts w:cs="Arial"/>
          <w:snapToGrid w:val="0"/>
        </w:rPr>
      </w:pPr>
      <w:r w:rsidRPr="007A3ABD">
        <w:rPr>
          <w:rFonts w:cs="Arial"/>
          <w:snapToGrid w:val="0"/>
        </w:rPr>
        <w:t>11.</w:t>
      </w:r>
      <w:r w:rsidRPr="007A3ABD">
        <w:rPr>
          <w:rFonts w:cs="Arial"/>
          <w:snapToGrid w:val="0"/>
        </w:rPr>
        <w:tab/>
        <w:t>Prüfung der Homogenität anhand von Abweichern aufgrund von mehr als einer Probe oder Unterproben</w:t>
      </w:r>
    </w:p>
    <w:p w:rsidR="006F0A60" w:rsidRPr="007A3ABD" w:rsidRDefault="006F0A60" w:rsidP="006F0A60">
      <w:pPr>
        <w:spacing w:after="120"/>
        <w:ind w:left="1134" w:hanging="567"/>
        <w:rPr>
          <w:rFonts w:cs="Arial"/>
          <w:snapToGrid w:val="0"/>
        </w:rPr>
      </w:pPr>
      <w:r w:rsidRPr="007A3ABD">
        <w:rPr>
          <w:rFonts w:cs="Arial"/>
          <w:snapToGrid w:val="0"/>
        </w:rPr>
        <w:t>12.</w:t>
      </w:r>
      <w:r w:rsidRPr="007A3ABD">
        <w:rPr>
          <w:rFonts w:cs="Arial"/>
          <w:snapToGrid w:val="0"/>
        </w:rPr>
        <w:tab/>
        <w:t xml:space="preserve">Vorbereitende Arbeitstagungen </w:t>
      </w:r>
    </w:p>
    <w:p w:rsidR="006F0A60" w:rsidRPr="007A3ABD" w:rsidRDefault="006F0A60" w:rsidP="006F0A60">
      <w:pPr>
        <w:spacing w:after="120"/>
        <w:ind w:left="1134" w:hanging="567"/>
        <w:rPr>
          <w:rFonts w:cs="Arial"/>
          <w:snapToGrid w:val="0"/>
        </w:rPr>
      </w:pPr>
      <w:r w:rsidRPr="007A3ABD">
        <w:rPr>
          <w:rFonts w:cs="Arial"/>
          <w:snapToGrid w:val="0"/>
        </w:rPr>
        <w:t>13.</w:t>
      </w:r>
      <w:r w:rsidRPr="007A3ABD">
        <w:rPr>
          <w:rFonts w:cs="Arial"/>
          <w:snapToGrid w:val="0"/>
        </w:rPr>
        <w:tab/>
        <w:t xml:space="preserve">Prüfungsrichtlinien </w:t>
      </w:r>
    </w:p>
    <w:p w:rsidR="006F0A60" w:rsidRPr="007A3ABD" w:rsidRDefault="006F0A60" w:rsidP="006F0A60">
      <w:pPr>
        <w:spacing w:after="120"/>
        <w:ind w:left="1134" w:hanging="567"/>
        <w:rPr>
          <w:rFonts w:cs="Arial"/>
          <w:snapToGrid w:val="0"/>
        </w:rPr>
      </w:pPr>
      <w:r w:rsidRPr="007A3ABD">
        <w:rPr>
          <w:rFonts w:cs="Arial"/>
          <w:snapToGrid w:val="0"/>
        </w:rPr>
        <w:t>14.</w:t>
      </w:r>
      <w:r w:rsidRPr="007A3ABD">
        <w:rPr>
          <w:rFonts w:cs="Arial"/>
          <w:snapToGrid w:val="0"/>
        </w:rPr>
        <w:tab/>
      </w:r>
      <w:r>
        <w:rPr>
          <w:rFonts w:cs="Arial"/>
          <w:snapToGrid w:val="0"/>
        </w:rPr>
        <w:t>L</w:t>
      </w:r>
      <w:r w:rsidRPr="005A6E2C">
        <w:rPr>
          <w:rFonts w:cs="Arial"/>
          <w:snapToGrid w:val="0"/>
        </w:rPr>
        <w:t>iste der Gattungen und Arten, für die die Behörden über praktische Erfahrung bei der Prüfung der Unterscheidbarkeit, Homogenität und Beständigkeit verfügen</w:t>
      </w:r>
    </w:p>
    <w:p w:rsidR="006F0A60" w:rsidRPr="007A3ABD" w:rsidRDefault="006F0A60" w:rsidP="006F0A60">
      <w:pPr>
        <w:spacing w:after="120"/>
        <w:ind w:left="1134" w:hanging="567"/>
        <w:rPr>
          <w:rFonts w:cs="Arial"/>
          <w:snapToGrid w:val="0"/>
        </w:rPr>
      </w:pPr>
      <w:r w:rsidRPr="007A3ABD">
        <w:rPr>
          <w:rFonts w:cs="Arial"/>
          <w:snapToGrid w:val="0"/>
        </w:rPr>
        <w:t>15.</w:t>
      </w:r>
      <w:r w:rsidRPr="007A3ABD">
        <w:rPr>
          <w:rFonts w:cs="Arial"/>
          <w:snapToGrid w:val="0"/>
        </w:rPr>
        <w:tab/>
        <w:t xml:space="preserve">Programm der </w:t>
      </w:r>
      <w:r>
        <w:rPr>
          <w:rFonts w:cs="Arial"/>
          <w:snapToGrid w:val="0"/>
        </w:rPr>
        <w:t>zwei</w:t>
      </w:r>
      <w:r w:rsidRPr="007A3ABD">
        <w:rPr>
          <w:rFonts w:cs="Arial"/>
          <w:snapToGrid w:val="0"/>
        </w:rPr>
        <w:t>undfünfzigsten Tagung</w:t>
      </w:r>
    </w:p>
    <w:p w:rsidR="006F0A60" w:rsidRPr="007A3ABD" w:rsidRDefault="006F0A60" w:rsidP="006F0A60">
      <w:pPr>
        <w:spacing w:after="120"/>
        <w:ind w:left="1134" w:hanging="567"/>
        <w:rPr>
          <w:rFonts w:cs="Arial"/>
          <w:snapToGrid w:val="0"/>
        </w:rPr>
      </w:pPr>
      <w:r w:rsidRPr="007A3ABD">
        <w:rPr>
          <w:rFonts w:cs="Arial"/>
          <w:snapToGrid w:val="0"/>
        </w:rPr>
        <w:t>16.</w:t>
      </w:r>
      <w:r w:rsidRPr="007A3ABD">
        <w:rPr>
          <w:rFonts w:cs="Arial"/>
          <w:snapToGrid w:val="0"/>
        </w:rPr>
        <w:tab/>
      </w:r>
      <w:r w:rsidRPr="007A3ABD">
        <w:rPr>
          <w:rFonts w:cs="Arial"/>
        </w:rPr>
        <w:t>Annahme des Berichts über die Entschließungen (sofern zeitlich möglich)</w:t>
      </w:r>
    </w:p>
    <w:p w:rsidR="006F0A60" w:rsidRDefault="006F0A60" w:rsidP="00483B7D">
      <w:pPr>
        <w:ind w:left="567"/>
      </w:pPr>
      <w:r w:rsidRPr="00946CB9">
        <w:rPr>
          <w:snapToGrid w:val="0"/>
        </w:rPr>
        <w:t>17.</w:t>
      </w:r>
      <w:r w:rsidRPr="00946CB9">
        <w:rPr>
          <w:snapToGrid w:val="0"/>
        </w:rPr>
        <w:tab/>
        <w:t>Schließung der Tagung</w:t>
      </w:r>
    </w:p>
    <w:p w:rsidR="00F046AC" w:rsidRDefault="00F046AC" w:rsidP="00F046AC"/>
    <w:p w:rsidR="00F046AC" w:rsidRPr="005A2989" w:rsidRDefault="00F046AC" w:rsidP="00F046AC">
      <w:r w:rsidRPr="005A2989">
        <w:fldChar w:fldCharType="begin"/>
      </w:r>
      <w:r w:rsidRPr="005A2989">
        <w:instrText xml:space="preserve"> AUTONUM  </w:instrText>
      </w:r>
      <w:r w:rsidRPr="005A2989">
        <w:fldChar w:fldCharType="end"/>
      </w:r>
      <w:r>
        <w:tab/>
        <w:t>Der TC vereinbarte, daß in Betracht gezogen werden sollte, andere Organisationen wie z.B. das Übereinkommen über die biologische Vielfalt (CBD), die Ernährungs- und Landwirtschaftsorganisation der Vereinten Nationen (FAO), ISTA, den Internationalen Vertrag der FAO über pflanzengenetische Ressourcen für die Ernährung und die Landwirtschaft (ITPGRFA), die OECD und die Weltorganisation für geistiges Eigentum (WIPO) einzuladen, Referate auf einer künftigen Tagung zu hal</w:t>
      </w:r>
      <w:r w:rsidR="00214DB0">
        <w:t xml:space="preserve">ten. Diesbezüglich stimmte </w:t>
      </w:r>
      <w:r>
        <w:t>er</w:t>
      </w:r>
      <w:r w:rsidR="00214DB0">
        <w:t xml:space="preserve"> darin überein</w:t>
      </w:r>
      <w:r>
        <w:t>, daß es</w:t>
      </w:r>
      <w:r w:rsidR="00214DB0">
        <w:t xml:space="preserve"> zweckmäßig wäre</w:t>
      </w:r>
      <w:r>
        <w:t>, diese Vorschläge dem Beratenden Ausschuß zur Prüfung vorzulegen.</w:t>
      </w:r>
    </w:p>
    <w:p w:rsidR="00F046AC" w:rsidRDefault="00F046AC" w:rsidP="00F046AC"/>
    <w:p w:rsidR="00F046AC" w:rsidRPr="00F046AC" w:rsidRDefault="00F046AC" w:rsidP="00F046AC"/>
    <w:p w:rsidR="00C651CE" w:rsidRDefault="007C48DB" w:rsidP="005D2FEA">
      <w:pPr>
        <w:pStyle w:val="Heading1"/>
      </w:pPr>
      <w:bookmarkStart w:id="210" w:name="_Toc393187184"/>
      <w:bookmarkStart w:id="211" w:name="_Toc395605412"/>
      <w:r>
        <w:t>Bericht über den Fortschritt der Arbeiten des Technischen Ausschusses, der Technischen Arbeitsgruppen und der Arbeitsgruppe für biochemische und molekulare Verfahren und insbesondere für DNS-Profilierungsverfahren im Jahr 2013</w:t>
      </w:r>
      <w:bookmarkEnd w:id="210"/>
      <w:bookmarkEnd w:id="211"/>
    </w:p>
    <w:p w:rsidR="007C48DB" w:rsidRDefault="007C48DB" w:rsidP="007C48DB"/>
    <w:p w:rsidR="007C48DB" w:rsidRDefault="007C48DB" w:rsidP="007C48DB">
      <w:r>
        <w:fldChar w:fldCharType="begin"/>
      </w:r>
      <w:r>
        <w:instrText xml:space="preserve"> AUTONUM  </w:instrText>
      </w:r>
      <w:r>
        <w:fldChar w:fldCharType="end"/>
      </w:r>
      <w:r>
        <w:tab/>
        <w:t>Folgende Berichte wurden auf der fünfzigsten Tagung des TC von den Vorsitzenden über die Arbeiten der TWA, der TWC, der TWF, der TWO, der TWV und der BMT vorgelegt.</w:t>
      </w:r>
    </w:p>
    <w:p w:rsidR="007C48DB" w:rsidRDefault="007C48DB" w:rsidP="007C48DB"/>
    <w:p w:rsidR="008205FC" w:rsidRDefault="008205FC" w:rsidP="007C48DB"/>
    <w:p w:rsidR="007C48DB" w:rsidRDefault="007C48DB" w:rsidP="007C48DB">
      <w:pPr>
        <w:pStyle w:val="Heading2"/>
      </w:pPr>
      <w:bookmarkStart w:id="212" w:name="_Toc393187185"/>
      <w:bookmarkStart w:id="213" w:name="_Toc395605413"/>
      <w:r>
        <w:t>Technische Arbeitsgruppe für landwirtschaftliche Arten (TWA)</w:t>
      </w:r>
      <w:bookmarkEnd w:id="212"/>
      <w:bookmarkEnd w:id="213"/>
    </w:p>
    <w:p w:rsidR="007C48DB" w:rsidRDefault="007C48DB" w:rsidP="007C48DB"/>
    <w:p w:rsidR="007C48DB" w:rsidRPr="0048732D" w:rsidRDefault="007C48DB" w:rsidP="007C48DB">
      <w:pPr>
        <w:contextualSpacing/>
        <w:rPr>
          <w:rFonts w:cs="Arial"/>
        </w:rPr>
      </w:pPr>
      <w:r>
        <w:rPr>
          <w:rFonts w:cs="Arial"/>
        </w:rPr>
        <w:fldChar w:fldCharType="begin"/>
      </w:r>
      <w:r>
        <w:rPr>
          <w:rFonts w:cs="Arial"/>
        </w:rPr>
        <w:instrText xml:space="preserve"> AUTONUM  </w:instrText>
      </w:r>
      <w:r>
        <w:rPr>
          <w:rFonts w:cs="Arial"/>
        </w:rPr>
        <w:fldChar w:fldCharType="end"/>
      </w:r>
      <w:r>
        <w:tab/>
        <w:t xml:space="preserve">Die Technische Arbeitsgruppe für landwirtschaftliche Arten (TWA) hielt ihre zweiundvierzigste Tagung unter Vorsitz von Frau Robyn </w:t>
      </w:r>
      <w:r w:rsidR="00743470">
        <w:t>Hirse</w:t>
      </w:r>
      <w:r>
        <w:t xml:space="preserve"> (Südafrika) vom 17. bis 21. J</w:t>
      </w:r>
      <w:r w:rsidR="009347C4">
        <w:t xml:space="preserve">uni 2013 in Kiew, Ukraine, ab. </w:t>
      </w:r>
      <w:r>
        <w:t>Der Bericht</w:t>
      </w:r>
      <w:r w:rsidR="009347C4">
        <w:t xml:space="preserve"> dieser Tagung ist in Dokument </w:t>
      </w:r>
      <w:r>
        <w:t>TWA/42/31 „Report“ enthalten.</w:t>
      </w:r>
    </w:p>
    <w:p w:rsidR="007C48DB" w:rsidRPr="0048732D" w:rsidRDefault="007C48DB" w:rsidP="007C48DB">
      <w:pPr>
        <w:contextualSpacing/>
        <w:rPr>
          <w:rFonts w:cs="Arial"/>
        </w:rPr>
      </w:pPr>
    </w:p>
    <w:p w:rsidR="007C48DB" w:rsidRDefault="007C48DB" w:rsidP="007C48DB">
      <w:pPr>
        <w:contextualSpacing/>
        <w:rPr>
          <w:rFonts w:cs="Arial"/>
        </w:rPr>
      </w:pPr>
      <w:r>
        <w:rPr>
          <w:rFonts w:cs="Arial"/>
        </w:rPr>
        <w:fldChar w:fldCharType="begin"/>
      </w:r>
      <w:r>
        <w:rPr>
          <w:rFonts w:cs="Arial"/>
        </w:rPr>
        <w:instrText xml:space="preserve"> AUTONUM  </w:instrText>
      </w:r>
      <w:r>
        <w:rPr>
          <w:rFonts w:cs="Arial"/>
        </w:rPr>
        <w:fldChar w:fldCharType="end"/>
      </w:r>
      <w:r>
        <w:tab/>
        <w:t>An der Tagung nahmen 86 Teilnehmer aus 32 Verbandsmitgliedern teil. Die vorbereitende Arbeitstagung fand am Nachmittag des 16. Juni statt und 36 Teilnehmer aus 16 Verbandsmitgliedern nahmen daran teil.</w:t>
      </w:r>
    </w:p>
    <w:p w:rsidR="007C48DB" w:rsidRDefault="007C48DB" w:rsidP="007C48DB">
      <w:pPr>
        <w:contextualSpacing/>
        <w:rPr>
          <w:rFonts w:cs="Arial"/>
        </w:rPr>
      </w:pPr>
    </w:p>
    <w:p w:rsidR="007C48DB" w:rsidRPr="00E95D9A" w:rsidRDefault="007C48DB" w:rsidP="007C48DB">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tab/>
        <w:t>Die TWA wurde von Frau Nataliya Khrapiychuk, Leiterin des Bereich</w:t>
      </w:r>
      <w:r w:rsidR="00825505">
        <w:t>s</w:t>
      </w:r>
      <w:r>
        <w:t xml:space="preserve"> Saatgutproduktion der Landwirtschaftsabteilung, Ministerium für Agrarpolitik und Lebensmittel der Ukraine</w:t>
      </w:r>
      <w:r w:rsidR="00825505">
        <w:t xml:space="preserve">, </w:t>
      </w:r>
      <w:r w:rsidR="00743470">
        <w:t>begrüßt</w:t>
      </w:r>
      <w:r>
        <w:t xml:space="preserve"> und hörte anschließend ein Referat von Herrn Petro Vasyliuk, Direktor, Ukrainisches Institut für Sortenprüfung</w:t>
      </w:r>
      <w:r w:rsidR="00844F74">
        <w:t>,</w:t>
      </w:r>
      <w:r>
        <w:t xml:space="preserve"> über „Rechtsschutz von Pflanzensorten in der Ukraine“ sowie von Frau Svitlana Gryniv, Leiterin der Abteilung für Eignu</w:t>
      </w:r>
      <w:r w:rsidR="00825505">
        <w:t>ngsprüfung von Pflanzensorten im Hinblick auf</w:t>
      </w:r>
      <w:r>
        <w:t xml:space="preserve"> Unterscheidbarkeit, Homogenität und Beständigkeit über „Eignungsprüfung von Pflanzensorten zu Unterscheidbarkeit, Homogenität und Beständigkeit“.</w:t>
      </w:r>
    </w:p>
    <w:p w:rsidR="007C48DB" w:rsidRPr="0048732D" w:rsidRDefault="007C48DB" w:rsidP="007C48DB">
      <w:pPr>
        <w:contextualSpacing/>
        <w:rPr>
          <w:rFonts w:cs="Arial"/>
        </w:rPr>
      </w:pPr>
    </w:p>
    <w:p w:rsidR="007C48DB" w:rsidRDefault="007C48DB" w:rsidP="007C48DB">
      <w:pPr>
        <w:contextualSpacing/>
        <w:rPr>
          <w:rFonts w:cs="Arial"/>
        </w:rPr>
      </w:pPr>
      <w:r>
        <w:rPr>
          <w:rFonts w:cs="Arial"/>
        </w:rPr>
        <w:fldChar w:fldCharType="begin"/>
      </w:r>
      <w:r>
        <w:rPr>
          <w:rFonts w:cs="Arial"/>
        </w:rPr>
        <w:instrText xml:space="preserve"> AUTONUM  </w:instrText>
      </w:r>
      <w:r>
        <w:rPr>
          <w:rFonts w:cs="Arial"/>
        </w:rPr>
        <w:fldChar w:fldCharType="end"/>
      </w:r>
      <w:r>
        <w:tab/>
        <w:t>Die TWA nahm zur Kenntnis, daß die Informationen über Entwicklungen beim Sortenschutz von Mitgliedern und Beobachtern in Doku</w:t>
      </w:r>
      <w:r w:rsidR="009347C4">
        <w:t xml:space="preserve">ment TWA/42/28 dargelegt ist. </w:t>
      </w:r>
      <w:r>
        <w:t>Darauf folgte ein Referat vom Verbandsbüro über die jüngsten Entwicklungen in der UPOV und ein Referat über die Ergebnisse der vom TC auf seiner neunundvierzigsten Tagung angeforderten Befragung von 2012 über die Verbesserung der Effektivität der Technischen Arbeitsgruppen, wovon eine K</w:t>
      </w:r>
      <w:r w:rsidR="00825505">
        <w:t>opie in Dokument TWA/42/27 Add.</w:t>
      </w:r>
      <w:r>
        <w:t xml:space="preserve"> enthalten ist.</w:t>
      </w:r>
    </w:p>
    <w:p w:rsidR="007C48DB" w:rsidRDefault="007C48DB" w:rsidP="007C48DB">
      <w:pPr>
        <w:contextualSpacing/>
        <w:rPr>
          <w:rFonts w:cs="Arial"/>
        </w:rPr>
      </w:pPr>
    </w:p>
    <w:p w:rsidR="007C48DB" w:rsidRDefault="007C48DB" w:rsidP="007C48DB">
      <w:pPr>
        <w:contextualSpacing/>
        <w:rPr>
          <w:rFonts w:cs="Arial"/>
        </w:rPr>
      </w:pPr>
      <w:r>
        <w:rPr>
          <w:rFonts w:cs="Arial"/>
        </w:rPr>
        <w:fldChar w:fldCharType="begin"/>
      </w:r>
      <w:r>
        <w:rPr>
          <w:rFonts w:cs="Arial"/>
        </w:rPr>
        <w:instrText xml:space="preserve"> AUTONUM  </w:instrText>
      </w:r>
      <w:r>
        <w:rPr>
          <w:rFonts w:cs="Arial"/>
        </w:rPr>
        <w:fldChar w:fldCharType="end"/>
      </w:r>
      <w:r>
        <w:tab/>
        <w:t>Nach den Berichten nahm die TWA die Informationen über Entwicklungen in der UPOV im Bereich der molekularen Verfahren, die in Dokument TWA/42/2 „Molekulare Verfahren“</w:t>
      </w:r>
      <w:r w:rsidR="009347C4">
        <w:t xml:space="preserve"> dargelegt sind, zur Kenntnis. </w:t>
      </w:r>
      <w:r>
        <w:t xml:space="preserve">Ferner wurde zur Kenntnis genommen, daß der TC vorgeschlagen hatte, eine koordinierte Tagung der </w:t>
      </w:r>
      <w:r>
        <w:lastRenderedPageBreak/>
        <w:t>Arbeitsgruppe für biochemische und molekulare Verfahren und insbesondere für DNS-Profilierungsverfahren (BMT) mit der Internationale</w:t>
      </w:r>
      <w:r w:rsidR="005449C0">
        <w:t>n</w:t>
      </w:r>
      <w:r>
        <w:t xml:space="preserve"> Organisation für Normierung (ISO), der Internationale Vereinigung für Saatgutprüfung (ISTA) und der Organisation für Wirtschaftliche Zusammenarbeit und Entwicklung (OECD) abzuhalten, die a</w:t>
      </w:r>
      <w:r w:rsidR="005449C0">
        <w:t xml:space="preserve">uch Züchter einschließen würde. </w:t>
      </w:r>
      <w:r>
        <w:t>Falls es nicht möglich wäre, würde in der Zwischenzeit eine Tag</w:t>
      </w:r>
      <w:r w:rsidR="005449C0">
        <w:t>ung mit der BMT anberaumt</w:t>
      </w:r>
      <w:r>
        <w:t>. Die TWA war sich mit dem TC d</w:t>
      </w:r>
      <w:r w:rsidR="009347C4">
        <w:t>arin einig, daß es notwendig sei</w:t>
      </w:r>
      <w:r>
        <w:t>, einem breiteren Publikum, einschließlich Züchtern und der Öffentlichkeit im Allgemeinen, geeignete Information über die Lage in der UPOV im Hinblick auf die Verwendung molekularer Verfahren zur Verfügung zu stellen.</w:t>
      </w:r>
    </w:p>
    <w:p w:rsidR="007C48DB" w:rsidRPr="0048732D" w:rsidRDefault="007C48DB" w:rsidP="007C48DB">
      <w:pPr>
        <w:contextualSpacing/>
        <w:rPr>
          <w:rFonts w:cs="Arial"/>
        </w:rPr>
      </w:pPr>
    </w:p>
    <w:p w:rsidR="007C48DB" w:rsidRDefault="007C48DB" w:rsidP="007C48DB">
      <w:pPr>
        <w:contextualSpacing/>
        <w:rPr>
          <w:rFonts w:cs="Arial"/>
        </w:rPr>
      </w:pPr>
      <w:r>
        <w:rPr>
          <w:rFonts w:cs="Arial"/>
        </w:rPr>
        <w:fldChar w:fldCharType="begin"/>
      </w:r>
      <w:r>
        <w:rPr>
          <w:rFonts w:cs="Arial"/>
        </w:rPr>
        <w:instrText xml:space="preserve"> AUTONUM  </w:instrText>
      </w:r>
      <w:r>
        <w:rPr>
          <w:rFonts w:cs="Arial"/>
        </w:rPr>
        <w:fldChar w:fldCharType="end"/>
      </w:r>
      <w:r>
        <w:tab/>
        <w:t>Bezüglich der TGP-Dokumente nahm die TWA die vom TC für die künftige Überarbeitung der Dokumente TGP/7 „Erstellung von Prüfungsrichtlinien”, TGP/8 „Prüfungsanlage und Verfahren für die Prüfung von Unterscheidbarkeit, Homogenität und Beständigkeit“ und TGP/9 „Prüfung der Unterscheidbarkeit“ angenommenen Angelegenheiten zur Kenntnis und es wurden mehrere TGP-Dokumente erörtert, namentlich TGP/7, TGP/8 und TGP/14 „Glossar der in den UPOV-Dokumenten verwendeten Begriffe“.</w:t>
      </w:r>
    </w:p>
    <w:p w:rsidR="007C48DB" w:rsidRDefault="007C48DB" w:rsidP="007C48DB">
      <w:pPr>
        <w:contextualSpacing/>
        <w:rPr>
          <w:rFonts w:cs="Arial"/>
        </w:rPr>
      </w:pPr>
    </w:p>
    <w:p w:rsidR="007C48DB" w:rsidRPr="00C762EC" w:rsidRDefault="007C48DB" w:rsidP="007C48DB">
      <w:pPr>
        <w:autoSpaceDE w:val="0"/>
        <w:autoSpaceDN w:val="0"/>
        <w:adjustRightInd w:val="0"/>
        <w:rPr>
          <w:rFonts w:cs="Arial"/>
        </w:rPr>
      </w:pPr>
      <w:r w:rsidRPr="00C762EC">
        <w:rPr>
          <w:rFonts w:cs="Arial"/>
        </w:rPr>
        <w:fldChar w:fldCharType="begin"/>
      </w:r>
      <w:r w:rsidRPr="00C762EC">
        <w:rPr>
          <w:rFonts w:cs="Arial"/>
        </w:rPr>
        <w:instrText xml:space="preserve"> AUTONUM  </w:instrText>
      </w:r>
      <w:r w:rsidRPr="00C762EC">
        <w:rPr>
          <w:rFonts w:cs="Arial"/>
        </w:rPr>
        <w:fldChar w:fldCharType="end"/>
      </w:r>
      <w:r>
        <w:tab/>
        <w:t>Bei der Überarbeitung von TGP/7 prüfte die TWA Dokument TWA/42/9 „</w:t>
      </w:r>
      <w:r w:rsidR="009347C4" w:rsidRPr="009347C4">
        <w:t>Überarbeitung von Dok</w:t>
      </w:r>
      <w:r w:rsidRPr="009347C4">
        <w:t xml:space="preserve">ument TGP/7: </w:t>
      </w:r>
      <w:r w:rsidR="009347C4" w:rsidRPr="009347C4">
        <w:t>Zusätzlicher Standardwortlaut für Wachstumsperiode für tropische Arten</w:t>
      </w:r>
      <w:r>
        <w:t>” und nahm die darin enthaltene Information zur Kenntnis. Die TWA bat darum, daß der Verfasser des Vorschlags die Beziehung zwischen einer einzelnen Blüte und der Ernte</w:t>
      </w:r>
      <w:r w:rsidR="005449C0">
        <w:t xml:space="preserve"> der Früchte klarstellen solle.</w:t>
      </w:r>
      <w:r>
        <w:t xml:space="preserve"> Die TWA prüf</w:t>
      </w:r>
      <w:r w:rsidR="003F24AC">
        <w:t xml:space="preserve">te auch die Dokumente: </w:t>
      </w:r>
      <w:r>
        <w:t>TWA/42/10 „</w:t>
      </w:r>
      <w:r w:rsidR="008105A7" w:rsidRPr="009347C4">
        <w:t>Überarbeitung von Dokument</w:t>
      </w:r>
      <w:r w:rsidR="008105A7" w:rsidRPr="003F24AC">
        <w:rPr>
          <w:i/>
        </w:rPr>
        <w:t xml:space="preserve"> </w:t>
      </w:r>
      <w:r w:rsidR="008105A7" w:rsidRPr="008105A7">
        <w:t>TGP/7: Ursprung von Vermehrungsm</w:t>
      </w:r>
      <w:r w:rsidRPr="008105A7">
        <w:t>aterial</w:t>
      </w:r>
      <w:r>
        <w:t>”, TWA/42/11 „</w:t>
      </w:r>
      <w:r w:rsidR="008105A7" w:rsidRPr="009347C4">
        <w:t>Überarbeitung von Dokument</w:t>
      </w:r>
      <w:r w:rsidR="008105A7" w:rsidRPr="003F24AC">
        <w:rPr>
          <w:i/>
        </w:rPr>
        <w:t xml:space="preserve"> </w:t>
      </w:r>
      <w:r w:rsidRPr="00844F74">
        <w:t>TGP/7:</w:t>
      </w:r>
      <w:r w:rsidRPr="003F24AC">
        <w:rPr>
          <w:i/>
        </w:rPr>
        <w:t xml:space="preserve"> </w:t>
      </w:r>
      <w:r w:rsidR="008105A7" w:rsidRPr="008105A7">
        <w:t>Angabe des Entwicklungsstadiums in Prüfungsrichtlinien</w:t>
      </w:r>
      <w:r w:rsidR="008105A7">
        <w:t>“</w:t>
      </w:r>
      <w:r>
        <w:t>, TWA/42/12 „</w:t>
      </w:r>
      <w:r w:rsidR="008105A7" w:rsidRPr="008105A7">
        <w:t>Überarbeitung von Dok</w:t>
      </w:r>
      <w:r w:rsidRPr="008105A7">
        <w:t xml:space="preserve">ument TGP/7: </w:t>
      </w:r>
      <w:r w:rsidR="008105A7" w:rsidRPr="008105A7">
        <w:t>Bereitstellung von Farbabbildungen in Prüfungsrichtlinien</w:t>
      </w:r>
      <w:r w:rsidRPr="008105A7">
        <w:t>”</w:t>
      </w:r>
      <w:r>
        <w:t xml:space="preserve"> und TWA/42/13 „</w:t>
      </w:r>
      <w:r w:rsidR="008105A7" w:rsidRPr="008105A7">
        <w:t>Überarbeitung von Dok</w:t>
      </w:r>
      <w:r w:rsidRPr="008105A7">
        <w:t xml:space="preserve">ument TGP/7: </w:t>
      </w:r>
      <w:r w:rsidR="008105A7" w:rsidRPr="008105A7">
        <w:t>Anwesenheit des führenden Sachverständigen bei Tagungen der Technischen Arbeitsgruppen</w:t>
      </w:r>
      <w:r w:rsidR="003F24AC" w:rsidRPr="008105A7">
        <w:t>”</w:t>
      </w:r>
      <w:r w:rsidR="003F24AC">
        <w:t xml:space="preserve"> u</w:t>
      </w:r>
      <w:r>
        <w:t xml:space="preserve">nd </w:t>
      </w:r>
      <w:r w:rsidR="003F24AC">
        <w:t>es wurden mehrere Vorschläge und Anmerkungen gemacht und zur Kenntnis genommen</w:t>
      </w:r>
      <w:r>
        <w:t>.</w:t>
      </w:r>
    </w:p>
    <w:p w:rsidR="007C48DB" w:rsidRPr="00C762EC" w:rsidRDefault="007C48DB" w:rsidP="007C48DB">
      <w:pPr>
        <w:contextualSpacing/>
        <w:rPr>
          <w:rFonts w:cs="Arial"/>
        </w:rPr>
      </w:pPr>
    </w:p>
    <w:p w:rsidR="007C48DB" w:rsidRPr="00572FCC" w:rsidRDefault="007C48DB" w:rsidP="007C48DB">
      <w:pPr>
        <w:contextualSpacing/>
        <w:rPr>
          <w:rFonts w:cs="Arial"/>
        </w:rPr>
      </w:pPr>
      <w:r w:rsidRPr="00C762EC">
        <w:rPr>
          <w:rFonts w:cs="Arial"/>
        </w:rPr>
        <w:fldChar w:fldCharType="begin"/>
      </w:r>
      <w:r w:rsidRPr="00C762EC">
        <w:rPr>
          <w:rFonts w:cs="Arial"/>
        </w:rPr>
        <w:instrText xml:space="preserve"> AUTONUM  </w:instrText>
      </w:r>
      <w:r w:rsidRPr="00C762EC">
        <w:rPr>
          <w:rFonts w:cs="Arial"/>
        </w:rPr>
        <w:fldChar w:fldCharType="end"/>
      </w:r>
      <w:r>
        <w:tab/>
        <w:t>TGP/8 „</w:t>
      </w:r>
      <w:r w:rsidR="009569B4" w:rsidRPr="009569B4">
        <w:t>Prüfungsanlage und Verfahren für die Prüfung der Unterscheidbarkeit, der Homogenität und der Beständigkeit</w:t>
      </w:r>
      <w:r>
        <w:t xml:space="preserve">”: es wurden mehrere Dokumente geprüft und die in diesen Dokumenten </w:t>
      </w:r>
      <w:r w:rsidR="00743470">
        <w:t>enthaltenen</w:t>
      </w:r>
      <w:r>
        <w:t xml:space="preserve"> Informationen wurden zur Kenntnis genommen und erörtert und es wurden bestimmte Vorschläge und Empfehlungen gemacht.  </w:t>
      </w:r>
    </w:p>
    <w:p w:rsidR="009C3464" w:rsidRDefault="009C3464" w:rsidP="007C48DB">
      <w:pPr>
        <w:autoSpaceDE w:val="0"/>
        <w:autoSpaceDN w:val="0"/>
        <w:adjustRightInd w:val="0"/>
        <w:rPr>
          <w:rFonts w:cs="Arial"/>
        </w:rPr>
      </w:pPr>
    </w:p>
    <w:p w:rsidR="007C48DB" w:rsidRPr="00C762EC" w:rsidRDefault="007C48DB" w:rsidP="007C48DB">
      <w:pPr>
        <w:autoSpaceDE w:val="0"/>
        <w:autoSpaceDN w:val="0"/>
        <w:adjustRightInd w:val="0"/>
        <w:rPr>
          <w:rFonts w:cs="Arial"/>
        </w:rPr>
      </w:pPr>
      <w:r w:rsidRPr="00C762EC">
        <w:rPr>
          <w:rFonts w:cs="Arial"/>
        </w:rPr>
        <w:fldChar w:fldCharType="begin"/>
      </w:r>
      <w:r w:rsidRPr="00C762EC">
        <w:rPr>
          <w:rFonts w:cs="Arial"/>
        </w:rPr>
        <w:instrText xml:space="preserve"> AUTONUM  </w:instrText>
      </w:r>
      <w:r w:rsidRPr="00C762EC">
        <w:rPr>
          <w:rFonts w:cs="Arial"/>
        </w:rPr>
        <w:fldChar w:fldCharType="end"/>
      </w:r>
      <w:r>
        <w:tab/>
        <w:t>Dokument TWA/42/21 „</w:t>
      </w:r>
      <w:r w:rsidR="008105A7">
        <w:t xml:space="preserve">Überarbeitung von Dokument </w:t>
      </w:r>
      <w:r w:rsidR="008105A7" w:rsidRPr="008105A7">
        <w:t>TGP/14: Abschnitt 2: Botanische Begriffe, Unterabschnitt</w:t>
      </w:r>
      <w:r w:rsidRPr="008105A7">
        <w:t xml:space="preserve"> 3:</w:t>
      </w:r>
      <w:r w:rsidR="008105A7" w:rsidRPr="008105A7">
        <w:t xml:space="preserve"> Farbe</w:t>
      </w:r>
      <w:r w:rsidR="00D036AE">
        <w:t xml:space="preserve">“: die </w:t>
      </w:r>
      <w:r>
        <w:t>Definition von „dot“ (Punkt) wurde geprüft und man war sich dari</w:t>
      </w:r>
      <w:r w:rsidR="008105A7">
        <w:t>n einig, daß es nicht sinnvoll sei, eine Begriffsbestimmung von „dot“</w:t>
      </w:r>
      <w:r>
        <w:t xml:space="preserve"> in Dokument TGP/14 bereitzustellen und nahm zur Kenntnis, daß die Begriffe „dot“ und „spot“ </w:t>
      </w:r>
      <w:r w:rsidR="008105A7">
        <w:t xml:space="preserve">in den unterschiedlichen UPOV-Sprachen </w:t>
      </w:r>
      <w:r>
        <w:t>sowohl als Synonym</w:t>
      </w:r>
      <w:r w:rsidR="00D036AE">
        <w:t>e</w:t>
      </w:r>
      <w:r>
        <w:t xml:space="preserve"> als auch als </w:t>
      </w:r>
      <w:r w:rsidR="008105A7">
        <w:t>separate Begriffe nützlich seien</w:t>
      </w:r>
      <w:r>
        <w:t xml:space="preserve">. </w:t>
      </w:r>
    </w:p>
    <w:p w:rsidR="007C48DB" w:rsidRDefault="007C48DB" w:rsidP="007C48DB">
      <w:pPr>
        <w:autoSpaceDE w:val="0"/>
        <w:autoSpaceDN w:val="0"/>
        <w:adjustRightInd w:val="0"/>
        <w:rPr>
          <w:rFonts w:cs="Arial"/>
        </w:rPr>
      </w:pPr>
    </w:p>
    <w:p w:rsidR="007C48DB" w:rsidRPr="00572FCC" w:rsidRDefault="007C48DB" w:rsidP="007C48DB">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tab/>
        <w:t xml:space="preserve">Die TWA nahm die in Dokument TWA/42/4 </w:t>
      </w:r>
      <w:r w:rsidRPr="009569B4">
        <w:t>„</w:t>
      </w:r>
      <w:r w:rsidR="009569B4" w:rsidRPr="009569B4">
        <w:t>Sortenbezeichnungen</w:t>
      </w:r>
      <w:r w:rsidRPr="009569B4">
        <w:t>”</w:t>
      </w:r>
      <w:r>
        <w:t xml:space="preserve"> enthaltenen Informationen und die Entwicklungen betreffend die Internationale Kom</w:t>
      </w:r>
      <w:r w:rsidR="006A67A7">
        <w:t>m</w:t>
      </w:r>
      <w:r>
        <w:t>ission für die Nomenklatur der Kulturpflanzen (International Commission for the Nomenclature of Cultivated Plants) der Internationalen Vereinigung der biologischen Wissenschaften (International Union for Biological Sciences) (IUBS-Kommission) und die Internationale Gesellschaft für Gartenbaukunde (ISHS-Kommission), die für die UPOV von Belang sind, zur Kenntnis. Die TWA nahm auch den geplanten Beitrag des Verbandsbüros zum Entwurf einer geme</w:t>
      </w:r>
      <w:r w:rsidR="006A67A7">
        <w:t>insamen Mitteilung</w:t>
      </w:r>
      <w:r>
        <w:t xml:space="preserve"> zur Veröffentlichung im </w:t>
      </w:r>
      <w:r>
        <w:rPr>
          <w:i/>
        </w:rPr>
        <w:t>Hanburyana Journal</w:t>
      </w:r>
      <w:r>
        <w:t xml:space="preserve"> und die Beteiligung der UPOV an der IUBS-Kommission zur Kenntnis.</w:t>
      </w:r>
    </w:p>
    <w:p w:rsidR="007C48DB" w:rsidRPr="00572FCC" w:rsidRDefault="007C48DB" w:rsidP="007C48DB">
      <w:pPr>
        <w:contextualSpacing/>
        <w:rPr>
          <w:rFonts w:cs="Arial"/>
        </w:rPr>
      </w:pPr>
    </w:p>
    <w:p w:rsidR="007C48DB" w:rsidRPr="00003CE7" w:rsidRDefault="007C48DB" w:rsidP="007C48DB">
      <w:pPr>
        <w:autoSpaceDE w:val="0"/>
        <w:autoSpaceDN w:val="0"/>
        <w:adjustRightInd w:val="0"/>
        <w:rPr>
          <w:rFonts w:cs="Arial"/>
        </w:rPr>
      </w:pPr>
      <w:r w:rsidRPr="00003CE7">
        <w:rPr>
          <w:rFonts w:cs="Arial"/>
        </w:rPr>
        <w:fldChar w:fldCharType="begin"/>
      </w:r>
      <w:r w:rsidRPr="00003CE7">
        <w:rPr>
          <w:rFonts w:cs="Arial"/>
        </w:rPr>
        <w:instrText xml:space="preserve"> AUTONUM  </w:instrText>
      </w:r>
      <w:r w:rsidRPr="00003CE7">
        <w:rPr>
          <w:rFonts w:cs="Arial"/>
        </w:rPr>
        <w:fldChar w:fldCharType="end"/>
      </w:r>
      <w:r>
        <w:tab/>
        <w:t>Die Prüfung der Homogenität wurde in Dokument TWA/42/22 „</w:t>
      </w:r>
      <w:r w:rsidR="009569B4" w:rsidRPr="009569B4">
        <w:t>Prüfung der Homogenität anhand von Abweichern aufgrund von mehr als einer Probe oder Unterproben</w:t>
      </w:r>
      <w:r>
        <w:t>” und Dokument TWA/42/26 „</w:t>
      </w:r>
      <w:r w:rsidR="00466260" w:rsidRPr="00466260">
        <w:t>Prüfung der Homogenität von aus Mutation hervorgehenden Apfelsorten</w:t>
      </w:r>
      <w:r>
        <w:t xml:space="preserve">” erörtert. </w:t>
      </w:r>
    </w:p>
    <w:p w:rsidR="007C48DB" w:rsidRPr="00572FCC" w:rsidRDefault="007C48DB" w:rsidP="007C48DB">
      <w:pPr>
        <w:contextualSpacing/>
        <w:rPr>
          <w:rFonts w:cs="Arial"/>
        </w:rPr>
      </w:pPr>
    </w:p>
    <w:p w:rsidR="007C48DB" w:rsidRPr="00572FCC" w:rsidRDefault="007C48DB" w:rsidP="007C48DB">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tab/>
        <w:t xml:space="preserve">Die TWA hörte ein Referat von einem Sachverständigen aus der Ukraine über Erfahrungen mit neuen Typen und Arten, einschließlich der neuen Art </w:t>
      </w:r>
      <w:r>
        <w:rPr>
          <w:i/>
        </w:rPr>
        <w:t>Sorghum oryzoidum</w:t>
      </w:r>
      <w:r>
        <w:t xml:space="preserve">, </w:t>
      </w:r>
      <w:r w:rsidR="00466260" w:rsidRPr="00466260">
        <w:t>einem Gattungsh</w:t>
      </w:r>
      <w:r w:rsidRPr="00466260">
        <w:t xml:space="preserve">ybriden zwischen </w:t>
      </w:r>
      <w:r w:rsidRPr="00466260">
        <w:rPr>
          <w:i/>
        </w:rPr>
        <w:t xml:space="preserve">Sorghum bicolor </w:t>
      </w:r>
      <w:r w:rsidRPr="00466260">
        <w:t xml:space="preserve">und </w:t>
      </w:r>
      <w:r w:rsidRPr="00466260">
        <w:rPr>
          <w:i/>
        </w:rPr>
        <w:t>Oryza sativa</w:t>
      </w:r>
      <w:r w:rsidR="00165E38" w:rsidRPr="00466260">
        <w:rPr>
          <w:i/>
        </w:rPr>
        <w:t>,</w:t>
      </w:r>
      <w:r w:rsidR="00165E38" w:rsidRPr="00165E38">
        <w:t xml:space="preserve"> </w:t>
      </w:r>
      <w:r w:rsidR="00165E38">
        <w:t>in diesem Land.</w:t>
      </w:r>
      <w:r>
        <w:t xml:space="preserve"> </w:t>
      </w:r>
    </w:p>
    <w:p w:rsidR="007C48DB" w:rsidRPr="00572FCC" w:rsidRDefault="007C48DB" w:rsidP="007C48DB">
      <w:pPr>
        <w:contextualSpacing/>
        <w:rPr>
          <w:rFonts w:cs="Arial"/>
        </w:rPr>
      </w:pPr>
    </w:p>
    <w:p w:rsidR="007C48DB" w:rsidRPr="00572FCC" w:rsidRDefault="007C48DB" w:rsidP="007C48DB">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tab/>
        <w:t>Die TWA prüfte Dokument TWA/42/25 Add. „</w:t>
      </w:r>
      <w:r w:rsidRPr="007E04C3">
        <w:rPr>
          <w:i/>
        </w:rPr>
        <w:t>Addendum to Pea Study Databa</w:t>
      </w:r>
      <w:r>
        <w:t>se“ und stimmte dem von der TWV vorgeschlagenen Entwurf einer Teilüberarbeitung der Pr</w:t>
      </w:r>
      <w:r w:rsidR="007E04C3">
        <w:t>üfungsrichtlinien für Erbse zu.</w:t>
      </w:r>
      <w:r>
        <w:t xml:space="preserve"> Auf dieser Grundlage war die TWA damit einverstanden, dem TC im April 2014 die Teilüberarbeitung der Prüfung</w:t>
      </w:r>
      <w:r w:rsidR="007E04C3">
        <w:t>srichtlinie für Erbse vorzuleg</w:t>
      </w:r>
      <w:r>
        <w:t>en. Die TWA begrüßte die Ergebnisse der Studie über di</w:t>
      </w:r>
      <w:r w:rsidR="007E04C3">
        <w:t>e</w:t>
      </w:r>
      <w:r>
        <w:t xml:space="preserve"> Erbsend</w:t>
      </w:r>
      <w:r w:rsidR="000B68DB">
        <w:t>atenbank und merkte an, daß sie</w:t>
      </w:r>
      <w:r>
        <w:t xml:space="preserve"> ein</w:t>
      </w:r>
      <w:r w:rsidR="000B68DB">
        <w:t>e</w:t>
      </w:r>
      <w:r>
        <w:t xml:space="preserve"> g</w:t>
      </w:r>
      <w:r w:rsidR="000B68DB">
        <w:t>ute Methode</w:t>
      </w:r>
      <w:r>
        <w:t xml:space="preserve"> zur Verbesserung von Prüfungsrichtlinien darstelle. </w:t>
      </w:r>
    </w:p>
    <w:p w:rsidR="007C48DB" w:rsidRPr="00572FCC" w:rsidRDefault="007C48DB" w:rsidP="007C48DB">
      <w:pPr>
        <w:contextualSpacing/>
        <w:rPr>
          <w:rFonts w:cs="Arial"/>
        </w:rPr>
      </w:pPr>
    </w:p>
    <w:p w:rsidR="007C48DB" w:rsidRPr="00572FCC" w:rsidRDefault="007C48DB" w:rsidP="007C48DB">
      <w:pPr>
        <w:autoSpaceDE w:val="0"/>
        <w:autoSpaceDN w:val="0"/>
        <w:adjustRightInd w:val="0"/>
        <w:rPr>
          <w:rFonts w:cs="Arial"/>
          <w:color w:val="000000"/>
        </w:rPr>
      </w:pPr>
      <w:r>
        <w:rPr>
          <w:rFonts w:cs="Arial"/>
        </w:rPr>
        <w:lastRenderedPageBreak/>
        <w:fldChar w:fldCharType="begin"/>
      </w:r>
      <w:r>
        <w:rPr>
          <w:rFonts w:cs="Arial"/>
        </w:rPr>
        <w:instrText xml:space="preserve"> AUTONUM  </w:instrText>
      </w:r>
      <w:r>
        <w:rPr>
          <w:rFonts w:cs="Arial"/>
        </w:rPr>
        <w:fldChar w:fldCharType="end"/>
      </w:r>
      <w:r>
        <w:tab/>
      </w:r>
      <w:r>
        <w:rPr>
          <w:color w:val="000000"/>
        </w:rPr>
        <w:t>Im Hinblick auf die „Anleitung für Verfasser von Prüfungsrichtlinien“ prüfte die TWA Dokument TWA/42/24</w:t>
      </w:r>
      <w:r w:rsidR="00743470">
        <w:rPr>
          <w:color w:val="000000"/>
        </w:rPr>
        <w:t>.</w:t>
      </w:r>
      <w:r w:rsidR="00743470">
        <w:t xml:space="preserve"> </w:t>
      </w:r>
      <w:r>
        <w:t xml:space="preserve">Die TWA nahm auch den Plan für die </w:t>
      </w:r>
      <w:r w:rsidR="007E04C3">
        <w:t xml:space="preserve">Entwicklung eines Prototyps </w:t>
      </w:r>
      <w:r>
        <w:t>eine</w:t>
      </w:r>
      <w:r w:rsidR="007E04C3">
        <w:t>r</w:t>
      </w:r>
      <w:r>
        <w:t xml:space="preserve"> webbasierte</w:t>
      </w:r>
      <w:r w:rsidR="007E04C3">
        <w:t>n</w:t>
      </w:r>
      <w:r>
        <w:t xml:space="preserve"> TG-Vorlage zur Prüfung durch interessierte Sachverständige bis Ende 2013 zur Kenntnis.</w:t>
      </w:r>
      <w:r>
        <w:rPr>
          <w:color w:val="000000"/>
        </w:rPr>
        <w:t xml:space="preserve"> Die TWA befürwortete die Initiative und vereinbarte, die Arbeit an der TG-Vorlage fortzusetzen. </w:t>
      </w:r>
    </w:p>
    <w:p w:rsidR="007C48DB" w:rsidRDefault="007C48DB" w:rsidP="007C48DB">
      <w:pPr>
        <w:contextualSpacing/>
        <w:rPr>
          <w:rFonts w:cs="Arial"/>
          <w:color w:val="000000"/>
        </w:rPr>
      </w:pPr>
    </w:p>
    <w:p w:rsidR="007C48DB" w:rsidRPr="00003CE7" w:rsidRDefault="007C48DB" w:rsidP="007C48DB">
      <w:pPr>
        <w:contextualSpacing/>
        <w:rPr>
          <w:rFonts w:cs="Arial"/>
          <w:color w:val="000000"/>
        </w:rPr>
      </w:pPr>
      <w:r w:rsidRPr="00003CE7">
        <w:rPr>
          <w:rFonts w:cs="Arial"/>
        </w:rPr>
        <w:fldChar w:fldCharType="begin"/>
      </w:r>
      <w:r w:rsidRPr="00003CE7">
        <w:rPr>
          <w:rFonts w:cs="Arial"/>
        </w:rPr>
        <w:instrText xml:space="preserve"> AUTONUM  </w:instrText>
      </w:r>
      <w:r w:rsidRPr="00003CE7">
        <w:rPr>
          <w:rFonts w:cs="Arial"/>
        </w:rPr>
        <w:fldChar w:fldCharType="end"/>
      </w:r>
      <w:r>
        <w:tab/>
        <w:t>Die Entwicklungen im Hinblick auf Informationen und Datenbanken wurden in folgenden Dokumenten geprüft.</w:t>
      </w:r>
      <w:r>
        <w:rPr>
          <w:color w:val="000000"/>
        </w:rPr>
        <w:t xml:space="preserve"> </w:t>
      </w:r>
      <w:r w:rsidR="00743470">
        <w:rPr>
          <w:color w:val="000000"/>
        </w:rPr>
        <w:t>TWA/42/5 „</w:t>
      </w:r>
      <w:r w:rsidR="00743470" w:rsidRPr="00743470">
        <w:rPr>
          <w:color w:val="000000"/>
        </w:rPr>
        <w:t>UPOV-Informationsdatenbanken</w:t>
      </w:r>
      <w:r w:rsidR="00743470">
        <w:rPr>
          <w:color w:val="000000"/>
        </w:rPr>
        <w:t>”, TWA/42/6 „</w:t>
      </w:r>
      <w:r w:rsidR="00743470" w:rsidRPr="00743470">
        <w:rPr>
          <w:color w:val="000000"/>
        </w:rPr>
        <w:t>Datenbanken für Sortenbeschreibungen</w:t>
      </w:r>
      <w:r w:rsidR="00743470">
        <w:rPr>
          <w:color w:val="000000"/>
        </w:rPr>
        <w:t>”, TWA/42/7 „</w:t>
      </w:r>
      <w:r w:rsidR="00743470" w:rsidRPr="00743470">
        <w:rPr>
          <w:color w:val="000000"/>
        </w:rPr>
        <w:t>Austauschbare Software</w:t>
      </w:r>
      <w:r w:rsidR="00743470">
        <w:rPr>
          <w:color w:val="000000"/>
        </w:rPr>
        <w:t>” und TWA/42/8 „</w:t>
      </w:r>
      <w:r w:rsidR="00743470" w:rsidRPr="00743470">
        <w:rPr>
          <w:color w:val="000000"/>
        </w:rPr>
        <w:t>Elektronisches System für die Einreichung von Anträgen</w:t>
      </w:r>
      <w:r w:rsidR="00743470">
        <w:rPr>
          <w:color w:val="000000"/>
        </w:rPr>
        <w:t>”.</w:t>
      </w:r>
    </w:p>
    <w:p w:rsidR="007C48DB" w:rsidRDefault="007C48DB" w:rsidP="007C48DB">
      <w:pPr>
        <w:contextualSpacing/>
        <w:rPr>
          <w:rFonts w:cs="Arial"/>
          <w:color w:val="000000"/>
        </w:rPr>
      </w:pPr>
    </w:p>
    <w:p w:rsidR="007C48DB" w:rsidRPr="00572FCC" w:rsidRDefault="007C48DB" w:rsidP="007C48DB">
      <w:pPr>
        <w:contextualSpacing/>
        <w:rPr>
          <w:rFonts w:cs="Arial"/>
          <w:color w:val="000000"/>
        </w:rPr>
      </w:pPr>
      <w:r>
        <w:rPr>
          <w:rFonts w:cs="Arial"/>
        </w:rPr>
        <w:fldChar w:fldCharType="begin"/>
      </w:r>
      <w:r>
        <w:rPr>
          <w:rFonts w:cs="Arial"/>
        </w:rPr>
        <w:instrText xml:space="preserve"> AUTONUM  </w:instrText>
      </w:r>
      <w:r>
        <w:rPr>
          <w:rFonts w:cs="Arial"/>
        </w:rPr>
        <w:fldChar w:fldCharType="end"/>
      </w:r>
      <w:r>
        <w:tab/>
      </w:r>
      <w:r>
        <w:rPr>
          <w:color w:val="000000"/>
        </w:rPr>
        <w:t xml:space="preserve">Die TWA erörterte 11 Prüfungsrichtlinienentwürfe und vereinbarte, dem TC drei dieser Prüfungsrichtlinien, nämlich Erdnuß, Wiesenrispe und Rhodesgras vorzulegen. Es wurde vereinbart, im Jahr 2014 folgende Entwürfe von Prüfungsrichtlinien zu erörtern: </w:t>
      </w:r>
      <w:r w:rsidR="00B6231A" w:rsidRPr="00FC0E42">
        <w:rPr>
          <w:color w:val="000000"/>
        </w:rPr>
        <w:t>Adlay, Adzukibohne</w:t>
      </w:r>
      <w:r w:rsidRPr="00FC0E42">
        <w:rPr>
          <w:color w:val="000000"/>
        </w:rPr>
        <w:t>, Maniok, Casto</w:t>
      </w:r>
      <w:r w:rsidR="00FC0E42" w:rsidRPr="00FC0E42">
        <w:rPr>
          <w:color w:val="000000"/>
        </w:rPr>
        <w:t>rbohne</w:t>
      </w:r>
      <w:r w:rsidR="00B6231A" w:rsidRPr="00FC0E42">
        <w:rPr>
          <w:color w:val="000000"/>
        </w:rPr>
        <w:t>, Elytrigia, Fingerhirse, Ginseng, Quinoa, Skorpiongras</w:t>
      </w:r>
      <w:r w:rsidRPr="00FC0E42">
        <w:rPr>
          <w:color w:val="000000"/>
        </w:rPr>
        <w:t>, Mohrenhirse, Ur</w:t>
      </w:r>
      <w:r w:rsidR="00B6231A" w:rsidRPr="00FC0E42">
        <w:rPr>
          <w:color w:val="000000"/>
        </w:rPr>
        <w:t xml:space="preserve">ochloa, Weizen und </w:t>
      </w:r>
      <w:r w:rsidR="00FC0E42" w:rsidRPr="00FC0E42">
        <w:rPr>
          <w:color w:val="000000"/>
        </w:rPr>
        <w:t>gelbe Kartoffel</w:t>
      </w:r>
      <w:r w:rsidRPr="00FC0E42">
        <w:rPr>
          <w:color w:val="000000"/>
        </w:rPr>
        <w:t>.</w:t>
      </w:r>
    </w:p>
    <w:p w:rsidR="007C48DB" w:rsidRPr="0048732D" w:rsidRDefault="007C48DB" w:rsidP="007C48DB">
      <w:pPr>
        <w:contextualSpacing/>
        <w:rPr>
          <w:rFonts w:cs="Arial"/>
          <w:color w:val="000000"/>
        </w:rPr>
      </w:pPr>
    </w:p>
    <w:p w:rsidR="007C48DB" w:rsidRPr="00CE233F" w:rsidRDefault="007C48DB" w:rsidP="007C48DB">
      <w:pPr>
        <w:autoSpaceDE w:val="0"/>
        <w:autoSpaceDN w:val="0"/>
        <w:adjustRightInd w:val="0"/>
        <w:rPr>
          <w:rFonts w:eastAsia="MS Mincho" w:cs="Arial"/>
        </w:rPr>
      </w:pPr>
      <w:r>
        <w:rPr>
          <w:rFonts w:cs="Arial"/>
        </w:rPr>
        <w:fldChar w:fldCharType="begin"/>
      </w:r>
      <w:r>
        <w:rPr>
          <w:rFonts w:cs="Arial"/>
        </w:rPr>
        <w:instrText xml:space="preserve"> AUTONUM  </w:instrText>
      </w:r>
      <w:r>
        <w:rPr>
          <w:rFonts w:cs="Arial"/>
        </w:rPr>
        <w:fldChar w:fldCharType="end"/>
      </w:r>
      <w:r>
        <w:tab/>
        <w:t xml:space="preserve">Auf Einladung Argentiniens vereinbarte die TWA, ihre dreiundvierzigste Tagung </w:t>
      </w:r>
      <w:r w:rsidR="007778DE">
        <w:t>vom 17. bis 21. November mit d</w:t>
      </w:r>
      <w:r>
        <w:t>er vorbereitenden Arbeitstagung am 16. November 2014 in Mar del Plata, Argentinien, abzuhalten.</w:t>
      </w:r>
    </w:p>
    <w:p w:rsidR="007C48DB" w:rsidRPr="0048732D" w:rsidRDefault="007C48DB" w:rsidP="007C48DB">
      <w:pPr>
        <w:autoSpaceDE w:val="0"/>
        <w:autoSpaceDN w:val="0"/>
        <w:adjustRightInd w:val="0"/>
        <w:rPr>
          <w:rFonts w:cs="Arial"/>
        </w:rPr>
      </w:pPr>
    </w:p>
    <w:p w:rsidR="007C48DB" w:rsidRPr="00DE0C53" w:rsidRDefault="007C48DB" w:rsidP="007C48DB">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tab/>
        <w:t xml:space="preserve">Die TWA schlug vor, auf ihrer dreiundvierzigsten Tagung folgende Punkte zu prüfen: </w:t>
      </w:r>
    </w:p>
    <w:p w:rsidR="007C48DB" w:rsidRDefault="007C48DB" w:rsidP="00B71517">
      <w:pPr>
        <w:numPr>
          <w:ilvl w:val="0"/>
          <w:numId w:val="15"/>
        </w:numPr>
        <w:tabs>
          <w:tab w:val="clear" w:pos="360"/>
          <w:tab w:val="num" w:pos="1134"/>
        </w:tabs>
        <w:spacing w:before="20" w:afterLines="20" w:after="48"/>
        <w:ind w:left="1134" w:hanging="567"/>
        <w:rPr>
          <w:rFonts w:cs="Arial"/>
        </w:rPr>
      </w:pPr>
      <w:r>
        <w:t>Eröffnung der Tagung</w:t>
      </w:r>
    </w:p>
    <w:p w:rsidR="007C48DB" w:rsidRDefault="007C48DB" w:rsidP="00B71517">
      <w:pPr>
        <w:numPr>
          <w:ilvl w:val="0"/>
          <w:numId w:val="15"/>
        </w:numPr>
        <w:tabs>
          <w:tab w:val="clear" w:pos="360"/>
          <w:tab w:val="num" w:pos="1134"/>
        </w:tabs>
        <w:spacing w:before="20" w:afterLines="20" w:after="48"/>
        <w:ind w:left="1134" w:hanging="567"/>
        <w:rPr>
          <w:rFonts w:cs="Arial"/>
        </w:rPr>
      </w:pPr>
      <w:r>
        <w:t>Annahme der Tagesordnung</w:t>
      </w:r>
    </w:p>
    <w:p w:rsidR="007C48DB" w:rsidRPr="00DE0C53" w:rsidRDefault="007C48DB" w:rsidP="00B71517">
      <w:pPr>
        <w:numPr>
          <w:ilvl w:val="0"/>
          <w:numId w:val="15"/>
        </w:numPr>
        <w:tabs>
          <w:tab w:val="clear" w:pos="360"/>
          <w:tab w:val="num" w:pos="1134"/>
        </w:tabs>
        <w:spacing w:before="20" w:afterLines="20" w:after="48"/>
        <w:ind w:left="1134" w:hanging="567"/>
        <w:rPr>
          <w:rFonts w:cs="Arial"/>
        </w:rPr>
      </w:pPr>
      <w:r>
        <w:t>Kurzberichte über die Entwicklungen im Sortenschutz</w:t>
      </w:r>
    </w:p>
    <w:p w:rsidR="007C48DB" w:rsidRDefault="007C48DB" w:rsidP="007C48DB">
      <w:pPr>
        <w:numPr>
          <w:ilvl w:val="0"/>
          <w:numId w:val="16"/>
        </w:numPr>
        <w:tabs>
          <w:tab w:val="num" w:pos="1134"/>
          <w:tab w:val="num" w:pos="1494"/>
        </w:tabs>
        <w:spacing w:before="20" w:afterLines="20" w:after="48"/>
        <w:ind w:left="1494"/>
        <w:rPr>
          <w:rFonts w:cs="Arial"/>
        </w:rPr>
      </w:pPr>
      <w:r>
        <w:t>Berichte von Mitgliedern und Beobachtern (mündliche Berichte von den Teilnehmern)</w:t>
      </w:r>
    </w:p>
    <w:p w:rsidR="007C48DB" w:rsidRPr="00DE0C53" w:rsidRDefault="007C48DB" w:rsidP="007C48DB">
      <w:pPr>
        <w:numPr>
          <w:ilvl w:val="0"/>
          <w:numId w:val="16"/>
        </w:numPr>
        <w:tabs>
          <w:tab w:val="num" w:pos="1134"/>
          <w:tab w:val="num" w:pos="1494"/>
        </w:tabs>
        <w:spacing w:before="20" w:afterLines="20" w:after="48"/>
        <w:ind w:left="1494"/>
        <w:rPr>
          <w:rFonts w:cs="Arial"/>
        </w:rPr>
      </w:pPr>
      <w:r>
        <w:t>Berichte über Entwicklungen in der UPOV (mündlicher Bericht durch das Verbandsbüro)</w:t>
      </w:r>
    </w:p>
    <w:p w:rsidR="007C48DB" w:rsidRPr="00DE0C53" w:rsidRDefault="007C48DB" w:rsidP="007C48DB">
      <w:pPr>
        <w:numPr>
          <w:ilvl w:val="0"/>
          <w:numId w:val="15"/>
        </w:numPr>
        <w:tabs>
          <w:tab w:val="clear" w:pos="360"/>
        </w:tabs>
        <w:spacing w:before="20" w:afterLines="20" w:after="48"/>
        <w:ind w:left="1134" w:hanging="567"/>
        <w:rPr>
          <w:rFonts w:cs="Arial"/>
        </w:rPr>
      </w:pPr>
      <w:r>
        <w:t>Molekulare Verfahren (vom Verbandsbüro zu erstellendes Dokument)</w:t>
      </w:r>
    </w:p>
    <w:p w:rsidR="007C48DB" w:rsidRPr="00DE0C53" w:rsidRDefault="007C48DB" w:rsidP="007C48DB">
      <w:pPr>
        <w:numPr>
          <w:ilvl w:val="0"/>
          <w:numId w:val="15"/>
        </w:numPr>
        <w:tabs>
          <w:tab w:val="clear" w:pos="360"/>
        </w:tabs>
        <w:spacing w:before="20" w:afterLines="20" w:after="48"/>
        <w:ind w:left="1134" w:hanging="567"/>
        <w:rPr>
          <w:rFonts w:cs="Arial"/>
        </w:rPr>
      </w:pPr>
      <w:r>
        <w:t xml:space="preserve">TGP-Dokumente </w:t>
      </w:r>
    </w:p>
    <w:p w:rsidR="007C48DB" w:rsidRDefault="007C48DB" w:rsidP="007C48DB">
      <w:pPr>
        <w:numPr>
          <w:ilvl w:val="0"/>
          <w:numId w:val="15"/>
        </w:numPr>
        <w:tabs>
          <w:tab w:val="clear" w:pos="360"/>
        </w:tabs>
        <w:spacing w:before="20" w:afterLines="20" w:after="48"/>
        <w:ind w:left="1134" w:hanging="567"/>
        <w:rPr>
          <w:rFonts w:cs="Arial"/>
        </w:rPr>
      </w:pPr>
      <w:r>
        <w:t>Sortenbezeichnungen (vom Verbandsbüro zu erstellendes Dokument)</w:t>
      </w:r>
    </w:p>
    <w:p w:rsidR="007C48DB" w:rsidRDefault="007C48DB" w:rsidP="007C48DB">
      <w:pPr>
        <w:numPr>
          <w:ilvl w:val="0"/>
          <w:numId w:val="15"/>
        </w:numPr>
        <w:tabs>
          <w:tab w:val="clear" w:pos="360"/>
        </w:tabs>
        <w:spacing w:before="20" w:afterLines="20" w:after="48"/>
        <w:ind w:left="1134" w:hanging="567"/>
        <w:rPr>
          <w:rFonts w:cs="Arial"/>
        </w:rPr>
      </w:pPr>
      <w:r>
        <w:t>Informationen und Datenbanken</w:t>
      </w:r>
    </w:p>
    <w:p w:rsidR="007C48DB" w:rsidRPr="00012F77" w:rsidRDefault="007C48DB" w:rsidP="007C48DB">
      <w:pPr>
        <w:pStyle w:val="ListParagraph"/>
        <w:numPr>
          <w:ilvl w:val="0"/>
          <w:numId w:val="17"/>
        </w:numPr>
        <w:spacing w:before="20" w:afterLines="20" w:after="48" w:line="276" w:lineRule="auto"/>
        <w:contextualSpacing w:val="0"/>
        <w:rPr>
          <w:rFonts w:cs="Arial"/>
        </w:rPr>
      </w:pPr>
      <w:r>
        <w:t>UPOV-Informationsdatenbanken (vom Verbandsbüro zu erstellendes Dokument)</w:t>
      </w:r>
    </w:p>
    <w:p w:rsidR="007C48DB" w:rsidRPr="00DE0C53" w:rsidRDefault="007C48DB" w:rsidP="007C48DB">
      <w:pPr>
        <w:spacing w:before="20" w:afterLines="20" w:after="48"/>
        <w:ind w:left="1584" w:hanging="450"/>
        <w:rPr>
          <w:rFonts w:cs="Arial"/>
        </w:rPr>
      </w:pPr>
      <w:r>
        <w:t>b)</w:t>
      </w:r>
      <w:r>
        <w:tab/>
        <w:t>Datenbanken für Sortenbeschreibungen (vom Verbandsbüro zu erstellendes Dokument und erbetene Dokumente)</w:t>
      </w:r>
    </w:p>
    <w:p w:rsidR="007C48DB" w:rsidRPr="00DE0C53" w:rsidRDefault="007C48DB" w:rsidP="007C48DB">
      <w:pPr>
        <w:spacing w:before="20" w:afterLines="20" w:after="48"/>
        <w:ind w:left="1584" w:hanging="450"/>
        <w:rPr>
          <w:rFonts w:cs="Arial"/>
        </w:rPr>
      </w:pPr>
      <w:r>
        <w:t>c)  Austauschbare Software (vom Verbandsbüro zu erstellende Dokumente)</w:t>
      </w:r>
    </w:p>
    <w:p w:rsidR="007C48DB" w:rsidRPr="00DE0C53" w:rsidRDefault="007778DE" w:rsidP="007C48DB">
      <w:pPr>
        <w:spacing w:before="20" w:afterLines="20" w:after="48"/>
        <w:ind w:left="1584" w:hanging="450"/>
        <w:rPr>
          <w:rFonts w:cs="Arial"/>
        </w:rPr>
      </w:pPr>
      <w:r>
        <w:t>d)  Elek</w:t>
      </w:r>
      <w:r w:rsidR="007C48DB">
        <w:t>tronische Systeme für die Einreichung von Anträgen (vom Verbandsbüro zu erstellendes Dokument)</w:t>
      </w:r>
    </w:p>
    <w:p w:rsidR="007C48DB" w:rsidRDefault="007C48DB" w:rsidP="007C48DB">
      <w:pPr>
        <w:numPr>
          <w:ilvl w:val="0"/>
          <w:numId w:val="15"/>
        </w:numPr>
        <w:tabs>
          <w:tab w:val="clear" w:pos="360"/>
        </w:tabs>
        <w:spacing w:before="20" w:afterLines="20" w:after="48"/>
        <w:ind w:left="1134" w:hanging="567"/>
        <w:rPr>
          <w:rFonts w:cs="Arial"/>
        </w:rPr>
      </w:pPr>
      <w:r>
        <w:t>Homogenitätsprüfung</w:t>
      </w:r>
    </w:p>
    <w:p w:rsidR="007C48DB" w:rsidRPr="00DE0C53" w:rsidRDefault="007C48DB" w:rsidP="007C48DB">
      <w:pPr>
        <w:numPr>
          <w:ilvl w:val="0"/>
          <w:numId w:val="15"/>
        </w:numPr>
        <w:tabs>
          <w:tab w:val="clear" w:pos="360"/>
        </w:tabs>
        <w:spacing w:before="20" w:afterLines="20" w:after="48"/>
        <w:ind w:left="1134" w:hanging="567"/>
        <w:rPr>
          <w:rFonts w:cs="Arial"/>
        </w:rPr>
      </w:pPr>
      <w:r>
        <w:t>Angelegenheiten, die bezüglich der vom Technischen Ausschuß angenommenen Prüfungsrichtlinien zu bereinigen sind (sofern zweckmäßig)</w:t>
      </w:r>
    </w:p>
    <w:p w:rsidR="007C48DB" w:rsidRDefault="007C48DB" w:rsidP="007C48DB">
      <w:pPr>
        <w:numPr>
          <w:ilvl w:val="0"/>
          <w:numId w:val="15"/>
        </w:numPr>
        <w:tabs>
          <w:tab w:val="clear" w:pos="360"/>
        </w:tabs>
        <w:spacing w:before="20" w:afterLines="20" w:after="48"/>
        <w:ind w:left="1134" w:hanging="567"/>
        <w:rPr>
          <w:rFonts w:cs="Arial"/>
        </w:rPr>
      </w:pPr>
      <w:r>
        <w:t>Erörterung über Entwürfe von Prüfungsrichtlinien (Untergruppen)</w:t>
      </w:r>
    </w:p>
    <w:p w:rsidR="007C48DB" w:rsidRPr="00DE0C53" w:rsidRDefault="007C48DB" w:rsidP="007C48DB">
      <w:pPr>
        <w:numPr>
          <w:ilvl w:val="0"/>
          <w:numId w:val="15"/>
        </w:numPr>
        <w:tabs>
          <w:tab w:val="clear" w:pos="360"/>
        </w:tabs>
        <w:spacing w:before="20" w:afterLines="20" w:after="48"/>
        <w:ind w:left="1134" w:hanging="567"/>
        <w:rPr>
          <w:rFonts w:cs="Arial"/>
        </w:rPr>
      </w:pPr>
      <w:r>
        <w:t>Empfehlungen zu Entwürfen von Prüfungsrichtlinien</w:t>
      </w:r>
    </w:p>
    <w:p w:rsidR="007C48DB" w:rsidRPr="00DE0C53" w:rsidRDefault="007C48DB" w:rsidP="007C48DB">
      <w:pPr>
        <w:numPr>
          <w:ilvl w:val="0"/>
          <w:numId w:val="15"/>
        </w:numPr>
        <w:tabs>
          <w:tab w:val="clear" w:pos="360"/>
        </w:tabs>
        <w:spacing w:before="20" w:afterLines="20" w:after="48"/>
        <w:ind w:left="1134" w:hanging="567"/>
        <w:rPr>
          <w:rFonts w:cs="Arial"/>
        </w:rPr>
      </w:pPr>
      <w:r>
        <w:t>Anleitung für Verfasser von Prüfungsrichtlinien</w:t>
      </w:r>
    </w:p>
    <w:p w:rsidR="007C48DB" w:rsidRPr="00DE0C53" w:rsidRDefault="007C48DB" w:rsidP="007C48DB">
      <w:pPr>
        <w:numPr>
          <w:ilvl w:val="0"/>
          <w:numId w:val="15"/>
        </w:numPr>
        <w:tabs>
          <w:tab w:val="clear" w:pos="360"/>
        </w:tabs>
        <w:spacing w:before="20" w:afterLines="20" w:after="48"/>
        <w:ind w:left="1134" w:hanging="567"/>
        <w:rPr>
          <w:rFonts w:cs="Arial"/>
        </w:rPr>
      </w:pPr>
      <w:r>
        <w:t>Ort und Datum der nächsten Tagung</w:t>
      </w:r>
    </w:p>
    <w:p w:rsidR="007C48DB" w:rsidRPr="00DE0C53" w:rsidRDefault="007C48DB" w:rsidP="007C48DB">
      <w:pPr>
        <w:numPr>
          <w:ilvl w:val="0"/>
          <w:numId w:val="15"/>
        </w:numPr>
        <w:tabs>
          <w:tab w:val="clear" w:pos="360"/>
        </w:tabs>
        <w:spacing w:before="20" w:afterLines="20" w:after="48"/>
        <w:ind w:left="1134" w:hanging="567"/>
        <w:rPr>
          <w:rFonts w:cs="Arial"/>
        </w:rPr>
      </w:pPr>
      <w:r>
        <w:t>Künftiges Programm</w:t>
      </w:r>
    </w:p>
    <w:p w:rsidR="007C48DB" w:rsidRPr="00DE0C53" w:rsidRDefault="007C48DB" w:rsidP="007C48DB">
      <w:pPr>
        <w:numPr>
          <w:ilvl w:val="0"/>
          <w:numId w:val="15"/>
        </w:numPr>
        <w:tabs>
          <w:tab w:val="clear" w:pos="360"/>
        </w:tabs>
        <w:spacing w:before="20" w:afterLines="20" w:after="48"/>
        <w:ind w:left="1134" w:hanging="567"/>
        <w:rPr>
          <w:rFonts w:cs="Arial"/>
        </w:rPr>
      </w:pPr>
      <w:r>
        <w:t>Bericht über die Tagung (falls es die Zeit erlaubt)</w:t>
      </w:r>
    </w:p>
    <w:p w:rsidR="007C48DB" w:rsidRPr="00DE0C53" w:rsidRDefault="007C48DB" w:rsidP="007C48DB">
      <w:pPr>
        <w:numPr>
          <w:ilvl w:val="0"/>
          <w:numId w:val="15"/>
        </w:numPr>
        <w:tabs>
          <w:tab w:val="clear" w:pos="360"/>
        </w:tabs>
        <w:spacing w:before="20" w:afterLines="20" w:after="48"/>
        <w:ind w:left="1134" w:hanging="567"/>
        <w:rPr>
          <w:rFonts w:cs="Arial"/>
        </w:rPr>
      </w:pPr>
      <w:r>
        <w:t>Schließung der Tagung</w:t>
      </w:r>
    </w:p>
    <w:p w:rsidR="007C48DB" w:rsidRPr="0048732D" w:rsidRDefault="007C48DB" w:rsidP="007C48DB">
      <w:pPr>
        <w:autoSpaceDE w:val="0"/>
        <w:autoSpaceDN w:val="0"/>
        <w:adjustRightInd w:val="0"/>
        <w:rPr>
          <w:rFonts w:cs="Arial"/>
        </w:rPr>
      </w:pPr>
    </w:p>
    <w:p w:rsidR="007C48DB" w:rsidRDefault="007C48DB" w:rsidP="007C48DB">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tab/>
      </w:r>
      <w:r w:rsidR="000614AC" w:rsidRPr="000614AC">
        <w:t>Am Abend des 17. Juni 2013 besuchte die TWA den nationalen bota</w:t>
      </w:r>
      <w:r w:rsidR="000614AC">
        <w:t>nischen Garten Grishko, wo sie</w:t>
      </w:r>
      <w:r w:rsidR="000614AC" w:rsidRPr="000614AC">
        <w:t xml:space="preserve"> ein Referat über die Sammlungen landwirtschaftlicher und zahlreicher anderer Arten, einschließlich Rosen und Obstbäume, von Herrn Dzhamal B. Rakhmetov, Doktor der Agrarwissenschaften und Leiter der Abteilung für alternative Pflanzen am nationalen botanischen Garten Grishko</w:t>
      </w:r>
      <w:r w:rsidR="000614AC">
        <w:t>,</w:t>
      </w:r>
      <w:r w:rsidR="000614AC" w:rsidRPr="000614AC">
        <w:t xml:space="preserve"> und Frau Olena Rubtsova, Doktor der Biowissenschaften und leitende Forschungsbeauftragte des botanischen Gartens Grishko</w:t>
      </w:r>
      <w:r w:rsidR="000614AC">
        <w:t>, hörte</w:t>
      </w:r>
      <w:r w:rsidR="000614AC" w:rsidRPr="000614AC">
        <w:t xml:space="preserve">. </w:t>
      </w:r>
    </w:p>
    <w:p w:rsidR="007C48DB" w:rsidRDefault="007C48DB" w:rsidP="007C48DB">
      <w:pPr>
        <w:autoSpaceDE w:val="0"/>
        <w:autoSpaceDN w:val="0"/>
        <w:adjustRightInd w:val="0"/>
        <w:rPr>
          <w:rFonts w:cs="Arial"/>
        </w:rPr>
      </w:pPr>
    </w:p>
    <w:p w:rsidR="007C48DB" w:rsidRPr="00993826" w:rsidRDefault="007C48DB" w:rsidP="005D2FEA">
      <w:pPr>
        <w:autoSpaceDE w:val="0"/>
        <w:autoSpaceDN w:val="0"/>
        <w:adjustRightInd w:val="0"/>
        <w:spacing w:after="240"/>
      </w:pPr>
      <w:r>
        <w:rPr>
          <w:rFonts w:cs="Arial"/>
        </w:rPr>
        <w:fldChar w:fldCharType="begin"/>
      </w:r>
      <w:r>
        <w:rPr>
          <w:rFonts w:cs="Arial"/>
        </w:rPr>
        <w:instrText xml:space="preserve"> AUTONUM  </w:instrText>
      </w:r>
      <w:r>
        <w:rPr>
          <w:rFonts w:cs="Arial"/>
        </w:rPr>
        <w:fldChar w:fldCharType="end"/>
      </w:r>
      <w:r>
        <w:tab/>
      </w:r>
      <w:r w:rsidR="000614AC">
        <w:t>Am Nachmittag des 20. Juni 2013 besuchte die TWA das staatliche Sortenprüfzentrum Mankivka im Dorf Dzenzelivka in der Region Mankivka, Cherkasy oblast, wo sie von Herrn Oled Levchenko, Direktor, staatliche Sortenprüfstelle Mankivka begrüßt wurde.</w:t>
      </w:r>
      <w:r w:rsidR="00993826">
        <w:t xml:space="preserve"> </w:t>
      </w:r>
      <w:r w:rsidR="000614AC">
        <w:t xml:space="preserve">Die Hauptaufgabe des staatlichen Prüfungszentrums Mankivka ist die Durchführung von Wertprüfung von Sorten auf dem Feld, die DUS-Prüfung und die Nachprüfung sowie auch </w:t>
      </w:r>
      <w:r w:rsidR="00993826">
        <w:t>die Krankheitheitsresistenzprüfung</w:t>
      </w:r>
      <w:r w:rsidR="000614AC">
        <w:t xml:space="preserve"> mehrerer landwirtschaftlicher Arten, wie etwa Weichweizen, Gerste, Hartweizen, Hafer und Sojabohne</w:t>
      </w:r>
      <w:r>
        <w:t xml:space="preserve">. </w:t>
      </w:r>
    </w:p>
    <w:p w:rsidR="00FD394F" w:rsidRDefault="007C48DB" w:rsidP="00FD394F">
      <w:pPr>
        <w:autoSpaceDE w:val="0"/>
        <w:autoSpaceDN w:val="0"/>
        <w:adjustRightInd w:val="0"/>
      </w:pPr>
      <w:r>
        <w:rPr>
          <w:rFonts w:cs="Arial"/>
        </w:rPr>
        <w:lastRenderedPageBreak/>
        <w:fldChar w:fldCharType="begin"/>
      </w:r>
      <w:r>
        <w:rPr>
          <w:rFonts w:cs="Arial"/>
        </w:rPr>
        <w:instrText xml:space="preserve"> AUTONUM  </w:instrText>
      </w:r>
      <w:r>
        <w:rPr>
          <w:rFonts w:cs="Arial"/>
        </w:rPr>
        <w:fldChar w:fldCharType="end"/>
      </w:r>
      <w:r>
        <w:tab/>
      </w:r>
      <w:r w:rsidR="00FD394F">
        <w:t>Die TWA vereinbarte, dem TC vorzuschlagen, daß er dem Rat empfehle, Herrn Tanvir Hossain</w:t>
      </w:r>
    </w:p>
    <w:p w:rsidR="00FD394F" w:rsidRPr="00572FCC" w:rsidRDefault="00FD394F" w:rsidP="00FD394F">
      <w:pPr>
        <w:autoSpaceDE w:val="0"/>
        <w:autoSpaceDN w:val="0"/>
        <w:adjustRightInd w:val="0"/>
        <w:rPr>
          <w:rFonts w:cs="Arial"/>
        </w:rPr>
      </w:pPr>
      <w:r>
        <w:t>(Australien) zum nächsten Vorsitzenden der TWA zu wählen.</w:t>
      </w:r>
    </w:p>
    <w:p w:rsidR="007C48DB" w:rsidRPr="00572FCC" w:rsidRDefault="007C48DB" w:rsidP="007C48DB">
      <w:pPr>
        <w:autoSpaceDE w:val="0"/>
        <w:autoSpaceDN w:val="0"/>
        <w:adjustRightInd w:val="0"/>
        <w:rPr>
          <w:rFonts w:cs="Arial"/>
        </w:rPr>
      </w:pPr>
    </w:p>
    <w:p w:rsidR="00B71517" w:rsidRDefault="00B71517" w:rsidP="007C48DB">
      <w:pPr>
        <w:autoSpaceDE w:val="0"/>
        <w:autoSpaceDN w:val="0"/>
        <w:adjustRightInd w:val="0"/>
        <w:rPr>
          <w:rFonts w:cs="Arial"/>
        </w:rPr>
      </w:pPr>
    </w:p>
    <w:p w:rsidR="007C48DB" w:rsidRDefault="006826D1" w:rsidP="00B71517">
      <w:pPr>
        <w:pStyle w:val="Heading2"/>
      </w:pPr>
      <w:bookmarkStart w:id="214" w:name="_Toc393187186"/>
      <w:bookmarkStart w:id="215" w:name="_Toc395605414"/>
      <w:r w:rsidRPr="006826D1">
        <w:t>Technische Arbeitsgruppe für Automatisierung und Computerprogramme (TWC)</w:t>
      </w:r>
      <w:bookmarkEnd w:id="214"/>
      <w:bookmarkEnd w:id="215"/>
    </w:p>
    <w:p w:rsidR="00B71517" w:rsidRDefault="00B71517" w:rsidP="00B71517"/>
    <w:p w:rsidR="00B71517" w:rsidRDefault="00B71517" w:rsidP="00B71517">
      <w:pPr>
        <w:rPr>
          <w:rFonts w:cs="Arial"/>
        </w:rPr>
      </w:pPr>
      <w:r>
        <w:rPr>
          <w:rFonts w:cs="Arial"/>
        </w:rPr>
        <w:fldChar w:fldCharType="begin"/>
      </w:r>
      <w:r>
        <w:rPr>
          <w:rFonts w:cs="Arial"/>
        </w:rPr>
        <w:instrText xml:space="preserve"> AUTONUM  </w:instrText>
      </w:r>
      <w:r>
        <w:rPr>
          <w:rFonts w:cs="Arial"/>
        </w:rPr>
        <w:fldChar w:fldCharType="end"/>
      </w:r>
      <w:r>
        <w:tab/>
      </w:r>
      <w:r w:rsidR="00824FFC" w:rsidRPr="00824FFC">
        <w:t>Die Technische Arbeitsgruppe für Automatisierung und Computerprogramme (TWC) hielt ihre einunddreißigste Tagung vom 4. bis 7. Juni 2013 unter dem Vorsitz von Herrn Sami Markkanen (Finnland) in Seoul, Republik Korea, ab.</w:t>
      </w:r>
    </w:p>
    <w:p w:rsidR="00B71517" w:rsidRPr="00156127" w:rsidRDefault="00B71517" w:rsidP="00B71517">
      <w:pPr>
        <w:rPr>
          <w:rFonts w:cs="Arial"/>
        </w:rPr>
      </w:pPr>
    </w:p>
    <w:p w:rsidR="00B71517" w:rsidRDefault="00B71517" w:rsidP="00B71517">
      <w:pPr>
        <w:rPr>
          <w:rFonts w:cs="Arial"/>
        </w:rPr>
      </w:pPr>
      <w:r>
        <w:rPr>
          <w:rFonts w:cs="Arial"/>
        </w:rPr>
        <w:fldChar w:fldCharType="begin"/>
      </w:r>
      <w:r>
        <w:rPr>
          <w:rFonts w:cs="Arial"/>
        </w:rPr>
        <w:instrText xml:space="preserve"> AUTONUM  </w:instrText>
      </w:r>
      <w:r>
        <w:rPr>
          <w:rFonts w:cs="Arial"/>
        </w:rPr>
        <w:fldChar w:fldCharType="end"/>
      </w:r>
      <w:r>
        <w:tab/>
      </w:r>
      <w:r w:rsidR="00824FFC" w:rsidRPr="00824FFC">
        <w:t>An der TWC-Tagung nahmen 43 Teilnehmer aus 12 Verbandsmitgliedern teil.</w:t>
      </w:r>
      <w:r>
        <w:t xml:space="preserve"> </w:t>
      </w:r>
      <w:r w:rsidR="00824FFC" w:rsidRPr="00824FFC">
        <w:t>Die vorbereitende Arbeitstagung fand am Nachmittag des Montags, 3. Juni statt und 23 Teilnehmer aus 10 Verbandsmitgliedern nahmen daran teil. Während der Tagung wurden 37 Dokumente erörtert.</w:t>
      </w:r>
      <w:r>
        <w:t xml:space="preserve"> </w:t>
      </w:r>
      <w:r w:rsidR="00824FFC">
        <w:t>Mittels elektronischer Übertragung via Internet wurden vier Referate gehalten</w:t>
      </w:r>
      <w:r>
        <w:t>.</w:t>
      </w:r>
    </w:p>
    <w:p w:rsidR="00B71517" w:rsidRPr="00156127" w:rsidRDefault="00B71517" w:rsidP="00B71517">
      <w:pPr>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sidR="00C21DFE">
        <w:tab/>
        <w:t>Die TWC wurde von Herrn Shin Hyun Kwan, Generaldirektor, Koreanische Saatgut- und Sortenstelle</w:t>
      </w:r>
      <w:r>
        <w:t xml:space="preserve"> </w:t>
      </w:r>
      <w:r w:rsidR="00C21DFE">
        <w:t>(KSVS), Landwirtschaftsministerium</w:t>
      </w:r>
      <w:r>
        <w:t xml:space="preserve">, </w:t>
      </w:r>
      <w:r w:rsidR="00C21DFE">
        <w:t xml:space="preserve">Ernährung und ländliche Angelegenheiten </w:t>
      </w:r>
      <w:r w:rsidR="00993826">
        <w:t>(MAFRA) b</w:t>
      </w:r>
      <w:r w:rsidR="00C21DFE">
        <w:t>egrüßt. Die</w:t>
      </w:r>
      <w:r>
        <w:t xml:space="preserve"> TWC</w:t>
      </w:r>
      <w:r w:rsidR="00C21DFE">
        <w:t xml:space="preserve"> hörte ein Referat über das Sortenschutzsystem in der Republik Korea</w:t>
      </w:r>
      <w:r>
        <w:t xml:space="preserve"> </w:t>
      </w:r>
      <w:r w:rsidR="00C21DFE">
        <w:t>von Herrn Lee Sang Hyug, Direk</w:t>
      </w:r>
      <w:r>
        <w:t xml:space="preserve">tor, </w:t>
      </w:r>
      <w:r w:rsidR="00C21DFE">
        <w:t>Sortenschutzabteilung</w:t>
      </w:r>
      <w:r>
        <w:t>, KSVS, MAFRA.</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sidR="00577580">
        <w:tab/>
      </w:r>
      <w:r w:rsidR="00577580" w:rsidRPr="00577580">
        <w:t xml:space="preserve">Die TWC hörte ein Referat von Sachverständigen aus China über die Forschung zur Erstellung einer DNS-Fingerabdrucksdatenbank für </w:t>
      </w:r>
      <w:r w:rsidR="002E07A5" w:rsidRPr="00577580">
        <w:t>Mais und</w:t>
      </w:r>
      <w:r w:rsidR="00577580" w:rsidRPr="00577580">
        <w:t xml:space="preserve"> schlug vor, daß die Information der BMT zur V</w:t>
      </w:r>
      <w:r w:rsidR="00577580">
        <w:t>erfügung gestellt werden sollte</w:t>
      </w:r>
      <w:r>
        <w:t>.</w:t>
      </w:r>
    </w:p>
    <w:p w:rsidR="00B71517" w:rsidRPr="00156127" w:rsidRDefault="00B71517" w:rsidP="00B71517">
      <w:pPr>
        <w:autoSpaceDE w:val="0"/>
        <w:autoSpaceDN w:val="0"/>
        <w:adjustRightInd w:val="0"/>
        <w:rPr>
          <w:rFonts w:cs="Arial"/>
          <w:iCs/>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tab/>
        <w:t xml:space="preserve">TGP/8 </w:t>
      </w:r>
      <w:r w:rsidR="00577580">
        <w:t>„</w:t>
      </w:r>
      <w:r w:rsidR="00577580" w:rsidRPr="00577580">
        <w:t>Prüfungsanlage und Verfahren für die Prüfung der Unterscheidbarkeit, der Homogenität und der Beständigkeit</w:t>
      </w:r>
      <w:r w:rsidR="00577580">
        <w:t>”: Die TWC prüfte Dok</w:t>
      </w:r>
      <w:r>
        <w:t xml:space="preserve">ument TWC/31/14 </w:t>
      </w:r>
      <w:r w:rsidR="00577580">
        <w:t>„</w:t>
      </w:r>
      <w:r w:rsidR="00577580" w:rsidRPr="00577580">
        <w:t>Minimierung der Variation infolge verschiedener Erfasser</w:t>
      </w:r>
      <w:r>
        <w:t>“</w:t>
      </w:r>
      <w:r w:rsidR="00577580">
        <w:t xml:space="preserve"> für Teil I von</w:t>
      </w:r>
      <w:r>
        <w:t xml:space="preserve"> TGP/8 </w:t>
      </w:r>
      <w:r w:rsidR="00577580">
        <w:t>und merkte an, daß der Verfasser aus den Niederlanden nicht mehr an den TWC-Tagungen teilnehme. Die TWO u</w:t>
      </w:r>
      <w:r>
        <w:t xml:space="preserve">nd TWV </w:t>
      </w:r>
      <w:r w:rsidR="00577580">
        <w:t xml:space="preserve">hatte Sachverständige vorgeschlagen, um bei der Entwicklung weiterer Anleitung im Hinblick auf Anleitung zu </w:t>
      </w:r>
      <w:r>
        <w:t>PQ</w:t>
      </w:r>
      <w:r w:rsidR="00BE4264">
        <w:t>- und QN/MG-Merkmalen Unterstützung zu leist</w:t>
      </w:r>
      <w:r w:rsidR="00577580">
        <w:t>en. Die</w:t>
      </w:r>
      <w:r>
        <w:t xml:space="preserve"> TWF </w:t>
      </w:r>
      <w:r w:rsidR="00BE4264">
        <w:t xml:space="preserve">hatte </w:t>
      </w:r>
      <w:r w:rsidR="002E07A5">
        <w:t>vorgeschlagen</w:t>
      </w:r>
      <w:r w:rsidR="00BE4264">
        <w:t>, daß ein Sachverständiger aus Neuseeland auf ihrer fünfundvierzigsten Tagung über die Arbeit zur „Veröffentlichung harmonisierter Sortenbeschreibungen für Apfel für eine vereinbarte Sortenserie</w:t>
      </w:r>
      <w:r>
        <w:t>“</w:t>
      </w:r>
      <w:r w:rsidR="00BE4264">
        <w:t xml:space="preserve"> berichten werde, um zu prüfen, ob sie maßgeblich für die Weiterentwicklung der Studien sein könnte</w:t>
      </w:r>
      <w:r>
        <w:t>.</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sidR="00591F43">
        <w:tab/>
        <w:t>Teil II von TGP/8: Die TWC erörterte das Thema „</w:t>
      </w:r>
      <w:r w:rsidR="00591F43" w:rsidRPr="00591F43">
        <w:t>Datenverarbeitung für die Prüfung der Unterscheidbarkeit</w:t>
      </w:r>
      <w:r w:rsidR="00591F43">
        <w:t xml:space="preserve"> und die Erstellung von Sortenbeschreibungen“</w:t>
      </w:r>
      <w:r>
        <w:t xml:space="preserve"> </w:t>
      </w:r>
      <w:r w:rsidR="00591F43">
        <w:t>und hörte ein Referat von einem Sachverständigen aus dem Vereinigten Königreich über eine vorläufige Verwendung des von den Sachverständigen aus Frankreich angebotenen Datensatzes von Lein, um zwei verschiedene Verfahren aus dem Vereinigten Königreich darzustellen. Die</w:t>
      </w:r>
      <w:r>
        <w:t xml:space="preserve"> TWC</w:t>
      </w:r>
      <w:r w:rsidR="00591F43">
        <w:t xml:space="preserve"> nahm zur Kenntnis, daß das Dokument dazu vorbereitet worden sei, darzustellen, inwiefern die verschiedenen Verfahren angewendet werden könnten</w:t>
      </w:r>
      <w:r w:rsidR="00040399">
        <w:t>. Die</w:t>
      </w:r>
      <w:r>
        <w:t xml:space="preserve"> TWC </w:t>
      </w:r>
      <w:r w:rsidR="00040399">
        <w:t xml:space="preserve">wurde darüber informiert, daß auch die Datensätze für Chrysantheme und Erbse aus Japan und den Niederlanden eingegangen seien und </w:t>
      </w:r>
      <w:r w:rsidR="00F55EB2">
        <w:t>den Sachverständigen, die an dem praktischen Versuch</w:t>
      </w:r>
      <w:r w:rsidR="00040399">
        <w:t xml:space="preserve"> teilnehmen, zur Verfügung gestellt werde. </w:t>
      </w:r>
      <w:r w:rsidR="003A7B1C">
        <w:t xml:space="preserve">Während der Erörterungen merkte die </w:t>
      </w:r>
      <w:r>
        <w:t>TWC</w:t>
      </w:r>
      <w:r w:rsidR="003A7B1C">
        <w:t xml:space="preserve"> an, daß es keine Anleitung zur Erstellung von Sortenbeschreibungen für fremdbefruchtende, selbstbefruchtende oder vegetativ vermehrte Pflanzen gebe. Die</w:t>
      </w:r>
      <w:r>
        <w:t xml:space="preserve"> TWC </w:t>
      </w:r>
      <w:r w:rsidR="003A7B1C">
        <w:t>vereinbarte, daß das Verbandsbüro sicherstellen sollte, daß die Pflanzen und Daten im praktischen Versuch alle erwähnten Verfahren für fremdbefruchtende und/oder vegetativ vermehrte Sorten umfassen könnten</w:t>
      </w:r>
      <w:r>
        <w:t>.</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iCs/>
        </w:rPr>
      </w:pPr>
      <w:r>
        <w:rPr>
          <w:rFonts w:cs="Arial"/>
        </w:rPr>
        <w:fldChar w:fldCharType="begin"/>
      </w:r>
      <w:r>
        <w:rPr>
          <w:rFonts w:cs="Arial"/>
        </w:rPr>
        <w:instrText xml:space="preserve"> AUTONUM  </w:instrText>
      </w:r>
      <w:r>
        <w:rPr>
          <w:rFonts w:cs="Arial"/>
        </w:rPr>
        <w:fldChar w:fldCharType="end"/>
      </w:r>
      <w:r w:rsidR="003049FA">
        <w:tab/>
      </w:r>
      <w:r w:rsidR="002E07A5">
        <w:t>Die TWC prüfte das Dokument „</w:t>
      </w:r>
      <w:r w:rsidR="002E07A5" w:rsidRPr="003049FA">
        <w:t>Statistische Verfahren für visuell erfaßte Merkmale</w:t>
      </w:r>
      <w:r w:rsidR="002E07A5">
        <w:t xml:space="preserve">” und stimmte zu, daß das vorgeschlagene Verfahren neu sei und vertrat die Ansicht, daß es gegenüber dem bereits in Dokument TGP/8 für multinomial verteilte Daten, wie visuell erfaßte Merkmale, bereitgestellten Chi Quadrat Test Vorteile aufweise, während COYD für normal verteilte Daten nicht geeignet sei für multinomial verteilte Daten. </w:t>
      </w:r>
      <w:r w:rsidR="002A76A0">
        <w:t>Die</w:t>
      </w:r>
      <w:r>
        <w:t xml:space="preserve"> TWC </w:t>
      </w:r>
      <w:r w:rsidR="002A76A0">
        <w:t>vereinbarte, daß es von Vorteil wäre, das Verfahren für nomial verteilte Daten weiterzuentwickeln und die unter Anwendung der beiden Verfahren aufgrund realer Daten aus Finnland und dem Vereinigten Königreich (Timothy, Red Clover and Meadow Fescue: growth habit) getroffenen Entscheidungen zu vergleichen.</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tab/>
      </w:r>
      <w:r w:rsidR="00B31FA0">
        <w:t xml:space="preserve">Unter Themenpunkt austauschbare Software hörte die </w:t>
      </w:r>
      <w:r>
        <w:t xml:space="preserve">TWC </w:t>
      </w:r>
      <w:r w:rsidR="00B31FA0">
        <w:t>ein Referat von einem Sachverständigen aus Frankreich über die Entwicklung eines Farbanalyseverfahrens unter Verwendung der AIM-S</w:t>
      </w:r>
      <w:r>
        <w:t>oftware</w:t>
      </w:r>
      <w:r w:rsidR="00F94439">
        <w:t>, das bei der DUS-Prüfung in Frankreich verwendet werde. Die</w:t>
      </w:r>
      <w:r>
        <w:t xml:space="preserve"> TWC</w:t>
      </w:r>
      <w:r w:rsidR="00F94439">
        <w:t xml:space="preserve"> war sich darin einig, daß die Umweltbedingungen wichtig seien, wenn Photoaufnahmen für die Bildanalyse gemacht werden</w:t>
      </w:r>
      <w:r>
        <w:t>.</w:t>
      </w:r>
    </w:p>
    <w:p w:rsidR="00B71517" w:rsidRPr="00156127" w:rsidRDefault="00B71517" w:rsidP="00B71517">
      <w:pPr>
        <w:autoSpaceDE w:val="0"/>
        <w:autoSpaceDN w:val="0"/>
        <w:adjustRightInd w:val="0"/>
        <w:rPr>
          <w:rFonts w:cs="Arial"/>
        </w:rPr>
      </w:pPr>
    </w:p>
    <w:p w:rsidR="00B71517" w:rsidRDefault="00B71517" w:rsidP="00B71517">
      <w:pPr>
        <w:autoSpaceDE w:val="0"/>
        <w:autoSpaceDN w:val="0"/>
        <w:adjustRightInd w:val="0"/>
      </w:pPr>
      <w:r>
        <w:rPr>
          <w:rFonts w:cs="Arial"/>
        </w:rPr>
        <w:lastRenderedPageBreak/>
        <w:fldChar w:fldCharType="begin"/>
      </w:r>
      <w:r>
        <w:rPr>
          <w:rFonts w:cs="Arial"/>
        </w:rPr>
        <w:instrText xml:space="preserve"> AUTONUM  </w:instrText>
      </w:r>
      <w:r>
        <w:rPr>
          <w:rFonts w:cs="Arial"/>
        </w:rPr>
        <w:fldChar w:fldCharType="end"/>
      </w:r>
      <w:r w:rsidR="0033722E">
        <w:tab/>
        <w:t>Die</w:t>
      </w:r>
      <w:r>
        <w:t xml:space="preserve"> TWC </w:t>
      </w:r>
      <w:r w:rsidR="00551BBE">
        <w:t xml:space="preserve">hörte auf elektronischem Wege </w:t>
      </w:r>
      <w:r w:rsidR="002E07A5">
        <w:t>ein Referat</w:t>
      </w:r>
      <w:r w:rsidR="00F02BB4">
        <w:t xml:space="preserve"> </w:t>
      </w:r>
      <w:r w:rsidR="00551BBE">
        <w:t>von einem Sachverständigen aus Mexik</w:t>
      </w:r>
      <w:r>
        <w:t xml:space="preserve">o </w:t>
      </w:r>
      <w:r w:rsidR="00551BBE">
        <w:t xml:space="preserve">über die </w:t>
      </w:r>
      <w:r>
        <w:t>SISNAVA</w:t>
      </w:r>
      <w:r w:rsidR="00551BBE">
        <w:t>- und SIVAVE-Software, die von Mexik</w:t>
      </w:r>
      <w:r>
        <w:t>o</w:t>
      </w:r>
      <w:r w:rsidR="00551BBE">
        <w:t xml:space="preserve"> zur Aufnahme in Dokument</w:t>
      </w:r>
      <w:r>
        <w:t xml:space="preserve"> UPOV/INF/16 </w:t>
      </w:r>
      <w:r w:rsidR="00741235">
        <w:t>„Austauschbare Software</w:t>
      </w:r>
      <w:r>
        <w:t>”</w:t>
      </w:r>
      <w:r w:rsidR="00741235">
        <w:t xml:space="preserve"> vorgeschlagen wurde. Die TWC vereinbarte, daß die von Mexiko vorgeschlagene  SIVAVE-S</w:t>
      </w:r>
      <w:r>
        <w:t xml:space="preserve">oftware </w:t>
      </w:r>
      <w:r w:rsidR="00741235">
        <w:t xml:space="preserve">für die Aufnahme geeignet sei und ersuchte Mexiko, weitere Informationen über die </w:t>
      </w:r>
      <w:r>
        <w:t>SISNAVA</w:t>
      </w:r>
      <w:r w:rsidR="00741235">
        <w:t>-Software</w:t>
      </w:r>
      <w:r>
        <w:t xml:space="preserve"> </w:t>
      </w:r>
      <w:r w:rsidR="00741235">
        <w:t>vorzulegen, um die Methode der Bestimmung der artenspezifischen Akzeptanzgrenzen</w:t>
      </w:r>
      <w:r w:rsidR="00A639A2">
        <w:t xml:space="preserve"> </w:t>
      </w:r>
      <w:r w:rsidR="00741235">
        <w:t>(Summe der Unterschiede), einschließlich der Rolle der Pflanzensachverständigen in diesem Prozeß zu klären.</w:t>
      </w:r>
    </w:p>
    <w:p w:rsidR="00741235" w:rsidRPr="00156127" w:rsidRDefault="00741235"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tab/>
      </w:r>
      <w:r w:rsidR="002E07A5">
        <w:t xml:space="preserve">Das Thema der Homogenitätsprüfung anhand von Abweichern wurde mit dem Sachverständigen aus Deutschland erörtert, der auf elektronischem Wege ein Referat zu diesem Thema hielt. </w:t>
      </w:r>
      <w:r w:rsidR="00C54D74">
        <w:t>Die</w:t>
      </w:r>
      <w:r>
        <w:t xml:space="preserve"> TWC </w:t>
      </w:r>
      <w:r w:rsidR="00C54D74">
        <w:t>ersuchte die Sachverständigen aus Deutschland, die in der statistischen Grundlage für die annehmbare Anzahl von Abweichern in der Unterprobe von 20 Pflanzen, die bei einer Probengröße von 100 Pflanzen verwendet werden, die Fehler vom Typ I und Typ II zu erklären. Die</w:t>
      </w:r>
      <w:r>
        <w:t xml:space="preserve"> TWC </w:t>
      </w:r>
      <w:r w:rsidR="00C54D74">
        <w:t xml:space="preserve">vereinbarte, die statistische Grundlage für diesen Ansatz auf ihrer </w:t>
      </w:r>
      <w:r w:rsidR="00B158EC">
        <w:t>zweiunddreißigsten Tagung weiter zu erörtern. Die</w:t>
      </w:r>
      <w:r>
        <w:t xml:space="preserve"> TWC </w:t>
      </w:r>
      <w:r w:rsidR="00B158EC">
        <w:t>vereinbarte, daß es nicht zweckmäßig sei, diesen Ansatz für andere Pflanzen oder Probengrößen zu empfehlen, bevor sie sich auf die statistische Grundlage geeinigt habe</w:t>
      </w:r>
      <w:r>
        <w:t>.</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sidR="00774BB8">
        <w:tab/>
        <w:t>Die TWC prüfte Dok</w:t>
      </w:r>
      <w:r>
        <w:t xml:space="preserve">ument </w:t>
      </w:r>
      <w:r w:rsidR="00774BB8">
        <w:t>„</w:t>
      </w:r>
      <w:r w:rsidR="00774BB8" w:rsidRPr="00774BB8">
        <w:t>Verfahren für die Berechnung von COYU</w:t>
      </w:r>
      <w:r>
        <w:t>“</w:t>
      </w:r>
      <w:r w:rsidR="00774BB8">
        <w:t>. Die</w:t>
      </w:r>
      <w:r>
        <w:t xml:space="preserve"> TWC </w:t>
      </w:r>
      <w:r w:rsidR="00774BB8">
        <w:t xml:space="preserve">merkte an, </w:t>
      </w:r>
      <w:r w:rsidR="0026515A" w:rsidRPr="0026515A">
        <w:t>daß das Verfahren für die Berechnung von COYU aufgrund des angewandten Glättungsverfahrens übermäßig streng sei und daß für die Kompensation sehr niedrige Wahrscheinlichkeitsniveaus verwendet würden</w:t>
      </w:r>
      <w:r w:rsidR="0026515A">
        <w:t xml:space="preserve">. </w:t>
      </w:r>
      <w:r w:rsidR="00C14DFB" w:rsidRPr="00C14DFB">
        <w:t>Die TWC war sich darin einig, daß die Verzerrung im derzeitigen Verfahren für die Berechnung von COYU durch einen Übergang vom „gleitenden Durchschnitt“ zu „kubischen Glättungs-Splines“ beim Glättungsverfahren behoben werden könne</w:t>
      </w:r>
      <w:r w:rsidR="00C14DFB">
        <w:t xml:space="preserve">. </w:t>
      </w:r>
      <w:r w:rsidR="00C14DFB" w:rsidRPr="00C14DFB">
        <w:t>Die TWC begrüßte das Angebot von Sachverständigen aus dem Vereinigten Königreich, eine Software für das vorgeschlagene COYU-Verfahren in FORTRAN zur Integration in die DUST-Software zu schreiben und auf der zweiunddreißigsten Tagung der TWC eine Demoversion der DUST-Software unter Verwendung des vorgeschlagenen COYU-Verfahrens vorzustellen</w:t>
      </w:r>
      <w:r>
        <w:t xml:space="preserve">. </w:t>
      </w:r>
      <w:r w:rsidR="00C14DFB" w:rsidRPr="00C14DFB">
        <w:t>Die TWC vereinbarte, daß die beim vorgeschlagenen COYU-Verfahren verwendeten Wahrscheinlichkeitsniveaus ausgehend von der Erfahrung von UPOV-Mitgliedern mit der Anwendung des vorgeschlagenen Verfahrens erörtert werden sollten</w:t>
      </w:r>
      <w:r w:rsidR="00C14DFB">
        <w:t xml:space="preserve">. </w:t>
      </w:r>
      <w:r w:rsidR="00C14DFB" w:rsidRPr="00C14DFB">
        <w:t>Die TWC vereinbarte, daß ein Sachverständiger aus dem Vereinigten Königreich ein Rundschreiben verfassen solle, das vom Verbandsbüro an die Vertreter des TC verbreitet werden solle, um in Erfahrung zu bringen, welche Verbandsmitglieder das derzeitige COYU-Verfahren anwenden und in Verbindung mit welcher Software es verwendet werde</w:t>
      </w:r>
      <w:r w:rsidR="00C14DFB">
        <w:t xml:space="preserve">. </w:t>
      </w:r>
      <w:r w:rsidR="00C14DFB" w:rsidRPr="00C14DFB">
        <w:t>Die TWC vereinbarte, daß Anleitung zur Mindestanzahl von Sorten, die sich für die Verwendung des COYU-Verfahrens eignen würden, erteilt werden solle</w:t>
      </w:r>
      <w:r>
        <w:t>.</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tab/>
      </w:r>
      <w:r w:rsidR="00A04D94">
        <w:t>Die</w:t>
      </w:r>
      <w:r>
        <w:t xml:space="preserve"> TWC </w:t>
      </w:r>
      <w:r w:rsidR="00A04D94">
        <w:t>vereinbarte, dem TC vorzuschlagen, daß er dem Rat empfehle, Herrn Adrian Roberts (Vereinigtes Königreich) zum nächsten Vorsitzenden der</w:t>
      </w:r>
      <w:r>
        <w:t xml:space="preserve"> TWC</w:t>
      </w:r>
      <w:r w:rsidR="00A04D94">
        <w:t xml:space="preserve"> zu wählen</w:t>
      </w:r>
      <w:r>
        <w:t xml:space="preserve">. </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sidR="00A04D94">
        <w:tab/>
        <w:t>Die</w:t>
      </w:r>
      <w:r>
        <w:t xml:space="preserve"> TWC</w:t>
      </w:r>
      <w:r w:rsidR="00A04D94">
        <w:t xml:space="preserve"> vereinbarte, ihre z</w:t>
      </w:r>
      <w:r w:rsidR="00A639A2">
        <w:t>weiunddreißigste Tagung vom 3. b</w:t>
      </w:r>
      <w:r w:rsidR="00A04D94">
        <w:t xml:space="preserve">is 6. Juni 2014 mit der vorbereitenden Arbeitstagung am 2. Juni 2014 </w:t>
      </w:r>
      <w:r>
        <w:t>in Helsinki, Fin</w:t>
      </w:r>
      <w:r w:rsidR="00A04D94">
        <w:t>n</w:t>
      </w:r>
      <w:r>
        <w:t xml:space="preserve">land, </w:t>
      </w:r>
      <w:r w:rsidR="00A04D94">
        <w:t>abzuhalten</w:t>
      </w:r>
      <w:r>
        <w:t>.</w:t>
      </w:r>
    </w:p>
    <w:p w:rsidR="00B71517" w:rsidRPr="00156127" w:rsidRDefault="00B71517" w:rsidP="00B71517">
      <w:pPr>
        <w:autoSpaceDE w:val="0"/>
        <w:autoSpaceDN w:val="0"/>
        <w:adjustRightInd w:val="0"/>
        <w:rPr>
          <w:rFonts w:cs="Arial"/>
        </w:rPr>
      </w:pPr>
    </w:p>
    <w:p w:rsidR="00B71517" w:rsidRPr="00156127" w:rsidRDefault="00B71517" w:rsidP="00B71517">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sidR="00196B60">
        <w:tab/>
        <w:t>Die</w:t>
      </w:r>
      <w:r>
        <w:t xml:space="preserve"> TWC </w:t>
      </w:r>
      <w:r w:rsidR="00196B60">
        <w:t>sah vor, folgende Punkte auf ihrer zweiunddreißigsten Tagung zu erörtern</w:t>
      </w:r>
      <w:r>
        <w:t>:</w:t>
      </w:r>
    </w:p>
    <w:p w:rsidR="00B71517" w:rsidRPr="00156127" w:rsidRDefault="00B71517" w:rsidP="00B71517">
      <w:pPr>
        <w:tabs>
          <w:tab w:val="left" w:pos="1134"/>
        </w:tabs>
        <w:autoSpaceDE w:val="0"/>
        <w:autoSpaceDN w:val="0"/>
        <w:adjustRightInd w:val="0"/>
        <w:spacing w:before="60" w:after="60"/>
        <w:ind w:left="1134" w:hanging="567"/>
        <w:rPr>
          <w:rFonts w:cs="Arial"/>
        </w:rPr>
      </w:pPr>
      <w:r>
        <w:t>1.</w:t>
      </w:r>
      <w:r>
        <w:tab/>
      </w:r>
      <w:r w:rsidR="00196B60" w:rsidRPr="00196B60">
        <w:t>Eröffnung der Tagung</w:t>
      </w:r>
    </w:p>
    <w:p w:rsidR="00B71517" w:rsidRPr="00156127" w:rsidRDefault="00B71517" w:rsidP="00B71517">
      <w:pPr>
        <w:tabs>
          <w:tab w:val="left" w:pos="1134"/>
        </w:tabs>
        <w:autoSpaceDE w:val="0"/>
        <w:autoSpaceDN w:val="0"/>
        <w:adjustRightInd w:val="0"/>
        <w:spacing w:before="60" w:after="60"/>
        <w:ind w:left="1134" w:hanging="567"/>
        <w:rPr>
          <w:rFonts w:cs="Arial"/>
        </w:rPr>
      </w:pPr>
      <w:r>
        <w:t xml:space="preserve">2. </w:t>
      </w:r>
      <w:r>
        <w:tab/>
        <w:t>Annahme der Tagesordnung</w:t>
      </w:r>
    </w:p>
    <w:p w:rsidR="00B71517" w:rsidRPr="00156127" w:rsidRDefault="00B71517" w:rsidP="00B71517">
      <w:pPr>
        <w:tabs>
          <w:tab w:val="left" w:pos="1134"/>
        </w:tabs>
        <w:autoSpaceDE w:val="0"/>
        <w:autoSpaceDN w:val="0"/>
        <w:adjustRightInd w:val="0"/>
        <w:spacing w:before="60" w:after="60"/>
        <w:ind w:left="1134" w:hanging="567"/>
        <w:rPr>
          <w:rFonts w:cs="Arial"/>
        </w:rPr>
      </w:pPr>
      <w:r>
        <w:t xml:space="preserve">3. </w:t>
      </w:r>
      <w:r>
        <w:tab/>
      </w:r>
      <w:r w:rsidR="00181A81" w:rsidRPr="00181A81">
        <w:t>Kurzberichte über die Entwicklungen im Sortenschutz</w:t>
      </w:r>
    </w:p>
    <w:p w:rsidR="00B71517" w:rsidRPr="00156127" w:rsidRDefault="00181A81" w:rsidP="00B71517">
      <w:pPr>
        <w:autoSpaceDE w:val="0"/>
        <w:autoSpaceDN w:val="0"/>
        <w:adjustRightInd w:val="0"/>
        <w:spacing w:before="60" w:after="60"/>
        <w:ind w:left="1560" w:hanging="426"/>
        <w:rPr>
          <w:rFonts w:cs="Arial"/>
        </w:rPr>
      </w:pPr>
      <w:r>
        <w:t>a) Berichte von Mitgliedern und Beobachtern</w:t>
      </w:r>
      <w:r w:rsidR="00B71517">
        <w:t xml:space="preserve"> (</w:t>
      </w:r>
      <w:r>
        <w:t>von Mitgliedern und Beobachtern zu erstellende schriftliche Berichte</w:t>
      </w:r>
      <w:r w:rsidR="00B71517">
        <w:t>)</w:t>
      </w:r>
    </w:p>
    <w:p w:rsidR="00B71517" w:rsidRPr="00156127" w:rsidRDefault="00B71517" w:rsidP="00B71517">
      <w:pPr>
        <w:autoSpaceDE w:val="0"/>
        <w:autoSpaceDN w:val="0"/>
        <w:adjustRightInd w:val="0"/>
        <w:spacing w:before="60" w:after="60"/>
        <w:ind w:left="1560" w:hanging="426"/>
        <w:rPr>
          <w:rFonts w:cs="Arial"/>
        </w:rPr>
      </w:pPr>
      <w:r>
        <w:t xml:space="preserve">b) </w:t>
      </w:r>
      <w:r w:rsidR="00181A81">
        <w:t xml:space="preserve">Berichte über Entwicklungen in der </w:t>
      </w:r>
      <w:r>
        <w:t>UPOV (</w:t>
      </w:r>
      <w:r w:rsidR="00181A81">
        <w:t>vom Verbandsbüro zu erstellendes Dokument</w:t>
      </w:r>
      <w:r>
        <w:t>)</w:t>
      </w:r>
    </w:p>
    <w:p w:rsidR="00B71517" w:rsidRPr="00156127" w:rsidRDefault="00181A81" w:rsidP="00B71517">
      <w:pPr>
        <w:tabs>
          <w:tab w:val="left" w:pos="1134"/>
        </w:tabs>
        <w:autoSpaceDE w:val="0"/>
        <w:autoSpaceDN w:val="0"/>
        <w:adjustRightInd w:val="0"/>
        <w:spacing w:before="60" w:after="60"/>
        <w:ind w:left="1134" w:hanging="567"/>
        <w:rPr>
          <w:rFonts w:cs="Arial"/>
        </w:rPr>
      </w:pPr>
      <w:r>
        <w:t xml:space="preserve">4. </w:t>
      </w:r>
      <w:r>
        <w:tab/>
        <w:t>Molekulare Verfahren</w:t>
      </w:r>
      <w:r w:rsidR="00B71517">
        <w:t xml:space="preserve"> (</w:t>
      </w:r>
      <w:r>
        <w:t>vom Verbandsbüro zu erstellendes Dokument und erbetene Dokumente</w:t>
      </w:r>
      <w:r w:rsidR="00B71517">
        <w:t>)</w:t>
      </w:r>
    </w:p>
    <w:p w:rsidR="00B71517" w:rsidRPr="00156127" w:rsidRDefault="00B71517" w:rsidP="00B71517">
      <w:pPr>
        <w:tabs>
          <w:tab w:val="left" w:pos="1134"/>
        </w:tabs>
        <w:autoSpaceDE w:val="0"/>
        <w:autoSpaceDN w:val="0"/>
        <w:adjustRightInd w:val="0"/>
        <w:spacing w:before="60" w:after="60"/>
        <w:ind w:left="1134" w:hanging="567"/>
        <w:rPr>
          <w:rFonts w:cs="Arial"/>
        </w:rPr>
      </w:pPr>
      <w:r>
        <w:t xml:space="preserve">5. </w:t>
      </w:r>
      <w:r>
        <w:tab/>
        <w:t>TGP-Dokumente</w:t>
      </w:r>
    </w:p>
    <w:p w:rsidR="00B71517" w:rsidRPr="00156127" w:rsidRDefault="00B71517" w:rsidP="00B71517">
      <w:pPr>
        <w:tabs>
          <w:tab w:val="left" w:pos="1134"/>
        </w:tabs>
        <w:autoSpaceDE w:val="0"/>
        <w:autoSpaceDN w:val="0"/>
        <w:adjustRightInd w:val="0"/>
        <w:spacing w:before="60" w:after="60"/>
        <w:ind w:left="1134" w:hanging="567"/>
        <w:rPr>
          <w:rFonts w:cs="Arial"/>
        </w:rPr>
      </w:pPr>
      <w:r>
        <w:t xml:space="preserve">6. </w:t>
      </w:r>
      <w:r>
        <w:tab/>
        <w:t>Information</w:t>
      </w:r>
      <w:r w:rsidR="00181A81">
        <w:t>en und Datenbanken</w:t>
      </w:r>
    </w:p>
    <w:p w:rsidR="00B71517" w:rsidRPr="00156127" w:rsidRDefault="00181A81" w:rsidP="00B71517">
      <w:pPr>
        <w:autoSpaceDE w:val="0"/>
        <w:autoSpaceDN w:val="0"/>
        <w:adjustRightInd w:val="0"/>
        <w:spacing w:before="60" w:after="60"/>
        <w:ind w:left="1560" w:hanging="426"/>
        <w:rPr>
          <w:rFonts w:cs="Arial"/>
        </w:rPr>
      </w:pPr>
      <w:r>
        <w:t>a) UPOV-Informationsdatenbanken</w:t>
      </w:r>
      <w:r w:rsidR="00B71517">
        <w:t xml:space="preserve"> (</w:t>
      </w:r>
      <w:r>
        <w:t>vom Verbandsbüro zu erstellendes Dokument und erbetene Dokumente</w:t>
      </w:r>
      <w:r w:rsidR="00B71517">
        <w:t>)</w:t>
      </w:r>
    </w:p>
    <w:p w:rsidR="00B71517" w:rsidRPr="00156127" w:rsidRDefault="00B71517" w:rsidP="00B71517">
      <w:pPr>
        <w:autoSpaceDE w:val="0"/>
        <w:autoSpaceDN w:val="0"/>
        <w:adjustRightInd w:val="0"/>
        <w:spacing w:before="60" w:after="60"/>
        <w:ind w:left="1560" w:hanging="426"/>
        <w:rPr>
          <w:rFonts w:cs="Arial"/>
        </w:rPr>
      </w:pPr>
      <w:r>
        <w:t>b)</w:t>
      </w:r>
      <w:r w:rsidR="00DB715A" w:rsidRPr="00DB715A">
        <w:t xml:space="preserve"> </w:t>
      </w:r>
      <w:r w:rsidR="00DB715A">
        <w:tab/>
      </w:r>
      <w:r w:rsidR="00DB715A" w:rsidRPr="00DB715A">
        <w:t>Datenbanken für Sortenbeschreibungen (vom Verbandsbüro zu erstellendes Dokument und erbetene Dokumente)</w:t>
      </w:r>
      <w:r>
        <w:t>)</w:t>
      </w:r>
    </w:p>
    <w:p w:rsidR="00B71517" w:rsidRPr="00156127" w:rsidRDefault="00B71517" w:rsidP="00B71517">
      <w:pPr>
        <w:autoSpaceDE w:val="0"/>
        <w:autoSpaceDN w:val="0"/>
        <w:adjustRightInd w:val="0"/>
        <w:spacing w:before="60" w:after="60"/>
        <w:ind w:left="1560" w:hanging="426"/>
        <w:rPr>
          <w:rFonts w:cs="Arial"/>
        </w:rPr>
      </w:pPr>
      <w:r>
        <w:t xml:space="preserve">c) </w:t>
      </w:r>
      <w:r w:rsidR="008F3925">
        <w:tab/>
      </w:r>
      <w:r w:rsidR="00DB715A" w:rsidRPr="00DB715A">
        <w:t xml:space="preserve">Austauschbare Software </w:t>
      </w:r>
      <w:r>
        <w:t>(</w:t>
      </w:r>
      <w:r w:rsidR="00181A81">
        <w:t>vom Verbandsbüro zu erstellendes Dokument und erbetene Dokumente</w:t>
      </w:r>
      <w:r>
        <w:t>)</w:t>
      </w:r>
    </w:p>
    <w:p w:rsidR="00B71517" w:rsidRPr="00156127" w:rsidRDefault="00B71517" w:rsidP="00B71517">
      <w:pPr>
        <w:autoSpaceDE w:val="0"/>
        <w:autoSpaceDN w:val="0"/>
        <w:adjustRightInd w:val="0"/>
        <w:spacing w:before="60" w:after="60"/>
        <w:ind w:left="1560" w:hanging="426"/>
        <w:rPr>
          <w:rFonts w:cs="Arial"/>
        </w:rPr>
      </w:pPr>
      <w:r>
        <w:t xml:space="preserve">d) </w:t>
      </w:r>
      <w:r w:rsidR="008F3925">
        <w:tab/>
      </w:r>
      <w:r w:rsidR="008F3925" w:rsidRPr="008F3925">
        <w:t>Elektronische Systeme für die Einreichung von Anträgen</w:t>
      </w:r>
      <w:r>
        <w:t xml:space="preserve"> (</w:t>
      </w:r>
      <w:r w:rsidR="00181A81">
        <w:t>vom Verbandsbüro zu erstellendes Dokument und erbetene Dokumente</w:t>
      </w:r>
      <w:r>
        <w:t>)</w:t>
      </w:r>
    </w:p>
    <w:p w:rsidR="00B71517" w:rsidRPr="00156127" w:rsidRDefault="00B71517" w:rsidP="00B71517">
      <w:pPr>
        <w:tabs>
          <w:tab w:val="left" w:pos="1134"/>
        </w:tabs>
        <w:autoSpaceDE w:val="0"/>
        <w:autoSpaceDN w:val="0"/>
        <w:adjustRightInd w:val="0"/>
        <w:spacing w:before="60" w:after="60"/>
        <w:ind w:left="1134" w:hanging="567"/>
        <w:rPr>
          <w:rFonts w:cs="Arial"/>
        </w:rPr>
      </w:pPr>
      <w:r>
        <w:lastRenderedPageBreak/>
        <w:t xml:space="preserve">7. </w:t>
      </w:r>
      <w:r>
        <w:tab/>
        <w:t>Sortenbezeichnungen (vom Verbandsbüro zu erstellendes Dokument)</w:t>
      </w:r>
    </w:p>
    <w:p w:rsidR="00B71517" w:rsidRPr="00156127" w:rsidRDefault="008F3925" w:rsidP="00B71517">
      <w:pPr>
        <w:autoSpaceDE w:val="0"/>
        <w:autoSpaceDN w:val="0"/>
        <w:adjustRightInd w:val="0"/>
        <w:spacing w:before="60" w:after="60"/>
        <w:ind w:left="1134" w:hanging="567"/>
        <w:rPr>
          <w:rFonts w:cs="Arial"/>
        </w:rPr>
      </w:pPr>
      <w:r>
        <w:t xml:space="preserve">8. </w:t>
      </w:r>
      <w:r>
        <w:tab/>
        <w:t>Homogenitätsprüfung anhand von Abweichern</w:t>
      </w:r>
      <w:r w:rsidR="00B71517">
        <w:t xml:space="preserve"> (</w:t>
      </w:r>
      <w:r>
        <w:t>von Deutschland, Frankreich und vom Verbandsbüro zu erstellende Dokumente</w:t>
      </w:r>
      <w:r w:rsidR="00B71517">
        <w:t>)</w:t>
      </w:r>
    </w:p>
    <w:p w:rsidR="00B71517" w:rsidRPr="00156127" w:rsidRDefault="008F3925" w:rsidP="00B71517">
      <w:pPr>
        <w:tabs>
          <w:tab w:val="left" w:pos="1134"/>
        </w:tabs>
        <w:autoSpaceDE w:val="0"/>
        <w:autoSpaceDN w:val="0"/>
        <w:adjustRightInd w:val="0"/>
        <w:spacing w:before="60" w:after="60"/>
        <w:ind w:left="1134" w:hanging="567"/>
        <w:rPr>
          <w:rFonts w:cs="Arial"/>
        </w:rPr>
      </w:pPr>
      <w:r>
        <w:t xml:space="preserve">9. </w:t>
      </w:r>
      <w:r>
        <w:tab/>
        <w:t>Datenlogger</w:t>
      </w:r>
      <w:r w:rsidR="00B71517">
        <w:t xml:space="preserve"> (</w:t>
      </w:r>
      <w:r w:rsidR="00181A81">
        <w:t>vom Verbandsbüro zu erstellendes Dokument</w:t>
      </w:r>
      <w:r w:rsidR="00B71517">
        <w:t>)</w:t>
      </w:r>
    </w:p>
    <w:p w:rsidR="00B71517" w:rsidRPr="00156127" w:rsidRDefault="008F3925" w:rsidP="00B71517">
      <w:pPr>
        <w:tabs>
          <w:tab w:val="left" w:pos="1134"/>
        </w:tabs>
        <w:autoSpaceDE w:val="0"/>
        <w:autoSpaceDN w:val="0"/>
        <w:adjustRightInd w:val="0"/>
        <w:spacing w:before="60" w:after="60"/>
        <w:ind w:left="1134" w:hanging="567"/>
        <w:rPr>
          <w:rFonts w:cs="Arial"/>
        </w:rPr>
      </w:pPr>
      <w:r>
        <w:t xml:space="preserve">10. </w:t>
      </w:r>
      <w:r>
        <w:tab/>
        <w:t>Bildanalyse</w:t>
      </w:r>
      <w:r w:rsidR="00B71517">
        <w:t xml:space="preserve"> (</w:t>
      </w:r>
      <w:r>
        <w:t>von der Europäischen Union zu erstellendes Dokument</w:t>
      </w:r>
      <w:r w:rsidR="00B71517">
        <w:t>)</w:t>
      </w:r>
    </w:p>
    <w:p w:rsidR="00B71517" w:rsidRPr="00156127" w:rsidRDefault="008F3925" w:rsidP="00B71517">
      <w:pPr>
        <w:tabs>
          <w:tab w:val="left" w:pos="1134"/>
        </w:tabs>
        <w:autoSpaceDE w:val="0"/>
        <w:autoSpaceDN w:val="0"/>
        <w:adjustRightInd w:val="0"/>
        <w:spacing w:before="60" w:after="60"/>
        <w:ind w:left="1134" w:hanging="567"/>
        <w:rPr>
          <w:rFonts w:cs="Arial"/>
        </w:rPr>
      </w:pPr>
      <w:r>
        <w:t xml:space="preserve">11. </w:t>
      </w:r>
      <w:r>
        <w:tab/>
        <w:t>Entwicklung von</w:t>
      </w:r>
      <w:r w:rsidR="00B71517">
        <w:t xml:space="preserve"> COYU (</w:t>
      </w:r>
      <w:r>
        <w:t>vom Vereinigten Königreich zu erstellendes Dokument</w:t>
      </w:r>
      <w:r w:rsidR="00B71517">
        <w:t>)</w:t>
      </w:r>
    </w:p>
    <w:p w:rsidR="00B71517" w:rsidRPr="00156127" w:rsidRDefault="008F3925" w:rsidP="00B71517">
      <w:pPr>
        <w:tabs>
          <w:tab w:val="left" w:pos="1134"/>
        </w:tabs>
        <w:autoSpaceDE w:val="0"/>
        <w:autoSpaceDN w:val="0"/>
        <w:adjustRightInd w:val="0"/>
        <w:spacing w:before="60" w:after="60"/>
        <w:ind w:left="1134" w:hanging="567"/>
        <w:rPr>
          <w:rFonts w:cs="Arial"/>
        </w:rPr>
      </w:pPr>
      <w:r>
        <w:t>12.</w:t>
      </w:r>
      <w:r>
        <w:tab/>
        <w:t>Datenbanken zum Durchsuchen von TWC-Dokumenten</w:t>
      </w:r>
      <w:r w:rsidR="00B71517">
        <w:t xml:space="preserve"> (</w:t>
      </w:r>
      <w:r>
        <w:t>von Deutschland zu erstellendes Dokument</w:t>
      </w:r>
      <w:r w:rsidR="00B71517">
        <w:t>)</w:t>
      </w:r>
    </w:p>
    <w:p w:rsidR="00B71517" w:rsidRPr="00156127" w:rsidRDefault="008F3925" w:rsidP="00B71517">
      <w:pPr>
        <w:tabs>
          <w:tab w:val="left" w:pos="1134"/>
        </w:tabs>
        <w:autoSpaceDE w:val="0"/>
        <w:autoSpaceDN w:val="0"/>
        <w:adjustRightInd w:val="0"/>
        <w:spacing w:before="60" w:after="60"/>
        <w:ind w:left="1134" w:hanging="567"/>
        <w:rPr>
          <w:rFonts w:cs="Arial"/>
        </w:rPr>
      </w:pPr>
      <w:r>
        <w:t xml:space="preserve">13. </w:t>
      </w:r>
      <w:r>
        <w:tab/>
        <w:t>Ort und Datum der nächsten Tagung</w:t>
      </w:r>
    </w:p>
    <w:p w:rsidR="00B71517" w:rsidRPr="00156127" w:rsidRDefault="00B71517" w:rsidP="00B71517">
      <w:pPr>
        <w:tabs>
          <w:tab w:val="left" w:pos="1134"/>
        </w:tabs>
        <w:autoSpaceDE w:val="0"/>
        <w:autoSpaceDN w:val="0"/>
        <w:adjustRightInd w:val="0"/>
        <w:spacing w:before="60" w:after="60"/>
        <w:ind w:left="1134" w:hanging="567"/>
        <w:rPr>
          <w:rFonts w:cs="Arial"/>
        </w:rPr>
      </w:pPr>
      <w:r>
        <w:t xml:space="preserve">14. </w:t>
      </w:r>
      <w:r>
        <w:tab/>
      </w:r>
      <w:r w:rsidR="008F3925" w:rsidRPr="008F3925">
        <w:t>Künftiges Programm</w:t>
      </w:r>
    </w:p>
    <w:p w:rsidR="00B71517" w:rsidRPr="00156127" w:rsidRDefault="00B71517" w:rsidP="00B71517">
      <w:pPr>
        <w:tabs>
          <w:tab w:val="left" w:pos="1134"/>
        </w:tabs>
        <w:autoSpaceDE w:val="0"/>
        <w:autoSpaceDN w:val="0"/>
        <w:adjustRightInd w:val="0"/>
        <w:spacing w:before="60" w:after="60"/>
        <w:ind w:left="1134" w:hanging="567"/>
        <w:rPr>
          <w:rFonts w:cs="Arial"/>
        </w:rPr>
      </w:pPr>
      <w:r>
        <w:t xml:space="preserve">15. </w:t>
      </w:r>
      <w:r>
        <w:tab/>
      </w:r>
      <w:r w:rsidR="008F3925" w:rsidRPr="008F3925">
        <w:t>Bericht über die Tagung (falls es die Zeit erlaubt)</w:t>
      </w:r>
    </w:p>
    <w:p w:rsidR="00B71517" w:rsidRPr="00156127" w:rsidRDefault="00B71517" w:rsidP="00B71517">
      <w:pPr>
        <w:tabs>
          <w:tab w:val="left" w:pos="1134"/>
        </w:tabs>
        <w:autoSpaceDE w:val="0"/>
        <w:autoSpaceDN w:val="0"/>
        <w:adjustRightInd w:val="0"/>
        <w:spacing w:before="60" w:after="60"/>
        <w:ind w:left="1134" w:hanging="567"/>
        <w:rPr>
          <w:rFonts w:cs="Arial"/>
        </w:rPr>
      </w:pPr>
      <w:r>
        <w:t xml:space="preserve">16. </w:t>
      </w:r>
      <w:r>
        <w:tab/>
      </w:r>
      <w:r w:rsidR="008F3925" w:rsidRPr="008F3925">
        <w:t>Schließung der Tagung</w:t>
      </w:r>
    </w:p>
    <w:p w:rsidR="00B71517" w:rsidRDefault="00B71517" w:rsidP="005D2FEA">
      <w:pPr>
        <w:jc w:val="left"/>
      </w:pPr>
    </w:p>
    <w:p w:rsidR="00B71517" w:rsidRPr="00B71517" w:rsidRDefault="00B71517" w:rsidP="00B71517"/>
    <w:p w:rsidR="000A68B4" w:rsidRDefault="004F201B" w:rsidP="00C4342D">
      <w:pPr>
        <w:pStyle w:val="Heading2"/>
      </w:pPr>
      <w:bookmarkStart w:id="216" w:name="_Toc393187187"/>
      <w:bookmarkStart w:id="217" w:name="_Toc395605415"/>
      <w:r w:rsidRPr="004F201B">
        <w:t>Technische Arbeitsgruppe für Obstarten (TWF)</w:t>
      </w:r>
      <w:bookmarkEnd w:id="216"/>
      <w:bookmarkEnd w:id="217"/>
    </w:p>
    <w:p w:rsidR="00C4342D" w:rsidRDefault="00C4342D" w:rsidP="00C4342D"/>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tab/>
      </w:r>
      <w:r w:rsidR="004F201B" w:rsidRPr="004F201B">
        <w:t xml:space="preserve">Die Technische Arbeitsgruppe für Obstarten (TWF) hielt ihre vierundvierzigste Tagung vom 29. April bis </w:t>
      </w:r>
      <w:r w:rsidR="004F201B" w:rsidRPr="00A470FB">
        <w:t>30. Mai</w:t>
      </w:r>
      <w:r w:rsidR="004F201B" w:rsidRPr="004F201B">
        <w:t xml:space="preserve"> 2013 in Napier, Neuseeland, ab. Die Tagung wurde von Frau Carensa Petzer (Südafrika) eröffnet, die auch den Vorsitz führte. Der Bericht der Tagung ist in Dokument TWV/44/31 „</w:t>
      </w:r>
      <w:r w:rsidR="004F201B" w:rsidRPr="004F201B">
        <w:rPr>
          <w:i/>
        </w:rPr>
        <w:t>Report</w:t>
      </w:r>
      <w:r w:rsidR="004F201B" w:rsidRPr="004F201B">
        <w:t>“ enthalten.</w:t>
      </w:r>
    </w:p>
    <w:p w:rsidR="00C4342D" w:rsidRPr="00B723B3" w:rsidRDefault="00C4342D" w:rsidP="00C4342D">
      <w:pPr>
        <w:tabs>
          <w:tab w:val="left" w:pos="142"/>
        </w:tabs>
        <w:rPr>
          <w:rFonts w:cs="Arial"/>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tab/>
      </w:r>
      <w:r w:rsidR="004F201B" w:rsidRPr="004F201B">
        <w:t>An der TWF-Tagung nahmen 42 Teilnehmer aus 14 Verbandsmitgliedern, vier Beobachterstaaten und zwei Beobachterorganisation</w:t>
      </w:r>
      <w:r w:rsidR="00A639A2">
        <w:t>en</w:t>
      </w:r>
      <w:r w:rsidR="004F201B" w:rsidRPr="004F201B">
        <w:t xml:space="preserve"> teil.</w:t>
      </w:r>
    </w:p>
    <w:p w:rsidR="00C4342D" w:rsidRPr="00B723B3" w:rsidRDefault="00C4342D" w:rsidP="00C4342D">
      <w:pPr>
        <w:tabs>
          <w:tab w:val="left" w:pos="142"/>
        </w:tabs>
        <w:rPr>
          <w:rFonts w:cs="Arial"/>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tab/>
      </w:r>
      <w:r w:rsidR="000B152D" w:rsidRPr="000B152D">
        <w:t xml:space="preserve">An der </w:t>
      </w:r>
      <w:r w:rsidR="00FC0E42" w:rsidRPr="000B152D">
        <w:t>vorbereitenden</w:t>
      </w:r>
      <w:r w:rsidR="000B152D" w:rsidRPr="000B152D">
        <w:t xml:space="preserve"> Arbeitstagung, die am 28. April 2014 stattfand, nahmen 25 Teilnehmer aus 9 Verbandsmitgliedern und drei Beob</w:t>
      </w:r>
      <w:r w:rsidR="000B152D">
        <w:t>achterstaaten teil</w:t>
      </w:r>
      <w:r>
        <w:t>.</w:t>
      </w:r>
    </w:p>
    <w:p w:rsidR="00C4342D" w:rsidRPr="00B723B3" w:rsidRDefault="00C4342D" w:rsidP="00C4342D">
      <w:pPr>
        <w:tabs>
          <w:tab w:val="left" w:pos="142"/>
        </w:tabs>
        <w:rPr>
          <w:rFonts w:cs="Arial"/>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tab/>
      </w:r>
      <w:r w:rsidR="000B152D" w:rsidRPr="000B152D">
        <w:t>Die TWF wurde von Herrn Chris Barnaby, Assistent/Kommissar/leitender Prüfer, Züchterrechtsbüro von Neuseeland, begrüßt, der ein Referat über S</w:t>
      </w:r>
      <w:r w:rsidR="00881FA8">
        <w:t>ortenschutz in Neuseeland hielt</w:t>
      </w:r>
      <w:r>
        <w:t>.</w:t>
      </w:r>
    </w:p>
    <w:p w:rsidR="00C4342D" w:rsidRPr="00B723B3" w:rsidRDefault="00C4342D" w:rsidP="00C4342D">
      <w:pPr>
        <w:tabs>
          <w:tab w:val="left" w:pos="142"/>
        </w:tabs>
        <w:rPr>
          <w:rFonts w:cs="Arial"/>
        </w:rPr>
      </w:pPr>
    </w:p>
    <w:p w:rsidR="00C4342D" w:rsidRPr="00B723B3" w:rsidRDefault="00C4342D" w:rsidP="00C4342D">
      <w:pPr>
        <w:pStyle w:val="style10"/>
        <w:tabs>
          <w:tab w:val="left" w:pos="142"/>
        </w:tabs>
        <w:rPr>
          <w:rFonts w:ascii="Arial" w:hAnsi="Arial" w:cs="Arial"/>
          <w:sz w:val="20"/>
          <w:szCs w:val="20"/>
        </w:rPr>
      </w:pPr>
      <w:r w:rsidRPr="000010F6">
        <w:rPr>
          <w:rFonts w:ascii="Arial" w:hAnsi="Arial" w:cs="Arial"/>
          <w:sz w:val="20"/>
          <w:szCs w:val="20"/>
        </w:rPr>
        <w:fldChar w:fldCharType="begin"/>
      </w:r>
      <w:r w:rsidRPr="000010F6">
        <w:rPr>
          <w:rFonts w:ascii="Arial" w:hAnsi="Arial" w:cs="Arial"/>
          <w:sz w:val="20"/>
          <w:szCs w:val="20"/>
        </w:rPr>
        <w:instrText xml:space="preserve"> AUTONUM  </w:instrText>
      </w:r>
      <w:r w:rsidRPr="000010F6">
        <w:rPr>
          <w:rFonts w:ascii="Arial" w:hAnsi="Arial" w:cs="Arial"/>
          <w:sz w:val="20"/>
          <w:szCs w:val="20"/>
        </w:rPr>
        <w:fldChar w:fldCharType="end"/>
      </w:r>
      <w:r>
        <w:tab/>
      </w:r>
      <w:r w:rsidR="00881FA8" w:rsidRPr="00881FA8">
        <w:rPr>
          <w:rFonts w:ascii="Arial" w:hAnsi="Arial" w:cs="Arial"/>
          <w:sz w:val="20"/>
          <w:szCs w:val="20"/>
        </w:rPr>
        <w:t>Die TWF schlug vor, dem Programm ihrer fünfundvierzigsten Tagung einen Tagesordnungspunkt hinzuzufügen, unter dem folgende Angelegenheiten erörtert würden</w:t>
      </w:r>
      <w:r>
        <w:rPr>
          <w:rFonts w:ascii="Arial" w:hAnsi="Arial"/>
          <w:color w:val="000000"/>
          <w:sz w:val="20"/>
        </w:rPr>
        <w:t>:</w:t>
      </w:r>
    </w:p>
    <w:p w:rsidR="00C4342D" w:rsidRPr="00B723B3" w:rsidRDefault="00C4342D" w:rsidP="00C4342D">
      <w:pPr>
        <w:pStyle w:val="style10"/>
        <w:tabs>
          <w:tab w:val="left" w:pos="142"/>
        </w:tabs>
        <w:rPr>
          <w:rFonts w:ascii="Arial" w:hAnsi="Arial" w:cs="Arial"/>
          <w:sz w:val="20"/>
          <w:szCs w:val="20"/>
        </w:rPr>
      </w:pPr>
    </w:p>
    <w:p w:rsidR="00C4342D" w:rsidRPr="00B723B3" w:rsidRDefault="00881FA8" w:rsidP="00881FA8">
      <w:pPr>
        <w:pStyle w:val="style10"/>
        <w:numPr>
          <w:ilvl w:val="0"/>
          <w:numId w:val="27"/>
        </w:numPr>
        <w:ind w:left="1134" w:hanging="567"/>
        <w:contextualSpacing/>
        <w:rPr>
          <w:rFonts w:ascii="Arial" w:hAnsi="Arial" w:cs="Arial"/>
          <w:sz w:val="20"/>
          <w:szCs w:val="20"/>
        </w:rPr>
      </w:pPr>
      <w:r w:rsidRPr="00881FA8">
        <w:rPr>
          <w:rFonts w:ascii="Arial" w:hAnsi="Arial"/>
          <w:color w:val="000000"/>
          <w:sz w:val="20"/>
        </w:rPr>
        <w:t>Verwaltung von Vergleichssammlungen für die DUS-Prüfung (von Frankreich und der Europäischen Union zu erstellendes Dokument)</w:t>
      </w:r>
      <w:r w:rsidR="00C4342D">
        <w:rPr>
          <w:rFonts w:ascii="Arial" w:hAnsi="Arial"/>
          <w:color w:val="000000"/>
          <w:sz w:val="20"/>
        </w:rPr>
        <w:t>;</w:t>
      </w:r>
    </w:p>
    <w:p w:rsidR="00C4342D" w:rsidRPr="00B723B3" w:rsidRDefault="00AB73F6" w:rsidP="00AB73F6">
      <w:pPr>
        <w:pStyle w:val="style10"/>
        <w:numPr>
          <w:ilvl w:val="0"/>
          <w:numId w:val="27"/>
        </w:numPr>
        <w:ind w:left="1134" w:hanging="567"/>
        <w:contextualSpacing/>
        <w:rPr>
          <w:rFonts w:ascii="Arial" w:hAnsi="Arial" w:cs="Arial"/>
          <w:sz w:val="20"/>
          <w:szCs w:val="20"/>
        </w:rPr>
      </w:pPr>
      <w:r w:rsidRPr="00AB73F6">
        <w:rPr>
          <w:rFonts w:ascii="Arial" w:hAnsi="Arial"/>
          <w:color w:val="000000"/>
          <w:sz w:val="20"/>
        </w:rPr>
        <w:t>Dauer der DUS-Prüfungen im Obstsektor (von der Europäischen Union zu erstellendes Dokument</w:t>
      </w:r>
      <w:r>
        <w:rPr>
          <w:rFonts w:ascii="Arial" w:hAnsi="Arial"/>
          <w:color w:val="000000"/>
          <w:sz w:val="20"/>
        </w:rPr>
        <w:t>);</w:t>
      </w:r>
    </w:p>
    <w:p w:rsidR="00C4342D" w:rsidRPr="00B723B3" w:rsidRDefault="00AD678E" w:rsidP="00A470FB">
      <w:pPr>
        <w:pStyle w:val="style10"/>
        <w:numPr>
          <w:ilvl w:val="0"/>
          <w:numId w:val="27"/>
        </w:numPr>
        <w:ind w:left="1134" w:hanging="567"/>
        <w:contextualSpacing/>
        <w:rPr>
          <w:rFonts w:ascii="Arial" w:hAnsi="Arial" w:cs="Arial"/>
          <w:color w:val="000000"/>
          <w:sz w:val="20"/>
          <w:szCs w:val="20"/>
        </w:rPr>
      </w:pPr>
      <w:r w:rsidRPr="00AD678E">
        <w:rPr>
          <w:rFonts w:ascii="Arial" w:hAnsi="Arial"/>
          <w:color w:val="000000"/>
          <w:sz w:val="20"/>
        </w:rPr>
        <w:t>Harmonisierte Beispielssorten für Apfel: historische Daten und etwaige neue Entwicklungen (von Deutschland, Neuseeland und dem Verbandsbüro zu erstellendes Dokument)</w:t>
      </w:r>
      <w:r>
        <w:rPr>
          <w:rFonts w:ascii="Arial" w:hAnsi="Arial"/>
          <w:color w:val="000000"/>
          <w:sz w:val="20"/>
        </w:rPr>
        <w:t>;</w:t>
      </w:r>
    </w:p>
    <w:p w:rsidR="00C4342D" w:rsidRPr="003F0D1C" w:rsidRDefault="00AD678E" w:rsidP="003F0D1C">
      <w:pPr>
        <w:pStyle w:val="ListParagraph"/>
        <w:numPr>
          <w:ilvl w:val="0"/>
          <w:numId w:val="27"/>
        </w:numPr>
        <w:ind w:left="1134" w:hanging="567"/>
        <w:rPr>
          <w:rFonts w:cs="Arial"/>
        </w:rPr>
      </w:pPr>
      <w:r>
        <w:t>Die</w:t>
      </w:r>
      <w:r w:rsidR="00C4342D">
        <w:t xml:space="preserve"> TWF </w:t>
      </w:r>
      <w:r>
        <w:t xml:space="preserve">vereinbarte, daß es zweckmäßig wäre, mehr Informationen über die Verwendung molekularer Verfahren bei der </w:t>
      </w:r>
      <w:r w:rsidR="00C4342D">
        <w:t>DUS</w:t>
      </w:r>
      <w:r>
        <w:t xml:space="preserve">-Prüfung zu erhalten und ersuchte diesbezüglich Sachverständige aus Spanien, Informationen über die Verwendung solcher Instrumente durch die </w:t>
      </w:r>
      <w:r w:rsidR="00C4342D">
        <w:t xml:space="preserve"> </w:t>
      </w:r>
      <w:r w:rsidR="00C4342D">
        <w:rPr>
          <w:i/>
        </w:rPr>
        <w:t>Oficina Española de Variedades Vegetales</w:t>
      </w:r>
      <w:r w:rsidR="00C4342D">
        <w:t xml:space="preserve"> (OEVV)</w:t>
      </w:r>
      <w:r>
        <w:t xml:space="preserve"> bereitzustellen.</w:t>
      </w:r>
    </w:p>
    <w:p w:rsidR="00C4342D" w:rsidRPr="00B723B3" w:rsidRDefault="00C4342D" w:rsidP="00C4342D">
      <w:pPr>
        <w:tabs>
          <w:tab w:val="left" w:pos="142"/>
        </w:tabs>
        <w:ind w:hanging="567"/>
        <w:contextualSpacing/>
        <w:rPr>
          <w:rFonts w:cs="Arial"/>
        </w:rPr>
      </w:pPr>
    </w:p>
    <w:p w:rsidR="00C4342D" w:rsidRPr="00B723B3" w:rsidRDefault="00C4342D" w:rsidP="00A47596">
      <w:pPr>
        <w:tabs>
          <w:tab w:val="left" w:pos="142"/>
        </w:tabs>
        <w:contextualSpacing/>
        <w:rPr>
          <w:rFonts w:cs="Arial"/>
        </w:rPr>
      </w:pPr>
      <w:r>
        <w:rPr>
          <w:rFonts w:cs="Arial"/>
        </w:rPr>
        <w:fldChar w:fldCharType="begin"/>
      </w:r>
      <w:r>
        <w:rPr>
          <w:rFonts w:cs="Arial"/>
        </w:rPr>
        <w:instrText xml:space="preserve"> AUTONUM  </w:instrText>
      </w:r>
      <w:r>
        <w:rPr>
          <w:rFonts w:cs="Arial"/>
        </w:rPr>
        <w:fldChar w:fldCharType="end"/>
      </w:r>
      <w:r w:rsidR="00652C57">
        <w:tab/>
        <w:t>Die</w:t>
      </w:r>
      <w:r w:rsidR="00B20C85">
        <w:t xml:space="preserve"> TWF ersuchte auch andere Teilnehmer</w:t>
      </w:r>
      <w:r w:rsidR="00652C57">
        <w:t>, ihre Erfahrungen mit der Verwendung biochemischer und molekularer Verfahren bei Obstarten auf der TWF-Tagung im Jahr 2014 vorzustellen</w:t>
      </w:r>
      <w:r>
        <w:t>.</w:t>
      </w:r>
    </w:p>
    <w:p w:rsidR="00C4342D" w:rsidRPr="00B723B3" w:rsidRDefault="00C4342D" w:rsidP="00C4342D">
      <w:pPr>
        <w:pStyle w:val="style10"/>
        <w:tabs>
          <w:tab w:val="left" w:pos="142"/>
        </w:tabs>
        <w:ind w:left="1287" w:hanging="567"/>
        <w:rPr>
          <w:rFonts w:ascii="Arial" w:hAnsi="Arial" w:cs="Arial"/>
          <w:sz w:val="20"/>
          <w:szCs w:val="20"/>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rsidR="00DD3F9A">
        <w:tab/>
        <w:t>Die</w:t>
      </w:r>
      <w:r>
        <w:t xml:space="preserve"> TWF </w:t>
      </w:r>
      <w:r w:rsidR="00DD3F9A">
        <w:t xml:space="preserve">hörte ein Referat von einem Sachverständigen aus Frankreich </w:t>
      </w:r>
      <w:r w:rsidR="007E4DF1">
        <w:t xml:space="preserve">über die von der </w:t>
      </w:r>
      <w:r w:rsidR="007E4DF1" w:rsidRPr="007E4DF1">
        <w:rPr>
          <w:i/>
        </w:rPr>
        <w:t>Groupe d'Étude et de contrôle des Variétés et des Semences</w:t>
      </w:r>
      <w:r w:rsidR="007E4DF1" w:rsidRPr="007E4DF1">
        <w:t xml:space="preserve"> </w:t>
      </w:r>
      <w:r w:rsidR="007E4DF1">
        <w:t>(GEVES) durchgeführte Studie zu</w:t>
      </w:r>
      <w:r w:rsidR="00DD3F9A">
        <w:t xml:space="preserve"> Pfirsich und molekulare</w:t>
      </w:r>
      <w:r w:rsidR="007E4DF1">
        <w:t>n</w:t>
      </w:r>
      <w:r w:rsidR="00DD3F9A">
        <w:t xml:space="preserve"> Marker</w:t>
      </w:r>
      <w:r w:rsidR="007E4DF1">
        <w:t>n</w:t>
      </w:r>
      <w:r>
        <w:t>.</w:t>
      </w:r>
    </w:p>
    <w:p w:rsidR="00C4342D" w:rsidRPr="00B723B3" w:rsidRDefault="00C4342D" w:rsidP="00C4342D">
      <w:pPr>
        <w:tabs>
          <w:tab w:val="left" w:pos="142"/>
        </w:tabs>
        <w:rPr>
          <w:rFonts w:cs="Arial"/>
        </w:rPr>
      </w:pPr>
    </w:p>
    <w:p w:rsidR="00C4342D"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rsidR="007E4DF1">
        <w:tab/>
        <w:t>Die TWF prüfte folgende</w:t>
      </w:r>
      <w:r>
        <w:t xml:space="preserve"> TGP</w:t>
      </w:r>
      <w:r w:rsidR="007E4DF1">
        <w:t>-Dokumente aufgrund von Dokument</w:t>
      </w:r>
      <w:r>
        <w:t xml:space="preserve"> TWF/44/3:</w:t>
      </w:r>
    </w:p>
    <w:p w:rsidR="003C3EBD" w:rsidRPr="00B723B3" w:rsidRDefault="003C3EBD" w:rsidP="00C4342D">
      <w:pPr>
        <w:tabs>
          <w:tab w:val="left" w:pos="142"/>
        </w:tabs>
        <w:rPr>
          <w:rFonts w:cs="Arial"/>
        </w:rPr>
      </w:pPr>
    </w:p>
    <w:p w:rsidR="00C4342D" w:rsidRPr="00B723B3" w:rsidRDefault="00C4342D" w:rsidP="003C3EBD">
      <w:pPr>
        <w:tabs>
          <w:tab w:val="left" w:pos="142"/>
        </w:tabs>
        <w:ind w:left="567"/>
        <w:rPr>
          <w:rFonts w:cs="Arial"/>
        </w:rPr>
      </w:pPr>
      <w:r>
        <w:t xml:space="preserve">TGP/7: </w:t>
      </w:r>
      <w:r w:rsidR="007E4DF1" w:rsidRPr="007E4DF1">
        <w:t>Erstellung von Prüfungsrichtlinien</w:t>
      </w:r>
    </w:p>
    <w:p w:rsidR="00C4342D" w:rsidRPr="00B723B3" w:rsidRDefault="007E4DF1" w:rsidP="007E4DF1">
      <w:pPr>
        <w:numPr>
          <w:ilvl w:val="0"/>
          <w:numId w:val="18"/>
        </w:numPr>
        <w:tabs>
          <w:tab w:val="left" w:pos="142"/>
        </w:tabs>
        <w:rPr>
          <w:rFonts w:cs="Arial"/>
          <w:i/>
        </w:rPr>
      </w:pPr>
      <w:r w:rsidRPr="007E4DF1">
        <w:rPr>
          <w:rFonts w:cs="Arial"/>
          <w:i/>
        </w:rPr>
        <w:t>Behandlung von Sortentypen in Prüfungsrichtlinien</w:t>
      </w:r>
    </w:p>
    <w:p w:rsidR="00C4342D" w:rsidRPr="00B723B3" w:rsidRDefault="007E4DF1" w:rsidP="007E4DF1">
      <w:pPr>
        <w:numPr>
          <w:ilvl w:val="0"/>
          <w:numId w:val="18"/>
        </w:numPr>
        <w:tabs>
          <w:tab w:val="left" w:pos="142"/>
        </w:tabs>
        <w:rPr>
          <w:rFonts w:cs="Arial"/>
          <w:i/>
        </w:rPr>
      </w:pPr>
      <w:bookmarkStart w:id="218" w:name="_Toc347908324"/>
      <w:r w:rsidRPr="007E4DF1">
        <w:rPr>
          <w:i/>
        </w:rPr>
        <w:t>Auswahl von Merkmalen mit Sternchen</w:t>
      </w:r>
      <w:bookmarkEnd w:id="218"/>
    </w:p>
    <w:p w:rsidR="00C4342D" w:rsidRPr="00B723B3" w:rsidRDefault="007E4DF1" w:rsidP="007E4DF1">
      <w:pPr>
        <w:numPr>
          <w:ilvl w:val="0"/>
          <w:numId w:val="18"/>
        </w:numPr>
        <w:tabs>
          <w:tab w:val="left" w:pos="142"/>
        </w:tabs>
        <w:rPr>
          <w:rFonts w:cs="Arial"/>
          <w:i/>
        </w:rPr>
      </w:pPr>
      <w:bookmarkStart w:id="219" w:name="_Toc346525859"/>
      <w:bookmarkStart w:id="220" w:name="_Toc347908325"/>
      <w:r w:rsidRPr="007E4DF1">
        <w:rPr>
          <w:i/>
        </w:rPr>
        <w:t>Standardverweise im Technischen Fragebogen</w:t>
      </w:r>
      <w:r>
        <w:rPr>
          <w:i/>
        </w:rPr>
        <w:t xml:space="preserve"> </w:t>
      </w:r>
      <w:bookmarkEnd w:id="219"/>
      <w:bookmarkEnd w:id="220"/>
    </w:p>
    <w:p w:rsidR="00C4342D" w:rsidRPr="00B723B3" w:rsidRDefault="007E4DF1" w:rsidP="007E4DF1">
      <w:pPr>
        <w:numPr>
          <w:ilvl w:val="0"/>
          <w:numId w:val="18"/>
        </w:numPr>
        <w:tabs>
          <w:tab w:val="left" w:pos="142"/>
        </w:tabs>
        <w:rPr>
          <w:rFonts w:cs="Arial"/>
          <w:i/>
        </w:rPr>
      </w:pPr>
      <w:bookmarkStart w:id="221" w:name="_Toc347908326"/>
      <w:r w:rsidRPr="007E4DF1">
        <w:rPr>
          <w:i/>
        </w:rPr>
        <w:t>Anträge für Sorten mit geringer Keimfähigkeit</w:t>
      </w:r>
      <w:bookmarkEnd w:id="221"/>
    </w:p>
    <w:p w:rsidR="00C4342D" w:rsidRPr="00B723B3" w:rsidRDefault="007E4DF1" w:rsidP="007E4DF1">
      <w:pPr>
        <w:numPr>
          <w:ilvl w:val="0"/>
          <w:numId w:val="18"/>
        </w:numPr>
        <w:tabs>
          <w:tab w:val="left" w:pos="142"/>
        </w:tabs>
        <w:rPr>
          <w:rFonts w:cs="Arial"/>
          <w:i/>
        </w:rPr>
      </w:pPr>
      <w:bookmarkStart w:id="222" w:name="_Toc347908327"/>
      <w:r w:rsidRPr="007E4DF1">
        <w:rPr>
          <w:i/>
        </w:rPr>
        <w:t>Verfahren für die Erarbeitung von Prüfungsrichtlinien</w:t>
      </w:r>
      <w:bookmarkEnd w:id="222"/>
    </w:p>
    <w:p w:rsidR="00C4342D" w:rsidRPr="00B723B3" w:rsidRDefault="007E4DF1" w:rsidP="007E4DF1">
      <w:pPr>
        <w:keepNext/>
        <w:numPr>
          <w:ilvl w:val="0"/>
          <w:numId w:val="18"/>
        </w:numPr>
        <w:tabs>
          <w:tab w:val="left" w:pos="142"/>
        </w:tabs>
        <w:rPr>
          <w:rFonts w:cs="Arial"/>
          <w:i/>
        </w:rPr>
      </w:pPr>
      <w:r w:rsidRPr="007E4DF1">
        <w:rPr>
          <w:i/>
        </w:rPr>
        <w:lastRenderedPageBreak/>
        <w:t>Menge des erforderlichen Vermehrungsmaterials</w:t>
      </w:r>
    </w:p>
    <w:p w:rsidR="00C4342D" w:rsidRPr="00B723B3" w:rsidRDefault="007E4DF1" w:rsidP="00C4342D">
      <w:pPr>
        <w:keepNext/>
        <w:numPr>
          <w:ilvl w:val="0"/>
          <w:numId w:val="18"/>
        </w:numPr>
        <w:tabs>
          <w:tab w:val="num" w:pos="0"/>
          <w:tab w:val="left" w:pos="142"/>
        </w:tabs>
        <w:rPr>
          <w:rFonts w:cs="Arial"/>
          <w:i/>
        </w:rPr>
      </w:pPr>
      <w:r>
        <w:rPr>
          <w:i/>
        </w:rPr>
        <w:t>Mindestmenge an Vermehrungsmaterial</w:t>
      </w:r>
    </w:p>
    <w:p w:rsidR="00C4342D" w:rsidRPr="00B723B3" w:rsidRDefault="007E4DF1" w:rsidP="007E4DF1">
      <w:pPr>
        <w:numPr>
          <w:ilvl w:val="0"/>
          <w:numId w:val="18"/>
        </w:numPr>
        <w:tabs>
          <w:tab w:val="left" w:pos="142"/>
        </w:tabs>
        <w:rPr>
          <w:rFonts w:cs="Arial"/>
          <w:i/>
        </w:rPr>
      </w:pPr>
      <w:r w:rsidRPr="007E4DF1">
        <w:rPr>
          <w:i/>
        </w:rPr>
        <w:t>Anleitung zur Anzahl der (auf Unterscheidbarkeit) zu prüfenden Pflanzen</w:t>
      </w:r>
      <w:r>
        <w:rPr>
          <w:i/>
        </w:rPr>
        <w:t xml:space="preserve"> </w:t>
      </w:r>
    </w:p>
    <w:p w:rsidR="00C4342D" w:rsidRPr="00B723B3" w:rsidRDefault="007E4DF1" w:rsidP="007E4DF1">
      <w:pPr>
        <w:numPr>
          <w:ilvl w:val="0"/>
          <w:numId w:val="18"/>
        </w:numPr>
        <w:tabs>
          <w:tab w:val="left" w:pos="142"/>
        </w:tabs>
        <w:rPr>
          <w:rFonts w:cs="Arial"/>
          <w:i/>
        </w:rPr>
      </w:pPr>
      <w:r w:rsidRPr="007E4DF1">
        <w:rPr>
          <w:i/>
        </w:rPr>
        <w:t>Anleitung für die Erfassungsmethode</w:t>
      </w:r>
    </w:p>
    <w:p w:rsidR="00C4342D" w:rsidRPr="00B723B3" w:rsidRDefault="007E4DF1" w:rsidP="00C4342D">
      <w:pPr>
        <w:numPr>
          <w:ilvl w:val="0"/>
          <w:numId w:val="18"/>
        </w:numPr>
        <w:tabs>
          <w:tab w:val="num" w:pos="0"/>
          <w:tab w:val="left" w:pos="142"/>
        </w:tabs>
        <w:rPr>
          <w:rFonts w:cs="Arial"/>
          <w:i/>
        </w:rPr>
      </w:pPr>
      <w:r>
        <w:rPr>
          <w:i/>
        </w:rPr>
        <w:t>Beispielssorten</w:t>
      </w:r>
    </w:p>
    <w:p w:rsidR="00C4342D" w:rsidRPr="00B723B3" w:rsidRDefault="007E4DF1" w:rsidP="007E4DF1">
      <w:pPr>
        <w:numPr>
          <w:ilvl w:val="0"/>
          <w:numId w:val="18"/>
        </w:numPr>
        <w:tabs>
          <w:tab w:val="left" w:pos="142"/>
        </w:tabs>
        <w:rPr>
          <w:rFonts w:cs="Arial"/>
          <w:i/>
        </w:rPr>
      </w:pPr>
      <w:r>
        <w:rPr>
          <w:i/>
        </w:rPr>
        <w:t>Beilegen von Fotoaufnahmen</w:t>
      </w:r>
      <w:r w:rsidRPr="007E4DF1">
        <w:rPr>
          <w:i/>
        </w:rPr>
        <w:t xml:space="preserve"> zum Technischen Fragebogen</w:t>
      </w:r>
    </w:p>
    <w:p w:rsidR="00C4342D" w:rsidRPr="00B723B3" w:rsidRDefault="007E4DF1" w:rsidP="007E4DF1">
      <w:pPr>
        <w:numPr>
          <w:ilvl w:val="0"/>
          <w:numId w:val="18"/>
        </w:numPr>
        <w:tabs>
          <w:tab w:val="left" w:pos="142"/>
        </w:tabs>
        <w:rPr>
          <w:rFonts w:cs="Arial"/>
          <w:i/>
        </w:rPr>
      </w:pPr>
      <w:r w:rsidRPr="007E4DF1">
        <w:rPr>
          <w:i/>
        </w:rPr>
        <w:t>Dauer der Prüfung</w:t>
      </w:r>
    </w:p>
    <w:p w:rsidR="00C4342D" w:rsidRPr="00B723B3" w:rsidRDefault="0067227F" w:rsidP="0067227F">
      <w:pPr>
        <w:numPr>
          <w:ilvl w:val="0"/>
          <w:numId w:val="18"/>
        </w:numPr>
        <w:tabs>
          <w:tab w:val="left" w:pos="142"/>
        </w:tabs>
        <w:rPr>
          <w:rFonts w:cs="Arial"/>
          <w:i/>
        </w:rPr>
      </w:pPr>
      <w:r w:rsidRPr="0067227F">
        <w:rPr>
          <w:i/>
        </w:rPr>
        <w:t>Anzahl der für die Beschreibung erforderlichen Pflanzen</w:t>
      </w:r>
    </w:p>
    <w:p w:rsidR="00C4342D" w:rsidRPr="00B723B3" w:rsidRDefault="00C4342D" w:rsidP="00C4342D">
      <w:pPr>
        <w:tabs>
          <w:tab w:val="left" w:pos="142"/>
        </w:tabs>
        <w:rPr>
          <w:rFonts w:cs="Arial"/>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tab/>
      </w:r>
      <w:r w:rsidR="0067227F" w:rsidRPr="0067227F">
        <w:t>Für Dokument TGP/8/1 „Prüfungsanlage und Verfahren für die Prüfung der Unterscheidbarkeit, der Homogenität und der Beständi</w:t>
      </w:r>
      <w:r w:rsidR="0067227F">
        <w:t>gkeit“ erörterte die TWF</w:t>
      </w:r>
      <w:r>
        <w:t>:</w:t>
      </w:r>
    </w:p>
    <w:p w:rsidR="00C4342D" w:rsidRPr="00B723B3" w:rsidRDefault="00C4342D" w:rsidP="00C4342D">
      <w:pPr>
        <w:tabs>
          <w:tab w:val="left" w:pos="142"/>
        </w:tabs>
        <w:ind w:left="720" w:hanging="720"/>
        <w:rPr>
          <w:rFonts w:cs="Arial"/>
        </w:rPr>
      </w:pPr>
    </w:p>
    <w:p w:rsidR="00C4342D" w:rsidRPr="00B723B3" w:rsidRDefault="0067227F" w:rsidP="00C4342D">
      <w:pPr>
        <w:pStyle w:val="Heading4"/>
        <w:tabs>
          <w:tab w:val="left" w:pos="142"/>
        </w:tabs>
        <w:rPr>
          <w:rFonts w:cs="Arial"/>
        </w:rPr>
      </w:pPr>
      <w:bookmarkStart w:id="223" w:name="_Toc353303472"/>
      <w:r>
        <w:t>Teil</w:t>
      </w:r>
      <w:r w:rsidR="00C4342D">
        <w:t xml:space="preserve"> I: </w:t>
      </w:r>
      <w:r w:rsidRPr="0067227F">
        <w:t>DUS-Prüfungsanlage und Datenanalyse</w:t>
      </w:r>
      <w:bookmarkEnd w:id="223"/>
    </w:p>
    <w:p w:rsidR="00C4342D" w:rsidRPr="00B723B3" w:rsidRDefault="0067227F" w:rsidP="00C4342D">
      <w:pPr>
        <w:pStyle w:val="Heading4"/>
        <w:tabs>
          <w:tab w:val="left" w:pos="142"/>
        </w:tabs>
        <w:rPr>
          <w:rFonts w:cs="Arial"/>
        </w:rPr>
      </w:pPr>
      <w:bookmarkStart w:id="224" w:name="_Toc353303473"/>
      <w:r>
        <w:t>Teil</w:t>
      </w:r>
      <w:r w:rsidR="00C4342D">
        <w:t xml:space="preserve"> II: </w:t>
      </w:r>
      <w:r w:rsidRPr="0067227F">
        <w:t>Verfahren für die DUS-Prüfung</w:t>
      </w:r>
      <w:bookmarkEnd w:id="224"/>
    </w:p>
    <w:p w:rsidR="00C4342D" w:rsidRPr="00B723B3" w:rsidRDefault="00C4342D" w:rsidP="00C4342D">
      <w:pPr>
        <w:tabs>
          <w:tab w:val="left" w:pos="142"/>
        </w:tabs>
        <w:rPr>
          <w:rFonts w:cs="Arial"/>
        </w:rPr>
      </w:pPr>
    </w:p>
    <w:p w:rsidR="00C4342D" w:rsidRPr="00B723B3" w:rsidRDefault="00C4342D" w:rsidP="003C3EBD">
      <w:pPr>
        <w:tabs>
          <w:tab w:val="left" w:pos="142"/>
        </w:tabs>
        <w:rPr>
          <w:rFonts w:cs="Arial"/>
          <w:color w:val="000000"/>
        </w:rPr>
      </w:pPr>
      <w:r>
        <w:rPr>
          <w:rFonts w:cs="Arial"/>
        </w:rPr>
        <w:fldChar w:fldCharType="begin"/>
      </w:r>
      <w:r>
        <w:rPr>
          <w:rFonts w:cs="Arial"/>
        </w:rPr>
        <w:instrText xml:space="preserve"> AUTONUM  </w:instrText>
      </w:r>
      <w:r>
        <w:rPr>
          <w:rFonts w:cs="Arial"/>
        </w:rPr>
        <w:fldChar w:fldCharType="end"/>
      </w:r>
      <w:r>
        <w:tab/>
      </w:r>
      <w:r w:rsidR="0083179D" w:rsidRPr="0083179D">
        <w:t>Die TWF nahm Dokument TWF/44/30 „Vorschlag für eine Teilüberarbeitung der Prüfungsrichtlinien für Mandarine” zur Kenntnis und hörte ein Referat von Herrn Jean Maison (Europäische Union), dem Koordinator der Untergruppe.</w:t>
      </w:r>
      <w:r w:rsidR="0083179D">
        <w:t xml:space="preserve"> </w:t>
      </w:r>
      <w:r w:rsidR="0083179D" w:rsidRPr="0083179D">
        <w:t>Die Sachverständigen aus Marokko, Spanien und Südafrika berichteten über ihre bisherigen Fortschritte.</w:t>
      </w:r>
      <w:r w:rsidR="0083179D">
        <w:t xml:space="preserve"> Abschriften dieser Referate</w:t>
      </w:r>
      <w:r w:rsidR="00CA3725">
        <w:t xml:space="preserve"> sind in der Anlage von Dokument </w:t>
      </w:r>
      <w:r>
        <w:rPr>
          <w:color w:val="000000"/>
        </w:rPr>
        <w:t>TWF/44/30</w:t>
      </w:r>
      <w:r w:rsidR="00CA3725">
        <w:rPr>
          <w:color w:val="000000"/>
        </w:rPr>
        <w:t xml:space="preserve"> enthalten</w:t>
      </w:r>
      <w:r>
        <w:rPr>
          <w:color w:val="000000"/>
        </w:rPr>
        <w:t>.</w:t>
      </w:r>
    </w:p>
    <w:p w:rsidR="00C4342D" w:rsidRPr="00B723B3" w:rsidRDefault="00C4342D" w:rsidP="00C4342D">
      <w:pPr>
        <w:keepNext/>
        <w:tabs>
          <w:tab w:val="left" w:pos="142"/>
        </w:tabs>
        <w:rPr>
          <w:rFonts w:cs="Arial"/>
          <w:color w:val="000000"/>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rsidR="00CA3725">
        <w:tab/>
      </w:r>
      <w:r w:rsidR="00CA3725" w:rsidRPr="00CA3725">
        <w:t>Die TWF vereinbarte, dem Technischen Ausschuß folgende Entwürfe von Prüfungsrichtlinien zur Annahme auf seiner fünfzigsten Tagung im März 2014 in Genf vorzulegen</w:t>
      </w:r>
      <w:r>
        <w:t xml:space="preserve">. </w:t>
      </w:r>
    </w:p>
    <w:p w:rsidR="00C4342D" w:rsidRPr="00B723B3" w:rsidRDefault="00C4342D" w:rsidP="00C4342D">
      <w:pPr>
        <w:tabs>
          <w:tab w:val="left" w:pos="142"/>
        </w:tabs>
        <w:rPr>
          <w:rFonts w:cs="Arial"/>
        </w:rPr>
      </w:pPr>
    </w:p>
    <w:tbl>
      <w:tblPr>
        <w:tblW w:w="8398" w:type="dxa"/>
        <w:jc w:val="center"/>
        <w:tblInd w:w="-34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gridCol w:w="2781"/>
      </w:tblGrid>
      <w:tr w:rsidR="00C4342D" w:rsidRPr="00B723B3" w:rsidTr="00EA62E2">
        <w:trPr>
          <w:cantSplit/>
          <w:jc w:val="center"/>
        </w:trPr>
        <w:tc>
          <w:tcPr>
            <w:tcW w:w="5617" w:type="dxa"/>
          </w:tcPr>
          <w:p w:rsidR="00C4342D" w:rsidRPr="00B723B3" w:rsidRDefault="00C07445" w:rsidP="00EA62E2">
            <w:pPr>
              <w:keepNext/>
              <w:tabs>
                <w:tab w:val="left" w:pos="142"/>
              </w:tabs>
              <w:spacing w:before="60" w:after="60"/>
              <w:rPr>
                <w:rFonts w:cs="Arial"/>
                <w:snapToGrid w:val="0"/>
                <w:color w:val="000000"/>
              </w:rPr>
            </w:pPr>
            <w:r>
              <w:rPr>
                <w:snapToGrid w:val="0"/>
                <w:color w:val="000000"/>
              </w:rPr>
              <w:t>Gegenstand</w:t>
            </w:r>
          </w:p>
        </w:tc>
        <w:tc>
          <w:tcPr>
            <w:tcW w:w="2781" w:type="dxa"/>
          </w:tcPr>
          <w:p w:rsidR="00C4342D" w:rsidRPr="00B723B3" w:rsidRDefault="00C07445" w:rsidP="00EA62E2">
            <w:pPr>
              <w:pStyle w:val="BodyText"/>
              <w:tabs>
                <w:tab w:val="left" w:pos="142"/>
              </w:tabs>
              <w:spacing w:before="60" w:after="60"/>
              <w:rPr>
                <w:rFonts w:cs="Arial"/>
                <w:snapToGrid w:val="0"/>
                <w:color w:val="000000"/>
              </w:rPr>
            </w:pPr>
            <w:r>
              <w:rPr>
                <w:snapToGrid w:val="0"/>
                <w:color w:val="000000"/>
              </w:rPr>
              <w:t>Betreffendes Dok</w:t>
            </w:r>
            <w:r w:rsidR="00C4342D">
              <w:rPr>
                <w:snapToGrid w:val="0"/>
                <w:color w:val="000000"/>
              </w:rPr>
              <w:t>ument</w:t>
            </w:r>
          </w:p>
        </w:tc>
      </w:tr>
      <w:tr w:rsidR="00C4342D" w:rsidRPr="00B723B3" w:rsidTr="00EA62E2">
        <w:trPr>
          <w:cantSplit/>
          <w:jc w:val="center"/>
        </w:trPr>
        <w:tc>
          <w:tcPr>
            <w:tcW w:w="5617" w:type="dxa"/>
          </w:tcPr>
          <w:p w:rsidR="00C4342D" w:rsidRPr="00B723B3" w:rsidRDefault="00C07445" w:rsidP="00EA62E2">
            <w:pPr>
              <w:keepNext/>
              <w:tabs>
                <w:tab w:val="left" w:pos="142"/>
                <w:tab w:val="left" w:pos="1455"/>
              </w:tabs>
              <w:adjustRightInd w:val="0"/>
              <w:snapToGrid w:val="0"/>
              <w:spacing w:before="20" w:afterLines="20" w:after="48"/>
              <w:rPr>
                <w:rFonts w:cs="Arial"/>
              </w:rPr>
            </w:pPr>
            <w:r>
              <w:rPr>
                <w:color w:val="000000"/>
              </w:rPr>
              <w:t>Apfelunterlagen</w:t>
            </w:r>
            <w:r w:rsidR="00C4342D">
              <w:rPr>
                <w:color w:val="000000"/>
              </w:rPr>
              <w:t xml:space="preserve"> (</w:t>
            </w:r>
            <w:r w:rsidR="00C4342D">
              <w:rPr>
                <w:i/>
                <w:color w:val="000000"/>
              </w:rPr>
              <w:t>Malus</w:t>
            </w:r>
            <w:r>
              <w:rPr>
                <w:color w:val="000000"/>
              </w:rPr>
              <w:t xml:space="preserve"> Mill.) (Überarbeitung</w:t>
            </w:r>
            <w:r w:rsidR="00C4342D">
              <w:rPr>
                <w:color w:val="000000"/>
              </w:rPr>
              <w:t>)</w:t>
            </w:r>
          </w:p>
        </w:tc>
        <w:tc>
          <w:tcPr>
            <w:tcW w:w="2781" w:type="dxa"/>
          </w:tcPr>
          <w:p w:rsidR="00C4342D" w:rsidRPr="00B723B3" w:rsidRDefault="00C4342D" w:rsidP="00EA62E2">
            <w:pPr>
              <w:tabs>
                <w:tab w:val="left" w:pos="142"/>
              </w:tabs>
              <w:spacing w:beforeLines="20" w:before="48" w:afterLines="20" w:after="48"/>
              <w:rPr>
                <w:rFonts w:cs="Arial"/>
              </w:rPr>
            </w:pPr>
            <w:r>
              <w:rPr>
                <w:color w:val="000000"/>
              </w:rPr>
              <w:t>TG/163/4(proj.3)</w:t>
            </w:r>
          </w:p>
        </w:tc>
      </w:tr>
      <w:tr w:rsidR="00C4342D" w:rsidRPr="00B723B3" w:rsidTr="00EA62E2">
        <w:trPr>
          <w:cantSplit/>
          <w:jc w:val="center"/>
        </w:trPr>
        <w:tc>
          <w:tcPr>
            <w:tcW w:w="5617" w:type="dxa"/>
          </w:tcPr>
          <w:p w:rsidR="00C4342D" w:rsidRPr="00B723B3" w:rsidRDefault="00C4342D" w:rsidP="00EA62E2">
            <w:pPr>
              <w:tabs>
                <w:tab w:val="left" w:pos="142"/>
                <w:tab w:val="left" w:pos="1455"/>
              </w:tabs>
              <w:adjustRightInd w:val="0"/>
              <w:snapToGrid w:val="0"/>
              <w:spacing w:before="20" w:afterLines="20" w:after="48"/>
              <w:rPr>
                <w:rFonts w:cs="Arial"/>
                <w:i/>
                <w:color w:val="000000"/>
              </w:rPr>
            </w:pPr>
            <w:r>
              <w:rPr>
                <w:color w:val="000000"/>
              </w:rPr>
              <w:t>Lit</w:t>
            </w:r>
            <w:r w:rsidR="00C07445">
              <w:rPr>
                <w:color w:val="000000"/>
              </w:rPr>
              <w:t>s</w:t>
            </w:r>
            <w:r>
              <w:rPr>
                <w:color w:val="000000"/>
              </w:rPr>
              <w:t>chi (</w:t>
            </w:r>
            <w:r>
              <w:rPr>
                <w:i/>
                <w:color w:val="000000"/>
              </w:rPr>
              <w:t>Litchi chinensis</w:t>
            </w:r>
            <w:r>
              <w:rPr>
                <w:color w:val="000000"/>
              </w:rPr>
              <w:t xml:space="preserve"> Sonn.)</w:t>
            </w:r>
          </w:p>
        </w:tc>
        <w:tc>
          <w:tcPr>
            <w:tcW w:w="2781" w:type="dxa"/>
          </w:tcPr>
          <w:p w:rsidR="00C4342D" w:rsidRPr="00B723B3" w:rsidRDefault="00C4342D" w:rsidP="00EA62E2">
            <w:pPr>
              <w:tabs>
                <w:tab w:val="left" w:pos="142"/>
              </w:tabs>
              <w:spacing w:beforeLines="20" w:before="48" w:afterLines="20" w:after="48"/>
              <w:rPr>
                <w:rFonts w:cs="Arial"/>
              </w:rPr>
            </w:pPr>
            <w:r>
              <w:rPr>
                <w:color w:val="000000"/>
              </w:rPr>
              <w:t>TG/LITCHI(proj.3)</w:t>
            </w:r>
          </w:p>
        </w:tc>
      </w:tr>
      <w:tr w:rsidR="00C4342D" w:rsidRPr="00B723B3" w:rsidTr="00EA62E2">
        <w:trPr>
          <w:cantSplit/>
          <w:jc w:val="center"/>
        </w:trPr>
        <w:tc>
          <w:tcPr>
            <w:tcW w:w="5617" w:type="dxa"/>
          </w:tcPr>
          <w:p w:rsidR="00C4342D" w:rsidRPr="00B723B3" w:rsidRDefault="00C07445" w:rsidP="00EA62E2">
            <w:pPr>
              <w:tabs>
                <w:tab w:val="left" w:pos="142"/>
                <w:tab w:val="left" w:pos="2280"/>
              </w:tabs>
              <w:adjustRightInd w:val="0"/>
              <w:snapToGrid w:val="0"/>
              <w:spacing w:before="20" w:afterLines="20" w:after="48"/>
              <w:rPr>
                <w:rFonts w:cs="Arial"/>
              </w:rPr>
            </w:pPr>
            <w:r>
              <w:rPr>
                <w:color w:val="000000"/>
              </w:rPr>
              <w:t>Pfirsich</w:t>
            </w:r>
            <w:r w:rsidR="00C4342D">
              <w:rPr>
                <w:color w:val="000000"/>
              </w:rPr>
              <w:t xml:space="preserve"> (</w:t>
            </w:r>
            <w:r w:rsidR="00C4342D">
              <w:rPr>
                <w:i/>
                <w:color w:val="000000"/>
              </w:rPr>
              <w:t>Prunus persica</w:t>
            </w:r>
            <w:r w:rsidR="00C4342D">
              <w:rPr>
                <w:color w:val="000000"/>
              </w:rPr>
              <w:t xml:space="preserve"> (</w:t>
            </w:r>
            <w:r>
              <w:rPr>
                <w:color w:val="000000"/>
              </w:rPr>
              <w:t>L.) Batsch) (Teilüberarbeitung</w:t>
            </w:r>
            <w:r w:rsidR="00C4342D">
              <w:rPr>
                <w:color w:val="000000"/>
              </w:rPr>
              <w:t>)</w:t>
            </w:r>
          </w:p>
        </w:tc>
        <w:tc>
          <w:tcPr>
            <w:tcW w:w="2781" w:type="dxa"/>
          </w:tcPr>
          <w:p w:rsidR="00C4342D" w:rsidRPr="00B723B3" w:rsidRDefault="00C07445" w:rsidP="00EA62E2">
            <w:pPr>
              <w:tabs>
                <w:tab w:val="left" w:pos="142"/>
              </w:tabs>
              <w:spacing w:beforeLines="20" w:before="48" w:afterLines="20" w:after="48"/>
              <w:rPr>
                <w:rFonts w:cs="Arial"/>
              </w:rPr>
            </w:pPr>
            <w:r>
              <w:rPr>
                <w:color w:val="000000"/>
              </w:rPr>
              <w:t>TG/53/7 u</w:t>
            </w:r>
            <w:r w:rsidR="00C4342D">
              <w:rPr>
                <w:color w:val="000000"/>
              </w:rPr>
              <w:t>nd TWF/44/29</w:t>
            </w:r>
          </w:p>
        </w:tc>
      </w:tr>
      <w:tr w:rsidR="00C4342D" w:rsidRPr="00B723B3" w:rsidTr="00EA62E2">
        <w:trPr>
          <w:cantSplit/>
          <w:jc w:val="center"/>
        </w:trPr>
        <w:tc>
          <w:tcPr>
            <w:tcW w:w="5617" w:type="dxa"/>
          </w:tcPr>
          <w:p w:rsidR="00C4342D" w:rsidRPr="00B723B3" w:rsidRDefault="00646D77" w:rsidP="00EA62E2">
            <w:pPr>
              <w:tabs>
                <w:tab w:val="left" w:pos="142"/>
                <w:tab w:val="left" w:pos="2280"/>
              </w:tabs>
              <w:adjustRightInd w:val="0"/>
              <w:snapToGrid w:val="0"/>
              <w:spacing w:before="20" w:afterLines="20" w:after="48"/>
              <w:rPr>
                <w:rFonts w:cs="Arial"/>
                <w:color w:val="000000"/>
              </w:rPr>
            </w:pPr>
            <w:r>
              <w:rPr>
                <w:color w:val="000000"/>
              </w:rPr>
              <w:t>Pflaumenu</w:t>
            </w:r>
            <w:r w:rsidR="00C07445">
              <w:rPr>
                <w:color w:val="000000"/>
              </w:rPr>
              <w:t>nterlagen</w:t>
            </w:r>
            <w:r w:rsidR="00C4342D">
              <w:rPr>
                <w:color w:val="000000"/>
              </w:rPr>
              <w:t xml:space="preserve"> (</w:t>
            </w:r>
            <w:r w:rsidR="00C4342D">
              <w:rPr>
                <w:i/>
                <w:color w:val="000000"/>
              </w:rPr>
              <w:t>Prunus</w:t>
            </w:r>
            <w:r w:rsidR="00C07445">
              <w:rPr>
                <w:color w:val="000000"/>
              </w:rPr>
              <w:t xml:space="preserve"> L.) (Überarbeitung</w:t>
            </w:r>
            <w:r w:rsidR="00C4342D">
              <w:rPr>
                <w:color w:val="000000"/>
              </w:rPr>
              <w:t>)</w:t>
            </w:r>
          </w:p>
        </w:tc>
        <w:tc>
          <w:tcPr>
            <w:tcW w:w="2781" w:type="dxa"/>
          </w:tcPr>
          <w:p w:rsidR="00C4342D" w:rsidRPr="00B723B3" w:rsidRDefault="00C4342D" w:rsidP="00EA62E2">
            <w:pPr>
              <w:tabs>
                <w:tab w:val="left" w:pos="142"/>
              </w:tabs>
              <w:spacing w:beforeLines="20" w:before="48" w:afterLines="20" w:after="48"/>
              <w:rPr>
                <w:rFonts w:cs="Arial"/>
              </w:rPr>
            </w:pPr>
            <w:r>
              <w:rPr>
                <w:color w:val="000000"/>
              </w:rPr>
              <w:t>TG/187/2(proj.2)</w:t>
            </w:r>
          </w:p>
        </w:tc>
      </w:tr>
      <w:tr w:rsidR="00C4342D" w:rsidRPr="00B723B3" w:rsidTr="00EA62E2">
        <w:trPr>
          <w:cantSplit/>
          <w:jc w:val="center"/>
        </w:trPr>
        <w:tc>
          <w:tcPr>
            <w:tcW w:w="5617" w:type="dxa"/>
          </w:tcPr>
          <w:p w:rsidR="00C4342D" w:rsidRPr="00B723B3" w:rsidRDefault="00C07445" w:rsidP="00EA62E2">
            <w:pPr>
              <w:tabs>
                <w:tab w:val="left" w:pos="142"/>
                <w:tab w:val="left" w:pos="2280"/>
              </w:tabs>
              <w:adjustRightInd w:val="0"/>
              <w:snapToGrid w:val="0"/>
              <w:spacing w:before="20" w:afterLines="20" w:after="48"/>
              <w:rPr>
                <w:rFonts w:cs="Arial"/>
                <w:iCs/>
                <w:color w:val="000000"/>
              </w:rPr>
            </w:pPr>
            <w:r>
              <w:rPr>
                <w:color w:val="000000"/>
              </w:rPr>
              <w:t>Vanille</w:t>
            </w:r>
            <w:r w:rsidR="00C4342D">
              <w:rPr>
                <w:color w:val="000000"/>
              </w:rPr>
              <w:t xml:space="preserve"> (</w:t>
            </w:r>
            <w:r w:rsidR="00C4342D">
              <w:rPr>
                <w:i/>
                <w:color w:val="000000"/>
              </w:rPr>
              <w:t>Vanilla planifolia</w:t>
            </w:r>
            <w:r w:rsidR="00C4342D">
              <w:rPr>
                <w:color w:val="000000"/>
              </w:rPr>
              <w:t xml:space="preserve"> Jacks)</w:t>
            </w:r>
          </w:p>
        </w:tc>
        <w:tc>
          <w:tcPr>
            <w:tcW w:w="2781" w:type="dxa"/>
          </w:tcPr>
          <w:p w:rsidR="00C4342D" w:rsidRPr="00B723B3" w:rsidRDefault="00C4342D" w:rsidP="00EA62E2">
            <w:pPr>
              <w:tabs>
                <w:tab w:val="left" w:pos="142"/>
              </w:tabs>
              <w:spacing w:beforeLines="20" w:before="48" w:afterLines="20" w:after="48"/>
              <w:rPr>
                <w:rFonts w:cs="Arial"/>
                <w:iCs/>
                <w:color w:val="000000"/>
              </w:rPr>
            </w:pPr>
            <w:r>
              <w:rPr>
                <w:color w:val="000000"/>
              </w:rPr>
              <w:t>TG/VANIL(proj.3)</w:t>
            </w:r>
          </w:p>
        </w:tc>
      </w:tr>
    </w:tbl>
    <w:p w:rsidR="00C4342D" w:rsidRPr="00B723B3" w:rsidRDefault="00C4342D" w:rsidP="00C4342D">
      <w:pPr>
        <w:tabs>
          <w:tab w:val="left" w:pos="142"/>
        </w:tabs>
        <w:rPr>
          <w:rFonts w:cs="Arial"/>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rsidR="00646D77">
        <w:tab/>
        <w:t>Die</w:t>
      </w:r>
      <w:r>
        <w:t xml:space="preserve"> TWF </w:t>
      </w:r>
      <w:r w:rsidR="00646D77">
        <w:t>schlug vor, auf ihrer fünfundvierzigsten Tagung folgende 11 Prüfungsrichtlinien zu erörtern</w:t>
      </w:r>
      <w:r>
        <w:t>:</w:t>
      </w:r>
    </w:p>
    <w:p w:rsidR="00C4342D" w:rsidRPr="00B723B3" w:rsidRDefault="00C4342D" w:rsidP="00C4342D">
      <w:pPr>
        <w:tabs>
          <w:tab w:val="left" w:pos="142"/>
        </w:tabs>
        <w:rPr>
          <w:rFonts w:cs="Arial"/>
        </w:rPr>
      </w:pPr>
    </w:p>
    <w:tbl>
      <w:tblPr>
        <w:tblW w:w="5617" w:type="dxa"/>
        <w:jc w:val="center"/>
        <w:tblInd w:w="-34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617"/>
      </w:tblGrid>
      <w:tr w:rsidR="00C4342D" w:rsidRPr="00B723B3" w:rsidTr="00EA62E2">
        <w:trPr>
          <w:cantSplit/>
          <w:jc w:val="center"/>
        </w:trPr>
        <w:tc>
          <w:tcPr>
            <w:tcW w:w="5617" w:type="dxa"/>
          </w:tcPr>
          <w:p w:rsidR="00C4342D" w:rsidRPr="00B723B3" w:rsidRDefault="002A6DE6" w:rsidP="005D2FEA">
            <w:pPr>
              <w:tabs>
                <w:tab w:val="left" w:pos="142"/>
              </w:tabs>
              <w:spacing w:before="60" w:after="60"/>
              <w:jc w:val="left"/>
              <w:rPr>
                <w:rFonts w:cs="Arial"/>
              </w:rPr>
            </w:pPr>
            <w:r>
              <w:rPr>
                <w:color w:val="000000"/>
              </w:rPr>
              <w:t>*Brasilianische Guave</w:t>
            </w:r>
            <w:r w:rsidR="00C4342D">
              <w:rPr>
                <w:color w:val="000000"/>
              </w:rPr>
              <w:t xml:space="preserve"> (</w:t>
            </w:r>
            <w:r w:rsidR="00C4342D">
              <w:rPr>
                <w:i/>
                <w:color w:val="000000"/>
              </w:rPr>
              <w:t>Acca sellowiana</w:t>
            </w:r>
            <w:r w:rsidR="00C4342D">
              <w:rPr>
                <w:color w:val="000000"/>
              </w:rPr>
              <w:t xml:space="preserve"> (Berg) Burret)</w:t>
            </w:r>
          </w:p>
        </w:tc>
      </w:tr>
      <w:tr w:rsidR="00C4342D" w:rsidRPr="00B723B3" w:rsidTr="00EA62E2">
        <w:trPr>
          <w:cantSplit/>
          <w:jc w:val="center"/>
        </w:trPr>
        <w:tc>
          <w:tcPr>
            <w:tcW w:w="5617" w:type="dxa"/>
          </w:tcPr>
          <w:p w:rsidR="00C4342D" w:rsidRPr="00B723B3" w:rsidRDefault="002A6DE6" w:rsidP="005D2FEA">
            <w:pPr>
              <w:tabs>
                <w:tab w:val="left" w:pos="142"/>
              </w:tabs>
              <w:spacing w:before="60" w:after="60"/>
              <w:jc w:val="left"/>
              <w:rPr>
                <w:rFonts w:cs="Arial"/>
                <w:iCs/>
                <w:color w:val="000000"/>
              </w:rPr>
            </w:pPr>
            <w:r>
              <w:rPr>
                <w:color w:val="000000"/>
              </w:rPr>
              <w:t>Aprikose</w:t>
            </w:r>
            <w:r w:rsidR="00C4342D">
              <w:rPr>
                <w:color w:val="000000"/>
              </w:rPr>
              <w:t xml:space="preserve"> (</w:t>
            </w:r>
            <w:r w:rsidR="00C4342D">
              <w:rPr>
                <w:i/>
                <w:color w:val="000000"/>
              </w:rPr>
              <w:t>Prunus armeniaca</w:t>
            </w:r>
            <w:r>
              <w:rPr>
                <w:color w:val="000000"/>
              </w:rPr>
              <w:t xml:space="preserve"> L.) (Teilüberarbeitung: Beispielssorten</w:t>
            </w:r>
            <w:r w:rsidR="00C4342D">
              <w:rPr>
                <w:color w:val="000000"/>
              </w:rPr>
              <w:t>)</w:t>
            </w:r>
          </w:p>
        </w:tc>
      </w:tr>
      <w:tr w:rsidR="00C4342D" w:rsidRPr="00B723B3" w:rsidTr="00EA62E2">
        <w:trPr>
          <w:cantSplit/>
          <w:jc w:val="center"/>
        </w:trPr>
        <w:tc>
          <w:tcPr>
            <w:tcW w:w="5617" w:type="dxa"/>
          </w:tcPr>
          <w:p w:rsidR="00C4342D" w:rsidRPr="00B723B3" w:rsidRDefault="002A6DE6" w:rsidP="005D2FEA">
            <w:pPr>
              <w:tabs>
                <w:tab w:val="left" w:pos="142"/>
              </w:tabs>
              <w:spacing w:before="60" w:after="60"/>
              <w:jc w:val="left"/>
              <w:rPr>
                <w:rFonts w:cs="Arial"/>
                <w:iCs/>
                <w:color w:val="000000"/>
              </w:rPr>
            </w:pPr>
            <w:r>
              <w:rPr>
                <w:color w:val="000000"/>
              </w:rPr>
              <w:t>Avokado Unterlage</w:t>
            </w:r>
            <w:r w:rsidR="00C4342D">
              <w:rPr>
                <w:color w:val="000000"/>
              </w:rPr>
              <w:t xml:space="preserve"> (</w:t>
            </w:r>
            <w:r w:rsidR="00C4342D">
              <w:rPr>
                <w:i/>
                <w:color w:val="000000"/>
              </w:rPr>
              <w:t>Persea</w:t>
            </w:r>
            <w:r w:rsidR="00C4342D">
              <w:rPr>
                <w:color w:val="000000"/>
              </w:rPr>
              <w:t xml:space="preserve"> Mill.)</w:t>
            </w:r>
          </w:p>
        </w:tc>
      </w:tr>
      <w:tr w:rsidR="00C4342D" w:rsidRPr="00B723B3" w:rsidTr="00EA62E2">
        <w:trPr>
          <w:cantSplit/>
          <w:jc w:val="center"/>
        </w:trPr>
        <w:tc>
          <w:tcPr>
            <w:tcW w:w="5617" w:type="dxa"/>
          </w:tcPr>
          <w:p w:rsidR="00C4342D" w:rsidRPr="00B723B3" w:rsidRDefault="002A6DE6" w:rsidP="005D2FEA">
            <w:pPr>
              <w:tabs>
                <w:tab w:val="left" w:pos="142"/>
              </w:tabs>
              <w:spacing w:before="60" w:after="60"/>
              <w:jc w:val="left"/>
              <w:rPr>
                <w:rFonts w:cs="Arial"/>
              </w:rPr>
            </w:pPr>
            <w:r>
              <w:rPr>
                <w:color w:val="000000"/>
              </w:rPr>
              <w:t>*Kokosnuß</w:t>
            </w:r>
            <w:r w:rsidR="00C4342D">
              <w:rPr>
                <w:color w:val="000000"/>
              </w:rPr>
              <w:t xml:space="preserve"> (</w:t>
            </w:r>
            <w:r w:rsidR="00C4342D">
              <w:rPr>
                <w:i/>
                <w:color w:val="000000"/>
              </w:rPr>
              <w:t>Cocos nucifera</w:t>
            </w:r>
            <w:r w:rsidR="00C4342D">
              <w:rPr>
                <w:color w:val="000000"/>
              </w:rPr>
              <w:t xml:space="preserve"> L.)</w:t>
            </w:r>
          </w:p>
        </w:tc>
      </w:tr>
      <w:tr w:rsidR="00C4342D" w:rsidRPr="00B723B3" w:rsidTr="00EA62E2">
        <w:trPr>
          <w:cantSplit/>
          <w:jc w:val="center"/>
        </w:trPr>
        <w:tc>
          <w:tcPr>
            <w:tcW w:w="5617" w:type="dxa"/>
          </w:tcPr>
          <w:p w:rsidR="00C4342D" w:rsidRPr="00B723B3" w:rsidRDefault="00D2172C" w:rsidP="005D2FEA">
            <w:pPr>
              <w:tabs>
                <w:tab w:val="left" w:pos="142"/>
              </w:tabs>
              <w:spacing w:before="60" w:after="60"/>
              <w:jc w:val="left"/>
              <w:rPr>
                <w:rFonts w:cs="Arial"/>
                <w:iCs/>
                <w:color w:val="000000"/>
              </w:rPr>
            </w:pPr>
            <w:r>
              <w:rPr>
                <w:color w:val="000000"/>
              </w:rPr>
              <w:t>Kastanie</w:t>
            </w:r>
            <w:r w:rsidR="00C4342D">
              <w:rPr>
                <w:color w:val="000000"/>
              </w:rPr>
              <w:t xml:space="preserve"> (</w:t>
            </w:r>
            <w:r w:rsidR="00C4342D">
              <w:rPr>
                <w:i/>
                <w:color w:val="000000"/>
              </w:rPr>
              <w:t>Castanea sativa</w:t>
            </w:r>
            <w:r>
              <w:rPr>
                <w:color w:val="000000"/>
              </w:rPr>
              <w:t xml:space="preserve"> Mill.) (Überarbeitung</w:t>
            </w:r>
            <w:r w:rsidR="00C4342D">
              <w:rPr>
                <w:color w:val="000000"/>
              </w:rPr>
              <w:t>)</w:t>
            </w:r>
          </w:p>
        </w:tc>
      </w:tr>
      <w:tr w:rsidR="00C4342D" w:rsidRPr="00B723B3" w:rsidTr="00EA62E2">
        <w:trPr>
          <w:cantSplit/>
          <w:jc w:val="center"/>
        </w:trPr>
        <w:tc>
          <w:tcPr>
            <w:tcW w:w="5617" w:type="dxa"/>
          </w:tcPr>
          <w:p w:rsidR="00C4342D" w:rsidRPr="00B723B3" w:rsidRDefault="00D2172C" w:rsidP="005D2FEA">
            <w:pPr>
              <w:tabs>
                <w:tab w:val="left" w:pos="142"/>
              </w:tabs>
              <w:spacing w:before="60" w:after="60"/>
              <w:jc w:val="left"/>
              <w:rPr>
                <w:rFonts w:cs="Arial"/>
                <w:iCs/>
                <w:color w:val="000000"/>
              </w:rPr>
            </w:pPr>
            <w:r>
              <w:rPr>
                <w:color w:val="000000"/>
              </w:rPr>
              <w:t>Dattel</w:t>
            </w:r>
            <w:r w:rsidR="00C4342D">
              <w:rPr>
                <w:color w:val="000000"/>
              </w:rPr>
              <w:t>palm</w:t>
            </w:r>
            <w:r>
              <w:rPr>
                <w:color w:val="000000"/>
              </w:rPr>
              <w:t>e</w:t>
            </w:r>
            <w:r w:rsidR="00C4342D">
              <w:rPr>
                <w:color w:val="000000"/>
              </w:rPr>
              <w:t xml:space="preserve"> (</w:t>
            </w:r>
            <w:r w:rsidR="00C4342D">
              <w:rPr>
                <w:i/>
                <w:color w:val="000000"/>
              </w:rPr>
              <w:t>Phoenix dactylifera</w:t>
            </w:r>
            <w:r w:rsidR="00C4342D">
              <w:rPr>
                <w:color w:val="000000"/>
              </w:rPr>
              <w:t>)</w:t>
            </w:r>
          </w:p>
        </w:tc>
      </w:tr>
      <w:tr w:rsidR="00C4342D" w:rsidRPr="00B723B3" w:rsidTr="00EA62E2">
        <w:trPr>
          <w:cantSplit/>
          <w:jc w:val="center"/>
        </w:trPr>
        <w:tc>
          <w:tcPr>
            <w:tcW w:w="5617" w:type="dxa"/>
          </w:tcPr>
          <w:p w:rsidR="00C4342D" w:rsidRPr="00B723B3" w:rsidRDefault="00D2172C" w:rsidP="005D2FEA">
            <w:pPr>
              <w:tabs>
                <w:tab w:val="left" w:pos="142"/>
              </w:tabs>
              <w:spacing w:before="60" w:after="60"/>
              <w:jc w:val="left"/>
              <w:rPr>
                <w:rFonts w:cs="Arial"/>
                <w:iCs/>
                <w:color w:val="000000"/>
              </w:rPr>
            </w:pPr>
            <w:r>
              <w:rPr>
                <w:color w:val="000000"/>
              </w:rPr>
              <w:t>Juglans Unterlage</w:t>
            </w:r>
            <w:r w:rsidR="00C4342D">
              <w:rPr>
                <w:color w:val="000000"/>
              </w:rPr>
              <w:t xml:space="preserve"> </w:t>
            </w:r>
          </w:p>
        </w:tc>
      </w:tr>
      <w:tr w:rsidR="00C4342D" w:rsidRPr="00B723B3" w:rsidTr="00EA62E2">
        <w:trPr>
          <w:cantSplit/>
          <w:jc w:val="center"/>
        </w:trPr>
        <w:tc>
          <w:tcPr>
            <w:tcW w:w="5617" w:type="dxa"/>
          </w:tcPr>
          <w:p w:rsidR="00C4342D" w:rsidRPr="00B723B3" w:rsidRDefault="00D2172C" w:rsidP="005D2FEA">
            <w:pPr>
              <w:tabs>
                <w:tab w:val="left" w:pos="142"/>
              </w:tabs>
              <w:spacing w:before="60" w:after="60"/>
              <w:jc w:val="left"/>
              <w:rPr>
                <w:rFonts w:cs="Arial"/>
              </w:rPr>
            </w:pPr>
            <w:r>
              <w:rPr>
                <w:color w:val="000000"/>
              </w:rPr>
              <w:t>*Mandarinen</w:t>
            </w:r>
            <w:r w:rsidR="00C4342D">
              <w:rPr>
                <w:color w:val="000000"/>
              </w:rPr>
              <w:t xml:space="preserve"> (</w:t>
            </w:r>
            <w:r w:rsidR="00C4342D">
              <w:rPr>
                <w:i/>
                <w:color w:val="000000"/>
              </w:rPr>
              <w:t>Citrus L</w:t>
            </w:r>
            <w:r>
              <w:rPr>
                <w:color w:val="000000"/>
              </w:rPr>
              <w:t>. - Group 1) (Teilüberarbeitung</w:t>
            </w:r>
            <w:r w:rsidR="00C4342D">
              <w:rPr>
                <w:color w:val="000000"/>
              </w:rPr>
              <w:t>)</w:t>
            </w:r>
          </w:p>
        </w:tc>
      </w:tr>
      <w:tr w:rsidR="00C4342D" w:rsidRPr="00B723B3" w:rsidTr="00EA62E2">
        <w:trPr>
          <w:cantSplit/>
          <w:jc w:val="center"/>
        </w:trPr>
        <w:tc>
          <w:tcPr>
            <w:tcW w:w="5617" w:type="dxa"/>
          </w:tcPr>
          <w:p w:rsidR="00C4342D" w:rsidRPr="00B723B3" w:rsidRDefault="00C4342D" w:rsidP="005D2FEA">
            <w:pPr>
              <w:tabs>
                <w:tab w:val="left" w:pos="142"/>
                <w:tab w:val="left" w:pos="1260"/>
              </w:tabs>
              <w:spacing w:before="60" w:after="60"/>
              <w:jc w:val="left"/>
              <w:rPr>
                <w:rFonts w:cs="Arial"/>
                <w:snapToGrid w:val="0"/>
                <w:color w:val="000000"/>
              </w:rPr>
            </w:pPr>
            <w:r>
              <w:t>*Papaya (</w:t>
            </w:r>
            <w:r>
              <w:rPr>
                <w:i/>
              </w:rPr>
              <w:t>Carica papaya</w:t>
            </w:r>
            <w:r>
              <w:t xml:space="preserve"> L.)</w:t>
            </w:r>
          </w:p>
        </w:tc>
      </w:tr>
      <w:tr w:rsidR="00C4342D" w:rsidRPr="00B723B3" w:rsidTr="00EA62E2">
        <w:trPr>
          <w:cantSplit/>
          <w:jc w:val="center"/>
        </w:trPr>
        <w:tc>
          <w:tcPr>
            <w:tcW w:w="5617" w:type="dxa"/>
          </w:tcPr>
          <w:p w:rsidR="00C4342D" w:rsidRPr="00B723B3" w:rsidRDefault="002A6DE6" w:rsidP="005D2FEA">
            <w:pPr>
              <w:tabs>
                <w:tab w:val="left" w:pos="142"/>
              </w:tabs>
              <w:spacing w:before="60" w:after="60"/>
              <w:jc w:val="left"/>
              <w:rPr>
                <w:rFonts w:cs="Arial"/>
                <w:iCs/>
                <w:color w:val="000000"/>
              </w:rPr>
            </w:pPr>
            <w:r>
              <w:rPr>
                <w:color w:val="000000"/>
              </w:rPr>
              <w:t>*Pekannuß</w:t>
            </w:r>
            <w:r w:rsidR="00C4342D">
              <w:rPr>
                <w:color w:val="000000"/>
              </w:rPr>
              <w:t xml:space="preserve"> (</w:t>
            </w:r>
            <w:r w:rsidR="00C4342D">
              <w:rPr>
                <w:i/>
                <w:color w:val="000000"/>
              </w:rPr>
              <w:t>Carya illinoinensis</w:t>
            </w:r>
            <w:r w:rsidR="00C4342D">
              <w:rPr>
                <w:color w:val="000000"/>
              </w:rPr>
              <w:t xml:space="preserve"> (Wangenh.) K. Koch)</w:t>
            </w:r>
          </w:p>
        </w:tc>
      </w:tr>
      <w:tr w:rsidR="00C4342D" w:rsidRPr="00B723B3" w:rsidTr="00EA62E2">
        <w:trPr>
          <w:cantSplit/>
          <w:jc w:val="center"/>
        </w:trPr>
        <w:tc>
          <w:tcPr>
            <w:tcW w:w="5617" w:type="dxa"/>
          </w:tcPr>
          <w:p w:rsidR="00C4342D" w:rsidRPr="00B723B3" w:rsidRDefault="002A6DE6" w:rsidP="005D2FEA">
            <w:pPr>
              <w:tabs>
                <w:tab w:val="left" w:pos="142"/>
              </w:tabs>
              <w:spacing w:before="60" w:after="60"/>
              <w:jc w:val="left"/>
              <w:rPr>
                <w:rFonts w:cs="Arial"/>
                <w:snapToGrid w:val="0"/>
                <w:color w:val="000000"/>
              </w:rPr>
            </w:pPr>
            <w:r>
              <w:rPr>
                <w:color w:val="000000"/>
              </w:rPr>
              <w:t>Walnuß</w:t>
            </w:r>
            <w:r w:rsidR="00C4342D">
              <w:rPr>
                <w:color w:val="000000"/>
              </w:rPr>
              <w:t xml:space="preserve"> (</w:t>
            </w:r>
            <w:r w:rsidR="00C4342D">
              <w:rPr>
                <w:i/>
                <w:color w:val="000000"/>
              </w:rPr>
              <w:t>Juglans regia</w:t>
            </w:r>
            <w:r w:rsidR="00C4342D">
              <w:rPr>
                <w:color w:val="000000"/>
              </w:rPr>
              <w:t xml:space="preserve"> L.) (Revision)</w:t>
            </w:r>
          </w:p>
        </w:tc>
      </w:tr>
    </w:tbl>
    <w:p w:rsidR="00C4342D" w:rsidRPr="00B723B3" w:rsidRDefault="00C4342D" w:rsidP="00C4342D">
      <w:pPr>
        <w:tabs>
          <w:tab w:val="left" w:pos="142"/>
        </w:tabs>
        <w:rPr>
          <w:rFonts w:cs="Arial"/>
        </w:rPr>
      </w:pPr>
    </w:p>
    <w:p w:rsidR="00C4342D" w:rsidRPr="00B723B3" w:rsidRDefault="00C4342D" w:rsidP="00C4342D">
      <w:pPr>
        <w:shd w:val="clear" w:color="auto" w:fill="FFFFFF"/>
        <w:tabs>
          <w:tab w:val="left" w:pos="142"/>
        </w:tabs>
        <w:rPr>
          <w:rFonts w:cs="Arial"/>
        </w:rPr>
      </w:pPr>
      <w:r>
        <w:rPr>
          <w:rFonts w:cs="Arial"/>
        </w:rPr>
        <w:fldChar w:fldCharType="begin"/>
      </w:r>
      <w:r>
        <w:rPr>
          <w:rFonts w:cs="Arial"/>
        </w:rPr>
        <w:instrText xml:space="preserve"> AUTONUM  </w:instrText>
      </w:r>
      <w:r>
        <w:rPr>
          <w:rFonts w:cs="Arial"/>
        </w:rPr>
        <w:fldChar w:fldCharType="end"/>
      </w:r>
      <w:r>
        <w:tab/>
      </w:r>
      <w:r w:rsidR="00730366">
        <w:t xml:space="preserve">Am Vormittag des 1. Mai besuchte die TWF zunächst die Obstkühlungs- und </w:t>
      </w:r>
      <w:r w:rsidR="00876F85">
        <w:t>Obst</w:t>
      </w:r>
      <w:r w:rsidR="00730366">
        <w:t>lager</w:t>
      </w:r>
      <w:r w:rsidR="00876F85">
        <w:t>ungs</w:t>
      </w:r>
      <w:r w:rsidR="00730366">
        <w:t>einrichtung von</w:t>
      </w:r>
      <w:r>
        <w:rPr>
          <w:color w:val="000000"/>
        </w:rPr>
        <w:t xml:space="preserve"> ENZA™ PAK</w:t>
      </w:r>
      <w:r w:rsidR="00730366">
        <w:rPr>
          <w:color w:val="000000"/>
        </w:rPr>
        <w:t>, in Whakatu, in der Nähe von</w:t>
      </w:r>
      <w:r w:rsidR="00876F85">
        <w:rPr>
          <w:color w:val="000000"/>
        </w:rPr>
        <w:t xml:space="preserve"> Hastings</w:t>
      </w:r>
      <w:r>
        <w:rPr>
          <w:color w:val="000000"/>
        </w:rPr>
        <w:t xml:space="preserve"> </w:t>
      </w:r>
      <w:r w:rsidR="00730366">
        <w:rPr>
          <w:color w:val="000000"/>
        </w:rPr>
        <w:t xml:space="preserve">und dann das neuseeländische Institut für Pflanzen- und Lebensmittelforschung </w:t>
      </w:r>
      <w:r w:rsidR="00730366">
        <w:t>(</w:t>
      </w:r>
      <w:r w:rsidR="00730366">
        <w:rPr>
          <w:color w:val="000000"/>
        </w:rPr>
        <w:t>Pflanzen- und Lebensmittelforschung</w:t>
      </w:r>
      <w:r>
        <w:t>), H</w:t>
      </w:r>
      <w:r w:rsidR="00730366">
        <w:t>awke’s Bay Research Center, in der Nähe von</w:t>
      </w:r>
      <w:r>
        <w:t xml:space="preserve"> Havelock North Village, </w:t>
      </w:r>
      <w:r w:rsidR="00730366">
        <w:t xml:space="preserve">wo sie Referate von Frau </w:t>
      </w:r>
      <w:r w:rsidR="00087E0F">
        <w:t>Cath Kingston, Portfoliom</w:t>
      </w:r>
      <w:r>
        <w:t xml:space="preserve">anager, </w:t>
      </w:r>
      <w:r w:rsidR="00087E0F">
        <w:t>Portfolio für Lebensmittelinnovation, und Herrn Satish Kumar, Leitender Wissenschaftler, Züchtung und Genetik</w:t>
      </w:r>
      <w:r w:rsidR="00876F85">
        <w:t>, hörte.</w:t>
      </w:r>
      <w:r w:rsidR="004506E2">
        <w:t xml:space="preserve"> Die</w:t>
      </w:r>
      <w:r>
        <w:t xml:space="preserve"> TWF </w:t>
      </w:r>
      <w:r w:rsidR="004506E2">
        <w:t>besuchte auch die Obstgärten, in denen eine Apfelsortensammlung steht, wo sie von Herrn Ben v</w:t>
      </w:r>
      <w:r w:rsidR="00876F85">
        <w:t>an Hooijdonk, Wissenschaftler, n</w:t>
      </w:r>
      <w:r w:rsidR="004506E2">
        <w:t xml:space="preserve">achhaltige Produktion – </w:t>
      </w:r>
      <w:r w:rsidR="004506E2">
        <w:lastRenderedPageBreak/>
        <w:t xml:space="preserve">Pflanzen- und Obsterzeugungssysteme, und Herrn </w:t>
      </w:r>
      <w:r>
        <w:t xml:space="preserve"> </w:t>
      </w:r>
      <w:r w:rsidR="004506E2">
        <w:t>Mike Malone, Wissenschaftler, Züchtung und Genomik – Premiumpflanzen, begleitet wurde</w:t>
      </w:r>
      <w:r>
        <w:t>.</w:t>
      </w:r>
    </w:p>
    <w:p w:rsidR="00C4342D" w:rsidRPr="00B723B3" w:rsidRDefault="00C4342D" w:rsidP="00C4342D">
      <w:pPr>
        <w:tabs>
          <w:tab w:val="left" w:pos="142"/>
        </w:tabs>
        <w:rPr>
          <w:rFonts w:cs="Arial"/>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tab/>
      </w:r>
      <w:r w:rsidR="00057DD3" w:rsidRPr="00057DD3">
        <w:t>Auf Einladung Marokkos stimmte die TWF zu, ihre fünfundvierzigste Tagung vom 26. bis 30. Mai 2014 mit der vorbereitenden Arbeitstagung am 25. Mai 2014 in Marrakesch, Marokko, abzuhalten</w:t>
      </w:r>
      <w:r>
        <w:t>.</w:t>
      </w:r>
    </w:p>
    <w:p w:rsidR="00C4342D" w:rsidRPr="00B723B3" w:rsidRDefault="00C4342D" w:rsidP="00C4342D">
      <w:pPr>
        <w:tabs>
          <w:tab w:val="left" w:pos="142"/>
        </w:tabs>
        <w:rPr>
          <w:rFonts w:cs="Arial"/>
        </w:rPr>
      </w:pPr>
    </w:p>
    <w:p w:rsidR="00C4342D" w:rsidRPr="00B723B3" w:rsidRDefault="00C4342D" w:rsidP="00C4342D">
      <w:pPr>
        <w:keepNext/>
        <w:tabs>
          <w:tab w:val="left" w:pos="142"/>
        </w:tabs>
        <w:rPr>
          <w:rFonts w:cs="Arial"/>
          <w:color w:val="000000"/>
        </w:rPr>
      </w:pPr>
      <w:r>
        <w:rPr>
          <w:rFonts w:cs="Arial"/>
        </w:rPr>
        <w:fldChar w:fldCharType="begin"/>
      </w:r>
      <w:r>
        <w:rPr>
          <w:rFonts w:cs="Arial"/>
        </w:rPr>
        <w:instrText xml:space="preserve"> AUTONUM  </w:instrText>
      </w:r>
      <w:r>
        <w:rPr>
          <w:rFonts w:cs="Arial"/>
        </w:rPr>
        <w:fldChar w:fldCharType="end"/>
      </w:r>
      <w:r>
        <w:tab/>
      </w:r>
      <w:r w:rsidR="009D18BA">
        <w:rPr>
          <w:color w:val="000000"/>
        </w:rPr>
        <w:t>Die</w:t>
      </w:r>
      <w:r>
        <w:rPr>
          <w:color w:val="000000"/>
        </w:rPr>
        <w:t xml:space="preserve"> TWF </w:t>
      </w:r>
      <w:r w:rsidR="009D18BA">
        <w:rPr>
          <w:color w:val="000000"/>
        </w:rPr>
        <w:t xml:space="preserve">vereinbarte, dem TC vorzuschlagen, daß er dem Rat empfehle, Herrn </w:t>
      </w:r>
      <w:r>
        <w:rPr>
          <w:color w:val="000000"/>
        </w:rPr>
        <w:t>Katsumi Yamaguchi (Japan)</w:t>
      </w:r>
      <w:r w:rsidR="009D18BA">
        <w:rPr>
          <w:color w:val="000000"/>
        </w:rPr>
        <w:t xml:space="preserve"> als nächsten Vorsitzenden der</w:t>
      </w:r>
      <w:r>
        <w:rPr>
          <w:color w:val="000000"/>
        </w:rPr>
        <w:t xml:space="preserve"> TWF</w:t>
      </w:r>
      <w:r w:rsidR="009D18BA">
        <w:rPr>
          <w:color w:val="000000"/>
        </w:rPr>
        <w:t xml:space="preserve"> zu wählen</w:t>
      </w:r>
      <w:r>
        <w:rPr>
          <w:color w:val="000000"/>
        </w:rPr>
        <w:t xml:space="preserve">. </w:t>
      </w:r>
    </w:p>
    <w:p w:rsidR="00C4342D" w:rsidRPr="00B723B3" w:rsidRDefault="00C4342D" w:rsidP="00C4342D">
      <w:pPr>
        <w:keepNext/>
        <w:tabs>
          <w:tab w:val="left" w:pos="142"/>
        </w:tabs>
        <w:rPr>
          <w:rFonts w:cs="Arial"/>
          <w:color w:val="000000"/>
        </w:rPr>
      </w:pPr>
    </w:p>
    <w:p w:rsidR="00C4342D" w:rsidRPr="00B723B3" w:rsidRDefault="00C4342D" w:rsidP="00C4342D">
      <w:pPr>
        <w:tabs>
          <w:tab w:val="left" w:pos="142"/>
        </w:tabs>
        <w:rPr>
          <w:rFonts w:cs="Arial"/>
        </w:rPr>
      </w:pPr>
      <w:r>
        <w:rPr>
          <w:rFonts w:cs="Arial"/>
        </w:rPr>
        <w:fldChar w:fldCharType="begin"/>
      </w:r>
      <w:r>
        <w:rPr>
          <w:rFonts w:cs="Arial"/>
        </w:rPr>
        <w:instrText xml:space="preserve"> AUTONUM  </w:instrText>
      </w:r>
      <w:r>
        <w:rPr>
          <w:rFonts w:cs="Arial"/>
        </w:rPr>
        <w:fldChar w:fldCharType="end"/>
      </w:r>
      <w:r w:rsidR="009D18BA">
        <w:tab/>
      </w:r>
      <w:r w:rsidR="009D18BA" w:rsidRPr="009D18BA">
        <w:t>Die TWF schlug vor, auf ihrer nächsten Tagung folgende Punkte zu behandeln</w:t>
      </w:r>
      <w:r>
        <w:t>:</w:t>
      </w:r>
    </w:p>
    <w:p w:rsidR="00C4342D" w:rsidRPr="00B723B3" w:rsidRDefault="00C4342D" w:rsidP="00C4342D">
      <w:pPr>
        <w:tabs>
          <w:tab w:val="left" w:pos="142"/>
        </w:tabs>
        <w:rPr>
          <w:rFonts w:cs="Arial"/>
        </w:rPr>
      </w:pPr>
    </w:p>
    <w:p w:rsidR="00C4342D" w:rsidRPr="00B723B3" w:rsidRDefault="009D18BA" w:rsidP="00C4342D">
      <w:pPr>
        <w:numPr>
          <w:ilvl w:val="0"/>
          <w:numId w:val="19"/>
        </w:numPr>
        <w:tabs>
          <w:tab w:val="clear" w:pos="360"/>
          <w:tab w:val="left" w:pos="142"/>
          <w:tab w:val="num" w:pos="1134"/>
        </w:tabs>
        <w:spacing w:before="20" w:afterLines="20" w:after="48"/>
        <w:ind w:left="924" w:hanging="357"/>
        <w:rPr>
          <w:rFonts w:cs="Arial"/>
        </w:rPr>
      </w:pPr>
      <w:r>
        <w:t>Eröffnung der Tagung</w:t>
      </w:r>
    </w:p>
    <w:p w:rsidR="00C4342D" w:rsidRPr="00B723B3" w:rsidRDefault="00C4342D" w:rsidP="00C4342D">
      <w:pPr>
        <w:numPr>
          <w:ilvl w:val="0"/>
          <w:numId w:val="19"/>
        </w:numPr>
        <w:tabs>
          <w:tab w:val="clear" w:pos="360"/>
          <w:tab w:val="left" w:pos="142"/>
          <w:tab w:val="num" w:pos="1134"/>
        </w:tabs>
        <w:spacing w:before="20" w:afterLines="20" w:after="48"/>
        <w:ind w:left="924" w:hanging="357"/>
        <w:rPr>
          <w:rFonts w:cs="Arial"/>
        </w:rPr>
      </w:pPr>
      <w:r>
        <w:t>Annahme der Tagesordnung</w:t>
      </w:r>
    </w:p>
    <w:p w:rsidR="00C4342D" w:rsidRPr="00B723B3" w:rsidRDefault="009D18BA" w:rsidP="00C4342D">
      <w:pPr>
        <w:numPr>
          <w:ilvl w:val="0"/>
          <w:numId w:val="19"/>
        </w:numPr>
        <w:tabs>
          <w:tab w:val="clear" w:pos="360"/>
          <w:tab w:val="left" w:pos="142"/>
          <w:tab w:val="num" w:pos="1134"/>
        </w:tabs>
        <w:spacing w:before="20" w:afterLines="20" w:after="48"/>
        <w:ind w:left="924" w:hanging="357"/>
        <w:rPr>
          <w:rFonts w:cs="Arial"/>
        </w:rPr>
      </w:pPr>
      <w:r>
        <w:t>Kurzberichte über die Entwicklungen im Sortenschutz</w:t>
      </w:r>
    </w:p>
    <w:p w:rsidR="00C4342D" w:rsidRPr="00A470FB" w:rsidRDefault="009D18BA" w:rsidP="00C4342D">
      <w:pPr>
        <w:numPr>
          <w:ilvl w:val="0"/>
          <w:numId w:val="16"/>
        </w:numPr>
        <w:tabs>
          <w:tab w:val="left" w:pos="142"/>
          <w:tab w:val="num" w:pos="1134"/>
          <w:tab w:val="num" w:pos="1494"/>
        </w:tabs>
        <w:spacing w:before="20" w:afterLines="20" w:after="48"/>
        <w:ind w:left="1494"/>
        <w:rPr>
          <w:rFonts w:cs="Arial"/>
        </w:rPr>
      </w:pPr>
      <w:r w:rsidRPr="00A470FB">
        <w:t xml:space="preserve">Berichte von Verbandmitgliedern und Beobachtern </w:t>
      </w:r>
    </w:p>
    <w:p w:rsidR="00C4342D" w:rsidRPr="00A470FB" w:rsidRDefault="00C4342D" w:rsidP="00C4342D">
      <w:pPr>
        <w:numPr>
          <w:ilvl w:val="0"/>
          <w:numId w:val="16"/>
        </w:numPr>
        <w:tabs>
          <w:tab w:val="left" w:pos="142"/>
          <w:tab w:val="num" w:pos="1134"/>
          <w:tab w:val="num" w:pos="1494"/>
        </w:tabs>
        <w:spacing w:before="20" w:afterLines="20" w:after="48"/>
        <w:ind w:left="1494"/>
        <w:rPr>
          <w:rFonts w:cs="Arial"/>
        </w:rPr>
      </w:pPr>
      <w:r w:rsidRPr="00A470FB">
        <w:t>Berichte über Entwicklungen in der UPOV (mündlicher Bericht durch das Verbandsbüro)</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t>Molekulare Verfahren (vom Verbandsbüro zu erstellendes Dokument)</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t xml:space="preserve">TGP-Dokumente </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t>Sortenbezeichnungen (vom Verbandsbüro zu erstellendes Dokument)</w:t>
      </w:r>
    </w:p>
    <w:p w:rsidR="00C4342D" w:rsidRPr="00B723B3" w:rsidRDefault="009D18BA" w:rsidP="00C4342D">
      <w:pPr>
        <w:numPr>
          <w:ilvl w:val="0"/>
          <w:numId w:val="19"/>
        </w:numPr>
        <w:tabs>
          <w:tab w:val="clear" w:pos="360"/>
          <w:tab w:val="left" w:pos="142"/>
        </w:tabs>
        <w:spacing w:before="20" w:afterLines="20" w:after="48"/>
        <w:ind w:left="1134" w:hanging="567"/>
        <w:rPr>
          <w:rFonts w:cs="Arial"/>
        </w:rPr>
      </w:pPr>
      <w:r>
        <w:t>Informationen und Databanken</w:t>
      </w:r>
    </w:p>
    <w:p w:rsidR="00C4342D" w:rsidRPr="00B723B3" w:rsidRDefault="009D18BA" w:rsidP="00C4342D">
      <w:pPr>
        <w:tabs>
          <w:tab w:val="left" w:pos="142"/>
        </w:tabs>
        <w:spacing w:before="20" w:afterLines="20" w:after="48"/>
        <w:ind w:left="1584" w:hanging="450"/>
        <w:rPr>
          <w:rFonts w:cs="Arial"/>
        </w:rPr>
      </w:pPr>
      <w:r>
        <w:t>a)  UPOV-Informationsdatenbanken</w:t>
      </w:r>
      <w:r w:rsidR="00C4342D">
        <w:t xml:space="preserve"> (</w:t>
      </w:r>
      <w:r w:rsidRPr="009D18BA">
        <w:t>vom Verbandsbüro zu erstellendes Dokument</w:t>
      </w:r>
      <w:r w:rsidR="00C4342D">
        <w:t>)</w:t>
      </w:r>
    </w:p>
    <w:p w:rsidR="00C4342D" w:rsidRPr="00B723B3" w:rsidRDefault="00C4342D" w:rsidP="00C4342D">
      <w:pPr>
        <w:tabs>
          <w:tab w:val="left" w:pos="142"/>
        </w:tabs>
        <w:spacing w:before="20" w:afterLines="20" w:after="48"/>
        <w:ind w:left="1584" w:hanging="450"/>
        <w:rPr>
          <w:rFonts w:cs="Arial"/>
        </w:rPr>
      </w:pPr>
      <w:r>
        <w:t>b)</w:t>
      </w:r>
      <w:r>
        <w:tab/>
        <w:t>Datenbanken für Sortenbeschreibungen (vom Verbandsbüro zu erstellendes Dokument und erbetene Dokumente)</w:t>
      </w:r>
    </w:p>
    <w:p w:rsidR="00C4342D" w:rsidRPr="00B723B3" w:rsidRDefault="00C4342D" w:rsidP="00C4342D">
      <w:pPr>
        <w:tabs>
          <w:tab w:val="left" w:pos="142"/>
        </w:tabs>
        <w:spacing w:before="20" w:afterLines="20" w:after="48"/>
        <w:ind w:left="1584" w:hanging="450"/>
        <w:rPr>
          <w:rFonts w:cs="Arial"/>
        </w:rPr>
      </w:pPr>
      <w:r>
        <w:t>c)  Austauschbare Software (vom Verbandsbüro zu erstellende Dokumente)</w:t>
      </w:r>
    </w:p>
    <w:p w:rsidR="00C4342D" w:rsidRPr="00B723B3" w:rsidRDefault="009D18BA" w:rsidP="00C4342D">
      <w:pPr>
        <w:tabs>
          <w:tab w:val="left" w:pos="142"/>
        </w:tabs>
        <w:spacing w:before="20" w:afterLines="20" w:after="48"/>
        <w:ind w:left="1584" w:hanging="450"/>
        <w:rPr>
          <w:rFonts w:cs="Arial"/>
        </w:rPr>
      </w:pPr>
      <w:r>
        <w:t>d)  Elek</w:t>
      </w:r>
      <w:r w:rsidR="00C4342D">
        <w:t>tronische Systeme für die Einreichung von Anträgen (vom Verbandsbüro zu erstellendes Dokument)</w:t>
      </w:r>
    </w:p>
    <w:p w:rsidR="00C4342D" w:rsidRPr="00B723B3" w:rsidRDefault="00C4342D" w:rsidP="00C4342D">
      <w:pPr>
        <w:numPr>
          <w:ilvl w:val="0"/>
          <w:numId w:val="19"/>
        </w:numPr>
        <w:tabs>
          <w:tab w:val="clear" w:pos="360"/>
          <w:tab w:val="left" w:pos="142"/>
        </w:tabs>
        <w:spacing w:before="20" w:afterLines="20" w:after="48"/>
        <w:ind w:left="1134" w:hanging="567"/>
        <w:rPr>
          <w:rFonts w:cs="Arial"/>
        </w:rPr>
      </w:pPr>
      <w:r>
        <w:t>Homogenitätsprüfung</w:t>
      </w:r>
    </w:p>
    <w:p w:rsidR="00C4342D" w:rsidRPr="00B723B3" w:rsidRDefault="009D18BA" w:rsidP="009D18BA">
      <w:pPr>
        <w:numPr>
          <w:ilvl w:val="0"/>
          <w:numId w:val="19"/>
        </w:numPr>
        <w:tabs>
          <w:tab w:val="clear" w:pos="360"/>
          <w:tab w:val="left" w:pos="567"/>
          <w:tab w:val="num" w:pos="1134"/>
        </w:tabs>
        <w:spacing w:before="20" w:afterLines="20" w:after="48"/>
        <w:ind w:left="1134" w:hanging="567"/>
        <w:rPr>
          <w:rFonts w:cs="Arial"/>
        </w:rPr>
      </w:pPr>
      <w:r w:rsidRPr="009D18BA">
        <w:rPr>
          <w:color w:val="000000"/>
        </w:rPr>
        <w:t>Verwaltung von Vergleichssammlungen für die DUS-Prüfung (von Frankreich und der Europäischen Union zu erstellendes Dokument)</w:t>
      </w:r>
    </w:p>
    <w:p w:rsidR="00C4342D" w:rsidRPr="00B723B3" w:rsidRDefault="009D18BA" w:rsidP="009D18BA">
      <w:pPr>
        <w:numPr>
          <w:ilvl w:val="0"/>
          <w:numId w:val="19"/>
        </w:numPr>
        <w:tabs>
          <w:tab w:val="clear" w:pos="360"/>
          <w:tab w:val="left" w:pos="142"/>
          <w:tab w:val="num" w:pos="1134"/>
        </w:tabs>
        <w:spacing w:before="20" w:afterLines="20" w:after="48"/>
        <w:ind w:left="1134" w:hanging="567"/>
        <w:rPr>
          <w:rFonts w:cs="Arial"/>
        </w:rPr>
      </w:pPr>
      <w:r w:rsidRPr="009D18BA">
        <w:rPr>
          <w:color w:val="000000"/>
        </w:rPr>
        <w:t>Dauer der DUS-Prüfungen im Obstsektor (von der Europäischen Union zu erstellendes Dokument)</w:t>
      </w:r>
    </w:p>
    <w:p w:rsidR="00C4342D" w:rsidRPr="00B723B3" w:rsidRDefault="009D18BA" w:rsidP="009D18BA">
      <w:pPr>
        <w:numPr>
          <w:ilvl w:val="0"/>
          <w:numId w:val="19"/>
        </w:numPr>
        <w:tabs>
          <w:tab w:val="clear" w:pos="360"/>
          <w:tab w:val="left" w:pos="142"/>
          <w:tab w:val="num" w:pos="1134"/>
        </w:tabs>
        <w:spacing w:before="20" w:afterLines="20" w:after="48"/>
        <w:ind w:left="1134" w:hanging="567"/>
        <w:rPr>
          <w:rFonts w:cs="Arial"/>
        </w:rPr>
      </w:pPr>
      <w:r w:rsidRPr="009D18BA">
        <w:rPr>
          <w:color w:val="000000"/>
        </w:rPr>
        <w:t>Harmonisierte Beispielssorten für Apfel: historische Daten und etwaige neue Entwicklungen (von Deutschland, Neuseeland und der Europäischen Union zu erstellendes Dokument)</w:t>
      </w:r>
      <w:r>
        <w:rPr>
          <w:color w:val="000000"/>
        </w:rPr>
        <w:t xml:space="preserve"> </w:t>
      </w:r>
    </w:p>
    <w:p w:rsidR="00C4342D" w:rsidRPr="00B723B3" w:rsidRDefault="009D18BA" w:rsidP="009D18BA">
      <w:pPr>
        <w:numPr>
          <w:ilvl w:val="0"/>
          <w:numId w:val="19"/>
        </w:numPr>
        <w:tabs>
          <w:tab w:val="clear" w:pos="360"/>
          <w:tab w:val="left" w:pos="142"/>
          <w:tab w:val="num" w:pos="1134"/>
        </w:tabs>
        <w:spacing w:before="20" w:afterLines="20" w:after="48"/>
        <w:ind w:left="1134" w:hanging="567"/>
        <w:rPr>
          <w:rFonts w:cs="Arial"/>
        </w:rPr>
      </w:pPr>
      <w:r w:rsidRPr="009D18BA">
        <w:t>Angelegenheiten, die bezüglich der vom Technischen Ausschuß angenommenen Prüfungsrichtlinien zu bereinigen sind (sofern zweckmäßig)</w:t>
      </w:r>
    </w:p>
    <w:p w:rsidR="00C4342D" w:rsidRPr="00B723B3" w:rsidRDefault="009D18BA" w:rsidP="00C4342D">
      <w:pPr>
        <w:numPr>
          <w:ilvl w:val="0"/>
          <w:numId w:val="19"/>
        </w:numPr>
        <w:tabs>
          <w:tab w:val="clear" w:pos="360"/>
          <w:tab w:val="left" w:pos="142"/>
        </w:tabs>
        <w:spacing w:before="20" w:afterLines="20" w:after="48"/>
        <w:ind w:left="1134" w:hanging="567"/>
        <w:rPr>
          <w:rFonts w:cs="Arial"/>
        </w:rPr>
      </w:pPr>
      <w:r>
        <w:t>Erörterungen über Entwürfe von Prüfungsrichtlinien (Untergruppen</w:t>
      </w:r>
      <w:r w:rsidR="00C4342D">
        <w:t>)</w:t>
      </w:r>
    </w:p>
    <w:p w:rsidR="00C4342D" w:rsidRPr="00B723B3" w:rsidRDefault="009D18BA" w:rsidP="00C4342D">
      <w:pPr>
        <w:numPr>
          <w:ilvl w:val="0"/>
          <w:numId w:val="19"/>
        </w:numPr>
        <w:tabs>
          <w:tab w:val="clear" w:pos="360"/>
          <w:tab w:val="left" w:pos="142"/>
        </w:tabs>
        <w:spacing w:before="20" w:afterLines="20" w:after="48"/>
        <w:ind w:left="1134" w:hanging="567"/>
        <w:rPr>
          <w:rFonts w:cs="Arial"/>
        </w:rPr>
      </w:pPr>
      <w:r>
        <w:t>Empfehlungen zu Entwürfen von Prüfungsrichtlinien</w:t>
      </w:r>
    </w:p>
    <w:p w:rsidR="00C4342D" w:rsidRPr="00B723B3" w:rsidRDefault="009D18BA" w:rsidP="00C4342D">
      <w:pPr>
        <w:numPr>
          <w:ilvl w:val="0"/>
          <w:numId w:val="19"/>
        </w:numPr>
        <w:tabs>
          <w:tab w:val="clear" w:pos="360"/>
          <w:tab w:val="left" w:pos="142"/>
        </w:tabs>
        <w:spacing w:before="20" w:afterLines="20" w:after="48"/>
        <w:ind w:left="1134" w:hanging="567"/>
        <w:rPr>
          <w:rFonts w:cs="Arial"/>
        </w:rPr>
      </w:pPr>
      <w:r>
        <w:t>Anleitung für Verfasser von Prüfungsrichtlinien</w:t>
      </w:r>
    </w:p>
    <w:p w:rsidR="00C4342D" w:rsidRPr="00B723B3" w:rsidRDefault="009D18BA" w:rsidP="00C4342D">
      <w:pPr>
        <w:numPr>
          <w:ilvl w:val="0"/>
          <w:numId w:val="19"/>
        </w:numPr>
        <w:tabs>
          <w:tab w:val="clear" w:pos="360"/>
          <w:tab w:val="left" w:pos="142"/>
        </w:tabs>
        <w:spacing w:before="20" w:afterLines="20" w:after="48"/>
        <w:ind w:left="1134" w:hanging="567"/>
        <w:rPr>
          <w:rFonts w:cs="Arial"/>
        </w:rPr>
      </w:pPr>
      <w:r>
        <w:t>Ort und Datum der nächsten Tagung</w:t>
      </w:r>
    </w:p>
    <w:p w:rsidR="00C4342D" w:rsidRPr="00B723B3" w:rsidRDefault="009D18BA" w:rsidP="00C4342D">
      <w:pPr>
        <w:numPr>
          <w:ilvl w:val="0"/>
          <w:numId w:val="19"/>
        </w:numPr>
        <w:tabs>
          <w:tab w:val="clear" w:pos="360"/>
          <w:tab w:val="left" w:pos="142"/>
        </w:tabs>
        <w:spacing w:before="20" w:afterLines="20" w:after="48"/>
        <w:ind w:left="1134" w:hanging="567"/>
        <w:rPr>
          <w:rFonts w:cs="Arial"/>
        </w:rPr>
      </w:pPr>
      <w:r>
        <w:t>Künftiges Programm</w:t>
      </w:r>
    </w:p>
    <w:p w:rsidR="00C4342D" w:rsidRPr="00B723B3" w:rsidRDefault="009D18BA" w:rsidP="00C4342D">
      <w:pPr>
        <w:numPr>
          <w:ilvl w:val="0"/>
          <w:numId w:val="19"/>
        </w:numPr>
        <w:tabs>
          <w:tab w:val="clear" w:pos="360"/>
          <w:tab w:val="left" w:pos="142"/>
        </w:tabs>
        <w:spacing w:before="20" w:afterLines="20" w:after="48"/>
        <w:ind w:left="1134" w:hanging="567"/>
        <w:rPr>
          <w:rFonts w:cs="Arial"/>
        </w:rPr>
      </w:pPr>
      <w:r>
        <w:t>Bericht über die T</w:t>
      </w:r>
      <w:r w:rsidR="00876F85">
        <w:t>agung (sofern zeitlich möglich</w:t>
      </w:r>
      <w:r>
        <w:t>)</w:t>
      </w:r>
    </w:p>
    <w:p w:rsidR="00C4342D" w:rsidRPr="00B723B3" w:rsidRDefault="009D18BA" w:rsidP="00C4342D">
      <w:pPr>
        <w:numPr>
          <w:ilvl w:val="0"/>
          <w:numId w:val="19"/>
        </w:numPr>
        <w:tabs>
          <w:tab w:val="clear" w:pos="360"/>
          <w:tab w:val="left" w:pos="142"/>
        </w:tabs>
        <w:spacing w:before="20" w:afterLines="20" w:after="48"/>
        <w:ind w:left="1134" w:hanging="567"/>
        <w:rPr>
          <w:rFonts w:cs="Arial"/>
        </w:rPr>
      </w:pPr>
      <w:r>
        <w:t>Schließung der Tagung</w:t>
      </w:r>
    </w:p>
    <w:p w:rsidR="00C4342D" w:rsidRDefault="00C4342D" w:rsidP="00C4342D"/>
    <w:p w:rsidR="000010F6" w:rsidRDefault="000010F6" w:rsidP="00C4342D"/>
    <w:p w:rsidR="009347C4" w:rsidRDefault="009347C4" w:rsidP="009347C4">
      <w:pPr>
        <w:pStyle w:val="Heading2"/>
      </w:pPr>
      <w:bookmarkStart w:id="225" w:name="_Toc393187188"/>
      <w:bookmarkStart w:id="226" w:name="_Toc395605416"/>
      <w:r>
        <w:t>Technischen Arbeitsgruppe für Zierpflanzen und forstliche Baumarten (TWO)</w:t>
      </w:r>
      <w:bookmarkEnd w:id="225"/>
      <w:bookmarkEnd w:id="226"/>
    </w:p>
    <w:p w:rsidR="009347C4" w:rsidRDefault="009347C4" w:rsidP="009347C4"/>
    <w:p w:rsidR="009347C4" w:rsidRDefault="009347C4" w:rsidP="009347C4">
      <w:pPr>
        <w:autoSpaceDE w:val="0"/>
        <w:autoSpaceDN w:val="0"/>
        <w:adjustRightInd w:val="0"/>
        <w:rPr>
          <w:rFonts w:cs="Arial"/>
          <w:color w:val="000000"/>
        </w:rPr>
      </w:pPr>
      <w:r>
        <w:fldChar w:fldCharType="begin"/>
      </w:r>
      <w:r>
        <w:instrText xml:space="preserve"> AUTONUM  </w:instrText>
      </w:r>
      <w:r>
        <w:fldChar w:fldCharType="end"/>
      </w:r>
      <w:r>
        <w:tab/>
        <w:t>Die Technische Arbeitsgruppe für Zierpflanzen und forstliche Baumarten (TWO) hielt ihre sechsundvierzigste Tagung vom 22. bis 26. April 2013 in Melbourne, Australien, ab</w:t>
      </w:r>
      <w:r w:rsidR="00FC0E42">
        <w:t>.</w:t>
      </w:r>
      <w:r w:rsidR="00FC0E42">
        <w:rPr>
          <w:color w:val="000000"/>
        </w:rPr>
        <w:t xml:space="preserve"> </w:t>
      </w:r>
      <w:r>
        <w:rPr>
          <w:color w:val="000000"/>
        </w:rPr>
        <w:t xml:space="preserve">Den Vorsitz über die Tagung führte Herr Nik Hulse (Australien), Vorsitzender der TWO. Der detaillierte Bericht ist in Dokument TWO/46/29 enthalten. </w:t>
      </w:r>
    </w:p>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t>An der Tagung nahmen 43 Teilnehmer aus 18 Verbandsmitgliedern, drei Beobachterstaaten und einer Beobachterorganisationen teil.</w:t>
      </w:r>
      <w:r>
        <w:rPr>
          <w:color w:val="000000"/>
        </w:rPr>
        <w:t xml:space="preserve"> Die vorbereitende Arbeitstagung fand am Nachmittag des 21. April statt und 30 Teilnehmer aus 13 Verbandsmitgliedern, drei Beobachterstaaten und einer Beobachterorganisation nahmen daran teil. </w:t>
      </w:r>
    </w:p>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rPr>
      </w:pPr>
      <w:r>
        <w:rPr>
          <w:rFonts w:cs="Arial"/>
          <w:color w:val="000000"/>
        </w:rPr>
        <w:fldChar w:fldCharType="begin"/>
      </w:r>
      <w:r>
        <w:rPr>
          <w:rFonts w:cs="Arial"/>
          <w:color w:val="000000"/>
        </w:rPr>
        <w:instrText xml:space="preserve"> AUTONUM  </w:instrText>
      </w:r>
      <w:r>
        <w:rPr>
          <w:rFonts w:cs="Arial"/>
          <w:color w:val="000000"/>
        </w:rPr>
        <w:fldChar w:fldCharType="end"/>
      </w:r>
      <w:r>
        <w:tab/>
        <w:t xml:space="preserve">Die TWO wurde von </w:t>
      </w:r>
      <w:bookmarkStart w:id="227" w:name="OLE_LINK4"/>
      <w:bookmarkStart w:id="228" w:name="OLE_LINK3"/>
      <w:r>
        <w:t xml:space="preserve">Frau Fatima Beattie, stellvertretende </w:t>
      </w:r>
      <w:bookmarkEnd w:id="227"/>
      <w:bookmarkEnd w:id="228"/>
      <w:r>
        <w:t xml:space="preserve">Generaldirektorin, IP Australia, auf elektronischem Wege begrüßt. Die frühere Vorsitzende der TWO, Frau Andrea Menne, </w:t>
      </w:r>
      <w:r w:rsidR="00FC0E42">
        <w:t>dankte Australien</w:t>
      </w:r>
      <w:r>
        <w:t xml:space="preserve"> für die Ausrichtung der TWO-Tagung. </w:t>
      </w:r>
    </w:p>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rPr>
      </w:pPr>
      <w:r>
        <w:rPr>
          <w:rFonts w:cs="Arial"/>
          <w:color w:val="000000"/>
        </w:rPr>
        <w:fldChar w:fldCharType="begin"/>
      </w:r>
      <w:r>
        <w:rPr>
          <w:rFonts w:cs="Arial"/>
          <w:color w:val="000000"/>
        </w:rPr>
        <w:instrText xml:space="preserve"> AUTONUM  </w:instrText>
      </w:r>
      <w:r>
        <w:rPr>
          <w:rFonts w:cs="Arial"/>
          <w:color w:val="000000"/>
        </w:rPr>
        <w:fldChar w:fldCharType="end"/>
      </w:r>
      <w:r>
        <w:tab/>
        <w:t>Der Vorsitzende, Herr Nik Hulse, hielt ein Referat über das Sortenschutzsystem in Australien.</w:t>
      </w:r>
    </w:p>
    <w:p w:rsidR="009347C4" w:rsidRDefault="009347C4" w:rsidP="009347C4">
      <w:pPr>
        <w:autoSpaceDE w:val="0"/>
        <w:autoSpaceDN w:val="0"/>
        <w:adjustRightInd w:val="0"/>
        <w:rPr>
          <w:rFonts w:cs="Arial"/>
        </w:rPr>
      </w:pPr>
    </w:p>
    <w:p w:rsidR="009347C4" w:rsidRDefault="009347C4" w:rsidP="009347C4">
      <w:pPr>
        <w:autoSpaceDE w:val="0"/>
        <w:autoSpaceDN w:val="0"/>
        <w:adjustRightInd w:val="0"/>
        <w:rPr>
          <w:rFonts w:cs="Arial"/>
        </w:rPr>
      </w:pPr>
      <w:r>
        <w:rPr>
          <w:rFonts w:cs="Arial"/>
          <w:color w:val="000000"/>
        </w:rPr>
        <w:fldChar w:fldCharType="begin"/>
      </w:r>
      <w:r>
        <w:rPr>
          <w:rFonts w:cs="Arial"/>
          <w:color w:val="000000"/>
        </w:rPr>
        <w:instrText xml:space="preserve"> AUTONUM  </w:instrText>
      </w:r>
      <w:r>
        <w:rPr>
          <w:rFonts w:cs="Arial"/>
          <w:color w:val="000000"/>
        </w:rPr>
        <w:fldChar w:fldCharType="end"/>
      </w:r>
      <w:r>
        <w:tab/>
        <w:t xml:space="preserve">Die TWO nahm die von Mitgliedern und Beobachtern in Dokument TWO/46/28 Prov. „Berichte über Entwicklungen im Sortenschutz von Mitgliedern und Beobachtern“ gelieferten Informationen über Entwicklungen beim Sortenschutz zur </w:t>
      </w:r>
      <w:r w:rsidR="00FC0E42">
        <w:t>Kenntnis.</w:t>
      </w:r>
      <w:r w:rsidR="00FC0E42">
        <w:rPr>
          <w:color w:val="000000"/>
        </w:rPr>
        <w:t xml:space="preserve"> Die</w:t>
      </w:r>
      <w:r>
        <w:rPr>
          <w:color w:val="000000"/>
        </w:rPr>
        <w:t xml:space="preserve"> TWO hörte einen mündlichen Bericht des Verbandsbüros über die jüngsten Entwicklungen in der UPOV. </w:t>
      </w:r>
    </w:p>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t>Die TWO prüfte Dokument TWO/46/2 „Molekulare Verfahren“.</w:t>
      </w:r>
      <w:r>
        <w:rPr>
          <w:color w:val="000000"/>
        </w:rPr>
        <w:t xml:space="preserve"> Die TWO stimmte dem TC voll und ganz dabei zu, daß es notwendig sei, einem breiteren Publikum, einschließlich Züchtern und der Öffentlichkeit im Allgemeinen, geeignete Informationen über die Lage in der UPOV im Hinblick auf die Verwendung molekularer Verfahren zur Verfügung zu stellen</w:t>
      </w:r>
      <w:r w:rsidR="00FC0E42">
        <w:rPr>
          <w:color w:val="000000"/>
        </w:rPr>
        <w:t xml:space="preserve">. </w:t>
      </w:r>
      <w:r>
        <w:rPr>
          <w:color w:val="000000"/>
        </w:rPr>
        <w:t>Diese Informationen sollten die Beziehung zwischen Genotyp und Phänotyp und die Gründe, aus denen solche Verfahren im allgemeinen nicht für die DUS-Prüfung zweckmäßig sind, erklären.</w:t>
      </w:r>
    </w:p>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r>
      <w:r>
        <w:rPr>
          <w:color w:val="000000"/>
        </w:rPr>
        <w:t>Die TWO prüfte die vorgeschlagene Anleitung zum Ursprung von Vermehrungsmaterial, wie in Abschnitt IV „Anleitung zur Erstellung von Prüfungsrichtlinien” der Anlage von Dokument TWO/46/10 „Überarbeitung von Dokument</w:t>
      </w:r>
      <w:r>
        <w:t xml:space="preserve"> TGP/7: Ursprung von Vermehrungsmaterial“ dargelegt.</w:t>
      </w:r>
      <w:r>
        <w:rPr>
          <w:color w:val="000000"/>
        </w:rPr>
        <w:t xml:space="preserve"> Die TWO stimmte zwar darin überein, daß der Wortlaut nicht in Abschnitt 9.2 des Technischen Fragebogens aufgenommen werden sollte, nahm aber zur Kenntnis, daß das Dokument nützliche Informationen über die möglichen Auswirkungen des Ursprungs von Vermehrungsmaterial enthalte. Diesbezüglich ersuchte die TWO um die Erstellung einer Kurzfaßung als allgemeine Anleitung zur Aufnahme in TGP/</w:t>
      </w:r>
      <w:r w:rsidR="00FC0E42">
        <w:rPr>
          <w:color w:val="000000"/>
        </w:rPr>
        <w:t>7.</w:t>
      </w:r>
    </w:p>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r>
      <w:r>
        <w:rPr>
          <w:color w:val="000000"/>
        </w:rPr>
        <w:t>Die TWO prüfte Dokument TWO/46/11 „Angabe des Entwicklungsstadiums in Prüfungsrichtlinien” und war der Ansicht, daß die Angabe des Entwicklungsstadiums in Prüfungsrichtlinien freigestellt sein und falls zweckmäßig verwendet werden sollte. Ferner vereinbarte die TWO, daß der Zusätzliche Standardwortlaut 4 „Bedingungen für die Durchführung der Prüfung“ (ASW 4) geändert werden sollte, um die derzeitige Praxis bei den UPOV-Prüfungsrichtlinien, das Entwicklungsstadium unter Verwendung von Buchstaben, Zahlen oder Kombinationen aus Buchstaben und Zahlen anzugeben, wiederzugeben.</w:t>
      </w:r>
    </w:p>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r>
      <w:r>
        <w:rPr>
          <w:color w:val="000000"/>
        </w:rPr>
        <w:t>Die TWO prüfte Dokument TWO/46/12 „Bereitstellung von Farbabbildungen in Prüfungsrichtlinien“ und schlug Anleitung zur Aufnahme in eine künftige Überarbeitung von TGP/7 vor, um anzugeben, daß es im allgemeinen nicht zweckmäßig sei, Farbabbildungen in Prüfungsrichtlinien zu verwenden.</w:t>
      </w:r>
    </w:p>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r>
      <w:r>
        <w:rPr>
          <w:color w:val="000000"/>
        </w:rPr>
        <w:t xml:space="preserve">Die TWO prüfte Dokument TWO/46/14 „Minimierung der Variation infolge verschiedener Erfasser“ und schlug vor, daß Sachverständige aus Australien, Deutschland, den Niederlanden und dem Vereinigten Königreich bei der Ausarbeitung weiterer Anleitung in Bezug auf PQ und QN/MG-Merkmale im vorgeschlagenen neuen Abschnitt zur Aufnahme in TGP/8 Teil I: DUS-Prüfungsanlage und Datenanalyse Unterstützung leisten. Die TWO merkte allerdings auch an, daß die Prüfungsrichtlinien wichtig für die Erteilung klarer Anleitung für DUS-Prüfer </w:t>
      </w:r>
      <w:r w:rsidR="00FC0E42">
        <w:rPr>
          <w:color w:val="000000"/>
        </w:rPr>
        <w:t>seien</w:t>
      </w:r>
      <w:r>
        <w:rPr>
          <w:color w:val="000000"/>
        </w:rPr>
        <w:t>, um die Übereinstimmung von Erfassungen zu gewährleisten.</w:t>
      </w:r>
    </w:p>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r>
      <w:r>
        <w:rPr>
          <w:color w:val="000000"/>
        </w:rPr>
        <w:t xml:space="preserve">Die TWO prüfte mehrere weitere Dokumente im Hinblick auf die Überarbeitung von Dokument TGP/8:  Teil II:  Ausgewählte Verfahren für die DUS-Prüfung und nahm sie zur Kenntnis. Diese bezogen sich auf das Verfahren für die Berechnung von COYU, das Verfahren der relativen Varianz und die DUS-Prüfung an Mischproben. </w:t>
      </w:r>
    </w:p>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r>
      <w:r>
        <w:rPr>
          <w:color w:val="000000"/>
        </w:rPr>
        <w:t>Die TWO prüfte Dokument TWO/46/18</w:t>
      </w:r>
      <w:r>
        <w:t xml:space="preserve"> „Datenverarbeitung für die Prüfung der Unterscheidbarkeit und für die Erarbeitung von Sortenbeschreibungen“.</w:t>
      </w:r>
      <w:r>
        <w:rPr>
          <w:color w:val="000000"/>
        </w:rPr>
        <w:t xml:space="preserve"> Die TWO befürwortete den praktischen Versuch und ersuchte um Ausarbeitung von Anleitung zur Datenverarbeitung für die Prüfung der Unterscheidbarkeit und die Erstellung von Sortenbeschreibungen vegetativ vermehrter Pflanzen.</w:t>
      </w:r>
    </w:p>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r>
      <w:r>
        <w:rPr>
          <w:color w:val="000000"/>
        </w:rPr>
        <w:t>Die TWO prüfte Dokument TWO/46/19 „Anleitung zur Datenanalyse für randomisierte Blindprüfungen“ und nahm dabei die von den TWP im Jahr 2012 und vom TC-EDC im Jahr 2013 gemachten Anmerkungen zur Kenntnis. Zusätzlich schlug die TWO folgende Verbesserungen vor: Änderung des Titels des neuen Abschnitts in „Entwurf für eine Anleitung zur Datenanalyse für randomisierte Blindprüfungen, die von der Behörde oder einer Drittpartei durchgeführt werden“; die allgemeinere Formulierung der Einleitung und die Anführung eines Beispiels für Zierpflanzen.</w:t>
      </w:r>
    </w:p>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r>
      <w:r>
        <w:rPr>
          <w:color w:val="000000"/>
        </w:rPr>
        <w:t>Die TWO prüfte Dokument TWO/46/21 „</w:t>
      </w:r>
      <w:r w:rsidRPr="007B3CA1">
        <w:rPr>
          <w:i/>
          <w:color w:val="000000"/>
        </w:rPr>
        <w:t>Color, Definition of Dot</w:t>
      </w:r>
      <w:r>
        <w:rPr>
          <w:color w:val="000000"/>
        </w:rPr>
        <w:t>” un</w:t>
      </w:r>
      <w:r w:rsidR="007B3CA1">
        <w:rPr>
          <w:color w:val="000000"/>
        </w:rPr>
        <w:t>d vereinbarte, daß „dot” ein kleiner „spot”</w:t>
      </w:r>
      <w:r>
        <w:rPr>
          <w:color w:val="000000"/>
        </w:rPr>
        <w:t xml:space="preserve"> sei. Ferner vereinbarte die TWO, daß in der Originalversion künftiger Prüfungsrichtlinien ausschlie</w:t>
      </w:r>
      <w:r w:rsidR="007B3CA1">
        <w:rPr>
          <w:color w:val="000000"/>
        </w:rPr>
        <w:t>ßlich der Begriff „spot“</w:t>
      </w:r>
      <w:r>
        <w:rPr>
          <w:color w:val="000000"/>
        </w:rPr>
        <w:t xml:space="preserve"> verwendet werden solle und bestehende Prüfungsrichtlinien in Fällen, in denen dieses Begriffe Verwirrung stiften könnten, eventuell überarbeitet werden sollen.</w:t>
      </w:r>
    </w:p>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r>
      <w:r>
        <w:rPr>
          <w:color w:val="000000"/>
        </w:rPr>
        <w:t>Die TWO prüfte Dokument TWO/46/24 „Anleitung für die Verfasser von Prüfungsrichtlinien“ und nahm die bei der Entwicklung eines Prototyps einer webbasierten TG-Vorlage, die genügend Flexibilität, um Vorschläge für einen neuen Standardwortlaut sowie Struktur für eine mögliche Weiterentwicklung von Prüfungsrichtlinien gewährt, zur Kenntnis.</w:t>
      </w:r>
    </w:p>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r>
      <w:r>
        <w:rPr>
          <w:color w:val="000000"/>
        </w:rPr>
        <w:t xml:space="preserve">Ein Sachverständiger </w:t>
      </w:r>
      <w:r w:rsidR="00FC0E42">
        <w:rPr>
          <w:color w:val="000000"/>
        </w:rPr>
        <w:t>aus Australien</w:t>
      </w:r>
      <w:r>
        <w:rPr>
          <w:color w:val="000000"/>
        </w:rPr>
        <w:t xml:space="preserve"> hielt ein Referat über einer neuen Sorte eines Gattungshybriden zwischen der australischen Art </w:t>
      </w:r>
      <w:r>
        <w:rPr>
          <w:i/>
          <w:color w:val="000000"/>
        </w:rPr>
        <w:t>Disphyma crassifolium</w:t>
      </w:r>
      <w:r>
        <w:rPr>
          <w:color w:val="000000"/>
        </w:rPr>
        <w:t xml:space="preserve"> ssp. </w:t>
      </w:r>
      <w:r>
        <w:rPr>
          <w:i/>
          <w:color w:val="000000"/>
        </w:rPr>
        <w:t>clavellatum</w:t>
      </w:r>
      <w:r>
        <w:rPr>
          <w:color w:val="000000"/>
        </w:rPr>
        <w:t xml:space="preserve"> und der afrikanischen Art  </w:t>
      </w:r>
      <w:r>
        <w:rPr>
          <w:i/>
          <w:color w:val="000000"/>
        </w:rPr>
        <w:t>Glottiphyllum  longum</w:t>
      </w:r>
      <w:r>
        <w:rPr>
          <w:color w:val="000000"/>
        </w:rPr>
        <w:t>.</w:t>
      </w:r>
    </w:p>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r>
      <w:r>
        <w:rPr>
          <w:color w:val="000000"/>
        </w:rPr>
        <w:t>Die TWO vereinbarte, dem Technischen Ausschuß (TC</w:t>
      </w:r>
      <w:r>
        <w:t xml:space="preserve">) auf dessen fünfzigster Tagung im April 2014 vier Prüfungsrichtlinien vorzulegen; Chinesische Aster, Funkie, Flieder und Mandevilla. </w:t>
      </w:r>
      <w:r>
        <w:rPr>
          <w:color w:val="000000"/>
        </w:rPr>
        <w:t>Für ihre siebenundvierzigsten Tagung im Jahr 2014 sah die TWO die Erörterung von15 Prüfungsrichtlinien vor, die aus folgenden fünf Überarbeitungen und 10 neuen Prüfungsrichtlinien bestehen:</w:t>
      </w:r>
    </w:p>
    <w:p w:rsidR="009347C4" w:rsidRDefault="009347C4" w:rsidP="009347C4">
      <w:pPr>
        <w:autoSpaceDE w:val="0"/>
        <w:autoSpaceDN w:val="0"/>
        <w:adjustRightInd w:val="0"/>
        <w:rPr>
          <w:rFonts w:cs="Arial"/>
          <w:color w:val="000000"/>
        </w:rPr>
      </w:pPr>
    </w:p>
    <w:tbl>
      <w:tblPr>
        <w:tblW w:w="5610" w:type="dxa"/>
        <w:jc w:val="center"/>
        <w:tblInd w:w="-34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0"/>
      </w:tblGrid>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spacing w:before="60" w:after="60" w:line="276" w:lineRule="auto"/>
              <w:jc w:val="left"/>
              <w:rPr>
                <w:rFonts w:cs="Arial"/>
              </w:rPr>
            </w:pPr>
            <w:r>
              <w:rPr>
                <w:color w:val="000000"/>
              </w:rPr>
              <w:t xml:space="preserve">Abelie </w:t>
            </w:r>
            <w:r>
              <w:t>(</w:t>
            </w:r>
            <w:r>
              <w:rPr>
                <w:i/>
              </w:rPr>
              <w:t>Abelia</w:t>
            </w:r>
            <w:r>
              <w:t xml:space="preserve"> R.Br.)</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spacing w:before="60" w:after="60" w:line="276" w:lineRule="auto"/>
              <w:jc w:val="left"/>
              <w:rPr>
                <w:rFonts w:cs="Arial"/>
              </w:rPr>
            </w:pPr>
            <w:r>
              <w:rPr>
                <w:i/>
                <w:color w:val="000000"/>
              </w:rPr>
              <w:t>Aglaonema</w:t>
            </w:r>
            <w:r>
              <w:rPr>
                <w:color w:val="000000"/>
              </w:rPr>
              <w:t xml:space="preserve"> Schott.</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spacing w:before="60" w:after="60" w:line="276" w:lineRule="auto"/>
              <w:jc w:val="left"/>
              <w:rPr>
                <w:rFonts w:cs="Arial"/>
              </w:rPr>
            </w:pPr>
            <w:r>
              <w:rPr>
                <w:color w:val="000000"/>
              </w:rPr>
              <w:t>Aloe</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spacing w:before="60" w:after="60" w:line="276" w:lineRule="auto"/>
              <w:jc w:val="left"/>
              <w:rPr>
                <w:rFonts w:cs="Arial"/>
                <w:i/>
              </w:rPr>
            </w:pPr>
            <w:r>
              <w:rPr>
                <w:i/>
              </w:rPr>
              <w:t>Campanula</w:t>
            </w:r>
            <w:r>
              <w:t xml:space="preserve"> L.</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spacing w:before="60" w:after="60" w:line="276" w:lineRule="auto"/>
              <w:jc w:val="left"/>
              <w:rPr>
                <w:rFonts w:cs="Arial"/>
                <w:i/>
              </w:rPr>
            </w:pPr>
            <w:r>
              <w:rPr>
                <w:i/>
              </w:rPr>
              <w:t xml:space="preserve">Calibrachoa </w:t>
            </w:r>
            <w:r>
              <w:t>L. (Überarbeitung)</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tabs>
                <w:tab w:val="left" w:pos="1260"/>
              </w:tabs>
              <w:spacing w:before="60" w:after="60" w:line="276" w:lineRule="auto"/>
              <w:jc w:val="left"/>
              <w:rPr>
                <w:rFonts w:cs="Arial"/>
                <w:snapToGrid w:val="0"/>
                <w:color w:val="000000"/>
              </w:rPr>
            </w:pPr>
            <w:r>
              <w:rPr>
                <w:snapToGrid w:val="0"/>
                <w:color w:val="000000"/>
              </w:rPr>
              <w:t>Keulenlilie (</w:t>
            </w:r>
            <w:r>
              <w:rPr>
                <w:i/>
                <w:snapToGrid w:val="0"/>
                <w:color w:val="000000"/>
              </w:rPr>
              <w:t>Cordyline</w:t>
            </w:r>
            <w:r>
              <w:rPr>
                <w:snapToGrid w:val="0"/>
                <w:color w:val="000000"/>
              </w:rPr>
              <w:t xml:space="preserve"> Comm. Ex. Juss.)</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tabs>
                <w:tab w:val="left" w:pos="2280"/>
              </w:tabs>
              <w:adjustRightInd w:val="0"/>
              <w:snapToGrid w:val="0"/>
              <w:spacing w:before="20" w:afterLines="20" w:after="48" w:line="276" w:lineRule="auto"/>
              <w:jc w:val="left"/>
              <w:rPr>
                <w:rFonts w:cs="Arial"/>
              </w:rPr>
            </w:pPr>
            <w:r>
              <w:rPr>
                <w:color w:val="000000"/>
              </w:rPr>
              <w:t>Kosmee, Schmuckkörbchen (</w:t>
            </w:r>
            <w:r>
              <w:rPr>
                <w:i/>
                <w:color w:val="000000"/>
              </w:rPr>
              <w:t xml:space="preserve">Cosmos </w:t>
            </w:r>
            <w:r>
              <w:rPr>
                <w:color w:val="000000"/>
              </w:rPr>
              <w:t>Cav.)</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tabs>
                <w:tab w:val="left" w:pos="1260"/>
              </w:tabs>
              <w:spacing w:before="60" w:after="60" w:line="276" w:lineRule="auto"/>
              <w:jc w:val="left"/>
              <w:rPr>
                <w:rFonts w:eastAsia="MS Mincho" w:cs="Arial"/>
                <w:color w:val="000000"/>
                <w:sz w:val="24"/>
                <w:szCs w:val="24"/>
              </w:rPr>
            </w:pPr>
            <w:r>
              <w:t>Nelke (</w:t>
            </w:r>
            <w:r>
              <w:rPr>
                <w:i/>
              </w:rPr>
              <w:t>Dianthus</w:t>
            </w:r>
            <w:r>
              <w:t xml:space="preserve"> L.) (Überarbeitung)</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tabs>
                <w:tab w:val="left" w:pos="1260"/>
              </w:tabs>
              <w:spacing w:before="60" w:after="60" w:line="276" w:lineRule="auto"/>
              <w:jc w:val="left"/>
              <w:rPr>
                <w:rFonts w:cs="Arial"/>
              </w:rPr>
            </w:pPr>
            <w:r>
              <w:t>Freesie (Überarbeitung)</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tabs>
                <w:tab w:val="left" w:pos="1260"/>
              </w:tabs>
              <w:spacing w:before="60" w:after="60" w:line="276" w:lineRule="auto"/>
              <w:jc w:val="left"/>
              <w:rPr>
                <w:rFonts w:cs="Arial"/>
                <w:snapToGrid w:val="0"/>
                <w:color w:val="000000"/>
              </w:rPr>
            </w:pPr>
            <w:r>
              <w:t>Grevillea (</w:t>
            </w:r>
            <w:r>
              <w:rPr>
                <w:i/>
              </w:rPr>
              <w:t xml:space="preserve">Grevillea </w:t>
            </w:r>
            <w:r>
              <w:t>R. Br. Corr. R. Br.)</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tabs>
                <w:tab w:val="left" w:pos="1260"/>
              </w:tabs>
              <w:spacing w:before="60" w:after="60" w:line="276" w:lineRule="auto"/>
              <w:jc w:val="left"/>
              <w:rPr>
                <w:rFonts w:cs="Arial"/>
                <w:i/>
              </w:rPr>
            </w:pPr>
            <w:r>
              <w:t>Petunie</w:t>
            </w:r>
            <w:r>
              <w:rPr>
                <w:i/>
              </w:rPr>
              <w:t xml:space="preserve"> </w:t>
            </w:r>
            <w:r>
              <w:t>(Überarbeitung)</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tabs>
                <w:tab w:val="left" w:pos="1260"/>
              </w:tabs>
              <w:spacing w:before="60" w:after="60" w:line="276" w:lineRule="auto"/>
              <w:jc w:val="left"/>
              <w:rPr>
                <w:rFonts w:cs="Arial"/>
                <w:i/>
              </w:rPr>
            </w:pPr>
            <w:r>
              <w:rPr>
                <w:i/>
              </w:rPr>
              <w:t xml:space="preserve">Plectranthus </w:t>
            </w:r>
            <w:r>
              <w:t>L’Hér.</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tabs>
                <w:tab w:val="left" w:pos="1260"/>
              </w:tabs>
              <w:spacing w:before="60" w:after="60" w:line="276" w:lineRule="auto"/>
              <w:jc w:val="left"/>
              <w:rPr>
                <w:rFonts w:cs="Arial"/>
              </w:rPr>
            </w:pPr>
            <w:r>
              <w:rPr>
                <w:color w:val="000000"/>
              </w:rPr>
              <w:t>Edelpelargonie (Überarbeitung)</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tabs>
                <w:tab w:val="left" w:pos="1260"/>
              </w:tabs>
              <w:spacing w:before="60" w:after="60" w:line="276" w:lineRule="auto"/>
              <w:jc w:val="left"/>
              <w:rPr>
                <w:rFonts w:cs="Arial"/>
                <w:color w:val="000000"/>
              </w:rPr>
            </w:pPr>
            <w:r>
              <w:rPr>
                <w:color w:val="000000"/>
              </w:rPr>
              <w:t>Salbei (</w:t>
            </w:r>
            <w:r>
              <w:rPr>
                <w:i/>
                <w:color w:val="000000"/>
              </w:rPr>
              <w:t xml:space="preserve">Salvia </w:t>
            </w:r>
            <w:r>
              <w:rPr>
                <w:color w:val="000000"/>
              </w:rPr>
              <w:t>L.)</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tabs>
                <w:tab w:val="left" w:pos="1260"/>
              </w:tabs>
              <w:spacing w:before="60" w:after="60" w:line="276" w:lineRule="auto"/>
              <w:jc w:val="left"/>
              <w:rPr>
                <w:rFonts w:cs="Arial"/>
                <w:color w:val="000000"/>
              </w:rPr>
            </w:pPr>
            <w:r>
              <w:rPr>
                <w:i/>
                <w:color w:val="000000"/>
              </w:rPr>
              <w:t>Zinnia</w:t>
            </w:r>
            <w:r>
              <w:rPr>
                <w:color w:val="000000"/>
              </w:rPr>
              <w:t xml:space="preserve"> L.</w:t>
            </w:r>
          </w:p>
        </w:tc>
      </w:tr>
    </w:tbl>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t>Auf Einladung Kenias vereinbarte die TWO, ihre siebenundvierzigste Tagung vom 19. bis 23. Mai 2014 mit der vorbereitenden Arbeitstagung am 18. Mai 2014 in Nairobi abzuhalten.</w:t>
      </w:r>
    </w:p>
    <w:p w:rsidR="009347C4" w:rsidRDefault="009347C4" w:rsidP="009347C4">
      <w:pPr>
        <w:autoSpaceDE w:val="0"/>
        <w:autoSpaceDN w:val="0"/>
        <w:adjustRightInd w:val="0"/>
        <w:rPr>
          <w:rFonts w:cs="Arial"/>
          <w:color w:val="000000"/>
        </w:rPr>
      </w:pPr>
    </w:p>
    <w:p w:rsidR="009347C4" w:rsidRDefault="009347C4" w:rsidP="009347C4">
      <w:pPr>
        <w:autoSpaceDE w:val="0"/>
        <w:autoSpaceDN w:val="0"/>
        <w:adjustRightInd w:val="0"/>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tab/>
      </w:r>
      <w:r>
        <w:rPr>
          <w:color w:val="000000"/>
        </w:rPr>
        <w:t>Die TWO vereinbarte, dem Technischen Ausschuß vorzuschlagen, daß er dem Rat empfehle, Herrn Kenji Numaguchi (Japan) zum nächsten Vorsitzenden der TWO zu ernennen.</w:t>
      </w:r>
    </w:p>
    <w:p w:rsidR="009347C4" w:rsidRDefault="009347C4" w:rsidP="009347C4">
      <w:pPr>
        <w:autoSpaceDE w:val="0"/>
        <w:autoSpaceDN w:val="0"/>
        <w:adjustRightInd w:val="0"/>
        <w:rPr>
          <w:rFonts w:cs="Arial"/>
          <w:color w:val="000000"/>
        </w:rPr>
      </w:pPr>
    </w:p>
    <w:p w:rsidR="009347C4" w:rsidRDefault="009347C4" w:rsidP="009347C4">
      <w:pPr>
        <w:rPr>
          <w:rFonts w:cs="Arial"/>
        </w:rPr>
      </w:pPr>
      <w:r>
        <w:rPr>
          <w:rFonts w:cs="Arial"/>
          <w:color w:val="000000"/>
        </w:rPr>
        <w:fldChar w:fldCharType="begin"/>
      </w:r>
      <w:r>
        <w:rPr>
          <w:rFonts w:cs="Arial"/>
          <w:color w:val="000000"/>
        </w:rPr>
        <w:instrText xml:space="preserve"> AUTONUM  </w:instrText>
      </w:r>
      <w:r>
        <w:rPr>
          <w:rFonts w:cs="Arial"/>
          <w:color w:val="000000"/>
        </w:rPr>
        <w:fldChar w:fldCharType="end"/>
      </w:r>
      <w:r>
        <w:tab/>
        <w:t>Die TWO schlug vor, auf ihrer siebenundvierzigsten Tagung folgende Punkte zu behandeln:</w:t>
      </w:r>
    </w:p>
    <w:p w:rsidR="009347C4" w:rsidRDefault="009347C4" w:rsidP="009347C4">
      <w:pPr>
        <w:rPr>
          <w:rFonts w:cs="Arial"/>
        </w:rPr>
      </w:pPr>
    </w:p>
    <w:p w:rsidR="009347C4" w:rsidRDefault="009347C4" w:rsidP="009347C4">
      <w:pPr>
        <w:numPr>
          <w:ilvl w:val="0"/>
          <w:numId w:val="20"/>
        </w:numPr>
        <w:tabs>
          <w:tab w:val="clear" w:pos="360"/>
          <w:tab w:val="num" w:pos="1134"/>
        </w:tabs>
        <w:spacing w:before="20" w:afterLines="20" w:after="48"/>
        <w:ind w:left="924" w:hanging="357"/>
        <w:rPr>
          <w:rFonts w:cs="Arial"/>
        </w:rPr>
      </w:pPr>
      <w:r>
        <w:t>Eröffnung der Tagung</w:t>
      </w:r>
    </w:p>
    <w:p w:rsidR="009347C4" w:rsidRDefault="009347C4" w:rsidP="009347C4">
      <w:pPr>
        <w:numPr>
          <w:ilvl w:val="0"/>
          <w:numId w:val="20"/>
        </w:numPr>
        <w:tabs>
          <w:tab w:val="clear" w:pos="360"/>
          <w:tab w:val="num" w:pos="1134"/>
        </w:tabs>
        <w:spacing w:before="20" w:afterLines="20" w:after="48"/>
        <w:ind w:left="924" w:hanging="357"/>
        <w:rPr>
          <w:rFonts w:cs="Arial"/>
        </w:rPr>
      </w:pPr>
      <w:r>
        <w:t>Annahme der Tagesordnung</w:t>
      </w:r>
    </w:p>
    <w:p w:rsidR="009347C4" w:rsidRDefault="009347C4" w:rsidP="009347C4">
      <w:pPr>
        <w:numPr>
          <w:ilvl w:val="0"/>
          <w:numId w:val="20"/>
        </w:numPr>
        <w:tabs>
          <w:tab w:val="clear" w:pos="360"/>
          <w:tab w:val="num" w:pos="1134"/>
        </w:tabs>
        <w:spacing w:before="20" w:afterLines="20" w:after="48"/>
        <w:ind w:left="924" w:hanging="357"/>
        <w:rPr>
          <w:rFonts w:cs="Arial"/>
        </w:rPr>
      </w:pPr>
      <w:r>
        <w:t>Kurzberichte über die Entwicklungen im Sortenschutz</w:t>
      </w:r>
    </w:p>
    <w:p w:rsidR="009347C4" w:rsidRDefault="009347C4" w:rsidP="009347C4">
      <w:pPr>
        <w:numPr>
          <w:ilvl w:val="0"/>
          <w:numId w:val="21"/>
        </w:numPr>
        <w:tabs>
          <w:tab w:val="num" w:pos="1134"/>
          <w:tab w:val="num" w:pos="1494"/>
        </w:tabs>
        <w:spacing w:before="20" w:afterLines="20" w:after="48"/>
        <w:ind w:left="1494"/>
        <w:rPr>
          <w:rFonts w:cs="Arial"/>
        </w:rPr>
      </w:pPr>
      <w:r>
        <w:t xml:space="preserve">Berichte von Mitgliedern und Beobachtern </w:t>
      </w:r>
    </w:p>
    <w:p w:rsidR="009347C4" w:rsidRDefault="009347C4" w:rsidP="009347C4">
      <w:pPr>
        <w:numPr>
          <w:ilvl w:val="0"/>
          <w:numId w:val="21"/>
        </w:numPr>
        <w:tabs>
          <w:tab w:val="num" w:pos="1134"/>
          <w:tab w:val="num" w:pos="1494"/>
        </w:tabs>
        <w:spacing w:before="20" w:afterLines="20" w:after="48"/>
        <w:ind w:left="1494"/>
        <w:rPr>
          <w:rFonts w:cs="Arial"/>
        </w:rPr>
      </w:pPr>
      <w:r>
        <w:t>Berichte über Entwicklungen in der UPOV (mündlicher Bericht durch das Verbandsbüro)</w:t>
      </w:r>
    </w:p>
    <w:p w:rsidR="009347C4" w:rsidRDefault="009347C4" w:rsidP="009347C4">
      <w:pPr>
        <w:numPr>
          <w:ilvl w:val="0"/>
          <w:numId w:val="20"/>
        </w:numPr>
        <w:spacing w:before="20" w:afterLines="20" w:after="48"/>
        <w:ind w:left="1134" w:hanging="567"/>
        <w:rPr>
          <w:rFonts w:cs="Arial"/>
        </w:rPr>
      </w:pPr>
      <w:r>
        <w:t>Molekulare Verfahren (vom Verbandsbüro zu erstellendes Dokument)</w:t>
      </w:r>
    </w:p>
    <w:p w:rsidR="009347C4" w:rsidRDefault="009347C4" w:rsidP="009347C4">
      <w:pPr>
        <w:numPr>
          <w:ilvl w:val="0"/>
          <w:numId w:val="20"/>
        </w:numPr>
        <w:spacing w:before="20" w:afterLines="20" w:after="48"/>
        <w:ind w:left="1134" w:hanging="567"/>
        <w:rPr>
          <w:rFonts w:cs="Arial"/>
        </w:rPr>
      </w:pPr>
      <w:r>
        <w:t xml:space="preserve">TGP-Dokumente </w:t>
      </w:r>
    </w:p>
    <w:p w:rsidR="009347C4" w:rsidRDefault="009347C4" w:rsidP="009347C4">
      <w:pPr>
        <w:numPr>
          <w:ilvl w:val="0"/>
          <w:numId w:val="20"/>
        </w:numPr>
        <w:spacing w:before="20" w:afterLines="20" w:after="48"/>
        <w:ind w:left="1134" w:hanging="567"/>
        <w:rPr>
          <w:rFonts w:cs="Arial"/>
        </w:rPr>
      </w:pPr>
      <w:r>
        <w:t>Sortenbezeichnungen (vom Verbandsbüro zu erstellendes Dokument)</w:t>
      </w:r>
    </w:p>
    <w:p w:rsidR="009347C4" w:rsidRDefault="009347C4" w:rsidP="009347C4">
      <w:pPr>
        <w:numPr>
          <w:ilvl w:val="0"/>
          <w:numId w:val="20"/>
        </w:numPr>
        <w:spacing w:before="20" w:afterLines="20" w:after="48"/>
        <w:ind w:left="1134" w:hanging="567"/>
        <w:rPr>
          <w:rFonts w:cs="Arial"/>
        </w:rPr>
      </w:pPr>
      <w:r>
        <w:t>Informationen und Datenbanken</w:t>
      </w:r>
    </w:p>
    <w:p w:rsidR="009347C4" w:rsidRDefault="009347C4" w:rsidP="009347C4">
      <w:pPr>
        <w:spacing w:before="20" w:afterLines="20" w:after="48"/>
        <w:ind w:left="1584" w:hanging="450"/>
        <w:rPr>
          <w:rFonts w:cs="Arial"/>
        </w:rPr>
      </w:pPr>
      <w:r>
        <w:t>a)  UPOV-Informationsdatenbanken (vom Verbandsbüro zu erstellendes Dokument)</w:t>
      </w:r>
    </w:p>
    <w:p w:rsidR="009347C4" w:rsidRDefault="009347C4" w:rsidP="009347C4">
      <w:pPr>
        <w:spacing w:before="20" w:afterLines="20" w:after="48"/>
        <w:ind w:left="1584" w:hanging="450"/>
        <w:rPr>
          <w:rFonts w:cs="Arial"/>
        </w:rPr>
      </w:pPr>
      <w:r>
        <w:t>b)</w:t>
      </w:r>
      <w:r>
        <w:tab/>
        <w:t>Datenbanken für Sortenbeschreibungen (vom Verbandsbüro zu erstellendes Dokument und erbetene Dokumente)</w:t>
      </w:r>
    </w:p>
    <w:p w:rsidR="009347C4" w:rsidRDefault="009347C4" w:rsidP="009347C4">
      <w:pPr>
        <w:spacing w:before="20" w:afterLines="20" w:after="48"/>
        <w:ind w:left="1584" w:hanging="450"/>
        <w:rPr>
          <w:rFonts w:cs="Arial"/>
        </w:rPr>
      </w:pPr>
      <w:r>
        <w:t>c)  Austauschbare Software (vom Verbandsbüro zu erstellende Dokumente)</w:t>
      </w:r>
    </w:p>
    <w:p w:rsidR="009347C4" w:rsidRDefault="009347C4" w:rsidP="009347C4">
      <w:pPr>
        <w:spacing w:before="20" w:afterLines="20" w:after="48"/>
        <w:ind w:left="1584" w:hanging="450"/>
        <w:rPr>
          <w:rFonts w:cs="Arial"/>
        </w:rPr>
      </w:pPr>
      <w:r>
        <w:t>d)  Elektronische Systeme für die Einreichung von Anträgen (vom Verba</w:t>
      </w:r>
      <w:r w:rsidR="007B3CA1">
        <w:t>ndsbüro zu erstellendes Dokument</w:t>
      </w:r>
      <w:r>
        <w:t>)</w:t>
      </w:r>
    </w:p>
    <w:p w:rsidR="009347C4" w:rsidRDefault="009347C4" w:rsidP="009347C4">
      <w:pPr>
        <w:numPr>
          <w:ilvl w:val="0"/>
          <w:numId w:val="20"/>
        </w:numPr>
        <w:spacing w:before="20" w:afterLines="20" w:after="48"/>
        <w:ind w:left="1134" w:hanging="567"/>
        <w:rPr>
          <w:rFonts w:cs="Arial"/>
        </w:rPr>
      </w:pPr>
      <w:r>
        <w:t>Homogenitätsprüfung</w:t>
      </w:r>
    </w:p>
    <w:p w:rsidR="009347C4" w:rsidRDefault="009347C4" w:rsidP="009347C4">
      <w:pPr>
        <w:numPr>
          <w:ilvl w:val="0"/>
          <w:numId w:val="20"/>
        </w:numPr>
        <w:spacing w:before="20" w:afterLines="20" w:after="48"/>
        <w:ind w:left="1134" w:hanging="567"/>
        <w:rPr>
          <w:rFonts w:cs="Arial"/>
        </w:rPr>
      </w:pPr>
      <w:r>
        <w:t>Erfahrungen mit neuen Typen und Arten</w:t>
      </w:r>
    </w:p>
    <w:p w:rsidR="009347C4" w:rsidRDefault="009347C4" w:rsidP="009347C4">
      <w:pPr>
        <w:numPr>
          <w:ilvl w:val="0"/>
          <w:numId w:val="20"/>
        </w:numPr>
        <w:spacing w:before="20" w:afterLines="20" w:after="48"/>
        <w:ind w:left="1134" w:hanging="567"/>
        <w:jc w:val="left"/>
        <w:rPr>
          <w:rFonts w:cs="Arial"/>
        </w:rPr>
      </w:pPr>
      <w:r>
        <w:t>Angelegenheiten, die bezüglich der vom Technischen Ausschuß angenommenen Prüfungsrichtlinien zu bereinigen sind (sofern zweckmäßig)</w:t>
      </w:r>
    </w:p>
    <w:p w:rsidR="009347C4" w:rsidRDefault="009347C4" w:rsidP="009347C4">
      <w:pPr>
        <w:numPr>
          <w:ilvl w:val="0"/>
          <w:numId w:val="20"/>
        </w:numPr>
        <w:spacing w:before="20" w:afterLines="20" w:after="48"/>
        <w:ind w:left="1134" w:hanging="567"/>
        <w:rPr>
          <w:rFonts w:cs="Arial"/>
        </w:rPr>
      </w:pPr>
      <w:r>
        <w:t>Erörterung über Entwürfe von Prüfungsrichtlinien (Untergruppen)</w:t>
      </w:r>
    </w:p>
    <w:p w:rsidR="009347C4" w:rsidRDefault="009347C4" w:rsidP="009347C4">
      <w:pPr>
        <w:numPr>
          <w:ilvl w:val="0"/>
          <w:numId w:val="20"/>
        </w:numPr>
        <w:spacing w:before="20" w:afterLines="20" w:after="48"/>
        <w:ind w:left="1134" w:hanging="567"/>
        <w:rPr>
          <w:rFonts w:cs="Arial"/>
        </w:rPr>
      </w:pPr>
      <w:r>
        <w:t>Empfehlungen zu Entwürfen von Prüfungsrichtlinien</w:t>
      </w:r>
    </w:p>
    <w:p w:rsidR="009347C4" w:rsidRDefault="009347C4" w:rsidP="009347C4">
      <w:pPr>
        <w:numPr>
          <w:ilvl w:val="0"/>
          <w:numId w:val="20"/>
        </w:numPr>
        <w:spacing w:before="20" w:afterLines="20" w:after="48"/>
        <w:ind w:left="1134" w:hanging="567"/>
        <w:rPr>
          <w:rFonts w:cs="Arial"/>
        </w:rPr>
      </w:pPr>
      <w:r>
        <w:t>Anleitung für Verfasser von Prüfungsrichtlinien</w:t>
      </w:r>
    </w:p>
    <w:p w:rsidR="009347C4" w:rsidRDefault="009347C4" w:rsidP="009347C4">
      <w:pPr>
        <w:numPr>
          <w:ilvl w:val="0"/>
          <w:numId w:val="20"/>
        </w:numPr>
        <w:spacing w:before="20" w:afterLines="20" w:after="48"/>
        <w:ind w:left="1134" w:hanging="567"/>
        <w:rPr>
          <w:rFonts w:cs="Arial"/>
        </w:rPr>
      </w:pPr>
      <w:r>
        <w:t>Ort und Datum der nächsten Tagung</w:t>
      </w:r>
    </w:p>
    <w:p w:rsidR="009347C4" w:rsidRDefault="009347C4" w:rsidP="009347C4">
      <w:pPr>
        <w:numPr>
          <w:ilvl w:val="0"/>
          <w:numId w:val="20"/>
        </w:numPr>
        <w:spacing w:before="20" w:afterLines="20" w:after="48"/>
        <w:ind w:left="1134" w:hanging="567"/>
        <w:rPr>
          <w:rFonts w:cs="Arial"/>
        </w:rPr>
      </w:pPr>
      <w:r>
        <w:t>Künftiges Programm</w:t>
      </w:r>
    </w:p>
    <w:p w:rsidR="009347C4" w:rsidRDefault="009347C4" w:rsidP="009347C4">
      <w:pPr>
        <w:numPr>
          <w:ilvl w:val="0"/>
          <w:numId w:val="20"/>
        </w:numPr>
        <w:spacing w:before="20" w:afterLines="20" w:after="48"/>
        <w:ind w:left="1134" w:hanging="567"/>
        <w:rPr>
          <w:rFonts w:cs="Arial"/>
        </w:rPr>
      </w:pPr>
      <w:r>
        <w:t>Bericht über die Tagung (falls es die Zeit erlaubt)</w:t>
      </w:r>
    </w:p>
    <w:p w:rsidR="009347C4" w:rsidRDefault="009347C4" w:rsidP="009347C4">
      <w:pPr>
        <w:numPr>
          <w:ilvl w:val="0"/>
          <w:numId w:val="20"/>
        </w:numPr>
        <w:autoSpaceDE w:val="0"/>
        <w:autoSpaceDN w:val="0"/>
        <w:adjustRightInd w:val="0"/>
        <w:spacing w:before="20" w:afterLines="20" w:after="48"/>
        <w:ind w:left="1134" w:hanging="567"/>
        <w:rPr>
          <w:rFonts w:cs="Arial"/>
          <w:color w:val="000000"/>
        </w:rPr>
      </w:pPr>
      <w:r>
        <w:t>Schließung der Tagung</w:t>
      </w:r>
    </w:p>
    <w:p w:rsidR="009347C4" w:rsidRDefault="009347C4" w:rsidP="009347C4"/>
    <w:p w:rsidR="009347C4" w:rsidRDefault="009347C4" w:rsidP="009347C4"/>
    <w:p w:rsidR="009347C4" w:rsidRDefault="009347C4" w:rsidP="009347C4">
      <w:pPr>
        <w:pStyle w:val="Heading2"/>
      </w:pPr>
      <w:bookmarkStart w:id="229" w:name="_Toc393187189"/>
      <w:bookmarkStart w:id="230" w:name="_Toc395605417"/>
      <w:r>
        <w:t>Technische Arbeitsgruppe für Gemüsearten</w:t>
      </w:r>
      <w:bookmarkEnd w:id="229"/>
      <w:bookmarkEnd w:id="230"/>
    </w:p>
    <w:p w:rsidR="009347C4" w:rsidRDefault="009347C4" w:rsidP="009347C4"/>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tab/>
        <w:t>Die Technische Arbeitsgruppe für Gemüsearten (TWV) hielt ihre siebenundvierzigste Tagung vom 20. bis 24. Mai 2013 in Nagasaki, Japan, ab. Die Tagung wurde von Herrn François Boulineau (Frankreich) eröffnet, der auch den Vorsitz führte. Der ausführliche Bericht ist in Dokument TWV/47/34 „Report“ enthalten.</w:t>
      </w:r>
    </w:p>
    <w:p w:rsidR="009347C4" w:rsidRDefault="009347C4" w:rsidP="009347C4">
      <w:pPr>
        <w:rPr>
          <w:rFonts w:cs="Arial"/>
        </w:rPr>
      </w:pPr>
    </w:p>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tab/>
        <w:t>An der TWV-Tagung nahmen 53 Teilnehmer aus 16 Verbandsmitgliedern, drei Beobachterstaaten und zwei Beobachterorganisationen teil.</w:t>
      </w:r>
    </w:p>
    <w:p w:rsidR="009347C4" w:rsidRDefault="009347C4" w:rsidP="009347C4">
      <w:pPr>
        <w:rPr>
          <w:rFonts w:cs="Arial"/>
        </w:rPr>
      </w:pPr>
    </w:p>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tab/>
        <w:t>An der Vorbereitenden Arbeitstagung nahmen 20 Teilnehmer aus 6 Verbandsmitgliedern und zwei Beobachterstaaten teil.</w:t>
      </w:r>
    </w:p>
    <w:p w:rsidR="009347C4" w:rsidRDefault="009347C4" w:rsidP="009347C4">
      <w:pPr>
        <w:rPr>
          <w:rFonts w:cs="Arial"/>
        </w:rPr>
      </w:pPr>
    </w:p>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tab/>
        <w:t>Die TWV wurde von Herrn Jyunya Endo, Direktor, Abteilung neue Unternehmen und geistiges Eigentum, Büro für Angelegenheiten der Nahrungsmittelindustrie, Ministerium für Landwirtschaft, Forstwirtschaft und Fischerei, begrüßt, der auch ein Referat über Sortenschutz in Japan hielt.</w:t>
      </w:r>
    </w:p>
    <w:p w:rsidR="009347C4" w:rsidRDefault="009347C4" w:rsidP="009347C4">
      <w:pPr>
        <w:rPr>
          <w:rFonts w:cs="Arial"/>
        </w:rPr>
      </w:pPr>
    </w:p>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tab/>
      </w:r>
      <w:r>
        <w:rPr>
          <w:color w:val="000000"/>
        </w:rPr>
        <w:t>Am Nachmittag des 22. Mai 2013 besuchte die TWV die Unzen-Station des Nationalen Saat- und Pflanzgutzentrums (NCSS), wo die TWV von Herrn Sanji Takemori, Präsident des NCSS, und Herrn Kunio Tokunaga, Generaldirektor de</w:t>
      </w:r>
      <w:r w:rsidR="00A470FB">
        <w:rPr>
          <w:color w:val="000000"/>
        </w:rPr>
        <w:t xml:space="preserve">r Unzen-Station begrüßt wurde. </w:t>
      </w:r>
      <w:r>
        <w:rPr>
          <w:color w:val="000000"/>
        </w:rPr>
        <w:t>Die TWV hörte ein Referat über das NCSS die Unzen-Station von Herrn Ka</w:t>
      </w:r>
      <w:r w:rsidR="00A470FB">
        <w:rPr>
          <w:color w:val="000000"/>
        </w:rPr>
        <w:t xml:space="preserve">zuto Higasimura. </w:t>
      </w:r>
      <w:r>
        <w:rPr>
          <w:color w:val="000000"/>
        </w:rPr>
        <w:t>In den Einrichtungen der Unzen-Station besuchte die TWV DUS-Anbauprüfungen für mehrere Gemüsearten, einschließlich Tomate, Salat, Riesenkürbis, Knoblauch, Bitterkürbis und Flaschenkürbis.</w:t>
      </w:r>
    </w:p>
    <w:p w:rsidR="009347C4" w:rsidRDefault="009347C4" w:rsidP="009347C4">
      <w:pPr>
        <w:rPr>
          <w:rFonts w:cs="Arial"/>
        </w:rPr>
      </w:pPr>
    </w:p>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tab/>
        <w:t>Die TWV prüfte folgende TGP-Dokumente auf der Grundlage von Dokument TWV/47/3:</w:t>
      </w:r>
    </w:p>
    <w:p w:rsidR="009347C4" w:rsidRDefault="009347C4" w:rsidP="009347C4">
      <w:pPr>
        <w:numPr>
          <w:ilvl w:val="0"/>
          <w:numId w:val="28"/>
        </w:numPr>
        <w:ind w:left="993" w:hanging="426"/>
        <w:rPr>
          <w:rFonts w:cs="Arial"/>
        </w:rPr>
      </w:pPr>
      <w:r>
        <w:t>TGP/7: Erstellung von Prüfungsrichtlinien</w:t>
      </w:r>
    </w:p>
    <w:p w:rsidR="009347C4" w:rsidRDefault="009347C4" w:rsidP="009347C4">
      <w:pPr>
        <w:numPr>
          <w:ilvl w:val="0"/>
          <w:numId w:val="28"/>
        </w:numPr>
        <w:ind w:left="993" w:hanging="426"/>
        <w:rPr>
          <w:rFonts w:cs="Arial"/>
        </w:rPr>
      </w:pPr>
      <w:r>
        <w:t>TGP/8: Prüfungsanlage und Verfahren für die Prüfung der Unterscheidbarkeit, der Homogenität und der Beständigkeit</w:t>
      </w:r>
    </w:p>
    <w:p w:rsidR="009347C4" w:rsidRDefault="009347C4" w:rsidP="009347C4">
      <w:pPr>
        <w:numPr>
          <w:ilvl w:val="0"/>
          <w:numId w:val="28"/>
        </w:numPr>
        <w:ind w:left="993" w:hanging="426"/>
        <w:rPr>
          <w:rFonts w:cs="Arial"/>
        </w:rPr>
      </w:pPr>
      <w:r>
        <w:t>TGP/14: Glossar der in den UPOV-Dokumenten verwendeten Begriffe</w:t>
      </w:r>
    </w:p>
    <w:p w:rsidR="009347C4" w:rsidRDefault="009347C4" w:rsidP="009347C4">
      <w:pPr>
        <w:ind w:left="720" w:hanging="720"/>
        <w:rPr>
          <w:rFonts w:cs="Arial"/>
        </w:rPr>
      </w:pPr>
    </w:p>
    <w:p w:rsidR="009347C4" w:rsidRDefault="009347C4" w:rsidP="009347C4">
      <w:pPr>
        <w:rPr>
          <w:rFonts w:cs="Arial"/>
          <w:snapToGrid w:val="0"/>
        </w:rPr>
      </w:pPr>
      <w:r>
        <w:rPr>
          <w:rFonts w:cs="Arial"/>
        </w:rPr>
        <w:fldChar w:fldCharType="begin"/>
      </w:r>
      <w:r>
        <w:rPr>
          <w:rFonts w:cs="Arial"/>
        </w:rPr>
        <w:instrText xml:space="preserve"> AUTONUM  </w:instrText>
      </w:r>
      <w:r>
        <w:rPr>
          <w:rFonts w:cs="Arial"/>
        </w:rPr>
        <w:fldChar w:fldCharType="end"/>
      </w:r>
      <w:r>
        <w:tab/>
        <w:t>Die TWV nahm zur Kenntnis, daß der TC vorgeschlagen hatte, eine koordinierte Tagung der Arbeitsgruppe für biochemische und molekulare Verfahren und insbesondere für DNS-Profilierungsverfahren (BMT) mit der Internationale</w:t>
      </w:r>
      <w:r w:rsidR="00675DC0">
        <w:t>n</w:t>
      </w:r>
      <w:r>
        <w:t xml:space="preserve"> Organisation für Normierung (ISO), der Internationalen Vereinigung für Saatgutprüfung (ISTA) und der Organisation für Wirtschaftliche Zusammenarbeit und Entwicklung (OECD) abzuhalten, die auch Züchter einschließen würde, und daß, falls es nicht möglich sei, eine koordinierte Tagung im Jahr 2014 zu organisieren, zwischenzeitlich eine Tagung der BMT organisiert würde.</w:t>
      </w:r>
    </w:p>
    <w:p w:rsidR="009347C4" w:rsidRDefault="009347C4" w:rsidP="009347C4">
      <w:pPr>
        <w:rPr>
          <w:rFonts w:cs="Arial"/>
          <w:snapToGrid w:val="0"/>
        </w:rPr>
      </w:pPr>
    </w:p>
    <w:p w:rsidR="009347C4" w:rsidRDefault="009347C4" w:rsidP="009347C4">
      <w:pPr>
        <w:rPr>
          <w:rFonts w:cs="Arial"/>
          <w:snapToGrid w:val="0"/>
        </w:rPr>
      </w:pPr>
      <w:r>
        <w:rPr>
          <w:rFonts w:cs="Arial"/>
        </w:rPr>
        <w:fldChar w:fldCharType="begin"/>
      </w:r>
      <w:r>
        <w:rPr>
          <w:rFonts w:cs="Arial"/>
        </w:rPr>
        <w:instrText xml:space="preserve"> AUTONUM  </w:instrText>
      </w:r>
      <w:r>
        <w:rPr>
          <w:rFonts w:cs="Arial"/>
        </w:rPr>
        <w:fldChar w:fldCharType="end"/>
      </w:r>
      <w:r>
        <w:tab/>
        <w:t xml:space="preserve">Die TWV stimmte mit dem TC darin überein, daß es notwendig sei, einem breiteren Publikum, einschließlich Züchtern und der Öffentlichkeit im Allgemeinen, geeignete Informationen über die Lage in der UPOV im Hinblick auf die Verwendung molekularer Verfahren zur Verfügung zu stellen.  </w:t>
      </w:r>
    </w:p>
    <w:p w:rsidR="009347C4" w:rsidRDefault="009347C4" w:rsidP="009347C4">
      <w:pPr>
        <w:rPr>
          <w:rFonts w:cs="Arial"/>
        </w:rPr>
      </w:pPr>
    </w:p>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tab/>
        <w:t>Die TWV prüfte die vorgeschlagene Anleitung zum Ursprung von Vermehrungsmaterial, wie in Abschnitt IV „Anleitung zur Erstellung von Prüfungsrichtlinien” der Anlage von Dokument TWV/47/10 „Überarbeitung von Dokument TGP/7: Ursprung von Vermehrungsmaterial“ dargelegt, die von einem Sachverständigen aus der Europäischen Union vorgestellt wurde.</w:t>
      </w:r>
    </w:p>
    <w:p w:rsidR="009347C4" w:rsidRDefault="009347C4" w:rsidP="009347C4">
      <w:pPr>
        <w:rPr>
          <w:rFonts w:cs="Arial"/>
        </w:rPr>
      </w:pPr>
    </w:p>
    <w:p w:rsidR="009347C4" w:rsidRDefault="009347C4" w:rsidP="009347C4">
      <w:pPr>
        <w:keepLines/>
        <w:tabs>
          <w:tab w:val="left" w:pos="567"/>
        </w:tabs>
        <w:rPr>
          <w:rFonts w:cs="Arial"/>
        </w:rPr>
      </w:pPr>
      <w:r>
        <w:rPr>
          <w:rFonts w:cs="Arial"/>
        </w:rPr>
        <w:fldChar w:fldCharType="begin"/>
      </w:r>
      <w:r>
        <w:rPr>
          <w:rFonts w:cs="Arial"/>
        </w:rPr>
        <w:instrText xml:space="preserve"> AUTONUM  </w:instrText>
      </w:r>
      <w:r>
        <w:rPr>
          <w:rFonts w:cs="Arial"/>
        </w:rPr>
        <w:fldChar w:fldCharType="end"/>
      </w:r>
      <w:r>
        <w:tab/>
        <w:t xml:space="preserve">Die TWV merkte an, daß das Dokument nützliche Informationen über die Auswirkungen des Ursprungs von Vermehrungsmaterial als Quelle allgemeiner Anleitung für Verfasser von Prüfungsrichtlinien zur Aufnahme in Dokument TGP/7 liefere und ersuchte den Sachverständigen aus der Europäischen Union, mit Unterstützung von Sachverständigen aus Frankreich und den Niederlanden eine Kurzfassung des Wortlauts zur Vorlage auf der achtundvierzigsten Tagung der TWV im Jahr 2014 zu erstellen.  </w:t>
      </w:r>
    </w:p>
    <w:p w:rsidR="009347C4" w:rsidRDefault="009347C4" w:rsidP="009347C4">
      <w:pPr>
        <w:keepLines/>
        <w:rPr>
          <w:rFonts w:cs="Arial"/>
        </w:rPr>
      </w:pPr>
    </w:p>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tab/>
        <w:t>Die TWV vereinbarte die Hinzufügung von Beispielen für vegetativ vermehrte Gemüsearten</w:t>
      </w:r>
    </w:p>
    <w:p w:rsidR="009347C4" w:rsidRDefault="009347C4" w:rsidP="009347C4">
      <w:pPr>
        <w:rPr>
          <w:rFonts w:cs="Arial"/>
        </w:rPr>
      </w:pPr>
    </w:p>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tab/>
        <w:t>Die TWV nahm zur Kenntnis, daß der TC vereinbart hatte, den vorgeschlagenen Text für den neuen Abschnitt 11 „DUS-Prüfung an Mischproben“ in der Anlage von Dokument TC/49/28 „Überarbeitung von Dokument TGP/8: Teil II: Verfahren für die DUS-Prüfung, Neuer Abschnitt 11: DUS-Prüfung an Mischproben“ durch eine Anleitung über die Verwendung von Merkmalen, die aufgrund von Mischproben geprüft werden, zu ersetzen, um sicherzustellen, daß die Merkmale die grundlegenden Anforderungen an ein Merkmal erfüllen.</w:t>
      </w:r>
    </w:p>
    <w:p w:rsidR="009347C4" w:rsidRDefault="009347C4" w:rsidP="009347C4">
      <w:pPr>
        <w:rPr>
          <w:rFonts w:cs="Arial"/>
        </w:rPr>
      </w:pPr>
    </w:p>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rsidR="00675DC0">
        <w:tab/>
        <w:t>Die TWV vereinbarte, daß f</w:t>
      </w:r>
      <w:r>
        <w:t>ührende Sachverständige für Prüfungsrichtlinien darum ersucht werden könnten, Daten aus verschiedenen Jahren vorzulegen, um zu belegen, daß die Merkmalsausprägung „in einer bestimmten Umgebung hinreichend stabil und wiederholbar ist“.</w:t>
      </w:r>
    </w:p>
    <w:p w:rsidR="009347C4" w:rsidRDefault="009347C4" w:rsidP="009347C4">
      <w:pPr>
        <w:rPr>
          <w:rFonts w:cs="Arial"/>
        </w:rPr>
      </w:pPr>
    </w:p>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tab/>
        <w:t>Die TWV prüfte die in Dokument TWV/47/18 „Überarbeitung von TGP/8: Teil II: Neuer Abschnitt: Datenverarbeitung für die Prüfung der Unterscheidbarkeit und die Erarbeitung von Sortenbezeichnungen“ dargelegten Entwicklungen hinsichtlich eines praktischen Versuchs anhand eines gemeinsamen Datensatzes zur Erstellung von Sortenbeschreibungen für selbstbefruchtende und/oder vegetativ vermehrte Sorten, um festzustellen, worin die gemeinsamen und die unterschiedlichen Aspekte der einzelnen Verfahren bestehen im Hinblick auf die Ausa</w:t>
      </w:r>
      <w:r w:rsidR="00A470FB">
        <w:t>rbeitung allgemeiner Anleitung.</w:t>
      </w:r>
      <w:r>
        <w:t xml:space="preserve"> Die TWV war sich darin einig, daß das COY-Verfahren für fremdbefruchtende Sorten bereits gut etabliert sei und betonte, wie wichtig es sei, Anleitung für die Erstellung von Sortenbeschreibungen für selbstbefruchtende und/oder vegetativ </w:t>
      </w:r>
      <w:r w:rsidR="00A470FB">
        <w:t>vermehrte Sorten auszuarbeiten.</w:t>
      </w:r>
      <w:r>
        <w:t xml:space="preserve"> </w:t>
      </w:r>
    </w:p>
    <w:p w:rsidR="009347C4" w:rsidRDefault="009347C4" w:rsidP="009347C4">
      <w:pPr>
        <w:rPr>
          <w:rFonts w:cs="Arial"/>
        </w:rPr>
      </w:pPr>
    </w:p>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tab/>
        <w:t xml:space="preserve">Die TWO befürwortete den praktischen Versuch und ersuchte um Ausarbeitung von Anleitung zur Datenverarbeitung für die Prüfung der Unterscheidbarkeit und die Erstellung von Sortenbeschreibungen vegetativ vermehrter Pflanzen. </w:t>
      </w:r>
    </w:p>
    <w:p w:rsidR="009347C4" w:rsidRDefault="009347C4" w:rsidP="009347C4">
      <w:pPr>
        <w:keepLines/>
        <w:ind w:left="2126" w:hanging="992"/>
      </w:pPr>
    </w:p>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tab/>
        <w:t xml:space="preserve">Die TWV nahm zur Kenntnis, daß dem TWC im Jahr 2013 ein Entwurf des neuen Abschnitts „Prüfung von Merkmalen anhand der Bildanalyse“ für das Dokument TGP/8 vorgelegt werde. </w:t>
      </w:r>
    </w:p>
    <w:p w:rsidR="009347C4" w:rsidRDefault="009347C4" w:rsidP="009347C4">
      <w:pPr>
        <w:rPr>
          <w:rFonts w:cs="Arial"/>
        </w:rPr>
      </w:pPr>
    </w:p>
    <w:p w:rsidR="009347C4" w:rsidRDefault="009347C4" w:rsidP="009347C4">
      <w:pPr>
        <w:widowControl w:val="0"/>
        <w:tabs>
          <w:tab w:val="left" w:pos="90"/>
        </w:tabs>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tab/>
        <w:t>Die TWV lud Sachverständige aus Deutschland, Frankreich, den Niederlanden, der Tschechischen Republik und dem Vereinigten Königreich dazu ein, auf ihrer achtundvierzigsten Tagung jeweils ein Referat über die Verwendung der Bildanalyse bei Erbse, Karotte, Zwiebel und Petersilie zu halten</w:t>
      </w:r>
      <w:r w:rsidR="00FC0E42">
        <w:t xml:space="preserve">. </w:t>
      </w:r>
      <w:r>
        <w:t xml:space="preserve">Was die Erbse betrifft, so hörte die TWV Referate aus der Tschechischen Republik, Frankreich und dem Vereinigten Königreich, um die bei der Bildanalyse in verschiedenen UPOV-Mitgliedern bei derselben Pflanze verwendeten Verfahren zu vergleichen. </w:t>
      </w:r>
    </w:p>
    <w:p w:rsidR="009347C4" w:rsidRDefault="009347C4" w:rsidP="009347C4">
      <w:pPr>
        <w:rPr>
          <w:rFonts w:cs="Arial"/>
        </w:rPr>
      </w:pPr>
    </w:p>
    <w:p w:rsidR="009347C4" w:rsidRDefault="009347C4" w:rsidP="009347C4">
      <w:pPr>
        <w:pStyle w:val="Titleofdoc0"/>
        <w:spacing w:before="0"/>
        <w:jc w:val="both"/>
        <w:rPr>
          <w:rFonts w:cs="Arial"/>
          <w:caps w:val="0"/>
        </w:rPr>
      </w:pPr>
      <w:r>
        <w:rPr>
          <w:rFonts w:cs="Arial"/>
        </w:rPr>
        <w:fldChar w:fldCharType="begin"/>
      </w:r>
      <w:r>
        <w:rPr>
          <w:rFonts w:cs="Arial"/>
        </w:rPr>
        <w:instrText xml:space="preserve"> AUTONUM  </w:instrText>
      </w:r>
      <w:r>
        <w:rPr>
          <w:rFonts w:cs="Arial"/>
        </w:rPr>
        <w:fldChar w:fldCharType="end"/>
      </w:r>
      <w:r>
        <w:tab/>
      </w:r>
      <w:r w:rsidR="00675DC0">
        <w:rPr>
          <w:caps w:val="0"/>
        </w:rPr>
        <w:t>Die TWV ersuchte den Sachverständigen aus Frankreich, auf ihrer achtundvierzigsten Tagung ein Referat über die Gemma-Software zu halten, die von der Groupe d'Etude et de Contrôle des Variétés et des Semences (geves) in einem Forschungs- und Entwicklungsprojekt des CPVO verwendet wird. Diese Software wurde als für die Entwicklung solch einer gemeinsamen Datenbank geeignet betrachtet.</w:t>
      </w:r>
    </w:p>
    <w:p w:rsidR="009347C4" w:rsidRDefault="009347C4" w:rsidP="009347C4">
      <w:pPr>
        <w:rPr>
          <w:rFonts w:cs="Arial"/>
        </w:rPr>
      </w:pPr>
    </w:p>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tab/>
        <w:t xml:space="preserve">Die TWV vereinbarte, dem TC folgende Entwürfe von Prüfungsrichtlinien zur Annahme auf seiner fünfzigsten Tagung im April 2014 in Genf vorzulegen. </w:t>
      </w:r>
    </w:p>
    <w:p w:rsidR="009347C4" w:rsidRDefault="009347C4" w:rsidP="009347C4">
      <w:pPr>
        <w:rPr>
          <w:rFonts w:cs="Arial"/>
        </w:rPr>
      </w:pPr>
    </w:p>
    <w:tbl>
      <w:tblPr>
        <w:tblW w:w="8400" w:type="dxa"/>
        <w:jc w:val="center"/>
        <w:tblInd w:w="-34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5618"/>
        <w:gridCol w:w="2782"/>
      </w:tblGrid>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keepNext/>
              <w:spacing w:before="60" w:after="60" w:line="276" w:lineRule="auto"/>
              <w:jc w:val="left"/>
              <w:rPr>
                <w:rFonts w:cs="Arial"/>
                <w:snapToGrid w:val="0"/>
                <w:color w:val="000000"/>
              </w:rPr>
            </w:pPr>
            <w:r>
              <w:rPr>
                <w:snapToGrid w:val="0"/>
                <w:color w:val="000000"/>
              </w:rPr>
              <w:t>Gegenstand</w:t>
            </w:r>
          </w:p>
        </w:tc>
        <w:tc>
          <w:tcPr>
            <w:tcW w:w="2781" w:type="dxa"/>
            <w:tcBorders>
              <w:top w:val="dotted" w:sz="4" w:space="0" w:color="auto"/>
              <w:left w:val="dotted" w:sz="4" w:space="0" w:color="auto"/>
              <w:bottom w:val="dotted" w:sz="4" w:space="0" w:color="auto"/>
              <w:right w:val="dotted" w:sz="4" w:space="0" w:color="auto"/>
            </w:tcBorders>
            <w:hideMark/>
          </w:tcPr>
          <w:p w:rsidR="009347C4" w:rsidRDefault="009347C4">
            <w:pPr>
              <w:pStyle w:val="BodyText"/>
              <w:spacing w:before="60" w:after="60" w:line="276" w:lineRule="auto"/>
              <w:jc w:val="left"/>
              <w:rPr>
                <w:rFonts w:cs="Arial"/>
                <w:snapToGrid w:val="0"/>
                <w:color w:val="000000"/>
              </w:rPr>
            </w:pPr>
            <w:r>
              <w:rPr>
                <w:snapToGrid w:val="0"/>
                <w:color w:val="000000"/>
              </w:rPr>
              <w:t>Basisdokumente (2013)</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spacing w:before="60" w:after="60" w:line="276" w:lineRule="auto"/>
              <w:jc w:val="left"/>
              <w:rPr>
                <w:rFonts w:cs="Arial"/>
                <w:snapToGrid w:val="0"/>
                <w:color w:val="000000"/>
              </w:rPr>
            </w:pPr>
            <w:r>
              <w:rPr>
                <w:snapToGrid w:val="0"/>
                <w:color w:val="000000"/>
              </w:rPr>
              <w:t>Schnittlauch (</w:t>
            </w:r>
            <w:r>
              <w:rPr>
                <w:i/>
              </w:rPr>
              <w:t xml:space="preserve">Allium schoenoprasum </w:t>
            </w:r>
            <w:r>
              <w:t>L.</w:t>
            </w:r>
            <w:r>
              <w:rPr>
                <w:snapToGrid w:val="0"/>
                <w:color w:val="000000"/>
              </w:rPr>
              <w:t>) (Überarbeitung)</w:t>
            </w:r>
          </w:p>
        </w:tc>
        <w:tc>
          <w:tcPr>
            <w:tcW w:w="2781" w:type="dxa"/>
            <w:tcBorders>
              <w:top w:val="dotted" w:sz="4" w:space="0" w:color="auto"/>
              <w:left w:val="dotted" w:sz="4" w:space="0" w:color="auto"/>
              <w:bottom w:val="dotted" w:sz="4" w:space="0" w:color="auto"/>
              <w:right w:val="dotted" w:sz="4" w:space="0" w:color="auto"/>
            </w:tcBorders>
            <w:hideMark/>
          </w:tcPr>
          <w:p w:rsidR="009347C4" w:rsidRDefault="009347C4">
            <w:pPr>
              <w:pStyle w:val="BodyText"/>
              <w:spacing w:before="60" w:after="60" w:line="276" w:lineRule="auto"/>
              <w:jc w:val="left"/>
              <w:rPr>
                <w:rFonts w:cs="Arial"/>
              </w:rPr>
            </w:pPr>
            <w:r>
              <w:t>TG/198/2(proj.2)</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spacing w:before="60" w:after="60" w:line="276" w:lineRule="auto"/>
              <w:jc w:val="left"/>
              <w:rPr>
                <w:rFonts w:cs="Arial"/>
                <w:snapToGrid w:val="0"/>
                <w:color w:val="000000"/>
              </w:rPr>
            </w:pPr>
            <w:r>
              <w:rPr>
                <w:snapToGrid w:val="0"/>
                <w:color w:val="000000"/>
              </w:rPr>
              <w:t>Gurke (</w:t>
            </w:r>
            <w:r>
              <w:rPr>
                <w:i/>
              </w:rPr>
              <w:t xml:space="preserve">Cucumis sativus </w:t>
            </w:r>
            <w:r>
              <w:t>L.</w:t>
            </w:r>
            <w:r>
              <w:rPr>
                <w:snapToGrid w:val="0"/>
                <w:color w:val="000000"/>
              </w:rPr>
              <w:t xml:space="preserve">) </w:t>
            </w:r>
            <w:r w:rsidR="00886894">
              <w:rPr>
                <w:snapToGrid w:val="0"/>
                <w:color w:val="000000"/>
              </w:rPr>
              <w:br/>
              <w:t xml:space="preserve">(Teilüberarbeitung: </w:t>
            </w:r>
            <w:r>
              <w:rPr>
                <w:snapToGrid w:val="0"/>
                <w:color w:val="000000"/>
              </w:rPr>
              <w:t>Krankheitsresistenz)</w:t>
            </w:r>
          </w:p>
        </w:tc>
        <w:tc>
          <w:tcPr>
            <w:tcW w:w="2781" w:type="dxa"/>
            <w:tcBorders>
              <w:top w:val="dotted" w:sz="4" w:space="0" w:color="auto"/>
              <w:left w:val="dotted" w:sz="4" w:space="0" w:color="auto"/>
              <w:bottom w:val="dotted" w:sz="4" w:space="0" w:color="auto"/>
              <w:right w:val="dotted" w:sz="4" w:space="0" w:color="auto"/>
            </w:tcBorders>
            <w:hideMark/>
          </w:tcPr>
          <w:p w:rsidR="009347C4" w:rsidRDefault="009347C4">
            <w:pPr>
              <w:pStyle w:val="BodyText"/>
              <w:spacing w:before="60" w:after="60" w:line="276" w:lineRule="auto"/>
              <w:jc w:val="left"/>
              <w:rPr>
                <w:rFonts w:cs="Arial"/>
              </w:rPr>
            </w:pPr>
            <w:r>
              <w:t>TG/61/7, TWV/47/29</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spacing w:before="60" w:after="60" w:line="276" w:lineRule="auto"/>
              <w:jc w:val="left"/>
              <w:rPr>
                <w:rFonts w:cs="Arial"/>
              </w:rPr>
            </w:pPr>
            <w:r>
              <w:t>Melone (</w:t>
            </w:r>
            <w:r>
              <w:rPr>
                <w:i/>
              </w:rPr>
              <w:t xml:space="preserve">Cucumis melo </w:t>
            </w:r>
            <w:r>
              <w:t>L.) (Teil</w:t>
            </w:r>
            <w:r w:rsidR="00886894">
              <w:t xml:space="preserve">überarbeitung: </w:t>
            </w:r>
            <w:r>
              <w:t>Krankheitsresistenz)</w:t>
            </w:r>
          </w:p>
        </w:tc>
        <w:tc>
          <w:tcPr>
            <w:tcW w:w="2781" w:type="dxa"/>
            <w:tcBorders>
              <w:top w:val="dotted" w:sz="4" w:space="0" w:color="auto"/>
              <w:left w:val="dotted" w:sz="4" w:space="0" w:color="auto"/>
              <w:bottom w:val="dotted" w:sz="4" w:space="0" w:color="auto"/>
              <w:right w:val="dotted" w:sz="4" w:space="0" w:color="auto"/>
            </w:tcBorders>
            <w:hideMark/>
          </w:tcPr>
          <w:p w:rsidR="009347C4" w:rsidRDefault="009347C4">
            <w:pPr>
              <w:spacing w:beforeLines="20" w:before="48" w:afterLines="20" w:after="48" w:line="276" w:lineRule="auto"/>
              <w:jc w:val="left"/>
              <w:rPr>
                <w:rFonts w:cs="Arial"/>
              </w:rPr>
            </w:pPr>
            <w:r>
              <w:rPr>
                <w:snapToGrid w:val="0"/>
                <w:color w:val="000000"/>
              </w:rPr>
              <w:t>TG/104/5, TWV/47/30</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spacing w:before="60" w:after="60" w:line="276" w:lineRule="auto"/>
              <w:jc w:val="left"/>
              <w:rPr>
                <w:rFonts w:cs="Arial"/>
              </w:rPr>
            </w:pPr>
            <w:r>
              <w:t>Paprika</w:t>
            </w:r>
            <w:r>
              <w:br/>
              <w:t>(</w:t>
            </w:r>
            <w:r>
              <w:rPr>
                <w:i/>
              </w:rPr>
              <w:t xml:space="preserve">Capsicum annuum </w:t>
            </w:r>
            <w:r>
              <w:t xml:space="preserve">L.) </w:t>
            </w:r>
            <w:r>
              <w:br/>
              <w:t>(Teilüberarbeitung: Krankheitsresistenz)</w:t>
            </w:r>
          </w:p>
        </w:tc>
        <w:tc>
          <w:tcPr>
            <w:tcW w:w="2781" w:type="dxa"/>
            <w:tcBorders>
              <w:top w:val="dotted" w:sz="4" w:space="0" w:color="auto"/>
              <w:left w:val="dotted" w:sz="4" w:space="0" w:color="auto"/>
              <w:bottom w:val="dotted" w:sz="4" w:space="0" w:color="auto"/>
              <w:right w:val="dotted" w:sz="4" w:space="0" w:color="auto"/>
            </w:tcBorders>
            <w:hideMark/>
          </w:tcPr>
          <w:p w:rsidR="009347C4" w:rsidRDefault="009347C4">
            <w:pPr>
              <w:spacing w:beforeLines="20" w:before="48" w:afterLines="20" w:after="48" w:line="276" w:lineRule="auto"/>
              <w:jc w:val="left"/>
              <w:rPr>
                <w:rFonts w:cs="Arial"/>
              </w:rPr>
            </w:pPr>
            <w:r>
              <w:t xml:space="preserve">TG/76/8, </w:t>
            </w:r>
            <w:r>
              <w:rPr>
                <w:snapToGrid w:val="0"/>
                <w:color w:val="000000"/>
              </w:rPr>
              <w:t>TWV/47/31</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tabs>
                <w:tab w:val="right" w:pos="2473"/>
              </w:tabs>
              <w:adjustRightInd w:val="0"/>
              <w:snapToGrid w:val="0"/>
              <w:spacing w:before="20" w:afterLines="20" w:after="48" w:line="276" w:lineRule="auto"/>
              <w:jc w:val="left"/>
              <w:rPr>
                <w:rFonts w:cs="Arial"/>
              </w:rPr>
            </w:pPr>
            <w:r>
              <w:t>*Erbse (</w:t>
            </w:r>
            <w:r>
              <w:rPr>
                <w:i/>
              </w:rPr>
              <w:t>Pisum sativum</w:t>
            </w:r>
            <w:r>
              <w:t xml:space="preserve"> L.) (Teilüberarbeitung: Gruppierungsmerkmale)</w:t>
            </w:r>
            <w:r>
              <w:rPr>
                <w:rStyle w:val="FootnoteReference"/>
              </w:rPr>
              <w:footnoteReference w:id="2"/>
            </w:r>
          </w:p>
        </w:tc>
        <w:tc>
          <w:tcPr>
            <w:tcW w:w="2781" w:type="dxa"/>
            <w:tcBorders>
              <w:top w:val="dotted" w:sz="4" w:space="0" w:color="auto"/>
              <w:left w:val="dotted" w:sz="4" w:space="0" w:color="auto"/>
              <w:bottom w:val="dotted" w:sz="4" w:space="0" w:color="auto"/>
              <w:right w:val="dotted" w:sz="4" w:space="0" w:color="auto"/>
            </w:tcBorders>
            <w:hideMark/>
          </w:tcPr>
          <w:p w:rsidR="009347C4" w:rsidRDefault="009347C4">
            <w:pPr>
              <w:spacing w:beforeLines="20" w:before="48" w:afterLines="20" w:after="48" w:line="276" w:lineRule="auto"/>
              <w:jc w:val="left"/>
              <w:rPr>
                <w:rFonts w:cs="Arial"/>
              </w:rPr>
            </w:pPr>
            <w:r>
              <w:t>TG/7/10, TWV/47/25, TWV/47/25 Add.</w:t>
            </w:r>
          </w:p>
        </w:tc>
      </w:tr>
      <w:tr w:rsidR="009347C4" w:rsidTr="009347C4">
        <w:trPr>
          <w:cantSplit/>
          <w:jc w:val="center"/>
        </w:trPr>
        <w:tc>
          <w:tcPr>
            <w:tcW w:w="5617" w:type="dxa"/>
            <w:tcBorders>
              <w:top w:val="dotted" w:sz="4" w:space="0" w:color="auto"/>
              <w:left w:val="dotted" w:sz="4" w:space="0" w:color="auto"/>
              <w:bottom w:val="dotted" w:sz="4" w:space="0" w:color="auto"/>
              <w:right w:val="dotted" w:sz="4" w:space="0" w:color="auto"/>
            </w:tcBorders>
            <w:hideMark/>
          </w:tcPr>
          <w:p w:rsidR="009347C4" w:rsidRDefault="009347C4">
            <w:pPr>
              <w:pStyle w:val="BodyText"/>
              <w:adjustRightInd w:val="0"/>
              <w:snapToGrid w:val="0"/>
              <w:spacing w:before="20" w:afterLines="20" w:after="48" w:line="276" w:lineRule="auto"/>
              <w:jc w:val="left"/>
              <w:rPr>
                <w:rFonts w:cs="Arial"/>
                <w:iCs/>
              </w:rPr>
            </w:pPr>
            <w:r>
              <w:t>*Mohn (</w:t>
            </w:r>
            <w:r>
              <w:rPr>
                <w:i/>
              </w:rPr>
              <w:t xml:space="preserve">Papaver somniferum </w:t>
            </w:r>
            <w:r>
              <w:t>L.) (Überarbeitung)</w:t>
            </w:r>
          </w:p>
        </w:tc>
        <w:tc>
          <w:tcPr>
            <w:tcW w:w="2781" w:type="dxa"/>
            <w:tcBorders>
              <w:top w:val="dotted" w:sz="4" w:space="0" w:color="auto"/>
              <w:left w:val="dotted" w:sz="4" w:space="0" w:color="auto"/>
              <w:bottom w:val="dotted" w:sz="4" w:space="0" w:color="auto"/>
              <w:right w:val="dotted" w:sz="4" w:space="0" w:color="auto"/>
            </w:tcBorders>
            <w:hideMark/>
          </w:tcPr>
          <w:p w:rsidR="009347C4" w:rsidRDefault="009347C4">
            <w:pPr>
              <w:pStyle w:val="BodyText"/>
              <w:spacing w:before="20" w:afterLines="20" w:after="48" w:line="276" w:lineRule="auto"/>
              <w:jc w:val="left"/>
              <w:rPr>
                <w:rFonts w:cs="Arial"/>
              </w:rPr>
            </w:pPr>
            <w:r>
              <w:t>TG/166/4(proj.4), TWV/47/32</w:t>
            </w:r>
          </w:p>
        </w:tc>
      </w:tr>
    </w:tbl>
    <w:p w:rsidR="009347C4" w:rsidRDefault="009347C4" w:rsidP="009347C4">
      <w:pPr>
        <w:rPr>
          <w:rFonts w:cs="Arial"/>
        </w:rPr>
      </w:pPr>
    </w:p>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tab/>
        <w:t>Die TWV vereinbarte, auf ihrer achtundvierzigsten Tagung folgende Entwürfe von P</w:t>
      </w:r>
      <w:r w:rsidR="00A470FB">
        <w:t>rüfungsrichtlinien zu erörtern.</w:t>
      </w:r>
    </w:p>
    <w:p w:rsidR="009347C4" w:rsidRDefault="009347C4" w:rsidP="009347C4">
      <w:pPr>
        <w:rPr>
          <w:rFonts w:cs="Arial"/>
        </w:rPr>
      </w:pPr>
    </w:p>
    <w:tbl>
      <w:tblPr>
        <w:tblW w:w="7560" w:type="dxa"/>
        <w:tblInd w:w="7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4A0" w:firstRow="1" w:lastRow="0" w:firstColumn="1" w:lastColumn="0" w:noHBand="0" w:noVBand="1"/>
      </w:tblPr>
      <w:tblGrid>
        <w:gridCol w:w="7560"/>
      </w:tblGrid>
      <w:tr w:rsidR="009347C4" w:rsidTr="009347C4">
        <w:trPr>
          <w:cantSplit/>
          <w:tblHeader/>
        </w:trPr>
        <w:tc>
          <w:tcPr>
            <w:tcW w:w="7558" w:type="dxa"/>
            <w:tcBorders>
              <w:top w:val="dotted" w:sz="4" w:space="0" w:color="auto"/>
              <w:left w:val="dotted" w:sz="4" w:space="0" w:color="auto"/>
              <w:bottom w:val="dotted" w:sz="4" w:space="0" w:color="auto"/>
              <w:right w:val="dotted" w:sz="4" w:space="0" w:color="auto"/>
            </w:tcBorders>
            <w:hideMark/>
          </w:tcPr>
          <w:p w:rsidR="009347C4" w:rsidRDefault="009347C4" w:rsidP="005D2FEA">
            <w:pPr>
              <w:spacing w:before="60" w:after="60" w:line="276" w:lineRule="auto"/>
              <w:jc w:val="left"/>
              <w:rPr>
                <w:rFonts w:cs="Arial"/>
                <w:snapToGrid w:val="0"/>
                <w:color w:val="000000"/>
              </w:rPr>
            </w:pPr>
            <w:r>
              <w:rPr>
                <w:snapToGrid w:val="0"/>
                <w:color w:val="000000"/>
              </w:rPr>
              <w:t>Gegenstand</w:t>
            </w:r>
          </w:p>
        </w:tc>
      </w:tr>
      <w:tr w:rsidR="009347C4" w:rsidTr="009347C4">
        <w:trPr>
          <w:cantSplit/>
        </w:trPr>
        <w:tc>
          <w:tcPr>
            <w:tcW w:w="7558" w:type="dxa"/>
            <w:tcBorders>
              <w:top w:val="dotted" w:sz="4" w:space="0" w:color="auto"/>
              <w:left w:val="dotted" w:sz="4" w:space="0" w:color="auto"/>
              <w:bottom w:val="dotted" w:sz="4" w:space="0" w:color="auto"/>
              <w:right w:val="dotted" w:sz="4" w:space="0" w:color="auto"/>
            </w:tcBorders>
            <w:hideMark/>
          </w:tcPr>
          <w:p w:rsidR="009347C4" w:rsidRDefault="009347C4" w:rsidP="005D2FEA">
            <w:pPr>
              <w:tabs>
                <w:tab w:val="right" w:pos="2473"/>
              </w:tabs>
              <w:adjustRightInd w:val="0"/>
              <w:snapToGrid w:val="0"/>
              <w:spacing w:before="20" w:afterLines="20" w:after="48" w:line="276" w:lineRule="auto"/>
              <w:jc w:val="left"/>
              <w:rPr>
                <w:rFonts w:cs="Arial"/>
              </w:rPr>
            </w:pPr>
            <w:r>
              <w:t>Basilikum (</w:t>
            </w:r>
            <w:r>
              <w:rPr>
                <w:i/>
              </w:rPr>
              <w:t xml:space="preserve">Ocimum basilicum </w:t>
            </w:r>
            <w:r>
              <w:t>L.) (Überarbeitung)</w:t>
            </w:r>
          </w:p>
        </w:tc>
      </w:tr>
      <w:tr w:rsidR="009347C4" w:rsidTr="009347C4">
        <w:trPr>
          <w:cantSplit/>
        </w:trPr>
        <w:tc>
          <w:tcPr>
            <w:tcW w:w="7558" w:type="dxa"/>
            <w:tcBorders>
              <w:top w:val="dotted" w:sz="4" w:space="0" w:color="auto"/>
              <w:left w:val="dotted" w:sz="4" w:space="0" w:color="auto"/>
              <w:bottom w:val="dotted" w:sz="4" w:space="0" w:color="auto"/>
              <w:right w:val="dotted" w:sz="4" w:space="0" w:color="auto"/>
            </w:tcBorders>
            <w:hideMark/>
          </w:tcPr>
          <w:p w:rsidR="009347C4" w:rsidRDefault="009347C4" w:rsidP="005D2FEA">
            <w:pPr>
              <w:tabs>
                <w:tab w:val="right" w:pos="2473"/>
              </w:tabs>
              <w:adjustRightInd w:val="0"/>
              <w:snapToGrid w:val="0"/>
              <w:spacing w:before="20" w:afterLines="20" w:after="48" w:line="276" w:lineRule="auto"/>
              <w:jc w:val="left"/>
              <w:rPr>
                <w:rFonts w:cs="Arial"/>
              </w:rPr>
            </w:pPr>
            <w:r>
              <w:t>Flaschenkürbis, Kalebasse (</w:t>
            </w:r>
            <w:r>
              <w:rPr>
                <w:i/>
              </w:rPr>
              <w:t>Lagenaria siceraria</w:t>
            </w:r>
            <w:r>
              <w:t xml:space="preserve"> (Molina) Standl.)</w:t>
            </w:r>
          </w:p>
        </w:tc>
      </w:tr>
      <w:tr w:rsidR="009347C4" w:rsidTr="009347C4">
        <w:trPr>
          <w:cantSplit/>
        </w:trPr>
        <w:tc>
          <w:tcPr>
            <w:tcW w:w="7558" w:type="dxa"/>
            <w:tcBorders>
              <w:top w:val="dotted" w:sz="4" w:space="0" w:color="auto"/>
              <w:left w:val="dotted" w:sz="4" w:space="0" w:color="auto"/>
              <w:bottom w:val="dotted" w:sz="4" w:space="0" w:color="auto"/>
              <w:right w:val="dotted" w:sz="4" w:space="0" w:color="auto"/>
            </w:tcBorders>
            <w:hideMark/>
          </w:tcPr>
          <w:p w:rsidR="009347C4" w:rsidRDefault="009347C4" w:rsidP="005D2FEA">
            <w:pPr>
              <w:tabs>
                <w:tab w:val="right" w:pos="2473"/>
              </w:tabs>
              <w:adjustRightInd w:val="0"/>
              <w:snapToGrid w:val="0"/>
              <w:spacing w:before="20" w:afterLines="20" w:after="48" w:line="276" w:lineRule="auto"/>
              <w:jc w:val="left"/>
              <w:rPr>
                <w:rFonts w:cs="Arial"/>
              </w:rPr>
            </w:pPr>
            <w:r>
              <w:t>*Brassica (Teilüberarbeitung: männliche Sterilität für alle betroffenen Unterarten)</w:t>
            </w:r>
          </w:p>
        </w:tc>
      </w:tr>
      <w:tr w:rsidR="009347C4" w:rsidTr="009347C4">
        <w:trPr>
          <w:cantSplit/>
        </w:trPr>
        <w:tc>
          <w:tcPr>
            <w:tcW w:w="7558" w:type="dxa"/>
            <w:tcBorders>
              <w:top w:val="dotted" w:sz="4" w:space="0" w:color="auto"/>
              <w:left w:val="dotted" w:sz="4" w:space="0" w:color="auto"/>
              <w:bottom w:val="dotted" w:sz="4" w:space="0" w:color="auto"/>
              <w:right w:val="dotted" w:sz="4" w:space="0" w:color="auto"/>
            </w:tcBorders>
            <w:hideMark/>
          </w:tcPr>
          <w:p w:rsidR="009347C4" w:rsidRDefault="009347C4" w:rsidP="005D2FEA">
            <w:pPr>
              <w:spacing w:before="60" w:after="60" w:line="276" w:lineRule="auto"/>
              <w:jc w:val="left"/>
              <w:rPr>
                <w:rFonts w:cs="Arial"/>
                <w:b/>
                <w:snapToGrid w:val="0"/>
                <w:color w:val="000000"/>
              </w:rPr>
            </w:pPr>
            <w:r>
              <w:t>Sareptasenf (</w:t>
            </w:r>
            <w:r>
              <w:rPr>
                <w:i/>
              </w:rPr>
              <w:t xml:space="preserve">Brassica juncea </w:t>
            </w:r>
            <w:r>
              <w:t>(L.) Czern)</w:t>
            </w:r>
          </w:p>
        </w:tc>
      </w:tr>
      <w:tr w:rsidR="009347C4" w:rsidTr="009347C4">
        <w:trPr>
          <w:cantSplit/>
        </w:trPr>
        <w:tc>
          <w:tcPr>
            <w:tcW w:w="7558" w:type="dxa"/>
            <w:tcBorders>
              <w:top w:val="dotted" w:sz="4" w:space="0" w:color="auto"/>
              <w:left w:val="dotted" w:sz="4" w:space="0" w:color="auto"/>
              <w:bottom w:val="dotted" w:sz="4" w:space="0" w:color="auto"/>
              <w:right w:val="dotted" w:sz="4" w:space="0" w:color="auto"/>
            </w:tcBorders>
            <w:hideMark/>
          </w:tcPr>
          <w:p w:rsidR="009347C4" w:rsidRDefault="009347C4" w:rsidP="005D2FEA">
            <w:pPr>
              <w:spacing w:before="60" w:after="60" w:line="276" w:lineRule="auto"/>
              <w:jc w:val="left"/>
              <w:rPr>
                <w:rFonts w:cs="Arial"/>
                <w:snapToGrid w:val="0"/>
                <w:color w:val="000000"/>
              </w:rPr>
            </w:pPr>
            <w:r>
              <w:rPr>
                <w:snapToGrid w:val="0"/>
                <w:color w:val="000000"/>
              </w:rPr>
              <w:t>*Maniok (</w:t>
            </w:r>
            <w:r>
              <w:rPr>
                <w:i/>
                <w:snapToGrid w:val="0"/>
                <w:color w:val="000000"/>
              </w:rPr>
              <w:t xml:space="preserve">Manihot esculenta </w:t>
            </w:r>
            <w:r>
              <w:rPr>
                <w:snapToGrid w:val="0"/>
                <w:color w:val="000000"/>
              </w:rPr>
              <w:t>Crantz.)</w:t>
            </w:r>
          </w:p>
        </w:tc>
      </w:tr>
      <w:tr w:rsidR="009347C4" w:rsidTr="009347C4">
        <w:trPr>
          <w:cantSplit/>
        </w:trPr>
        <w:tc>
          <w:tcPr>
            <w:tcW w:w="7558" w:type="dxa"/>
            <w:tcBorders>
              <w:top w:val="dotted" w:sz="4" w:space="0" w:color="auto"/>
              <w:left w:val="dotted" w:sz="4" w:space="0" w:color="auto"/>
              <w:bottom w:val="dotted" w:sz="4" w:space="0" w:color="auto"/>
              <w:right w:val="dotted" w:sz="4" w:space="0" w:color="auto"/>
            </w:tcBorders>
            <w:hideMark/>
          </w:tcPr>
          <w:p w:rsidR="009347C4" w:rsidRDefault="009347C4" w:rsidP="005D2FEA">
            <w:pPr>
              <w:spacing w:before="60" w:after="60" w:line="276" w:lineRule="auto"/>
              <w:jc w:val="left"/>
              <w:rPr>
                <w:rFonts w:cs="Arial"/>
                <w:snapToGrid w:val="0"/>
                <w:color w:val="000000"/>
              </w:rPr>
            </w:pPr>
            <w:r>
              <w:rPr>
                <w:snapToGrid w:val="0"/>
                <w:color w:val="000000"/>
              </w:rPr>
              <w:t>*Gurke (Teilüberarbeitung: Cucurbit yellow stunting disorder virus (CYSDV))</w:t>
            </w:r>
          </w:p>
        </w:tc>
      </w:tr>
      <w:tr w:rsidR="009347C4" w:rsidTr="009347C4">
        <w:trPr>
          <w:cantSplit/>
        </w:trPr>
        <w:tc>
          <w:tcPr>
            <w:tcW w:w="7558" w:type="dxa"/>
            <w:tcBorders>
              <w:top w:val="dotted" w:sz="4" w:space="0" w:color="auto"/>
              <w:left w:val="dotted" w:sz="4" w:space="0" w:color="auto"/>
              <w:bottom w:val="dotted" w:sz="4" w:space="0" w:color="auto"/>
              <w:right w:val="dotted" w:sz="4" w:space="0" w:color="auto"/>
            </w:tcBorders>
            <w:hideMark/>
          </w:tcPr>
          <w:p w:rsidR="009347C4" w:rsidRDefault="009347C4" w:rsidP="005D2FEA">
            <w:pPr>
              <w:tabs>
                <w:tab w:val="right" w:pos="2473"/>
              </w:tabs>
              <w:adjustRightInd w:val="0"/>
              <w:snapToGrid w:val="0"/>
              <w:spacing w:before="20" w:afterLines="20" w:after="48" w:line="276" w:lineRule="auto"/>
              <w:jc w:val="left"/>
              <w:rPr>
                <w:rFonts w:cs="Arial"/>
              </w:rPr>
            </w:pPr>
            <w:r>
              <w:rPr>
                <w:i/>
              </w:rPr>
              <w:t xml:space="preserve">Cucurbita maxima x Cucurbita moschata </w:t>
            </w:r>
          </w:p>
        </w:tc>
      </w:tr>
      <w:tr w:rsidR="009347C4" w:rsidTr="009347C4">
        <w:trPr>
          <w:cantSplit/>
        </w:trPr>
        <w:tc>
          <w:tcPr>
            <w:tcW w:w="7558" w:type="dxa"/>
            <w:tcBorders>
              <w:top w:val="dotted" w:sz="4" w:space="0" w:color="auto"/>
              <w:left w:val="dotted" w:sz="4" w:space="0" w:color="auto"/>
              <w:bottom w:val="dotted" w:sz="4" w:space="0" w:color="auto"/>
              <w:right w:val="dotted" w:sz="4" w:space="0" w:color="auto"/>
            </w:tcBorders>
            <w:hideMark/>
          </w:tcPr>
          <w:p w:rsidR="009347C4" w:rsidRDefault="009347C4" w:rsidP="005D2FEA">
            <w:pPr>
              <w:tabs>
                <w:tab w:val="right" w:pos="2473"/>
              </w:tabs>
              <w:adjustRightInd w:val="0"/>
              <w:snapToGrid w:val="0"/>
              <w:spacing w:before="20" w:afterLines="20" w:after="48" w:line="276" w:lineRule="auto"/>
              <w:jc w:val="left"/>
              <w:rPr>
                <w:rFonts w:cs="Arial"/>
              </w:rPr>
            </w:pPr>
            <w:r>
              <w:t>*Gartenbohne (</w:t>
            </w:r>
            <w:r>
              <w:rPr>
                <w:i/>
              </w:rPr>
              <w:t xml:space="preserve">Phaseolus vulgaris </w:t>
            </w:r>
            <w:r>
              <w:t>L.) (Teilüberarbeitung: Format von Krankheitsresistenzerklärungen)</w:t>
            </w:r>
          </w:p>
        </w:tc>
      </w:tr>
      <w:tr w:rsidR="009347C4" w:rsidTr="009347C4">
        <w:trPr>
          <w:cantSplit/>
        </w:trPr>
        <w:tc>
          <w:tcPr>
            <w:tcW w:w="7558" w:type="dxa"/>
            <w:tcBorders>
              <w:top w:val="dotted" w:sz="4" w:space="0" w:color="auto"/>
              <w:left w:val="dotted" w:sz="4" w:space="0" w:color="auto"/>
              <w:bottom w:val="dotted" w:sz="4" w:space="0" w:color="auto"/>
              <w:right w:val="dotted" w:sz="4" w:space="0" w:color="auto"/>
            </w:tcBorders>
            <w:hideMark/>
          </w:tcPr>
          <w:p w:rsidR="009347C4" w:rsidRDefault="009347C4" w:rsidP="005D2FEA">
            <w:pPr>
              <w:tabs>
                <w:tab w:val="right" w:pos="2473"/>
              </w:tabs>
              <w:adjustRightInd w:val="0"/>
              <w:snapToGrid w:val="0"/>
              <w:spacing w:before="20" w:afterLines="20" w:after="48" w:line="276" w:lineRule="auto"/>
              <w:jc w:val="left"/>
              <w:rPr>
                <w:rFonts w:cs="Arial"/>
              </w:rPr>
            </w:pPr>
            <w:r>
              <w:t>*Blattzichorie(</w:t>
            </w:r>
            <w:r>
              <w:rPr>
                <w:i/>
              </w:rPr>
              <w:t>Cichorium intybus</w:t>
            </w:r>
            <w:r>
              <w:t xml:space="preserve"> L. var. </w:t>
            </w:r>
            <w:r>
              <w:rPr>
                <w:i/>
              </w:rPr>
              <w:t>foliosum</w:t>
            </w:r>
            <w:r>
              <w:t xml:space="preserve"> Hegi) (Überarbeitung)</w:t>
            </w:r>
          </w:p>
        </w:tc>
      </w:tr>
      <w:tr w:rsidR="009347C4" w:rsidTr="009347C4">
        <w:trPr>
          <w:cantSplit/>
        </w:trPr>
        <w:tc>
          <w:tcPr>
            <w:tcW w:w="7558" w:type="dxa"/>
            <w:tcBorders>
              <w:top w:val="dotted" w:sz="4" w:space="0" w:color="auto"/>
              <w:left w:val="dotted" w:sz="4" w:space="0" w:color="auto"/>
              <w:bottom w:val="dotted" w:sz="4" w:space="0" w:color="auto"/>
              <w:right w:val="dotted" w:sz="4" w:space="0" w:color="auto"/>
            </w:tcBorders>
            <w:hideMark/>
          </w:tcPr>
          <w:p w:rsidR="009347C4" w:rsidRDefault="009347C4" w:rsidP="005D2FEA">
            <w:pPr>
              <w:spacing w:before="60" w:after="60" w:line="276" w:lineRule="auto"/>
              <w:jc w:val="left"/>
              <w:rPr>
                <w:rFonts w:cs="Arial"/>
              </w:rPr>
            </w:pPr>
            <w:r>
              <w:t>*Linse (</w:t>
            </w:r>
            <w:r>
              <w:rPr>
                <w:i/>
              </w:rPr>
              <w:t>Lens culinaris</w:t>
            </w:r>
            <w:r>
              <w:t xml:space="preserve"> Medik.) (Überarbeitung)</w:t>
            </w:r>
          </w:p>
        </w:tc>
      </w:tr>
      <w:tr w:rsidR="009347C4" w:rsidTr="009347C4">
        <w:trPr>
          <w:cantSplit/>
        </w:trPr>
        <w:tc>
          <w:tcPr>
            <w:tcW w:w="7558" w:type="dxa"/>
            <w:tcBorders>
              <w:top w:val="dotted" w:sz="4" w:space="0" w:color="auto"/>
              <w:left w:val="dotted" w:sz="4" w:space="0" w:color="auto"/>
              <w:bottom w:val="dotted" w:sz="4" w:space="0" w:color="auto"/>
              <w:right w:val="dotted" w:sz="4" w:space="0" w:color="auto"/>
            </w:tcBorders>
            <w:hideMark/>
          </w:tcPr>
          <w:p w:rsidR="009347C4" w:rsidRDefault="009347C4" w:rsidP="005D2FEA">
            <w:pPr>
              <w:spacing w:before="60" w:after="60" w:line="276" w:lineRule="auto"/>
              <w:jc w:val="left"/>
              <w:rPr>
                <w:rFonts w:cs="Arial"/>
              </w:rPr>
            </w:pPr>
            <w:r>
              <w:t>Salat (</w:t>
            </w:r>
            <w:r>
              <w:rPr>
                <w:i/>
              </w:rPr>
              <w:t>Lactuca sativa</w:t>
            </w:r>
            <w:r>
              <w:t xml:space="preserve"> L.) (Überarbeitung)</w:t>
            </w:r>
          </w:p>
        </w:tc>
      </w:tr>
      <w:tr w:rsidR="009347C4" w:rsidTr="009347C4">
        <w:trPr>
          <w:cantSplit/>
        </w:trPr>
        <w:tc>
          <w:tcPr>
            <w:tcW w:w="7558" w:type="dxa"/>
            <w:tcBorders>
              <w:top w:val="dotted" w:sz="4" w:space="0" w:color="auto"/>
              <w:left w:val="dotted" w:sz="4" w:space="0" w:color="auto"/>
              <w:bottom w:val="dotted" w:sz="4" w:space="0" w:color="auto"/>
              <w:right w:val="dotted" w:sz="4" w:space="0" w:color="auto"/>
            </w:tcBorders>
            <w:hideMark/>
          </w:tcPr>
          <w:p w:rsidR="009347C4" w:rsidRDefault="009347C4" w:rsidP="005D2FEA">
            <w:pPr>
              <w:tabs>
                <w:tab w:val="right" w:pos="2473"/>
              </w:tabs>
              <w:adjustRightInd w:val="0"/>
              <w:snapToGrid w:val="0"/>
              <w:spacing w:before="20" w:afterLines="20" w:after="48" w:line="276" w:lineRule="auto"/>
              <w:jc w:val="left"/>
              <w:rPr>
                <w:rFonts w:cs="Arial"/>
              </w:rPr>
            </w:pPr>
            <w:r>
              <w:t>*Pasaniapilz (</w:t>
            </w:r>
            <w:r>
              <w:rPr>
                <w:i/>
              </w:rPr>
              <w:t>Lentinula edodes</w:t>
            </w:r>
            <w:r>
              <w:t xml:space="preserve"> (Berk.) Pegler) (Teilüberarbeitung: erforderliches Vermehrungsmaterial)</w:t>
            </w:r>
          </w:p>
        </w:tc>
      </w:tr>
      <w:tr w:rsidR="009347C4" w:rsidTr="009347C4">
        <w:trPr>
          <w:cantSplit/>
        </w:trPr>
        <w:tc>
          <w:tcPr>
            <w:tcW w:w="7558" w:type="dxa"/>
            <w:tcBorders>
              <w:top w:val="dotted" w:sz="4" w:space="0" w:color="auto"/>
              <w:left w:val="dotted" w:sz="4" w:space="0" w:color="auto"/>
              <w:bottom w:val="dotted" w:sz="4" w:space="0" w:color="auto"/>
              <w:right w:val="dotted" w:sz="4" w:space="0" w:color="auto"/>
            </w:tcBorders>
            <w:hideMark/>
          </w:tcPr>
          <w:p w:rsidR="009347C4" w:rsidRDefault="009347C4" w:rsidP="005D2FEA">
            <w:pPr>
              <w:tabs>
                <w:tab w:val="right" w:pos="2473"/>
              </w:tabs>
              <w:adjustRightInd w:val="0"/>
              <w:snapToGrid w:val="0"/>
              <w:spacing w:before="20" w:afterLines="20" w:after="48" w:line="276" w:lineRule="auto"/>
              <w:jc w:val="left"/>
              <w:rPr>
                <w:rFonts w:cs="Arial"/>
              </w:rPr>
            </w:pPr>
            <w:r>
              <w:t>Rübsen (</w:t>
            </w:r>
            <w:r>
              <w:rPr>
                <w:i/>
              </w:rPr>
              <w:t>Brassica rapa</w:t>
            </w:r>
            <w:r>
              <w:t xml:space="preserve"> L. var. </w:t>
            </w:r>
            <w:r>
              <w:rPr>
                <w:i/>
              </w:rPr>
              <w:t>rapa</w:t>
            </w:r>
            <w:r>
              <w:t xml:space="preserve"> L. (Überarbeitung)</w:t>
            </w:r>
          </w:p>
        </w:tc>
      </w:tr>
      <w:tr w:rsidR="009347C4" w:rsidTr="009347C4">
        <w:trPr>
          <w:cantSplit/>
        </w:trPr>
        <w:tc>
          <w:tcPr>
            <w:tcW w:w="7558" w:type="dxa"/>
            <w:tcBorders>
              <w:top w:val="dotted" w:sz="4" w:space="0" w:color="auto"/>
              <w:left w:val="dotted" w:sz="4" w:space="0" w:color="auto"/>
              <w:bottom w:val="dotted" w:sz="4" w:space="0" w:color="auto"/>
              <w:right w:val="dotted" w:sz="4" w:space="0" w:color="auto"/>
            </w:tcBorders>
            <w:hideMark/>
          </w:tcPr>
          <w:p w:rsidR="009347C4" w:rsidRDefault="009347C4" w:rsidP="005D2FEA">
            <w:pPr>
              <w:spacing w:before="60" w:after="60" w:line="276" w:lineRule="auto"/>
              <w:jc w:val="left"/>
              <w:rPr>
                <w:rFonts w:cs="Arial"/>
              </w:rPr>
            </w:pPr>
            <w:r>
              <w:t>Zichorie (</w:t>
            </w:r>
            <w:r>
              <w:rPr>
                <w:i/>
              </w:rPr>
              <w:t xml:space="preserve">Cichorium intybus </w:t>
            </w:r>
            <w:r>
              <w:t>L. partim) (Überarbeitung)</w:t>
            </w:r>
          </w:p>
        </w:tc>
      </w:tr>
    </w:tbl>
    <w:p w:rsidR="009347C4" w:rsidRDefault="009347C4" w:rsidP="009347C4">
      <w:pPr>
        <w:rPr>
          <w:rFonts w:cs="Arial"/>
        </w:rPr>
      </w:pPr>
    </w:p>
    <w:p w:rsidR="009347C4" w:rsidRDefault="009347C4" w:rsidP="009347C4">
      <w:pPr>
        <w:rPr>
          <w:rFonts w:cs="Arial"/>
        </w:rPr>
      </w:pPr>
    </w:p>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tab/>
        <w:t>Auf Einladung Italiens stimmte die TWV zu, ihre achtundvierzigste Tagung vom 23. bis 27. Juni 2014 mit einer vorbereitenden Arbeitstagung am 22. Juni 2014 in Paestum, Italien, abzuhalten.</w:t>
      </w:r>
    </w:p>
    <w:p w:rsidR="009347C4" w:rsidRDefault="009347C4" w:rsidP="009347C4">
      <w:pPr>
        <w:rPr>
          <w:rFonts w:cs="Arial"/>
          <w:color w:val="000000"/>
        </w:rPr>
      </w:pPr>
    </w:p>
    <w:p w:rsidR="009347C4" w:rsidRDefault="009347C4" w:rsidP="009347C4">
      <w:pPr>
        <w:rPr>
          <w:rFonts w:cs="Arial"/>
          <w:color w:val="000000"/>
        </w:rPr>
      </w:pPr>
      <w:r>
        <w:rPr>
          <w:rFonts w:cs="Arial"/>
        </w:rPr>
        <w:fldChar w:fldCharType="begin"/>
      </w:r>
      <w:r>
        <w:rPr>
          <w:rFonts w:cs="Arial"/>
        </w:rPr>
        <w:instrText xml:space="preserve"> AUTONUM  </w:instrText>
      </w:r>
      <w:r>
        <w:rPr>
          <w:rFonts w:cs="Arial"/>
        </w:rPr>
        <w:fldChar w:fldCharType="end"/>
      </w:r>
      <w:r>
        <w:tab/>
      </w:r>
      <w:r>
        <w:rPr>
          <w:color w:val="000000"/>
        </w:rPr>
        <w:t>Die TWV vereinbarte, dem TC vorzuschlagen, daß er dem Rat empfehle, Herrn Swenja Tams (Deutschland) zum nächsten Vorsitzenden der TWV zu ernennen.</w:t>
      </w:r>
    </w:p>
    <w:p w:rsidR="009347C4" w:rsidRDefault="009347C4" w:rsidP="009347C4">
      <w:pPr>
        <w:rPr>
          <w:rFonts w:cs="Arial"/>
          <w:color w:val="000000"/>
        </w:rPr>
      </w:pPr>
    </w:p>
    <w:p w:rsidR="009347C4" w:rsidRDefault="009347C4" w:rsidP="009347C4">
      <w:pPr>
        <w:rPr>
          <w:rFonts w:cs="Arial"/>
        </w:rPr>
      </w:pPr>
      <w:r>
        <w:rPr>
          <w:rFonts w:cs="Arial"/>
        </w:rPr>
        <w:fldChar w:fldCharType="begin"/>
      </w:r>
      <w:r>
        <w:rPr>
          <w:rFonts w:cs="Arial"/>
        </w:rPr>
        <w:instrText xml:space="preserve"> AUTONUM  </w:instrText>
      </w:r>
      <w:r>
        <w:rPr>
          <w:rFonts w:cs="Arial"/>
        </w:rPr>
        <w:fldChar w:fldCharType="end"/>
      </w:r>
      <w:r>
        <w:tab/>
        <w:t>Die TWV schlug vor, auf ihrer nächsten Tagung folgende Punkte zu behandeln:</w:t>
      </w:r>
    </w:p>
    <w:p w:rsidR="009347C4" w:rsidRDefault="009347C4" w:rsidP="009347C4">
      <w:pPr>
        <w:rPr>
          <w:rFonts w:cs="Arial"/>
        </w:rPr>
      </w:pPr>
    </w:p>
    <w:p w:rsidR="009347C4" w:rsidRDefault="009347C4" w:rsidP="005D2FEA">
      <w:pPr>
        <w:keepNext/>
        <w:numPr>
          <w:ilvl w:val="0"/>
          <w:numId w:val="29"/>
        </w:numPr>
        <w:tabs>
          <w:tab w:val="clear" w:pos="360"/>
          <w:tab w:val="num" w:pos="1134"/>
        </w:tabs>
        <w:spacing w:before="20" w:afterLines="20" w:after="48"/>
        <w:ind w:left="924" w:hanging="357"/>
        <w:rPr>
          <w:rFonts w:cs="Arial"/>
        </w:rPr>
      </w:pPr>
      <w:r>
        <w:t>Eröffnung der Tagung</w:t>
      </w:r>
    </w:p>
    <w:p w:rsidR="009347C4" w:rsidRDefault="009347C4" w:rsidP="009347C4">
      <w:pPr>
        <w:numPr>
          <w:ilvl w:val="0"/>
          <w:numId w:val="29"/>
        </w:numPr>
        <w:tabs>
          <w:tab w:val="clear" w:pos="360"/>
          <w:tab w:val="num" w:pos="1134"/>
        </w:tabs>
        <w:spacing w:before="20" w:afterLines="20" w:after="48"/>
        <w:ind w:left="924" w:hanging="357"/>
        <w:rPr>
          <w:rFonts w:cs="Arial"/>
        </w:rPr>
      </w:pPr>
      <w:r>
        <w:t>Annahme der Tagesordnung</w:t>
      </w:r>
    </w:p>
    <w:p w:rsidR="009347C4" w:rsidRDefault="009347C4" w:rsidP="009347C4">
      <w:pPr>
        <w:numPr>
          <w:ilvl w:val="0"/>
          <w:numId w:val="29"/>
        </w:numPr>
        <w:tabs>
          <w:tab w:val="clear" w:pos="360"/>
          <w:tab w:val="num" w:pos="1134"/>
        </w:tabs>
        <w:spacing w:before="20" w:afterLines="20" w:after="48"/>
        <w:ind w:left="924" w:hanging="357"/>
        <w:rPr>
          <w:rFonts w:cs="Arial"/>
        </w:rPr>
      </w:pPr>
      <w:r>
        <w:t>Kurzberichte über die Entwicklungen im Sortenschutz</w:t>
      </w:r>
    </w:p>
    <w:p w:rsidR="009347C4" w:rsidRDefault="009347C4" w:rsidP="009347C4">
      <w:pPr>
        <w:numPr>
          <w:ilvl w:val="0"/>
          <w:numId w:val="21"/>
        </w:numPr>
        <w:tabs>
          <w:tab w:val="num" w:pos="1134"/>
          <w:tab w:val="num" w:pos="1494"/>
        </w:tabs>
        <w:spacing w:before="20" w:afterLines="20" w:after="48"/>
        <w:ind w:left="1494"/>
        <w:rPr>
          <w:rFonts w:cs="Arial"/>
        </w:rPr>
      </w:pPr>
      <w:r>
        <w:t xml:space="preserve">Berichte von Mitgliedern und Beobachtern </w:t>
      </w:r>
    </w:p>
    <w:p w:rsidR="009347C4" w:rsidRDefault="009347C4" w:rsidP="009347C4">
      <w:pPr>
        <w:numPr>
          <w:ilvl w:val="0"/>
          <w:numId w:val="21"/>
        </w:numPr>
        <w:tabs>
          <w:tab w:val="num" w:pos="1134"/>
          <w:tab w:val="num" w:pos="1494"/>
        </w:tabs>
        <w:spacing w:before="20" w:afterLines="20" w:after="48"/>
        <w:ind w:left="1494"/>
        <w:rPr>
          <w:rFonts w:cs="Arial"/>
        </w:rPr>
      </w:pPr>
      <w:r>
        <w:t>Berichte über Entwicklungen in der UPOV (mündlicher Bericht durch das Verbandsbüro)</w:t>
      </w:r>
    </w:p>
    <w:p w:rsidR="009347C4" w:rsidRDefault="009347C4" w:rsidP="009347C4">
      <w:pPr>
        <w:numPr>
          <w:ilvl w:val="0"/>
          <w:numId w:val="29"/>
        </w:numPr>
        <w:spacing w:before="20" w:afterLines="20" w:after="48"/>
        <w:ind w:left="1134" w:hanging="567"/>
        <w:rPr>
          <w:rFonts w:cs="Arial"/>
        </w:rPr>
      </w:pPr>
      <w:r>
        <w:t xml:space="preserve">Molekulare Verfahren </w:t>
      </w:r>
    </w:p>
    <w:p w:rsidR="009347C4" w:rsidRDefault="009347C4" w:rsidP="009347C4">
      <w:pPr>
        <w:pStyle w:val="ListParagraph"/>
        <w:numPr>
          <w:ilvl w:val="0"/>
          <w:numId w:val="30"/>
        </w:numPr>
        <w:spacing w:before="20" w:afterLines="20" w:after="48"/>
        <w:ind w:left="2214"/>
        <w:rPr>
          <w:rFonts w:cs="Arial"/>
        </w:rPr>
      </w:pPr>
      <w:r>
        <w:t>Entwicklungen in der UPOV (vom Verbandsbüro zu erstellendes Dokument)</w:t>
      </w:r>
    </w:p>
    <w:p w:rsidR="009347C4" w:rsidRDefault="009347C4" w:rsidP="009347C4">
      <w:pPr>
        <w:pStyle w:val="ListParagraph"/>
        <w:numPr>
          <w:ilvl w:val="0"/>
          <w:numId w:val="30"/>
        </w:numPr>
        <w:spacing w:before="20" w:afterLines="20" w:after="48"/>
        <w:ind w:left="2214"/>
        <w:rPr>
          <w:rFonts w:cs="Arial"/>
        </w:rPr>
      </w:pPr>
      <w:r>
        <w:rPr>
          <w:color w:val="000000"/>
        </w:rPr>
        <w:t>Referat über die Verwendung molekularer Verfahren bei der DUS-Prüfung (von den Niederlanden zu erstellendes Dokument und die Verbandsmitglieder werden um Referate gebeten)</w:t>
      </w:r>
    </w:p>
    <w:p w:rsidR="009347C4" w:rsidRDefault="009347C4" w:rsidP="009347C4">
      <w:pPr>
        <w:numPr>
          <w:ilvl w:val="0"/>
          <w:numId w:val="29"/>
        </w:numPr>
        <w:spacing w:before="20" w:afterLines="20" w:after="48"/>
        <w:ind w:left="1134" w:hanging="567"/>
        <w:rPr>
          <w:rFonts w:cs="Arial"/>
        </w:rPr>
      </w:pPr>
      <w:r>
        <w:t xml:space="preserve">TGP-Dokumente </w:t>
      </w:r>
    </w:p>
    <w:p w:rsidR="009347C4" w:rsidRDefault="009347C4" w:rsidP="009347C4">
      <w:pPr>
        <w:numPr>
          <w:ilvl w:val="0"/>
          <w:numId w:val="29"/>
        </w:numPr>
        <w:spacing w:before="20" w:afterLines="20" w:after="48"/>
        <w:ind w:left="1134" w:hanging="567"/>
        <w:rPr>
          <w:rFonts w:cs="Arial"/>
        </w:rPr>
      </w:pPr>
      <w:r>
        <w:rPr>
          <w:color w:val="000000"/>
        </w:rPr>
        <w:t>Referat über die Verwendung statistischer Ansätze bei der DUS-Prüfung (von den Niederlanden zu erstellendes Dokument und die Verbandsmitglieder werden um Referate gebeten)</w:t>
      </w:r>
    </w:p>
    <w:p w:rsidR="009347C4" w:rsidRDefault="009347C4" w:rsidP="009347C4">
      <w:pPr>
        <w:numPr>
          <w:ilvl w:val="0"/>
          <w:numId w:val="29"/>
        </w:numPr>
        <w:spacing w:before="20" w:afterLines="20" w:after="48"/>
        <w:ind w:left="1134" w:hanging="567"/>
        <w:rPr>
          <w:rFonts w:cs="Arial"/>
        </w:rPr>
      </w:pPr>
      <w:r>
        <w:t>Sortenbezeichnungen (vom Verbandsbüro zu erstellendes Dokument)</w:t>
      </w:r>
    </w:p>
    <w:p w:rsidR="009347C4" w:rsidRDefault="009347C4" w:rsidP="009347C4">
      <w:pPr>
        <w:numPr>
          <w:ilvl w:val="0"/>
          <w:numId w:val="29"/>
        </w:numPr>
        <w:spacing w:before="20" w:afterLines="20" w:after="48"/>
        <w:ind w:left="1134" w:hanging="567"/>
        <w:rPr>
          <w:rFonts w:cs="Arial"/>
        </w:rPr>
      </w:pPr>
      <w:r>
        <w:t>Informationen und Datenbanken</w:t>
      </w:r>
    </w:p>
    <w:p w:rsidR="009347C4" w:rsidRDefault="009347C4" w:rsidP="009347C4">
      <w:pPr>
        <w:spacing w:before="20" w:afterLines="20" w:after="48"/>
        <w:ind w:left="1584" w:hanging="450"/>
        <w:rPr>
          <w:rFonts w:cs="Arial"/>
        </w:rPr>
      </w:pPr>
      <w:r>
        <w:t>a)  UPOV-Informationsdatenbanken (vom Verbandsbüro zu erstellendes Dokument)</w:t>
      </w:r>
    </w:p>
    <w:p w:rsidR="009347C4" w:rsidRDefault="009347C4" w:rsidP="009347C4">
      <w:pPr>
        <w:spacing w:before="20" w:afterLines="20" w:after="48"/>
        <w:ind w:left="1584" w:hanging="450"/>
        <w:rPr>
          <w:rFonts w:cs="Arial"/>
        </w:rPr>
      </w:pPr>
      <w:r>
        <w:t>b)</w:t>
      </w:r>
      <w:r>
        <w:tab/>
        <w:t>Datenbanken für Sortenbeschreibungen (vom Verbandsbüro zu erstellendes Dokument und erbetene Dokumente)</w:t>
      </w:r>
    </w:p>
    <w:p w:rsidR="009347C4" w:rsidRDefault="009347C4" w:rsidP="009347C4">
      <w:pPr>
        <w:spacing w:before="20" w:afterLines="20" w:after="48"/>
        <w:ind w:left="1584" w:hanging="450"/>
        <w:rPr>
          <w:rFonts w:cs="Arial"/>
        </w:rPr>
      </w:pPr>
      <w:r>
        <w:t>c)  Austauschbare Software (vom Verbandsbüro zu erstellende Dokumente)</w:t>
      </w:r>
    </w:p>
    <w:p w:rsidR="009347C4" w:rsidRDefault="009347C4" w:rsidP="009347C4">
      <w:pPr>
        <w:spacing w:before="20" w:afterLines="20" w:after="48"/>
        <w:ind w:left="1584" w:hanging="450"/>
        <w:rPr>
          <w:rFonts w:cs="Arial"/>
        </w:rPr>
      </w:pPr>
      <w:r>
        <w:t>d)  Elektronische Systeme für die Einreichung von Anträgen (vom Verbandsbüro zu erstellendes Dokument)</w:t>
      </w:r>
    </w:p>
    <w:p w:rsidR="009347C4" w:rsidRDefault="009347C4" w:rsidP="009347C4">
      <w:pPr>
        <w:numPr>
          <w:ilvl w:val="0"/>
          <w:numId w:val="29"/>
        </w:numPr>
        <w:spacing w:before="20" w:afterLines="20" w:after="48"/>
        <w:ind w:left="1134" w:hanging="567"/>
        <w:rPr>
          <w:rFonts w:cs="Arial"/>
        </w:rPr>
      </w:pPr>
      <w:r>
        <w:t>Homogenitätsprüfung</w:t>
      </w:r>
    </w:p>
    <w:p w:rsidR="009347C4" w:rsidRDefault="009347C4" w:rsidP="009347C4">
      <w:pPr>
        <w:numPr>
          <w:ilvl w:val="0"/>
          <w:numId w:val="29"/>
        </w:numPr>
        <w:spacing w:before="20" w:afterLines="20" w:after="48"/>
        <w:ind w:left="1134" w:hanging="567"/>
        <w:rPr>
          <w:rFonts w:cs="Arial"/>
        </w:rPr>
      </w:pPr>
      <w:r>
        <w:rPr>
          <w:color w:val="000000"/>
        </w:rPr>
        <w:t>Referat über die Verwendung von Krankheitsresistenzmerkmalen bei der DUS-Prüfung (von der Europäischen Union zu erstellendes Dokument und die Verbandsmitglieder werden um Referate gebeten)</w:t>
      </w:r>
    </w:p>
    <w:p w:rsidR="009347C4" w:rsidRDefault="009347C4" w:rsidP="009347C4">
      <w:pPr>
        <w:numPr>
          <w:ilvl w:val="0"/>
          <w:numId w:val="29"/>
        </w:numPr>
        <w:spacing w:before="20" w:afterLines="20" w:after="48"/>
        <w:ind w:left="1134" w:hanging="567"/>
        <w:rPr>
          <w:rFonts w:cs="Arial"/>
        </w:rPr>
      </w:pPr>
      <w:r>
        <w:rPr>
          <w:color w:val="000000"/>
        </w:rPr>
        <w:t>Verwaltung von Vergleichssammlungen (von Frankreich zu erstellendes Dokument und die Verbandsmitglieder werden um Referate gebeten)</w:t>
      </w:r>
    </w:p>
    <w:p w:rsidR="009347C4" w:rsidRDefault="009347C4" w:rsidP="009347C4">
      <w:pPr>
        <w:numPr>
          <w:ilvl w:val="0"/>
          <w:numId w:val="29"/>
        </w:numPr>
        <w:spacing w:before="20" w:afterLines="20" w:after="48"/>
        <w:ind w:left="1134" w:hanging="567"/>
        <w:rPr>
          <w:rFonts w:cs="Arial"/>
        </w:rPr>
      </w:pPr>
      <w:r>
        <w:rPr>
          <w:color w:val="000000"/>
        </w:rPr>
        <w:t>Neue Fragen, die sich für die DUS-Prüfung ergeben (die Verbandsmitglieder werden um Referate gebeten)</w:t>
      </w:r>
    </w:p>
    <w:p w:rsidR="009347C4" w:rsidRDefault="009347C4" w:rsidP="009347C4">
      <w:pPr>
        <w:numPr>
          <w:ilvl w:val="0"/>
          <w:numId w:val="29"/>
        </w:numPr>
        <w:spacing w:before="20" w:afterLines="20" w:after="48"/>
        <w:ind w:left="1134" w:hanging="567"/>
        <w:jc w:val="left"/>
        <w:rPr>
          <w:rFonts w:cs="Arial"/>
        </w:rPr>
      </w:pPr>
      <w:r>
        <w:t>Angelegenheiten, die bezüglich der vom Technischen Ausschuß angenommenen Prüfungsrichtlinien zu bereinigen sind (sofern zweckmäßig)</w:t>
      </w:r>
    </w:p>
    <w:p w:rsidR="009347C4" w:rsidRDefault="009347C4" w:rsidP="009347C4">
      <w:pPr>
        <w:numPr>
          <w:ilvl w:val="0"/>
          <w:numId w:val="29"/>
        </w:numPr>
        <w:spacing w:before="20" w:afterLines="20" w:after="48"/>
        <w:ind w:left="1134" w:hanging="567"/>
        <w:rPr>
          <w:rFonts w:cs="Arial"/>
        </w:rPr>
      </w:pPr>
      <w:r>
        <w:t>Erörterung über Entwürfe von Prüfungsrichtlinien (Untergruppen)</w:t>
      </w:r>
    </w:p>
    <w:p w:rsidR="009347C4" w:rsidRDefault="009347C4" w:rsidP="009347C4">
      <w:pPr>
        <w:numPr>
          <w:ilvl w:val="0"/>
          <w:numId w:val="29"/>
        </w:numPr>
        <w:spacing w:before="20" w:afterLines="20" w:after="48"/>
        <w:ind w:left="1134" w:hanging="567"/>
        <w:rPr>
          <w:rFonts w:cs="Arial"/>
        </w:rPr>
      </w:pPr>
      <w:r>
        <w:t>Empfehlungen zu Entwürfen von Prüfungsrichtlinien</w:t>
      </w:r>
    </w:p>
    <w:p w:rsidR="009347C4" w:rsidRDefault="009347C4" w:rsidP="009347C4">
      <w:pPr>
        <w:numPr>
          <w:ilvl w:val="0"/>
          <w:numId w:val="29"/>
        </w:numPr>
        <w:spacing w:before="20" w:afterLines="20" w:after="48"/>
        <w:ind w:left="1134" w:hanging="567"/>
        <w:rPr>
          <w:rFonts w:cs="Arial"/>
        </w:rPr>
      </w:pPr>
      <w:r>
        <w:t>Anleitung für Verfasser von Prüfungsrichtlinien</w:t>
      </w:r>
    </w:p>
    <w:p w:rsidR="009347C4" w:rsidRDefault="009347C4" w:rsidP="009347C4">
      <w:pPr>
        <w:numPr>
          <w:ilvl w:val="0"/>
          <w:numId w:val="29"/>
        </w:numPr>
        <w:spacing w:before="20" w:afterLines="20" w:after="48"/>
        <w:ind w:left="1134" w:hanging="567"/>
        <w:rPr>
          <w:rFonts w:cs="Arial"/>
        </w:rPr>
      </w:pPr>
      <w:r>
        <w:t>Ort und Datum der nächsten Tagung</w:t>
      </w:r>
    </w:p>
    <w:p w:rsidR="009347C4" w:rsidRDefault="009347C4" w:rsidP="009347C4">
      <w:pPr>
        <w:numPr>
          <w:ilvl w:val="0"/>
          <w:numId w:val="29"/>
        </w:numPr>
        <w:spacing w:before="20" w:afterLines="20" w:after="48"/>
        <w:ind w:left="1134" w:hanging="567"/>
        <w:rPr>
          <w:rFonts w:cs="Arial"/>
        </w:rPr>
      </w:pPr>
      <w:r>
        <w:t>Künftiges Programm</w:t>
      </w:r>
    </w:p>
    <w:p w:rsidR="009347C4" w:rsidRDefault="009347C4" w:rsidP="009347C4">
      <w:pPr>
        <w:numPr>
          <w:ilvl w:val="0"/>
          <w:numId w:val="29"/>
        </w:numPr>
        <w:spacing w:before="20" w:afterLines="20" w:after="48"/>
        <w:ind w:left="1134" w:hanging="567"/>
        <w:rPr>
          <w:rFonts w:cs="Arial"/>
        </w:rPr>
      </w:pPr>
      <w:r>
        <w:t>Bericht über die T</w:t>
      </w:r>
      <w:r w:rsidR="00886894">
        <w:t>agung (sofern zeitlich möglich</w:t>
      </w:r>
      <w:r>
        <w:t>)</w:t>
      </w:r>
    </w:p>
    <w:p w:rsidR="009347C4" w:rsidRDefault="009347C4" w:rsidP="009347C4">
      <w:pPr>
        <w:numPr>
          <w:ilvl w:val="0"/>
          <w:numId w:val="29"/>
        </w:numPr>
        <w:spacing w:before="20" w:afterLines="20" w:after="48"/>
        <w:ind w:left="1134" w:hanging="567"/>
        <w:rPr>
          <w:rFonts w:cs="Arial"/>
        </w:rPr>
      </w:pPr>
      <w:r>
        <w:t>Schließung der Tagung</w:t>
      </w:r>
    </w:p>
    <w:p w:rsidR="009347C4" w:rsidRDefault="009347C4" w:rsidP="009347C4">
      <w:pPr>
        <w:jc w:val="left"/>
      </w:pPr>
    </w:p>
    <w:p w:rsidR="009347C4" w:rsidRDefault="009347C4" w:rsidP="009347C4"/>
    <w:p w:rsidR="009347C4" w:rsidRDefault="009347C4" w:rsidP="009347C4">
      <w:pPr>
        <w:pStyle w:val="Heading2"/>
      </w:pPr>
      <w:bookmarkStart w:id="231" w:name="_Toc393187190"/>
      <w:bookmarkStart w:id="232" w:name="_Toc395605418"/>
      <w:r>
        <w:t>Arbeitsgruppe für biochemische und molekulare Verfahren und insbesondere für DNS-Profilierungsverfahren (BMT)</w:t>
      </w:r>
      <w:bookmarkEnd w:id="231"/>
      <w:bookmarkEnd w:id="232"/>
    </w:p>
    <w:p w:rsidR="009347C4" w:rsidRDefault="009347C4" w:rsidP="009347C4"/>
    <w:p w:rsidR="009347C4" w:rsidRDefault="009347C4" w:rsidP="009347C4">
      <w:r>
        <w:fldChar w:fldCharType="begin"/>
      </w:r>
      <w:r>
        <w:instrText xml:space="preserve"> AUTONUM  </w:instrText>
      </w:r>
      <w:r>
        <w:fldChar w:fldCharType="end"/>
      </w:r>
      <w:r>
        <w:tab/>
        <w:t>Zwischen der neunundvierzigsten und der fünfzigsten Tagung des TC hat die BMT nicht getagt.</w:t>
      </w:r>
    </w:p>
    <w:p w:rsidR="009347C4" w:rsidRDefault="009347C4" w:rsidP="009347C4"/>
    <w:p w:rsidR="009347C4" w:rsidRDefault="009347C4" w:rsidP="009347C4">
      <w:pPr>
        <w:ind w:left="4820"/>
        <w:rPr>
          <w:rFonts w:cs="Arial"/>
          <w:i/>
        </w:rPr>
      </w:pPr>
      <w:r>
        <w:rPr>
          <w:rFonts w:cs="Arial"/>
          <w:i/>
        </w:rPr>
        <w:fldChar w:fldCharType="begin"/>
      </w:r>
      <w:r>
        <w:rPr>
          <w:rFonts w:cs="Arial"/>
          <w:i/>
        </w:rPr>
        <w:instrText xml:space="preserve"> AUTONUM  </w:instrText>
      </w:r>
      <w:r>
        <w:rPr>
          <w:rFonts w:cs="Arial"/>
          <w:i/>
        </w:rPr>
        <w:fldChar w:fldCharType="end"/>
      </w:r>
      <w:r>
        <w:tab/>
      </w:r>
      <w:r>
        <w:rPr>
          <w:i/>
        </w:rPr>
        <w:t>Der Rat wird ersucht,</w:t>
      </w:r>
    </w:p>
    <w:p w:rsidR="009347C4" w:rsidRDefault="009347C4" w:rsidP="009347C4">
      <w:pPr>
        <w:ind w:left="4820"/>
        <w:rPr>
          <w:rFonts w:cs="Arial"/>
          <w:i/>
        </w:rPr>
      </w:pPr>
    </w:p>
    <w:p w:rsidR="009347C4" w:rsidRDefault="009347C4" w:rsidP="009347C4">
      <w:pPr>
        <w:pStyle w:val="ListParagraph"/>
        <w:numPr>
          <w:ilvl w:val="0"/>
          <w:numId w:val="31"/>
        </w:numPr>
        <w:tabs>
          <w:tab w:val="left" w:pos="5954"/>
        </w:tabs>
        <w:ind w:left="4820" w:firstLine="567"/>
        <w:rPr>
          <w:rFonts w:cs="Arial"/>
          <w:i/>
        </w:rPr>
      </w:pPr>
      <w:r>
        <w:rPr>
          <w:i/>
        </w:rPr>
        <w:t>die Arbeit des TC und die dem TC berichtete Arbeit der TWP und BMT, wie in diesem Dokument dargelegt, zur Kenntnis zu nehmen; und</w:t>
      </w:r>
    </w:p>
    <w:p w:rsidR="009347C4" w:rsidRDefault="009347C4" w:rsidP="009347C4">
      <w:pPr>
        <w:pStyle w:val="ListParagraph"/>
        <w:tabs>
          <w:tab w:val="left" w:pos="5954"/>
        </w:tabs>
        <w:ind w:left="5387"/>
        <w:rPr>
          <w:rFonts w:cs="Arial"/>
          <w:i/>
        </w:rPr>
      </w:pPr>
    </w:p>
    <w:p w:rsidR="009347C4" w:rsidRDefault="009347C4" w:rsidP="009347C4">
      <w:pPr>
        <w:pStyle w:val="ListParagraph"/>
        <w:numPr>
          <w:ilvl w:val="0"/>
          <w:numId w:val="31"/>
        </w:numPr>
        <w:tabs>
          <w:tab w:val="left" w:pos="5954"/>
        </w:tabs>
        <w:ind w:left="4820" w:firstLine="567"/>
        <w:rPr>
          <w:rFonts w:cs="Arial"/>
          <w:i/>
        </w:rPr>
      </w:pPr>
      <w:r>
        <w:rPr>
          <w:i/>
        </w:rPr>
        <w:t>das Arbeitsprogramm des TC und die Arbeitsprogramme der TWP und BMT, wie in diesem Dokument dargelegt, zu billigen.</w:t>
      </w:r>
    </w:p>
    <w:p w:rsidR="00EA62E2" w:rsidRDefault="00EA62E2" w:rsidP="00EA62E2"/>
    <w:p w:rsidR="009C3464" w:rsidRDefault="009C3464" w:rsidP="00EA62E2">
      <w:bookmarkStart w:id="233" w:name="_GoBack"/>
      <w:bookmarkEnd w:id="233"/>
    </w:p>
    <w:p w:rsidR="00EA62E2" w:rsidRDefault="009347C4" w:rsidP="009106FD">
      <w:pPr>
        <w:jc w:val="right"/>
      </w:pPr>
      <w:r>
        <w:t>[Anlage folgt</w:t>
      </w:r>
      <w:r w:rsidR="00EA62E2">
        <w:t>]</w:t>
      </w:r>
    </w:p>
    <w:p w:rsidR="00EA62E2" w:rsidRDefault="00EA62E2" w:rsidP="00EA62E2">
      <w:pPr>
        <w:sectPr w:rsidR="00EA62E2" w:rsidSect="00906DDC">
          <w:headerReference w:type="default" r:id="rId11"/>
          <w:pgSz w:w="11907" w:h="16840" w:code="9"/>
          <w:pgMar w:top="510" w:right="1134" w:bottom="1134" w:left="1134" w:header="510" w:footer="680" w:gutter="0"/>
          <w:cols w:space="720"/>
          <w:titlePg/>
        </w:sectPr>
      </w:pPr>
    </w:p>
    <w:p w:rsidR="00EA62E2" w:rsidRDefault="00641B1A" w:rsidP="00EA62E2">
      <w:r w:rsidRPr="00641B1A">
        <w:rPr>
          <w:noProof/>
          <w:lang w:val="en-US" w:eastAsia="en-US" w:bidi="ar-SA"/>
        </w:rPr>
        <w:drawing>
          <wp:inline distT="0" distB="0" distL="0" distR="0" wp14:anchorId="7B893A1C" wp14:editId="5A8747F8">
            <wp:extent cx="9649460" cy="6103931"/>
            <wp:effectExtent l="0" t="0" r="889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49460" cy="6103931"/>
                    </a:xfrm>
                    <a:prstGeom prst="rect">
                      <a:avLst/>
                    </a:prstGeom>
                    <a:noFill/>
                    <a:ln>
                      <a:noFill/>
                    </a:ln>
                  </pic:spPr>
                </pic:pic>
              </a:graphicData>
            </a:graphic>
          </wp:inline>
        </w:drawing>
      </w:r>
    </w:p>
    <w:p w:rsidR="00EA62E2" w:rsidRDefault="00641B1A" w:rsidP="00EA62E2">
      <w:r w:rsidRPr="00641B1A">
        <w:rPr>
          <w:noProof/>
          <w:lang w:val="en-US" w:eastAsia="en-US" w:bidi="ar-SA"/>
        </w:rPr>
        <w:drawing>
          <wp:inline distT="0" distB="0" distL="0" distR="0" wp14:anchorId="03EF2DEC" wp14:editId="09C15CA7">
            <wp:extent cx="9649460" cy="4165240"/>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49460" cy="4165240"/>
                    </a:xfrm>
                    <a:prstGeom prst="rect">
                      <a:avLst/>
                    </a:prstGeom>
                    <a:noFill/>
                    <a:ln>
                      <a:noFill/>
                    </a:ln>
                  </pic:spPr>
                </pic:pic>
              </a:graphicData>
            </a:graphic>
          </wp:inline>
        </w:drawing>
      </w:r>
    </w:p>
    <w:p w:rsidR="00831CDA" w:rsidRDefault="00831CDA" w:rsidP="00EA62E2"/>
    <w:p w:rsidR="00831CDA" w:rsidRDefault="00831CDA" w:rsidP="00EA62E2"/>
    <w:p w:rsidR="00831CDA" w:rsidRPr="00EA62E2" w:rsidRDefault="00831CDA" w:rsidP="00EA62E2"/>
    <w:p w:rsidR="0067078A" w:rsidRDefault="00094D9C" w:rsidP="00641B1A">
      <w:pPr>
        <w:jc w:val="right"/>
      </w:pPr>
      <w:r>
        <w:t>[Ende der Anlage und des Dokuments</w:t>
      </w:r>
      <w:r w:rsidR="0061555F">
        <w:t>]</w:t>
      </w:r>
      <w:r w:rsidR="00641B1A">
        <w:t xml:space="preserve"> </w:t>
      </w:r>
    </w:p>
    <w:p w:rsidR="006B17D2" w:rsidRPr="00C5280D" w:rsidRDefault="006B17D2" w:rsidP="0067078A">
      <w:pPr>
        <w:jc w:val="left"/>
      </w:pPr>
    </w:p>
    <w:sectPr w:rsidR="006B17D2" w:rsidRPr="00C5280D" w:rsidSect="00831CDA">
      <w:headerReference w:type="default" r:id="rId14"/>
      <w:headerReference w:type="first" r:id="rId15"/>
      <w:footerReference w:type="first" r:id="rId1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5D9" w:rsidRDefault="00B975D9" w:rsidP="006655D3">
      <w:r>
        <w:separator/>
      </w:r>
    </w:p>
    <w:p w:rsidR="00B975D9" w:rsidRDefault="00B975D9" w:rsidP="006655D3"/>
    <w:p w:rsidR="00B975D9" w:rsidRDefault="00B975D9" w:rsidP="006655D3"/>
  </w:endnote>
  <w:endnote w:type="continuationSeparator" w:id="0">
    <w:p w:rsidR="00B975D9" w:rsidRDefault="00B975D9" w:rsidP="006655D3">
      <w:r>
        <w:separator/>
      </w:r>
    </w:p>
    <w:p w:rsidR="00B975D9" w:rsidRPr="00560A6D" w:rsidRDefault="00B975D9" w:rsidP="00831CDA">
      <w:pPr>
        <w:pStyle w:val="Footer"/>
        <w:rPr>
          <w:lang w:val="fr-FR"/>
        </w:rPr>
      </w:pPr>
      <w:r w:rsidRPr="00560A6D">
        <w:rPr>
          <w:lang w:val="fr-FR"/>
        </w:rPr>
        <w:t>[Suite de la note de la page précédente]</w:t>
      </w:r>
    </w:p>
    <w:p w:rsidR="00B975D9" w:rsidRPr="00560A6D" w:rsidRDefault="00B975D9" w:rsidP="006655D3">
      <w:pPr>
        <w:rPr>
          <w:lang w:val="fr-FR"/>
        </w:rPr>
      </w:pPr>
    </w:p>
    <w:p w:rsidR="00B975D9" w:rsidRPr="00560A6D" w:rsidRDefault="00B975D9" w:rsidP="006655D3">
      <w:pPr>
        <w:rPr>
          <w:lang w:val="fr-FR"/>
        </w:rPr>
      </w:pPr>
    </w:p>
  </w:endnote>
  <w:endnote w:type="continuationNotice" w:id="1">
    <w:p w:rsidR="00B975D9" w:rsidRPr="00560A6D" w:rsidRDefault="00B975D9" w:rsidP="006655D3">
      <w:pPr>
        <w:rPr>
          <w:lang w:val="fr-FR"/>
        </w:rPr>
      </w:pPr>
      <w:r w:rsidRPr="00560A6D">
        <w:rPr>
          <w:lang w:val="fr-FR"/>
        </w:rPr>
        <w:t>[Suite de la note page suivante]</w:t>
      </w:r>
    </w:p>
    <w:p w:rsidR="00B975D9" w:rsidRPr="00560A6D" w:rsidRDefault="00B975D9" w:rsidP="006655D3">
      <w:pPr>
        <w:rPr>
          <w:lang w:val="fr-FR"/>
        </w:rPr>
      </w:pPr>
    </w:p>
    <w:p w:rsidR="00B975D9" w:rsidRPr="00560A6D" w:rsidRDefault="00B975D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68" w:rsidRPr="00831CDA" w:rsidRDefault="00E02868" w:rsidP="00831CDA">
    <w:pPr>
      <w:pStyle w:val="Footer"/>
    </w:pPr>
    <w:r>
      <w:t>[Anhang folgt]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5D9" w:rsidRDefault="00B975D9" w:rsidP="00C95616">
      <w:pPr>
        <w:spacing w:before="120"/>
      </w:pPr>
      <w:r>
        <w:separator/>
      </w:r>
    </w:p>
  </w:footnote>
  <w:footnote w:type="continuationSeparator" w:id="0">
    <w:p w:rsidR="00B975D9" w:rsidRDefault="00B975D9" w:rsidP="006655D3">
      <w:r>
        <w:separator/>
      </w:r>
    </w:p>
  </w:footnote>
  <w:footnote w:type="continuationNotice" w:id="1">
    <w:p w:rsidR="00B975D9" w:rsidRPr="00A56FAA" w:rsidRDefault="00B975D9" w:rsidP="00831CDA">
      <w:pPr>
        <w:pStyle w:val="Footer"/>
      </w:pPr>
    </w:p>
  </w:footnote>
  <w:footnote w:id="2">
    <w:p w:rsidR="00E02868" w:rsidRDefault="00E02868" w:rsidP="009347C4">
      <w:pPr>
        <w:pStyle w:val="FootnoteText"/>
      </w:pPr>
      <w:r>
        <w:rPr>
          <w:rStyle w:val="FootnoteReference"/>
        </w:rPr>
        <w:footnoteRef/>
      </w:r>
      <w:r>
        <w:t xml:space="preserve"> Vorbehaltlich der Zustimmung durch die TWA auf ihrer zweiundvierzigsten Tagung.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68" w:rsidRPr="00C5280D" w:rsidRDefault="00E02868" w:rsidP="00EB048E">
    <w:pPr>
      <w:pStyle w:val="Header"/>
      <w:rPr>
        <w:rStyle w:val="PageNumber"/>
      </w:rPr>
    </w:pPr>
    <w:r>
      <w:rPr>
        <w:rStyle w:val="PageNumber"/>
      </w:rPr>
      <w:t>C/48/10</w:t>
    </w:r>
  </w:p>
  <w:p w:rsidR="00E02868" w:rsidRPr="00C5280D" w:rsidRDefault="00E02868"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5D2FEA">
      <w:rPr>
        <w:rStyle w:val="PageNumber"/>
        <w:noProof/>
      </w:rPr>
      <w:t>36</w:t>
    </w:r>
    <w:r w:rsidRPr="00C5280D">
      <w:rPr>
        <w:rStyle w:val="PageNumber"/>
      </w:rPr>
      <w:fldChar w:fldCharType="end"/>
    </w:r>
  </w:p>
  <w:p w:rsidR="00E02868" w:rsidRPr="00C5280D" w:rsidRDefault="00E0286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68" w:rsidRPr="00831CDA" w:rsidRDefault="00E02868" w:rsidP="00EB048E">
    <w:pPr>
      <w:pStyle w:val="Header"/>
      <w:rPr>
        <w:rStyle w:val="PageNumber"/>
        <w:caps/>
      </w:rPr>
    </w:pPr>
    <w:r>
      <w:rPr>
        <w:rStyle w:val="PageNumber"/>
        <w:caps/>
      </w:rPr>
      <w:t>C/48/10</w:t>
    </w:r>
  </w:p>
  <w:p w:rsidR="00E02868" w:rsidRPr="00831CDA" w:rsidRDefault="00E02868" w:rsidP="00EB048E">
    <w:pPr>
      <w:pStyle w:val="Header"/>
      <w:rPr>
        <w:caps/>
      </w:rPr>
    </w:pPr>
    <w:r>
      <w:rPr>
        <w:caps/>
      </w:rPr>
      <w:t>Anlage, Anhang</w:t>
    </w:r>
  </w:p>
  <w:p w:rsidR="00E02868" w:rsidRPr="00831CDA" w:rsidRDefault="00E02868" w:rsidP="00EB048E">
    <w:pPr>
      <w:pStyle w:val="Header"/>
      <w:rPr>
        <w:caps/>
      </w:rPr>
    </w:pPr>
    <w:r>
      <w:rPr>
        <w:caps/>
      </w:rPr>
      <w:t>PROGRAMM FÜR DIE ÜBERARBEITUNG VON DOKUMENT TGP/8</w:t>
    </w:r>
  </w:p>
  <w:p w:rsidR="00E02868" w:rsidRPr="00C5280D" w:rsidRDefault="00E02868"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68" w:rsidRDefault="00E02868">
    <w:pPr>
      <w:pStyle w:val="Header"/>
    </w:pPr>
    <w:r>
      <w:t>C/48/10</w:t>
    </w:r>
  </w:p>
  <w:p w:rsidR="00E02868" w:rsidRDefault="00E02868">
    <w:pPr>
      <w:pStyle w:val="Header"/>
    </w:pPr>
    <w:r>
      <w:t>ANLAGE</w:t>
    </w:r>
  </w:p>
  <w:p w:rsidR="00E02868" w:rsidRDefault="00E02868">
    <w:pPr>
      <w:pStyle w:val="Header"/>
    </w:pPr>
    <w:r>
      <w:t xml:space="preserve">PROGRAMM FÜR TGP-DOKUMENTE </w:t>
    </w:r>
  </w:p>
  <w:p w:rsidR="00E02868" w:rsidRPr="00831CDA" w:rsidRDefault="00E028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D544D"/>
    <w:multiLevelType w:val="hybridMultilevel"/>
    <w:tmpl w:val="1FCC3696"/>
    <w:lvl w:ilvl="0" w:tplc="04070017">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
    <w:nsid w:val="0689762A"/>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
    <w:nsid w:val="06B4570F"/>
    <w:multiLevelType w:val="hybridMultilevel"/>
    <w:tmpl w:val="EB8E2866"/>
    <w:lvl w:ilvl="0" w:tplc="04070017">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3">
    <w:nsid w:val="0FFB4888"/>
    <w:multiLevelType w:val="hybridMultilevel"/>
    <w:tmpl w:val="BCD4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7404A9"/>
    <w:multiLevelType w:val="hybridMultilevel"/>
    <w:tmpl w:val="4C6C24DC"/>
    <w:lvl w:ilvl="0" w:tplc="20C0E7D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200812BB"/>
    <w:multiLevelType w:val="hybridMultilevel"/>
    <w:tmpl w:val="9FFAD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4670F1"/>
    <w:multiLevelType w:val="hybridMultilevel"/>
    <w:tmpl w:val="2A546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152A2F"/>
    <w:multiLevelType w:val="singleLevel"/>
    <w:tmpl w:val="04070017"/>
    <w:lvl w:ilvl="0">
      <w:start w:val="1"/>
      <w:numFmt w:val="lowerLetter"/>
      <w:lvlText w:val="%1)"/>
      <w:lvlJc w:val="left"/>
      <w:pPr>
        <w:ind w:left="360" w:hanging="360"/>
      </w:pPr>
    </w:lvl>
  </w:abstractNum>
  <w:abstractNum w:abstractNumId="8">
    <w:nsid w:val="2C1143B0"/>
    <w:multiLevelType w:val="hybridMultilevel"/>
    <w:tmpl w:val="E07C78AE"/>
    <w:lvl w:ilvl="0" w:tplc="50B0EF54">
      <w:start w:val="1"/>
      <w:numFmt w:val="upperRoman"/>
      <w:pStyle w:val="Heading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03104F1"/>
    <w:multiLevelType w:val="hybridMultilevel"/>
    <w:tmpl w:val="9DAA3494"/>
    <w:lvl w:ilvl="0" w:tplc="178E0748">
      <w:start w:val="1"/>
      <w:numFmt w:val="lowerLetter"/>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34A4B9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1">
    <w:nsid w:val="34304B43"/>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426908F0"/>
    <w:multiLevelType w:val="hybridMultilevel"/>
    <w:tmpl w:val="D8723DBA"/>
    <w:lvl w:ilvl="0" w:tplc="0407001B">
      <w:start w:val="1"/>
      <w:numFmt w:val="lowerRoman"/>
      <w:lvlText w:val="%1."/>
      <w:lvlJc w:val="right"/>
      <w:pPr>
        <w:tabs>
          <w:tab w:val="num" w:pos="1854"/>
        </w:tabs>
        <w:ind w:left="1854" w:hanging="720"/>
      </w:pPr>
      <w:rPr>
        <w:rFonts w:hint="default"/>
        <w:i w:val="0"/>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13">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777821"/>
    <w:multiLevelType w:val="hybridMultilevel"/>
    <w:tmpl w:val="44A6EB50"/>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nsid w:val="4FD0192D"/>
    <w:multiLevelType w:val="hybridMultilevel"/>
    <w:tmpl w:val="5A9A3642"/>
    <w:lvl w:ilvl="0" w:tplc="0407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6">
    <w:nsid w:val="4FFA7CA3"/>
    <w:multiLevelType w:val="hybridMultilevel"/>
    <w:tmpl w:val="A3AECF96"/>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7">
    <w:nsid w:val="55C769DC"/>
    <w:multiLevelType w:val="hybridMultilevel"/>
    <w:tmpl w:val="3CD628DA"/>
    <w:lvl w:ilvl="0" w:tplc="290E460A">
      <w:start w:val="8"/>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nsid w:val="5DB3637C"/>
    <w:multiLevelType w:val="hybridMultilevel"/>
    <w:tmpl w:val="3774D2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5FC31741"/>
    <w:multiLevelType w:val="hybridMultilevel"/>
    <w:tmpl w:val="0A92BE7A"/>
    <w:lvl w:ilvl="0" w:tplc="92AA238C">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63B55E69"/>
    <w:multiLevelType w:val="hybridMultilevel"/>
    <w:tmpl w:val="A8007582"/>
    <w:lvl w:ilvl="0" w:tplc="68CE1F9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786B97"/>
    <w:multiLevelType w:val="hybridMultilevel"/>
    <w:tmpl w:val="9F0882F2"/>
    <w:lvl w:ilvl="0" w:tplc="ADB447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391E4D"/>
    <w:multiLevelType w:val="hybridMultilevel"/>
    <w:tmpl w:val="CA14D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6B7B2A"/>
    <w:multiLevelType w:val="hybridMultilevel"/>
    <w:tmpl w:val="0B5C4438"/>
    <w:lvl w:ilvl="0" w:tplc="E57089BA">
      <w:start w:val="1"/>
      <w:numFmt w:val="lowerRoman"/>
      <w:lvlText w:val="%1)"/>
      <w:lvlJc w:val="left"/>
      <w:pPr>
        <w:ind w:left="928" w:hanging="360"/>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77BA74FD"/>
    <w:multiLevelType w:val="hybridMultilevel"/>
    <w:tmpl w:val="B47816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9FF789D"/>
    <w:multiLevelType w:val="hybridMultilevel"/>
    <w:tmpl w:val="0B5C4438"/>
    <w:lvl w:ilvl="0" w:tplc="E57089BA">
      <w:start w:val="1"/>
      <w:numFmt w:val="lowerRoman"/>
      <w:lvlText w:val="%1)"/>
      <w:lvlJc w:val="left"/>
      <w:pPr>
        <w:ind w:left="928" w:hanging="360"/>
      </w:pPr>
      <w:rPr>
        <w:rFonts w:hint="default"/>
        <w:b w:val="0"/>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AD51284"/>
    <w:multiLevelType w:val="hybridMultilevel"/>
    <w:tmpl w:val="E94EF586"/>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0"/>
  </w:num>
  <w:num w:numId="2">
    <w:abstractNumId w:val="13"/>
  </w:num>
  <w:num w:numId="3">
    <w:abstractNumId w:val="22"/>
  </w:num>
  <w:num w:numId="4">
    <w:abstractNumId w:val="18"/>
  </w:num>
  <w:num w:numId="5">
    <w:abstractNumId w:val="24"/>
  </w:num>
  <w:num w:numId="6">
    <w:abstractNumId w:val="14"/>
  </w:num>
  <w:num w:numId="7">
    <w:abstractNumId w:val="26"/>
  </w:num>
  <w:num w:numId="8">
    <w:abstractNumId w:val="4"/>
  </w:num>
  <w:num w:numId="9">
    <w:abstractNumId w:val="19"/>
  </w:num>
  <w:num w:numId="10">
    <w:abstractNumId w:val="17"/>
  </w:num>
  <w:num w:numId="11">
    <w:abstractNumId w:val="3"/>
  </w:num>
  <w:num w:numId="12">
    <w:abstractNumId w:val="6"/>
  </w:num>
  <w:num w:numId="13">
    <w:abstractNumId w:val="21"/>
  </w:num>
  <w:num w:numId="14">
    <w:abstractNumId w:val="8"/>
  </w:num>
  <w:num w:numId="15">
    <w:abstractNumId w:val="10"/>
  </w:num>
  <w:num w:numId="16">
    <w:abstractNumId w:val="7"/>
  </w:num>
  <w:num w:numId="17">
    <w:abstractNumId w:val="2"/>
  </w:num>
  <w:num w:numId="18">
    <w:abstractNumId w:val="12"/>
  </w:num>
  <w:num w:numId="19">
    <w:abstractNumId w:val="11"/>
  </w:num>
  <w:num w:numId="20">
    <w:abstractNumId w:val="10"/>
    <w:lvlOverride w:ilvl="0">
      <w:startOverride w:val="1"/>
    </w:lvlOverride>
  </w:num>
  <w:num w:numId="21">
    <w:abstractNumId w:val="7"/>
    <w:lvlOverride w:ilvl="0">
      <w:startOverride w:val="1"/>
    </w:lvlOverride>
  </w:num>
  <w:num w:numId="22">
    <w:abstractNumId w:val="9"/>
  </w:num>
  <w:num w:numId="23">
    <w:abstractNumId w:val="15"/>
  </w:num>
  <w:num w:numId="24">
    <w:abstractNumId w:val="5"/>
  </w:num>
  <w:num w:numId="25">
    <w:abstractNumId w:val="1"/>
  </w:num>
  <w:num w:numId="26">
    <w:abstractNumId w:val="0"/>
  </w:num>
  <w:num w:numId="27">
    <w:abstractNumId w:val="16"/>
  </w:num>
  <w:num w:numId="28">
    <w:abstractNumId w:val="5"/>
  </w:num>
  <w:num w:numId="29">
    <w:abstractNumId w:val="1"/>
    <w:lvlOverride w:ilvl="0">
      <w:startOverride w:val="1"/>
    </w:lvlOverride>
  </w:num>
  <w:num w:numId="30">
    <w:abstractNumId w:val="15"/>
  </w:num>
  <w:num w:numId="31">
    <w:abstractNumId w:val="0"/>
  </w:num>
  <w:num w:numId="32">
    <w:abstractNumId w:val="23"/>
    <w:lvlOverride w:ilvl="0">
      <w:startOverride w:val="1"/>
    </w:lvlOverride>
  </w:num>
  <w:num w:numId="33">
    <w:abstractNumId w:val="25"/>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1BE"/>
    <w:rsid w:val="000010F6"/>
    <w:rsid w:val="00003CE7"/>
    <w:rsid w:val="00010CF3"/>
    <w:rsid w:val="00011E27"/>
    <w:rsid w:val="00013ABA"/>
    <w:rsid w:val="000148BC"/>
    <w:rsid w:val="00024AB8"/>
    <w:rsid w:val="00030854"/>
    <w:rsid w:val="00034E43"/>
    <w:rsid w:val="00036028"/>
    <w:rsid w:val="00040399"/>
    <w:rsid w:val="000442EB"/>
    <w:rsid w:val="00044642"/>
    <w:rsid w:val="000446B9"/>
    <w:rsid w:val="000459EF"/>
    <w:rsid w:val="00047E21"/>
    <w:rsid w:val="00057DD3"/>
    <w:rsid w:val="000614AC"/>
    <w:rsid w:val="00085505"/>
    <w:rsid w:val="0008596A"/>
    <w:rsid w:val="00087E0F"/>
    <w:rsid w:val="00094D9C"/>
    <w:rsid w:val="000A68B4"/>
    <w:rsid w:val="000B152D"/>
    <w:rsid w:val="000B68DB"/>
    <w:rsid w:val="000B7320"/>
    <w:rsid w:val="000B77F5"/>
    <w:rsid w:val="000C7021"/>
    <w:rsid w:val="000D6BBC"/>
    <w:rsid w:val="000D7780"/>
    <w:rsid w:val="000F2FF2"/>
    <w:rsid w:val="000F5030"/>
    <w:rsid w:val="00105929"/>
    <w:rsid w:val="001131D5"/>
    <w:rsid w:val="0011365B"/>
    <w:rsid w:val="0014099B"/>
    <w:rsid w:val="00141DB8"/>
    <w:rsid w:val="00141FDF"/>
    <w:rsid w:val="00142923"/>
    <w:rsid w:val="00165E38"/>
    <w:rsid w:val="0017474A"/>
    <w:rsid w:val="001758C6"/>
    <w:rsid w:val="00181A81"/>
    <w:rsid w:val="00182B99"/>
    <w:rsid w:val="001934B7"/>
    <w:rsid w:val="00196B60"/>
    <w:rsid w:val="00197676"/>
    <w:rsid w:val="001A0080"/>
    <w:rsid w:val="001A760D"/>
    <w:rsid w:val="001B2833"/>
    <w:rsid w:val="001C37EF"/>
    <w:rsid w:val="001E0CF9"/>
    <w:rsid w:val="0020070D"/>
    <w:rsid w:val="00203E05"/>
    <w:rsid w:val="0021332C"/>
    <w:rsid w:val="00213982"/>
    <w:rsid w:val="00214DB0"/>
    <w:rsid w:val="00214FC0"/>
    <w:rsid w:val="00241530"/>
    <w:rsid w:val="0024416D"/>
    <w:rsid w:val="0026515A"/>
    <w:rsid w:val="002679BC"/>
    <w:rsid w:val="002761BA"/>
    <w:rsid w:val="002800A0"/>
    <w:rsid w:val="002801B3"/>
    <w:rsid w:val="0028098F"/>
    <w:rsid w:val="00281060"/>
    <w:rsid w:val="00284C50"/>
    <w:rsid w:val="002940E8"/>
    <w:rsid w:val="002A0CCF"/>
    <w:rsid w:val="002A6DE6"/>
    <w:rsid w:val="002A6E50"/>
    <w:rsid w:val="002A76A0"/>
    <w:rsid w:val="002B5969"/>
    <w:rsid w:val="002C256A"/>
    <w:rsid w:val="002E07A5"/>
    <w:rsid w:val="003049FA"/>
    <w:rsid w:val="00305A7F"/>
    <w:rsid w:val="00315280"/>
    <w:rsid w:val="003152FE"/>
    <w:rsid w:val="00317B87"/>
    <w:rsid w:val="00327436"/>
    <w:rsid w:val="0033507D"/>
    <w:rsid w:val="0033722E"/>
    <w:rsid w:val="00344BD6"/>
    <w:rsid w:val="0035528D"/>
    <w:rsid w:val="00361821"/>
    <w:rsid w:val="0037690B"/>
    <w:rsid w:val="00381894"/>
    <w:rsid w:val="00387275"/>
    <w:rsid w:val="003A7B1C"/>
    <w:rsid w:val="003C10A1"/>
    <w:rsid w:val="003C3EBD"/>
    <w:rsid w:val="003D227C"/>
    <w:rsid w:val="003D2B4D"/>
    <w:rsid w:val="003D3585"/>
    <w:rsid w:val="003E322A"/>
    <w:rsid w:val="003E5A9B"/>
    <w:rsid w:val="003F0D1C"/>
    <w:rsid w:val="003F24AC"/>
    <w:rsid w:val="00440A65"/>
    <w:rsid w:val="00444A88"/>
    <w:rsid w:val="00447E43"/>
    <w:rsid w:val="004506E2"/>
    <w:rsid w:val="00452BE7"/>
    <w:rsid w:val="00466260"/>
    <w:rsid w:val="004718FE"/>
    <w:rsid w:val="00474DA4"/>
    <w:rsid w:val="00476B4D"/>
    <w:rsid w:val="004805FA"/>
    <w:rsid w:val="00483B7D"/>
    <w:rsid w:val="0049556A"/>
    <w:rsid w:val="004A308C"/>
    <w:rsid w:val="004D047D"/>
    <w:rsid w:val="004D6191"/>
    <w:rsid w:val="004F201B"/>
    <w:rsid w:val="004F305A"/>
    <w:rsid w:val="0051068B"/>
    <w:rsid w:val="00511921"/>
    <w:rsid w:val="00512164"/>
    <w:rsid w:val="005135BF"/>
    <w:rsid w:val="00520297"/>
    <w:rsid w:val="00531DDF"/>
    <w:rsid w:val="005338F9"/>
    <w:rsid w:val="005339C5"/>
    <w:rsid w:val="0054281C"/>
    <w:rsid w:val="005449C0"/>
    <w:rsid w:val="00551BBE"/>
    <w:rsid w:val="0055268D"/>
    <w:rsid w:val="00560A6D"/>
    <w:rsid w:val="005718D6"/>
    <w:rsid w:val="00576BE4"/>
    <w:rsid w:val="00577580"/>
    <w:rsid w:val="00577E4E"/>
    <w:rsid w:val="00591F43"/>
    <w:rsid w:val="005A078C"/>
    <w:rsid w:val="005A2989"/>
    <w:rsid w:val="005A400A"/>
    <w:rsid w:val="005D2FEA"/>
    <w:rsid w:val="005D7800"/>
    <w:rsid w:val="005F05B6"/>
    <w:rsid w:val="00612379"/>
    <w:rsid w:val="0061370A"/>
    <w:rsid w:val="0061429E"/>
    <w:rsid w:val="0061555F"/>
    <w:rsid w:val="00622FAA"/>
    <w:rsid w:val="006355E3"/>
    <w:rsid w:val="00641200"/>
    <w:rsid w:val="00641B1A"/>
    <w:rsid w:val="00646D77"/>
    <w:rsid w:val="00652C57"/>
    <w:rsid w:val="00663239"/>
    <w:rsid w:val="006655D3"/>
    <w:rsid w:val="0067078A"/>
    <w:rsid w:val="0067227F"/>
    <w:rsid w:val="00675DC0"/>
    <w:rsid w:val="006777DC"/>
    <w:rsid w:val="006826D1"/>
    <w:rsid w:val="006867FB"/>
    <w:rsid w:val="00687EB4"/>
    <w:rsid w:val="006A59CE"/>
    <w:rsid w:val="006A6657"/>
    <w:rsid w:val="006A67A7"/>
    <w:rsid w:val="006B17D2"/>
    <w:rsid w:val="006B3AA5"/>
    <w:rsid w:val="006B489B"/>
    <w:rsid w:val="006B5CC1"/>
    <w:rsid w:val="006C224E"/>
    <w:rsid w:val="006D7458"/>
    <w:rsid w:val="006D780A"/>
    <w:rsid w:val="006F0A60"/>
    <w:rsid w:val="00715075"/>
    <w:rsid w:val="00730366"/>
    <w:rsid w:val="00732974"/>
    <w:rsid w:val="00732DEC"/>
    <w:rsid w:val="00735BD5"/>
    <w:rsid w:val="00741235"/>
    <w:rsid w:val="00743470"/>
    <w:rsid w:val="007556F6"/>
    <w:rsid w:val="00760EEF"/>
    <w:rsid w:val="00764DB0"/>
    <w:rsid w:val="0077395B"/>
    <w:rsid w:val="00774BB8"/>
    <w:rsid w:val="007778DE"/>
    <w:rsid w:val="00777EE5"/>
    <w:rsid w:val="00784836"/>
    <w:rsid w:val="00785424"/>
    <w:rsid w:val="0079023E"/>
    <w:rsid w:val="007A2854"/>
    <w:rsid w:val="007B3CA1"/>
    <w:rsid w:val="007B5A4C"/>
    <w:rsid w:val="007C48DB"/>
    <w:rsid w:val="007D0B9D"/>
    <w:rsid w:val="007D19B0"/>
    <w:rsid w:val="007D6260"/>
    <w:rsid w:val="007E04C3"/>
    <w:rsid w:val="007E1EF5"/>
    <w:rsid w:val="007E4DF1"/>
    <w:rsid w:val="007F498F"/>
    <w:rsid w:val="0080679D"/>
    <w:rsid w:val="008105A7"/>
    <w:rsid w:val="008108B0"/>
    <w:rsid w:val="00811B20"/>
    <w:rsid w:val="008205FC"/>
    <w:rsid w:val="008227D3"/>
    <w:rsid w:val="0082296E"/>
    <w:rsid w:val="00823D15"/>
    <w:rsid w:val="00824099"/>
    <w:rsid w:val="00824FFC"/>
    <w:rsid w:val="00825505"/>
    <w:rsid w:val="0083179D"/>
    <w:rsid w:val="00831CDA"/>
    <w:rsid w:val="008323A3"/>
    <w:rsid w:val="00835A9C"/>
    <w:rsid w:val="00844F74"/>
    <w:rsid w:val="00867AC1"/>
    <w:rsid w:val="00874770"/>
    <w:rsid w:val="00876F85"/>
    <w:rsid w:val="00881FA8"/>
    <w:rsid w:val="00886894"/>
    <w:rsid w:val="00892F72"/>
    <w:rsid w:val="008A3C6D"/>
    <w:rsid w:val="008A4150"/>
    <w:rsid w:val="008A743F"/>
    <w:rsid w:val="008C0970"/>
    <w:rsid w:val="008C3E38"/>
    <w:rsid w:val="008C53E4"/>
    <w:rsid w:val="008D2CF7"/>
    <w:rsid w:val="008F206B"/>
    <w:rsid w:val="008F3925"/>
    <w:rsid w:val="00900C26"/>
    <w:rsid w:val="0090197F"/>
    <w:rsid w:val="00901A3F"/>
    <w:rsid w:val="00906DDC"/>
    <w:rsid w:val="009106FD"/>
    <w:rsid w:val="009316C4"/>
    <w:rsid w:val="009347C4"/>
    <w:rsid w:val="00934E09"/>
    <w:rsid w:val="00936253"/>
    <w:rsid w:val="00947760"/>
    <w:rsid w:val="00952DD4"/>
    <w:rsid w:val="009569B4"/>
    <w:rsid w:val="00970FED"/>
    <w:rsid w:val="00993826"/>
    <w:rsid w:val="00997029"/>
    <w:rsid w:val="009C0A08"/>
    <w:rsid w:val="009C2B3F"/>
    <w:rsid w:val="009C3464"/>
    <w:rsid w:val="009D18BA"/>
    <w:rsid w:val="009D690D"/>
    <w:rsid w:val="009E65B6"/>
    <w:rsid w:val="009F7D0F"/>
    <w:rsid w:val="00A0479A"/>
    <w:rsid w:val="00A04D94"/>
    <w:rsid w:val="00A3567B"/>
    <w:rsid w:val="00A42AC3"/>
    <w:rsid w:val="00A430CF"/>
    <w:rsid w:val="00A470FB"/>
    <w:rsid w:val="00A47596"/>
    <w:rsid w:val="00A54309"/>
    <w:rsid w:val="00A54C13"/>
    <w:rsid w:val="00A56FAA"/>
    <w:rsid w:val="00A639A2"/>
    <w:rsid w:val="00A83DD7"/>
    <w:rsid w:val="00A9712E"/>
    <w:rsid w:val="00AA601A"/>
    <w:rsid w:val="00AB2B93"/>
    <w:rsid w:val="00AB73F6"/>
    <w:rsid w:val="00AB7E5B"/>
    <w:rsid w:val="00AC5D8F"/>
    <w:rsid w:val="00AD2A42"/>
    <w:rsid w:val="00AD61DD"/>
    <w:rsid w:val="00AD678E"/>
    <w:rsid w:val="00AE0EF1"/>
    <w:rsid w:val="00AE2937"/>
    <w:rsid w:val="00B07301"/>
    <w:rsid w:val="00B158EC"/>
    <w:rsid w:val="00B20C85"/>
    <w:rsid w:val="00B224DE"/>
    <w:rsid w:val="00B31FA0"/>
    <w:rsid w:val="00B46575"/>
    <w:rsid w:val="00B4666D"/>
    <w:rsid w:val="00B6231A"/>
    <w:rsid w:val="00B71517"/>
    <w:rsid w:val="00B73E0B"/>
    <w:rsid w:val="00B84BBD"/>
    <w:rsid w:val="00B922DC"/>
    <w:rsid w:val="00B975D9"/>
    <w:rsid w:val="00BA43FB"/>
    <w:rsid w:val="00BC127D"/>
    <w:rsid w:val="00BC1FE6"/>
    <w:rsid w:val="00BE4264"/>
    <w:rsid w:val="00BF70F1"/>
    <w:rsid w:val="00C061B6"/>
    <w:rsid w:val="00C07445"/>
    <w:rsid w:val="00C12FE3"/>
    <w:rsid w:val="00C14DFB"/>
    <w:rsid w:val="00C21DFE"/>
    <w:rsid w:val="00C2446C"/>
    <w:rsid w:val="00C32CC0"/>
    <w:rsid w:val="00C36AE5"/>
    <w:rsid w:val="00C41F17"/>
    <w:rsid w:val="00C431BE"/>
    <w:rsid w:val="00C4342D"/>
    <w:rsid w:val="00C51D44"/>
    <w:rsid w:val="00C5280D"/>
    <w:rsid w:val="00C53119"/>
    <w:rsid w:val="00C54D74"/>
    <w:rsid w:val="00C5791C"/>
    <w:rsid w:val="00C651CE"/>
    <w:rsid w:val="00C66290"/>
    <w:rsid w:val="00C72B7A"/>
    <w:rsid w:val="00C762EC"/>
    <w:rsid w:val="00C95616"/>
    <w:rsid w:val="00C973F2"/>
    <w:rsid w:val="00CA304C"/>
    <w:rsid w:val="00CA3725"/>
    <w:rsid w:val="00CA774A"/>
    <w:rsid w:val="00CC11B0"/>
    <w:rsid w:val="00CF7E36"/>
    <w:rsid w:val="00D036AE"/>
    <w:rsid w:val="00D2172C"/>
    <w:rsid w:val="00D3708D"/>
    <w:rsid w:val="00D40426"/>
    <w:rsid w:val="00D44C69"/>
    <w:rsid w:val="00D57C96"/>
    <w:rsid w:val="00D823C0"/>
    <w:rsid w:val="00D91203"/>
    <w:rsid w:val="00D95174"/>
    <w:rsid w:val="00DA6F36"/>
    <w:rsid w:val="00DA7E69"/>
    <w:rsid w:val="00DB0501"/>
    <w:rsid w:val="00DB596E"/>
    <w:rsid w:val="00DB67B7"/>
    <w:rsid w:val="00DB715A"/>
    <w:rsid w:val="00DC00EA"/>
    <w:rsid w:val="00DD3F9A"/>
    <w:rsid w:val="00E02868"/>
    <w:rsid w:val="00E22E12"/>
    <w:rsid w:val="00E24738"/>
    <w:rsid w:val="00E32F7E"/>
    <w:rsid w:val="00E51D87"/>
    <w:rsid w:val="00E72D49"/>
    <w:rsid w:val="00E7593C"/>
    <w:rsid w:val="00E7678A"/>
    <w:rsid w:val="00E935F1"/>
    <w:rsid w:val="00E94695"/>
    <w:rsid w:val="00E94A81"/>
    <w:rsid w:val="00EA1FFB"/>
    <w:rsid w:val="00EA3752"/>
    <w:rsid w:val="00EA62E2"/>
    <w:rsid w:val="00EB048E"/>
    <w:rsid w:val="00EB665C"/>
    <w:rsid w:val="00EE0613"/>
    <w:rsid w:val="00EE34DF"/>
    <w:rsid w:val="00EF2298"/>
    <w:rsid w:val="00EF2F89"/>
    <w:rsid w:val="00F02BB4"/>
    <w:rsid w:val="00F046AC"/>
    <w:rsid w:val="00F10D5A"/>
    <w:rsid w:val="00F1237A"/>
    <w:rsid w:val="00F22CBD"/>
    <w:rsid w:val="00F45372"/>
    <w:rsid w:val="00F55EB2"/>
    <w:rsid w:val="00F560F7"/>
    <w:rsid w:val="00F56C99"/>
    <w:rsid w:val="00F6334D"/>
    <w:rsid w:val="00F80602"/>
    <w:rsid w:val="00F94439"/>
    <w:rsid w:val="00FA49AB"/>
    <w:rsid w:val="00FC0E42"/>
    <w:rsid w:val="00FD394F"/>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5D2FEA"/>
    <w:pPr>
      <w:keepNext/>
      <w:numPr>
        <w:numId w:val="14"/>
      </w:numPr>
      <w:ind w:left="567" w:hanging="578"/>
      <w:jc w:val="both"/>
      <w:outlineLvl w:val="0"/>
    </w:pPr>
    <w:rPr>
      <w:rFonts w:ascii="Arial" w:hAnsi="Arial"/>
      <w:caps/>
    </w:rPr>
  </w:style>
  <w:style w:type="paragraph" w:styleId="Heading2">
    <w:name w:val="heading 2"/>
    <w:next w:val="Normal"/>
    <w:link w:val="Heading2Char"/>
    <w:autoRedefine/>
    <w:qFormat/>
    <w:rsid w:val="00034E43"/>
    <w:pPr>
      <w:keepNext/>
      <w:jc w:val="both"/>
      <w:outlineLvl w:val="1"/>
    </w:pPr>
    <w:rPr>
      <w:rFonts w:ascii="Arial" w:hAnsi="Arial"/>
      <w:u w:val="single"/>
    </w:rPr>
  </w:style>
  <w:style w:type="paragraph" w:styleId="Heading3">
    <w:name w:val="heading 3"/>
    <w:next w:val="Normal"/>
    <w:link w:val="Heading3Char"/>
    <w:autoRedefine/>
    <w:qFormat/>
    <w:rsid w:val="00764DB0"/>
    <w:pPr>
      <w:keepNext/>
      <w:jc w:val="both"/>
      <w:outlineLvl w:val="2"/>
    </w:pPr>
    <w:rPr>
      <w:rFonts w:ascii="Arial" w:hAnsi="Arial"/>
      <w:i/>
      <w:snapToGrid w:val="0"/>
      <w:lang w:eastAsia="en-US" w:bidi="ar-SA"/>
    </w:rPr>
  </w:style>
  <w:style w:type="paragraph" w:styleId="Heading4">
    <w:name w:val="heading 4"/>
    <w:next w:val="Normal"/>
    <w:link w:val="Heading4Char"/>
    <w:autoRedefine/>
    <w:qFormat/>
    <w:rsid w:val="00EE0613"/>
    <w:pPr>
      <w:keepNext/>
      <w:ind w:left="567"/>
      <w:jc w:val="both"/>
      <w:outlineLvl w:val="3"/>
    </w:pPr>
    <w:rPr>
      <w:rFonts w:ascii="Arial" w:hAnsi="Arial"/>
      <w:i/>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F046AC"/>
    <w:pPr>
      <w:outlineLvl w:val="5"/>
    </w:pPr>
  </w:style>
  <w:style w:type="paragraph" w:styleId="Heading7">
    <w:name w:val="heading 7"/>
    <w:basedOn w:val="Normal"/>
    <w:next w:val="Normal"/>
    <w:link w:val="Heading7Char"/>
    <w:qFormat/>
    <w:rsid w:val="00F046AC"/>
    <w:pPr>
      <w:spacing w:before="240" w:after="60"/>
      <w:outlineLvl w:val="6"/>
    </w:pPr>
    <w:rPr>
      <w:szCs w:val="24"/>
    </w:rPr>
  </w:style>
  <w:style w:type="paragraph" w:styleId="Heading8">
    <w:name w:val="heading 8"/>
    <w:basedOn w:val="Normal"/>
    <w:next w:val="Normal"/>
    <w:link w:val="Heading8Char"/>
    <w:qFormat/>
    <w:rsid w:val="00F046AC"/>
    <w:pPr>
      <w:keepNext/>
      <w:jc w:val="center"/>
      <w:outlineLvl w:val="7"/>
    </w:pPr>
    <w:rPr>
      <w:u w:val="singl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34E43"/>
    <w:rPr>
      <w:rFonts w:ascii="Arial" w:hAnsi="Arial"/>
      <w:u w:val="single"/>
    </w:rPr>
  </w:style>
  <w:style w:type="character" w:customStyle="1" w:styleId="Heading3Char">
    <w:name w:val="Heading 3 Char"/>
    <w:link w:val="Heading3"/>
    <w:locked/>
    <w:rsid w:val="00764DB0"/>
    <w:rPr>
      <w:rFonts w:ascii="Arial" w:hAnsi="Arial"/>
      <w:i/>
      <w:snapToGrid w:val="0"/>
      <w:lang w:eastAsia="en-US" w:bidi="ar-SA"/>
    </w:rPr>
  </w:style>
  <w:style w:type="character" w:customStyle="1" w:styleId="Heading4Char">
    <w:name w:val="Heading 4 Char"/>
    <w:link w:val="Heading4"/>
    <w:rsid w:val="00EE0613"/>
    <w:rPr>
      <w:rFonts w:ascii="Arial" w:hAnsi="Arial"/>
      <w:i/>
    </w:rPr>
  </w:style>
  <w:style w:type="character" w:customStyle="1" w:styleId="Heading5Char">
    <w:name w:val="Heading 5 Char"/>
    <w:link w:val="Heading5"/>
    <w:rsid w:val="00F046AC"/>
    <w:rPr>
      <w:rFonts w:ascii="Arial" w:hAnsi="Arial"/>
      <w:sz w:val="18"/>
      <w:szCs w:val="18"/>
    </w:rPr>
  </w:style>
  <w:style w:type="character" w:customStyle="1" w:styleId="Heading6Char">
    <w:name w:val="Heading 6 Char"/>
    <w:basedOn w:val="DefaultParagraphFont"/>
    <w:link w:val="Heading6"/>
    <w:rsid w:val="00F046AC"/>
    <w:rPr>
      <w:rFonts w:ascii="Arial" w:hAnsi="Arial"/>
      <w:lang w:val="de-DE"/>
    </w:rPr>
  </w:style>
  <w:style w:type="character" w:customStyle="1" w:styleId="Heading7Char">
    <w:name w:val="Heading 7 Char"/>
    <w:basedOn w:val="DefaultParagraphFont"/>
    <w:link w:val="Heading7"/>
    <w:rsid w:val="00F046AC"/>
    <w:rPr>
      <w:rFonts w:ascii="Arial" w:hAnsi="Arial"/>
      <w:szCs w:val="24"/>
    </w:rPr>
  </w:style>
  <w:style w:type="character" w:customStyle="1" w:styleId="Heading8Char">
    <w:name w:val="Heading 8 Char"/>
    <w:basedOn w:val="DefaultParagraphFont"/>
    <w:link w:val="Heading8"/>
    <w:rsid w:val="00F046AC"/>
    <w:rPr>
      <w:rFonts w:ascii="Arial" w:hAnsi="Arial"/>
      <w:u w:val="single"/>
    </w:rPr>
  </w:style>
  <w:style w:type="paragraph" w:styleId="Header">
    <w:name w:val="header"/>
    <w:link w:val="HeaderChar"/>
    <w:autoRedefine/>
    <w:uiPriority w:val="99"/>
    <w:rsid w:val="0033507D"/>
    <w:pPr>
      <w:tabs>
        <w:tab w:val="center" w:pos="4536"/>
        <w:tab w:val="right" w:pos="9072"/>
      </w:tabs>
      <w:jc w:val="center"/>
    </w:pPr>
    <w:rPr>
      <w:rFonts w:ascii="Arial" w:hAnsi="Arial"/>
    </w:rPr>
  </w:style>
  <w:style w:type="character" w:customStyle="1" w:styleId="HeaderChar">
    <w:name w:val="Header Char"/>
    <w:basedOn w:val="DefaultParagraphFont"/>
    <w:link w:val="Header"/>
    <w:uiPriority w:val="99"/>
    <w:rsid w:val="00F046AC"/>
    <w:rPr>
      <w:rFonts w:ascii="Arial" w:hAnsi="Arial"/>
      <w:lang w:val="de-DE"/>
    </w:rPr>
  </w:style>
  <w:style w:type="paragraph" w:styleId="Footer">
    <w:name w:val="footer"/>
    <w:aliases w:val="doc_path_name"/>
    <w:link w:val="FooterChar"/>
    <w:autoRedefine/>
    <w:rsid w:val="00831CDA"/>
    <w:pPr>
      <w:jc w:val="right"/>
    </w:pPr>
    <w:rPr>
      <w:rFonts w:ascii="Arial" w:hAnsi="Arial"/>
      <w:sz w:val="22"/>
    </w:rPr>
  </w:style>
  <w:style w:type="character" w:customStyle="1" w:styleId="FooterChar">
    <w:name w:val="Footer Char"/>
    <w:aliases w:val="doc_path_name Char"/>
    <w:link w:val="Footer"/>
    <w:rsid w:val="00831CDA"/>
    <w:rPr>
      <w:rFonts w:ascii="Arial" w:hAnsi="Arial"/>
      <w:sz w:val="22"/>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paragraph" w:customStyle="1" w:styleId="DecisionParagraphs">
    <w:name w:val="DecisionParagraphs"/>
    <w:basedOn w:val="Normal"/>
    <w:link w:val="DecisionParagraphsChar"/>
    <w:qFormat/>
    <w:rsid w:val="0033507D"/>
    <w:pPr>
      <w:tabs>
        <w:tab w:val="left" w:pos="5387"/>
      </w:tabs>
      <w:ind w:left="4820"/>
    </w:pPr>
    <w:rPr>
      <w:i/>
    </w:rPr>
  </w:style>
  <w:style w:type="character" w:customStyle="1" w:styleId="DecisionParagraphsChar">
    <w:name w:val="DecisionParagraphs Char"/>
    <w:link w:val="DecisionParagraphs"/>
    <w:rsid w:val="00F046AC"/>
    <w:rPr>
      <w:rFonts w:ascii="Arial" w:hAnsi="Arial"/>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F046AC"/>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rsid w:val="0033507D"/>
  </w:style>
  <w:style w:type="character" w:customStyle="1" w:styleId="BodyTextChar">
    <w:name w:val="Body Text Char"/>
    <w:link w:val="BodyText"/>
    <w:locked/>
    <w:rsid w:val="00F046AC"/>
    <w:rPr>
      <w:rFonts w:ascii="Arial" w:hAnsi="Arial"/>
    </w:rPr>
  </w:style>
  <w:style w:type="paragraph" w:customStyle="1" w:styleId="StyleDocoriginalNotBold">
    <w:name w:val="Style Doc_original + Not Bold"/>
    <w:basedOn w:val="Docoriginal"/>
    <w:link w:val="StyleDocoriginalNotBoldChar"/>
    <w:autoRedefine/>
    <w:rsid w:val="0033507D"/>
    <w:pPr>
      <w:ind w:left="1589"/>
      <w:jc w:val="left"/>
    </w:p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33507D"/>
  </w:style>
  <w:style w:type="paragraph" w:styleId="EndnoteText">
    <w:name w:val="endnote text"/>
    <w:basedOn w:val="Normal"/>
    <w:rsid w:val="0033507D"/>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rsid w:val="0033507D"/>
    <w:pPr>
      <w:spacing w:before="60"/>
      <w:ind w:left="1276"/>
    </w:pPr>
    <w:rPr>
      <w:b/>
      <w:sz w:val="22"/>
    </w:rPr>
  </w:style>
  <w:style w:type="paragraph" w:styleId="Date">
    <w:name w:val="Date"/>
    <w:basedOn w:val="Normal"/>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character" w:customStyle="1" w:styleId="plcountryChar">
    <w:name w:val="plcountry Char"/>
    <w:link w:val="plcountry"/>
    <w:rsid w:val="00F046AC"/>
    <w:rPr>
      <w:rFonts w:ascii="Arial" w:hAnsi="Arial"/>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character" w:customStyle="1" w:styleId="pldetailsChar">
    <w:name w:val="pldetails Char"/>
    <w:link w:val="pldetails"/>
    <w:rsid w:val="00F046AC"/>
    <w:rPr>
      <w:rFonts w:ascii="Arial" w:hAnsi="Arial"/>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paragraph" w:customStyle="1" w:styleId="endofdoc">
    <w:name w:val="end_of_doc"/>
    <w:autoRedefine/>
    <w:rsid w:val="0033507D"/>
    <w:pPr>
      <w:spacing w:before="480"/>
      <w:ind w:left="567" w:hanging="567"/>
      <w:jc w:val="right"/>
    </w:pPr>
    <w:rPr>
      <w:rFonts w:ascii="Arial" w:hAnsi="Arial"/>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uiPriority w:val="39"/>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rsid w:val="0033507D"/>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33507D"/>
    <w:pPr>
      <w:tabs>
        <w:tab w:val="right" w:leader="dot" w:pos="9639"/>
      </w:tabs>
      <w:ind w:left="284" w:right="284" w:hanging="284"/>
      <w:contextualSpacing/>
    </w:pPr>
    <w:rPr>
      <w:rFonts w:ascii="Arial" w:hAnsi="Arial"/>
      <w:caps/>
      <w:noProof/>
    </w:rPr>
  </w:style>
  <w:style w:type="paragraph" w:styleId="TOC5">
    <w:name w:val="toc 5"/>
    <w:next w:val="Normal"/>
    <w:autoRedefine/>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table" w:styleId="TableGrid">
    <w:name w:val="Table Grid"/>
    <w:basedOn w:val="TableNormal"/>
    <w:rsid w:val="00F046AC"/>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F046AC"/>
    <w:pPr>
      <w:tabs>
        <w:tab w:val="decimal" w:pos="907"/>
        <w:tab w:val="left" w:pos="1077"/>
      </w:tabs>
    </w:pPr>
    <w:rPr>
      <w:rFonts w:ascii="Times New Roman" w:eastAsia="MS Mincho" w:hAnsi="Times New Roman"/>
      <w:sz w:val="24"/>
    </w:rPr>
  </w:style>
  <w:style w:type="paragraph" w:customStyle="1" w:styleId="n">
    <w:name w:val="n"/>
    <w:basedOn w:val="Header"/>
    <w:rsid w:val="00F046AC"/>
    <w:rPr>
      <w:rFonts w:ascii="Times New Roman" w:hAnsi="Times New Roman"/>
      <w:sz w:val="24"/>
    </w:rPr>
  </w:style>
  <w:style w:type="paragraph" w:customStyle="1" w:styleId="Normalt">
    <w:name w:val="Normalt"/>
    <w:basedOn w:val="Normal"/>
    <w:rsid w:val="00F046AC"/>
    <w:pPr>
      <w:spacing w:before="120" w:after="120"/>
      <w:jc w:val="left"/>
    </w:pPr>
    <w:rPr>
      <w:rFonts w:ascii="Times New Roman" w:hAnsi="Times New Roman" w:cs="Angsana New"/>
      <w:noProof/>
    </w:rPr>
  </w:style>
  <w:style w:type="paragraph" w:customStyle="1" w:styleId="Normaltb">
    <w:name w:val="Normaltb"/>
    <w:basedOn w:val="Normalt"/>
    <w:rsid w:val="00F046AC"/>
    <w:pPr>
      <w:keepNext/>
    </w:pPr>
    <w:rPr>
      <w:b/>
      <w:bCs/>
    </w:rPr>
  </w:style>
  <w:style w:type="paragraph" w:styleId="NormalWeb">
    <w:name w:val="Normal (Web)"/>
    <w:basedOn w:val="Normal"/>
    <w:rsid w:val="00F046AC"/>
    <w:pPr>
      <w:spacing w:before="100" w:beforeAutospacing="1" w:after="100" w:afterAutospacing="1"/>
      <w:jc w:val="left"/>
    </w:pPr>
    <w:rPr>
      <w:szCs w:val="24"/>
    </w:rPr>
  </w:style>
  <w:style w:type="paragraph" w:customStyle="1" w:styleId="pdflink">
    <w:name w:val="pdflink"/>
    <w:basedOn w:val="Normal"/>
    <w:next w:val="Normal"/>
    <w:rsid w:val="00F046AC"/>
    <w:rPr>
      <w:color w:val="800000"/>
      <w:u w:val="words"/>
    </w:rPr>
  </w:style>
  <w:style w:type="paragraph" w:customStyle="1" w:styleId="Draft">
    <w:name w:val="Draft"/>
    <w:basedOn w:val="Normal"/>
    <w:next w:val="preparedby"/>
    <w:rsid w:val="00F046AC"/>
    <w:pPr>
      <w:spacing w:before="720" w:after="480"/>
      <w:jc w:val="center"/>
    </w:pPr>
    <w:rPr>
      <w:caps/>
      <w:sz w:val="28"/>
    </w:rPr>
  </w:style>
  <w:style w:type="paragraph" w:customStyle="1" w:styleId="tqparabox">
    <w:name w:val="tqparabox"/>
    <w:basedOn w:val="Normal"/>
    <w:rsid w:val="00F046AC"/>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F046AC"/>
    <w:pPr>
      <w:ind w:left="567"/>
    </w:pPr>
  </w:style>
  <w:style w:type="character" w:customStyle="1" w:styleId="BodyTextIndentChar">
    <w:name w:val="Body Text Indent Char"/>
    <w:basedOn w:val="DefaultParagraphFont"/>
    <w:link w:val="BodyTextIndent"/>
    <w:rsid w:val="00F046AC"/>
    <w:rPr>
      <w:rFonts w:ascii="Arial" w:hAnsi="Arial"/>
      <w:lang w:val="de-DE"/>
    </w:rPr>
  </w:style>
  <w:style w:type="paragraph" w:customStyle="1" w:styleId="twpcheck">
    <w:name w:val="twpcheck"/>
    <w:basedOn w:val="Normal"/>
    <w:rsid w:val="00F046AC"/>
    <w:pPr>
      <w:spacing w:before="80" w:after="80"/>
      <w:jc w:val="left"/>
    </w:pPr>
    <w:rPr>
      <w:rFonts w:cs="Arial"/>
      <w:snapToGrid w:val="0"/>
      <w:sz w:val="16"/>
      <w:szCs w:val="16"/>
    </w:rPr>
  </w:style>
  <w:style w:type="paragraph" w:customStyle="1" w:styleId="DecisionInvitingPara">
    <w:name w:val="Decision Inviting Para."/>
    <w:basedOn w:val="Normal"/>
    <w:rsid w:val="00F046AC"/>
    <w:pPr>
      <w:ind w:left="4536"/>
    </w:pPr>
    <w:rPr>
      <w:i/>
    </w:rPr>
  </w:style>
  <w:style w:type="paragraph" w:customStyle="1" w:styleId="Enttepair">
    <w:name w:val="Entête_pair"/>
    <w:basedOn w:val="Normal"/>
    <w:next w:val="Normal"/>
    <w:rsid w:val="00F046AC"/>
    <w:pPr>
      <w:pBdr>
        <w:bottom w:val="single" w:sz="4" w:space="1" w:color="auto"/>
      </w:pBdr>
      <w:jc w:val="left"/>
    </w:pPr>
    <w:rPr>
      <w:szCs w:val="24"/>
    </w:rPr>
  </w:style>
  <w:style w:type="paragraph" w:customStyle="1" w:styleId="Entteimpair">
    <w:name w:val="Entête_impair"/>
    <w:basedOn w:val="Normal"/>
    <w:next w:val="Normal"/>
    <w:rsid w:val="00F046AC"/>
    <w:pPr>
      <w:pBdr>
        <w:bottom w:val="single" w:sz="4" w:space="1" w:color="auto"/>
      </w:pBdr>
      <w:jc w:val="right"/>
    </w:pPr>
  </w:style>
  <w:style w:type="paragraph" w:styleId="ListBullet">
    <w:name w:val="List Bullet"/>
    <w:basedOn w:val="Normal"/>
    <w:autoRedefine/>
    <w:rsid w:val="00F046AC"/>
    <w:pPr>
      <w:tabs>
        <w:tab w:val="num" w:pos="360"/>
      </w:tabs>
      <w:ind w:left="360" w:hanging="360"/>
    </w:pPr>
    <w:rPr>
      <w:bCs/>
      <w:szCs w:val="24"/>
    </w:rPr>
  </w:style>
  <w:style w:type="character" w:styleId="FollowedHyperlink">
    <w:name w:val="FollowedHyperlink"/>
    <w:rsid w:val="00F046AC"/>
    <w:rPr>
      <w:color w:val="606420"/>
      <w:u w:val="single"/>
    </w:rPr>
  </w:style>
  <w:style w:type="paragraph" w:styleId="BlockText">
    <w:name w:val="Block Text"/>
    <w:basedOn w:val="Normal"/>
    <w:rsid w:val="00F046AC"/>
    <w:pPr>
      <w:ind w:left="567" w:right="566"/>
    </w:pPr>
    <w:rPr>
      <w:sz w:val="22"/>
    </w:rPr>
  </w:style>
  <w:style w:type="paragraph" w:styleId="CommentText">
    <w:name w:val="annotation text"/>
    <w:basedOn w:val="Normal"/>
    <w:link w:val="CommentTextChar"/>
    <w:uiPriority w:val="99"/>
    <w:rsid w:val="00F046AC"/>
    <w:rPr>
      <w:sz w:val="22"/>
    </w:rPr>
  </w:style>
  <w:style w:type="character" w:customStyle="1" w:styleId="CommentTextChar">
    <w:name w:val="Comment Text Char"/>
    <w:basedOn w:val="DefaultParagraphFont"/>
    <w:link w:val="CommentText"/>
    <w:uiPriority w:val="99"/>
    <w:rsid w:val="00F046AC"/>
    <w:rPr>
      <w:rFonts w:ascii="Arial" w:hAnsi="Arial"/>
      <w:sz w:val="22"/>
      <w:lang w:val="de-DE"/>
    </w:rPr>
  </w:style>
  <w:style w:type="paragraph" w:customStyle="1" w:styleId="Committee">
    <w:name w:val="Committee"/>
    <w:basedOn w:val="Title"/>
    <w:rsid w:val="00F046AC"/>
    <w:rPr>
      <w:caps w:val="0"/>
    </w:rPr>
  </w:style>
  <w:style w:type="paragraph" w:customStyle="1" w:styleId="TitleofSection">
    <w:name w:val="Title of Section"/>
    <w:basedOn w:val="TitleofDoc"/>
    <w:rsid w:val="00F046AC"/>
    <w:pPr>
      <w:spacing w:before="120" w:after="120"/>
    </w:pPr>
    <w:rPr>
      <w:b/>
      <w:caps w:val="0"/>
    </w:rPr>
  </w:style>
  <w:style w:type="paragraph" w:customStyle="1" w:styleId="TOCAnnex">
    <w:name w:val="TOC Annex"/>
    <w:basedOn w:val="Normal"/>
    <w:rsid w:val="00F046AC"/>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F046AC"/>
    <w:rPr>
      <w:rFonts w:ascii="Courier New" w:hAnsi="Courier New" w:cs="Courier New"/>
    </w:rPr>
  </w:style>
  <w:style w:type="character" w:customStyle="1" w:styleId="PlainTextChar">
    <w:name w:val="Plain Text Char"/>
    <w:basedOn w:val="DefaultParagraphFont"/>
    <w:link w:val="PlainText"/>
    <w:rsid w:val="00F046AC"/>
    <w:rPr>
      <w:rFonts w:ascii="Courier New" w:hAnsi="Courier New" w:cs="Courier New"/>
      <w:lang w:eastAsia="de-DE"/>
    </w:rPr>
  </w:style>
  <w:style w:type="paragraph" w:customStyle="1" w:styleId="Default">
    <w:name w:val="Default"/>
    <w:basedOn w:val="Normal"/>
    <w:rsid w:val="00F046AC"/>
    <w:pPr>
      <w:jc w:val="left"/>
    </w:pPr>
    <w:rPr>
      <w:rFonts w:eastAsia="SimSun" w:cs="Arial"/>
      <w:color w:val="000000"/>
      <w:sz w:val="24"/>
      <w:szCs w:val="24"/>
    </w:rPr>
  </w:style>
  <w:style w:type="paragraph" w:customStyle="1" w:styleId="tgcharnumber">
    <w:name w:val="tg_char_number"/>
    <w:basedOn w:val="Normal"/>
    <w:rsid w:val="00F046AC"/>
    <w:pPr>
      <w:keepNext/>
      <w:spacing w:before="80" w:after="80"/>
      <w:jc w:val="center"/>
    </w:pPr>
    <w:rPr>
      <w:b/>
      <w:sz w:val="16"/>
    </w:rPr>
  </w:style>
  <w:style w:type="paragraph" w:customStyle="1" w:styleId="tgchartitle">
    <w:name w:val="tg_char_title"/>
    <w:basedOn w:val="Normal"/>
    <w:rsid w:val="00F046AC"/>
    <w:pPr>
      <w:spacing w:before="80" w:after="80"/>
      <w:jc w:val="left"/>
    </w:pPr>
    <w:rPr>
      <w:b/>
      <w:sz w:val="16"/>
    </w:rPr>
  </w:style>
  <w:style w:type="paragraph" w:customStyle="1" w:styleId="tgchartext">
    <w:name w:val="tg_char_text"/>
    <w:basedOn w:val="Normal"/>
    <w:rsid w:val="00F046AC"/>
    <w:pPr>
      <w:spacing w:before="80" w:after="80"/>
      <w:jc w:val="left"/>
    </w:pPr>
    <w:rPr>
      <w:sz w:val="16"/>
    </w:rPr>
  </w:style>
  <w:style w:type="paragraph" w:styleId="ListParagraph">
    <w:name w:val="List Paragraph"/>
    <w:basedOn w:val="Normal"/>
    <w:uiPriority w:val="34"/>
    <w:qFormat/>
    <w:rsid w:val="00F046AC"/>
    <w:pPr>
      <w:ind w:left="720"/>
      <w:contextualSpacing/>
    </w:pPr>
  </w:style>
  <w:style w:type="paragraph" w:customStyle="1" w:styleId="dec">
    <w:name w:val="dec"/>
    <w:basedOn w:val="Normal"/>
    <w:link w:val="decChar"/>
    <w:qFormat/>
    <w:rsid w:val="00F046AC"/>
    <w:pPr>
      <w:ind w:left="4536"/>
    </w:pPr>
    <w:rPr>
      <w:i/>
      <w:spacing w:val="-2"/>
    </w:rPr>
  </w:style>
  <w:style w:type="character" w:customStyle="1" w:styleId="decChar">
    <w:name w:val="dec Char"/>
    <w:basedOn w:val="DefaultParagraphFont"/>
    <w:link w:val="dec"/>
    <w:rsid w:val="00F046AC"/>
    <w:rPr>
      <w:rFonts w:ascii="Arial" w:hAnsi="Arial"/>
      <w:i/>
      <w:spacing w:val="-2"/>
    </w:rPr>
  </w:style>
  <w:style w:type="paragraph" w:customStyle="1" w:styleId="EndOfDoc0">
    <w:name w:val="EndOfDoc"/>
    <w:basedOn w:val="Normal"/>
    <w:rsid w:val="00F046AC"/>
    <w:pPr>
      <w:ind w:left="4536"/>
      <w:jc w:val="center"/>
    </w:pPr>
    <w:rPr>
      <w:rFonts w:ascii="Times New Roman" w:hAnsi="Times New Roman"/>
      <w:sz w:val="24"/>
    </w:rPr>
  </w:style>
  <w:style w:type="paragraph" w:customStyle="1" w:styleId="decisionpara">
    <w:name w:val="decision para"/>
    <w:basedOn w:val="Normal"/>
    <w:rsid w:val="00F046AC"/>
    <w:pPr>
      <w:spacing w:line="240" w:lineRule="atLeast"/>
      <w:ind w:left="4536"/>
      <w:outlineLvl w:val="0"/>
    </w:pPr>
    <w:rPr>
      <w:rFonts w:ascii="Times New Roman" w:hAnsi="Times New Roman"/>
      <w:i/>
      <w:sz w:val="24"/>
    </w:rPr>
  </w:style>
  <w:style w:type="paragraph" w:styleId="TOC6">
    <w:name w:val="toc 6"/>
    <w:basedOn w:val="Normal"/>
    <w:next w:val="Normal"/>
    <w:autoRedefine/>
    <w:rsid w:val="00F046AC"/>
    <w:pPr>
      <w:ind w:left="1200"/>
    </w:pPr>
  </w:style>
  <w:style w:type="paragraph" w:styleId="E-mailSignature">
    <w:name w:val="E-mail Signature"/>
    <w:basedOn w:val="Normal"/>
    <w:link w:val="E-mailSignatureChar"/>
    <w:rsid w:val="00F046AC"/>
  </w:style>
  <w:style w:type="character" w:customStyle="1" w:styleId="E-mailSignatureChar">
    <w:name w:val="E-mail Signature Char"/>
    <w:basedOn w:val="DefaultParagraphFont"/>
    <w:link w:val="E-mailSignature"/>
    <w:rsid w:val="00F046AC"/>
    <w:rPr>
      <w:rFonts w:ascii="Arial" w:hAnsi="Arial"/>
    </w:rPr>
  </w:style>
  <w:style w:type="character" w:styleId="Emphasis">
    <w:name w:val="Emphasis"/>
    <w:basedOn w:val="DefaultParagraphFont"/>
    <w:qFormat/>
    <w:rsid w:val="00F046AC"/>
    <w:rPr>
      <w:i/>
      <w:iCs/>
    </w:rPr>
  </w:style>
  <w:style w:type="paragraph" w:styleId="EnvelopeAddress">
    <w:name w:val="envelope address"/>
    <w:basedOn w:val="Normal"/>
    <w:rsid w:val="00F046AC"/>
    <w:pPr>
      <w:framePr w:w="7920" w:h="1980" w:hRule="exact" w:hSpace="180" w:wrap="auto" w:hAnchor="page" w:xAlign="center" w:yAlign="bottom"/>
      <w:ind w:left="2880"/>
    </w:pPr>
    <w:rPr>
      <w:rFonts w:cs="Arial"/>
      <w:szCs w:val="24"/>
    </w:rPr>
  </w:style>
  <w:style w:type="paragraph" w:styleId="EnvelopeReturn">
    <w:name w:val="envelope return"/>
    <w:basedOn w:val="Normal"/>
    <w:rsid w:val="00F046AC"/>
    <w:rPr>
      <w:rFonts w:cs="Arial"/>
    </w:rPr>
  </w:style>
  <w:style w:type="character" w:styleId="HTMLAcronym">
    <w:name w:val="HTML Acronym"/>
    <w:basedOn w:val="DefaultParagraphFont"/>
    <w:rsid w:val="00F046AC"/>
  </w:style>
  <w:style w:type="paragraph" w:styleId="HTMLAddress">
    <w:name w:val="HTML Address"/>
    <w:basedOn w:val="Normal"/>
    <w:link w:val="HTMLAddressChar"/>
    <w:rsid w:val="00F046AC"/>
    <w:rPr>
      <w:i/>
      <w:iCs/>
    </w:rPr>
  </w:style>
  <w:style w:type="character" w:customStyle="1" w:styleId="HTMLAddressChar">
    <w:name w:val="HTML Address Char"/>
    <w:basedOn w:val="DefaultParagraphFont"/>
    <w:link w:val="HTMLAddress"/>
    <w:rsid w:val="00F046AC"/>
    <w:rPr>
      <w:rFonts w:ascii="Arial" w:hAnsi="Arial"/>
      <w:i/>
      <w:iCs/>
    </w:rPr>
  </w:style>
  <w:style w:type="character" w:styleId="HTMLCite">
    <w:name w:val="HTML Cite"/>
    <w:basedOn w:val="DefaultParagraphFont"/>
    <w:rsid w:val="00F046AC"/>
    <w:rPr>
      <w:i/>
      <w:iCs/>
    </w:rPr>
  </w:style>
  <w:style w:type="character" w:styleId="HTMLCode">
    <w:name w:val="HTML Code"/>
    <w:basedOn w:val="DefaultParagraphFont"/>
    <w:rsid w:val="00F046AC"/>
    <w:rPr>
      <w:rFonts w:ascii="Courier New" w:hAnsi="Courier New" w:cs="Courier New"/>
      <w:sz w:val="20"/>
      <w:szCs w:val="20"/>
    </w:rPr>
  </w:style>
  <w:style w:type="character" w:styleId="HTMLDefinition">
    <w:name w:val="HTML Definition"/>
    <w:basedOn w:val="DefaultParagraphFont"/>
    <w:rsid w:val="00F046AC"/>
    <w:rPr>
      <w:i/>
      <w:iCs/>
    </w:rPr>
  </w:style>
  <w:style w:type="character" w:styleId="HTMLKeyboard">
    <w:name w:val="HTML Keyboard"/>
    <w:basedOn w:val="DefaultParagraphFont"/>
    <w:rsid w:val="00F046AC"/>
    <w:rPr>
      <w:rFonts w:ascii="Courier New" w:hAnsi="Courier New" w:cs="Courier New"/>
      <w:sz w:val="20"/>
      <w:szCs w:val="20"/>
    </w:rPr>
  </w:style>
  <w:style w:type="paragraph" w:styleId="HTMLPreformatted">
    <w:name w:val="HTML Preformatted"/>
    <w:basedOn w:val="Normal"/>
    <w:link w:val="HTMLPreformattedChar"/>
    <w:rsid w:val="00F046AC"/>
    <w:rPr>
      <w:rFonts w:ascii="Courier New" w:hAnsi="Courier New" w:cs="Courier New"/>
    </w:rPr>
  </w:style>
  <w:style w:type="character" w:customStyle="1" w:styleId="HTMLPreformattedChar">
    <w:name w:val="HTML Preformatted Char"/>
    <w:basedOn w:val="DefaultParagraphFont"/>
    <w:link w:val="HTMLPreformatted"/>
    <w:rsid w:val="00F046AC"/>
    <w:rPr>
      <w:rFonts w:ascii="Courier New" w:hAnsi="Courier New" w:cs="Courier New"/>
    </w:rPr>
  </w:style>
  <w:style w:type="character" w:styleId="HTMLSample">
    <w:name w:val="HTML Sample"/>
    <w:basedOn w:val="DefaultParagraphFont"/>
    <w:rsid w:val="00F046AC"/>
    <w:rPr>
      <w:rFonts w:ascii="Courier New" w:hAnsi="Courier New" w:cs="Courier New"/>
    </w:rPr>
  </w:style>
  <w:style w:type="character" w:styleId="HTMLTypewriter">
    <w:name w:val="HTML Typewriter"/>
    <w:basedOn w:val="DefaultParagraphFont"/>
    <w:rsid w:val="00F046AC"/>
    <w:rPr>
      <w:rFonts w:ascii="Courier New" w:hAnsi="Courier New" w:cs="Courier New"/>
      <w:sz w:val="20"/>
      <w:szCs w:val="20"/>
    </w:rPr>
  </w:style>
  <w:style w:type="character" w:styleId="HTMLVariable">
    <w:name w:val="HTML Variable"/>
    <w:basedOn w:val="DefaultParagraphFont"/>
    <w:rsid w:val="00F046AC"/>
    <w:rPr>
      <w:i/>
      <w:iCs/>
    </w:rPr>
  </w:style>
  <w:style w:type="character" w:styleId="LineNumber">
    <w:name w:val="line number"/>
    <w:basedOn w:val="DefaultParagraphFont"/>
    <w:rsid w:val="00F046AC"/>
  </w:style>
  <w:style w:type="paragraph" w:styleId="List">
    <w:name w:val="List"/>
    <w:basedOn w:val="Normal"/>
    <w:rsid w:val="00F046AC"/>
    <w:pPr>
      <w:ind w:left="360" w:hanging="360"/>
    </w:pPr>
  </w:style>
  <w:style w:type="paragraph" w:styleId="List2">
    <w:name w:val="List 2"/>
    <w:basedOn w:val="Normal"/>
    <w:rsid w:val="00F046AC"/>
    <w:pPr>
      <w:ind w:left="720" w:hanging="360"/>
    </w:pPr>
  </w:style>
  <w:style w:type="paragraph" w:styleId="List3">
    <w:name w:val="List 3"/>
    <w:basedOn w:val="Normal"/>
    <w:rsid w:val="00F046AC"/>
    <w:pPr>
      <w:ind w:left="1080" w:hanging="360"/>
    </w:pPr>
  </w:style>
  <w:style w:type="paragraph" w:styleId="List4">
    <w:name w:val="List 4"/>
    <w:basedOn w:val="Normal"/>
    <w:rsid w:val="00F046AC"/>
    <w:pPr>
      <w:ind w:left="1440" w:hanging="360"/>
    </w:pPr>
  </w:style>
  <w:style w:type="paragraph" w:styleId="List5">
    <w:name w:val="List 5"/>
    <w:basedOn w:val="Normal"/>
    <w:rsid w:val="00F046AC"/>
    <w:pPr>
      <w:ind w:left="1800" w:hanging="360"/>
    </w:pPr>
  </w:style>
  <w:style w:type="paragraph" w:styleId="ListBullet2">
    <w:name w:val="List Bullet 2"/>
    <w:basedOn w:val="Normal"/>
    <w:rsid w:val="00F046AC"/>
    <w:pPr>
      <w:tabs>
        <w:tab w:val="num" w:pos="720"/>
      </w:tabs>
      <w:ind w:left="720" w:hanging="360"/>
    </w:pPr>
  </w:style>
  <w:style w:type="paragraph" w:styleId="ListBullet3">
    <w:name w:val="List Bullet 3"/>
    <w:basedOn w:val="Normal"/>
    <w:rsid w:val="00F046AC"/>
    <w:pPr>
      <w:tabs>
        <w:tab w:val="num" w:pos="1080"/>
      </w:tabs>
      <w:ind w:left="1080" w:hanging="360"/>
    </w:pPr>
  </w:style>
  <w:style w:type="paragraph" w:styleId="ListBullet4">
    <w:name w:val="List Bullet 4"/>
    <w:basedOn w:val="Normal"/>
    <w:rsid w:val="00F046AC"/>
    <w:pPr>
      <w:tabs>
        <w:tab w:val="num" w:pos="1440"/>
      </w:tabs>
      <w:ind w:left="1440" w:hanging="360"/>
    </w:pPr>
  </w:style>
  <w:style w:type="paragraph" w:styleId="ListBullet5">
    <w:name w:val="List Bullet 5"/>
    <w:basedOn w:val="Normal"/>
    <w:rsid w:val="00F046AC"/>
    <w:pPr>
      <w:tabs>
        <w:tab w:val="num" w:pos="1800"/>
      </w:tabs>
      <w:ind w:left="1800" w:hanging="360"/>
    </w:pPr>
  </w:style>
  <w:style w:type="paragraph" w:styleId="ListContinue">
    <w:name w:val="List Continue"/>
    <w:basedOn w:val="Normal"/>
    <w:rsid w:val="00F046AC"/>
    <w:pPr>
      <w:spacing w:after="120"/>
      <w:ind w:left="360"/>
    </w:pPr>
  </w:style>
  <w:style w:type="paragraph" w:styleId="ListContinue2">
    <w:name w:val="List Continue 2"/>
    <w:basedOn w:val="Normal"/>
    <w:rsid w:val="00F046AC"/>
    <w:pPr>
      <w:spacing w:after="120"/>
      <w:ind w:left="720"/>
    </w:pPr>
  </w:style>
  <w:style w:type="paragraph" w:styleId="ListContinue3">
    <w:name w:val="List Continue 3"/>
    <w:basedOn w:val="Normal"/>
    <w:rsid w:val="00F046AC"/>
    <w:pPr>
      <w:spacing w:after="120"/>
      <w:ind w:left="1080"/>
    </w:pPr>
  </w:style>
  <w:style w:type="paragraph" w:styleId="ListContinue4">
    <w:name w:val="List Continue 4"/>
    <w:basedOn w:val="Normal"/>
    <w:rsid w:val="00F046AC"/>
    <w:pPr>
      <w:spacing w:after="120"/>
      <w:ind w:left="1440"/>
    </w:pPr>
  </w:style>
  <w:style w:type="paragraph" w:styleId="ListContinue5">
    <w:name w:val="List Continue 5"/>
    <w:basedOn w:val="Normal"/>
    <w:rsid w:val="00F046AC"/>
    <w:pPr>
      <w:spacing w:after="120"/>
      <w:ind w:left="1800"/>
    </w:pPr>
  </w:style>
  <w:style w:type="paragraph" w:styleId="ListNumber">
    <w:name w:val="List Number"/>
    <w:basedOn w:val="Normal"/>
    <w:rsid w:val="00F046AC"/>
    <w:pPr>
      <w:tabs>
        <w:tab w:val="num" w:pos="360"/>
      </w:tabs>
      <w:ind w:left="360" w:hanging="360"/>
    </w:pPr>
  </w:style>
  <w:style w:type="paragraph" w:styleId="ListNumber2">
    <w:name w:val="List Number 2"/>
    <w:basedOn w:val="Normal"/>
    <w:rsid w:val="00F046AC"/>
    <w:pPr>
      <w:tabs>
        <w:tab w:val="num" w:pos="720"/>
      </w:tabs>
      <w:ind w:left="720" w:hanging="360"/>
    </w:pPr>
  </w:style>
  <w:style w:type="paragraph" w:styleId="ListNumber3">
    <w:name w:val="List Number 3"/>
    <w:basedOn w:val="Normal"/>
    <w:rsid w:val="00F046AC"/>
    <w:pPr>
      <w:tabs>
        <w:tab w:val="num" w:pos="1080"/>
      </w:tabs>
      <w:ind w:left="1080" w:hanging="360"/>
    </w:pPr>
  </w:style>
  <w:style w:type="paragraph" w:styleId="ListNumber4">
    <w:name w:val="List Number 4"/>
    <w:basedOn w:val="Normal"/>
    <w:rsid w:val="00F046AC"/>
    <w:pPr>
      <w:tabs>
        <w:tab w:val="num" w:pos="1440"/>
      </w:tabs>
      <w:ind w:left="1440" w:hanging="360"/>
    </w:pPr>
  </w:style>
  <w:style w:type="paragraph" w:styleId="ListNumber5">
    <w:name w:val="List Number 5"/>
    <w:basedOn w:val="Normal"/>
    <w:rsid w:val="00F046AC"/>
    <w:pPr>
      <w:tabs>
        <w:tab w:val="num" w:pos="1800"/>
      </w:tabs>
      <w:ind w:left="1800" w:hanging="360"/>
    </w:pPr>
  </w:style>
  <w:style w:type="paragraph" w:styleId="MessageHeader">
    <w:name w:val="Message Header"/>
    <w:basedOn w:val="Normal"/>
    <w:link w:val="MessageHeaderChar"/>
    <w:rsid w:val="00F046A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F046AC"/>
    <w:rPr>
      <w:rFonts w:ascii="Arial" w:hAnsi="Arial" w:cs="Arial"/>
      <w:szCs w:val="24"/>
      <w:shd w:val="pct20" w:color="auto" w:fill="auto"/>
    </w:rPr>
  </w:style>
  <w:style w:type="paragraph" w:styleId="NoteHeading">
    <w:name w:val="Note Heading"/>
    <w:basedOn w:val="Normal"/>
    <w:next w:val="Normal"/>
    <w:link w:val="NoteHeadingChar"/>
    <w:rsid w:val="00F046AC"/>
  </w:style>
  <w:style w:type="character" w:customStyle="1" w:styleId="NoteHeadingChar">
    <w:name w:val="Note Heading Char"/>
    <w:basedOn w:val="DefaultParagraphFont"/>
    <w:link w:val="NoteHeading"/>
    <w:rsid w:val="00F046AC"/>
    <w:rPr>
      <w:rFonts w:ascii="Arial" w:hAnsi="Arial"/>
    </w:rPr>
  </w:style>
  <w:style w:type="paragraph" w:styleId="Salutation">
    <w:name w:val="Salutation"/>
    <w:basedOn w:val="Normal"/>
    <w:next w:val="Normal"/>
    <w:link w:val="SalutationChar"/>
    <w:rsid w:val="00F046AC"/>
  </w:style>
  <w:style w:type="character" w:customStyle="1" w:styleId="SalutationChar">
    <w:name w:val="Salutation Char"/>
    <w:basedOn w:val="DefaultParagraphFont"/>
    <w:link w:val="Salutation"/>
    <w:rsid w:val="00F046AC"/>
    <w:rPr>
      <w:rFonts w:ascii="Arial" w:hAnsi="Arial"/>
    </w:rPr>
  </w:style>
  <w:style w:type="character" w:styleId="Strong">
    <w:name w:val="Strong"/>
    <w:basedOn w:val="DefaultParagraphFont"/>
    <w:qFormat/>
    <w:rsid w:val="00F046AC"/>
    <w:rPr>
      <w:b/>
      <w:bCs/>
    </w:rPr>
  </w:style>
  <w:style w:type="paragraph" w:styleId="Subtitle">
    <w:name w:val="Subtitle"/>
    <w:basedOn w:val="Normal"/>
    <w:link w:val="SubtitleChar"/>
    <w:qFormat/>
    <w:rsid w:val="00F046AC"/>
    <w:pPr>
      <w:spacing w:after="60"/>
      <w:jc w:val="center"/>
      <w:outlineLvl w:val="1"/>
    </w:pPr>
    <w:rPr>
      <w:rFonts w:cs="Arial"/>
      <w:szCs w:val="24"/>
    </w:rPr>
  </w:style>
  <w:style w:type="character" w:customStyle="1" w:styleId="SubtitleChar">
    <w:name w:val="Subtitle Char"/>
    <w:basedOn w:val="DefaultParagraphFont"/>
    <w:link w:val="Subtitle"/>
    <w:rsid w:val="00F046AC"/>
    <w:rPr>
      <w:rFonts w:ascii="Arial" w:hAnsi="Arial" w:cs="Arial"/>
      <w:szCs w:val="24"/>
    </w:rPr>
  </w:style>
  <w:style w:type="table" w:styleId="TableSimple1">
    <w:name w:val="Table Simple 1"/>
    <w:basedOn w:val="TableNormal"/>
    <w:rsid w:val="00F046A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7">
    <w:name w:val="toc 7"/>
    <w:basedOn w:val="Normal"/>
    <w:next w:val="Normal"/>
    <w:autoRedefine/>
    <w:rsid w:val="00F046AC"/>
    <w:pPr>
      <w:ind w:left="1440"/>
    </w:pPr>
  </w:style>
  <w:style w:type="paragraph" w:styleId="TOC8">
    <w:name w:val="toc 8"/>
    <w:basedOn w:val="Normal"/>
    <w:next w:val="Normal"/>
    <w:autoRedefine/>
    <w:rsid w:val="00F046AC"/>
    <w:pPr>
      <w:ind w:left="1680"/>
    </w:pPr>
  </w:style>
  <w:style w:type="paragraph" w:styleId="TOC9">
    <w:name w:val="toc 9"/>
    <w:basedOn w:val="Normal"/>
    <w:next w:val="Normal"/>
    <w:autoRedefine/>
    <w:rsid w:val="00F046AC"/>
    <w:pPr>
      <w:ind w:left="1920"/>
    </w:pPr>
  </w:style>
  <w:style w:type="paragraph" w:styleId="Caption">
    <w:name w:val="caption"/>
    <w:basedOn w:val="Normal"/>
    <w:next w:val="Normal"/>
    <w:qFormat/>
    <w:rsid w:val="00F046AC"/>
    <w:pPr>
      <w:framePr w:w="11102" w:hSpace="181" w:wrap="around" w:vAnchor="page" w:hAnchor="page" w:x="438" w:y="15985" w:anchorLock="1"/>
      <w:jc w:val="center"/>
    </w:pPr>
    <w:rPr>
      <w:b/>
      <w:snapToGrid w:val="0"/>
    </w:rPr>
  </w:style>
  <w:style w:type="character" w:styleId="CommentReference">
    <w:name w:val="annotation reference"/>
    <w:basedOn w:val="DefaultParagraphFont"/>
    <w:uiPriority w:val="99"/>
    <w:rsid w:val="00F046AC"/>
    <w:rPr>
      <w:rFonts w:cs="Times New Roman"/>
      <w:sz w:val="16"/>
      <w:szCs w:val="16"/>
    </w:rPr>
  </w:style>
  <w:style w:type="paragraph" w:styleId="CommentSubject">
    <w:name w:val="annotation subject"/>
    <w:basedOn w:val="CommentText"/>
    <w:next w:val="CommentText"/>
    <w:link w:val="CommentSubjectChar"/>
    <w:rsid w:val="00F046AC"/>
    <w:rPr>
      <w:b/>
      <w:bCs/>
      <w:sz w:val="20"/>
    </w:rPr>
  </w:style>
  <w:style w:type="character" w:customStyle="1" w:styleId="CommentSubjectChar">
    <w:name w:val="Comment Subject Char"/>
    <w:basedOn w:val="CommentTextChar"/>
    <w:link w:val="CommentSubject"/>
    <w:rsid w:val="00F046AC"/>
    <w:rPr>
      <w:rFonts w:ascii="Arial" w:hAnsi="Arial"/>
      <w:b/>
      <w:bCs/>
      <w:sz w:val="22"/>
      <w:lang w:val="de-DE"/>
    </w:rPr>
  </w:style>
  <w:style w:type="paragraph" w:customStyle="1" w:styleId="Normaltg">
    <w:name w:val="Normaltg"/>
    <w:basedOn w:val="Normal"/>
    <w:link w:val="NormaltgChar"/>
    <w:rsid w:val="00F046AC"/>
    <w:rPr>
      <w:rFonts w:cs="Angsana New"/>
      <w:szCs w:val="24"/>
    </w:rPr>
  </w:style>
  <w:style w:type="character" w:customStyle="1" w:styleId="NormaltgChar">
    <w:name w:val="Normaltg Char"/>
    <w:link w:val="Normaltg"/>
    <w:rsid w:val="00F046AC"/>
    <w:rPr>
      <w:rFonts w:ascii="Arial" w:hAnsi="Arial" w:cs="Angsana New"/>
      <w:szCs w:val="24"/>
      <w:lang w:eastAsia="de-DE" w:bidi="de-DE"/>
    </w:rPr>
  </w:style>
  <w:style w:type="paragraph" w:customStyle="1" w:styleId="style10">
    <w:name w:val="style1"/>
    <w:basedOn w:val="Normal"/>
    <w:rsid w:val="00C4342D"/>
    <w:rPr>
      <w:rFonts w:ascii="Times New Roman" w:eastAsia="Calibri"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5D2FEA"/>
    <w:pPr>
      <w:keepNext/>
      <w:numPr>
        <w:numId w:val="14"/>
      </w:numPr>
      <w:ind w:left="567" w:hanging="578"/>
      <w:jc w:val="both"/>
      <w:outlineLvl w:val="0"/>
    </w:pPr>
    <w:rPr>
      <w:rFonts w:ascii="Arial" w:hAnsi="Arial"/>
      <w:caps/>
    </w:rPr>
  </w:style>
  <w:style w:type="paragraph" w:styleId="Heading2">
    <w:name w:val="heading 2"/>
    <w:next w:val="Normal"/>
    <w:link w:val="Heading2Char"/>
    <w:autoRedefine/>
    <w:qFormat/>
    <w:rsid w:val="00034E43"/>
    <w:pPr>
      <w:keepNext/>
      <w:jc w:val="both"/>
      <w:outlineLvl w:val="1"/>
    </w:pPr>
    <w:rPr>
      <w:rFonts w:ascii="Arial" w:hAnsi="Arial"/>
      <w:u w:val="single"/>
    </w:rPr>
  </w:style>
  <w:style w:type="paragraph" w:styleId="Heading3">
    <w:name w:val="heading 3"/>
    <w:next w:val="Normal"/>
    <w:link w:val="Heading3Char"/>
    <w:autoRedefine/>
    <w:qFormat/>
    <w:rsid w:val="00764DB0"/>
    <w:pPr>
      <w:keepNext/>
      <w:jc w:val="both"/>
      <w:outlineLvl w:val="2"/>
    </w:pPr>
    <w:rPr>
      <w:rFonts w:ascii="Arial" w:hAnsi="Arial"/>
      <w:i/>
      <w:snapToGrid w:val="0"/>
      <w:lang w:eastAsia="en-US" w:bidi="ar-SA"/>
    </w:rPr>
  </w:style>
  <w:style w:type="paragraph" w:styleId="Heading4">
    <w:name w:val="heading 4"/>
    <w:next w:val="Normal"/>
    <w:link w:val="Heading4Char"/>
    <w:autoRedefine/>
    <w:qFormat/>
    <w:rsid w:val="00EE0613"/>
    <w:pPr>
      <w:keepNext/>
      <w:ind w:left="567"/>
      <w:jc w:val="both"/>
      <w:outlineLvl w:val="3"/>
    </w:pPr>
    <w:rPr>
      <w:rFonts w:ascii="Arial" w:hAnsi="Arial"/>
      <w:i/>
    </w:rPr>
  </w:style>
  <w:style w:type="paragraph" w:styleId="Heading5">
    <w:name w:val="heading 5"/>
    <w:next w:val="Normal"/>
    <w:link w:val="Heading5Char"/>
    <w:autoRedefine/>
    <w:qFormat/>
    <w:rsid w:val="0033507D"/>
    <w:pPr>
      <w:keepNext/>
      <w:ind w:left="1134" w:hanging="567"/>
      <w:jc w:val="both"/>
      <w:outlineLvl w:val="4"/>
    </w:pPr>
    <w:rPr>
      <w:rFonts w:ascii="Arial" w:hAnsi="Arial"/>
      <w:sz w:val="18"/>
      <w:szCs w:val="18"/>
    </w:rPr>
  </w:style>
  <w:style w:type="paragraph" w:styleId="Heading6">
    <w:name w:val="heading 6"/>
    <w:basedOn w:val="Normal"/>
    <w:next w:val="Normal"/>
    <w:link w:val="Heading6Char"/>
    <w:qFormat/>
    <w:rsid w:val="00F046AC"/>
    <w:pPr>
      <w:outlineLvl w:val="5"/>
    </w:pPr>
  </w:style>
  <w:style w:type="paragraph" w:styleId="Heading7">
    <w:name w:val="heading 7"/>
    <w:basedOn w:val="Normal"/>
    <w:next w:val="Normal"/>
    <w:link w:val="Heading7Char"/>
    <w:qFormat/>
    <w:rsid w:val="00F046AC"/>
    <w:pPr>
      <w:spacing w:before="240" w:after="60"/>
      <w:outlineLvl w:val="6"/>
    </w:pPr>
    <w:rPr>
      <w:szCs w:val="24"/>
    </w:rPr>
  </w:style>
  <w:style w:type="paragraph" w:styleId="Heading8">
    <w:name w:val="heading 8"/>
    <w:basedOn w:val="Normal"/>
    <w:next w:val="Normal"/>
    <w:link w:val="Heading8Char"/>
    <w:qFormat/>
    <w:rsid w:val="00F046AC"/>
    <w:pPr>
      <w:keepNext/>
      <w:jc w:val="center"/>
      <w:outlineLvl w:val="7"/>
    </w:pPr>
    <w:rPr>
      <w:u w:val="single"/>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34E43"/>
    <w:rPr>
      <w:rFonts w:ascii="Arial" w:hAnsi="Arial"/>
      <w:u w:val="single"/>
    </w:rPr>
  </w:style>
  <w:style w:type="character" w:customStyle="1" w:styleId="Heading3Char">
    <w:name w:val="Heading 3 Char"/>
    <w:link w:val="Heading3"/>
    <w:locked/>
    <w:rsid w:val="00764DB0"/>
    <w:rPr>
      <w:rFonts w:ascii="Arial" w:hAnsi="Arial"/>
      <w:i/>
      <w:snapToGrid w:val="0"/>
      <w:lang w:eastAsia="en-US" w:bidi="ar-SA"/>
    </w:rPr>
  </w:style>
  <w:style w:type="character" w:customStyle="1" w:styleId="Heading4Char">
    <w:name w:val="Heading 4 Char"/>
    <w:link w:val="Heading4"/>
    <w:rsid w:val="00EE0613"/>
    <w:rPr>
      <w:rFonts w:ascii="Arial" w:hAnsi="Arial"/>
      <w:i/>
    </w:rPr>
  </w:style>
  <w:style w:type="character" w:customStyle="1" w:styleId="Heading5Char">
    <w:name w:val="Heading 5 Char"/>
    <w:link w:val="Heading5"/>
    <w:rsid w:val="00F046AC"/>
    <w:rPr>
      <w:rFonts w:ascii="Arial" w:hAnsi="Arial"/>
      <w:sz w:val="18"/>
      <w:szCs w:val="18"/>
    </w:rPr>
  </w:style>
  <w:style w:type="character" w:customStyle="1" w:styleId="Heading6Char">
    <w:name w:val="Heading 6 Char"/>
    <w:basedOn w:val="DefaultParagraphFont"/>
    <w:link w:val="Heading6"/>
    <w:rsid w:val="00F046AC"/>
    <w:rPr>
      <w:rFonts w:ascii="Arial" w:hAnsi="Arial"/>
      <w:lang w:val="de-DE"/>
    </w:rPr>
  </w:style>
  <w:style w:type="character" w:customStyle="1" w:styleId="Heading7Char">
    <w:name w:val="Heading 7 Char"/>
    <w:basedOn w:val="DefaultParagraphFont"/>
    <w:link w:val="Heading7"/>
    <w:rsid w:val="00F046AC"/>
    <w:rPr>
      <w:rFonts w:ascii="Arial" w:hAnsi="Arial"/>
      <w:szCs w:val="24"/>
    </w:rPr>
  </w:style>
  <w:style w:type="character" w:customStyle="1" w:styleId="Heading8Char">
    <w:name w:val="Heading 8 Char"/>
    <w:basedOn w:val="DefaultParagraphFont"/>
    <w:link w:val="Heading8"/>
    <w:rsid w:val="00F046AC"/>
    <w:rPr>
      <w:rFonts w:ascii="Arial" w:hAnsi="Arial"/>
      <w:u w:val="single"/>
    </w:rPr>
  </w:style>
  <w:style w:type="paragraph" w:styleId="Header">
    <w:name w:val="header"/>
    <w:link w:val="HeaderChar"/>
    <w:autoRedefine/>
    <w:uiPriority w:val="99"/>
    <w:rsid w:val="0033507D"/>
    <w:pPr>
      <w:tabs>
        <w:tab w:val="center" w:pos="4536"/>
        <w:tab w:val="right" w:pos="9072"/>
      </w:tabs>
      <w:jc w:val="center"/>
    </w:pPr>
    <w:rPr>
      <w:rFonts w:ascii="Arial" w:hAnsi="Arial"/>
    </w:rPr>
  </w:style>
  <w:style w:type="character" w:customStyle="1" w:styleId="HeaderChar">
    <w:name w:val="Header Char"/>
    <w:basedOn w:val="DefaultParagraphFont"/>
    <w:link w:val="Header"/>
    <w:uiPriority w:val="99"/>
    <w:rsid w:val="00F046AC"/>
    <w:rPr>
      <w:rFonts w:ascii="Arial" w:hAnsi="Arial"/>
      <w:lang w:val="de-DE"/>
    </w:rPr>
  </w:style>
  <w:style w:type="paragraph" w:styleId="Footer">
    <w:name w:val="footer"/>
    <w:aliases w:val="doc_path_name"/>
    <w:link w:val="FooterChar"/>
    <w:autoRedefine/>
    <w:rsid w:val="00831CDA"/>
    <w:pPr>
      <w:jc w:val="right"/>
    </w:pPr>
    <w:rPr>
      <w:rFonts w:ascii="Arial" w:hAnsi="Arial"/>
      <w:sz w:val="22"/>
    </w:rPr>
  </w:style>
  <w:style w:type="character" w:customStyle="1" w:styleId="FooterChar">
    <w:name w:val="Footer Char"/>
    <w:aliases w:val="doc_path_name Char"/>
    <w:link w:val="Footer"/>
    <w:rsid w:val="00831CDA"/>
    <w:rPr>
      <w:rFonts w:ascii="Arial" w:hAnsi="Arial"/>
      <w:sz w:val="22"/>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character" w:customStyle="1" w:styleId="DocoriginalChar">
    <w:name w:val="Doc_original Char"/>
    <w:basedOn w:val="DefaultParagraphFont"/>
    <w:link w:val="Docoriginal"/>
    <w:rsid w:val="0033507D"/>
    <w:rPr>
      <w:rFonts w:ascii="Arial" w:hAnsi="Arial"/>
      <w:b/>
      <w:bCs/>
      <w:spacing w:val="10"/>
      <w:lang w:val="de-DE" w:eastAsia="de-DE" w:bidi="de-DE"/>
    </w:rPr>
  </w:style>
  <w:style w:type="paragraph" w:customStyle="1" w:styleId="DecisionParagraphs">
    <w:name w:val="DecisionParagraphs"/>
    <w:basedOn w:val="Normal"/>
    <w:link w:val="DecisionParagraphsChar"/>
    <w:qFormat/>
    <w:rsid w:val="0033507D"/>
    <w:pPr>
      <w:tabs>
        <w:tab w:val="left" w:pos="5387"/>
      </w:tabs>
      <w:ind w:left="4820"/>
    </w:pPr>
    <w:rPr>
      <w:i/>
    </w:rPr>
  </w:style>
  <w:style w:type="character" w:customStyle="1" w:styleId="DecisionParagraphsChar">
    <w:name w:val="DecisionParagraphs Char"/>
    <w:link w:val="DecisionParagraphs"/>
    <w:rsid w:val="00F046AC"/>
    <w:rPr>
      <w:rFonts w:ascii="Arial" w:hAnsi="Arial"/>
      <w:i/>
    </w:rPr>
  </w:style>
  <w:style w:type="paragraph" w:styleId="FootnoteText">
    <w:name w:val="footnote text"/>
    <w:link w:val="FootnoteTextChar"/>
    <w:autoRedefine/>
    <w:rsid w:val="0033507D"/>
    <w:pPr>
      <w:spacing w:before="60"/>
      <w:ind w:left="567" w:hanging="567"/>
      <w:jc w:val="both"/>
    </w:pPr>
    <w:rPr>
      <w:rFonts w:ascii="Arial" w:hAnsi="Arial"/>
      <w:sz w:val="16"/>
    </w:rPr>
  </w:style>
  <w:style w:type="character" w:customStyle="1" w:styleId="FootnoteTextChar">
    <w:name w:val="Footnote Text Char"/>
    <w:basedOn w:val="DefaultParagraphFont"/>
    <w:link w:val="FootnoteText"/>
    <w:rsid w:val="00F046AC"/>
    <w:rPr>
      <w:rFonts w:ascii="Arial" w:hAnsi="Arial"/>
      <w:sz w:val="16"/>
    </w:rPr>
  </w:style>
  <w:style w:type="character" w:styleId="FootnoteReference">
    <w:name w:val="footnote reference"/>
    <w:basedOn w:val="DefaultParagraphFont"/>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de-DE"/>
    </w:rPr>
  </w:style>
  <w:style w:type="paragraph" w:customStyle="1" w:styleId="Session">
    <w:name w:val="Session"/>
    <w:basedOn w:val="Normal"/>
    <w:rsid w:val="0033507D"/>
    <w:pPr>
      <w:spacing w:before="60"/>
      <w:jc w:val="center"/>
    </w:pPr>
    <w:rPr>
      <w:b/>
    </w:rPr>
  </w:style>
  <w:style w:type="paragraph" w:customStyle="1" w:styleId="Organizer">
    <w:name w:val="Organizer"/>
    <w:basedOn w:val="Normal"/>
    <w:rsid w:val="0033507D"/>
    <w:pPr>
      <w:spacing w:after="600"/>
      <w:ind w:left="-993" w:right="-994"/>
      <w:jc w:val="center"/>
    </w:pPr>
    <w:rPr>
      <w:b/>
      <w:caps/>
      <w:kern w:val="26"/>
      <w:sz w:val="26"/>
    </w:rPr>
  </w:style>
  <w:style w:type="paragraph" w:styleId="BodyText">
    <w:name w:val="Body Text"/>
    <w:basedOn w:val="Normal"/>
    <w:link w:val="BodyTextChar"/>
    <w:rsid w:val="0033507D"/>
  </w:style>
  <w:style w:type="character" w:customStyle="1" w:styleId="BodyTextChar">
    <w:name w:val="Body Text Char"/>
    <w:link w:val="BodyText"/>
    <w:locked/>
    <w:rsid w:val="00F046AC"/>
    <w:rPr>
      <w:rFonts w:ascii="Arial" w:hAnsi="Arial"/>
    </w:rPr>
  </w:style>
  <w:style w:type="paragraph" w:customStyle="1" w:styleId="StyleDocoriginalNotBold">
    <w:name w:val="Style Doc_original + Not Bold"/>
    <w:basedOn w:val="Docoriginal"/>
    <w:link w:val="StyleDocoriginalNotBoldChar"/>
    <w:autoRedefine/>
    <w:rsid w:val="0033507D"/>
    <w:pPr>
      <w:ind w:left="1589"/>
      <w:jc w:val="left"/>
    </w:pPr>
  </w:style>
  <w:style w:type="character" w:customStyle="1" w:styleId="StyleDocoriginalNotBoldChar">
    <w:name w:val="Style Doc_original + Not Bold Char"/>
    <w:basedOn w:val="DocoriginalChar"/>
    <w:link w:val="StyleDocoriginalNotBold"/>
    <w:rsid w:val="0033507D"/>
    <w:rPr>
      <w:rFonts w:ascii="Arial" w:hAnsi="Arial"/>
      <w:b/>
      <w:bCs/>
      <w:spacing w:val="10"/>
      <w:lang w:val="de-DE" w:eastAsia="de-DE" w:bidi="de-DE"/>
    </w:r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rsid w:val="0033507D"/>
  </w:style>
  <w:style w:type="paragraph" w:styleId="EndnoteText">
    <w:name w:val="endnote text"/>
    <w:basedOn w:val="Normal"/>
    <w:rsid w:val="0033507D"/>
  </w:style>
  <w:style w:type="character" w:styleId="EndnoteReference">
    <w:name w:val="endnote reference"/>
    <w:basedOn w:val="DefaultParagraphFont"/>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rsid w:val="0033507D"/>
    <w:pPr>
      <w:spacing w:before="60"/>
      <w:ind w:left="1276"/>
    </w:pPr>
    <w:rPr>
      <w:b/>
      <w:sz w:val="22"/>
    </w:rPr>
  </w:style>
  <w:style w:type="paragraph" w:styleId="Date">
    <w:name w:val="Date"/>
    <w:basedOn w:val="Normal"/>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de-DE" w:eastAsia="de-DE" w:bidi="de-DE"/>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TitreUpov">
    <w:name w:val="TitreUpov"/>
    <w:basedOn w:val="Normal"/>
    <w:semiHidden/>
    <w:rsid w:val="00D3708D"/>
    <w:pPr>
      <w:spacing w:before="60"/>
      <w:jc w:val="center"/>
    </w:pPr>
    <w:rPr>
      <w:b/>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character" w:customStyle="1" w:styleId="plcountryChar">
    <w:name w:val="plcountry Char"/>
    <w:link w:val="plcountry"/>
    <w:rsid w:val="00F046AC"/>
    <w:rPr>
      <w:rFonts w:ascii="Arial" w:hAnsi="Arial"/>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character" w:customStyle="1" w:styleId="pldetailsChar">
    <w:name w:val="pldetails Char"/>
    <w:link w:val="pldetails"/>
    <w:rsid w:val="00F046AC"/>
    <w:rPr>
      <w:rFonts w:ascii="Arial" w:hAnsi="Arial"/>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rsid w:val="0033507D"/>
    <w:pPr>
      <w:spacing w:before="240" w:after="600"/>
      <w:jc w:val="center"/>
    </w:pPr>
    <w:rPr>
      <w:i/>
    </w:rPr>
  </w:style>
  <w:style w:type="paragraph" w:customStyle="1" w:styleId="endofdoc">
    <w:name w:val="end_of_doc"/>
    <w:autoRedefine/>
    <w:rsid w:val="0033507D"/>
    <w:pPr>
      <w:spacing w:before="480"/>
      <w:ind w:left="567" w:hanging="567"/>
      <w:jc w:val="right"/>
    </w:pPr>
    <w:rPr>
      <w:rFonts w:ascii="Arial" w:hAnsi="Arial"/>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de-DE" w:eastAsia="de-DE" w:bidi="de-DE"/>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de-DE" w:eastAsia="de-DE" w:bidi="de-DE"/>
    </w:rPr>
  </w:style>
  <w:style w:type="character" w:customStyle="1" w:styleId="StyleDocoriginalNotBold1">
    <w:name w:val="Style Doc_original + Not Bold1"/>
    <w:basedOn w:val="DefaultParagraphFont"/>
    <w:rsid w:val="0033507D"/>
    <w:rPr>
      <w:rFonts w:ascii="Arial" w:hAnsi="Arial"/>
      <w:b/>
      <w:bCs/>
      <w:spacing w:val="10"/>
      <w:lang w:val="de-DE" w:eastAsia="de-DE" w:bidi="de-DE"/>
    </w:rPr>
  </w:style>
  <w:style w:type="character" w:customStyle="1" w:styleId="StyleDoclangBold">
    <w:name w:val="Style Doc_lang + Bold"/>
    <w:basedOn w:val="Doclang"/>
    <w:rsid w:val="0033507D"/>
    <w:rPr>
      <w:rFonts w:ascii="Arial" w:hAnsi="Arial"/>
      <w:b/>
      <w:bCs/>
      <w:sz w:val="20"/>
      <w:lang w:val="de-DE"/>
    </w:rPr>
  </w:style>
  <w:style w:type="paragraph" w:styleId="TOC2">
    <w:name w:val="toc 2"/>
    <w:next w:val="Normal"/>
    <w:autoRedefine/>
    <w:uiPriority w:val="39"/>
    <w:rsid w:val="0033507D"/>
    <w:pPr>
      <w:tabs>
        <w:tab w:val="right" w:leader="dot" w:pos="9639"/>
      </w:tabs>
      <w:spacing w:before="120"/>
      <w:ind w:left="851" w:right="851" w:hanging="567"/>
      <w:contextualSpacing/>
    </w:pPr>
    <w:rPr>
      <w:rFonts w:ascii="Arial" w:hAnsi="Arial"/>
      <w:noProof/>
    </w:rPr>
  </w:style>
  <w:style w:type="paragraph" w:styleId="TOC3">
    <w:name w:val="toc 3"/>
    <w:next w:val="Normal"/>
    <w:autoRedefine/>
    <w:uiPriority w:val="39"/>
    <w:rsid w:val="0033507D"/>
    <w:pPr>
      <w:tabs>
        <w:tab w:val="right" w:leader="dot" w:pos="9639"/>
      </w:tabs>
      <w:spacing w:before="120"/>
      <w:ind w:left="851" w:right="851" w:hanging="567"/>
      <w:contextualSpacing/>
    </w:pPr>
    <w:rPr>
      <w:rFonts w:ascii="Arial" w:hAnsi="Arial"/>
      <w:i/>
      <w:noProof/>
    </w:rPr>
  </w:style>
  <w:style w:type="character" w:styleId="Hyperlink">
    <w:name w:val="Hyperlink"/>
    <w:basedOn w:val="DefaultParagraphFont"/>
    <w:uiPriority w:val="99"/>
    <w:rsid w:val="0033507D"/>
    <w:rPr>
      <w:rFonts w:ascii="Arial" w:hAnsi="Arial"/>
      <w:color w:val="0000FF"/>
      <w:u w:val="single"/>
    </w:rPr>
  </w:style>
  <w:style w:type="paragraph" w:styleId="TOC4">
    <w:name w:val="toc 4"/>
    <w:next w:val="Normal"/>
    <w:autoRedefine/>
    <w:rsid w:val="0033507D"/>
    <w:pPr>
      <w:tabs>
        <w:tab w:val="right" w:leader="dot" w:pos="9639"/>
      </w:tabs>
      <w:spacing w:before="120"/>
      <w:ind w:left="851" w:right="851" w:hanging="284"/>
    </w:pPr>
    <w:rPr>
      <w:rFonts w:ascii="Arial" w:hAnsi="Arial"/>
      <w:i/>
      <w:noProof/>
    </w:rPr>
  </w:style>
  <w:style w:type="paragraph" w:styleId="TOC1">
    <w:name w:val="toc 1"/>
    <w:next w:val="Normal"/>
    <w:autoRedefine/>
    <w:uiPriority w:val="39"/>
    <w:rsid w:val="0033507D"/>
    <w:pPr>
      <w:tabs>
        <w:tab w:val="right" w:leader="dot" w:pos="9639"/>
      </w:tabs>
      <w:ind w:left="284" w:right="284" w:hanging="284"/>
      <w:contextualSpacing/>
    </w:pPr>
    <w:rPr>
      <w:rFonts w:ascii="Arial" w:hAnsi="Arial"/>
      <w:caps/>
      <w:noProof/>
    </w:rPr>
  </w:style>
  <w:style w:type="paragraph" w:styleId="TOC5">
    <w:name w:val="toc 5"/>
    <w:next w:val="Normal"/>
    <w:autoRedefine/>
    <w:rsid w:val="0033507D"/>
    <w:pPr>
      <w:tabs>
        <w:tab w:val="right" w:leader="dot" w:pos="9639"/>
      </w:tabs>
      <w:spacing w:before="120"/>
      <w:ind w:left="851" w:right="851" w:hanging="283"/>
      <w:jc w:val="both"/>
    </w:pPr>
    <w:rPr>
      <w:rFonts w:ascii="Arial" w:hAnsi="Arial"/>
      <w:noProof/>
      <w:sz w:val="18"/>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table" w:styleId="TableGrid">
    <w:name w:val="Table Grid"/>
    <w:basedOn w:val="TableNormal"/>
    <w:rsid w:val="00F046AC"/>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Normal"/>
    <w:rsid w:val="00F046AC"/>
    <w:pPr>
      <w:tabs>
        <w:tab w:val="decimal" w:pos="907"/>
        <w:tab w:val="left" w:pos="1077"/>
      </w:tabs>
    </w:pPr>
    <w:rPr>
      <w:rFonts w:ascii="Times New Roman" w:eastAsia="MS Mincho" w:hAnsi="Times New Roman"/>
      <w:sz w:val="24"/>
    </w:rPr>
  </w:style>
  <w:style w:type="paragraph" w:customStyle="1" w:styleId="n">
    <w:name w:val="n"/>
    <w:basedOn w:val="Header"/>
    <w:rsid w:val="00F046AC"/>
    <w:rPr>
      <w:rFonts w:ascii="Times New Roman" w:hAnsi="Times New Roman"/>
      <w:sz w:val="24"/>
    </w:rPr>
  </w:style>
  <w:style w:type="paragraph" w:customStyle="1" w:styleId="Normalt">
    <w:name w:val="Normalt"/>
    <w:basedOn w:val="Normal"/>
    <w:rsid w:val="00F046AC"/>
    <w:pPr>
      <w:spacing w:before="120" w:after="120"/>
      <w:jc w:val="left"/>
    </w:pPr>
    <w:rPr>
      <w:rFonts w:ascii="Times New Roman" w:hAnsi="Times New Roman" w:cs="Angsana New"/>
      <w:noProof/>
    </w:rPr>
  </w:style>
  <w:style w:type="paragraph" w:customStyle="1" w:styleId="Normaltb">
    <w:name w:val="Normaltb"/>
    <w:basedOn w:val="Normalt"/>
    <w:rsid w:val="00F046AC"/>
    <w:pPr>
      <w:keepNext/>
    </w:pPr>
    <w:rPr>
      <w:b/>
      <w:bCs/>
    </w:rPr>
  </w:style>
  <w:style w:type="paragraph" w:styleId="NormalWeb">
    <w:name w:val="Normal (Web)"/>
    <w:basedOn w:val="Normal"/>
    <w:rsid w:val="00F046AC"/>
    <w:pPr>
      <w:spacing w:before="100" w:beforeAutospacing="1" w:after="100" w:afterAutospacing="1"/>
      <w:jc w:val="left"/>
    </w:pPr>
    <w:rPr>
      <w:szCs w:val="24"/>
    </w:rPr>
  </w:style>
  <w:style w:type="paragraph" w:customStyle="1" w:styleId="pdflink">
    <w:name w:val="pdflink"/>
    <w:basedOn w:val="Normal"/>
    <w:next w:val="Normal"/>
    <w:rsid w:val="00F046AC"/>
    <w:rPr>
      <w:color w:val="800000"/>
      <w:u w:val="words"/>
    </w:rPr>
  </w:style>
  <w:style w:type="paragraph" w:customStyle="1" w:styleId="Draft">
    <w:name w:val="Draft"/>
    <w:basedOn w:val="Normal"/>
    <w:next w:val="preparedby"/>
    <w:rsid w:val="00F046AC"/>
    <w:pPr>
      <w:spacing w:before="720" w:after="480"/>
      <w:jc w:val="center"/>
    </w:pPr>
    <w:rPr>
      <w:caps/>
      <w:sz w:val="28"/>
    </w:rPr>
  </w:style>
  <w:style w:type="paragraph" w:customStyle="1" w:styleId="tqparabox">
    <w:name w:val="tqparabox"/>
    <w:basedOn w:val="Normal"/>
    <w:rsid w:val="00F046AC"/>
    <w:pPr>
      <w:tabs>
        <w:tab w:val="left" w:pos="567"/>
        <w:tab w:val="left" w:pos="1134"/>
        <w:tab w:val="left" w:pos="2976"/>
        <w:tab w:val="left" w:pos="5856"/>
        <w:tab w:val="left" w:pos="7296"/>
      </w:tabs>
      <w:spacing w:before="40" w:after="40"/>
      <w:ind w:left="567"/>
      <w:jc w:val="left"/>
    </w:pPr>
  </w:style>
  <w:style w:type="paragraph" w:styleId="BodyTextIndent">
    <w:name w:val="Body Text Indent"/>
    <w:basedOn w:val="Normal"/>
    <w:link w:val="BodyTextIndentChar"/>
    <w:rsid w:val="00F046AC"/>
    <w:pPr>
      <w:ind w:left="567"/>
    </w:pPr>
  </w:style>
  <w:style w:type="character" w:customStyle="1" w:styleId="BodyTextIndentChar">
    <w:name w:val="Body Text Indent Char"/>
    <w:basedOn w:val="DefaultParagraphFont"/>
    <w:link w:val="BodyTextIndent"/>
    <w:rsid w:val="00F046AC"/>
    <w:rPr>
      <w:rFonts w:ascii="Arial" w:hAnsi="Arial"/>
      <w:lang w:val="de-DE"/>
    </w:rPr>
  </w:style>
  <w:style w:type="paragraph" w:customStyle="1" w:styleId="twpcheck">
    <w:name w:val="twpcheck"/>
    <w:basedOn w:val="Normal"/>
    <w:rsid w:val="00F046AC"/>
    <w:pPr>
      <w:spacing w:before="80" w:after="80"/>
      <w:jc w:val="left"/>
    </w:pPr>
    <w:rPr>
      <w:rFonts w:cs="Arial"/>
      <w:snapToGrid w:val="0"/>
      <w:sz w:val="16"/>
      <w:szCs w:val="16"/>
    </w:rPr>
  </w:style>
  <w:style w:type="paragraph" w:customStyle="1" w:styleId="DecisionInvitingPara">
    <w:name w:val="Decision Inviting Para."/>
    <w:basedOn w:val="Normal"/>
    <w:rsid w:val="00F046AC"/>
    <w:pPr>
      <w:ind w:left="4536"/>
    </w:pPr>
    <w:rPr>
      <w:i/>
    </w:rPr>
  </w:style>
  <w:style w:type="paragraph" w:customStyle="1" w:styleId="Enttepair">
    <w:name w:val="Entête_pair"/>
    <w:basedOn w:val="Normal"/>
    <w:next w:val="Normal"/>
    <w:rsid w:val="00F046AC"/>
    <w:pPr>
      <w:pBdr>
        <w:bottom w:val="single" w:sz="4" w:space="1" w:color="auto"/>
      </w:pBdr>
      <w:jc w:val="left"/>
    </w:pPr>
    <w:rPr>
      <w:szCs w:val="24"/>
    </w:rPr>
  </w:style>
  <w:style w:type="paragraph" w:customStyle="1" w:styleId="Entteimpair">
    <w:name w:val="Entête_impair"/>
    <w:basedOn w:val="Normal"/>
    <w:next w:val="Normal"/>
    <w:rsid w:val="00F046AC"/>
    <w:pPr>
      <w:pBdr>
        <w:bottom w:val="single" w:sz="4" w:space="1" w:color="auto"/>
      </w:pBdr>
      <w:jc w:val="right"/>
    </w:pPr>
  </w:style>
  <w:style w:type="paragraph" w:styleId="ListBullet">
    <w:name w:val="List Bullet"/>
    <w:basedOn w:val="Normal"/>
    <w:autoRedefine/>
    <w:rsid w:val="00F046AC"/>
    <w:pPr>
      <w:tabs>
        <w:tab w:val="num" w:pos="360"/>
      </w:tabs>
      <w:ind w:left="360" w:hanging="360"/>
    </w:pPr>
    <w:rPr>
      <w:bCs/>
      <w:szCs w:val="24"/>
    </w:rPr>
  </w:style>
  <w:style w:type="character" w:styleId="FollowedHyperlink">
    <w:name w:val="FollowedHyperlink"/>
    <w:rsid w:val="00F046AC"/>
    <w:rPr>
      <w:color w:val="606420"/>
      <w:u w:val="single"/>
    </w:rPr>
  </w:style>
  <w:style w:type="paragraph" w:styleId="BlockText">
    <w:name w:val="Block Text"/>
    <w:basedOn w:val="Normal"/>
    <w:rsid w:val="00F046AC"/>
    <w:pPr>
      <w:ind w:left="567" w:right="566"/>
    </w:pPr>
    <w:rPr>
      <w:sz w:val="22"/>
    </w:rPr>
  </w:style>
  <w:style w:type="paragraph" w:styleId="CommentText">
    <w:name w:val="annotation text"/>
    <w:basedOn w:val="Normal"/>
    <w:link w:val="CommentTextChar"/>
    <w:uiPriority w:val="99"/>
    <w:rsid w:val="00F046AC"/>
    <w:rPr>
      <w:sz w:val="22"/>
    </w:rPr>
  </w:style>
  <w:style w:type="character" w:customStyle="1" w:styleId="CommentTextChar">
    <w:name w:val="Comment Text Char"/>
    <w:basedOn w:val="DefaultParagraphFont"/>
    <w:link w:val="CommentText"/>
    <w:uiPriority w:val="99"/>
    <w:rsid w:val="00F046AC"/>
    <w:rPr>
      <w:rFonts w:ascii="Arial" w:hAnsi="Arial"/>
      <w:sz w:val="22"/>
      <w:lang w:val="de-DE"/>
    </w:rPr>
  </w:style>
  <w:style w:type="paragraph" w:customStyle="1" w:styleId="Committee">
    <w:name w:val="Committee"/>
    <w:basedOn w:val="Title"/>
    <w:rsid w:val="00F046AC"/>
    <w:rPr>
      <w:caps w:val="0"/>
    </w:rPr>
  </w:style>
  <w:style w:type="paragraph" w:customStyle="1" w:styleId="TitleofSection">
    <w:name w:val="Title of Section"/>
    <w:basedOn w:val="TitleofDoc"/>
    <w:rsid w:val="00F046AC"/>
    <w:pPr>
      <w:spacing w:before="120" w:after="120"/>
    </w:pPr>
    <w:rPr>
      <w:b/>
      <w:caps w:val="0"/>
    </w:rPr>
  </w:style>
  <w:style w:type="paragraph" w:customStyle="1" w:styleId="TOCAnnex">
    <w:name w:val="TOC Annex"/>
    <w:basedOn w:val="Normal"/>
    <w:rsid w:val="00F046AC"/>
    <w:pPr>
      <w:tabs>
        <w:tab w:val="right" w:pos="9061"/>
      </w:tabs>
      <w:spacing w:before="240" w:after="120"/>
      <w:ind w:left="1021" w:right="567" w:hanging="1021"/>
      <w:jc w:val="left"/>
      <w:outlineLvl w:val="0"/>
    </w:pPr>
    <w:rPr>
      <w:b/>
      <w:noProof/>
      <w:sz w:val="22"/>
      <w:szCs w:val="22"/>
    </w:rPr>
  </w:style>
  <w:style w:type="paragraph" w:styleId="PlainText">
    <w:name w:val="Plain Text"/>
    <w:basedOn w:val="Normal"/>
    <w:link w:val="PlainTextChar"/>
    <w:rsid w:val="00F046AC"/>
    <w:rPr>
      <w:rFonts w:ascii="Courier New" w:hAnsi="Courier New" w:cs="Courier New"/>
    </w:rPr>
  </w:style>
  <w:style w:type="character" w:customStyle="1" w:styleId="PlainTextChar">
    <w:name w:val="Plain Text Char"/>
    <w:basedOn w:val="DefaultParagraphFont"/>
    <w:link w:val="PlainText"/>
    <w:rsid w:val="00F046AC"/>
    <w:rPr>
      <w:rFonts w:ascii="Courier New" w:hAnsi="Courier New" w:cs="Courier New"/>
      <w:lang w:eastAsia="de-DE"/>
    </w:rPr>
  </w:style>
  <w:style w:type="paragraph" w:customStyle="1" w:styleId="Default">
    <w:name w:val="Default"/>
    <w:basedOn w:val="Normal"/>
    <w:rsid w:val="00F046AC"/>
    <w:pPr>
      <w:jc w:val="left"/>
    </w:pPr>
    <w:rPr>
      <w:rFonts w:eastAsia="SimSun" w:cs="Arial"/>
      <w:color w:val="000000"/>
      <w:sz w:val="24"/>
      <w:szCs w:val="24"/>
    </w:rPr>
  </w:style>
  <w:style w:type="paragraph" w:customStyle="1" w:styleId="tgcharnumber">
    <w:name w:val="tg_char_number"/>
    <w:basedOn w:val="Normal"/>
    <w:rsid w:val="00F046AC"/>
    <w:pPr>
      <w:keepNext/>
      <w:spacing w:before="80" w:after="80"/>
      <w:jc w:val="center"/>
    </w:pPr>
    <w:rPr>
      <w:b/>
      <w:sz w:val="16"/>
    </w:rPr>
  </w:style>
  <w:style w:type="paragraph" w:customStyle="1" w:styleId="tgchartitle">
    <w:name w:val="tg_char_title"/>
    <w:basedOn w:val="Normal"/>
    <w:rsid w:val="00F046AC"/>
    <w:pPr>
      <w:spacing w:before="80" w:after="80"/>
      <w:jc w:val="left"/>
    </w:pPr>
    <w:rPr>
      <w:b/>
      <w:sz w:val="16"/>
    </w:rPr>
  </w:style>
  <w:style w:type="paragraph" w:customStyle="1" w:styleId="tgchartext">
    <w:name w:val="tg_char_text"/>
    <w:basedOn w:val="Normal"/>
    <w:rsid w:val="00F046AC"/>
    <w:pPr>
      <w:spacing w:before="80" w:after="80"/>
      <w:jc w:val="left"/>
    </w:pPr>
    <w:rPr>
      <w:sz w:val="16"/>
    </w:rPr>
  </w:style>
  <w:style w:type="paragraph" w:styleId="ListParagraph">
    <w:name w:val="List Paragraph"/>
    <w:basedOn w:val="Normal"/>
    <w:uiPriority w:val="34"/>
    <w:qFormat/>
    <w:rsid w:val="00F046AC"/>
    <w:pPr>
      <w:ind w:left="720"/>
      <w:contextualSpacing/>
    </w:pPr>
  </w:style>
  <w:style w:type="paragraph" w:customStyle="1" w:styleId="dec">
    <w:name w:val="dec"/>
    <w:basedOn w:val="Normal"/>
    <w:link w:val="decChar"/>
    <w:qFormat/>
    <w:rsid w:val="00F046AC"/>
    <w:pPr>
      <w:ind w:left="4536"/>
    </w:pPr>
    <w:rPr>
      <w:i/>
      <w:spacing w:val="-2"/>
    </w:rPr>
  </w:style>
  <w:style w:type="character" w:customStyle="1" w:styleId="decChar">
    <w:name w:val="dec Char"/>
    <w:basedOn w:val="DefaultParagraphFont"/>
    <w:link w:val="dec"/>
    <w:rsid w:val="00F046AC"/>
    <w:rPr>
      <w:rFonts w:ascii="Arial" w:hAnsi="Arial"/>
      <w:i/>
      <w:spacing w:val="-2"/>
    </w:rPr>
  </w:style>
  <w:style w:type="paragraph" w:customStyle="1" w:styleId="EndOfDoc0">
    <w:name w:val="EndOfDoc"/>
    <w:basedOn w:val="Normal"/>
    <w:rsid w:val="00F046AC"/>
    <w:pPr>
      <w:ind w:left="4536"/>
      <w:jc w:val="center"/>
    </w:pPr>
    <w:rPr>
      <w:rFonts w:ascii="Times New Roman" w:hAnsi="Times New Roman"/>
      <w:sz w:val="24"/>
    </w:rPr>
  </w:style>
  <w:style w:type="paragraph" w:customStyle="1" w:styleId="decisionpara">
    <w:name w:val="decision para"/>
    <w:basedOn w:val="Normal"/>
    <w:rsid w:val="00F046AC"/>
    <w:pPr>
      <w:spacing w:line="240" w:lineRule="atLeast"/>
      <w:ind w:left="4536"/>
      <w:outlineLvl w:val="0"/>
    </w:pPr>
    <w:rPr>
      <w:rFonts w:ascii="Times New Roman" w:hAnsi="Times New Roman"/>
      <w:i/>
      <w:sz w:val="24"/>
    </w:rPr>
  </w:style>
  <w:style w:type="paragraph" w:styleId="TOC6">
    <w:name w:val="toc 6"/>
    <w:basedOn w:val="Normal"/>
    <w:next w:val="Normal"/>
    <w:autoRedefine/>
    <w:rsid w:val="00F046AC"/>
    <w:pPr>
      <w:ind w:left="1200"/>
    </w:pPr>
  </w:style>
  <w:style w:type="paragraph" w:styleId="E-mailSignature">
    <w:name w:val="E-mail Signature"/>
    <w:basedOn w:val="Normal"/>
    <w:link w:val="E-mailSignatureChar"/>
    <w:rsid w:val="00F046AC"/>
  </w:style>
  <w:style w:type="character" w:customStyle="1" w:styleId="E-mailSignatureChar">
    <w:name w:val="E-mail Signature Char"/>
    <w:basedOn w:val="DefaultParagraphFont"/>
    <w:link w:val="E-mailSignature"/>
    <w:rsid w:val="00F046AC"/>
    <w:rPr>
      <w:rFonts w:ascii="Arial" w:hAnsi="Arial"/>
    </w:rPr>
  </w:style>
  <w:style w:type="character" w:styleId="Emphasis">
    <w:name w:val="Emphasis"/>
    <w:basedOn w:val="DefaultParagraphFont"/>
    <w:qFormat/>
    <w:rsid w:val="00F046AC"/>
    <w:rPr>
      <w:i/>
      <w:iCs/>
    </w:rPr>
  </w:style>
  <w:style w:type="paragraph" w:styleId="EnvelopeAddress">
    <w:name w:val="envelope address"/>
    <w:basedOn w:val="Normal"/>
    <w:rsid w:val="00F046AC"/>
    <w:pPr>
      <w:framePr w:w="7920" w:h="1980" w:hRule="exact" w:hSpace="180" w:wrap="auto" w:hAnchor="page" w:xAlign="center" w:yAlign="bottom"/>
      <w:ind w:left="2880"/>
    </w:pPr>
    <w:rPr>
      <w:rFonts w:cs="Arial"/>
      <w:szCs w:val="24"/>
    </w:rPr>
  </w:style>
  <w:style w:type="paragraph" w:styleId="EnvelopeReturn">
    <w:name w:val="envelope return"/>
    <w:basedOn w:val="Normal"/>
    <w:rsid w:val="00F046AC"/>
    <w:rPr>
      <w:rFonts w:cs="Arial"/>
    </w:rPr>
  </w:style>
  <w:style w:type="character" w:styleId="HTMLAcronym">
    <w:name w:val="HTML Acronym"/>
    <w:basedOn w:val="DefaultParagraphFont"/>
    <w:rsid w:val="00F046AC"/>
  </w:style>
  <w:style w:type="paragraph" w:styleId="HTMLAddress">
    <w:name w:val="HTML Address"/>
    <w:basedOn w:val="Normal"/>
    <w:link w:val="HTMLAddressChar"/>
    <w:rsid w:val="00F046AC"/>
    <w:rPr>
      <w:i/>
      <w:iCs/>
    </w:rPr>
  </w:style>
  <w:style w:type="character" w:customStyle="1" w:styleId="HTMLAddressChar">
    <w:name w:val="HTML Address Char"/>
    <w:basedOn w:val="DefaultParagraphFont"/>
    <w:link w:val="HTMLAddress"/>
    <w:rsid w:val="00F046AC"/>
    <w:rPr>
      <w:rFonts w:ascii="Arial" w:hAnsi="Arial"/>
      <w:i/>
      <w:iCs/>
    </w:rPr>
  </w:style>
  <w:style w:type="character" w:styleId="HTMLCite">
    <w:name w:val="HTML Cite"/>
    <w:basedOn w:val="DefaultParagraphFont"/>
    <w:rsid w:val="00F046AC"/>
    <w:rPr>
      <w:i/>
      <w:iCs/>
    </w:rPr>
  </w:style>
  <w:style w:type="character" w:styleId="HTMLCode">
    <w:name w:val="HTML Code"/>
    <w:basedOn w:val="DefaultParagraphFont"/>
    <w:rsid w:val="00F046AC"/>
    <w:rPr>
      <w:rFonts w:ascii="Courier New" w:hAnsi="Courier New" w:cs="Courier New"/>
      <w:sz w:val="20"/>
      <w:szCs w:val="20"/>
    </w:rPr>
  </w:style>
  <w:style w:type="character" w:styleId="HTMLDefinition">
    <w:name w:val="HTML Definition"/>
    <w:basedOn w:val="DefaultParagraphFont"/>
    <w:rsid w:val="00F046AC"/>
    <w:rPr>
      <w:i/>
      <w:iCs/>
    </w:rPr>
  </w:style>
  <w:style w:type="character" w:styleId="HTMLKeyboard">
    <w:name w:val="HTML Keyboard"/>
    <w:basedOn w:val="DefaultParagraphFont"/>
    <w:rsid w:val="00F046AC"/>
    <w:rPr>
      <w:rFonts w:ascii="Courier New" w:hAnsi="Courier New" w:cs="Courier New"/>
      <w:sz w:val="20"/>
      <w:szCs w:val="20"/>
    </w:rPr>
  </w:style>
  <w:style w:type="paragraph" w:styleId="HTMLPreformatted">
    <w:name w:val="HTML Preformatted"/>
    <w:basedOn w:val="Normal"/>
    <w:link w:val="HTMLPreformattedChar"/>
    <w:rsid w:val="00F046AC"/>
    <w:rPr>
      <w:rFonts w:ascii="Courier New" w:hAnsi="Courier New" w:cs="Courier New"/>
    </w:rPr>
  </w:style>
  <w:style w:type="character" w:customStyle="1" w:styleId="HTMLPreformattedChar">
    <w:name w:val="HTML Preformatted Char"/>
    <w:basedOn w:val="DefaultParagraphFont"/>
    <w:link w:val="HTMLPreformatted"/>
    <w:rsid w:val="00F046AC"/>
    <w:rPr>
      <w:rFonts w:ascii="Courier New" w:hAnsi="Courier New" w:cs="Courier New"/>
    </w:rPr>
  </w:style>
  <w:style w:type="character" w:styleId="HTMLSample">
    <w:name w:val="HTML Sample"/>
    <w:basedOn w:val="DefaultParagraphFont"/>
    <w:rsid w:val="00F046AC"/>
    <w:rPr>
      <w:rFonts w:ascii="Courier New" w:hAnsi="Courier New" w:cs="Courier New"/>
    </w:rPr>
  </w:style>
  <w:style w:type="character" w:styleId="HTMLTypewriter">
    <w:name w:val="HTML Typewriter"/>
    <w:basedOn w:val="DefaultParagraphFont"/>
    <w:rsid w:val="00F046AC"/>
    <w:rPr>
      <w:rFonts w:ascii="Courier New" w:hAnsi="Courier New" w:cs="Courier New"/>
      <w:sz w:val="20"/>
      <w:szCs w:val="20"/>
    </w:rPr>
  </w:style>
  <w:style w:type="character" w:styleId="HTMLVariable">
    <w:name w:val="HTML Variable"/>
    <w:basedOn w:val="DefaultParagraphFont"/>
    <w:rsid w:val="00F046AC"/>
    <w:rPr>
      <w:i/>
      <w:iCs/>
    </w:rPr>
  </w:style>
  <w:style w:type="character" w:styleId="LineNumber">
    <w:name w:val="line number"/>
    <w:basedOn w:val="DefaultParagraphFont"/>
    <w:rsid w:val="00F046AC"/>
  </w:style>
  <w:style w:type="paragraph" w:styleId="List">
    <w:name w:val="List"/>
    <w:basedOn w:val="Normal"/>
    <w:rsid w:val="00F046AC"/>
    <w:pPr>
      <w:ind w:left="360" w:hanging="360"/>
    </w:pPr>
  </w:style>
  <w:style w:type="paragraph" w:styleId="List2">
    <w:name w:val="List 2"/>
    <w:basedOn w:val="Normal"/>
    <w:rsid w:val="00F046AC"/>
    <w:pPr>
      <w:ind w:left="720" w:hanging="360"/>
    </w:pPr>
  </w:style>
  <w:style w:type="paragraph" w:styleId="List3">
    <w:name w:val="List 3"/>
    <w:basedOn w:val="Normal"/>
    <w:rsid w:val="00F046AC"/>
    <w:pPr>
      <w:ind w:left="1080" w:hanging="360"/>
    </w:pPr>
  </w:style>
  <w:style w:type="paragraph" w:styleId="List4">
    <w:name w:val="List 4"/>
    <w:basedOn w:val="Normal"/>
    <w:rsid w:val="00F046AC"/>
    <w:pPr>
      <w:ind w:left="1440" w:hanging="360"/>
    </w:pPr>
  </w:style>
  <w:style w:type="paragraph" w:styleId="List5">
    <w:name w:val="List 5"/>
    <w:basedOn w:val="Normal"/>
    <w:rsid w:val="00F046AC"/>
    <w:pPr>
      <w:ind w:left="1800" w:hanging="360"/>
    </w:pPr>
  </w:style>
  <w:style w:type="paragraph" w:styleId="ListBullet2">
    <w:name w:val="List Bullet 2"/>
    <w:basedOn w:val="Normal"/>
    <w:rsid w:val="00F046AC"/>
    <w:pPr>
      <w:tabs>
        <w:tab w:val="num" w:pos="720"/>
      </w:tabs>
      <w:ind w:left="720" w:hanging="360"/>
    </w:pPr>
  </w:style>
  <w:style w:type="paragraph" w:styleId="ListBullet3">
    <w:name w:val="List Bullet 3"/>
    <w:basedOn w:val="Normal"/>
    <w:rsid w:val="00F046AC"/>
    <w:pPr>
      <w:tabs>
        <w:tab w:val="num" w:pos="1080"/>
      </w:tabs>
      <w:ind w:left="1080" w:hanging="360"/>
    </w:pPr>
  </w:style>
  <w:style w:type="paragraph" w:styleId="ListBullet4">
    <w:name w:val="List Bullet 4"/>
    <w:basedOn w:val="Normal"/>
    <w:rsid w:val="00F046AC"/>
    <w:pPr>
      <w:tabs>
        <w:tab w:val="num" w:pos="1440"/>
      </w:tabs>
      <w:ind w:left="1440" w:hanging="360"/>
    </w:pPr>
  </w:style>
  <w:style w:type="paragraph" w:styleId="ListBullet5">
    <w:name w:val="List Bullet 5"/>
    <w:basedOn w:val="Normal"/>
    <w:rsid w:val="00F046AC"/>
    <w:pPr>
      <w:tabs>
        <w:tab w:val="num" w:pos="1800"/>
      </w:tabs>
      <w:ind w:left="1800" w:hanging="360"/>
    </w:pPr>
  </w:style>
  <w:style w:type="paragraph" w:styleId="ListContinue">
    <w:name w:val="List Continue"/>
    <w:basedOn w:val="Normal"/>
    <w:rsid w:val="00F046AC"/>
    <w:pPr>
      <w:spacing w:after="120"/>
      <w:ind w:left="360"/>
    </w:pPr>
  </w:style>
  <w:style w:type="paragraph" w:styleId="ListContinue2">
    <w:name w:val="List Continue 2"/>
    <w:basedOn w:val="Normal"/>
    <w:rsid w:val="00F046AC"/>
    <w:pPr>
      <w:spacing w:after="120"/>
      <w:ind w:left="720"/>
    </w:pPr>
  </w:style>
  <w:style w:type="paragraph" w:styleId="ListContinue3">
    <w:name w:val="List Continue 3"/>
    <w:basedOn w:val="Normal"/>
    <w:rsid w:val="00F046AC"/>
    <w:pPr>
      <w:spacing w:after="120"/>
      <w:ind w:left="1080"/>
    </w:pPr>
  </w:style>
  <w:style w:type="paragraph" w:styleId="ListContinue4">
    <w:name w:val="List Continue 4"/>
    <w:basedOn w:val="Normal"/>
    <w:rsid w:val="00F046AC"/>
    <w:pPr>
      <w:spacing w:after="120"/>
      <w:ind w:left="1440"/>
    </w:pPr>
  </w:style>
  <w:style w:type="paragraph" w:styleId="ListContinue5">
    <w:name w:val="List Continue 5"/>
    <w:basedOn w:val="Normal"/>
    <w:rsid w:val="00F046AC"/>
    <w:pPr>
      <w:spacing w:after="120"/>
      <w:ind w:left="1800"/>
    </w:pPr>
  </w:style>
  <w:style w:type="paragraph" w:styleId="ListNumber">
    <w:name w:val="List Number"/>
    <w:basedOn w:val="Normal"/>
    <w:rsid w:val="00F046AC"/>
    <w:pPr>
      <w:tabs>
        <w:tab w:val="num" w:pos="360"/>
      </w:tabs>
      <w:ind w:left="360" w:hanging="360"/>
    </w:pPr>
  </w:style>
  <w:style w:type="paragraph" w:styleId="ListNumber2">
    <w:name w:val="List Number 2"/>
    <w:basedOn w:val="Normal"/>
    <w:rsid w:val="00F046AC"/>
    <w:pPr>
      <w:tabs>
        <w:tab w:val="num" w:pos="720"/>
      </w:tabs>
      <w:ind w:left="720" w:hanging="360"/>
    </w:pPr>
  </w:style>
  <w:style w:type="paragraph" w:styleId="ListNumber3">
    <w:name w:val="List Number 3"/>
    <w:basedOn w:val="Normal"/>
    <w:rsid w:val="00F046AC"/>
    <w:pPr>
      <w:tabs>
        <w:tab w:val="num" w:pos="1080"/>
      </w:tabs>
      <w:ind w:left="1080" w:hanging="360"/>
    </w:pPr>
  </w:style>
  <w:style w:type="paragraph" w:styleId="ListNumber4">
    <w:name w:val="List Number 4"/>
    <w:basedOn w:val="Normal"/>
    <w:rsid w:val="00F046AC"/>
    <w:pPr>
      <w:tabs>
        <w:tab w:val="num" w:pos="1440"/>
      </w:tabs>
      <w:ind w:left="1440" w:hanging="360"/>
    </w:pPr>
  </w:style>
  <w:style w:type="paragraph" w:styleId="ListNumber5">
    <w:name w:val="List Number 5"/>
    <w:basedOn w:val="Normal"/>
    <w:rsid w:val="00F046AC"/>
    <w:pPr>
      <w:tabs>
        <w:tab w:val="num" w:pos="1800"/>
      </w:tabs>
      <w:ind w:left="1800" w:hanging="360"/>
    </w:pPr>
  </w:style>
  <w:style w:type="paragraph" w:styleId="MessageHeader">
    <w:name w:val="Message Header"/>
    <w:basedOn w:val="Normal"/>
    <w:link w:val="MessageHeaderChar"/>
    <w:rsid w:val="00F046AC"/>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sid w:val="00F046AC"/>
    <w:rPr>
      <w:rFonts w:ascii="Arial" w:hAnsi="Arial" w:cs="Arial"/>
      <w:szCs w:val="24"/>
      <w:shd w:val="pct20" w:color="auto" w:fill="auto"/>
    </w:rPr>
  </w:style>
  <w:style w:type="paragraph" w:styleId="NoteHeading">
    <w:name w:val="Note Heading"/>
    <w:basedOn w:val="Normal"/>
    <w:next w:val="Normal"/>
    <w:link w:val="NoteHeadingChar"/>
    <w:rsid w:val="00F046AC"/>
  </w:style>
  <w:style w:type="character" w:customStyle="1" w:styleId="NoteHeadingChar">
    <w:name w:val="Note Heading Char"/>
    <w:basedOn w:val="DefaultParagraphFont"/>
    <w:link w:val="NoteHeading"/>
    <w:rsid w:val="00F046AC"/>
    <w:rPr>
      <w:rFonts w:ascii="Arial" w:hAnsi="Arial"/>
    </w:rPr>
  </w:style>
  <w:style w:type="paragraph" w:styleId="Salutation">
    <w:name w:val="Salutation"/>
    <w:basedOn w:val="Normal"/>
    <w:next w:val="Normal"/>
    <w:link w:val="SalutationChar"/>
    <w:rsid w:val="00F046AC"/>
  </w:style>
  <w:style w:type="character" w:customStyle="1" w:styleId="SalutationChar">
    <w:name w:val="Salutation Char"/>
    <w:basedOn w:val="DefaultParagraphFont"/>
    <w:link w:val="Salutation"/>
    <w:rsid w:val="00F046AC"/>
    <w:rPr>
      <w:rFonts w:ascii="Arial" w:hAnsi="Arial"/>
    </w:rPr>
  </w:style>
  <w:style w:type="character" w:styleId="Strong">
    <w:name w:val="Strong"/>
    <w:basedOn w:val="DefaultParagraphFont"/>
    <w:qFormat/>
    <w:rsid w:val="00F046AC"/>
    <w:rPr>
      <w:b/>
      <w:bCs/>
    </w:rPr>
  </w:style>
  <w:style w:type="paragraph" w:styleId="Subtitle">
    <w:name w:val="Subtitle"/>
    <w:basedOn w:val="Normal"/>
    <w:link w:val="SubtitleChar"/>
    <w:qFormat/>
    <w:rsid w:val="00F046AC"/>
    <w:pPr>
      <w:spacing w:after="60"/>
      <w:jc w:val="center"/>
      <w:outlineLvl w:val="1"/>
    </w:pPr>
    <w:rPr>
      <w:rFonts w:cs="Arial"/>
      <w:szCs w:val="24"/>
    </w:rPr>
  </w:style>
  <w:style w:type="character" w:customStyle="1" w:styleId="SubtitleChar">
    <w:name w:val="Subtitle Char"/>
    <w:basedOn w:val="DefaultParagraphFont"/>
    <w:link w:val="Subtitle"/>
    <w:rsid w:val="00F046AC"/>
    <w:rPr>
      <w:rFonts w:ascii="Arial" w:hAnsi="Arial" w:cs="Arial"/>
      <w:szCs w:val="24"/>
    </w:rPr>
  </w:style>
  <w:style w:type="table" w:styleId="TableSimple1">
    <w:name w:val="Table Simple 1"/>
    <w:basedOn w:val="TableNormal"/>
    <w:rsid w:val="00F046AC"/>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TOC7">
    <w:name w:val="toc 7"/>
    <w:basedOn w:val="Normal"/>
    <w:next w:val="Normal"/>
    <w:autoRedefine/>
    <w:rsid w:val="00F046AC"/>
    <w:pPr>
      <w:ind w:left="1440"/>
    </w:pPr>
  </w:style>
  <w:style w:type="paragraph" w:styleId="TOC8">
    <w:name w:val="toc 8"/>
    <w:basedOn w:val="Normal"/>
    <w:next w:val="Normal"/>
    <w:autoRedefine/>
    <w:rsid w:val="00F046AC"/>
    <w:pPr>
      <w:ind w:left="1680"/>
    </w:pPr>
  </w:style>
  <w:style w:type="paragraph" w:styleId="TOC9">
    <w:name w:val="toc 9"/>
    <w:basedOn w:val="Normal"/>
    <w:next w:val="Normal"/>
    <w:autoRedefine/>
    <w:rsid w:val="00F046AC"/>
    <w:pPr>
      <w:ind w:left="1920"/>
    </w:pPr>
  </w:style>
  <w:style w:type="paragraph" w:styleId="Caption">
    <w:name w:val="caption"/>
    <w:basedOn w:val="Normal"/>
    <w:next w:val="Normal"/>
    <w:qFormat/>
    <w:rsid w:val="00F046AC"/>
    <w:pPr>
      <w:framePr w:w="11102" w:hSpace="181" w:wrap="around" w:vAnchor="page" w:hAnchor="page" w:x="438" w:y="15985" w:anchorLock="1"/>
      <w:jc w:val="center"/>
    </w:pPr>
    <w:rPr>
      <w:b/>
      <w:snapToGrid w:val="0"/>
    </w:rPr>
  </w:style>
  <w:style w:type="character" w:styleId="CommentReference">
    <w:name w:val="annotation reference"/>
    <w:basedOn w:val="DefaultParagraphFont"/>
    <w:uiPriority w:val="99"/>
    <w:rsid w:val="00F046AC"/>
    <w:rPr>
      <w:rFonts w:cs="Times New Roman"/>
      <w:sz w:val="16"/>
      <w:szCs w:val="16"/>
    </w:rPr>
  </w:style>
  <w:style w:type="paragraph" w:styleId="CommentSubject">
    <w:name w:val="annotation subject"/>
    <w:basedOn w:val="CommentText"/>
    <w:next w:val="CommentText"/>
    <w:link w:val="CommentSubjectChar"/>
    <w:rsid w:val="00F046AC"/>
    <w:rPr>
      <w:b/>
      <w:bCs/>
      <w:sz w:val="20"/>
    </w:rPr>
  </w:style>
  <w:style w:type="character" w:customStyle="1" w:styleId="CommentSubjectChar">
    <w:name w:val="Comment Subject Char"/>
    <w:basedOn w:val="CommentTextChar"/>
    <w:link w:val="CommentSubject"/>
    <w:rsid w:val="00F046AC"/>
    <w:rPr>
      <w:rFonts w:ascii="Arial" w:hAnsi="Arial"/>
      <w:b/>
      <w:bCs/>
      <w:sz w:val="22"/>
      <w:lang w:val="de-DE"/>
    </w:rPr>
  </w:style>
  <w:style w:type="paragraph" w:customStyle="1" w:styleId="Normaltg">
    <w:name w:val="Normaltg"/>
    <w:basedOn w:val="Normal"/>
    <w:link w:val="NormaltgChar"/>
    <w:rsid w:val="00F046AC"/>
    <w:rPr>
      <w:rFonts w:cs="Angsana New"/>
      <w:szCs w:val="24"/>
    </w:rPr>
  </w:style>
  <w:style w:type="character" w:customStyle="1" w:styleId="NormaltgChar">
    <w:name w:val="Normaltg Char"/>
    <w:link w:val="Normaltg"/>
    <w:rsid w:val="00F046AC"/>
    <w:rPr>
      <w:rFonts w:ascii="Arial" w:hAnsi="Arial" w:cs="Angsana New"/>
      <w:szCs w:val="24"/>
      <w:lang w:eastAsia="de-DE" w:bidi="de-DE"/>
    </w:rPr>
  </w:style>
  <w:style w:type="paragraph" w:customStyle="1" w:styleId="style10">
    <w:name w:val="style1"/>
    <w:basedOn w:val="Normal"/>
    <w:rsid w:val="00C4342D"/>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907262">
      <w:bodyDiv w:val="1"/>
      <w:marLeft w:val="0"/>
      <w:marRight w:val="0"/>
      <w:marTop w:val="0"/>
      <w:marBottom w:val="0"/>
      <w:divBdr>
        <w:top w:val="none" w:sz="0" w:space="0" w:color="auto"/>
        <w:left w:val="none" w:sz="0" w:space="0" w:color="auto"/>
        <w:bottom w:val="none" w:sz="0" w:space="0" w:color="auto"/>
        <w:right w:val="none" w:sz="0" w:space="0" w:color="auto"/>
      </w:divBdr>
    </w:div>
    <w:div w:id="596138767">
      <w:bodyDiv w:val="1"/>
      <w:marLeft w:val="0"/>
      <w:marRight w:val="0"/>
      <w:marTop w:val="0"/>
      <w:marBottom w:val="0"/>
      <w:divBdr>
        <w:top w:val="none" w:sz="0" w:space="0" w:color="auto"/>
        <w:left w:val="none" w:sz="0" w:space="0" w:color="auto"/>
        <w:bottom w:val="none" w:sz="0" w:space="0" w:color="auto"/>
        <w:right w:val="none" w:sz="0" w:space="0" w:color="auto"/>
      </w:divBdr>
    </w:div>
    <w:div w:id="651181529">
      <w:bodyDiv w:val="1"/>
      <w:marLeft w:val="0"/>
      <w:marRight w:val="0"/>
      <w:marTop w:val="0"/>
      <w:marBottom w:val="0"/>
      <w:divBdr>
        <w:top w:val="none" w:sz="0" w:space="0" w:color="auto"/>
        <w:left w:val="none" w:sz="0" w:space="0" w:color="auto"/>
        <w:bottom w:val="none" w:sz="0" w:space="0" w:color="auto"/>
        <w:right w:val="none" w:sz="0" w:space="0" w:color="auto"/>
      </w:divBdr>
    </w:div>
    <w:div w:id="851649750">
      <w:bodyDiv w:val="1"/>
      <w:marLeft w:val="0"/>
      <w:marRight w:val="0"/>
      <w:marTop w:val="0"/>
      <w:marBottom w:val="0"/>
      <w:divBdr>
        <w:top w:val="none" w:sz="0" w:space="0" w:color="auto"/>
        <w:left w:val="none" w:sz="0" w:space="0" w:color="auto"/>
        <w:bottom w:val="none" w:sz="0" w:space="0" w:color="auto"/>
        <w:right w:val="none" w:sz="0" w:space="0" w:color="auto"/>
      </w:divBdr>
    </w:div>
    <w:div w:id="892546200">
      <w:bodyDiv w:val="1"/>
      <w:marLeft w:val="0"/>
      <w:marRight w:val="0"/>
      <w:marTop w:val="0"/>
      <w:marBottom w:val="0"/>
      <w:divBdr>
        <w:top w:val="none" w:sz="0" w:space="0" w:color="auto"/>
        <w:left w:val="none" w:sz="0" w:space="0" w:color="auto"/>
        <w:bottom w:val="none" w:sz="0" w:space="0" w:color="auto"/>
        <w:right w:val="none" w:sz="0" w:space="0" w:color="auto"/>
      </w:divBdr>
    </w:div>
    <w:div w:id="953170524">
      <w:bodyDiv w:val="1"/>
      <w:marLeft w:val="0"/>
      <w:marRight w:val="0"/>
      <w:marTop w:val="0"/>
      <w:marBottom w:val="0"/>
      <w:divBdr>
        <w:top w:val="none" w:sz="0" w:space="0" w:color="auto"/>
        <w:left w:val="none" w:sz="0" w:space="0" w:color="auto"/>
        <w:bottom w:val="none" w:sz="0" w:space="0" w:color="auto"/>
        <w:right w:val="none" w:sz="0" w:space="0" w:color="auto"/>
      </w:divBdr>
    </w:div>
    <w:div w:id="963460335">
      <w:bodyDiv w:val="1"/>
      <w:marLeft w:val="0"/>
      <w:marRight w:val="0"/>
      <w:marTop w:val="0"/>
      <w:marBottom w:val="0"/>
      <w:divBdr>
        <w:top w:val="none" w:sz="0" w:space="0" w:color="auto"/>
        <w:left w:val="none" w:sz="0" w:space="0" w:color="auto"/>
        <w:bottom w:val="none" w:sz="0" w:space="0" w:color="auto"/>
        <w:right w:val="none" w:sz="0" w:space="0" w:color="auto"/>
      </w:divBdr>
    </w:div>
    <w:div w:id="1260262539">
      <w:bodyDiv w:val="1"/>
      <w:marLeft w:val="0"/>
      <w:marRight w:val="0"/>
      <w:marTop w:val="0"/>
      <w:marBottom w:val="0"/>
      <w:divBdr>
        <w:top w:val="none" w:sz="0" w:space="0" w:color="auto"/>
        <w:left w:val="none" w:sz="0" w:space="0" w:color="auto"/>
        <w:bottom w:val="none" w:sz="0" w:space="0" w:color="auto"/>
        <w:right w:val="none" w:sz="0" w:space="0" w:color="auto"/>
      </w:divBdr>
    </w:div>
    <w:div w:id="1367413729">
      <w:bodyDiv w:val="1"/>
      <w:marLeft w:val="0"/>
      <w:marRight w:val="0"/>
      <w:marTop w:val="0"/>
      <w:marBottom w:val="0"/>
      <w:divBdr>
        <w:top w:val="none" w:sz="0" w:space="0" w:color="auto"/>
        <w:left w:val="none" w:sz="0" w:space="0" w:color="auto"/>
        <w:bottom w:val="none" w:sz="0" w:space="0" w:color="auto"/>
        <w:right w:val="none" w:sz="0" w:space="0" w:color="auto"/>
      </w:divBdr>
    </w:div>
    <w:div w:id="1369909656">
      <w:bodyDiv w:val="1"/>
      <w:marLeft w:val="0"/>
      <w:marRight w:val="0"/>
      <w:marTop w:val="0"/>
      <w:marBottom w:val="0"/>
      <w:divBdr>
        <w:top w:val="none" w:sz="0" w:space="0" w:color="auto"/>
        <w:left w:val="none" w:sz="0" w:space="0" w:color="auto"/>
        <w:bottom w:val="none" w:sz="0" w:space="0" w:color="auto"/>
        <w:right w:val="none" w:sz="0" w:space="0" w:color="auto"/>
      </w:divBdr>
    </w:div>
    <w:div w:id="1471485345">
      <w:bodyDiv w:val="1"/>
      <w:marLeft w:val="0"/>
      <w:marRight w:val="0"/>
      <w:marTop w:val="0"/>
      <w:marBottom w:val="0"/>
      <w:divBdr>
        <w:top w:val="none" w:sz="0" w:space="0" w:color="auto"/>
        <w:left w:val="none" w:sz="0" w:space="0" w:color="auto"/>
        <w:bottom w:val="none" w:sz="0" w:space="0" w:color="auto"/>
        <w:right w:val="none" w:sz="0" w:space="0" w:color="auto"/>
      </w:divBdr>
    </w:div>
    <w:div w:id="1783648618">
      <w:bodyDiv w:val="1"/>
      <w:marLeft w:val="0"/>
      <w:marRight w:val="0"/>
      <w:marTop w:val="0"/>
      <w:marBottom w:val="0"/>
      <w:divBdr>
        <w:top w:val="none" w:sz="0" w:space="0" w:color="auto"/>
        <w:left w:val="none" w:sz="0" w:space="0" w:color="auto"/>
        <w:bottom w:val="none" w:sz="0" w:space="0" w:color="auto"/>
        <w:right w:val="none" w:sz="0" w:space="0" w:color="auto"/>
      </w:divBdr>
    </w:div>
    <w:div w:id="1802993213">
      <w:bodyDiv w:val="1"/>
      <w:marLeft w:val="0"/>
      <w:marRight w:val="0"/>
      <w:marTop w:val="0"/>
      <w:marBottom w:val="0"/>
      <w:divBdr>
        <w:top w:val="none" w:sz="0" w:space="0" w:color="auto"/>
        <w:left w:val="none" w:sz="0" w:space="0" w:color="auto"/>
        <w:bottom w:val="none" w:sz="0" w:space="0" w:color="auto"/>
        <w:right w:val="none" w:sz="0" w:space="0" w:color="auto"/>
      </w:divBdr>
    </w:div>
    <w:div w:id="2139520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upov.int/test_guidelines/de/"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8\templates\C_4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E47BAB-6DD0-4EAA-85F7-3138D8EEE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C_48_EN.dotx</Template>
  <TotalTime>6</TotalTime>
  <Pages>38</Pages>
  <Words>15336</Words>
  <Characters>106718</Characters>
  <Application>Microsoft Office Word</Application>
  <DocSecurity>0</DocSecurity>
  <Lines>889</Lines>
  <Paragraphs>243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C/48/</vt:lpstr>
      <vt:lpstr>C/48/</vt:lpstr>
    </vt:vector>
  </TitlesOfParts>
  <Company>UPOV</Company>
  <LinksUpToDate>false</LinksUpToDate>
  <CharactersWithSpaces>121811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lastModifiedBy>BESSE Ariane</cp:lastModifiedBy>
  <cp:revision>76</cp:revision>
  <cp:lastPrinted>2014-07-16T07:26:00Z</cp:lastPrinted>
  <dcterms:created xsi:type="dcterms:W3CDTF">2014-08-05T08:26:00Z</dcterms:created>
  <dcterms:modified xsi:type="dcterms:W3CDTF">2014-09-02T14:44:00Z</dcterms:modified>
</cp:coreProperties>
</file>