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376BC" w:rsidRPr="00154DC4" w:rsidTr="002833DF">
        <w:trPr>
          <w:trHeight w:val="1760"/>
        </w:trPr>
        <w:tc>
          <w:tcPr>
            <w:tcW w:w="3993" w:type="dxa"/>
          </w:tcPr>
          <w:p w:rsidR="000376BC" w:rsidRPr="00C5280D" w:rsidRDefault="000376BC" w:rsidP="002833DF"/>
        </w:tc>
        <w:tc>
          <w:tcPr>
            <w:tcW w:w="1549" w:type="dxa"/>
            <w:vAlign w:val="center"/>
          </w:tcPr>
          <w:p w:rsidR="000376BC" w:rsidRPr="00710780" w:rsidRDefault="00FD1AA6" w:rsidP="002833DF">
            <w:pPr>
              <w:pStyle w:val="LogoUPOV"/>
            </w:pPr>
            <w:r w:rsidRPr="00C60FC3">
              <w:rPr>
                <w:noProof/>
              </w:rPr>
              <w:drawing>
                <wp:inline distT="0" distB="0" distL="0" distR="0" wp14:anchorId="59D8C0AA" wp14:editId="6B641ED5">
                  <wp:extent cx="9810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3992" w:type="dxa"/>
            <w:vAlign w:val="center"/>
          </w:tcPr>
          <w:p w:rsidR="000376BC" w:rsidRPr="00CE695F" w:rsidRDefault="000376BC" w:rsidP="00154DC4">
            <w:pPr>
              <w:pStyle w:val="Lettrine"/>
              <w:rPr>
                <w:lang w:val="de-DE"/>
              </w:rPr>
            </w:pPr>
            <w:r w:rsidRPr="00CE695F">
              <w:rPr>
                <w:lang w:val="de-DE"/>
              </w:rPr>
              <w:t>G</w:t>
            </w:r>
          </w:p>
          <w:p w:rsidR="000376BC" w:rsidRPr="00CE695F" w:rsidRDefault="000376BC" w:rsidP="00154DC4">
            <w:pPr>
              <w:pStyle w:val="Docoriginal"/>
              <w:rPr>
                <w:lang w:val="de-DE"/>
              </w:rPr>
            </w:pPr>
            <w:r w:rsidRPr="00CE695F">
              <w:rPr>
                <w:lang w:val="de-DE"/>
              </w:rPr>
              <w:t>C/4</w:t>
            </w:r>
            <w:r w:rsidR="00154DC4" w:rsidRPr="00CE695F">
              <w:rPr>
                <w:lang w:val="de-DE"/>
              </w:rPr>
              <w:t>7</w:t>
            </w:r>
            <w:r w:rsidRPr="00CE695F">
              <w:rPr>
                <w:lang w:val="de-DE"/>
              </w:rPr>
              <w:t>/</w:t>
            </w:r>
            <w:bookmarkStart w:id="0" w:name="Code"/>
            <w:bookmarkEnd w:id="0"/>
            <w:r w:rsidR="00154DC4" w:rsidRPr="00CE695F">
              <w:rPr>
                <w:lang w:val="de-DE"/>
              </w:rPr>
              <w:t>2</w:t>
            </w:r>
          </w:p>
          <w:p w:rsidR="000376BC" w:rsidRPr="00CE695F" w:rsidRDefault="000376BC" w:rsidP="002833DF">
            <w:pPr>
              <w:pStyle w:val="Docoriginal"/>
              <w:rPr>
                <w:b w:val="0"/>
                <w:spacing w:val="0"/>
                <w:lang w:val="de-DE"/>
              </w:rPr>
            </w:pPr>
            <w:r w:rsidRPr="00CE695F">
              <w:rPr>
                <w:rStyle w:val="StyleDoclangBold"/>
                <w:b/>
                <w:spacing w:val="0"/>
                <w:lang w:val="de-DE"/>
              </w:rPr>
              <w:t>ORIGINAL:</w:t>
            </w:r>
            <w:r w:rsidRPr="00CE695F">
              <w:rPr>
                <w:rStyle w:val="StyleDocoriginalNotBold1"/>
                <w:spacing w:val="0"/>
                <w:lang w:val="de-DE"/>
              </w:rPr>
              <w:t xml:space="preserve"> </w:t>
            </w:r>
            <w:r w:rsidRPr="00CE695F">
              <w:rPr>
                <w:spacing w:val="0"/>
                <w:lang w:val="de-DE"/>
              </w:rPr>
              <w:t xml:space="preserve"> </w:t>
            </w:r>
            <w:bookmarkStart w:id="1" w:name="Original"/>
            <w:bookmarkEnd w:id="1"/>
            <w:r w:rsidRPr="00CE695F">
              <w:rPr>
                <w:b w:val="0"/>
                <w:spacing w:val="0"/>
                <w:lang w:val="de-DE"/>
              </w:rPr>
              <w:t>Englisch</w:t>
            </w:r>
          </w:p>
          <w:p w:rsidR="000376BC" w:rsidRPr="00CE695F" w:rsidRDefault="000376BC" w:rsidP="00CE695F">
            <w:pPr>
              <w:pStyle w:val="Docoriginal"/>
              <w:rPr>
                <w:lang w:val="de-DE"/>
              </w:rPr>
            </w:pPr>
            <w:r w:rsidRPr="00CE695F">
              <w:rPr>
                <w:spacing w:val="0"/>
                <w:lang w:val="de-DE"/>
              </w:rPr>
              <w:t>DATUM:</w:t>
            </w:r>
            <w:r w:rsidRPr="00CE695F">
              <w:rPr>
                <w:rStyle w:val="StyleDocoriginalNotBold1"/>
                <w:spacing w:val="0"/>
                <w:lang w:val="de-DE"/>
              </w:rPr>
              <w:t xml:space="preserve"> </w:t>
            </w:r>
            <w:bookmarkStart w:id="2" w:name="Date"/>
            <w:bookmarkEnd w:id="2"/>
            <w:r w:rsidRPr="00CE695F">
              <w:rPr>
                <w:rStyle w:val="StyleDocoriginalNotBold1"/>
                <w:spacing w:val="0"/>
                <w:lang w:val="de-DE"/>
              </w:rPr>
              <w:t xml:space="preserve"> 1</w:t>
            </w:r>
            <w:r w:rsidR="00CE695F" w:rsidRPr="00CE695F">
              <w:rPr>
                <w:rStyle w:val="StyleDocoriginalNotBold1"/>
                <w:spacing w:val="0"/>
                <w:lang w:val="de-DE"/>
              </w:rPr>
              <w:t>7</w:t>
            </w:r>
            <w:r w:rsidRPr="00CE695F">
              <w:rPr>
                <w:rStyle w:val="StyleDocoriginalNotBold1"/>
                <w:spacing w:val="0"/>
                <w:lang w:val="de-DE"/>
              </w:rPr>
              <w:t>. September 2013</w:t>
            </w:r>
          </w:p>
        </w:tc>
      </w:tr>
      <w:tr w:rsidR="000376BC" w:rsidRPr="00DE5DFD" w:rsidTr="002833DF">
        <w:tc>
          <w:tcPr>
            <w:tcW w:w="9534" w:type="dxa"/>
            <w:gridSpan w:val="3"/>
          </w:tcPr>
          <w:p w:rsidR="000376BC" w:rsidRPr="000376BC" w:rsidRDefault="000376BC" w:rsidP="002833DF">
            <w:pPr>
              <w:pStyle w:val="upove"/>
              <w:rPr>
                <w:sz w:val="28"/>
                <w:lang w:val="de-DE"/>
              </w:rPr>
            </w:pPr>
            <w:r w:rsidRPr="000376BC">
              <w:rPr>
                <w:snapToGrid w:val="0"/>
                <w:lang w:val="de-DE"/>
              </w:rPr>
              <w:t xml:space="preserve">INTERNATIONALER VERBAND ZUM SCHUTZ VON PFLANZENZÜCHTUNGEN </w:t>
            </w:r>
          </w:p>
        </w:tc>
      </w:tr>
      <w:tr w:rsidR="000376BC" w:rsidRPr="00710780" w:rsidTr="002833DF">
        <w:tc>
          <w:tcPr>
            <w:tcW w:w="9534" w:type="dxa"/>
            <w:gridSpan w:val="3"/>
          </w:tcPr>
          <w:p w:rsidR="000376BC" w:rsidRPr="00710780" w:rsidRDefault="000376BC" w:rsidP="002833DF">
            <w:pPr>
              <w:pStyle w:val="Country"/>
            </w:pPr>
            <w:r w:rsidRPr="00710780">
              <w:t>Genf</w:t>
            </w:r>
          </w:p>
        </w:tc>
      </w:tr>
    </w:tbl>
    <w:p w:rsidR="000376BC" w:rsidRPr="001649DC" w:rsidRDefault="000376BC" w:rsidP="000376BC">
      <w:pPr>
        <w:pStyle w:val="Sessiontc"/>
        <w:rPr>
          <w:lang w:val="de-DE"/>
        </w:rPr>
      </w:pPr>
      <w:r w:rsidRPr="001649DC">
        <w:rPr>
          <w:lang w:val="de-DE"/>
        </w:rPr>
        <w:t>DER Rat</w:t>
      </w:r>
    </w:p>
    <w:p w:rsidR="000376BC" w:rsidRPr="000376BC" w:rsidRDefault="000376BC" w:rsidP="000376BC">
      <w:pPr>
        <w:pStyle w:val="Sessiontcplacedate"/>
        <w:rPr>
          <w:lang w:val="de-DE"/>
        </w:rPr>
      </w:pPr>
      <w:r w:rsidRPr="000376BC">
        <w:rPr>
          <w:lang w:val="de-DE"/>
        </w:rPr>
        <w:t>Siebenundvierzigste ordentliche Tagung</w:t>
      </w:r>
      <w:r w:rsidRPr="000376BC">
        <w:rPr>
          <w:lang w:val="de-DE"/>
        </w:rPr>
        <w:br/>
        <w:t>Genf, 24. Oktober 2013</w:t>
      </w:r>
    </w:p>
    <w:p w:rsidR="000376BC" w:rsidRPr="000376BC" w:rsidRDefault="000376BC" w:rsidP="00CE695F">
      <w:pPr>
        <w:pStyle w:val="Titleofdoc0"/>
        <w:tabs>
          <w:tab w:val="center" w:pos="4819"/>
          <w:tab w:val="left" w:pos="8220"/>
        </w:tabs>
        <w:rPr>
          <w:lang w:val="de-DE"/>
        </w:rPr>
      </w:pPr>
      <w:bookmarkStart w:id="3" w:name="TitleOfDoc"/>
      <w:bookmarkEnd w:id="3"/>
      <w:r w:rsidRPr="000376BC">
        <w:rPr>
          <w:lang w:val="de-DE"/>
        </w:rPr>
        <w:t>JAHRESBERICH</w:t>
      </w:r>
      <w:r w:rsidR="00CE695F">
        <w:rPr>
          <w:lang w:val="de-DE"/>
        </w:rPr>
        <w:t>T des Generalsekretärs für 2012</w:t>
      </w:r>
    </w:p>
    <w:p w:rsidR="000376BC" w:rsidRPr="000376BC" w:rsidRDefault="000376BC" w:rsidP="000376BC">
      <w:pPr>
        <w:pStyle w:val="preparedby1"/>
        <w:rPr>
          <w:lang w:val="de-DE"/>
        </w:rPr>
      </w:pPr>
      <w:bookmarkStart w:id="4" w:name="Prepared"/>
      <w:bookmarkEnd w:id="4"/>
      <w:r w:rsidRPr="000376BC">
        <w:rPr>
          <w:lang w:val="de-DE"/>
        </w:rPr>
        <w:t>(vierundvierzigstes Jahr)</w:t>
      </w:r>
    </w:p>
    <w:p w:rsidR="000376BC" w:rsidRPr="000376BC" w:rsidRDefault="000376BC" w:rsidP="00CE695F">
      <w:pPr>
        <w:jc w:val="center"/>
        <w:rPr>
          <w:i/>
          <w:iCs/>
          <w:color w:val="BFBFBF"/>
          <w:lang w:val="de-DE"/>
        </w:rPr>
      </w:pPr>
      <w:r w:rsidRPr="000376BC">
        <w:rPr>
          <w:i/>
          <w:iCs/>
          <w:color w:val="BFBFBF"/>
          <w:lang w:val="de-DE"/>
        </w:rPr>
        <w:t>Haftungsausschluß: dieses Dokument gibt nicht die Grundsätz</w:t>
      </w:r>
      <w:r w:rsidR="00CE695F">
        <w:rPr>
          <w:i/>
          <w:iCs/>
          <w:color w:val="BFBFBF"/>
          <w:lang w:val="de-DE"/>
        </w:rPr>
        <w:t xml:space="preserve">e oder eine Anleitung der UPOV </w:t>
      </w:r>
      <w:r w:rsidRPr="000376BC">
        <w:rPr>
          <w:i/>
          <w:iCs/>
          <w:color w:val="BFBFBF"/>
          <w:lang w:val="de-DE"/>
        </w:rPr>
        <w:t>wieder</w:t>
      </w:r>
    </w:p>
    <w:p w:rsidR="000376BC" w:rsidRPr="000376BC" w:rsidRDefault="000376BC" w:rsidP="000376BC">
      <w:pPr>
        <w:rPr>
          <w:lang w:val="de-DE"/>
        </w:rPr>
      </w:pPr>
    </w:p>
    <w:p w:rsidR="000376BC" w:rsidRPr="000376BC" w:rsidRDefault="000376BC" w:rsidP="000376BC">
      <w:pPr>
        <w:rPr>
          <w:lang w:val="de-DE"/>
        </w:rPr>
      </w:pPr>
    </w:p>
    <w:p w:rsidR="000376BC" w:rsidRPr="000376BC" w:rsidRDefault="000376BC" w:rsidP="000376BC">
      <w:pPr>
        <w:rPr>
          <w:lang w:val="de-DE"/>
        </w:rPr>
      </w:pPr>
      <w:r w:rsidRPr="000376BC">
        <w:rPr>
          <w:lang w:val="de-DE"/>
        </w:rPr>
        <w:t>Dieses Dokument enthält den Jahresbericht des Generalsekretärs für 2012. Anlage III dieses Dokuments faßt die Ergebnisse zusammen, die im Jahr 2012 gemäß dem</w:t>
      </w:r>
      <w:r w:rsidR="00AE4777">
        <w:rPr>
          <w:lang w:val="de-DE"/>
        </w:rPr>
        <w:t xml:space="preserve"> Aufbau des</w:t>
      </w:r>
      <w:r w:rsidRPr="000376BC">
        <w:rPr>
          <w:lang w:val="de-DE"/>
        </w:rPr>
        <w:t xml:space="preserve"> Programm</w:t>
      </w:r>
      <w:r w:rsidR="00AE4777">
        <w:rPr>
          <w:lang w:val="de-DE"/>
        </w:rPr>
        <w:t>s</w:t>
      </w:r>
      <w:r w:rsidRPr="000376BC">
        <w:rPr>
          <w:lang w:val="de-DE"/>
        </w:rPr>
        <w:t xml:space="preserve"> und Haushaltsplan</w:t>
      </w:r>
      <w:r w:rsidR="00AE4777">
        <w:rPr>
          <w:lang w:val="de-DE"/>
        </w:rPr>
        <w:t>s</w:t>
      </w:r>
      <w:r w:rsidRPr="000376BC">
        <w:rPr>
          <w:lang w:val="de-DE"/>
        </w:rPr>
        <w:t xml:space="preserve"> für die Rechnungsperiode 2012-2013 (Dokument C/45/4 Rev.2)</w:t>
      </w:r>
      <w:r w:rsidR="001649DC">
        <w:rPr>
          <w:lang w:val="de-DE"/>
        </w:rPr>
        <w:t xml:space="preserve"> erreicht wurden</w:t>
      </w:r>
      <w:r w:rsidRPr="000376BC">
        <w:rPr>
          <w:lang w:val="de-DE"/>
        </w:rPr>
        <w:t>.</w:t>
      </w:r>
    </w:p>
    <w:p w:rsidR="007E20C2" w:rsidRPr="000376BC" w:rsidRDefault="007E20C2" w:rsidP="00751438">
      <w:pPr>
        <w:rPr>
          <w:lang w:val="de-DE"/>
        </w:rPr>
      </w:pPr>
    </w:p>
    <w:p w:rsidR="007E20C2" w:rsidRPr="000376BC" w:rsidRDefault="007E20C2" w:rsidP="00751438">
      <w:pPr>
        <w:rPr>
          <w:lang w:val="de-DE"/>
        </w:rPr>
      </w:pPr>
    </w:p>
    <w:p w:rsidR="006B519E" w:rsidRPr="002A5260" w:rsidRDefault="001649DC" w:rsidP="006B519E">
      <w:pPr>
        <w:rPr>
          <w:u w:val="single"/>
          <w:lang w:val="de-DE"/>
        </w:rPr>
      </w:pPr>
      <w:r>
        <w:rPr>
          <w:u w:val="single"/>
          <w:lang w:val="de-DE"/>
        </w:rPr>
        <w:t>Inhaltsverzeichnis</w:t>
      </w:r>
    </w:p>
    <w:p w:rsidR="006B519E" w:rsidRPr="002A5260" w:rsidRDefault="006B519E" w:rsidP="006B519E">
      <w:pPr>
        <w:rPr>
          <w:lang w:val="de-DE"/>
        </w:rPr>
      </w:pPr>
    </w:p>
    <w:p w:rsidR="003075E6" w:rsidRDefault="004A094B">
      <w:pPr>
        <w:pStyle w:val="TOC1"/>
        <w:rPr>
          <w:rFonts w:asciiTheme="minorHAnsi" w:eastAsiaTheme="minorEastAsia" w:hAnsiTheme="minorHAnsi" w:cstheme="minorBidi"/>
          <w:caps w:val="0"/>
          <w:noProof/>
          <w:sz w:val="22"/>
          <w:szCs w:val="22"/>
        </w:rPr>
      </w:pPr>
      <w:r w:rsidRPr="006054BD">
        <w:rPr>
          <w:szCs w:val="22"/>
        </w:rPr>
        <w:fldChar w:fldCharType="begin"/>
      </w:r>
      <w:r w:rsidR="00D378D7" w:rsidRPr="000376BC">
        <w:rPr>
          <w:szCs w:val="22"/>
          <w:lang w:val="de-DE"/>
        </w:rPr>
        <w:instrText xml:space="preserve"> TOC \o "1-2" </w:instrText>
      </w:r>
      <w:r w:rsidRPr="006054BD">
        <w:rPr>
          <w:szCs w:val="22"/>
        </w:rPr>
        <w:fldChar w:fldCharType="separate"/>
      </w:r>
      <w:r w:rsidR="003075E6" w:rsidRPr="00B93942">
        <w:rPr>
          <w:noProof/>
          <w:lang w:val="de-DE"/>
        </w:rPr>
        <w:t>I.</w:t>
      </w:r>
      <w:r w:rsidR="003075E6">
        <w:rPr>
          <w:rFonts w:asciiTheme="minorHAnsi" w:eastAsiaTheme="minorEastAsia" w:hAnsiTheme="minorHAnsi" w:cstheme="minorBidi"/>
          <w:caps w:val="0"/>
          <w:noProof/>
          <w:sz w:val="22"/>
          <w:szCs w:val="22"/>
        </w:rPr>
        <w:tab/>
      </w:r>
      <w:r w:rsidR="003075E6" w:rsidRPr="00B93942">
        <w:rPr>
          <w:noProof/>
          <w:lang w:val="de-DE"/>
        </w:rPr>
        <w:t>ZUSAMMENSETZUNG DES VERBANDES</w:t>
      </w:r>
      <w:r w:rsidR="003075E6">
        <w:rPr>
          <w:noProof/>
        </w:rPr>
        <w:tab/>
      </w:r>
      <w:r w:rsidR="003075E6">
        <w:rPr>
          <w:noProof/>
        </w:rPr>
        <w:fldChar w:fldCharType="begin"/>
      </w:r>
      <w:r w:rsidR="003075E6">
        <w:rPr>
          <w:noProof/>
        </w:rPr>
        <w:instrText xml:space="preserve"> PAGEREF _Toc368400878 \h </w:instrText>
      </w:r>
      <w:r w:rsidR="003075E6">
        <w:rPr>
          <w:noProof/>
        </w:rPr>
      </w:r>
      <w:r w:rsidR="003075E6">
        <w:rPr>
          <w:noProof/>
        </w:rPr>
        <w:fldChar w:fldCharType="separate"/>
      </w:r>
      <w:r w:rsidR="005B3312">
        <w:rPr>
          <w:noProof/>
        </w:rPr>
        <w:t>2</w:t>
      </w:r>
      <w:r w:rsidR="003075E6">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Mitglieder</w:t>
      </w:r>
      <w:r>
        <w:rPr>
          <w:noProof/>
        </w:rPr>
        <w:tab/>
      </w:r>
      <w:r>
        <w:rPr>
          <w:noProof/>
        </w:rPr>
        <w:fldChar w:fldCharType="begin"/>
      </w:r>
      <w:r>
        <w:rPr>
          <w:noProof/>
        </w:rPr>
        <w:instrText xml:space="preserve"> PAGEREF _Toc368400879 \h </w:instrText>
      </w:r>
      <w:r>
        <w:rPr>
          <w:noProof/>
        </w:rPr>
      </w:r>
      <w:r>
        <w:rPr>
          <w:noProof/>
        </w:rPr>
        <w:fldChar w:fldCharType="separate"/>
      </w:r>
      <w:r w:rsidR="005B3312">
        <w:rPr>
          <w:noProof/>
        </w:rPr>
        <w:t>2</w:t>
      </w:r>
      <w:r>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Lage bezüglich der verschiedenen Akte des Übereinkommens</w:t>
      </w:r>
      <w:r>
        <w:rPr>
          <w:noProof/>
        </w:rPr>
        <w:tab/>
      </w:r>
      <w:r>
        <w:rPr>
          <w:noProof/>
        </w:rPr>
        <w:fldChar w:fldCharType="begin"/>
      </w:r>
      <w:r>
        <w:rPr>
          <w:noProof/>
        </w:rPr>
        <w:instrText xml:space="preserve"> PAGEREF _Toc368400880 \h </w:instrText>
      </w:r>
      <w:r>
        <w:rPr>
          <w:noProof/>
        </w:rPr>
      </w:r>
      <w:r>
        <w:rPr>
          <w:noProof/>
        </w:rPr>
        <w:fldChar w:fldCharType="separate"/>
      </w:r>
      <w:r w:rsidR="005B3312">
        <w:rPr>
          <w:noProof/>
        </w:rPr>
        <w:t>2</w:t>
      </w:r>
      <w:r>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Zukünftige Mitglieder</w:t>
      </w:r>
      <w:r>
        <w:rPr>
          <w:noProof/>
        </w:rPr>
        <w:tab/>
      </w:r>
      <w:r>
        <w:rPr>
          <w:noProof/>
        </w:rPr>
        <w:fldChar w:fldCharType="begin"/>
      </w:r>
      <w:r>
        <w:rPr>
          <w:noProof/>
        </w:rPr>
        <w:instrText xml:space="preserve"> PAGEREF _Toc368400881 \h </w:instrText>
      </w:r>
      <w:r>
        <w:rPr>
          <w:noProof/>
        </w:rPr>
      </w:r>
      <w:r>
        <w:rPr>
          <w:noProof/>
        </w:rPr>
        <w:fldChar w:fldCharType="separate"/>
      </w:r>
      <w:r w:rsidR="005B3312">
        <w:rPr>
          <w:noProof/>
        </w:rPr>
        <w:t>2</w:t>
      </w:r>
      <w:r>
        <w:rPr>
          <w:noProof/>
        </w:rPr>
        <w:fldChar w:fldCharType="end"/>
      </w:r>
    </w:p>
    <w:p w:rsidR="003075E6" w:rsidRDefault="003075E6">
      <w:pPr>
        <w:pStyle w:val="TOC1"/>
        <w:rPr>
          <w:rFonts w:asciiTheme="minorHAnsi" w:eastAsiaTheme="minorEastAsia" w:hAnsiTheme="minorHAnsi" w:cstheme="minorBidi"/>
          <w:caps w:val="0"/>
          <w:noProof/>
          <w:sz w:val="22"/>
          <w:szCs w:val="22"/>
        </w:rPr>
      </w:pPr>
      <w:r w:rsidRPr="00B93942">
        <w:rPr>
          <w:noProof/>
          <w:lang w:val="de-DE"/>
        </w:rPr>
        <w:t>II.</w:t>
      </w:r>
      <w:r>
        <w:rPr>
          <w:rFonts w:asciiTheme="minorHAnsi" w:eastAsiaTheme="minorEastAsia" w:hAnsiTheme="minorHAnsi" w:cstheme="minorBidi"/>
          <w:caps w:val="0"/>
          <w:noProof/>
          <w:sz w:val="22"/>
          <w:szCs w:val="22"/>
        </w:rPr>
        <w:tab/>
      </w:r>
      <w:r w:rsidRPr="00B93942">
        <w:rPr>
          <w:noProof/>
          <w:lang w:val="de-DE"/>
        </w:rPr>
        <w:t>TAGUNGEN DES RATES UND SEINER UNTERGEORDNETEN ORGANE</w:t>
      </w:r>
      <w:r>
        <w:rPr>
          <w:noProof/>
        </w:rPr>
        <w:tab/>
      </w:r>
      <w:r>
        <w:rPr>
          <w:noProof/>
        </w:rPr>
        <w:fldChar w:fldCharType="begin"/>
      </w:r>
      <w:r>
        <w:rPr>
          <w:noProof/>
        </w:rPr>
        <w:instrText xml:space="preserve"> PAGEREF _Toc368400882 \h </w:instrText>
      </w:r>
      <w:r>
        <w:rPr>
          <w:noProof/>
        </w:rPr>
      </w:r>
      <w:r>
        <w:rPr>
          <w:noProof/>
        </w:rPr>
        <w:fldChar w:fldCharType="separate"/>
      </w:r>
      <w:r w:rsidR="005B3312">
        <w:rPr>
          <w:noProof/>
        </w:rPr>
        <w:t>4</w:t>
      </w:r>
      <w:r>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Rat</w:t>
      </w:r>
      <w:r>
        <w:rPr>
          <w:noProof/>
        </w:rPr>
        <w:tab/>
      </w:r>
      <w:r>
        <w:rPr>
          <w:noProof/>
        </w:rPr>
        <w:fldChar w:fldCharType="begin"/>
      </w:r>
      <w:r>
        <w:rPr>
          <w:noProof/>
        </w:rPr>
        <w:instrText xml:space="preserve"> PAGEREF _Toc368400883 \h </w:instrText>
      </w:r>
      <w:r>
        <w:rPr>
          <w:noProof/>
        </w:rPr>
      </w:r>
      <w:r>
        <w:rPr>
          <w:noProof/>
        </w:rPr>
        <w:fldChar w:fldCharType="separate"/>
      </w:r>
      <w:r w:rsidR="005B3312">
        <w:rPr>
          <w:noProof/>
        </w:rPr>
        <w:t>4</w:t>
      </w:r>
      <w:r>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Beratender Ausschuß</w:t>
      </w:r>
      <w:r>
        <w:rPr>
          <w:noProof/>
        </w:rPr>
        <w:tab/>
      </w:r>
      <w:r>
        <w:rPr>
          <w:noProof/>
        </w:rPr>
        <w:fldChar w:fldCharType="begin"/>
      </w:r>
      <w:r>
        <w:rPr>
          <w:noProof/>
        </w:rPr>
        <w:instrText xml:space="preserve"> PAGEREF _Toc368400884 \h </w:instrText>
      </w:r>
      <w:r>
        <w:rPr>
          <w:noProof/>
        </w:rPr>
      </w:r>
      <w:r>
        <w:rPr>
          <w:noProof/>
        </w:rPr>
        <w:fldChar w:fldCharType="separate"/>
      </w:r>
      <w:r w:rsidR="005B3312">
        <w:rPr>
          <w:noProof/>
        </w:rPr>
        <w:t>6</w:t>
      </w:r>
      <w:r>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Verwaltungs- und Rechtsausschuß, Technischer Ausschuß, Technische Arbeitsgruppen und Arbeitsgruppe für biochemische und molekulare Verfahren und insbesondere für DNS</w:t>
      </w:r>
      <w:r w:rsidRPr="00B93942">
        <w:rPr>
          <w:noProof/>
          <w:lang w:val="de-DE"/>
        </w:rPr>
        <w:noBreakHyphen/>
        <w:t>Profilierungsverfahren</w:t>
      </w:r>
      <w:r>
        <w:rPr>
          <w:noProof/>
        </w:rPr>
        <w:tab/>
      </w:r>
      <w:r>
        <w:rPr>
          <w:noProof/>
        </w:rPr>
        <w:fldChar w:fldCharType="begin"/>
      </w:r>
      <w:r>
        <w:rPr>
          <w:noProof/>
        </w:rPr>
        <w:instrText xml:space="preserve"> PAGEREF _Toc368400885 \h </w:instrText>
      </w:r>
      <w:r>
        <w:rPr>
          <w:noProof/>
        </w:rPr>
      </w:r>
      <w:r>
        <w:rPr>
          <w:noProof/>
        </w:rPr>
        <w:fldChar w:fldCharType="separate"/>
      </w:r>
      <w:r w:rsidR="005B3312">
        <w:rPr>
          <w:noProof/>
        </w:rPr>
        <w:t>9</w:t>
      </w:r>
      <w:r>
        <w:rPr>
          <w:noProof/>
        </w:rPr>
        <w:fldChar w:fldCharType="end"/>
      </w:r>
    </w:p>
    <w:p w:rsidR="003075E6" w:rsidRDefault="003075E6">
      <w:pPr>
        <w:pStyle w:val="TOC1"/>
        <w:rPr>
          <w:rFonts w:asciiTheme="minorHAnsi" w:eastAsiaTheme="minorEastAsia" w:hAnsiTheme="minorHAnsi" w:cstheme="minorBidi"/>
          <w:caps w:val="0"/>
          <w:noProof/>
          <w:sz w:val="22"/>
          <w:szCs w:val="22"/>
        </w:rPr>
      </w:pPr>
      <w:r w:rsidRPr="00B93942">
        <w:rPr>
          <w:noProof/>
          <w:lang w:val="de-DE"/>
        </w:rPr>
        <w:t>III.</w:t>
      </w:r>
      <w:r>
        <w:rPr>
          <w:rFonts w:asciiTheme="minorHAnsi" w:eastAsiaTheme="minorEastAsia" w:hAnsiTheme="minorHAnsi" w:cstheme="minorBidi"/>
          <w:caps w:val="0"/>
          <w:noProof/>
          <w:sz w:val="22"/>
          <w:szCs w:val="22"/>
        </w:rPr>
        <w:tab/>
      </w:r>
      <w:r w:rsidRPr="00B93942">
        <w:rPr>
          <w:noProof/>
          <w:lang w:val="de-DE"/>
        </w:rPr>
        <w:t>LEHRGÄNGE, SEMINARE, ARBEITSTAGUNGEN, DIENSTREISEN, WICHTIGE KONTAKTE</w:t>
      </w:r>
      <w:r>
        <w:rPr>
          <w:noProof/>
        </w:rPr>
        <w:tab/>
      </w:r>
      <w:r>
        <w:rPr>
          <w:noProof/>
        </w:rPr>
        <w:fldChar w:fldCharType="begin"/>
      </w:r>
      <w:r>
        <w:rPr>
          <w:noProof/>
        </w:rPr>
        <w:instrText xml:space="preserve"> PAGEREF _Toc368400886 \h </w:instrText>
      </w:r>
      <w:r>
        <w:rPr>
          <w:noProof/>
        </w:rPr>
      </w:r>
      <w:r>
        <w:rPr>
          <w:noProof/>
        </w:rPr>
        <w:fldChar w:fldCharType="separate"/>
      </w:r>
      <w:r w:rsidR="005B3312">
        <w:rPr>
          <w:noProof/>
        </w:rPr>
        <w:t>10</w:t>
      </w:r>
      <w:r>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Individuelle Tätigkeiten</w:t>
      </w:r>
      <w:r>
        <w:rPr>
          <w:noProof/>
        </w:rPr>
        <w:tab/>
      </w:r>
      <w:r>
        <w:rPr>
          <w:noProof/>
        </w:rPr>
        <w:fldChar w:fldCharType="begin"/>
      </w:r>
      <w:r>
        <w:rPr>
          <w:noProof/>
        </w:rPr>
        <w:instrText xml:space="preserve"> PAGEREF _Toc368400887 \h </w:instrText>
      </w:r>
      <w:r>
        <w:rPr>
          <w:noProof/>
        </w:rPr>
      </w:r>
      <w:r>
        <w:rPr>
          <w:noProof/>
        </w:rPr>
        <w:fldChar w:fldCharType="separate"/>
      </w:r>
      <w:r w:rsidR="005B3312">
        <w:rPr>
          <w:noProof/>
        </w:rPr>
        <w:t>10</w:t>
      </w:r>
      <w:r>
        <w:rPr>
          <w:noProof/>
        </w:rPr>
        <w:fldChar w:fldCharType="end"/>
      </w:r>
    </w:p>
    <w:p w:rsidR="003075E6" w:rsidRDefault="003075E6">
      <w:pPr>
        <w:pStyle w:val="TOC2"/>
        <w:rPr>
          <w:rFonts w:asciiTheme="minorHAnsi" w:eastAsiaTheme="minorEastAsia" w:hAnsiTheme="minorHAnsi" w:cstheme="minorBidi"/>
          <w:noProof/>
          <w:sz w:val="22"/>
          <w:szCs w:val="22"/>
        </w:rPr>
      </w:pPr>
      <w:r w:rsidRPr="00B93942">
        <w:rPr>
          <w:noProof/>
          <w:lang w:val="de-DE"/>
        </w:rPr>
        <w:t>Fernlehrgang</w:t>
      </w:r>
      <w:r>
        <w:rPr>
          <w:noProof/>
        </w:rPr>
        <w:tab/>
      </w:r>
      <w:r>
        <w:rPr>
          <w:noProof/>
        </w:rPr>
        <w:fldChar w:fldCharType="begin"/>
      </w:r>
      <w:r>
        <w:rPr>
          <w:noProof/>
        </w:rPr>
        <w:instrText xml:space="preserve"> PAGEREF _Toc368400888 \h </w:instrText>
      </w:r>
      <w:r>
        <w:rPr>
          <w:noProof/>
        </w:rPr>
      </w:r>
      <w:r>
        <w:rPr>
          <w:noProof/>
        </w:rPr>
        <w:fldChar w:fldCharType="separate"/>
      </w:r>
      <w:r w:rsidR="005B3312">
        <w:rPr>
          <w:noProof/>
        </w:rPr>
        <w:t>20</w:t>
      </w:r>
      <w:r>
        <w:rPr>
          <w:noProof/>
        </w:rPr>
        <w:fldChar w:fldCharType="end"/>
      </w:r>
    </w:p>
    <w:p w:rsidR="003075E6" w:rsidRDefault="003075E6">
      <w:pPr>
        <w:pStyle w:val="TOC1"/>
        <w:rPr>
          <w:rFonts w:asciiTheme="minorHAnsi" w:eastAsiaTheme="minorEastAsia" w:hAnsiTheme="minorHAnsi" w:cstheme="minorBidi"/>
          <w:caps w:val="0"/>
          <w:noProof/>
          <w:sz w:val="22"/>
          <w:szCs w:val="22"/>
        </w:rPr>
      </w:pPr>
      <w:r w:rsidRPr="00B93942">
        <w:rPr>
          <w:noProof/>
          <w:lang w:val="de-DE"/>
        </w:rPr>
        <w:t>IV.</w:t>
      </w:r>
      <w:r>
        <w:rPr>
          <w:rFonts w:asciiTheme="minorHAnsi" w:eastAsiaTheme="minorEastAsia" w:hAnsiTheme="minorHAnsi" w:cstheme="minorBidi"/>
          <w:caps w:val="0"/>
          <w:noProof/>
          <w:sz w:val="22"/>
          <w:szCs w:val="22"/>
        </w:rPr>
        <w:tab/>
      </w:r>
      <w:r w:rsidRPr="00B93942">
        <w:rPr>
          <w:noProof/>
          <w:lang w:val="de-DE"/>
        </w:rPr>
        <w:t>KONTAKTE MIT STAATEN UND ORGANISATIONEN</w:t>
      </w:r>
      <w:r>
        <w:rPr>
          <w:noProof/>
        </w:rPr>
        <w:tab/>
      </w:r>
      <w:r>
        <w:rPr>
          <w:noProof/>
        </w:rPr>
        <w:fldChar w:fldCharType="begin"/>
      </w:r>
      <w:r>
        <w:rPr>
          <w:noProof/>
        </w:rPr>
        <w:instrText xml:space="preserve"> PAGEREF _Toc368400889 \h </w:instrText>
      </w:r>
      <w:r>
        <w:rPr>
          <w:noProof/>
        </w:rPr>
      </w:r>
      <w:r>
        <w:rPr>
          <w:noProof/>
        </w:rPr>
        <w:fldChar w:fldCharType="separate"/>
      </w:r>
      <w:r w:rsidR="005B3312">
        <w:rPr>
          <w:noProof/>
        </w:rPr>
        <w:t>20</w:t>
      </w:r>
      <w:r>
        <w:rPr>
          <w:noProof/>
        </w:rPr>
        <w:fldChar w:fldCharType="end"/>
      </w:r>
    </w:p>
    <w:p w:rsidR="003075E6" w:rsidRDefault="003075E6">
      <w:pPr>
        <w:pStyle w:val="TOC1"/>
        <w:rPr>
          <w:rFonts w:asciiTheme="minorHAnsi" w:eastAsiaTheme="minorEastAsia" w:hAnsiTheme="minorHAnsi" w:cstheme="minorBidi"/>
          <w:caps w:val="0"/>
          <w:noProof/>
          <w:sz w:val="22"/>
          <w:szCs w:val="22"/>
        </w:rPr>
      </w:pPr>
      <w:r w:rsidRPr="00B93942">
        <w:rPr>
          <w:noProof/>
          <w:lang w:val="de-DE"/>
        </w:rPr>
        <w:t>V.</w:t>
      </w:r>
      <w:r>
        <w:rPr>
          <w:rFonts w:asciiTheme="minorHAnsi" w:eastAsiaTheme="minorEastAsia" w:hAnsiTheme="minorHAnsi" w:cstheme="minorBidi"/>
          <w:caps w:val="0"/>
          <w:noProof/>
          <w:sz w:val="22"/>
          <w:szCs w:val="22"/>
        </w:rPr>
        <w:tab/>
      </w:r>
      <w:r w:rsidRPr="00B93942">
        <w:rPr>
          <w:noProof/>
          <w:lang w:val="de-DE"/>
        </w:rPr>
        <w:t>VERÖFFENTLICHUNGEn</w:t>
      </w:r>
      <w:r>
        <w:rPr>
          <w:noProof/>
        </w:rPr>
        <w:tab/>
      </w:r>
      <w:r>
        <w:rPr>
          <w:noProof/>
        </w:rPr>
        <w:fldChar w:fldCharType="begin"/>
      </w:r>
      <w:r>
        <w:rPr>
          <w:noProof/>
        </w:rPr>
        <w:instrText xml:space="preserve"> PAGEREF _Toc368400890 \h </w:instrText>
      </w:r>
      <w:r>
        <w:rPr>
          <w:noProof/>
        </w:rPr>
      </w:r>
      <w:r>
        <w:rPr>
          <w:noProof/>
        </w:rPr>
        <w:fldChar w:fldCharType="separate"/>
      </w:r>
      <w:r w:rsidR="005B3312">
        <w:rPr>
          <w:noProof/>
        </w:rPr>
        <w:t>20</w:t>
      </w:r>
      <w:r>
        <w:rPr>
          <w:noProof/>
        </w:rPr>
        <w:fldChar w:fldCharType="end"/>
      </w:r>
    </w:p>
    <w:p w:rsidR="006B519E" w:rsidRPr="00BE6871" w:rsidRDefault="004A094B" w:rsidP="00D378D7">
      <w:pPr>
        <w:spacing w:before="120"/>
        <w:ind w:left="1134" w:hanging="1134"/>
        <w:rPr>
          <w:sz w:val="22"/>
          <w:szCs w:val="22"/>
          <w:lang w:val="de-DE"/>
        </w:rPr>
      </w:pPr>
      <w:r w:rsidRPr="006054BD">
        <w:rPr>
          <w:noProof/>
          <w:szCs w:val="22"/>
        </w:rPr>
        <w:fldChar w:fldCharType="end"/>
      </w:r>
    </w:p>
    <w:p w:rsidR="006B519E" w:rsidRPr="00BE6871" w:rsidRDefault="00BE6871" w:rsidP="002548AA">
      <w:pPr>
        <w:spacing w:before="120"/>
        <w:ind w:left="1418" w:hanging="1134"/>
        <w:rPr>
          <w:noProof/>
          <w:lang w:val="de-DE"/>
        </w:rPr>
      </w:pPr>
      <w:r w:rsidRPr="00BE6871">
        <w:rPr>
          <w:lang w:val="de-DE"/>
        </w:rPr>
        <w:t>ANLAGE</w:t>
      </w:r>
      <w:r w:rsidR="006B519E" w:rsidRPr="00BE6871">
        <w:rPr>
          <w:lang w:val="de-DE"/>
        </w:rPr>
        <w:t xml:space="preserve"> I:</w:t>
      </w:r>
      <w:r w:rsidR="006B519E" w:rsidRPr="00BE6871">
        <w:rPr>
          <w:lang w:val="de-DE"/>
        </w:rPr>
        <w:tab/>
      </w:r>
      <w:r w:rsidR="003F377D" w:rsidRPr="00BE6871">
        <w:rPr>
          <w:noProof/>
          <w:lang w:val="de-DE"/>
        </w:rPr>
        <w:t>Verbandsmitglieder</w:t>
      </w:r>
    </w:p>
    <w:p w:rsidR="006B519E" w:rsidRPr="000376BC" w:rsidRDefault="00BE6871" w:rsidP="000376BC">
      <w:pPr>
        <w:spacing w:before="120"/>
        <w:ind w:left="1418" w:hanging="1134"/>
        <w:rPr>
          <w:noProof/>
          <w:lang w:val="de-DE"/>
        </w:rPr>
      </w:pPr>
      <w:r>
        <w:rPr>
          <w:noProof/>
          <w:lang w:val="de-DE"/>
        </w:rPr>
        <w:t>ANLAGE</w:t>
      </w:r>
      <w:r w:rsidR="006B519E" w:rsidRPr="000376BC">
        <w:rPr>
          <w:noProof/>
          <w:lang w:val="de-DE"/>
        </w:rPr>
        <w:t xml:space="preserve"> II:</w:t>
      </w:r>
      <w:r w:rsidR="006B519E" w:rsidRPr="000376BC">
        <w:rPr>
          <w:noProof/>
          <w:lang w:val="de-DE"/>
        </w:rPr>
        <w:tab/>
      </w:r>
      <w:r w:rsidR="000376BC" w:rsidRPr="000376BC">
        <w:rPr>
          <w:lang w:val="de-DE"/>
        </w:rPr>
        <w:t xml:space="preserve">Überblick über die Dienstreisen im Jahre </w:t>
      </w:r>
      <w:r w:rsidR="00F123B8" w:rsidRPr="000376BC">
        <w:rPr>
          <w:lang w:val="de-DE"/>
        </w:rPr>
        <w:t>2012</w:t>
      </w:r>
    </w:p>
    <w:p w:rsidR="00751438" w:rsidRPr="00CC1BB2" w:rsidRDefault="00BE6871" w:rsidP="00154DC4">
      <w:pPr>
        <w:spacing w:before="120"/>
        <w:ind w:left="1418" w:hanging="1134"/>
        <w:rPr>
          <w:noProof/>
          <w:lang w:val="de-DE"/>
        </w:rPr>
      </w:pPr>
      <w:r>
        <w:rPr>
          <w:noProof/>
          <w:lang w:val="de-DE"/>
        </w:rPr>
        <w:t>ANLAGE</w:t>
      </w:r>
      <w:r w:rsidR="00751438" w:rsidRPr="00CC1BB2">
        <w:rPr>
          <w:noProof/>
          <w:lang w:val="de-DE"/>
        </w:rPr>
        <w:t xml:space="preserve"> III:</w:t>
      </w:r>
      <w:r w:rsidR="00751438" w:rsidRPr="00CC1BB2">
        <w:rPr>
          <w:noProof/>
          <w:lang w:val="de-DE"/>
        </w:rPr>
        <w:tab/>
      </w:r>
      <w:r w:rsidR="000376BC" w:rsidRPr="000376BC">
        <w:rPr>
          <w:noProof/>
          <w:lang w:val="de-DE"/>
        </w:rPr>
        <w:t xml:space="preserve">Ergebnisse und Planerfüllungsindikatoren </w:t>
      </w:r>
      <w:r w:rsidR="000376BC">
        <w:rPr>
          <w:noProof/>
          <w:lang w:val="de-DE"/>
        </w:rPr>
        <w:t xml:space="preserve">für </w:t>
      </w:r>
      <w:r w:rsidR="00751438" w:rsidRPr="00CC1BB2">
        <w:rPr>
          <w:noProof/>
          <w:lang w:val="de-DE"/>
        </w:rPr>
        <w:t>2012</w:t>
      </w:r>
    </w:p>
    <w:p w:rsidR="006B519E" w:rsidRPr="00CC1BB2" w:rsidRDefault="006B519E" w:rsidP="006B519E">
      <w:pPr>
        <w:spacing w:before="120"/>
        <w:ind w:left="1134" w:hanging="1134"/>
        <w:rPr>
          <w:noProof/>
          <w:lang w:val="de-DE"/>
        </w:rPr>
      </w:pPr>
    </w:p>
    <w:p w:rsidR="000376BC" w:rsidRPr="000376BC" w:rsidRDefault="006B519E" w:rsidP="000376BC">
      <w:pPr>
        <w:keepNext/>
        <w:jc w:val="center"/>
        <w:rPr>
          <w:szCs w:val="24"/>
          <w:lang w:val="de-DE"/>
        </w:rPr>
      </w:pPr>
      <w:r w:rsidRPr="00CC1BB2">
        <w:rPr>
          <w:szCs w:val="24"/>
          <w:u w:val="single"/>
          <w:lang w:val="de-DE"/>
        </w:rPr>
        <w:br w:type="page"/>
      </w:r>
      <w:r w:rsidR="000376BC" w:rsidRPr="000376BC">
        <w:rPr>
          <w:u w:val="single"/>
          <w:lang w:val="de-DE"/>
        </w:rPr>
        <w:lastRenderedPageBreak/>
        <w:t>In diesem Dokument werden folgende Abkürzungen verwendet:</w:t>
      </w:r>
    </w:p>
    <w:p w:rsidR="000376BC" w:rsidRPr="000376BC" w:rsidRDefault="000376BC" w:rsidP="000376BC">
      <w:pPr>
        <w:keepNext/>
        <w:rPr>
          <w:szCs w:val="24"/>
          <w:lang w:val="de-DE"/>
        </w:rPr>
      </w:pPr>
    </w:p>
    <w:p w:rsidR="000376BC" w:rsidRPr="000376BC" w:rsidRDefault="000376BC" w:rsidP="000376BC">
      <w:pPr>
        <w:ind w:left="1560" w:hanging="993"/>
        <w:rPr>
          <w:lang w:val="de-DE"/>
        </w:rPr>
      </w:pPr>
      <w:r w:rsidRPr="000376BC">
        <w:rPr>
          <w:lang w:val="de-DE"/>
        </w:rPr>
        <w:t>CAJ</w:t>
      </w:r>
      <w:r w:rsidRPr="000376BC">
        <w:rPr>
          <w:lang w:val="de-DE"/>
        </w:rPr>
        <w:tab/>
        <w:t xml:space="preserve">Verwaltungs- und Rechtsausschuß </w:t>
      </w:r>
    </w:p>
    <w:p w:rsidR="000376BC" w:rsidRPr="000376BC" w:rsidRDefault="000376BC" w:rsidP="000376BC">
      <w:pPr>
        <w:ind w:left="1560" w:hanging="993"/>
        <w:rPr>
          <w:lang w:val="de-DE"/>
        </w:rPr>
      </w:pPr>
      <w:r w:rsidRPr="000376BC">
        <w:rPr>
          <w:lang w:val="de-DE"/>
        </w:rPr>
        <w:t>TC:</w:t>
      </w:r>
      <w:r w:rsidRPr="000376BC">
        <w:rPr>
          <w:lang w:val="de-DE"/>
        </w:rPr>
        <w:tab/>
        <w:t>Technischer Ausschuß</w:t>
      </w:r>
    </w:p>
    <w:p w:rsidR="000376BC" w:rsidRPr="000376BC" w:rsidRDefault="000376BC" w:rsidP="000376BC">
      <w:pPr>
        <w:ind w:left="1560" w:hanging="993"/>
        <w:rPr>
          <w:lang w:val="de-DE"/>
        </w:rPr>
      </w:pPr>
      <w:r w:rsidRPr="000376BC">
        <w:rPr>
          <w:lang w:val="de-DE"/>
        </w:rPr>
        <w:t>TC-EDC:</w:t>
      </w:r>
      <w:r w:rsidRPr="000376BC">
        <w:rPr>
          <w:lang w:val="de-DE"/>
        </w:rPr>
        <w:tab/>
        <w:t>Erweiterter Redaktionsausschuß</w:t>
      </w:r>
    </w:p>
    <w:p w:rsidR="000376BC" w:rsidRPr="000376BC" w:rsidRDefault="000376BC" w:rsidP="000376BC">
      <w:pPr>
        <w:ind w:left="1560" w:hanging="993"/>
        <w:rPr>
          <w:lang w:val="de-DE"/>
        </w:rPr>
      </w:pPr>
      <w:r w:rsidRPr="000376BC">
        <w:rPr>
          <w:lang w:val="de-DE"/>
        </w:rPr>
        <w:t>TWP:</w:t>
      </w:r>
      <w:r w:rsidRPr="000376BC">
        <w:rPr>
          <w:lang w:val="de-DE"/>
        </w:rPr>
        <w:tab/>
        <w:t>Technische Arbeitsgruppen</w:t>
      </w:r>
    </w:p>
    <w:p w:rsidR="000376BC" w:rsidRPr="000376BC" w:rsidRDefault="000376BC" w:rsidP="000376BC">
      <w:pPr>
        <w:ind w:left="1560" w:hanging="993"/>
        <w:rPr>
          <w:lang w:val="de-DE"/>
        </w:rPr>
      </w:pPr>
      <w:r w:rsidRPr="000376BC">
        <w:rPr>
          <w:lang w:val="de-DE"/>
        </w:rPr>
        <w:t>TWA:</w:t>
      </w:r>
      <w:r w:rsidRPr="000376BC">
        <w:rPr>
          <w:lang w:val="de-DE"/>
        </w:rPr>
        <w:tab/>
        <w:t>Technische Arbeitsgruppe für landwirtschaftliche Arten</w:t>
      </w:r>
    </w:p>
    <w:p w:rsidR="000376BC" w:rsidRPr="000376BC" w:rsidRDefault="000376BC" w:rsidP="000376BC">
      <w:pPr>
        <w:ind w:left="1560" w:hanging="993"/>
        <w:rPr>
          <w:lang w:val="de-DE"/>
        </w:rPr>
      </w:pPr>
      <w:r w:rsidRPr="000376BC">
        <w:rPr>
          <w:lang w:val="de-DE"/>
        </w:rPr>
        <w:t>TWC:</w:t>
      </w:r>
      <w:r w:rsidRPr="000376BC">
        <w:rPr>
          <w:lang w:val="de-DE"/>
        </w:rPr>
        <w:tab/>
        <w:t>Technische Arbeitsgruppe für Automatisierung und Computerprogramme</w:t>
      </w:r>
    </w:p>
    <w:p w:rsidR="000376BC" w:rsidRPr="000376BC" w:rsidRDefault="000376BC" w:rsidP="000376BC">
      <w:pPr>
        <w:ind w:left="1560" w:hanging="993"/>
        <w:rPr>
          <w:lang w:val="de-DE"/>
        </w:rPr>
      </w:pPr>
      <w:r w:rsidRPr="000376BC">
        <w:rPr>
          <w:lang w:val="de-DE"/>
        </w:rPr>
        <w:t xml:space="preserve">TWF:  </w:t>
      </w:r>
      <w:r w:rsidRPr="000376BC">
        <w:rPr>
          <w:lang w:val="de-DE"/>
        </w:rPr>
        <w:tab/>
        <w:t>Technische Arbeitsgruppe für Obstarten</w:t>
      </w:r>
    </w:p>
    <w:p w:rsidR="000376BC" w:rsidRPr="000376BC" w:rsidRDefault="000376BC" w:rsidP="000376BC">
      <w:pPr>
        <w:ind w:left="1560" w:hanging="993"/>
        <w:rPr>
          <w:lang w:val="de-DE"/>
        </w:rPr>
      </w:pPr>
      <w:r w:rsidRPr="000376BC">
        <w:rPr>
          <w:lang w:val="de-DE"/>
        </w:rPr>
        <w:t>TWO:</w:t>
      </w:r>
      <w:r w:rsidRPr="000376BC">
        <w:rPr>
          <w:lang w:val="de-DE"/>
        </w:rPr>
        <w:tab/>
        <w:t>Technische Arbeitsgruppe für Zierpflanzen und forstliche Baumarten</w:t>
      </w:r>
    </w:p>
    <w:p w:rsidR="000376BC" w:rsidRPr="000376BC" w:rsidRDefault="000376BC" w:rsidP="000376BC">
      <w:pPr>
        <w:ind w:left="1560" w:hanging="993"/>
        <w:rPr>
          <w:lang w:val="de-DE"/>
        </w:rPr>
      </w:pPr>
      <w:r w:rsidRPr="000376BC">
        <w:rPr>
          <w:lang w:val="de-DE"/>
        </w:rPr>
        <w:t>TWV:</w:t>
      </w:r>
      <w:r w:rsidRPr="000376BC">
        <w:rPr>
          <w:lang w:val="de-DE"/>
        </w:rPr>
        <w:tab/>
        <w:t>Technische Arbeitsgruppe für Gemüsearten</w:t>
      </w:r>
    </w:p>
    <w:p w:rsidR="000376BC" w:rsidRPr="000376BC" w:rsidRDefault="000376BC" w:rsidP="000376BC">
      <w:pPr>
        <w:ind w:left="1560" w:hanging="993"/>
        <w:rPr>
          <w:lang w:val="de-DE"/>
        </w:rPr>
      </w:pPr>
      <w:r w:rsidRPr="000376BC">
        <w:rPr>
          <w:lang w:val="de-DE"/>
        </w:rPr>
        <w:t>BMT:</w:t>
      </w:r>
      <w:r w:rsidRPr="000376BC">
        <w:rPr>
          <w:lang w:val="de-DE"/>
        </w:rPr>
        <w:tab/>
        <w:t>Arbeitsgruppe für biochemische und molekulare Verfahren und insbesondere für DNS</w:t>
      </w:r>
      <w:r w:rsidRPr="000376BC">
        <w:rPr>
          <w:lang w:val="de-DE"/>
        </w:rPr>
        <w:noBreakHyphen/>
        <w:t>Profilierungsverfahren</w:t>
      </w:r>
    </w:p>
    <w:p w:rsidR="000376BC" w:rsidRPr="000376BC" w:rsidRDefault="000376BC" w:rsidP="000376BC">
      <w:pPr>
        <w:ind w:left="1560" w:hanging="993"/>
        <w:rPr>
          <w:lang w:val="de-DE"/>
        </w:rPr>
      </w:pPr>
      <w:r w:rsidRPr="000376BC">
        <w:rPr>
          <w:lang w:val="de-DE"/>
        </w:rPr>
        <w:t>DUS:</w:t>
      </w:r>
      <w:r w:rsidRPr="000376BC">
        <w:rPr>
          <w:lang w:val="de-DE"/>
        </w:rPr>
        <w:tab/>
        <w:t>Unterscheidbarkeit, Homogenität und Beständigkeit</w:t>
      </w:r>
    </w:p>
    <w:p w:rsidR="000376BC" w:rsidRPr="000376BC" w:rsidRDefault="000376BC" w:rsidP="000376BC">
      <w:pPr>
        <w:rPr>
          <w:lang w:val="de-DE"/>
        </w:rPr>
      </w:pPr>
    </w:p>
    <w:p w:rsidR="000376BC" w:rsidRPr="000376BC" w:rsidRDefault="000376BC" w:rsidP="000376BC">
      <w:pPr>
        <w:rPr>
          <w:lang w:val="de-DE"/>
        </w:rPr>
      </w:pPr>
    </w:p>
    <w:p w:rsidR="000376BC" w:rsidRPr="000376BC" w:rsidRDefault="000376BC" w:rsidP="000376BC">
      <w:pPr>
        <w:rPr>
          <w:lang w:val="de-DE"/>
        </w:rPr>
      </w:pPr>
    </w:p>
    <w:p w:rsidR="000376BC" w:rsidRPr="000376BC" w:rsidRDefault="000376BC" w:rsidP="000376BC">
      <w:pPr>
        <w:pStyle w:val="Heading1"/>
        <w:rPr>
          <w:lang w:val="de-DE"/>
        </w:rPr>
      </w:pPr>
      <w:bookmarkStart w:id="5" w:name="_Toc336954241"/>
      <w:bookmarkStart w:id="6" w:name="_Toc339366533"/>
      <w:bookmarkStart w:id="7" w:name="_Toc368400878"/>
      <w:r w:rsidRPr="000376BC">
        <w:rPr>
          <w:lang w:val="de-DE"/>
        </w:rPr>
        <w:t>I.</w:t>
      </w:r>
      <w:r w:rsidRPr="000376BC">
        <w:rPr>
          <w:lang w:val="de-DE"/>
        </w:rPr>
        <w:tab/>
        <w:t>ZUSAMMENSETZUNG DES VERBANDES</w:t>
      </w:r>
      <w:bookmarkEnd w:id="5"/>
      <w:bookmarkEnd w:id="6"/>
      <w:bookmarkEnd w:id="7"/>
    </w:p>
    <w:p w:rsidR="006B519E" w:rsidRPr="000376BC" w:rsidRDefault="006B519E" w:rsidP="000376BC">
      <w:pPr>
        <w:keepNext/>
        <w:jc w:val="center"/>
        <w:rPr>
          <w:lang w:val="de-DE"/>
        </w:rPr>
      </w:pPr>
    </w:p>
    <w:p w:rsidR="000376BC" w:rsidRPr="000376BC" w:rsidRDefault="000376BC" w:rsidP="000376BC">
      <w:pPr>
        <w:pStyle w:val="Heading2"/>
        <w:rPr>
          <w:lang w:val="de-DE"/>
        </w:rPr>
      </w:pPr>
      <w:bookmarkStart w:id="8" w:name="_Toc306288720"/>
      <w:bookmarkStart w:id="9" w:name="_Toc306288622"/>
      <w:bookmarkStart w:id="10" w:name="_Toc306287868"/>
      <w:bookmarkStart w:id="11" w:name="_Toc266383958"/>
      <w:bookmarkStart w:id="12" w:name="_Toc338153915"/>
      <w:bookmarkStart w:id="13" w:name="_Toc339366534"/>
      <w:bookmarkStart w:id="14" w:name="_Toc368400879"/>
      <w:bookmarkStart w:id="15" w:name="_Toc336954242"/>
      <w:r w:rsidRPr="000376BC">
        <w:rPr>
          <w:lang w:val="de-DE"/>
        </w:rPr>
        <w:t>Mitglieder</w:t>
      </w:r>
      <w:bookmarkEnd w:id="8"/>
      <w:bookmarkEnd w:id="9"/>
      <w:bookmarkEnd w:id="10"/>
      <w:bookmarkEnd w:id="11"/>
      <w:bookmarkEnd w:id="12"/>
      <w:bookmarkEnd w:id="13"/>
      <w:bookmarkEnd w:id="14"/>
    </w:p>
    <w:bookmarkEnd w:id="15"/>
    <w:p w:rsidR="006B519E" w:rsidRPr="000376BC" w:rsidRDefault="006B519E" w:rsidP="006B519E">
      <w:pPr>
        <w:rPr>
          <w:lang w:val="de-DE"/>
        </w:rPr>
      </w:pPr>
    </w:p>
    <w:p w:rsidR="006B519E" w:rsidRPr="000376BC" w:rsidRDefault="004A094B" w:rsidP="004F3341">
      <w:pPr>
        <w:rPr>
          <w:lang w:val="de-DE"/>
        </w:rPr>
      </w:pPr>
      <w:r w:rsidRPr="006054BD">
        <w:fldChar w:fldCharType="begin"/>
      </w:r>
      <w:r w:rsidR="006B519E" w:rsidRPr="000376BC">
        <w:rPr>
          <w:lang w:val="de-DE"/>
        </w:rPr>
        <w:instrText xml:space="preserve"> AUTONUM  </w:instrText>
      </w:r>
      <w:r w:rsidRPr="006054BD">
        <w:fldChar w:fldCharType="end"/>
      </w:r>
      <w:r w:rsidR="006B519E" w:rsidRPr="000376BC">
        <w:rPr>
          <w:lang w:val="de-DE"/>
        </w:rPr>
        <w:tab/>
      </w:r>
      <w:r w:rsidR="000376BC">
        <w:rPr>
          <w:lang w:val="de-DE"/>
        </w:rPr>
        <w:t>Die</w:t>
      </w:r>
      <w:r w:rsidR="006B519E" w:rsidRPr="000376BC">
        <w:rPr>
          <w:lang w:val="de-DE"/>
        </w:rPr>
        <w:t xml:space="preserve"> </w:t>
      </w:r>
      <w:r w:rsidR="000376BC" w:rsidRPr="000376BC">
        <w:rPr>
          <w:lang w:val="de-DE"/>
        </w:rPr>
        <w:t xml:space="preserve">70 Verbandsmitglieder zum 31. Dezember 2012 waren: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Neuseeland, Nicaragua, Niederlande, Norwegen, Oman, </w:t>
      </w:r>
      <w:r w:rsidR="009B09E1" w:rsidRPr="000376BC">
        <w:rPr>
          <w:lang w:val="de-DE"/>
        </w:rPr>
        <w:t xml:space="preserve">Österreich, </w:t>
      </w:r>
      <w:r w:rsidR="000376BC" w:rsidRPr="000376BC">
        <w:rPr>
          <w:lang w:val="de-DE"/>
        </w:rPr>
        <w:t xml:space="preserve">Panama, Paraguay, Peru, Polen, Portugal, Republik Korea, </w:t>
      </w:r>
      <w:r w:rsidR="009B09E1" w:rsidRPr="000376BC">
        <w:rPr>
          <w:lang w:val="de-DE"/>
        </w:rPr>
        <w:t xml:space="preserve">Republik Moldau, </w:t>
      </w:r>
      <w:r w:rsidR="000376BC" w:rsidRPr="000376BC">
        <w:rPr>
          <w:lang w:val="de-DE"/>
        </w:rPr>
        <w:t xml:space="preserve">Rumänien, Russische Föderation, Schweden, Schweiz, Singapur, Slowakei, Slowenien, Spanien, Südafrika, Trinidad und Tobago, </w:t>
      </w:r>
      <w:r w:rsidR="00F514B4" w:rsidRPr="000376BC">
        <w:rPr>
          <w:lang w:val="de-DE"/>
        </w:rPr>
        <w:t xml:space="preserve">Tschechische Republik, </w:t>
      </w:r>
      <w:r w:rsidR="000376BC" w:rsidRPr="000376BC">
        <w:rPr>
          <w:lang w:val="de-DE"/>
        </w:rPr>
        <w:t>Tunesien, Türkei, Ukraine, Ungarn, Uruguay, Usbekistan, Vereinigte Staaten von Amerika</w:t>
      </w:r>
      <w:r w:rsidR="009B09E1">
        <w:rPr>
          <w:lang w:val="de-DE"/>
        </w:rPr>
        <w:t>,</w:t>
      </w:r>
      <w:r w:rsidR="000376BC" w:rsidRPr="000376BC">
        <w:rPr>
          <w:lang w:val="de-DE"/>
        </w:rPr>
        <w:t xml:space="preserve"> </w:t>
      </w:r>
      <w:r w:rsidR="009B09E1" w:rsidRPr="000376BC">
        <w:rPr>
          <w:lang w:val="de-DE"/>
        </w:rPr>
        <w:t xml:space="preserve">Vereinigtes Königreich </w:t>
      </w:r>
      <w:r w:rsidR="000376BC" w:rsidRPr="000376BC">
        <w:rPr>
          <w:lang w:val="de-DE"/>
        </w:rPr>
        <w:t>und Vietnam</w:t>
      </w:r>
      <w:r w:rsidR="006B519E" w:rsidRPr="000376BC">
        <w:rPr>
          <w:lang w:val="de-DE"/>
        </w:rPr>
        <w:t>.</w:t>
      </w:r>
    </w:p>
    <w:p w:rsidR="006B519E" w:rsidRPr="000376BC" w:rsidRDefault="006B519E" w:rsidP="006B519E">
      <w:pPr>
        <w:rPr>
          <w:lang w:val="de-DE"/>
        </w:rPr>
      </w:pPr>
    </w:p>
    <w:p w:rsidR="006B519E" w:rsidRPr="000376BC" w:rsidRDefault="006B519E" w:rsidP="006B519E">
      <w:pPr>
        <w:tabs>
          <w:tab w:val="left" w:pos="567"/>
          <w:tab w:val="left" w:pos="1134"/>
        </w:tabs>
        <w:rPr>
          <w:lang w:val="de-DE"/>
        </w:rPr>
      </w:pPr>
    </w:p>
    <w:p w:rsidR="006B519E" w:rsidRPr="000376BC" w:rsidRDefault="000376BC" w:rsidP="000376BC">
      <w:pPr>
        <w:pStyle w:val="Heading2"/>
        <w:rPr>
          <w:lang w:val="de-DE"/>
        </w:rPr>
      </w:pPr>
      <w:bookmarkStart w:id="16" w:name="_Toc336954243"/>
      <w:bookmarkStart w:id="17" w:name="_Toc306288721"/>
      <w:bookmarkStart w:id="18" w:name="_Toc306288623"/>
      <w:bookmarkStart w:id="19" w:name="_Toc306287869"/>
      <w:bookmarkStart w:id="20" w:name="_Toc266383959"/>
      <w:bookmarkStart w:id="21" w:name="_Toc338153916"/>
      <w:bookmarkStart w:id="22" w:name="_Toc339366535"/>
      <w:bookmarkStart w:id="23" w:name="_Toc368400880"/>
      <w:bookmarkStart w:id="24" w:name="_Toc338777561"/>
      <w:r w:rsidRPr="000376BC">
        <w:rPr>
          <w:lang w:val="de-DE"/>
        </w:rPr>
        <w:t>Lage bezüglich der verschiedenen Akte des Übereinkommens</w:t>
      </w:r>
      <w:bookmarkEnd w:id="16"/>
      <w:bookmarkEnd w:id="17"/>
      <w:bookmarkEnd w:id="18"/>
      <w:bookmarkEnd w:id="19"/>
      <w:bookmarkEnd w:id="20"/>
      <w:bookmarkEnd w:id="21"/>
      <w:bookmarkEnd w:id="22"/>
      <w:bookmarkEnd w:id="23"/>
      <w:r w:rsidRPr="000376BC">
        <w:rPr>
          <w:lang w:val="de-DE"/>
        </w:rPr>
        <w:t xml:space="preserve"> </w:t>
      </w:r>
      <w:bookmarkEnd w:id="24"/>
    </w:p>
    <w:p w:rsidR="006B519E" w:rsidRPr="000376BC" w:rsidRDefault="006B519E" w:rsidP="006B519E">
      <w:pPr>
        <w:rPr>
          <w:lang w:val="de-DE"/>
        </w:rPr>
      </w:pPr>
    </w:p>
    <w:p w:rsidR="000376BC" w:rsidRPr="000376BC" w:rsidRDefault="004A094B" w:rsidP="000376BC">
      <w:pPr>
        <w:rPr>
          <w:lang w:val="de-DE"/>
        </w:rPr>
      </w:pPr>
      <w:r w:rsidRPr="006054BD">
        <w:fldChar w:fldCharType="begin"/>
      </w:r>
      <w:r w:rsidR="001B4FFB" w:rsidRPr="000376BC">
        <w:rPr>
          <w:lang w:val="de-DE"/>
        </w:rPr>
        <w:instrText xml:space="preserve"> AUTONUM  </w:instrText>
      </w:r>
      <w:r w:rsidRPr="006054BD">
        <w:fldChar w:fldCharType="end"/>
      </w:r>
      <w:r w:rsidR="000376BC">
        <w:rPr>
          <w:lang w:val="de-DE"/>
        </w:rPr>
        <w:tab/>
        <w:t>Zum</w:t>
      </w:r>
      <w:r w:rsidR="001B4FFB" w:rsidRPr="000376BC">
        <w:rPr>
          <w:lang w:val="de-DE"/>
        </w:rPr>
        <w:t xml:space="preserve"> </w:t>
      </w:r>
      <w:r w:rsidR="000376BC" w:rsidRPr="000376BC">
        <w:rPr>
          <w:lang w:val="de-DE"/>
        </w:rPr>
        <w:t>31.  Dezember 2012 war die Lage der Verbandsmitglieder bezüglich der verschiedenen Akte des Übereinkommens wie folgt:</w:t>
      </w:r>
    </w:p>
    <w:p w:rsidR="000376BC" w:rsidRPr="000376BC" w:rsidRDefault="000376BC" w:rsidP="000376BC">
      <w:pPr>
        <w:rPr>
          <w:lang w:val="de-DE"/>
        </w:rPr>
      </w:pPr>
    </w:p>
    <w:p w:rsidR="000376BC" w:rsidRPr="000376BC" w:rsidRDefault="000376BC" w:rsidP="000376BC">
      <w:pPr>
        <w:rPr>
          <w:lang w:val="de-DE"/>
        </w:rPr>
      </w:pPr>
      <w:r w:rsidRPr="000376BC">
        <w:rPr>
          <w:lang w:val="de-DE"/>
        </w:rPr>
        <w:tab/>
        <w:t xml:space="preserve">a) </w:t>
      </w:r>
      <w:r w:rsidRPr="000376BC">
        <w:rPr>
          <w:lang w:val="de-DE"/>
        </w:rPr>
        <w:tab/>
        <w:t>Belgien war durch das Übereinkommen von 1961, geändert durch die Akte von 1972, gebunden;</w:t>
      </w:r>
    </w:p>
    <w:p w:rsidR="000376BC" w:rsidRPr="000376BC" w:rsidRDefault="000376BC" w:rsidP="000376BC">
      <w:pPr>
        <w:rPr>
          <w:lang w:val="de-DE"/>
        </w:rPr>
      </w:pPr>
    </w:p>
    <w:p w:rsidR="000376BC" w:rsidRPr="000376BC" w:rsidRDefault="000376BC" w:rsidP="001649DC">
      <w:pPr>
        <w:rPr>
          <w:lang w:val="de-DE"/>
        </w:rPr>
      </w:pPr>
      <w:r w:rsidRPr="000376BC">
        <w:rPr>
          <w:lang w:val="de-DE"/>
        </w:rPr>
        <w:tab/>
        <w:t xml:space="preserve">b) </w:t>
      </w:r>
      <w:r w:rsidRPr="000376BC">
        <w:rPr>
          <w:lang w:val="de-DE"/>
        </w:rPr>
        <w:tab/>
        <w:t xml:space="preserve">19 Mitglieder waren durch die Akte von 1978 gebunden: Argentinien, Bolivien, Brasilien, Chile, China, Ecuador, </w:t>
      </w:r>
      <w:r w:rsidR="001649DC">
        <w:rPr>
          <w:lang w:val="de-DE"/>
        </w:rPr>
        <w:t>I</w:t>
      </w:r>
      <w:r w:rsidRPr="000376BC">
        <w:rPr>
          <w:lang w:val="de-DE"/>
        </w:rPr>
        <w:t xml:space="preserve">talien, Kanada, Kenia, </w:t>
      </w:r>
      <w:r w:rsidR="009B09E1">
        <w:rPr>
          <w:lang w:val="de-DE"/>
        </w:rPr>
        <w:t xml:space="preserve">Kolumbien, </w:t>
      </w:r>
      <w:r w:rsidRPr="000376BC">
        <w:rPr>
          <w:lang w:val="de-DE"/>
        </w:rPr>
        <w:t xml:space="preserve">Mexiko, Neuseeland, Nicaragua, Norwegen, Paraguay, Portugal, Südafrika, Trinidad und Tobago </w:t>
      </w:r>
      <w:r w:rsidR="009B09E1">
        <w:rPr>
          <w:lang w:val="de-DE"/>
        </w:rPr>
        <w:t xml:space="preserve">und </w:t>
      </w:r>
      <w:r w:rsidRPr="000376BC">
        <w:rPr>
          <w:lang w:val="de-DE"/>
        </w:rPr>
        <w:t>Uruguay;</w:t>
      </w:r>
    </w:p>
    <w:p w:rsidR="000376BC" w:rsidRPr="000376BC" w:rsidRDefault="000376BC" w:rsidP="000376BC">
      <w:pPr>
        <w:rPr>
          <w:lang w:val="de-DE"/>
        </w:rPr>
      </w:pPr>
    </w:p>
    <w:p w:rsidR="001B4FFB" w:rsidRPr="000376BC" w:rsidRDefault="000376BC" w:rsidP="009804F3">
      <w:pPr>
        <w:rPr>
          <w:lang w:val="de-DE"/>
        </w:rPr>
      </w:pPr>
      <w:r w:rsidRPr="000376BC">
        <w:rPr>
          <w:lang w:val="de-DE"/>
        </w:rPr>
        <w:tab/>
        <w:t xml:space="preserve">c) </w:t>
      </w:r>
      <w:r w:rsidRPr="000376BC">
        <w:rPr>
          <w:lang w:val="de-DE"/>
        </w:rPr>
        <w:tab/>
      </w:r>
      <w:r w:rsidR="001649DC">
        <w:rPr>
          <w:lang w:val="de-DE"/>
        </w:rPr>
        <w:t>5</w:t>
      </w:r>
      <w:r w:rsidRPr="000376BC">
        <w:rPr>
          <w:lang w:val="de-DE"/>
        </w:rPr>
        <w:t xml:space="preserve">0 Mitglieder waren durch die Akte von 1991 gebunden: Albanien, Aserbaidschan, Australien, Belarus, Bulgarien, </w:t>
      </w:r>
      <w:r w:rsidR="001649DC">
        <w:rPr>
          <w:lang w:val="de-DE"/>
        </w:rPr>
        <w:t xml:space="preserve">Costa Rica, </w:t>
      </w:r>
      <w:r w:rsidRPr="000376BC">
        <w:rPr>
          <w:lang w:val="de-DE"/>
        </w:rPr>
        <w:t xml:space="preserve">Dänemark, Deutschland, Dominikanische Republik, </w:t>
      </w:r>
      <w:r w:rsidR="009B09E1" w:rsidRPr="000376BC">
        <w:rPr>
          <w:lang w:val="de-DE"/>
        </w:rPr>
        <w:t xml:space="preserve">Ehemalige Jugoslawische Republik Mazedonien, </w:t>
      </w:r>
      <w:r w:rsidRPr="000376BC">
        <w:rPr>
          <w:lang w:val="de-DE"/>
        </w:rPr>
        <w:t xml:space="preserve">Estland, </w:t>
      </w:r>
      <w:r w:rsidR="00A351AE">
        <w:rPr>
          <w:lang w:val="de-DE"/>
        </w:rPr>
        <w:t>Europäische Union</w:t>
      </w:r>
      <w:r w:rsidRPr="000376BC">
        <w:rPr>
          <w:lang w:val="de-DE"/>
        </w:rPr>
        <w:t xml:space="preserve">, Finnland, </w:t>
      </w:r>
      <w:r w:rsidR="001649DC">
        <w:rPr>
          <w:lang w:val="de-DE"/>
        </w:rPr>
        <w:t xml:space="preserve">Frankreich, Georgien, </w:t>
      </w:r>
      <w:r w:rsidR="009B09E1">
        <w:rPr>
          <w:lang w:val="de-DE"/>
        </w:rPr>
        <w:t xml:space="preserve">Irland, </w:t>
      </w:r>
      <w:r w:rsidRPr="000376BC">
        <w:rPr>
          <w:lang w:val="de-DE"/>
        </w:rPr>
        <w:t>Island, Israel, Japan, Jordanien, Kirgisistan, Kroatien, Lettland, Litauen, Marokko,</w:t>
      </w:r>
      <w:r w:rsidR="001649DC">
        <w:rPr>
          <w:lang w:val="de-DE"/>
        </w:rPr>
        <w:t xml:space="preserve"> </w:t>
      </w:r>
      <w:r w:rsidRPr="000376BC">
        <w:rPr>
          <w:lang w:val="de-DE"/>
        </w:rPr>
        <w:t xml:space="preserve">Niederlande, </w:t>
      </w:r>
      <w:r w:rsidR="001649DC">
        <w:rPr>
          <w:lang w:val="de-DE"/>
        </w:rPr>
        <w:t xml:space="preserve">Oman, </w:t>
      </w:r>
      <w:r w:rsidR="009B09E1" w:rsidRPr="000376BC">
        <w:rPr>
          <w:lang w:val="de-DE"/>
        </w:rPr>
        <w:t xml:space="preserve">Österreich, </w:t>
      </w:r>
      <w:r w:rsidR="001649DC">
        <w:rPr>
          <w:lang w:val="de-DE"/>
        </w:rPr>
        <w:t xml:space="preserve">Panama, Peru, </w:t>
      </w:r>
      <w:r w:rsidRPr="000376BC">
        <w:rPr>
          <w:lang w:val="de-DE"/>
        </w:rPr>
        <w:t xml:space="preserve">Polen, Republik Korea, </w:t>
      </w:r>
      <w:r w:rsidR="009B09E1">
        <w:rPr>
          <w:lang w:val="de-DE"/>
        </w:rPr>
        <w:t>Republik</w:t>
      </w:r>
      <w:r w:rsidR="009B09E1" w:rsidRPr="000376BC">
        <w:rPr>
          <w:lang w:val="de-DE"/>
        </w:rPr>
        <w:t xml:space="preserve"> Moldau, </w:t>
      </w:r>
      <w:r w:rsidRPr="000376BC">
        <w:rPr>
          <w:lang w:val="de-DE"/>
        </w:rPr>
        <w:t xml:space="preserve">Rumänien, Russische Föderation, Schweden, </w:t>
      </w:r>
      <w:r w:rsidR="001649DC">
        <w:rPr>
          <w:lang w:val="de-DE"/>
        </w:rPr>
        <w:t xml:space="preserve">Schweiz, </w:t>
      </w:r>
      <w:r w:rsidRPr="000376BC">
        <w:rPr>
          <w:lang w:val="de-DE"/>
        </w:rPr>
        <w:t xml:space="preserve">Singapur, </w:t>
      </w:r>
      <w:r w:rsidR="009B09E1">
        <w:rPr>
          <w:lang w:val="de-DE"/>
        </w:rPr>
        <w:t xml:space="preserve">Slowakei, </w:t>
      </w:r>
      <w:r w:rsidRPr="000376BC">
        <w:rPr>
          <w:lang w:val="de-DE"/>
        </w:rPr>
        <w:t>Slowenien, Spanien, Tschechische Republik, Tunesien, Türkei, Ukraine, Ungarn, Usb</w:t>
      </w:r>
      <w:r w:rsidR="009B09E1">
        <w:rPr>
          <w:lang w:val="de-DE"/>
        </w:rPr>
        <w:t xml:space="preserve">ekistan, </w:t>
      </w:r>
      <w:r w:rsidR="009B09E1" w:rsidRPr="000376BC">
        <w:rPr>
          <w:lang w:val="de-DE"/>
        </w:rPr>
        <w:t>Vereinigte Staaten von Amerika</w:t>
      </w:r>
      <w:r w:rsidR="009B09E1">
        <w:rPr>
          <w:lang w:val="de-DE"/>
        </w:rPr>
        <w:t>,</w:t>
      </w:r>
      <w:r w:rsidR="009B09E1" w:rsidRPr="000376BC">
        <w:rPr>
          <w:lang w:val="de-DE"/>
        </w:rPr>
        <w:t xml:space="preserve"> </w:t>
      </w:r>
      <w:r w:rsidR="009B09E1">
        <w:rPr>
          <w:lang w:val="de-DE"/>
        </w:rPr>
        <w:t>Vereinigtes Königreich</w:t>
      </w:r>
      <w:r w:rsidRPr="000376BC">
        <w:rPr>
          <w:lang w:val="de-DE"/>
        </w:rPr>
        <w:t xml:space="preserve"> und Vietnam</w:t>
      </w:r>
      <w:r w:rsidR="001B4FFB" w:rsidRPr="000376BC">
        <w:rPr>
          <w:lang w:val="de-DE"/>
        </w:rPr>
        <w:t>.</w:t>
      </w:r>
    </w:p>
    <w:p w:rsidR="001B4FFB" w:rsidRPr="000376BC" w:rsidRDefault="001B4FFB" w:rsidP="001B4FFB">
      <w:pPr>
        <w:rPr>
          <w:lang w:val="de-DE"/>
        </w:rPr>
      </w:pPr>
    </w:p>
    <w:p w:rsidR="001B4FFB" w:rsidRPr="000376BC" w:rsidRDefault="004A094B" w:rsidP="001649DC">
      <w:pPr>
        <w:rPr>
          <w:lang w:val="de-DE"/>
        </w:rPr>
      </w:pPr>
      <w:r w:rsidRPr="006054BD">
        <w:fldChar w:fldCharType="begin"/>
      </w:r>
      <w:r w:rsidR="001B4FFB" w:rsidRPr="000376BC">
        <w:rPr>
          <w:lang w:val="de-DE"/>
        </w:rPr>
        <w:instrText xml:space="preserve"> AUTONUM  </w:instrText>
      </w:r>
      <w:r w:rsidRPr="006054BD">
        <w:fldChar w:fldCharType="end"/>
      </w:r>
      <w:r w:rsidR="000376BC">
        <w:rPr>
          <w:lang w:val="de-DE"/>
        </w:rPr>
        <w:tab/>
        <w:t>Anlage</w:t>
      </w:r>
      <w:r w:rsidR="001B4FFB" w:rsidRPr="000376BC">
        <w:rPr>
          <w:lang w:val="de-DE"/>
        </w:rPr>
        <w:t> </w:t>
      </w:r>
      <w:r w:rsidR="000376BC" w:rsidRPr="000376BC">
        <w:rPr>
          <w:lang w:val="de-DE"/>
        </w:rPr>
        <w:t>I gibt den Stand der Verbandsmitglieder in bezug auf das Übereinkommen und seine verschiedenen Akte zum 31. Dezember 20</w:t>
      </w:r>
      <w:r w:rsidR="001649DC">
        <w:rPr>
          <w:lang w:val="de-DE"/>
        </w:rPr>
        <w:t>12</w:t>
      </w:r>
      <w:r w:rsidR="000376BC" w:rsidRPr="000376BC">
        <w:rPr>
          <w:lang w:val="de-DE"/>
        </w:rPr>
        <w:t xml:space="preserve"> wieder</w:t>
      </w:r>
      <w:r w:rsidR="001B4FFB" w:rsidRPr="000376BC">
        <w:rPr>
          <w:lang w:val="de-DE"/>
        </w:rPr>
        <w:t>.</w:t>
      </w:r>
    </w:p>
    <w:p w:rsidR="001B4FFB" w:rsidRPr="000376BC" w:rsidRDefault="001B4FFB" w:rsidP="006B519E">
      <w:pPr>
        <w:rPr>
          <w:lang w:val="de-DE"/>
        </w:rPr>
      </w:pPr>
    </w:p>
    <w:p w:rsidR="00A605B5" w:rsidRPr="000376BC" w:rsidRDefault="00A605B5" w:rsidP="006B519E">
      <w:pPr>
        <w:rPr>
          <w:lang w:val="de-DE"/>
        </w:rPr>
      </w:pPr>
    </w:p>
    <w:p w:rsidR="00A605B5" w:rsidRPr="002A5260" w:rsidRDefault="000376BC" w:rsidP="000376BC">
      <w:pPr>
        <w:pStyle w:val="Heading2"/>
        <w:rPr>
          <w:lang w:val="de-DE"/>
        </w:rPr>
      </w:pPr>
      <w:bookmarkStart w:id="25" w:name="_Toc368400881"/>
      <w:r w:rsidRPr="002A5260">
        <w:rPr>
          <w:lang w:val="de-DE"/>
        </w:rPr>
        <w:t>Zukünftige Mitglieder</w:t>
      </w:r>
      <w:bookmarkEnd w:id="25"/>
    </w:p>
    <w:p w:rsidR="00A605B5" w:rsidRPr="002A5260" w:rsidRDefault="00A605B5" w:rsidP="00A605B5">
      <w:pPr>
        <w:keepNext/>
        <w:rPr>
          <w:lang w:val="de-DE"/>
        </w:rPr>
      </w:pPr>
    </w:p>
    <w:p w:rsidR="00A605B5" w:rsidRPr="002833DF" w:rsidRDefault="004A094B" w:rsidP="002833DF">
      <w:pPr>
        <w:rPr>
          <w:lang w:val="de-DE"/>
        </w:rPr>
      </w:pPr>
      <w:r w:rsidRPr="006054BD">
        <w:fldChar w:fldCharType="begin"/>
      </w:r>
      <w:r w:rsidR="00A605B5" w:rsidRPr="002833DF">
        <w:rPr>
          <w:lang w:val="de-DE"/>
        </w:rPr>
        <w:instrText xml:space="preserve"> AUTONUM  </w:instrText>
      </w:r>
      <w:r w:rsidRPr="006054BD">
        <w:fldChar w:fldCharType="end"/>
      </w:r>
      <w:r w:rsidR="002833DF">
        <w:rPr>
          <w:lang w:val="de-DE"/>
        </w:rPr>
        <w:tab/>
        <w:t>Gemäß</w:t>
      </w:r>
      <w:r w:rsidR="00A605B5" w:rsidRPr="002833DF">
        <w:rPr>
          <w:lang w:val="de-DE"/>
        </w:rPr>
        <w:t xml:space="preserve"> </w:t>
      </w:r>
      <w:r w:rsidR="002833DF" w:rsidRPr="002833DF">
        <w:rPr>
          <w:lang w:val="de-DE"/>
        </w:rPr>
        <w:t>Artikel 34 Absatz 3 der Akte von 1991 „ersuchen jeder Staat, der dem Verband nicht angehört, sowie jede zwischenstaatliche Organisation vor Hinterlegung ihrer Beitrittsurkunde den Rat um Stellungnahme, ob ihre Rechtsvorschriften mit diesem Übereinkommen vereinbar sind“</w:t>
      </w:r>
      <w:r w:rsidR="002833DF">
        <w:rPr>
          <w:lang w:val="de-DE"/>
        </w:rPr>
        <w:t>.</w:t>
      </w:r>
    </w:p>
    <w:p w:rsidR="00A605B5" w:rsidRPr="002833DF" w:rsidRDefault="00A605B5" w:rsidP="00A605B5">
      <w:pPr>
        <w:rPr>
          <w:lang w:val="de-DE"/>
        </w:rPr>
      </w:pPr>
    </w:p>
    <w:p w:rsidR="00975155" w:rsidRPr="00237CEB" w:rsidRDefault="004A094B" w:rsidP="00154DC4">
      <w:pPr>
        <w:rPr>
          <w:lang w:val="de-DE"/>
        </w:rPr>
      </w:pPr>
      <w:r w:rsidRPr="006054BD">
        <w:lastRenderedPageBreak/>
        <w:fldChar w:fldCharType="begin"/>
      </w:r>
      <w:r w:rsidR="00A605B5" w:rsidRPr="00237CEB">
        <w:rPr>
          <w:lang w:val="de-DE"/>
        </w:rPr>
        <w:instrText xml:space="preserve"> AUTONUM  </w:instrText>
      </w:r>
      <w:r w:rsidRPr="006054BD">
        <w:fldChar w:fldCharType="end"/>
      </w:r>
      <w:r w:rsidR="00A605B5" w:rsidRPr="00237CEB">
        <w:rPr>
          <w:lang w:val="de-DE"/>
        </w:rPr>
        <w:tab/>
      </w:r>
      <w:r w:rsidR="00237CEB">
        <w:rPr>
          <w:lang w:val="de-DE"/>
        </w:rPr>
        <w:t>Mit</w:t>
      </w:r>
      <w:r w:rsidR="00975155" w:rsidRPr="00237CEB">
        <w:rPr>
          <w:lang w:val="de-DE"/>
        </w:rPr>
        <w:t xml:space="preserve"> </w:t>
      </w:r>
      <w:r w:rsidR="00237CEB" w:rsidRPr="00237CEB">
        <w:rPr>
          <w:lang w:val="de-DE"/>
        </w:rPr>
        <w:t>Schreiben vom 25. September 2012 ersuchte die Republik Ghana (nachstehend „Ghana"</w:t>
      </w:r>
      <w:r w:rsidR="001649DC">
        <w:rPr>
          <w:lang w:val="de-DE"/>
        </w:rPr>
        <w:t>)</w:t>
      </w:r>
      <w:r w:rsidR="00237CEB" w:rsidRPr="00237CEB">
        <w:rPr>
          <w:lang w:val="de-DE"/>
        </w:rPr>
        <w:t xml:space="preserve"> um Prüfung der Vereinbarkeit des Gesetzentwurfs </w:t>
      </w:r>
      <w:r w:rsidR="00154DC4">
        <w:rPr>
          <w:lang w:val="de-DE"/>
        </w:rPr>
        <w:t xml:space="preserve">Ghanas </w:t>
      </w:r>
      <w:r w:rsidR="00237CEB" w:rsidRPr="00237CEB">
        <w:rPr>
          <w:lang w:val="de-DE"/>
        </w:rPr>
        <w:t>über Pflanzenzüchter mit der Akte von 1991 des UPOV-Übereinkommens</w:t>
      </w:r>
      <w:r w:rsidR="00975155" w:rsidRPr="00237CEB">
        <w:rPr>
          <w:lang w:val="de-DE"/>
        </w:rPr>
        <w:t>.</w:t>
      </w:r>
    </w:p>
    <w:p w:rsidR="002833DF" w:rsidRPr="00237CEB" w:rsidRDefault="002833DF" w:rsidP="00A605B5">
      <w:pPr>
        <w:rPr>
          <w:lang w:val="de-DE"/>
        </w:rPr>
      </w:pPr>
    </w:p>
    <w:p w:rsidR="00237CEB" w:rsidRPr="00237CEB" w:rsidRDefault="004A094B" w:rsidP="00154DC4">
      <w:pPr>
        <w:rPr>
          <w:rFonts w:cs="Arial"/>
          <w:lang w:val="de-DE"/>
        </w:rPr>
      </w:pPr>
      <w:r w:rsidRPr="006054BD">
        <w:fldChar w:fldCharType="begin"/>
      </w:r>
      <w:r w:rsidR="00A605B5" w:rsidRPr="00237CEB">
        <w:rPr>
          <w:lang w:val="de-DE"/>
        </w:rPr>
        <w:instrText xml:space="preserve"> AUTONUM  </w:instrText>
      </w:r>
      <w:r w:rsidRPr="006054BD">
        <w:fldChar w:fldCharType="end"/>
      </w:r>
      <w:r w:rsidR="00237CEB">
        <w:rPr>
          <w:lang w:val="de-DE"/>
        </w:rPr>
        <w:tab/>
        <w:t>Auf</w:t>
      </w:r>
      <w:r w:rsidR="00A605B5" w:rsidRPr="00237CEB">
        <w:rPr>
          <w:lang w:val="de-DE"/>
        </w:rPr>
        <w:t xml:space="preserve"> </w:t>
      </w:r>
      <w:r w:rsidR="00237CEB" w:rsidRPr="00237CEB">
        <w:rPr>
          <w:lang w:val="de-DE"/>
        </w:rPr>
        <w:t>seiner sechsundvierzigsten ordentlichen Tagung am 1. November 2012 in Genf prüfte der Rat die  Vereinbarkeit des Gesetzentwurfs Ghanas über Pflanzenzüchter mit der Akte von 1991 des UPOV</w:t>
      </w:r>
      <w:r w:rsidR="00237CEB" w:rsidRPr="00237CEB">
        <w:rPr>
          <w:rFonts w:ascii="MS Gothic" w:eastAsia="MS Gothic" w:hAnsi="MS Gothic" w:cs="MS Gothic" w:hint="eastAsia"/>
          <w:lang w:val="de-DE"/>
        </w:rPr>
        <w:t>‑</w:t>
      </w:r>
      <w:r w:rsidR="00237CEB" w:rsidRPr="00237CEB">
        <w:rPr>
          <w:rFonts w:cs="Arial"/>
          <w:lang w:val="de-DE"/>
        </w:rPr>
        <w:t>Übereinkommens und entschied:</w:t>
      </w:r>
    </w:p>
    <w:p w:rsidR="00237CEB" w:rsidRPr="00237CEB" w:rsidRDefault="00237CEB" w:rsidP="00237CEB">
      <w:pPr>
        <w:rPr>
          <w:rFonts w:cs="Arial"/>
          <w:lang w:val="de-DE"/>
        </w:rPr>
      </w:pPr>
    </w:p>
    <w:p w:rsidR="00237CEB" w:rsidRPr="009B09E1" w:rsidRDefault="00237CEB" w:rsidP="009B09E1">
      <w:pPr>
        <w:ind w:left="567" w:right="567"/>
        <w:rPr>
          <w:sz w:val="18"/>
          <w:szCs w:val="18"/>
          <w:lang w:val="de-DE"/>
        </w:rPr>
      </w:pPr>
      <w:r w:rsidRPr="009B09E1">
        <w:rPr>
          <w:sz w:val="18"/>
          <w:szCs w:val="18"/>
          <w:lang w:val="de-DE"/>
        </w:rPr>
        <w:tab/>
        <w:t>„a) von der Analyse in Dokument C/46/14 und den folgenden, von der Delegation Ghanas vorgeschlagenen Änderungen des Gesetzentwurfs Ghanas über Pflanzenzüchter (Gesetzentwurf) Kenntnis zu nehmen:</w:t>
      </w:r>
    </w:p>
    <w:p w:rsidR="00237CEB" w:rsidRPr="009B09E1" w:rsidRDefault="00237CEB" w:rsidP="009B09E1">
      <w:pPr>
        <w:ind w:left="567" w:right="567"/>
        <w:rPr>
          <w:sz w:val="18"/>
          <w:szCs w:val="18"/>
          <w:lang w:val="de-DE"/>
        </w:rPr>
      </w:pPr>
    </w:p>
    <w:p w:rsidR="00237CEB" w:rsidRPr="009B09E1" w:rsidRDefault="00237CEB" w:rsidP="009B09E1">
      <w:pPr>
        <w:ind w:left="567" w:right="567"/>
        <w:rPr>
          <w:sz w:val="18"/>
          <w:szCs w:val="18"/>
          <w:lang w:val="de-DE"/>
        </w:rPr>
      </w:pPr>
      <w:r w:rsidRPr="009B09E1">
        <w:rPr>
          <w:sz w:val="18"/>
          <w:szCs w:val="18"/>
          <w:lang w:val="de-DE"/>
        </w:rPr>
        <w:tab/>
      </w:r>
      <w:r w:rsidRPr="009B09E1">
        <w:rPr>
          <w:sz w:val="18"/>
          <w:szCs w:val="18"/>
          <w:lang w:val="de-DE"/>
        </w:rPr>
        <w:tab/>
        <w:t>i) die Entfernung des Begriffes „</w:t>
      </w:r>
      <w:r w:rsidR="00F5098D" w:rsidRPr="009B09E1">
        <w:rPr>
          <w:sz w:val="18"/>
          <w:szCs w:val="18"/>
          <w:lang w:val="de-DE"/>
        </w:rPr>
        <w:t>conclusively</w:t>
      </w:r>
      <w:r w:rsidRPr="009B09E1">
        <w:rPr>
          <w:sz w:val="18"/>
          <w:szCs w:val="18"/>
          <w:lang w:val="de-DE"/>
        </w:rPr>
        <w:t>“ in Artikel 15 Absatz 2;</w:t>
      </w:r>
    </w:p>
    <w:p w:rsidR="00237CEB" w:rsidRPr="009B09E1" w:rsidRDefault="00237CEB" w:rsidP="009B09E1">
      <w:pPr>
        <w:ind w:left="567" w:right="567"/>
        <w:rPr>
          <w:sz w:val="18"/>
          <w:szCs w:val="18"/>
          <w:lang w:val="de-DE"/>
        </w:rPr>
      </w:pPr>
      <w:r w:rsidRPr="009B09E1">
        <w:rPr>
          <w:sz w:val="18"/>
          <w:szCs w:val="18"/>
          <w:lang w:val="de-DE"/>
        </w:rPr>
        <w:tab/>
      </w:r>
      <w:r w:rsidRPr="009B09E1">
        <w:rPr>
          <w:sz w:val="18"/>
          <w:szCs w:val="18"/>
          <w:lang w:val="de-DE"/>
        </w:rPr>
        <w:tab/>
      </w:r>
    </w:p>
    <w:p w:rsidR="00237CEB" w:rsidRPr="009B09E1" w:rsidRDefault="00237CEB" w:rsidP="009B09E1">
      <w:pPr>
        <w:ind w:left="567" w:right="567"/>
        <w:rPr>
          <w:sz w:val="18"/>
          <w:szCs w:val="18"/>
          <w:lang w:val="de-DE"/>
        </w:rPr>
      </w:pPr>
      <w:r w:rsidRPr="009B09E1">
        <w:rPr>
          <w:sz w:val="18"/>
          <w:szCs w:val="18"/>
          <w:lang w:val="de-DE"/>
        </w:rPr>
        <w:tab/>
      </w:r>
      <w:r w:rsidRPr="009B09E1">
        <w:rPr>
          <w:sz w:val="18"/>
          <w:szCs w:val="18"/>
          <w:lang w:val="de-DE"/>
        </w:rPr>
        <w:tab/>
        <w:t>ii) den Ersatz der Begriffe “Plant Breeders Advisory Committee” durch “Plant Breeders Technical Committee” in Artikel 30; und</w:t>
      </w:r>
    </w:p>
    <w:p w:rsidR="00237CEB" w:rsidRPr="009B09E1" w:rsidRDefault="00237CEB" w:rsidP="009B09E1">
      <w:pPr>
        <w:ind w:left="567" w:right="567"/>
        <w:rPr>
          <w:sz w:val="18"/>
          <w:szCs w:val="18"/>
          <w:lang w:val="de-DE"/>
        </w:rPr>
      </w:pPr>
    </w:p>
    <w:p w:rsidR="00237CEB" w:rsidRPr="009B09E1" w:rsidRDefault="00237CEB" w:rsidP="009B09E1">
      <w:pPr>
        <w:ind w:left="567" w:right="567"/>
        <w:rPr>
          <w:sz w:val="18"/>
          <w:szCs w:val="18"/>
          <w:lang w:val="de-DE"/>
        </w:rPr>
      </w:pPr>
      <w:r w:rsidRPr="009B09E1">
        <w:rPr>
          <w:sz w:val="18"/>
          <w:szCs w:val="18"/>
          <w:lang w:val="de-DE"/>
        </w:rPr>
        <w:tab/>
      </w:r>
      <w:r w:rsidRPr="009B09E1">
        <w:rPr>
          <w:sz w:val="18"/>
          <w:szCs w:val="18"/>
          <w:lang w:val="de-DE"/>
        </w:rPr>
        <w:tab/>
        <w:t>iii) die Entfernung des Begriffes „seed” in Artikel 43 Buchstabe g</w:t>
      </w:r>
      <w:r w:rsidR="009E020F" w:rsidRPr="009B09E1">
        <w:rPr>
          <w:sz w:val="18"/>
          <w:szCs w:val="18"/>
          <w:lang w:val="de-DE"/>
        </w:rPr>
        <w:t>;</w:t>
      </w:r>
    </w:p>
    <w:p w:rsidR="00237CEB" w:rsidRPr="009B09E1" w:rsidRDefault="00237CEB" w:rsidP="009B09E1">
      <w:pPr>
        <w:ind w:left="567" w:right="567"/>
        <w:rPr>
          <w:sz w:val="18"/>
          <w:szCs w:val="18"/>
          <w:lang w:val="de-DE"/>
        </w:rPr>
      </w:pPr>
    </w:p>
    <w:p w:rsidR="00237CEB" w:rsidRPr="009B09E1" w:rsidRDefault="00237CEB" w:rsidP="009B09E1">
      <w:pPr>
        <w:ind w:left="567" w:right="567"/>
        <w:rPr>
          <w:sz w:val="18"/>
          <w:szCs w:val="18"/>
          <w:lang w:val="de-DE"/>
        </w:rPr>
      </w:pPr>
      <w:r w:rsidRPr="009B09E1">
        <w:rPr>
          <w:sz w:val="18"/>
          <w:szCs w:val="18"/>
          <w:lang w:val="de-DE"/>
        </w:rPr>
        <w:tab/>
        <w:t>b) eine positive Entscheidung im Hinblick auf die Vereinbarkeit des Gesetzentwurfes mit den Bestimmungen der Akte von 1991 des Internationalen Übereinkommens zum Schutz von Pflanzenzüchtungen zu treffen, welche es Ghana erlaubt, seine Urkunde über den Beitritt zur Akte von 1991 zu hinterlegen, sobald der Gesetzentwurf gemäß den Empfehlungen in den Absätzen 10, 18 und 24 des Dokuments C/46/14 und in dem oben angeführten Unterabsatz a) ohne zusätzliche Änderungen abgeändert wurde und der abgeänderte Gesetzentwurf angenommen und das Gesetz in Kraft getreten ist; und</w:t>
      </w:r>
    </w:p>
    <w:p w:rsidR="00237CEB" w:rsidRPr="009B09E1" w:rsidRDefault="00237CEB" w:rsidP="009B09E1">
      <w:pPr>
        <w:ind w:left="567" w:right="567"/>
        <w:rPr>
          <w:sz w:val="18"/>
          <w:szCs w:val="18"/>
          <w:lang w:val="de-DE"/>
        </w:rPr>
      </w:pPr>
      <w:r w:rsidRPr="009B09E1">
        <w:rPr>
          <w:sz w:val="18"/>
          <w:szCs w:val="18"/>
          <w:lang w:val="de-DE"/>
        </w:rPr>
        <w:tab/>
      </w:r>
    </w:p>
    <w:p w:rsidR="00B713D0" w:rsidRPr="009B09E1" w:rsidRDefault="00237CEB" w:rsidP="009B09E1">
      <w:pPr>
        <w:ind w:left="567" w:right="567"/>
        <w:rPr>
          <w:snapToGrid w:val="0"/>
          <w:sz w:val="18"/>
          <w:szCs w:val="18"/>
          <w:lang w:val="de-DE"/>
        </w:rPr>
      </w:pPr>
      <w:r w:rsidRPr="009B09E1">
        <w:rPr>
          <w:sz w:val="18"/>
          <w:szCs w:val="18"/>
          <w:lang w:val="de-DE"/>
        </w:rPr>
        <w:tab/>
        <w:t>c) den Generalsekretär zu ermächtigen, die Regierung der Republik Ghana von dieser Entscheidung zu unterrichten</w:t>
      </w:r>
      <w:r w:rsidR="00B713D0" w:rsidRPr="009B09E1">
        <w:rPr>
          <w:snapToGrid w:val="0"/>
          <w:sz w:val="18"/>
          <w:szCs w:val="18"/>
          <w:lang w:val="de-DE"/>
        </w:rPr>
        <w:t>.”</w:t>
      </w:r>
    </w:p>
    <w:p w:rsidR="00B713D0" w:rsidRPr="00237CEB" w:rsidRDefault="00B713D0" w:rsidP="00A605B5">
      <w:pPr>
        <w:rPr>
          <w:lang w:val="de-DE"/>
        </w:rPr>
      </w:pPr>
    </w:p>
    <w:p w:rsidR="00B713D0" w:rsidRPr="00D05435" w:rsidRDefault="004A094B" w:rsidP="00D05435">
      <w:pPr>
        <w:rPr>
          <w:rFonts w:cs="Arial"/>
          <w:lang w:val="de-DE"/>
        </w:rPr>
      </w:pPr>
      <w:r w:rsidRPr="006054BD">
        <w:fldChar w:fldCharType="begin"/>
      </w:r>
      <w:r w:rsidR="00E631B8" w:rsidRPr="00D05435">
        <w:rPr>
          <w:lang w:val="de-DE"/>
        </w:rPr>
        <w:instrText xml:space="preserve"> AUTONUM  </w:instrText>
      </w:r>
      <w:r w:rsidRPr="006054BD">
        <w:fldChar w:fldCharType="end"/>
      </w:r>
      <w:r w:rsidR="00E631B8" w:rsidRPr="00D05435">
        <w:rPr>
          <w:lang w:val="de-DE"/>
        </w:rPr>
        <w:tab/>
      </w:r>
      <w:r w:rsidR="00D05435">
        <w:rPr>
          <w:rFonts w:cs="Arial"/>
          <w:lang w:val="de-DE"/>
        </w:rPr>
        <w:t>Mit</w:t>
      </w:r>
      <w:r w:rsidR="00E631B8" w:rsidRPr="00D05435">
        <w:rPr>
          <w:rFonts w:cs="Arial"/>
          <w:lang w:val="de-DE"/>
        </w:rPr>
        <w:t xml:space="preserve"> </w:t>
      </w:r>
      <w:r w:rsidR="00D05435" w:rsidRPr="00D05435">
        <w:rPr>
          <w:lang w:val="de-DE"/>
        </w:rPr>
        <w:t>Schreiben vom 1. Oktober 2012 ersuchte die Vereinigte Republik Tansania um Prüfung der Vereinbarkeit des Gesetzentwurfs Kontinentaltansanias über Pflanzenzüchterrechte mit der Akte von 1991 des UPOV-Übereinkommens</w:t>
      </w:r>
      <w:r w:rsidR="009054B3" w:rsidRPr="00D05435">
        <w:rPr>
          <w:rFonts w:cs="Arial"/>
          <w:lang w:val="de-DE"/>
        </w:rPr>
        <w:t>.</w:t>
      </w:r>
    </w:p>
    <w:p w:rsidR="009054B3" w:rsidRPr="00D05435" w:rsidRDefault="009054B3" w:rsidP="00A605B5">
      <w:pPr>
        <w:rPr>
          <w:rFonts w:cs="Arial"/>
          <w:lang w:val="de-DE"/>
        </w:rPr>
      </w:pPr>
    </w:p>
    <w:p w:rsidR="00D05435" w:rsidRPr="00D05435" w:rsidRDefault="004A094B" w:rsidP="00D05435">
      <w:pPr>
        <w:rPr>
          <w:lang w:val="de-DE"/>
        </w:rPr>
      </w:pPr>
      <w:r w:rsidRPr="006054BD">
        <w:fldChar w:fldCharType="begin"/>
      </w:r>
      <w:r w:rsidR="009054B3" w:rsidRPr="00D05435">
        <w:rPr>
          <w:lang w:val="de-DE"/>
        </w:rPr>
        <w:instrText xml:space="preserve"> AUTONUM  </w:instrText>
      </w:r>
      <w:r w:rsidRPr="006054BD">
        <w:fldChar w:fldCharType="end"/>
      </w:r>
      <w:r w:rsidR="00D05435">
        <w:rPr>
          <w:lang w:val="de-DE"/>
        </w:rPr>
        <w:tab/>
        <w:t>Auf</w:t>
      </w:r>
      <w:r w:rsidR="009054B3" w:rsidRPr="00D05435">
        <w:rPr>
          <w:lang w:val="de-DE"/>
        </w:rPr>
        <w:t xml:space="preserve"> </w:t>
      </w:r>
      <w:r w:rsidR="00D05435" w:rsidRPr="00D05435">
        <w:rPr>
          <w:lang w:val="de-DE"/>
        </w:rPr>
        <w:t>seiner sechsundvierzigsten ordentlichen Tagung am 1. November 2012 in Genf prüfte der Rat die Vereinbarkeit des Gesetzentwurfs Kontinentaltansanias über Pflanzenzüchterrechte mit der Akte von 1991 des UPOV-Übereinkommens und entschied:</w:t>
      </w:r>
    </w:p>
    <w:p w:rsidR="00D05435" w:rsidRPr="00D05435" w:rsidRDefault="00D05435" w:rsidP="00D05435">
      <w:pPr>
        <w:rPr>
          <w:lang w:val="de-DE"/>
        </w:rPr>
      </w:pPr>
    </w:p>
    <w:p w:rsidR="00D05435" w:rsidRPr="00D05435" w:rsidRDefault="00D05435" w:rsidP="00CE695F">
      <w:pPr>
        <w:ind w:left="567" w:right="567"/>
        <w:rPr>
          <w:sz w:val="18"/>
          <w:szCs w:val="18"/>
          <w:lang w:val="de-DE"/>
        </w:rPr>
      </w:pPr>
      <w:r w:rsidRPr="00D05435">
        <w:rPr>
          <w:lang w:val="de-DE"/>
        </w:rPr>
        <w:tab/>
      </w:r>
      <w:r w:rsidRPr="00D05435">
        <w:rPr>
          <w:sz w:val="18"/>
          <w:szCs w:val="18"/>
          <w:lang w:val="de-DE"/>
        </w:rPr>
        <w:t xml:space="preserve">„a) von der Analyse in Dokument C/46/15 Kenntnis zu nehmen sowie von der Tatsache, daß das Gesetz Kontinentaltansanias über Pflanzenzüchterrechte (Gesetzentwurf) in Artikel 2 den </w:t>
      </w:r>
      <w:proofErr w:type="gramStart"/>
      <w:r w:rsidRPr="00D05435">
        <w:rPr>
          <w:sz w:val="18"/>
          <w:szCs w:val="18"/>
          <w:lang w:val="de-DE"/>
        </w:rPr>
        <w:t>Text ,’</w:t>
      </w:r>
      <w:proofErr w:type="gramEnd"/>
      <w:r w:rsidRPr="00D05435">
        <w:rPr>
          <w:sz w:val="18"/>
          <w:szCs w:val="18"/>
          <w:lang w:val="de-DE"/>
        </w:rPr>
        <w:t>“Ministry“ means Ministry responsible for agricultur</w:t>
      </w:r>
      <w:r w:rsidR="009E020F">
        <w:rPr>
          <w:sz w:val="18"/>
          <w:szCs w:val="18"/>
          <w:lang w:val="de-DE"/>
        </w:rPr>
        <w:t>e</w:t>
      </w:r>
      <w:r w:rsidRPr="00D05435">
        <w:rPr>
          <w:sz w:val="18"/>
          <w:szCs w:val="18"/>
          <w:lang w:val="de-DE"/>
        </w:rPr>
        <w:t>’, enthalten werde;</w:t>
      </w:r>
    </w:p>
    <w:p w:rsidR="00D05435" w:rsidRPr="00D05435" w:rsidRDefault="00D05435" w:rsidP="00CE695F">
      <w:pPr>
        <w:ind w:left="567" w:right="567"/>
        <w:rPr>
          <w:sz w:val="18"/>
          <w:szCs w:val="18"/>
          <w:lang w:val="de-DE"/>
        </w:rPr>
      </w:pPr>
      <w:r w:rsidRPr="00D05435">
        <w:rPr>
          <w:sz w:val="18"/>
          <w:szCs w:val="18"/>
          <w:lang w:val="de-DE"/>
        </w:rPr>
        <w:tab/>
      </w:r>
    </w:p>
    <w:p w:rsidR="00D05435" w:rsidRPr="00D05435" w:rsidRDefault="00D05435" w:rsidP="00CE695F">
      <w:pPr>
        <w:ind w:left="567" w:right="567"/>
        <w:rPr>
          <w:sz w:val="18"/>
          <w:szCs w:val="18"/>
          <w:lang w:val="de-DE"/>
        </w:rPr>
      </w:pPr>
      <w:r w:rsidRPr="00D05435">
        <w:rPr>
          <w:sz w:val="18"/>
          <w:szCs w:val="18"/>
          <w:lang w:val="de-DE"/>
        </w:rPr>
        <w:tab/>
        <w:t>b) vorbehaltlich der Aufnahme in den Gesetzentwurf (vergleiche Anlage II des Dokuments C/46/15) der Änderungen des Ministers (vergleiche Anlage III des Dokuments C/46/15), wie in den Absätzen 14, 16, 18, 24, 26, 28, 33, 36, 40, 42 und 43 des Dokuments C/46/15 dargelegt, die empfohlenen Änderungen in den Absätzen 22 und 34 des Dokuments C/46/15 sowie im oben angeführten Unterabsatz a), und die folgenden, mit der Delegation der Vereinigten Republik Tansania in den Artikeln 14, 22 Absätze 1) und 4) des Gesetzentwurfs vereinbarten Vorschläge:</w:t>
      </w:r>
    </w:p>
    <w:p w:rsidR="00D05435" w:rsidRPr="00D05435" w:rsidRDefault="00D05435" w:rsidP="00CE695F">
      <w:pPr>
        <w:ind w:left="567" w:right="567"/>
        <w:rPr>
          <w:sz w:val="18"/>
          <w:szCs w:val="18"/>
          <w:lang w:val="de-DE"/>
        </w:rPr>
      </w:pPr>
    </w:p>
    <w:p w:rsidR="00D05435" w:rsidRPr="00CE695F" w:rsidRDefault="00EA08BB" w:rsidP="00CE695F">
      <w:pPr>
        <w:ind w:left="1134" w:right="1134"/>
        <w:rPr>
          <w:sz w:val="16"/>
          <w:szCs w:val="18"/>
          <w:lang w:val="de-DE"/>
        </w:rPr>
      </w:pPr>
      <w:r>
        <w:rPr>
          <w:sz w:val="16"/>
          <w:szCs w:val="18"/>
          <w:lang w:val="de-DE"/>
        </w:rPr>
        <w:t>‚</w:t>
      </w:r>
      <w:r w:rsidR="00D05435" w:rsidRPr="00CE695F">
        <w:rPr>
          <w:sz w:val="16"/>
          <w:szCs w:val="18"/>
          <w:lang w:val="de-DE"/>
        </w:rPr>
        <w:t>14.-1) Die Sorte wird als neu angesehen, wenn zum Zeitpunkt der Antragstellung auf die Erteilung eines Züchterrechts Vermehrungsmaterial oder Erntegut der Sorte</w:t>
      </w:r>
    </w:p>
    <w:p w:rsidR="00D05435" w:rsidRPr="00CE695F" w:rsidRDefault="00D05435" w:rsidP="00CE695F">
      <w:pPr>
        <w:ind w:left="1134" w:right="1134"/>
        <w:rPr>
          <w:sz w:val="16"/>
          <w:szCs w:val="18"/>
          <w:lang w:val="de-DE"/>
        </w:rPr>
      </w:pPr>
    </w:p>
    <w:p w:rsidR="00D05435" w:rsidRPr="00CE695F" w:rsidRDefault="00EA08BB" w:rsidP="00CE695F">
      <w:pPr>
        <w:ind w:left="1134" w:right="1134"/>
        <w:rPr>
          <w:sz w:val="16"/>
          <w:szCs w:val="18"/>
          <w:lang w:val="de-DE"/>
        </w:rPr>
      </w:pPr>
      <w:r>
        <w:rPr>
          <w:sz w:val="16"/>
          <w:szCs w:val="18"/>
          <w:lang w:val="de-DE"/>
        </w:rPr>
        <w:t>‚</w:t>
      </w:r>
      <w:r w:rsidR="00D05435" w:rsidRPr="00CE695F">
        <w:rPr>
          <w:sz w:val="16"/>
          <w:szCs w:val="18"/>
          <w:lang w:val="de-DE"/>
        </w:rPr>
        <w:t>a) im Hoheitsgebiet der Vereinigten Republik Tansanias nicht früher als ein Jahr vor Einreichung des Antrages;</w:t>
      </w:r>
    </w:p>
    <w:p w:rsidR="00D05435" w:rsidRPr="00CE695F" w:rsidRDefault="00D05435" w:rsidP="00CE695F">
      <w:pPr>
        <w:ind w:left="1134" w:right="1134"/>
        <w:rPr>
          <w:sz w:val="16"/>
          <w:szCs w:val="18"/>
          <w:lang w:val="de-DE"/>
        </w:rPr>
      </w:pPr>
    </w:p>
    <w:p w:rsidR="00D05435" w:rsidRPr="00CE695F" w:rsidRDefault="00D05435" w:rsidP="00CE695F">
      <w:pPr>
        <w:ind w:left="1134" w:right="1134"/>
        <w:rPr>
          <w:sz w:val="16"/>
          <w:szCs w:val="18"/>
          <w:lang w:val="de-DE"/>
        </w:rPr>
      </w:pPr>
      <w:r w:rsidRPr="00CE695F">
        <w:rPr>
          <w:sz w:val="16"/>
          <w:szCs w:val="18"/>
          <w:lang w:val="de-DE"/>
        </w:rPr>
        <w:t xml:space="preserve">b) in einem anderen Hoheitsgebiet als dem der Vereinigten Republik Tansanias, </w:t>
      </w:r>
      <w:r w:rsidRPr="00CE695F">
        <w:rPr>
          <w:strike/>
          <w:sz w:val="16"/>
          <w:szCs w:val="18"/>
          <w:lang w:val="de-DE"/>
        </w:rPr>
        <w:t>in dem der Antrag eingereicht worden ist</w:t>
      </w:r>
    </w:p>
    <w:p w:rsidR="00D05435" w:rsidRPr="00CE695F" w:rsidRDefault="00D05435" w:rsidP="00CE695F">
      <w:pPr>
        <w:ind w:left="1134" w:right="1134"/>
        <w:rPr>
          <w:sz w:val="16"/>
          <w:szCs w:val="18"/>
          <w:lang w:val="de-DE"/>
        </w:rPr>
      </w:pPr>
    </w:p>
    <w:p w:rsidR="00D05435" w:rsidRPr="00CE695F" w:rsidRDefault="00D05435" w:rsidP="00CE695F">
      <w:pPr>
        <w:ind w:left="1134" w:right="1134"/>
        <w:rPr>
          <w:sz w:val="16"/>
          <w:szCs w:val="18"/>
          <w:lang w:val="de-DE"/>
        </w:rPr>
      </w:pPr>
      <w:r w:rsidRPr="00CE695F">
        <w:rPr>
          <w:sz w:val="16"/>
          <w:szCs w:val="18"/>
          <w:lang w:val="de-DE"/>
        </w:rPr>
        <w:tab/>
        <w:t>i) nicht früher als vier Jahre; oder</w:t>
      </w:r>
    </w:p>
    <w:p w:rsidR="00D05435" w:rsidRPr="00CE695F" w:rsidRDefault="00D05435" w:rsidP="00CE695F">
      <w:pPr>
        <w:ind w:left="1134" w:right="1134"/>
        <w:rPr>
          <w:sz w:val="16"/>
          <w:szCs w:val="18"/>
          <w:lang w:val="de-DE"/>
        </w:rPr>
      </w:pPr>
    </w:p>
    <w:p w:rsidR="00D05435" w:rsidRPr="00CE695F" w:rsidRDefault="00D05435" w:rsidP="00CE695F">
      <w:pPr>
        <w:ind w:left="1134" w:right="1134"/>
        <w:rPr>
          <w:sz w:val="16"/>
          <w:szCs w:val="18"/>
          <w:lang w:val="de-DE"/>
        </w:rPr>
      </w:pPr>
      <w:r w:rsidRPr="00CE695F">
        <w:rPr>
          <w:sz w:val="16"/>
          <w:szCs w:val="18"/>
          <w:lang w:val="de-DE"/>
        </w:rPr>
        <w:tab/>
        <w:t>ii) im Fall von Bäumen und Reben nicht früher als sechs Jahre</w:t>
      </w:r>
    </w:p>
    <w:p w:rsidR="00D05435" w:rsidRPr="00CE695F" w:rsidRDefault="00D05435" w:rsidP="00CE695F">
      <w:pPr>
        <w:ind w:left="1134" w:right="1134"/>
        <w:rPr>
          <w:sz w:val="16"/>
          <w:szCs w:val="18"/>
          <w:lang w:val="de-DE"/>
        </w:rPr>
      </w:pPr>
    </w:p>
    <w:p w:rsidR="00D05435" w:rsidRPr="00CE695F" w:rsidRDefault="00D05435" w:rsidP="00CE695F">
      <w:pPr>
        <w:ind w:left="1134" w:right="1134"/>
        <w:rPr>
          <w:sz w:val="16"/>
          <w:szCs w:val="18"/>
          <w:lang w:val="de-DE"/>
        </w:rPr>
      </w:pPr>
      <w:r w:rsidRPr="00CE695F">
        <w:rPr>
          <w:sz w:val="16"/>
          <w:szCs w:val="18"/>
          <w:lang w:val="de-DE"/>
        </w:rPr>
        <w:t>durch den Züchter oder mit seiner Zustimmung zum Zwecke der Auswertung der Sorte nicht verkauft oder auf andere W</w:t>
      </w:r>
      <w:r w:rsidR="009B09E1">
        <w:rPr>
          <w:sz w:val="16"/>
          <w:szCs w:val="18"/>
          <w:lang w:val="de-DE"/>
        </w:rPr>
        <w:t>eise an andere abgegeben wurde.‘</w:t>
      </w:r>
    </w:p>
    <w:p w:rsidR="00D05435" w:rsidRPr="00CE695F" w:rsidRDefault="00D05435" w:rsidP="00CE695F">
      <w:pPr>
        <w:ind w:left="1134" w:right="1134"/>
        <w:rPr>
          <w:sz w:val="16"/>
          <w:szCs w:val="18"/>
          <w:lang w:val="de-DE"/>
        </w:rPr>
      </w:pPr>
    </w:p>
    <w:p w:rsidR="00D05435" w:rsidRPr="00CE695F" w:rsidRDefault="00EA08BB" w:rsidP="00CE695F">
      <w:pPr>
        <w:ind w:left="1134" w:right="1134"/>
        <w:rPr>
          <w:sz w:val="16"/>
          <w:szCs w:val="18"/>
          <w:lang w:val="de-DE"/>
        </w:rPr>
      </w:pPr>
      <w:r>
        <w:rPr>
          <w:sz w:val="16"/>
          <w:szCs w:val="18"/>
          <w:lang w:val="de-DE"/>
        </w:rPr>
        <w:t>‚</w:t>
      </w:r>
      <w:r w:rsidR="00D05435" w:rsidRPr="00CE695F">
        <w:rPr>
          <w:sz w:val="16"/>
          <w:szCs w:val="18"/>
          <w:lang w:val="de-DE"/>
        </w:rPr>
        <w:t>22.-1) Hat der Züchter für eine Sorte einen Antrag auf Schutz in einem Mitglied einer sich mit Pflanzenzüchterrechtsangelegenheiten befassenden internationalen Organisation, der Tansania angehört, ordnungsgemäß eingereicht, so genießt er während einer Frist von maximal 12 Monaten ein Prioritätsrecht</w:t>
      </w:r>
      <w:r w:rsidR="00D05435" w:rsidRPr="00CE695F">
        <w:rPr>
          <w:strike/>
          <w:sz w:val="16"/>
          <w:szCs w:val="18"/>
          <w:lang w:val="de-DE"/>
        </w:rPr>
        <w:t>, w</w:t>
      </w:r>
      <w:r w:rsidR="001649DC" w:rsidRPr="00CE695F">
        <w:rPr>
          <w:strike/>
          <w:sz w:val="16"/>
          <w:szCs w:val="18"/>
          <w:lang w:val="de-DE"/>
        </w:rPr>
        <w:t>obei</w:t>
      </w:r>
      <w:r w:rsidR="001649DC" w:rsidRPr="00CE695F">
        <w:rPr>
          <w:sz w:val="16"/>
          <w:szCs w:val="18"/>
          <w:u w:val="single"/>
          <w:lang w:val="de-DE"/>
        </w:rPr>
        <w:t>.</w:t>
      </w:r>
      <w:r w:rsidR="000B4E37" w:rsidRPr="00CE695F">
        <w:rPr>
          <w:sz w:val="16"/>
          <w:szCs w:val="18"/>
          <w:u w:val="single"/>
          <w:lang w:val="de-DE"/>
        </w:rPr>
        <w:t xml:space="preserve"> </w:t>
      </w:r>
      <w:r w:rsidR="00D05435" w:rsidRPr="00CE695F">
        <w:rPr>
          <w:sz w:val="16"/>
          <w:szCs w:val="18"/>
          <w:u w:val="single"/>
          <w:lang w:val="de-DE"/>
        </w:rPr>
        <w:t>Diese Frist</w:t>
      </w:r>
      <w:r w:rsidR="00D05435" w:rsidRPr="00CE695F">
        <w:rPr>
          <w:sz w:val="16"/>
          <w:szCs w:val="18"/>
          <w:lang w:val="de-DE"/>
        </w:rPr>
        <w:t xml:space="preserve"> beginnt am Tage nach der Einreichung des ersten Antrags </w:t>
      </w:r>
      <w:r w:rsidR="00D05435" w:rsidRPr="00CE695F">
        <w:rPr>
          <w:strike/>
          <w:sz w:val="16"/>
          <w:szCs w:val="18"/>
          <w:lang w:val="de-DE"/>
        </w:rPr>
        <w:t>beginnt</w:t>
      </w:r>
      <w:r w:rsidR="00D05435" w:rsidRPr="00CE695F">
        <w:rPr>
          <w:sz w:val="16"/>
          <w:szCs w:val="18"/>
          <w:lang w:val="de-DE"/>
        </w:rPr>
        <w:t xml:space="preserve">. </w:t>
      </w:r>
      <w:r w:rsidR="00D05435" w:rsidRPr="00CE695F">
        <w:rPr>
          <w:sz w:val="16"/>
          <w:szCs w:val="18"/>
          <w:u w:val="single"/>
          <w:lang w:val="de-DE"/>
        </w:rPr>
        <w:t xml:space="preserve">Der Tag </w:t>
      </w:r>
      <w:r w:rsidR="00D05435" w:rsidRPr="00CE695F">
        <w:rPr>
          <w:strike/>
          <w:sz w:val="16"/>
          <w:szCs w:val="18"/>
          <w:lang w:val="de-DE"/>
        </w:rPr>
        <w:t>Das Datum</w:t>
      </w:r>
      <w:r w:rsidR="00D05435" w:rsidRPr="00CE695F">
        <w:rPr>
          <w:sz w:val="16"/>
          <w:szCs w:val="18"/>
          <w:lang w:val="de-DE"/>
        </w:rPr>
        <w:t xml:space="preserve"> der Antragstellung wird </w:t>
      </w:r>
      <w:r w:rsidR="00D05435" w:rsidRPr="00CE695F">
        <w:rPr>
          <w:sz w:val="16"/>
          <w:szCs w:val="18"/>
          <w:u w:val="single"/>
          <w:lang w:val="de-DE"/>
        </w:rPr>
        <w:t>in diese Periode</w:t>
      </w:r>
      <w:r w:rsidR="00D05435" w:rsidRPr="00CE695F">
        <w:rPr>
          <w:sz w:val="16"/>
          <w:szCs w:val="18"/>
          <w:lang w:val="de-DE"/>
        </w:rPr>
        <w:t xml:space="preserve"> </w:t>
      </w:r>
      <w:r w:rsidR="00D05435" w:rsidRPr="00CE695F">
        <w:rPr>
          <w:strike/>
          <w:sz w:val="16"/>
          <w:szCs w:val="18"/>
          <w:lang w:val="de-DE"/>
        </w:rPr>
        <w:t>den späteren Antrag</w:t>
      </w:r>
      <w:r w:rsidR="00D05435" w:rsidRPr="00CE695F">
        <w:rPr>
          <w:sz w:val="16"/>
          <w:szCs w:val="18"/>
          <w:lang w:val="de-DE"/>
        </w:rPr>
        <w:t xml:space="preserve"> nicht miteingerechnet.</w:t>
      </w:r>
    </w:p>
    <w:p w:rsidR="001649DC" w:rsidRPr="00CE695F" w:rsidRDefault="001649DC" w:rsidP="00CE695F">
      <w:pPr>
        <w:ind w:left="1134" w:right="1134"/>
        <w:rPr>
          <w:sz w:val="16"/>
          <w:szCs w:val="18"/>
          <w:lang w:val="de-DE"/>
        </w:rPr>
      </w:pPr>
    </w:p>
    <w:p w:rsidR="00D05435" w:rsidRPr="00CE695F" w:rsidRDefault="00D05435" w:rsidP="00CE695F">
      <w:pPr>
        <w:ind w:left="1134" w:right="1134"/>
        <w:rPr>
          <w:sz w:val="16"/>
          <w:szCs w:val="18"/>
          <w:lang w:val="de-DE"/>
        </w:rPr>
      </w:pPr>
      <w:r w:rsidRPr="00CE695F">
        <w:rPr>
          <w:sz w:val="16"/>
          <w:szCs w:val="18"/>
          <w:lang w:val="de-DE"/>
        </w:rPr>
        <w:t>[…]</w:t>
      </w:r>
    </w:p>
    <w:p w:rsidR="00D05435" w:rsidRPr="00CE695F" w:rsidRDefault="00D05435" w:rsidP="00CE695F">
      <w:pPr>
        <w:ind w:left="1134" w:right="1134"/>
        <w:rPr>
          <w:sz w:val="16"/>
          <w:szCs w:val="18"/>
          <w:lang w:val="de-DE"/>
        </w:rPr>
      </w:pPr>
    </w:p>
    <w:p w:rsidR="00D05435" w:rsidRPr="00CE695F" w:rsidRDefault="00D05435" w:rsidP="00CE695F">
      <w:pPr>
        <w:ind w:left="1134" w:right="1134"/>
        <w:rPr>
          <w:sz w:val="16"/>
          <w:szCs w:val="18"/>
          <w:lang w:val="de-DE"/>
        </w:rPr>
      </w:pPr>
      <w:r w:rsidRPr="00CE695F">
        <w:rPr>
          <w:sz w:val="16"/>
          <w:szCs w:val="18"/>
          <w:lang w:val="de-DE"/>
        </w:rPr>
        <w:t xml:space="preserve">4) Dem Antragsteller steht eine Frist von zwei Jahren nach Ablauf der Prioritätsfrist, </w:t>
      </w:r>
      <w:r w:rsidRPr="00CE695F">
        <w:rPr>
          <w:sz w:val="16"/>
          <w:szCs w:val="18"/>
          <w:u w:val="single"/>
          <w:lang w:val="de-DE"/>
        </w:rPr>
        <w:t>oder eine Frist von sechs Monaten</w:t>
      </w:r>
      <w:r w:rsidRPr="00CE695F">
        <w:rPr>
          <w:sz w:val="16"/>
          <w:szCs w:val="18"/>
          <w:lang w:val="de-DE"/>
        </w:rPr>
        <w:t>, wenn der erste Antrag zurückgewiesen oder zurückgenommen worden ist, zur Verfügung, um dem Registerbeamten jegliche erforderliche Auskunft und Unterlage sowie das erforderliche Material gemäß den Anford</w:t>
      </w:r>
      <w:r w:rsidR="009B09E1">
        <w:rPr>
          <w:sz w:val="16"/>
          <w:szCs w:val="18"/>
          <w:lang w:val="de-DE"/>
        </w:rPr>
        <w:t>erungen dieser Akte vorzulegen.‘</w:t>
      </w:r>
    </w:p>
    <w:p w:rsidR="00D05435" w:rsidRPr="00CE695F" w:rsidRDefault="00D05435" w:rsidP="00CE695F">
      <w:pPr>
        <w:ind w:left="567" w:right="1134"/>
        <w:rPr>
          <w:sz w:val="16"/>
          <w:szCs w:val="18"/>
          <w:lang w:val="de-DE"/>
        </w:rPr>
      </w:pPr>
    </w:p>
    <w:p w:rsidR="00D05435" w:rsidRPr="00D05435" w:rsidRDefault="00D05435" w:rsidP="00CE695F">
      <w:pPr>
        <w:ind w:left="567" w:right="567"/>
        <w:rPr>
          <w:sz w:val="18"/>
          <w:szCs w:val="18"/>
          <w:lang w:val="de-DE"/>
        </w:rPr>
      </w:pPr>
      <w:r w:rsidRPr="00D05435">
        <w:rPr>
          <w:sz w:val="18"/>
          <w:szCs w:val="18"/>
          <w:lang w:val="de-DE"/>
        </w:rPr>
        <w:t>und ohne zusätzliche Änderungen eine positive Entscheidung im Hinblick auf die Vereinbarkeit des Gesetzentwurfs Kontinentaltansanias über Pflanzenzüchterrechte mit den Bestimmungen der Akte von 1991 des Internationalen Übereinkommens zum Schutz von Pflanzenzüchtungen zu treffen;</w:t>
      </w:r>
    </w:p>
    <w:p w:rsidR="00D05435" w:rsidRPr="00D05435" w:rsidRDefault="00D05435" w:rsidP="00CE695F">
      <w:pPr>
        <w:ind w:left="567" w:right="567"/>
        <w:rPr>
          <w:sz w:val="18"/>
          <w:szCs w:val="18"/>
          <w:lang w:val="de-DE"/>
        </w:rPr>
      </w:pPr>
    </w:p>
    <w:p w:rsidR="00D05435" w:rsidRPr="00D05435" w:rsidRDefault="00D05435" w:rsidP="00CE695F">
      <w:pPr>
        <w:ind w:left="567" w:right="567"/>
        <w:rPr>
          <w:sz w:val="18"/>
          <w:szCs w:val="18"/>
          <w:lang w:val="de-DE"/>
        </w:rPr>
      </w:pPr>
      <w:r w:rsidRPr="00D05435">
        <w:rPr>
          <w:sz w:val="18"/>
          <w:szCs w:val="18"/>
          <w:lang w:val="de-DE"/>
        </w:rPr>
        <w:t>c) zur Kenntnis zu nehmen, daß die Annahme des Gesetzentwurfs für Kontinentaltansania und des Gesetzentwurfs für Sansibar erforderlich sind, um die Züchterrechte des gesamten Hoheitsgebietes der Vereinigten Republik Tansania abzudecken;</w:t>
      </w:r>
    </w:p>
    <w:p w:rsidR="00D05435" w:rsidRPr="00D05435" w:rsidRDefault="00D05435" w:rsidP="00CE695F">
      <w:pPr>
        <w:ind w:left="567" w:right="567"/>
        <w:rPr>
          <w:sz w:val="18"/>
          <w:szCs w:val="18"/>
          <w:lang w:val="de-DE"/>
        </w:rPr>
      </w:pPr>
    </w:p>
    <w:p w:rsidR="00D05435" w:rsidRPr="00D05435" w:rsidRDefault="00D05435" w:rsidP="00CE695F">
      <w:pPr>
        <w:ind w:left="567" w:right="567"/>
        <w:rPr>
          <w:sz w:val="18"/>
          <w:szCs w:val="18"/>
          <w:lang w:val="de-DE"/>
        </w:rPr>
      </w:pPr>
      <w:r w:rsidRPr="00D05435">
        <w:rPr>
          <w:sz w:val="18"/>
          <w:szCs w:val="18"/>
          <w:lang w:val="de-DE"/>
        </w:rPr>
        <w:t>d) zur Kenntnis zu nehmen, daß die Regierung der Vereinigten Republik Tansania beabsichtigt, den Gesetzentwurf oder das angenommene Gesetz für Sansibar zu einem späteren Zeitpunkt zur Prüfung durch den Rat vorzulegen;</w:t>
      </w:r>
    </w:p>
    <w:p w:rsidR="00D05435" w:rsidRPr="00D05435" w:rsidRDefault="00D05435" w:rsidP="00CE695F">
      <w:pPr>
        <w:ind w:left="567" w:right="567"/>
        <w:rPr>
          <w:sz w:val="18"/>
          <w:szCs w:val="18"/>
          <w:lang w:val="de-DE"/>
        </w:rPr>
      </w:pPr>
    </w:p>
    <w:p w:rsidR="00D05435" w:rsidRPr="00D05435" w:rsidRDefault="00D05435" w:rsidP="00CE695F">
      <w:pPr>
        <w:ind w:left="567" w:right="567"/>
        <w:rPr>
          <w:sz w:val="18"/>
          <w:szCs w:val="18"/>
          <w:lang w:val="de-DE"/>
        </w:rPr>
      </w:pPr>
      <w:r w:rsidRPr="00D05435">
        <w:rPr>
          <w:sz w:val="18"/>
          <w:szCs w:val="18"/>
          <w:lang w:val="de-DE"/>
        </w:rPr>
        <w:t>e) die Regierung der Vereinigten Republik Tansania darüber zu informieren, daß ihre Beitrittsurkunde im Anschluß an eine positive Entscheidung über die Gesetze Kontinentaltansanias und Sansibars durch den Rat hinterlegt werden kann; und</w:t>
      </w:r>
    </w:p>
    <w:p w:rsidR="00D05435" w:rsidRPr="00D05435" w:rsidRDefault="00D05435" w:rsidP="00CE695F">
      <w:pPr>
        <w:ind w:left="567" w:right="567"/>
        <w:rPr>
          <w:sz w:val="18"/>
          <w:szCs w:val="18"/>
          <w:lang w:val="de-DE"/>
        </w:rPr>
      </w:pPr>
    </w:p>
    <w:p w:rsidR="00D05435" w:rsidRPr="00D05435" w:rsidRDefault="00D05435" w:rsidP="00CE695F">
      <w:pPr>
        <w:ind w:left="567" w:right="567"/>
        <w:rPr>
          <w:lang w:val="de-DE"/>
        </w:rPr>
      </w:pPr>
      <w:r w:rsidRPr="00D05435">
        <w:rPr>
          <w:sz w:val="18"/>
          <w:szCs w:val="18"/>
          <w:lang w:val="de-DE"/>
        </w:rPr>
        <w:t>f) den Generalsekretär zu ermächtigen, die Regierung der Vereinigten Republik Tansania von dieser Entscheidung zu unterrichten</w:t>
      </w:r>
      <w:r w:rsidR="009B09E1">
        <w:rPr>
          <w:sz w:val="18"/>
          <w:szCs w:val="18"/>
          <w:lang w:val="de-DE"/>
        </w:rPr>
        <w:t>.</w:t>
      </w:r>
      <w:r w:rsidRPr="00D05435">
        <w:rPr>
          <w:sz w:val="18"/>
          <w:szCs w:val="18"/>
          <w:lang w:val="de-DE"/>
        </w:rPr>
        <w:t>“</w:t>
      </w:r>
    </w:p>
    <w:p w:rsidR="00D05435" w:rsidRPr="00D05435" w:rsidRDefault="00D05435" w:rsidP="00D05435">
      <w:pPr>
        <w:rPr>
          <w:lang w:val="de-DE"/>
        </w:rPr>
      </w:pPr>
    </w:p>
    <w:p w:rsidR="00D05435" w:rsidRPr="00D05435" w:rsidRDefault="00D05435" w:rsidP="00D05435">
      <w:pPr>
        <w:rPr>
          <w:lang w:val="de-DE"/>
        </w:rPr>
      </w:pPr>
    </w:p>
    <w:p w:rsidR="00D05435" w:rsidRPr="00D05435" w:rsidRDefault="00D05435" w:rsidP="00D05435">
      <w:pPr>
        <w:rPr>
          <w:lang w:val="de-DE"/>
        </w:rPr>
      </w:pPr>
    </w:p>
    <w:p w:rsidR="00D05435" w:rsidRPr="00D05435" w:rsidRDefault="00D05435" w:rsidP="00D05435">
      <w:pPr>
        <w:pStyle w:val="Heading1"/>
        <w:rPr>
          <w:lang w:val="de-DE"/>
        </w:rPr>
      </w:pPr>
      <w:bookmarkStart w:id="26" w:name="_Toc336954244"/>
      <w:bookmarkStart w:id="27" w:name="_Toc339366536"/>
      <w:bookmarkStart w:id="28" w:name="_Toc368400882"/>
      <w:r w:rsidRPr="00D05435">
        <w:rPr>
          <w:lang w:val="de-DE"/>
        </w:rPr>
        <w:t>II.</w:t>
      </w:r>
      <w:r w:rsidRPr="00D05435">
        <w:rPr>
          <w:lang w:val="de-DE"/>
        </w:rPr>
        <w:tab/>
        <w:t>TAGUNGEN DES RATES UND SEINER UNTERGEORDNETEN ORGANE</w:t>
      </w:r>
      <w:bookmarkEnd w:id="26"/>
      <w:bookmarkEnd w:id="27"/>
      <w:bookmarkEnd w:id="28"/>
    </w:p>
    <w:p w:rsidR="006B519E" w:rsidRPr="00D05435" w:rsidRDefault="006B519E" w:rsidP="00D05435">
      <w:pPr>
        <w:rPr>
          <w:lang w:val="de-DE"/>
        </w:rPr>
      </w:pPr>
    </w:p>
    <w:p w:rsidR="006B519E" w:rsidRPr="002A5260" w:rsidRDefault="003F377D" w:rsidP="006B519E">
      <w:pPr>
        <w:pStyle w:val="Heading2"/>
        <w:rPr>
          <w:lang w:val="de-DE"/>
        </w:rPr>
      </w:pPr>
      <w:bookmarkStart w:id="29" w:name="_Toc368400883"/>
      <w:r w:rsidRPr="002A5260">
        <w:rPr>
          <w:lang w:val="de-DE"/>
        </w:rPr>
        <w:t>Rat</w:t>
      </w:r>
      <w:bookmarkEnd w:id="29"/>
    </w:p>
    <w:p w:rsidR="006B519E" w:rsidRPr="002A5260" w:rsidRDefault="006B519E" w:rsidP="006B519E">
      <w:pPr>
        <w:keepNext/>
        <w:rPr>
          <w:lang w:val="de-DE"/>
        </w:rPr>
      </w:pPr>
    </w:p>
    <w:p w:rsidR="00D05435" w:rsidRPr="00D05435" w:rsidRDefault="004A094B" w:rsidP="001649DC">
      <w:pPr>
        <w:rPr>
          <w:lang w:val="de-DE"/>
        </w:rPr>
      </w:pPr>
      <w:r w:rsidRPr="006054BD">
        <w:fldChar w:fldCharType="begin"/>
      </w:r>
      <w:r w:rsidR="00A512D1" w:rsidRPr="00D05435">
        <w:rPr>
          <w:lang w:val="de-DE"/>
        </w:rPr>
        <w:instrText xml:space="preserve"> AUTONUM  </w:instrText>
      </w:r>
      <w:r w:rsidRPr="006054BD">
        <w:fldChar w:fldCharType="end"/>
      </w:r>
      <w:r w:rsidR="00D05435">
        <w:rPr>
          <w:lang w:val="de-DE"/>
        </w:rPr>
        <w:tab/>
        <w:t>Der</w:t>
      </w:r>
      <w:r w:rsidR="00A512D1" w:rsidRPr="00D05435">
        <w:rPr>
          <w:lang w:val="de-DE"/>
        </w:rPr>
        <w:t xml:space="preserve"> </w:t>
      </w:r>
      <w:r w:rsidR="00D05435" w:rsidRPr="00D05435">
        <w:rPr>
          <w:lang w:val="de-DE"/>
        </w:rPr>
        <w:t xml:space="preserve">Rat hielt seine neunundzwanzigste außerordentliche Tagung am 30. März 2012 unter dem Vorsitz von Herrn Choi Keun Jin (Republik Korea), Präsident des Rates, ab. An der Tagung nahmen </w:t>
      </w:r>
      <w:r w:rsidR="009B09E1">
        <w:rPr>
          <w:lang w:val="de-DE"/>
        </w:rPr>
        <w:br/>
      </w:r>
      <w:r w:rsidR="00D05435" w:rsidRPr="00D05435">
        <w:rPr>
          <w:lang w:val="de-DE"/>
        </w:rPr>
        <w:t xml:space="preserve">36 Verbandsmitglieder, </w:t>
      </w:r>
      <w:r w:rsidR="001649DC">
        <w:rPr>
          <w:lang w:val="de-DE"/>
        </w:rPr>
        <w:t>sechs</w:t>
      </w:r>
      <w:r w:rsidR="00D05435" w:rsidRPr="00D05435">
        <w:rPr>
          <w:lang w:val="de-DE"/>
        </w:rPr>
        <w:t xml:space="preserve"> Beobachterstaaten und sechs Beobachterorganisationen teil. </w:t>
      </w:r>
      <w:r w:rsidR="009B09E1">
        <w:rPr>
          <w:lang w:val="de-DE"/>
        </w:rPr>
        <w:t xml:space="preserve">Der Bericht dieser Tagung ist in Dokument C(Extr.)/29/7 wiedergegeben. </w:t>
      </w:r>
      <w:r w:rsidR="00D05435" w:rsidRPr="00D05435">
        <w:rPr>
          <w:lang w:val="de-DE"/>
        </w:rPr>
        <w:t>Auf dieser Tagung befaßte sich der Rat mit folgenden Angelegenheiten:</w:t>
      </w:r>
    </w:p>
    <w:p w:rsidR="00D05435" w:rsidRPr="00D05435" w:rsidRDefault="00D05435" w:rsidP="00D05435">
      <w:pPr>
        <w:rPr>
          <w:lang w:val="de-DE"/>
        </w:rPr>
      </w:pPr>
    </w:p>
    <w:p w:rsidR="00D05435" w:rsidRPr="00D05435" w:rsidRDefault="00D05435" w:rsidP="00D05435">
      <w:pPr>
        <w:rPr>
          <w:lang w:val="de-DE"/>
        </w:rPr>
      </w:pPr>
      <w:r w:rsidRPr="00D05435">
        <w:rPr>
          <w:lang w:val="de-DE"/>
        </w:rPr>
        <w:tab/>
        <w:t>a)</w:t>
      </w:r>
      <w:r w:rsidRPr="00D05435">
        <w:rPr>
          <w:lang w:val="de-DE"/>
        </w:rPr>
        <w:tab/>
        <w:t>er nahm den Bericht des Vorsitzenden über die Arbeit der dreiundachtzigsten Tagung des Beratenden Ausschusses zur Kenntnis;</w:t>
      </w:r>
    </w:p>
    <w:p w:rsidR="00D05435" w:rsidRPr="00D05435" w:rsidRDefault="00D05435" w:rsidP="00D05435">
      <w:pPr>
        <w:rPr>
          <w:lang w:val="de-DE"/>
        </w:rPr>
      </w:pPr>
    </w:p>
    <w:p w:rsidR="00D05435" w:rsidRPr="00D05435" w:rsidRDefault="00D05435" w:rsidP="000B4E37">
      <w:pPr>
        <w:rPr>
          <w:lang w:val="de-DE"/>
        </w:rPr>
      </w:pPr>
      <w:r w:rsidRPr="00D05435">
        <w:rPr>
          <w:lang w:val="de-DE"/>
        </w:rPr>
        <w:tab/>
        <w:t>b)</w:t>
      </w:r>
      <w:r w:rsidRPr="00D05435">
        <w:rPr>
          <w:lang w:val="de-DE"/>
        </w:rPr>
        <w:tab/>
        <w:t xml:space="preserve">er billigte die Verlegung des Tagungsortes für die fünfundvierzigste Tagung der TWO vom </w:t>
      </w:r>
      <w:r w:rsidRPr="00D05435">
        <w:rPr>
          <w:lang w:val="de-DE"/>
        </w:rPr>
        <w:br/>
        <w:t xml:space="preserve">6. bis 10. August 2012 und </w:t>
      </w:r>
      <w:r w:rsidR="000B4E37">
        <w:rPr>
          <w:lang w:val="de-DE"/>
        </w:rPr>
        <w:t>die</w:t>
      </w:r>
      <w:r w:rsidRPr="00D05435">
        <w:rPr>
          <w:lang w:val="de-DE"/>
        </w:rPr>
        <w:t xml:space="preserve"> vorbereitende Arbeitstagung am 5. August 2012 von Seoul nach Jeju und nahm zur Kenntnis, daß der „Tagungskalender für 2012“ entsprechend überarbeitet w</w:t>
      </w:r>
      <w:r w:rsidR="000B4E37">
        <w:rPr>
          <w:lang w:val="de-DE"/>
        </w:rPr>
        <w:t>ü</w:t>
      </w:r>
      <w:r w:rsidRPr="00D05435">
        <w:rPr>
          <w:lang w:val="de-DE"/>
        </w:rPr>
        <w:t>rde (Dokument C/45/8 Rev.2);</w:t>
      </w:r>
    </w:p>
    <w:p w:rsidR="00D05435" w:rsidRPr="00D05435" w:rsidRDefault="00D05435" w:rsidP="00D05435">
      <w:pPr>
        <w:rPr>
          <w:lang w:val="de-DE"/>
        </w:rPr>
      </w:pPr>
    </w:p>
    <w:p w:rsidR="00D05435" w:rsidRPr="00D05435" w:rsidRDefault="00D05435" w:rsidP="00D05435">
      <w:pPr>
        <w:keepNext/>
        <w:rPr>
          <w:lang w:val="de-DE"/>
        </w:rPr>
      </w:pPr>
      <w:r w:rsidRPr="00D05435">
        <w:rPr>
          <w:lang w:val="de-DE"/>
        </w:rPr>
        <w:tab/>
        <w:t>c)</w:t>
      </w:r>
      <w:r w:rsidRPr="00D05435">
        <w:rPr>
          <w:lang w:val="de-DE"/>
        </w:rPr>
        <w:tab/>
        <w:t xml:space="preserve">er nahm </w:t>
      </w:r>
      <w:r w:rsidRPr="00D05435">
        <w:rPr>
          <w:color w:val="000000"/>
          <w:lang w:val="de-DE"/>
        </w:rPr>
        <w:t xml:space="preserve">folgende </w:t>
      </w:r>
      <w:r w:rsidRPr="00D05435">
        <w:rPr>
          <w:lang w:val="de-DE"/>
        </w:rPr>
        <w:t>Dokumente an:</w:t>
      </w:r>
    </w:p>
    <w:p w:rsidR="00D05435" w:rsidRPr="00D05435" w:rsidRDefault="00D05435" w:rsidP="00D05435">
      <w:pPr>
        <w:keepNext/>
        <w:rPr>
          <w:lang w:val="de-DE"/>
        </w:rPr>
      </w:pPr>
    </w:p>
    <w:p w:rsidR="00D05435" w:rsidRPr="00D05435" w:rsidRDefault="00D05435" w:rsidP="00D05435">
      <w:pPr>
        <w:ind w:left="1134" w:hanging="567"/>
        <w:rPr>
          <w:lang w:val="de-DE"/>
        </w:rPr>
      </w:pPr>
      <w:r w:rsidRPr="00D05435">
        <w:rPr>
          <w:lang w:val="de-DE"/>
        </w:rPr>
        <w:t>–</w:t>
      </w:r>
      <w:r w:rsidRPr="00D05435">
        <w:rPr>
          <w:lang w:val="de-DE"/>
        </w:rPr>
        <w:tab/>
      </w:r>
      <w:r w:rsidRPr="00D05435">
        <w:rPr>
          <w:spacing w:val="-2"/>
          <w:lang w:val="de-DE"/>
        </w:rPr>
        <w:t>UPOV/INF/4 „Finanzordnung und ihre Durchführungsbestimmungen der UPOV“</w:t>
      </w:r>
      <w:r w:rsidRPr="00D05435">
        <w:rPr>
          <w:lang w:val="de-DE"/>
        </w:rPr>
        <w:t xml:space="preserve"> (Überarbeitung) (Dokument UPOV/INF/4/2); und</w:t>
      </w:r>
    </w:p>
    <w:p w:rsidR="00D05435" w:rsidRPr="00D05435" w:rsidRDefault="00D05435" w:rsidP="00D05435">
      <w:pPr>
        <w:rPr>
          <w:lang w:val="de-DE"/>
        </w:rPr>
      </w:pPr>
    </w:p>
    <w:p w:rsidR="00D05435" w:rsidRPr="00D05435" w:rsidRDefault="00D05435" w:rsidP="00D05435">
      <w:pPr>
        <w:ind w:left="1134" w:hanging="567"/>
        <w:rPr>
          <w:lang w:val="de-DE"/>
        </w:rPr>
      </w:pPr>
      <w:r w:rsidRPr="00D05435">
        <w:rPr>
          <w:lang w:val="de-DE"/>
        </w:rPr>
        <w:t>–</w:t>
      </w:r>
      <w:r w:rsidRPr="00D05435">
        <w:rPr>
          <w:lang w:val="de-DE"/>
        </w:rPr>
        <w:tab/>
        <w:t>UPOV/INF-EXN „Liste der INF/EXN-Dokumente und Datum der jüngsten Ausgabe (Überarbeitung) (Dokument UPOV/INF-EXN/2);</w:t>
      </w:r>
    </w:p>
    <w:p w:rsidR="00D05435" w:rsidRPr="00D05435" w:rsidRDefault="00D05435" w:rsidP="00D05435">
      <w:pPr>
        <w:rPr>
          <w:lang w:val="de-DE"/>
        </w:rPr>
      </w:pPr>
    </w:p>
    <w:p w:rsidR="00D05435" w:rsidRPr="00D05435" w:rsidRDefault="00D05435" w:rsidP="00D05435">
      <w:pPr>
        <w:rPr>
          <w:lang w:val="de-DE"/>
        </w:rPr>
      </w:pPr>
      <w:r w:rsidRPr="00D05435">
        <w:rPr>
          <w:lang w:val="de-DE"/>
        </w:rPr>
        <w:tab/>
        <w:t>d)</w:t>
      </w:r>
      <w:r w:rsidRPr="00D05435">
        <w:rPr>
          <w:lang w:val="de-DE"/>
        </w:rPr>
        <w:tab/>
        <w:t>er verlängerte die Amtszeit des Stellvertretenden Generalsekretärs vom 1. Dezember 2012 bis 30. November 2015 und sprach seinen Dank für dessen hervorragende Arbeit aus;</w:t>
      </w:r>
    </w:p>
    <w:p w:rsidR="00D05435" w:rsidRPr="00D05435" w:rsidRDefault="00D05435" w:rsidP="00D05435">
      <w:pPr>
        <w:rPr>
          <w:lang w:val="de-DE"/>
        </w:rPr>
      </w:pPr>
    </w:p>
    <w:p w:rsidR="00A512D1" w:rsidRPr="007B46CC" w:rsidRDefault="00D05435" w:rsidP="00D05435">
      <w:pPr>
        <w:rPr>
          <w:lang w:val="de-DE"/>
        </w:rPr>
      </w:pPr>
      <w:r w:rsidRPr="00D05435">
        <w:rPr>
          <w:lang w:val="de-DE"/>
        </w:rPr>
        <w:tab/>
        <w:t>e)</w:t>
      </w:r>
      <w:r w:rsidRPr="00D05435">
        <w:rPr>
          <w:lang w:val="de-DE"/>
        </w:rPr>
        <w:tab/>
        <w:t>er prüfte und billigte den Entwurf einer Pressemitteilung</w:t>
      </w:r>
      <w:r w:rsidR="00A512D1" w:rsidRPr="007B46CC">
        <w:rPr>
          <w:lang w:val="de-DE"/>
        </w:rPr>
        <w:t>.</w:t>
      </w:r>
    </w:p>
    <w:p w:rsidR="006B519E" w:rsidRPr="007B46CC" w:rsidRDefault="006B519E" w:rsidP="006B519E">
      <w:pPr>
        <w:rPr>
          <w:lang w:val="de-DE"/>
        </w:rPr>
      </w:pPr>
    </w:p>
    <w:p w:rsidR="00D05435" w:rsidRPr="00D05435" w:rsidRDefault="004A094B" w:rsidP="00D05435">
      <w:pPr>
        <w:rPr>
          <w:lang w:val="de-DE"/>
        </w:rPr>
      </w:pPr>
      <w:r w:rsidRPr="006054BD">
        <w:fldChar w:fldCharType="begin"/>
      </w:r>
      <w:r w:rsidR="00FF1A62" w:rsidRPr="00D05435">
        <w:rPr>
          <w:lang w:val="de-DE"/>
        </w:rPr>
        <w:instrText xml:space="preserve"> AUTONUM  </w:instrText>
      </w:r>
      <w:r w:rsidRPr="006054BD">
        <w:fldChar w:fldCharType="end"/>
      </w:r>
      <w:r w:rsidR="00D05435">
        <w:rPr>
          <w:lang w:val="de-DE"/>
        </w:rPr>
        <w:tab/>
        <w:t>Der</w:t>
      </w:r>
      <w:r w:rsidR="00FF1A62" w:rsidRPr="00D05435">
        <w:rPr>
          <w:lang w:val="de-DE"/>
        </w:rPr>
        <w:t xml:space="preserve"> </w:t>
      </w:r>
      <w:r w:rsidR="00D05435" w:rsidRPr="00D05435">
        <w:rPr>
          <w:lang w:val="de-DE"/>
        </w:rPr>
        <w:t>Rat hielt seine sechsundvierzigste außerordentliche Tagung am 1. November 2012 unter dem Vorsitz von Herrn Choi Keun Jin ab. An der Tagung nahmen 47 Verbandsmitglieder, acht Beobac</w:t>
      </w:r>
      <w:r w:rsidR="001649DC">
        <w:rPr>
          <w:lang w:val="de-DE"/>
        </w:rPr>
        <w:t>hterstaaten und zehn</w:t>
      </w:r>
      <w:r w:rsidR="00D05435" w:rsidRPr="00D05435">
        <w:rPr>
          <w:lang w:val="de-DE"/>
        </w:rPr>
        <w:t xml:space="preserve"> Beobachterorganisationen teil. Der Bericht dieser Tagung ist in Dokument C/46/19 wiedergegeben. Auf dieser Tagung befaßte sich der Rat </w:t>
      </w:r>
      <w:r w:rsidR="009B09E1">
        <w:rPr>
          <w:lang w:val="de-DE"/>
        </w:rPr>
        <w:t>mit folgenden Angelegenheiten:</w:t>
      </w:r>
    </w:p>
    <w:p w:rsidR="00D05435" w:rsidRPr="00D05435" w:rsidRDefault="00D05435" w:rsidP="00D05435">
      <w:pPr>
        <w:rPr>
          <w:lang w:val="de-DE"/>
        </w:rPr>
      </w:pPr>
    </w:p>
    <w:p w:rsidR="00D05435" w:rsidRPr="00D05435" w:rsidRDefault="00D05435" w:rsidP="00D05435">
      <w:pPr>
        <w:rPr>
          <w:rFonts w:cs="Arial"/>
          <w:lang w:val="de-DE"/>
        </w:rPr>
      </w:pPr>
      <w:r w:rsidRPr="00D05435">
        <w:rPr>
          <w:lang w:val="de-DE"/>
        </w:rPr>
        <w:tab/>
        <w:t>a)</w:t>
      </w:r>
      <w:r w:rsidRPr="00D05435">
        <w:rPr>
          <w:lang w:val="de-DE"/>
        </w:rPr>
        <w:tab/>
        <w:t>er prüfte den Gesetzentwurf Ghanas über Pflanzenzüchter und den Gesetzentwurf Kontinentaltansanias über Pflanzenzüchter</w:t>
      </w:r>
      <w:r w:rsidR="000B4E37">
        <w:rPr>
          <w:lang w:val="de-DE"/>
        </w:rPr>
        <w:t>rechte</w:t>
      </w:r>
      <w:r w:rsidRPr="00D05435">
        <w:rPr>
          <w:lang w:val="de-DE"/>
        </w:rPr>
        <w:t xml:space="preserve"> auf Vereinbarkeit mit der Akte von 1991 des UPOV</w:t>
      </w:r>
      <w:r w:rsidRPr="00D05435">
        <w:rPr>
          <w:rFonts w:ascii="MS Gothic" w:eastAsia="MS Gothic" w:hAnsi="MS Gothic" w:cs="MS Gothic" w:hint="eastAsia"/>
          <w:lang w:val="de-DE"/>
        </w:rPr>
        <w:t>‑</w:t>
      </w:r>
      <w:r w:rsidRPr="00D05435">
        <w:rPr>
          <w:rFonts w:cs="Arial"/>
          <w:lang w:val="de-DE"/>
        </w:rPr>
        <w:t>Übereinkommens.</w:t>
      </w:r>
    </w:p>
    <w:p w:rsidR="00D05435" w:rsidRPr="00D05435" w:rsidRDefault="00D05435" w:rsidP="00D05435">
      <w:pPr>
        <w:rPr>
          <w:rFonts w:cs="Arial"/>
          <w:lang w:val="de-DE"/>
        </w:rPr>
      </w:pPr>
    </w:p>
    <w:p w:rsidR="00D05435" w:rsidRPr="00D05435" w:rsidRDefault="00D05435" w:rsidP="001649DC">
      <w:pPr>
        <w:rPr>
          <w:rFonts w:cs="Arial"/>
          <w:lang w:val="de-DE"/>
        </w:rPr>
      </w:pPr>
      <w:r w:rsidRPr="00D05435">
        <w:rPr>
          <w:rFonts w:cs="Arial"/>
          <w:lang w:val="de-DE"/>
        </w:rPr>
        <w:tab/>
        <w:t>b)</w:t>
      </w:r>
      <w:r w:rsidRPr="00D05435">
        <w:rPr>
          <w:rFonts w:cs="Arial"/>
          <w:lang w:val="de-DE"/>
        </w:rPr>
        <w:tab/>
      </w:r>
      <w:r w:rsidR="001649DC">
        <w:rPr>
          <w:rFonts w:cs="Arial"/>
          <w:lang w:val="de-DE"/>
        </w:rPr>
        <w:t xml:space="preserve">er </w:t>
      </w:r>
      <w:r w:rsidRPr="00D05435">
        <w:rPr>
          <w:rFonts w:cs="Arial"/>
          <w:lang w:val="de-DE"/>
        </w:rPr>
        <w:t>nahm die Arbeit des Beratenden Ausschusses auf dessen vierundachzigste</w:t>
      </w:r>
      <w:r w:rsidR="001649DC">
        <w:rPr>
          <w:rFonts w:cs="Arial"/>
          <w:lang w:val="de-DE"/>
        </w:rPr>
        <w:t>r</w:t>
      </w:r>
      <w:r w:rsidRPr="00D05435">
        <w:rPr>
          <w:rFonts w:cs="Arial"/>
          <w:lang w:val="de-DE"/>
        </w:rPr>
        <w:t xml:space="preserve"> Tagung am </w:t>
      </w:r>
      <w:r w:rsidR="009B09E1">
        <w:rPr>
          <w:rFonts w:cs="Arial"/>
          <w:lang w:val="de-DE"/>
        </w:rPr>
        <w:br/>
      </w:r>
      <w:r w:rsidRPr="00D05435">
        <w:rPr>
          <w:rFonts w:cs="Arial"/>
          <w:lang w:val="de-DE"/>
        </w:rPr>
        <w:t>31. Oktober 2012, wie in Dokument C/46/16 dargelegt, zur Kenntnis;</w:t>
      </w:r>
    </w:p>
    <w:p w:rsidR="00D05435" w:rsidRPr="00D05435" w:rsidRDefault="00D05435" w:rsidP="00D05435">
      <w:pPr>
        <w:rPr>
          <w:rFonts w:cs="Arial"/>
          <w:lang w:val="de-DE"/>
        </w:rPr>
      </w:pPr>
    </w:p>
    <w:p w:rsidR="00D05435" w:rsidRPr="00D05435" w:rsidRDefault="00D05435" w:rsidP="00D05435">
      <w:pPr>
        <w:rPr>
          <w:rFonts w:cs="Arial"/>
          <w:lang w:val="de-DE"/>
        </w:rPr>
      </w:pPr>
      <w:r w:rsidRPr="00D05435">
        <w:rPr>
          <w:rFonts w:cs="Arial"/>
          <w:lang w:val="de-DE"/>
        </w:rPr>
        <w:tab/>
        <w:t>c)</w:t>
      </w:r>
      <w:r w:rsidRPr="00D05435">
        <w:rPr>
          <w:rFonts w:cs="Arial"/>
          <w:lang w:val="de-DE"/>
        </w:rPr>
        <w:tab/>
        <w:t>er nahm folgende Dokumente an:</w:t>
      </w:r>
    </w:p>
    <w:p w:rsidR="00D05435" w:rsidRPr="00D05435" w:rsidRDefault="00D05435" w:rsidP="00D05435">
      <w:pPr>
        <w:rPr>
          <w:rFonts w:cs="Arial"/>
          <w:lang w:val="de-DE"/>
        </w:rPr>
      </w:pPr>
    </w:p>
    <w:p w:rsidR="00D05435" w:rsidRPr="00D05435" w:rsidRDefault="00D05435" w:rsidP="009B09E1">
      <w:pPr>
        <w:tabs>
          <w:tab w:val="left" w:pos="567"/>
        </w:tabs>
        <w:ind w:left="1134" w:hanging="1134"/>
        <w:rPr>
          <w:lang w:val="de-DE"/>
        </w:rPr>
      </w:pPr>
      <w:r w:rsidRPr="00D05435">
        <w:rPr>
          <w:lang w:val="de-DE"/>
        </w:rPr>
        <w:tab/>
        <w:t xml:space="preserve">- </w:t>
      </w:r>
      <w:r w:rsidRPr="00D05435">
        <w:rPr>
          <w:lang w:val="de-DE"/>
        </w:rPr>
        <w:tab/>
        <w:t>TCP/12 „Anleitung zu bestimmten physiologischen Merkm</w:t>
      </w:r>
      <w:r w:rsidR="009B09E1">
        <w:rPr>
          <w:lang w:val="de-DE"/>
        </w:rPr>
        <w:t>alen" (Überarbeitung) (Dokument </w:t>
      </w:r>
      <w:r w:rsidRPr="00D05435">
        <w:rPr>
          <w:lang w:val="de-DE"/>
        </w:rPr>
        <w:t>TGP/12/2);</w:t>
      </w:r>
    </w:p>
    <w:p w:rsidR="00D05435" w:rsidRPr="00D05435" w:rsidRDefault="00D05435" w:rsidP="00D05435">
      <w:pPr>
        <w:rPr>
          <w:lang w:val="de-DE"/>
        </w:rPr>
      </w:pPr>
    </w:p>
    <w:p w:rsidR="00D05435" w:rsidRPr="00D05435" w:rsidRDefault="00D05435" w:rsidP="009B09E1">
      <w:pPr>
        <w:tabs>
          <w:tab w:val="left" w:pos="567"/>
        </w:tabs>
        <w:ind w:left="1134" w:hanging="1134"/>
        <w:rPr>
          <w:lang w:val="de-DE"/>
        </w:rPr>
      </w:pPr>
      <w:r w:rsidRPr="00D05435">
        <w:rPr>
          <w:lang w:val="de-DE"/>
        </w:rPr>
        <w:tab/>
        <w:t>-</w:t>
      </w:r>
      <w:r w:rsidRPr="00D05435">
        <w:rPr>
          <w:lang w:val="de-DE"/>
        </w:rPr>
        <w:tab/>
        <w:t>TGP/0 „Liste der TGP-Dokumente und Datum der jüngsten Ausgabe" (Überarbeitung)</w:t>
      </w:r>
      <w:r w:rsidR="009B09E1">
        <w:rPr>
          <w:lang w:val="de-DE"/>
        </w:rPr>
        <w:t xml:space="preserve"> </w:t>
      </w:r>
      <w:r w:rsidRPr="00D05435">
        <w:rPr>
          <w:lang w:val="de-DE"/>
        </w:rPr>
        <w:t>(Dokument TGP/0/5);</w:t>
      </w:r>
    </w:p>
    <w:p w:rsidR="00D05435" w:rsidRPr="00D05435" w:rsidRDefault="00D05435" w:rsidP="009B09E1">
      <w:pPr>
        <w:tabs>
          <w:tab w:val="left" w:pos="567"/>
        </w:tabs>
        <w:ind w:left="1134" w:hanging="1134"/>
        <w:rPr>
          <w:lang w:val="de-DE"/>
        </w:rPr>
      </w:pPr>
    </w:p>
    <w:p w:rsidR="00D05435" w:rsidRPr="00D05435" w:rsidRDefault="00D05435" w:rsidP="009B09E1">
      <w:pPr>
        <w:tabs>
          <w:tab w:val="left" w:pos="567"/>
        </w:tabs>
        <w:ind w:left="1134" w:hanging="1134"/>
        <w:rPr>
          <w:lang w:val="de-DE"/>
        </w:rPr>
      </w:pPr>
      <w:r w:rsidRPr="00D05435">
        <w:rPr>
          <w:lang w:val="de-DE"/>
        </w:rPr>
        <w:tab/>
        <w:t>-</w:t>
      </w:r>
      <w:r w:rsidRPr="00D05435">
        <w:rPr>
          <w:lang w:val="de-DE"/>
        </w:rPr>
        <w:tab/>
        <w:t>UPOV/INF/12 „Erläuterungen zu Sortenbezeichnungen nach dem UPOV-Übereinkommen" (Überarbeitung) (Dokument UPOV/INF/12/4);</w:t>
      </w:r>
    </w:p>
    <w:p w:rsidR="00D05435" w:rsidRPr="00D05435" w:rsidRDefault="00D05435" w:rsidP="009B09E1">
      <w:pPr>
        <w:tabs>
          <w:tab w:val="left" w:pos="567"/>
        </w:tabs>
        <w:ind w:left="1134" w:hanging="1134"/>
        <w:rPr>
          <w:lang w:val="de-DE"/>
        </w:rPr>
      </w:pPr>
    </w:p>
    <w:p w:rsidR="00D05435" w:rsidRPr="00D05435" w:rsidRDefault="00D05435" w:rsidP="009B09E1">
      <w:pPr>
        <w:tabs>
          <w:tab w:val="left" w:pos="567"/>
        </w:tabs>
        <w:ind w:left="1134" w:hanging="1134"/>
        <w:rPr>
          <w:lang w:val="de-DE"/>
        </w:rPr>
      </w:pPr>
      <w:r w:rsidRPr="00D05435">
        <w:rPr>
          <w:lang w:val="de-DE"/>
        </w:rPr>
        <w:tab/>
        <w:t>-</w:t>
      </w:r>
      <w:r w:rsidRPr="00D05435">
        <w:rPr>
          <w:lang w:val="de-DE"/>
        </w:rPr>
        <w:tab/>
        <w:t>UPOV/INF/19 „Regeln für die Erteilung des Beobachterstatus an Staaten, zwischenstaatliche Organisationen und internationale Nichtregierungsorganisationen bei UPOV-Organen" (Überarbeitung) (Dokument UPOV/INF/19/1);</w:t>
      </w:r>
    </w:p>
    <w:p w:rsidR="00D05435" w:rsidRPr="00D05435" w:rsidRDefault="00D05435" w:rsidP="009B09E1">
      <w:pPr>
        <w:tabs>
          <w:tab w:val="left" w:pos="567"/>
        </w:tabs>
        <w:ind w:left="1134" w:hanging="1134"/>
        <w:rPr>
          <w:lang w:val="de-DE"/>
        </w:rPr>
      </w:pPr>
    </w:p>
    <w:p w:rsidR="00D05435" w:rsidRPr="00D05435" w:rsidRDefault="00D05435" w:rsidP="009B09E1">
      <w:pPr>
        <w:tabs>
          <w:tab w:val="left" w:pos="567"/>
        </w:tabs>
        <w:ind w:left="1134" w:hanging="1134"/>
        <w:rPr>
          <w:lang w:val="de-DE"/>
        </w:rPr>
      </w:pPr>
      <w:r w:rsidRPr="00D05435">
        <w:rPr>
          <w:lang w:val="de-DE"/>
        </w:rPr>
        <w:tab/>
        <w:t>-</w:t>
      </w:r>
      <w:r w:rsidRPr="00D05435">
        <w:rPr>
          <w:lang w:val="de-DE"/>
        </w:rPr>
        <w:tab/>
        <w:t>UPOV/INF/20 „Regeln für den Zugang zu UPOV-Dokumenten" (Überarbeitung)</w:t>
      </w:r>
      <w:r w:rsidR="009B09E1">
        <w:rPr>
          <w:lang w:val="de-DE"/>
        </w:rPr>
        <w:t xml:space="preserve"> (Dokument </w:t>
      </w:r>
      <w:r w:rsidRPr="00D05435">
        <w:rPr>
          <w:lang w:val="de-DE"/>
        </w:rPr>
        <w:t>UPOV/INF/20/1);</w:t>
      </w:r>
    </w:p>
    <w:p w:rsidR="00D05435" w:rsidRPr="00D05435" w:rsidRDefault="00D05435" w:rsidP="009B09E1">
      <w:pPr>
        <w:tabs>
          <w:tab w:val="left" w:pos="567"/>
        </w:tabs>
        <w:ind w:left="1134" w:hanging="1134"/>
        <w:rPr>
          <w:lang w:val="de-DE"/>
        </w:rPr>
      </w:pPr>
    </w:p>
    <w:p w:rsidR="00D05435" w:rsidRPr="00D05435" w:rsidRDefault="00D05435" w:rsidP="009B09E1">
      <w:pPr>
        <w:tabs>
          <w:tab w:val="left" w:pos="567"/>
        </w:tabs>
        <w:ind w:left="1134" w:hanging="1134"/>
        <w:rPr>
          <w:lang w:val="de-DE"/>
        </w:rPr>
      </w:pPr>
      <w:r w:rsidRPr="00D05435">
        <w:rPr>
          <w:lang w:val="de-DE"/>
        </w:rPr>
        <w:tab/>
        <w:t>-</w:t>
      </w:r>
      <w:r w:rsidRPr="00D05435">
        <w:rPr>
          <w:lang w:val="de-DE"/>
        </w:rPr>
        <w:tab/>
        <w:t>UPOV/INF/21 „Alternative Mechanismen zur Streitbeilegung“ (Dokument UPOV/INF/21/1);</w:t>
      </w:r>
      <w:r w:rsidR="001649DC">
        <w:rPr>
          <w:lang w:val="de-DE"/>
        </w:rPr>
        <w:t xml:space="preserve"> und</w:t>
      </w:r>
    </w:p>
    <w:p w:rsidR="00D05435" w:rsidRPr="00D05435" w:rsidRDefault="00D05435" w:rsidP="009B09E1">
      <w:pPr>
        <w:tabs>
          <w:tab w:val="left" w:pos="567"/>
        </w:tabs>
        <w:ind w:left="1134" w:hanging="1134"/>
        <w:rPr>
          <w:lang w:val="de-DE"/>
        </w:rPr>
      </w:pPr>
    </w:p>
    <w:p w:rsidR="00D05435" w:rsidRPr="00D05435" w:rsidRDefault="00D05435" w:rsidP="009B09E1">
      <w:pPr>
        <w:tabs>
          <w:tab w:val="left" w:pos="567"/>
        </w:tabs>
        <w:ind w:left="1134" w:hanging="1134"/>
        <w:rPr>
          <w:lang w:val="de-DE"/>
        </w:rPr>
      </w:pPr>
      <w:r w:rsidRPr="00D05435">
        <w:rPr>
          <w:lang w:val="de-DE"/>
        </w:rPr>
        <w:tab/>
        <w:t>-</w:t>
      </w:r>
      <w:r w:rsidRPr="00D05435">
        <w:rPr>
          <w:lang w:val="de-DE"/>
        </w:rPr>
        <w:tab/>
        <w:t>UPOV/INF-EXN/3 „Liste der UPOV/INF-EXN-Dokumente und Datum der jüngsten Ausgabe" (Überarbeitung) (Dokument UPOV/INF-EXN/3);</w:t>
      </w:r>
    </w:p>
    <w:p w:rsidR="00D05435" w:rsidRPr="00D05435" w:rsidRDefault="00D05435" w:rsidP="009B09E1">
      <w:pPr>
        <w:tabs>
          <w:tab w:val="left" w:pos="567"/>
        </w:tabs>
        <w:ind w:left="1134" w:hanging="1134"/>
        <w:rPr>
          <w:lang w:val="de-DE"/>
        </w:rPr>
      </w:pPr>
    </w:p>
    <w:p w:rsidR="00D05435" w:rsidRPr="00D05435" w:rsidRDefault="00D05435" w:rsidP="000B4E37">
      <w:pPr>
        <w:rPr>
          <w:lang w:val="de-DE"/>
        </w:rPr>
      </w:pPr>
      <w:r w:rsidRPr="00D05435">
        <w:rPr>
          <w:lang w:val="de-DE"/>
        </w:rPr>
        <w:tab/>
        <w:t>d)</w:t>
      </w:r>
      <w:r w:rsidRPr="00D05435">
        <w:rPr>
          <w:lang w:val="de-DE"/>
        </w:rPr>
        <w:tab/>
        <w:t>er nahm den Bericht des Generalsekretärs über die Tätigkeiten des Verbandes im Jahre 2011 und den Ergebnisbewertungsbericht für die Rechnungsperiode 201</w:t>
      </w:r>
      <w:r w:rsidR="000B4E37">
        <w:rPr>
          <w:lang w:val="de-DE"/>
        </w:rPr>
        <w:t>0</w:t>
      </w:r>
      <w:r w:rsidRPr="00D05435">
        <w:rPr>
          <w:lang w:val="de-DE"/>
        </w:rPr>
        <w:t>-2011 sowie den Bericht über Tätigkeiten in den ersten neun Monaten des Jahres 20</w:t>
      </w:r>
      <w:r w:rsidR="001649DC">
        <w:rPr>
          <w:lang w:val="de-DE"/>
        </w:rPr>
        <w:t>12 zur Kenntnis;</w:t>
      </w:r>
    </w:p>
    <w:p w:rsidR="00D05435" w:rsidRPr="00D05435" w:rsidRDefault="00D05435" w:rsidP="00D05435">
      <w:pPr>
        <w:rPr>
          <w:lang w:val="de-DE"/>
        </w:rPr>
      </w:pPr>
    </w:p>
    <w:p w:rsidR="00D05435" w:rsidRPr="00D05435" w:rsidRDefault="00D05435" w:rsidP="00D05435">
      <w:pPr>
        <w:rPr>
          <w:lang w:val="de-DE"/>
        </w:rPr>
      </w:pPr>
      <w:r w:rsidRPr="00D05435">
        <w:rPr>
          <w:lang w:val="de-DE"/>
        </w:rPr>
        <w:tab/>
        <w:t>e)</w:t>
      </w:r>
      <w:r w:rsidRPr="00D05435">
        <w:rPr>
          <w:lang w:val="de-DE"/>
        </w:rPr>
        <w:tab/>
        <w:t>er billigte den Jahresabschluß für die Rechnungsperiode 2010-</w:t>
      </w:r>
      <w:r w:rsidRPr="00D05435">
        <w:rPr>
          <w:rFonts w:cs="Arial"/>
          <w:lang w:val="de-DE"/>
        </w:rPr>
        <w:t>2011 und nahm den Bericht des Rechnungsprüfers für die Rechnu</w:t>
      </w:r>
      <w:r w:rsidRPr="00D05435">
        <w:rPr>
          <w:lang w:val="de-DE"/>
        </w:rPr>
        <w:t>ngsperiode 2010-</w:t>
      </w:r>
      <w:r w:rsidRPr="00D05435">
        <w:rPr>
          <w:rFonts w:cs="Arial"/>
          <w:lang w:val="de-DE"/>
        </w:rPr>
        <w:t>2011 zur Kenntnis</w:t>
      </w:r>
      <w:r w:rsidR="001649DC">
        <w:rPr>
          <w:rFonts w:cs="Arial"/>
          <w:lang w:val="de-DE"/>
        </w:rPr>
        <w:t>;</w:t>
      </w:r>
    </w:p>
    <w:p w:rsidR="00D05435" w:rsidRPr="00D05435" w:rsidRDefault="00D05435" w:rsidP="00D05435">
      <w:pPr>
        <w:rPr>
          <w:lang w:val="de-DE"/>
        </w:rPr>
      </w:pPr>
    </w:p>
    <w:p w:rsidR="00D05435" w:rsidRPr="00D05435" w:rsidRDefault="00D05435" w:rsidP="00D05435">
      <w:pPr>
        <w:rPr>
          <w:lang w:val="de-DE"/>
        </w:rPr>
      </w:pPr>
      <w:r w:rsidRPr="00D05435">
        <w:rPr>
          <w:lang w:val="de-DE"/>
        </w:rPr>
        <w:tab/>
        <w:t>f)</w:t>
      </w:r>
      <w:r w:rsidRPr="00D05435">
        <w:rPr>
          <w:lang w:val="de-DE"/>
        </w:rPr>
        <w:tab/>
        <w:t>er nahm den Stand der Beitragszahlungen und Beteiligungen am Betriebsmittelfonds zur Kenntnis;</w:t>
      </w:r>
    </w:p>
    <w:p w:rsidR="00D05435" w:rsidRPr="00D05435" w:rsidRDefault="00D05435" w:rsidP="00D05435">
      <w:pPr>
        <w:rPr>
          <w:lang w:val="de-DE"/>
        </w:rPr>
      </w:pPr>
    </w:p>
    <w:p w:rsidR="00D05435" w:rsidRPr="00D05435" w:rsidRDefault="00D05435" w:rsidP="00D05435">
      <w:pPr>
        <w:rPr>
          <w:lang w:val="de-DE"/>
        </w:rPr>
      </w:pPr>
      <w:r w:rsidRPr="00D05435">
        <w:rPr>
          <w:lang w:val="de-DE"/>
        </w:rPr>
        <w:tab/>
        <w:t>g)</w:t>
      </w:r>
      <w:r w:rsidRPr="00D05435">
        <w:rPr>
          <w:lang w:val="de-DE"/>
        </w:rPr>
        <w:tab/>
        <w:t>er nahm die Arbeit des CAJ zur Kenntnis und billigte das Arbeitsprogramm für die siebenundsechzigste Tagung des CAJ;</w:t>
      </w:r>
    </w:p>
    <w:p w:rsidR="00D05435" w:rsidRPr="00D05435" w:rsidRDefault="00D05435" w:rsidP="00D05435">
      <w:pPr>
        <w:rPr>
          <w:lang w:val="de-DE"/>
        </w:rPr>
      </w:pPr>
    </w:p>
    <w:p w:rsidR="00D05435" w:rsidRPr="00D05435" w:rsidRDefault="00D05435" w:rsidP="00D05435">
      <w:pPr>
        <w:rPr>
          <w:lang w:val="de-DE"/>
        </w:rPr>
      </w:pPr>
      <w:r w:rsidRPr="00D05435">
        <w:rPr>
          <w:lang w:val="de-DE"/>
        </w:rPr>
        <w:tab/>
        <w:t>h)</w:t>
      </w:r>
      <w:r w:rsidRPr="00D05435">
        <w:rPr>
          <w:lang w:val="de-DE"/>
        </w:rPr>
        <w:tab/>
        <w:t>er nahm die Arbeit des TC, der TWP und der BMT zur Kenntnis und billigte die Arbeitsprogramme;</w:t>
      </w:r>
    </w:p>
    <w:p w:rsidR="00D05435" w:rsidRPr="00D05435" w:rsidRDefault="00D05435" w:rsidP="00D05435">
      <w:pPr>
        <w:rPr>
          <w:lang w:val="de-DE"/>
        </w:rPr>
      </w:pPr>
    </w:p>
    <w:p w:rsidR="00D05435" w:rsidRPr="00D05435" w:rsidRDefault="00D05435" w:rsidP="00D05435">
      <w:pPr>
        <w:rPr>
          <w:lang w:val="de-DE"/>
        </w:rPr>
      </w:pPr>
      <w:r w:rsidRPr="00D05435">
        <w:rPr>
          <w:lang w:val="de-DE"/>
        </w:rPr>
        <w:tab/>
        <w:t>i)</w:t>
      </w:r>
      <w:r w:rsidRPr="00D05435">
        <w:rPr>
          <w:lang w:val="de-DE"/>
        </w:rPr>
        <w:tab/>
        <w:t>er billigte den Tagungskalender für das Jahr 2013;</w:t>
      </w:r>
    </w:p>
    <w:p w:rsidR="00D05435" w:rsidRPr="00D05435" w:rsidRDefault="00D05435" w:rsidP="00D05435">
      <w:pPr>
        <w:rPr>
          <w:lang w:val="de-DE"/>
        </w:rPr>
      </w:pPr>
    </w:p>
    <w:p w:rsidR="00D05435" w:rsidRPr="00D05435" w:rsidRDefault="00D05435" w:rsidP="00D05435">
      <w:pPr>
        <w:rPr>
          <w:lang w:val="de-DE"/>
        </w:rPr>
      </w:pPr>
      <w:r w:rsidRPr="00D05435">
        <w:rPr>
          <w:lang w:val="de-DE"/>
        </w:rPr>
        <w:tab/>
        <w:t>j)</w:t>
      </w:r>
      <w:r w:rsidRPr="00D05435">
        <w:rPr>
          <w:lang w:val="de-DE"/>
        </w:rPr>
        <w:tab/>
        <w:t>er wählte, jeweils für eine Amtszeit von drei Jahren, die mit der neunundvierzigsten ordentlichen Tagung des Rates im Jahre 2015 enden wird:</w:t>
      </w:r>
    </w:p>
    <w:p w:rsidR="00D05435" w:rsidRPr="00D05435" w:rsidRDefault="00D05435" w:rsidP="00D05435">
      <w:pPr>
        <w:rPr>
          <w:lang w:val="de-DE"/>
        </w:rPr>
      </w:pPr>
    </w:p>
    <w:p w:rsidR="00D05435" w:rsidRPr="00D05435" w:rsidRDefault="00D05435" w:rsidP="00D05435">
      <w:pPr>
        <w:rPr>
          <w:lang w:val="de-DE"/>
        </w:rPr>
      </w:pPr>
      <w:r w:rsidRPr="00D05435">
        <w:rPr>
          <w:lang w:val="de-DE"/>
        </w:rPr>
        <w:tab/>
        <w:t>-</w:t>
      </w:r>
      <w:r w:rsidRPr="00D05435">
        <w:rPr>
          <w:lang w:val="de-DE"/>
        </w:rPr>
        <w:tab/>
        <w:t>Frau Kitisri Sukhapinda (Vereinigte Staaten von Amerika), Präsidentin des Rates;</w:t>
      </w:r>
    </w:p>
    <w:p w:rsidR="00D05435" w:rsidRPr="00D05435" w:rsidRDefault="00D05435" w:rsidP="00D05435">
      <w:pPr>
        <w:rPr>
          <w:lang w:val="de-DE"/>
        </w:rPr>
      </w:pPr>
    </w:p>
    <w:p w:rsidR="00D05435" w:rsidRDefault="00F514B4" w:rsidP="00D05435">
      <w:pPr>
        <w:rPr>
          <w:lang w:val="de-DE"/>
        </w:rPr>
      </w:pPr>
      <w:r>
        <w:rPr>
          <w:lang w:val="de-DE"/>
        </w:rPr>
        <w:tab/>
        <w:t>-</w:t>
      </w:r>
      <w:r>
        <w:rPr>
          <w:lang w:val="de-DE"/>
        </w:rPr>
        <w:tab/>
        <w:t>Herrn</w:t>
      </w:r>
      <w:r w:rsidR="00D05435" w:rsidRPr="00D05435">
        <w:rPr>
          <w:lang w:val="de-DE"/>
        </w:rPr>
        <w:t xml:space="preserve"> Luis Sal</w:t>
      </w:r>
      <w:r>
        <w:rPr>
          <w:lang w:val="de-DE"/>
        </w:rPr>
        <w:t>aices (Spanien), Vizepräsident</w:t>
      </w:r>
      <w:r w:rsidR="00D05435" w:rsidRPr="00D05435">
        <w:rPr>
          <w:lang w:val="de-DE"/>
        </w:rPr>
        <w:t xml:space="preserve"> des Rates;</w:t>
      </w:r>
    </w:p>
    <w:p w:rsidR="00B47962" w:rsidRPr="00D05435" w:rsidRDefault="00B47962" w:rsidP="00D05435">
      <w:pPr>
        <w:rPr>
          <w:lang w:val="de-DE"/>
        </w:rPr>
      </w:pPr>
    </w:p>
    <w:p w:rsidR="00D05435" w:rsidRPr="00D05435" w:rsidRDefault="009B09E1" w:rsidP="000B4E37">
      <w:pPr>
        <w:rPr>
          <w:lang w:val="de-DE"/>
        </w:rPr>
      </w:pPr>
      <w:r>
        <w:rPr>
          <w:lang w:val="de-DE"/>
        </w:rPr>
        <w:tab/>
        <w:t>k)</w:t>
      </w:r>
      <w:r>
        <w:rPr>
          <w:lang w:val="de-DE"/>
        </w:rPr>
        <w:tab/>
      </w:r>
      <w:r w:rsidR="00D05435" w:rsidRPr="00D05435">
        <w:rPr>
          <w:lang w:val="de-DE"/>
        </w:rPr>
        <w:t>er nahm die Dokumente und mündlichen Berichte von Mitgliedern und Beobachtern über die Lage auf den Gebieten der Gesetzgebung, der Verwaltung und der Technik des Sortenschutzes und in verwandten Bereichen zur Kenntnis. Er nahm auch die Tatsache zur Kenntnis, daß eine Ergänzung zu Dokument C/46/12 erstellt werde und daß eine Überarbeitung des Dokuments C/45/7 über Statistiken für die Rechnungsperiode 2006-2010 auf der UPOV-Website veröffentlicht wurde; und</w:t>
      </w:r>
    </w:p>
    <w:p w:rsidR="00D05435" w:rsidRPr="00D05435" w:rsidRDefault="00D05435" w:rsidP="00D05435">
      <w:pPr>
        <w:rPr>
          <w:lang w:val="de-DE"/>
        </w:rPr>
      </w:pPr>
    </w:p>
    <w:p w:rsidR="005C7C48" w:rsidRPr="007B46CC" w:rsidRDefault="00D05435" w:rsidP="000B4E37">
      <w:pPr>
        <w:ind w:right="-1"/>
        <w:rPr>
          <w:lang w:val="de-DE"/>
        </w:rPr>
      </w:pPr>
      <w:r w:rsidRPr="00D05435">
        <w:rPr>
          <w:lang w:val="de-DE"/>
        </w:rPr>
        <w:tab/>
        <w:t>l)</w:t>
      </w:r>
      <w:r w:rsidRPr="00D05435">
        <w:rPr>
          <w:lang w:val="de-DE"/>
        </w:rPr>
        <w:tab/>
        <w:t xml:space="preserve">er prüfte und billigte </w:t>
      </w:r>
      <w:r w:rsidR="000B4E37">
        <w:rPr>
          <w:lang w:val="de-DE"/>
        </w:rPr>
        <w:t>den</w:t>
      </w:r>
      <w:r w:rsidRPr="00D05435">
        <w:rPr>
          <w:lang w:val="de-DE"/>
        </w:rPr>
        <w:t xml:space="preserve"> Entwurf </w:t>
      </w:r>
      <w:r w:rsidR="00B47962">
        <w:rPr>
          <w:lang w:val="de-DE"/>
        </w:rPr>
        <w:t>einer</w:t>
      </w:r>
      <w:r w:rsidRPr="00D05435">
        <w:rPr>
          <w:lang w:val="de-DE"/>
        </w:rPr>
        <w:t xml:space="preserve"> Pressemitteilung</w:t>
      </w:r>
      <w:r w:rsidR="005C7C48" w:rsidRPr="007B46CC">
        <w:rPr>
          <w:lang w:val="de-DE"/>
        </w:rPr>
        <w:t>.</w:t>
      </w:r>
    </w:p>
    <w:p w:rsidR="00FF1A62" w:rsidRPr="007B46CC" w:rsidRDefault="00FF1A62" w:rsidP="00FF1A62">
      <w:pPr>
        <w:tabs>
          <w:tab w:val="left" w:pos="567"/>
          <w:tab w:val="num" w:pos="1134"/>
        </w:tabs>
        <w:rPr>
          <w:lang w:val="de-DE"/>
        </w:rPr>
      </w:pPr>
    </w:p>
    <w:p w:rsidR="006B519E" w:rsidRPr="007B46CC" w:rsidRDefault="006B519E" w:rsidP="006B519E">
      <w:pPr>
        <w:rPr>
          <w:lang w:val="de-DE"/>
        </w:rPr>
      </w:pPr>
    </w:p>
    <w:p w:rsidR="006B519E" w:rsidRPr="00126859" w:rsidRDefault="00A71FDD" w:rsidP="006B519E">
      <w:pPr>
        <w:pStyle w:val="Heading2"/>
        <w:rPr>
          <w:lang w:val="de-DE"/>
        </w:rPr>
      </w:pPr>
      <w:bookmarkStart w:id="30" w:name="_Toc368400884"/>
      <w:r w:rsidRPr="00126859">
        <w:rPr>
          <w:lang w:val="de-DE"/>
        </w:rPr>
        <w:t>Beratender Ausschuß</w:t>
      </w:r>
      <w:bookmarkEnd w:id="30"/>
    </w:p>
    <w:p w:rsidR="006B519E" w:rsidRPr="00126859" w:rsidRDefault="006B519E" w:rsidP="006B519E">
      <w:pPr>
        <w:keepNext/>
        <w:ind w:left="567" w:hanging="567"/>
        <w:rPr>
          <w:lang w:val="de-DE"/>
        </w:rPr>
      </w:pPr>
    </w:p>
    <w:p w:rsidR="00E14700" w:rsidRPr="00E14700" w:rsidRDefault="004A094B" w:rsidP="000B4E37">
      <w:pPr>
        <w:rPr>
          <w:lang w:val="de-DE"/>
        </w:rPr>
      </w:pPr>
      <w:r w:rsidRPr="006054BD">
        <w:fldChar w:fldCharType="begin"/>
      </w:r>
      <w:r w:rsidR="00A512D1" w:rsidRPr="003D3420">
        <w:rPr>
          <w:lang w:val="de-DE"/>
        </w:rPr>
        <w:instrText xml:space="preserve"> AUTONUM  </w:instrText>
      </w:r>
      <w:r w:rsidRPr="006054BD">
        <w:fldChar w:fldCharType="end"/>
      </w:r>
      <w:r w:rsidR="00E14700">
        <w:rPr>
          <w:lang w:val="de-DE"/>
        </w:rPr>
        <w:tab/>
        <w:t>Der</w:t>
      </w:r>
      <w:r w:rsidR="00A512D1" w:rsidRPr="003D3420">
        <w:rPr>
          <w:lang w:val="de-DE"/>
        </w:rPr>
        <w:t xml:space="preserve"> </w:t>
      </w:r>
      <w:r w:rsidR="00E14700" w:rsidRPr="00E14700">
        <w:rPr>
          <w:lang w:val="de-DE"/>
        </w:rPr>
        <w:t>Beratende Ausschuß hielt seine dreiundachtzigste Tagung am 30. März 2012 unter dem Vorsitz von Herrn Choi Keun Jin (Republik Korea) ab. Auf dieser Tagung gab der Beratende Ausschuß dem Rat Empfehlungen im Hinblick auf die Annahme von Dokumenten (vergleiche Absatz 9c) oben</w:t>
      </w:r>
      <w:r w:rsidR="00B47962">
        <w:rPr>
          <w:lang w:val="de-DE"/>
        </w:rPr>
        <w:t>) und</w:t>
      </w:r>
      <w:r w:rsidR="00E14700" w:rsidRPr="00E14700">
        <w:rPr>
          <w:lang w:val="de-DE"/>
        </w:rPr>
        <w:t xml:space="preserve"> befaßte sich neben der Verlängerung der Amtszeit des Stellvertretenden Generalsekretärs und dem Entwurf einer Pressemitteilung </w:t>
      </w:r>
      <w:r w:rsidR="000B4E37">
        <w:rPr>
          <w:lang w:val="de-DE"/>
        </w:rPr>
        <w:t>mit folgenden Angelegenheiten</w:t>
      </w:r>
      <w:r w:rsidR="00E14700" w:rsidRPr="00E14700">
        <w:rPr>
          <w:lang w:val="de-DE"/>
        </w:rPr>
        <w:t xml:space="preserve">: </w:t>
      </w:r>
    </w:p>
    <w:p w:rsidR="00E14700" w:rsidRPr="00E14700" w:rsidRDefault="00E14700" w:rsidP="00E14700">
      <w:pPr>
        <w:rPr>
          <w:lang w:val="de-DE"/>
        </w:rPr>
      </w:pPr>
    </w:p>
    <w:p w:rsidR="00E14700" w:rsidRPr="00E14700" w:rsidRDefault="00E14700" w:rsidP="00E14700">
      <w:pPr>
        <w:tabs>
          <w:tab w:val="left" w:pos="567"/>
        </w:tabs>
        <w:rPr>
          <w:strike/>
          <w:lang w:val="de-DE"/>
        </w:rPr>
      </w:pPr>
      <w:r w:rsidRPr="00E14700">
        <w:rPr>
          <w:lang w:val="de-DE"/>
        </w:rPr>
        <w:tab/>
        <w:t>a)</w:t>
      </w:r>
      <w:r w:rsidRPr="00E14700">
        <w:rPr>
          <w:lang w:val="de-DE"/>
        </w:rPr>
        <w:tab/>
        <w:t>er nahm den Bericht der dritten Sitzung der Arbeitsgruppe für die Regeln betreffend Beobachter, die am 29. März 2012 stattgefunden hatte, zur Kenntnis;</w:t>
      </w:r>
    </w:p>
    <w:p w:rsidR="00E14700" w:rsidRPr="00E14700" w:rsidRDefault="00E14700" w:rsidP="00E14700">
      <w:pPr>
        <w:rPr>
          <w:lang w:val="de-DE"/>
        </w:rPr>
      </w:pPr>
    </w:p>
    <w:p w:rsidR="00E14700" w:rsidRPr="00E14700" w:rsidRDefault="00E14700" w:rsidP="00E14700">
      <w:pPr>
        <w:ind w:firstLine="567"/>
        <w:rPr>
          <w:lang w:val="de-DE"/>
        </w:rPr>
      </w:pPr>
      <w:r w:rsidRPr="00E14700">
        <w:rPr>
          <w:lang w:val="de-DE"/>
        </w:rPr>
        <w:t>b)</w:t>
      </w:r>
      <w:r w:rsidRPr="00E14700">
        <w:rPr>
          <w:lang w:val="de-DE"/>
        </w:rPr>
        <w:tab/>
        <w:t>er empfahl dem Rat, die Überarbeitung der „Regeln für die Erteilung des Beobachterstatus an Staaten, zwischenstaatliche Organisationen und internationale Nichtregierungsorganisationen bei UPOV</w:t>
      </w:r>
      <w:r w:rsidRPr="00E14700">
        <w:rPr>
          <w:lang w:val="de-DE"/>
        </w:rPr>
        <w:noBreakHyphen/>
        <w:t>Organen“ und die Überarbeitung der „Regeln für den Zugang zu UPOV-Dokumenten“ anzunehmen;</w:t>
      </w:r>
    </w:p>
    <w:p w:rsidR="00E14700" w:rsidRPr="00E14700" w:rsidRDefault="00E14700" w:rsidP="00E14700">
      <w:pPr>
        <w:rPr>
          <w:lang w:val="de-DE"/>
        </w:rPr>
      </w:pPr>
    </w:p>
    <w:p w:rsidR="00E14700" w:rsidRPr="00E14700" w:rsidRDefault="00E14700" w:rsidP="00E14700">
      <w:pPr>
        <w:ind w:firstLine="567"/>
        <w:rPr>
          <w:lang w:val="de-DE"/>
        </w:rPr>
      </w:pPr>
      <w:r w:rsidRPr="00E14700">
        <w:rPr>
          <w:lang w:val="de-DE"/>
        </w:rPr>
        <w:t>c)</w:t>
      </w:r>
      <w:r w:rsidRPr="00E14700">
        <w:rPr>
          <w:lang w:val="de-DE"/>
        </w:rPr>
        <w:tab/>
        <w:t>er erteilte dem Afrikanischen Saatguthandelsverband (</w:t>
      </w:r>
      <w:r w:rsidRPr="00E14700">
        <w:rPr>
          <w:i/>
          <w:lang w:val="de-DE"/>
        </w:rPr>
        <w:t>African Seed Trade Association</w:t>
      </w:r>
      <w:r w:rsidRPr="00E14700">
        <w:rPr>
          <w:lang w:val="de-DE"/>
        </w:rPr>
        <w:t xml:space="preserve"> (AFSTA)) den Beobachterstatus für den Rat, den Verwaltungs- und Rechtsausschuß (CAJ), den Technischen Ausschuß (TC) und die Technischen Arbeitsgruppen (TWP) der UPOV;</w:t>
      </w:r>
    </w:p>
    <w:p w:rsidR="00E14700" w:rsidRPr="00E14700" w:rsidRDefault="00E14700" w:rsidP="00E14700">
      <w:pPr>
        <w:rPr>
          <w:lang w:val="de-DE"/>
        </w:rPr>
      </w:pPr>
    </w:p>
    <w:p w:rsidR="00E14700" w:rsidRPr="00E14700" w:rsidRDefault="00E14700" w:rsidP="00E14700">
      <w:pPr>
        <w:rPr>
          <w:lang w:val="de-DE"/>
        </w:rPr>
      </w:pPr>
      <w:r w:rsidRPr="00E14700">
        <w:rPr>
          <w:snapToGrid w:val="0"/>
          <w:lang w:val="de-DE"/>
        </w:rPr>
        <w:tab/>
        <w:t>d)</w:t>
      </w:r>
      <w:r w:rsidRPr="00E14700">
        <w:rPr>
          <w:snapToGrid w:val="0"/>
          <w:lang w:val="de-DE"/>
        </w:rPr>
        <w:tab/>
        <w:t xml:space="preserve">er nahm die Entwicklungen betreffend </w:t>
      </w:r>
      <w:r w:rsidRPr="00E14700">
        <w:rPr>
          <w:lang w:val="de-DE"/>
        </w:rPr>
        <w:t>den Zugang zu UPOV-Dokumenten und Veröffentlichung von Informationen zur Kenntnis und hielt ferner fest, daß:</w:t>
      </w:r>
    </w:p>
    <w:p w:rsidR="00E14700" w:rsidRPr="00E14700" w:rsidRDefault="00E14700" w:rsidP="00E14700">
      <w:pPr>
        <w:rPr>
          <w:lang w:val="de-DE"/>
        </w:rPr>
      </w:pPr>
    </w:p>
    <w:p w:rsidR="00E14700" w:rsidRPr="00E14700" w:rsidRDefault="00E14700" w:rsidP="00E14700">
      <w:pPr>
        <w:ind w:firstLine="1134"/>
        <w:rPr>
          <w:lang w:val="de-DE"/>
        </w:rPr>
      </w:pPr>
      <w:r w:rsidRPr="00E14700">
        <w:rPr>
          <w:lang w:val="de-DE"/>
        </w:rPr>
        <w:t>i)</w:t>
      </w:r>
      <w:r w:rsidRPr="00E14700">
        <w:rPr>
          <w:lang w:val="de-DE"/>
        </w:rPr>
        <w:tab/>
        <w:t>das Einscannen von bedeutenden, nur in Papierform vorliegenden Dokumenten zur Bereitstellung auf der UPOV-Website gemäß den zur Verfügung stehenden Ressourcen geplant werde;</w:t>
      </w:r>
    </w:p>
    <w:p w:rsidR="00E14700" w:rsidRPr="00E14700" w:rsidRDefault="00E14700" w:rsidP="00E14700">
      <w:pPr>
        <w:ind w:firstLine="567"/>
        <w:rPr>
          <w:lang w:val="de-DE"/>
        </w:rPr>
      </w:pPr>
    </w:p>
    <w:p w:rsidR="00E14700" w:rsidRPr="00E14700" w:rsidRDefault="00E14700" w:rsidP="00E14700">
      <w:pPr>
        <w:ind w:firstLine="1134"/>
        <w:rPr>
          <w:lang w:val="de-DE"/>
        </w:rPr>
      </w:pPr>
      <w:r w:rsidRPr="00E14700">
        <w:rPr>
          <w:lang w:val="de-DE"/>
        </w:rPr>
        <w:t>ii)</w:t>
      </w:r>
      <w:r w:rsidRPr="00E14700">
        <w:rPr>
          <w:lang w:val="de-DE"/>
        </w:rPr>
        <w:tab/>
        <w:t>die entsprechenden Verbandsmitglieder im Dezember 2011 ersucht worden waren, eine konsolidierte Liste von Gattungen und Arten vorzulegen, damit Mitteilungen von Verbandsmitgliedern über Pflanzengattungen und -arten im weiteren Verlauf von 2012 in UPOV Lex aufgenommen werden können;</w:t>
      </w:r>
    </w:p>
    <w:p w:rsidR="00E14700" w:rsidRPr="00E14700" w:rsidRDefault="00E14700" w:rsidP="00E14700">
      <w:pPr>
        <w:ind w:firstLine="1134"/>
        <w:rPr>
          <w:lang w:val="de-DE"/>
        </w:rPr>
      </w:pPr>
    </w:p>
    <w:p w:rsidR="00E14700" w:rsidRPr="00E14700" w:rsidRDefault="00E14700" w:rsidP="00E14700">
      <w:pPr>
        <w:ind w:firstLine="1134"/>
        <w:rPr>
          <w:lang w:val="de-DE"/>
        </w:rPr>
      </w:pPr>
      <w:r w:rsidRPr="00E14700">
        <w:rPr>
          <w:lang w:val="de-DE"/>
        </w:rPr>
        <w:t>iii)</w:t>
      </w:r>
      <w:r w:rsidRPr="00E14700">
        <w:rPr>
          <w:lang w:val="de-DE"/>
        </w:rPr>
        <w:tab/>
        <w:t>die Veröffentlichung des Datums der Erteilung des Beobachterstatus auf der Liste der Beobachter bei UPOV-Organen auf der UPOV-Website gemäß den zur Verfügung stehenden Ressourcen geplant werde;</w:t>
      </w:r>
    </w:p>
    <w:p w:rsidR="00E14700" w:rsidRPr="00E14700" w:rsidRDefault="00E14700" w:rsidP="00E14700">
      <w:pPr>
        <w:ind w:firstLine="1134"/>
        <w:rPr>
          <w:lang w:val="de-DE"/>
        </w:rPr>
      </w:pPr>
    </w:p>
    <w:p w:rsidR="00E14700" w:rsidRPr="00E14700" w:rsidRDefault="00E14700" w:rsidP="00E14700">
      <w:pPr>
        <w:ind w:firstLine="1134"/>
        <w:rPr>
          <w:lang w:val="de-DE"/>
        </w:rPr>
      </w:pPr>
      <w:r w:rsidRPr="00E14700">
        <w:rPr>
          <w:lang w:val="de-DE"/>
        </w:rPr>
        <w:t>iv)</w:t>
      </w:r>
      <w:r w:rsidRPr="00E14700">
        <w:rPr>
          <w:lang w:val="de-DE"/>
        </w:rPr>
        <w:tab/>
        <w:t>die Veröffentlichung von Informationen über den Präsidenten und den Stellvertretenden Präsidenten des Rates und die Vorsitzenden und Stellvertretenden Vorsitzenden der UPOV-Organe mit den betreffenden Kontaktinformationen, sowie die Veröffentlichung von Photoaufnahmen des Generalsekretärs und des Stellvertretenden Generalsekretärs auf der UPOV-Website so schnell als möglich veranlaßt werde;</w:t>
      </w:r>
    </w:p>
    <w:p w:rsidR="00E14700" w:rsidRPr="00E14700" w:rsidRDefault="00E14700" w:rsidP="00E14700">
      <w:pPr>
        <w:ind w:firstLine="1134"/>
        <w:rPr>
          <w:lang w:val="de-DE"/>
        </w:rPr>
      </w:pPr>
    </w:p>
    <w:p w:rsidR="00E14700" w:rsidRPr="00E14700" w:rsidRDefault="00E14700" w:rsidP="00E14700">
      <w:pPr>
        <w:ind w:firstLine="1134"/>
        <w:rPr>
          <w:lang w:val="de-DE"/>
        </w:rPr>
      </w:pPr>
      <w:r w:rsidRPr="00E14700">
        <w:rPr>
          <w:lang w:val="de-DE"/>
        </w:rPr>
        <w:t>v)</w:t>
      </w:r>
      <w:r w:rsidRPr="00E14700">
        <w:rPr>
          <w:lang w:val="de-DE"/>
        </w:rPr>
        <w:tab/>
        <w:t xml:space="preserve">die </w:t>
      </w:r>
      <w:r w:rsidR="0060618E">
        <w:rPr>
          <w:lang w:val="de-DE"/>
        </w:rPr>
        <w:t>Einrichtung eines UPOV-Kanals</w:t>
      </w:r>
      <w:r w:rsidRPr="00E14700">
        <w:rPr>
          <w:lang w:val="de-DE"/>
        </w:rPr>
        <w:t xml:space="preserve"> auf YouTube für das Hosting der UPOV-Videos zusammen mit der Entwicklung eines kohärenten Images für die UPOV-Publikationen und das betreffende Präsentationsmaterial erfolgen werde, um die Übereinstimmung mit der neu gestalteten UPOV-Website zu gewährleisten;</w:t>
      </w:r>
    </w:p>
    <w:p w:rsidR="00E14700" w:rsidRPr="00E14700" w:rsidRDefault="00E14700" w:rsidP="00E14700">
      <w:pPr>
        <w:rPr>
          <w:lang w:val="de-DE"/>
        </w:rPr>
      </w:pPr>
    </w:p>
    <w:p w:rsidR="00E14700" w:rsidRPr="00E14700" w:rsidRDefault="00E14700" w:rsidP="00E14700">
      <w:pPr>
        <w:rPr>
          <w:lang w:val="de-DE"/>
        </w:rPr>
      </w:pPr>
      <w:r w:rsidRPr="00E14700">
        <w:rPr>
          <w:lang w:val="de-DE"/>
        </w:rPr>
        <w:tab/>
        <w:t>e)</w:t>
      </w:r>
      <w:r w:rsidRPr="00E14700">
        <w:rPr>
          <w:lang w:val="de-DE"/>
        </w:rPr>
        <w:tab/>
        <w:t xml:space="preserve">er </w:t>
      </w:r>
      <w:r w:rsidRPr="00E14700">
        <w:rPr>
          <w:snapToGrid w:val="0"/>
          <w:lang w:val="de-DE"/>
        </w:rPr>
        <w:t xml:space="preserve">vereinbarte, daß </w:t>
      </w:r>
      <w:r w:rsidRPr="00E14700">
        <w:rPr>
          <w:lang w:val="de-DE"/>
        </w:rPr>
        <w:t xml:space="preserve">die Möglichkeit der Nutzung </w:t>
      </w:r>
      <w:r w:rsidRPr="00E14700">
        <w:rPr>
          <w:snapToGrid w:val="0"/>
          <w:lang w:val="de-DE"/>
        </w:rPr>
        <w:t>elektronischer Kommunikationsmittel auf Tagungen auf Grundlage eines vom Verbandsbüro zu erstellenden Dokuments auf seiner vierundachtzigsten Tagung geprüft werden sollte;</w:t>
      </w:r>
    </w:p>
    <w:p w:rsidR="00E14700" w:rsidRPr="00E14700" w:rsidRDefault="00E14700" w:rsidP="00E14700">
      <w:pPr>
        <w:rPr>
          <w:lang w:val="de-DE"/>
        </w:rPr>
      </w:pPr>
    </w:p>
    <w:p w:rsidR="00E14700" w:rsidRPr="00E14700" w:rsidRDefault="00E14700" w:rsidP="00E14700">
      <w:pPr>
        <w:rPr>
          <w:lang w:val="de-DE"/>
        </w:rPr>
      </w:pPr>
      <w:r w:rsidRPr="00E14700">
        <w:rPr>
          <w:lang w:val="de-DE"/>
        </w:rPr>
        <w:tab/>
        <w:t>f)</w:t>
      </w:r>
      <w:r w:rsidRPr="00E14700">
        <w:rPr>
          <w:lang w:val="de-DE"/>
        </w:rPr>
        <w:tab/>
        <w:t xml:space="preserve">er vereinbarte, daß das „Symposium über die Vorteile des Sortenschutzes für Landwirte und Pflanzer”, das am 2. November 2012 in Genf stattfinden soll, vorbehaltlich der erforderlichen Raumkapazitäten dem Publikum offen stehen werde, wobei Teilnehmern von Verbandsmitgliedern, Beobachterstaaten und Beobachterorganisationen Priorität eingeräumt werde; er billigte das Webcasting des Symposiums; </w:t>
      </w:r>
      <w:r w:rsidR="00B47962">
        <w:rPr>
          <w:lang w:val="de-DE"/>
        </w:rPr>
        <w:t xml:space="preserve">er vereinbarte die Erläuterung des Ziels des Symposiums; </w:t>
      </w:r>
      <w:r w:rsidRPr="00E14700">
        <w:rPr>
          <w:lang w:val="de-DE"/>
        </w:rPr>
        <w:t xml:space="preserve">er billigte die Pläne für einen Programmentwurf des Symposiums und befürwortete, daß einer der von der </w:t>
      </w:r>
      <w:r w:rsidR="00010A48" w:rsidRPr="00811B6B">
        <w:rPr>
          <w:i/>
        </w:rPr>
        <w:t>Association for Plant Breeding for the Benefit of Society</w:t>
      </w:r>
      <w:r w:rsidR="00010A48">
        <w:t xml:space="preserve"> (APBREBES)</w:t>
      </w:r>
      <w:r w:rsidRPr="00E14700">
        <w:rPr>
          <w:lang w:val="de-DE"/>
        </w:rPr>
        <w:t xml:space="preserve"> vorgeschlagenen Referenten darin aufgenommen werde, um eine Präsentation in Übereinstimmung mit den Zielen des Symposiums zu halten;</w:t>
      </w:r>
    </w:p>
    <w:p w:rsidR="00E14700" w:rsidRPr="00E14700" w:rsidRDefault="00E14700" w:rsidP="00E14700">
      <w:pPr>
        <w:rPr>
          <w:lang w:val="de-DE"/>
        </w:rPr>
      </w:pPr>
    </w:p>
    <w:p w:rsidR="00E14700" w:rsidRPr="00E14700" w:rsidRDefault="00E14700" w:rsidP="00E14700">
      <w:pPr>
        <w:rPr>
          <w:lang w:val="de-DE"/>
        </w:rPr>
      </w:pPr>
      <w:r w:rsidRPr="00E14700">
        <w:rPr>
          <w:lang w:val="de-DE"/>
        </w:rPr>
        <w:tab/>
        <w:t>g)</w:t>
      </w:r>
      <w:r w:rsidRPr="00E14700">
        <w:rPr>
          <w:lang w:val="de-DE"/>
        </w:rPr>
        <w:tab/>
        <w:t>er ersuchte das Verbandsbüro, ein Dokument über die UPOV-Richtlinien für die Finanzierung von Referenten und Teilnehmern zu erstellen, das auf seiner vierundachtzigsten Tagung am 31. Oktober 2012 in Genf geprüft werden soll;</w:t>
      </w:r>
      <w:r w:rsidR="00B47962">
        <w:rPr>
          <w:lang w:val="de-DE"/>
        </w:rPr>
        <w:t xml:space="preserve"> und</w:t>
      </w:r>
    </w:p>
    <w:p w:rsidR="00E14700" w:rsidRPr="00E14700" w:rsidRDefault="00E14700" w:rsidP="00E14700">
      <w:pPr>
        <w:rPr>
          <w:lang w:val="de-DE"/>
        </w:rPr>
      </w:pPr>
    </w:p>
    <w:p w:rsidR="00E14700" w:rsidRPr="00E14700" w:rsidRDefault="00E14700" w:rsidP="00E14700">
      <w:pPr>
        <w:rPr>
          <w:snapToGrid w:val="0"/>
          <w:lang w:val="de-DE"/>
        </w:rPr>
      </w:pPr>
      <w:r w:rsidRPr="00E14700">
        <w:rPr>
          <w:lang w:val="de-DE"/>
        </w:rPr>
        <w:tab/>
        <w:t>h)</w:t>
      </w:r>
      <w:r w:rsidRPr="00E14700">
        <w:rPr>
          <w:lang w:val="de-DE"/>
        </w:rPr>
        <w:tab/>
      </w:r>
      <w:r w:rsidRPr="00E14700">
        <w:rPr>
          <w:snapToGrid w:val="0"/>
          <w:lang w:val="de-DE"/>
        </w:rPr>
        <w:t>er nahm die Entwicklungen von Belang für die UPOV auf anderen internationalen Foren zur Kenntnis, und</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w:t>
      </w:r>
      <w:r w:rsidRPr="00E14700">
        <w:rPr>
          <w:snapToGrid w:val="0"/>
          <w:lang w:val="de-DE"/>
        </w:rPr>
        <w:tab/>
        <w:t xml:space="preserve">er billigte die Teilnahme des Verbandbüros am </w:t>
      </w:r>
      <w:r w:rsidRPr="00E14700">
        <w:rPr>
          <w:lang w:val="de-DE"/>
        </w:rPr>
        <w:t>WIPO-Rahmen für die Gestaltung entwicklungsförderlicher nationaler Strategien für geistiges Eigentum</w:t>
      </w:r>
      <w:r w:rsidRPr="00E14700">
        <w:rPr>
          <w:snapToGrid w:val="0"/>
          <w:lang w:val="de-DE"/>
        </w:rPr>
        <w:t>;</w:t>
      </w:r>
    </w:p>
    <w:p w:rsidR="00E14700" w:rsidRPr="00E14700" w:rsidRDefault="00E14700" w:rsidP="00E14700">
      <w:pPr>
        <w:rPr>
          <w:snapToGrid w:val="0"/>
          <w:lang w:val="de-DE"/>
        </w:rPr>
      </w:pPr>
    </w:p>
    <w:p w:rsidR="00A512D1" w:rsidRPr="00E14700" w:rsidRDefault="00E14700" w:rsidP="00E14700">
      <w:pPr>
        <w:rPr>
          <w:snapToGrid w:val="0"/>
          <w:lang w:val="de-DE"/>
        </w:rPr>
      </w:pPr>
      <w:r w:rsidRPr="00E14700">
        <w:rPr>
          <w:snapToGrid w:val="0"/>
          <w:lang w:val="de-DE"/>
        </w:rPr>
        <w:tab/>
      </w:r>
      <w:r w:rsidRPr="00E14700">
        <w:rPr>
          <w:snapToGrid w:val="0"/>
          <w:lang w:val="de-DE"/>
        </w:rPr>
        <w:tab/>
        <w:t>ii)</w:t>
      </w:r>
      <w:r w:rsidRPr="00E14700">
        <w:rPr>
          <w:snapToGrid w:val="0"/>
          <w:lang w:val="de-DE"/>
        </w:rPr>
        <w:tab/>
        <w:t xml:space="preserve">er billigte den Beitrag des Verbandsbüros bei der Ausarbeitung des </w:t>
      </w:r>
      <w:r w:rsidR="00F514B4">
        <w:rPr>
          <w:lang w:val="de-DE"/>
        </w:rPr>
        <w:t>WIPO-</w:t>
      </w:r>
      <w:r w:rsidRPr="00E14700">
        <w:rPr>
          <w:lang w:val="de-DE"/>
        </w:rPr>
        <w:t xml:space="preserve">Fragebogens </w:t>
      </w:r>
      <w:r w:rsidR="00B47962" w:rsidRPr="00E14700">
        <w:rPr>
          <w:lang w:val="de-DE"/>
        </w:rPr>
        <w:t>„</w:t>
      </w:r>
      <w:r w:rsidRPr="00E14700">
        <w:rPr>
          <w:lang w:val="de-DE"/>
        </w:rPr>
        <w:t>zur Einschätzung des aktuellen Standes der nationalen Systeme des geistigen Eigentums sowie der strategischen Ziele und Bedürfnisse nach Maßgabe der nationalen Entwicklungsprioritäten</w:t>
      </w:r>
      <w:r w:rsidR="00A512D1" w:rsidRPr="00E14700">
        <w:rPr>
          <w:bCs/>
          <w:lang w:val="de-DE"/>
        </w:rPr>
        <w:t>”</w:t>
      </w:r>
      <w:r w:rsidR="00A512D1" w:rsidRPr="00E14700">
        <w:rPr>
          <w:snapToGrid w:val="0"/>
          <w:lang w:val="de-DE"/>
        </w:rPr>
        <w:t>.</w:t>
      </w:r>
    </w:p>
    <w:p w:rsidR="00A512D1" w:rsidRPr="00E14700" w:rsidRDefault="00A512D1" w:rsidP="00A512D1">
      <w:pPr>
        <w:rPr>
          <w:snapToGrid w:val="0"/>
          <w:lang w:val="de-DE"/>
        </w:rPr>
      </w:pPr>
    </w:p>
    <w:p w:rsidR="00A512D1" w:rsidRPr="00E14700" w:rsidRDefault="004A094B" w:rsidP="00E14700">
      <w:pPr>
        <w:rPr>
          <w:snapToGrid w:val="0"/>
          <w:lang w:val="de-DE"/>
        </w:rPr>
      </w:pPr>
      <w:r w:rsidRPr="006054BD">
        <w:rPr>
          <w:snapToGrid w:val="0"/>
        </w:rPr>
        <w:fldChar w:fldCharType="begin"/>
      </w:r>
      <w:r w:rsidR="00A512D1" w:rsidRPr="00E14700">
        <w:rPr>
          <w:snapToGrid w:val="0"/>
          <w:lang w:val="de-DE"/>
        </w:rPr>
        <w:instrText xml:space="preserve"> AUTONUM  </w:instrText>
      </w:r>
      <w:r w:rsidRPr="006054BD">
        <w:rPr>
          <w:snapToGrid w:val="0"/>
        </w:rPr>
        <w:fldChar w:fldCharType="end"/>
      </w:r>
      <w:r w:rsidR="00A512D1" w:rsidRPr="00E14700">
        <w:rPr>
          <w:snapToGrid w:val="0"/>
          <w:lang w:val="de-DE"/>
        </w:rPr>
        <w:tab/>
      </w:r>
      <w:r w:rsidR="00E14700">
        <w:rPr>
          <w:snapToGrid w:val="0"/>
          <w:lang w:val="de-DE"/>
        </w:rPr>
        <w:t>Ein</w:t>
      </w:r>
      <w:r w:rsidR="00C42086" w:rsidRPr="00E14700">
        <w:rPr>
          <w:snapToGrid w:val="0"/>
          <w:lang w:val="de-DE"/>
        </w:rPr>
        <w:t xml:space="preserve"> </w:t>
      </w:r>
      <w:r w:rsidR="00E14700" w:rsidRPr="00E14700">
        <w:rPr>
          <w:snapToGrid w:val="0"/>
          <w:lang w:val="de-DE"/>
        </w:rPr>
        <w:t>Bericht über die Arbeit der dreiundachtzigsten Tagung des Beratenden Ausschusses ist im Dokument C(Extr.)/29/4 enthalten</w:t>
      </w:r>
      <w:r w:rsidR="00A512D1" w:rsidRPr="00E14700">
        <w:rPr>
          <w:snapToGrid w:val="0"/>
          <w:lang w:val="de-DE"/>
        </w:rPr>
        <w:t>.</w:t>
      </w:r>
    </w:p>
    <w:p w:rsidR="00486779" w:rsidRPr="00E14700" w:rsidRDefault="00486779" w:rsidP="00A512D1">
      <w:pPr>
        <w:rPr>
          <w:snapToGrid w:val="0"/>
          <w:lang w:val="de-DE"/>
        </w:rPr>
      </w:pPr>
    </w:p>
    <w:p w:rsidR="00E14700" w:rsidRPr="00E14700" w:rsidRDefault="004A094B" w:rsidP="00CB4DCF">
      <w:pPr>
        <w:rPr>
          <w:snapToGrid w:val="0"/>
          <w:lang w:val="de-DE"/>
        </w:rPr>
      </w:pPr>
      <w:r w:rsidRPr="006054BD">
        <w:fldChar w:fldCharType="begin"/>
      </w:r>
      <w:r w:rsidR="00B2174D" w:rsidRPr="00E14700">
        <w:rPr>
          <w:lang w:val="de-DE"/>
        </w:rPr>
        <w:instrText xml:space="preserve"> AUTONUM  </w:instrText>
      </w:r>
      <w:r w:rsidRPr="006054BD">
        <w:fldChar w:fldCharType="end"/>
      </w:r>
      <w:r w:rsidR="00E14700">
        <w:rPr>
          <w:lang w:val="de-DE"/>
        </w:rPr>
        <w:tab/>
        <w:t>Der</w:t>
      </w:r>
      <w:r w:rsidR="00B2174D" w:rsidRPr="00E14700">
        <w:rPr>
          <w:lang w:val="de-DE"/>
        </w:rPr>
        <w:t xml:space="preserve"> </w:t>
      </w:r>
      <w:r w:rsidR="00E14700" w:rsidRPr="00E14700">
        <w:rPr>
          <w:snapToGrid w:val="0"/>
          <w:lang w:val="de-DE"/>
        </w:rPr>
        <w:t>Beratende Ausschuß hi</w:t>
      </w:r>
      <w:r w:rsidR="00B47962">
        <w:rPr>
          <w:snapToGrid w:val="0"/>
          <w:lang w:val="de-DE"/>
        </w:rPr>
        <w:t>e</w:t>
      </w:r>
      <w:r w:rsidR="00E14700" w:rsidRPr="00E14700">
        <w:rPr>
          <w:snapToGrid w:val="0"/>
          <w:lang w:val="de-DE"/>
        </w:rPr>
        <w:t xml:space="preserve">lt seine vierundachzigste Tagung am 31. Oktober 2012 </w:t>
      </w:r>
      <w:r w:rsidR="00E14700" w:rsidRPr="00E14700">
        <w:rPr>
          <w:lang w:val="de-DE"/>
        </w:rPr>
        <w:t xml:space="preserve">unter dem Vorsitz von Herrn Choi Keun Jin (Republik Korea) ab. Auf dieser Tagung befaßte sich der </w:t>
      </w:r>
      <w:r w:rsidR="00E14700" w:rsidRPr="00E14700">
        <w:rPr>
          <w:snapToGrid w:val="0"/>
          <w:lang w:val="de-DE"/>
        </w:rPr>
        <w:t xml:space="preserve">Beratende Ausschuß nebst der vorläufigen Prüfung des </w:t>
      </w:r>
      <w:r w:rsidR="000E131D">
        <w:rPr>
          <w:snapToGrid w:val="0"/>
          <w:lang w:val="de-DE"/>
        </w:rPr>
        <w:t>Gesetzesentwurfs von Ghana über Pflanzenzüchter</w:t>
      </w:r>
      <w:r w:rsidR="00E14700" w:rsidRPr="00E14700">
        <w:rPr>
          <w:snapToGrid w:val="0"/>
          <w:lang w:val="de-DE"/>
        </w:rPr>
        <w:t xml:space="preserve"> und dem </w:t>
      </w:r>
      <w:r w:rsidR="000E131D">
        <w:rPr>
          <w:snapToGrid w:val="0"/>
          <w:lang w:val="de-DE"/>
        </w:rPr>
        <w:t>Gesetzesentwurfs von Kontinentaltansania über Pflanzenzüchterrechte</w:t>
      </w:r>
      <w:r w:rsidR="00E14700" w:rsidRPr="00E14700">
        <w:rPr>
          <w:snapToGrid w:val="0"/>
          <w:lang w:val="de-DE"/>
        </w:rPr>
        <w:t xml:space="preserve"> (vergleiche Absatz 10a) oben)</w:t>
      </w:r>
      <w:r w:rsidR="00CB4DCF">
        <w:rPr>
          <w:snapToGrid w:val="0"/>
          <w:lang w:val="de-DE"/>
        </w:rPr>
        <w:t>,</w:t>
      </w:r>
      <w:r w:rsidR="00E14700" w:rsidRPr="00E14700">
        <w:rPr>
          <w:snapToGrid w:val="0"/>
          <w:lang w:val="de-DE"/>
        </w:rPr>
        <w:t xml:space="preserve"> der Erteilung </w:t>
      </w:r>
      <w:r w:rsidR="00CB4DCF">
        <w:rPr>
          <w:snapToGrid w:val="0"/>
          <w:lang w:val="de-DE"/>
        </w:rPr>
        <w:t>von</w:t>
      </w:r>
      <w:r w:rsidR="00E14700" w:rsidRPr="00E14700">
        <w:rPr>
          <w:snapToGrid w:val="0"/>
          <w:lang w:val="de-DE"/>
        </w:rPr>
        <w:t xml:space="preserve"> Beratung an den Rat über die Annahme von Dokumenten (vergleiche Absatz 10c) oben) und </w:t>
      </w:r>
      <w:r w:rsidR="00CB4DCF">
        <w:rPr>
          <w:snapToGrid w:val="0"/>
          <w:lang w:val="de-DE"/>
        </w:rPr>
        <w:t xml:space="preserve">dem Entwurf einer Pressemitteilung </w:t>
      </w:r>
      <w:r w:rsidR="000B4E37">
        <w:rPr>
          <w:snapToGrid w:val="0"/>
          <w:lang w:val="de-DE"/>
        </w:rPr>
        <w:t>mit folgenden Angelegenheiten</w:t>
      </w:r>
      <w:r w:rsidR="00E14700" w:rsidRPr="00E14700">
        <w:rPr>
          <w:snapToGrid w:val="0"/>
          <w:lang w:val="de-DE"/>
        </w:rPr>
        <w:t>:</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a)</w:t>
      </w:r>
      <w:r w:rsidRPr="00E14700">
        <w:rPr>
          <w:snapToGrid w:val="0"/>
          <w:lang w:val="de-DE"/>
        </w:rPr>
        <w:tab/>
        <w:t xml:space="preserve">er nahm die Entwicklungen bezüglich des Zugangs zu UPOV-Dokumenten und der Veröffentlichung von Information zur Kenntnis und befaßte sich insbesondere </w:t>
      </w:r>
      <w:r w:rsidR="000B4E37">
        <w:rPr>
          <w:snapToGrid w:val="0"/>
          <w:lang w:val="de-DE"/>
        </w:rPr>
        <w:t>mit folgenden Angelegenheiten</w:t>
      </w:r>
      <w:r w:rsidRPr="00E14700">
        <w:rPr>
          <w:snapToGrid w:val="0"/>
          <w:lang w:val="de-DE"/>
        </w:rPr>
        <w:t>:</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w:t>
      </w:r>
      <w:r w:rsidRPr="00E14700">
        <w:rPr>
          <w:snapToGrid w:val="0"/>
          <w:lang w:val="de-DE"/>
        </w:rPr>
        <w:tab/>
        <w:t>er nahm die neuen Funktionen der PLUTO-Datenbank für Pflanzensorten zur Kenntnis. Insbesondere nahm er zur Kenntnis, daß die Anforderung an die Nutzer, sich zu registrieren, um die PLUTO-Datenbank nutzen zu können, auf die GENIE-Datenbank ausgeweitet werde</w:t>
      </w:r>
      <w:r w:rsidR="00F514B4">
        <w:rPr>
          <w:snapToGrid w:val="0"/>
          <w:lang w:val="de-DE"/>
        </w:rPr>
        <w:t>,</w:t>
      </w:r>
      <w:r w:rsidRPr="00E14700">
        <w:rPr>
          <w:snapToGrid w:val="0"/>
          <w:lang w:val="de-DE"/>
        </w:rPr>
        <w:t xml:space="preserve"> und daß das Registrierungsverfahren dazu verwendet werde, von den Nutzern die Annerkennung der jeweiligen Haftungsausschlüsse für diese Datenbanken zu erfordern. Er nahm ferner zur Kenntnis, daß die Anforderung an die Nutzer, sich zu registrieren, um die PLUTO-Datenbank nutzen zu können, im November 2012 umgesetzt werde;</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ii)</w:t>
      </w:r>
      <w:r w:rsidRPr="00E14700">
        <w:rPr>
          <w:snapToGrid w:val="0"/>
          <w:lang w:val="de-DE"/>
        </w:rPr>
        <w:tab/>
        <w:t xml:space="preserve">er nahm zur Kenntnis, daß der TC vereinbart hat, daß allen früher angenommenen Fassungen von Prüfungsrichtlinien ein Deckblatt, auf dem ihr Status angezeigt wird, hinzugefügt werden soll, bevor diese Dokumente auf der UPOV-Website veröffentlicht werden; </w:t>
      </w:r>
    </w:p>
    <w:p w:rsidR="00E14700" w:rsidRPr="00E14700" w:rsidRDefault="00E14700" w:rsidP="00E14700">
      <w:pPr>
        <w:rPr>
          <w:snapToGrid w:val="0"/>
          <w:lang w:val="de-DE"/>
        </w:rPr>
      </w:pPr>
    </w:p>
    <w:p w:rsidR="00E14700" w:rsidRPr="00E14700" w:rsidRDefault="00E14700" w:rsidP="00B47962">
      <w:pPr>
        <w:rPr>
          <w:snapToGrid w:val="0"/>
          <w:lang w:val="de-DE"/>
        </w:rPr>
      </w:pPr>
      <w:r w:rsidRPr="00E14700">
        <w:rPr>
          <w:snapToGrid w:val="0"/>
          <w:lang w:val="de-DE"/>
        </w:rPr>
        <w:tab/>
      </w:r>
      <w:r w:rsidRPr="00E14700">
        <w:rPr>
          <w:snapToGrid w:val="0"/>
          <w:lang w:val="de-DE"/>
        </w:rPr>
        <w:tab/>
        <w:t>iii)</w:t>
      </w:r>
      <w:r w:rsidRPr="00E14700">
        <w:rPr>
          <w:snapToGrid w:val="0"/>
          <w:lang w:val="de-DE"/>
        </w:rPr>
        <w:tab/>
      </w:r>
      <w:r w:rsidR="00B47962">
        <w:rPr>
          <w:snapToGrid w:val="0"/>
          <w:lang w:val="de-DE"/>
        </w:rPr>
        <w:t xml:space="preserve">er </w:t>
      </w:r>
      <w:r w:rsidRPr="00E14700">
        <w:rPr>
          <w:snapToGrid w:val="0"/>
          <w:lang w:val="de-DE"/>
        </w:rPr>
        <w:t>vereinbarte auf seiner fünfundachtzigsten Tagung im März 2013 einen Vorschlag zur Überarbeitung des Textes für den Haftungsausschluß, wie in dem Bereich „UPOV-Tagungen“ auf der UPOV-Website vorgestellt, um auf Dokumente zu verweisen, die vom Rat angenommen wurden und derzeit in Kraft sind, und die Möglichkeit, jedem UPOV-Tagungsdokument einen Haftungsausschluß, der auf den Status von diesen Dokumenten hinweist, hinzuzufügen, zu prüfen;</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iv)</w:t>
      </w:r>
      <w:r w:rsidRPr="00E14700">
        <w:rPr>
          <w:snapToGrid w:val="0"/>
          <w:lang w:val="de-DE"/>
        </w:rPr>
        <w:tab/>
      </w:r>
      <w:r w:rsidR="00B47962">
        <w:rPr>
          <w:snapToGrid w:val="0"/>
          <w:lang w:val="de-DE"/>
        </w:rPr>
        <w:t xml:space="preserve">er </w:t>
      </w:r>
      <w:r w:rsidRPr="00E14700">
        <w:rPr>
          <w:snapToGrid w:val="0"/>
          <w:lang w:val="de-DE"/>
        </w:rPr>
        <w:t>nahm zur Kenntnis, daß die Ressourcen des Verbandsbüros das Einscannen und Bereitstellen auf der UPOV-Website von bedeutenden, nur in Papierform vorliegenden Dokumenten bisher nicht erlaubt hätten, und daß das Verbandsbüro auch weiterhin die korrekte Aufnahme von Dokumenten in die neu gestaltete UPOV-Website prüfe;</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v)</w:t>
      </w:r>
      <w:r w:rsidRPr="00E14700">
        <w:rPr>
          <w:snapToGrid w:val="0"/>
          <w:lang w:val="de-DE"/>
        </w:rPr>
        <w:tab/>
        <w:t>er nahm zur Kenntnis, daß UPOV Lex dahingehend geändert worden sei, daß offizielle Mitteilungen von Verbandsmitglied</w:t>
      </w:r>
      <w:r w:rsidR="00B47962">
        <w:rPr>
          <w:snapToGrid w:val="0"/>
          <w:lang w:val="de-DE"/>
        </w:rPr>
        <w:t>ern über Pflanzengattungen und -</w:t>
      </w:r>
      <w:r w:rsidRPr="00E14700">
        <w:rPr>
          <w:snapToGrid w:val="0"/>
          <w:lang w:val="de-DE"/>
        </w:rPr>
        <w:t>arten aufgenommen werden könnten, und bis November 2012 alle von Verbandsmitgliedern in Antwort auf die im Dezember 2011 erfolgte Aufforderung bereitgestellten Informationen enthalten werde;</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vi)</w:t>
      </w:r>
      <w:r w:rsidRPr="00E14700">
        <w:rPr>
          <w:snapToGrid w:val="0"/>
          <w:lang w:val="de-DE"/>
        </w:rPr>
        <w:tab/>
        <w:t>er nahm zur Kenntnis, daß die Ressourcen des Verbandsbüros die Bereitstellung des Datums der Erteilung des Beobachterstatus in der Liste der Beobachter bei UPOV-Organen auf der UPOV-Website bisher noch nicht erlaubt hätten;</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vii)</w:t>
      </w:r>
      <w:r w:rsidRPr="00E14700">
        <w:rPr>
          <w:snapToGrid w:val="0"/>
          <w:lang w:val="de-DE"/>
        </w:rPr>
        <w:tab/>
        <w:t>er nahm zur Kenntnis, daß in Verbindung mit der Veröffentlichung der Informationen über den Präsidenten und stellvertretenden Präsidenten des Rates und über die Vorsitzenden und stellvertretenden Vorsitzenden der UPOV-Organe die betreffenden Kontaktinformationen und Fotoaufnahmen des Generalsekretärs und des stellvertretenden Generalsekretärs im Oktober 2012 auf der UPOV-Website veröffentlicht worden seien;</w:t>
      </w:r>
    </w:p>
    <w:p w:rsidR="00E14700" w:rsidRPr="00E14700" w:rsidRDefault="00E14700" w:rsidP="00E14700">
      <w:pPr>
        <w:rPr>
          <w:snapToGrid w:val="0"/>
          <w:lang w:val="de-DE"/>
        </w:rPr>
      </w:pPr>
    </w:p>
    <w:p w:rsidR="00E14700" w:rsidRPr="00E14700" w:rsidRDefault="00E14700" w:rsidP="0060618E">
      <w:pPr>
        <w:rPr>
          <w:snapToGrid w:val="0"/>
          <w:lang w:val="de-DE"/>
        </w:rPr>
      </w:pPr>
      <w:r w:rsidRPr="00E14700">
        <w:rPr>
          <w:snapToGrid w:val="0"/>
          <w:lang w:val="de-DE"/>
        </w:rPr>
        <w:tab/>
      </w:r>
      <w:r w:rsidRPr="00E14700">
        <w:rPr>
          <w:snapToGrid w:val="0"/>
          <w:lang w:val="de-DE"/>
        </w:rPr>
        <w:tab/>
        <w:t>viii)</w:t>
      </w:r>
      <w:r w:rsidRPr="00E14700">
        <w:rPr>
          <w:snapToGrid w:val="0"/>
          <w:lang w:val="de-DE"/>
        </w:rPr>
        <w:tab/>
        <w:t xml:space="preserve">er nahm den Bericht über das Vorhaben der Einrichtung eines UPOV-Kanals auf YouTube zur Kenntnis und ersuchte das Verbandsbüro, einen Entwurf einer Kommunikationsstrategie, </w:t>
      </w:r>
      <w:r w:rsidR="0060618E">
        <w:rPr>
          <w:snapToGrid w:val="0"/>
          <w:lang w:val="de-DE"/>
        </w:rPr>
        <w:t>die</w:t>
      </w:r>
      <w:r w:rsidRPr="00E14700">
        <w:rPr>
          <w:snapToGrid w:val="0"/>
          <w:lang w:val="de-DE"/>
        </w:rPr>
        <w:t xml:space="preserve"> die mögliche Nutzung sozialer Medien umfaßt, zur Prüfung durch den Beratenden Ausschuß auf seiner fünfundachtzigsten Tagung im März 2013 zu erstellen;</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ix)</w:t>
      </w:r>
      <w:r w:rsidRPr="00E14700">
        <w:rPr>
          <w:snapToGrid w:val="0"/>
          <w:lang w:val="de-DE"/>
        </w:rPr>
        <w:tab/>
        <w:t>er nahm das vorläufige Programm für das „Symposium über die Vorteile des Sortenschutzes für Landwirte und Pflanzer“ zur Kenntnis;</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x)</w:t>
      </w:r>
      <w:r w:rsidRPr="00E14700">
        <w:rPr>
          <w:snapToGrid w:val="0"/>
          <w:lang w:val="de-DE"/>
        </w:rPr>
        <w:tab/>
        <w:t>er nahm zur Kenntnis, daß die Beiträge zum „Symposium über Pflanzenzucht für die Zukunft” zusammen mit den Programmaktivitäten für den fünfzigsten Jahrestag in einem Dokument zusammengestellt worden seien und den Teilnehmern auf der sechsundvierzigsten Tag</w:t>
      </w:r>
      <w:r w:rsidR="00B47962">
        <w:rPr>
          <w:snapToGrid w:val="0"/>
          <w:lang w:val="de-DE"/>
        </w:rPr>
        <w:t>ung des Rates überreicht würden;</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xi)</w:t>
      </w:r>
      <w:r w:rsidRPr="00E14700">
        <w:rPr>
          <w:snapToGrid w:val="0"/>
          <w:lang w:val="de-DE"/>
        </w:rPr>
        <w:tab/>
        <w:t>er nahm zur Kenntnis, daß Anfang 2013 e</w:t>
      </w:r>
      <w:r w:rsidR="0060618E">
        <w:rPr>
          <w:snapToGrid w:val="0"/>
          <w:lang w:val="de-DE"/>
        </w:rPr>
        <w:t>ine Publikation herausgegeben wü</w:t>
      </w:r>
      <w:r w:rsidRPr="00E14700">
        <w:rPr>
          <w:snapToGrid w:val="0"/>
          <w:lang w:val="de-DE"/>
        </w:rPr>
        <w:t>rde, in der die Beiträge zum „UPOV-Seminar über Sortenschutz und Technologietransfer: Vorteile öffentlich-privater Partnerschaften“, zum „Symposium über Pflanzenzucht für die Zukunft“ und zum „Symposium über die Vorteile des Sortenschutzes für Landwirte und Pflanzer” zusammengefaßt sind, und daß alle diese Beiträge zudem auf der UPOV-Website veröffentlicht würden;</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b)</w:t>
      </w:r>
      <w:r w:rsidRPr="00E14700">
        <w:rPr>
          <w:snapToGrid w:val="0"/>
          <w:lang w:val="de-DE"/>
        </w:rPr>
        <w:tab/>
        <w:t xml:space="preserve">er nahm die Nutzung elektronischer Kommunikationsmittel für Tagungen zur Kenntnis und befaßte sich </w:t>
      </w:r>
      <w:r w:rsidR="0060618E">
        <w:rPr>
          <w:snapToGrid w:val="0"/>
          <w:lang w:val="de-DE"/>
        </w:rPr>
        <w:t xml:space="preserve">dabei </w:t>
      </w:r>
      <w:r w:rsidRPr="00E14700">
        <w:rPr>
          <w:snapToGrid w:val="0"/>
          <w:lang w:val="de-DE"/>
        </w:rPr>
        <w:t xml:space="preserve">insbesondere </w:t>
      </w:r>
      <w:r w:rsidR="000B4E37">
        <w:rPr>
          <w:snapToGrid w:val="0"/>
          <w:lang w:val="de-DE"/>
        </w:rPr>
        <w:t>mit folgenden Angelegenheiten</w:t>
      </w:r>
      <w:r w:rsidRPr="00E14700">
        <w:rPr>
          <w:snapToGrid w:val="0"/>
          <w:lang w:val="de-DE"/>
        </w:rPr>
        <w:t>:</w:t>
      </w:r>
    </w:p>
    <w:p w:rsidR="00E14700" w:rsidRPr="00E14700" w:rsidRDefault="00E14700" w:rsidP="00E14700">
      <w:pPr>
        <w:rPr>
          <w:snapToGrid w:val="0"/>
          <w:lang w:val="de-DE"/>
        </w:rPr>
      </w:pPr>
    </w:p>
    <w:p w:rsidR="00E14700" w:rsidRPr="00E14700" w:rsidRDefault="00E14700" w:rsidP="00B47962">
      <w:pPr>
        <w:rPr>
          <w:snapToGrid w:val="0"/>
          <w:lang w:val="de-DE"/>
        </w:rPr>
      </w:pPr>
      <w:r w:rsidRPr="00E14700">
        <w:rPr>
          <w:snapToGrid w:val="0"/>
          <w:lang w:val="de-DE"/>
        </w:rPr>
        <w:tab/>
      </w:r>
      <w:r w:rsidRPr="00E14700">
        <w:rPr>
          <w:snapToGrid w:val="0"/>
          <w:lang w:val="de-DE"/>
        </w:rPr>
        <w:tab/>
        <w:t>i)</w:t>
      </w:r>
      <w:r w:rsidRPr="00E14700">
        <w:rPr>
          <w:snapToGrid w:val="0"/>
          <w:lang w:val="de-DE"/>
        </w:rPr>
        <w:tab/>
      </w:r>
      <w:r w:rsidR="0060618E">
        <w:rPr>
          <w:snapToGrid w:val="0"/>
          <w:lang w:val="de-DE"/>
        </w:rPr>
        <w:t xml:space="preserve">er </w:t>
      </w:r>
      <w:r w:rsidRPr="00E14700">
        <w:rPr>
          <w:snapToGrid w:val="0"/>
          <w:lang w:val="de-DE"/>
        </w:rPr>
        <w:t>nahm den Einsatz von Webkonferenzen durch den TC-EDC, die TWP und das Verbandsbüro zur Kenntnis und billigte die Nutzung von Webkonferenzen durch die UPOV-Organe, sofern von den betreffenden UPOV-Organen als zweckmäßig erachtet, um die Teilnahme von Verbandsmitgliedern und Beobachtern in Einklang mit den bestehenden Verfahren zu erleichtern, und durch das Verbandsbüro</w:t>
      </w:r>
      <w:r w:rsidR="0060618E">
        <w:rPr>
          <w:snapToGrid w:val="0"/>
          <w:lang w:val="de-DE"/>
        </w:rPr>
        <w:t>,</w:t>
      </w:r>
      <w:r w:rsidRPr="00E14700">
        <w:rPr>
          <w:snapToGrid w:val="0"/>
          <w:lang w:val="de-DE"/>
        </w:rPr>
        <w:t xml:space="preserve"> um die Teilnahme der zu seinen Sitzungen eingeladenen Teilnehmer, sofern vom Verbandsbüro als zweckmäßig erachtet, zu erleichtern;</w:t>
      </w:r>
    </w:p>
    <w:p w:rsidR="00E14700" w:rsidRPr="00E14700" w:rsidRDefault="00E14700" w:rsidP="00E14700">
      <w:pPr>
        <w:rPr>
          <w:snapToGrid w:val="0"/>
          <w:lang w:val="de-DE"/>
        </w:rPr>
      </w:pPr>
    </w:p>
    <w:p w:rsidR="00E14700" w:rsidRPr="00E14700" w:rsidRDefault="00E14700" w:rsidP="00B47962">
      <w:pPr>
        <w:rPr>
          <w:snapToGrid w:val="0"/>
          <w:lang w:val="de-DE"/>
        </w:rPr>
      </w:pPr>
      <w:r w:rsidRPr="00E14700">
        <w:rPr>
          <w:snapToGrid w:val="0"/>
          <w:lang w:val="de-DE"/>
        </w:rPr>
        <w:tab/>
      </w:r>
      <w:r w:rsidRPr="00E14700">
        <w:rPr>
          <w:snapToGrid w:val="0"/>
          <w:lang w:val="de-DE"/>
        </w:rPr>
        <w:tab/>
        <w:t>ii)</w:t>
      </w:r>
      <w:r w:rsidRPr="00E14700">
        <w:rPr>
          <w:snapToGrid w:val="0"/>
          <w:lang w:val="de-DE"/>
        </w:rPr>
        <w:tab/>
        <w:t>er billigte die Nutzung von Webcastings der Tagungen der UPOV-Organe, die im Einklang mit bestehenden Verfahren nur von Verbandsmitgliedern und Beobachtern angesehen werden dürfen, sofern vom betreffenden UPOV-Organ als zweckmäßig erachtet. In Einklang mit diesen Verfahren erfolge das Ansehen eines Webcasts dann mittels eines Paßworts, das den jeweiligen Personen in den maßgeblichen UPOV-Organen erteilt werde, und werde die Teilnahme vom Verbandsbüro kontrolliert.</w:t>
      </w:r>
    </w:p>
    <w:p w:rsidR="00E14700" w:rsidRPr="00E14700" w:rsidRDefault="00E14700" w:rsidP="00E14700">
      <w:pPr>
        <w:rPr>
          <w:snapToGrid w:val="0"/>
          <w:lang w:val="de-DE"/>
        </w:rPr>
      </w:pPr>
      <w:r w:rsidRPr="00E14700">
        <w:rPr>
          <w:snapToGrid w:val="0"/>
          <w:lang w:val="de-DE"/>
        </w:rPr>
        <w:t>In allen anderen Fällen von Webcasting solle der Beratende Ausschuß darum ersucht werden, alle Vorkehrungen für ein mögliches Webcasting zu billigen. Er vereinbarte ferner, daß das Webcasting des „Symposiums über die Vorteile des Sortenschutzes für Landwirte und Pflanzer“ am 2. November 2012 in Genf nach entsprechender Übertragungsverzögerung auf der UPOV-Website zur Verfügung gestellt werden solle;</w:t>
      </w:r>
    </w:p>
    <w:p w:rsidR="00E14700" w:rsidRPr="00E14700" w:rsidRDefault="00E14700" w:rsidP="00E14700">
      <w:pPr>
        <w:rPr>
          <w:snapToGrid w:val="0"/>
          <w:lang w:val="de-DE"/>
        </w:rPr>
      </w:pPr>
    </w:p>
    <w:p w:rsidR="00E14700" w:rsidRPr="00E14700" w:rsidRDefault="00E14700" w:rsidP="0060618E">
      <w:pPr>
        <w:rPr>
          <w:snapToGrid w:val="0"/>
          <w:lang w:val="de-DE"/>
        </w:rPr>
      </w:pPr>
      <w:r w:rsidRPr="00E14700">
        <w:rPr>
          <w:snapToGrid w:val="0"/>
          <w:lang w:val="de-DE"/>
        </w:rPr>
        <w:tab/>
        <w:t>c)</w:t>
      </w:r>
      <w:r w:rsidRPr="00E14700">
        <w:rPr>
          <w:snapToGrid w:val="0"/>
          <w:lang w:val="de-DE"/>
        </w:rPr>
        <w:tab/>
        <w:t>er nahm zur Kenntnis, daß der fortgeschrittene Fernlehrgang DL-305 „Prüfung von Anträgen auf Erteilung von Züchterrechten“ ein zusätzliches Modul über „Prüfungsanlage und Datenanalyse“ enthalten werde und billigte die Vorhaben für die Lancierung des fortgeschrittenen Fernlehrgangs DL-305; er nahm ferner zur Kenntnis, daß eine Absichtserklärung und ein Vorvertrag zwischen der UPOV und Naktuinbouw für die Entwicklung der Module in Abschnitt IV „DUS-Prüfung“ unterzeichnet w</w:t>
      </w:r>
      <w:r w:rsidR="0060618E">
        <w:rPr>
          <w:snapToGrid w:val="0"/>
          <w:lang w:val="de-DE"/>
        </w:rPr>
        <w:t>ü</w:t>
      </w:r>
      <w:r w:rsidRPr="00E14700">
        <w:rPr>
          <w:snapToGrid w:val="0"/>
          <w:lang w:val="de-DE"/>
        </w:rPr>
        <w:t>rden;</w:t>
      </w:r>
    </w:p>
    <w:p w:rsidR="00E14700" w:rsidRPr="00E14700" w:rsidRDefault="00E14700" w:rsidP="00E14700">
      <w:pPr>
        <w:rPr>
          <w:snapToGrid w:val="0"/>
          <w:lang w:val="de-DE"/>
        </w:rPr>
      </w:pPr>
    </w:p>
    <w:p w:rsidR="00E14700" w:rsidRPr="00E14700" w:rsidRDefault="00E14700" w:rsidP="00B47962">
      <w:pPr>
        <w:rPr>
          <w:snapToGrid w:val="0"/>
          <w:lang w:val="de-DE"/>
        </w:rPr>
      </w:pPr>
      <w:r w:rsidRPr="00E14700">
        <w:rPr>
          <w:snapToGrid w:val="0"/>
          <w:lang w:val="de-DE"/>
        </w:rPr>
        <w:tab/>
        <w:t>d)</w:t>
      </w:r>
      <w:r w:rsidRPr="00E14700">
        <w:rPr>
          <w:snapToGrid w:val="0"/>
          <w:lang w:val="de-DE"/>
        </w:rPr>
        <w:tab/>
        <w:t xml:space="preserve">er nahm die Vorführung des Prototyps der Webseite „Unterstützung“ auf seiner vierundachtzigsten Tagung zur Kenntnis und billigte die Lancierung der Webseite „Unterstützung” auf der Grundlage des Prototyps in einem Bereich der UPOV-Website, der über den eingeschränkten Bereich und über einen gesonderten Link sowie ein Paßwort, das jedem Vertreter und Stellvertreter jedes Verbandsmitglieds im Rat erteilt werde, zugänglich sein werde; er nahm auch zur Kenntnis, daß Vorschläge zur Entwicklung der Abschnitte „Gesuche um Unterstützung für die Entwicklung des Sortenschutzes“ und „Berichte über Unterstützung“ zu einem späteren Zeitpunkt unterbreitet würden; </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e)</w:t>
      </w:r>
      <w:r w:rsidRPr="00E14700">
        <w:rPr>
          <w:snapToGrid w:val="0"/>
          <w:lang w:val="de-DE"/>
        </w:rPr>
        <w:tab/>
        <w:t>er empfahl dem Rat, den Rechnungsabschluß für die Rechnungsperiode 2010-2011 zu billigen und nahm den Bericht des Rechnungsprüfers für die Rechnungsperiode 2010-2011 zur Kenntnis; er nahm die Informationen betreffend den Reservefonds in bezug auf die Rechnungsperiode 2010-2011 sowie die erwartete Situation in bezug auf die Reserven am Ende der Rechnungsperiode 2012-2013 auf der Grundlage des Geschäftsergebnisses der Rechnungsperiode 2010-2011, des Programms und Haushaltsplans für die Rechnungsperiode 2012-2013 und der Einführung der internationalen Rechnungslegungsstandards für den öffentlichen Sektor (International Public Sector Accounting Standards (IPSAS)) zur Kenntnis;</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f)</w:t>
      </w:r>
      <w:r w:rsidRPr="00E14700">
        <w:rPr>
          <w:snapToGrid w:val="0"/>
          <w:lang w:val="de-DE"/>
        </w:rPr>
        <w:tab/>
        <w:t>er nahm den Stand der Beitragszahlungen zum 30. September 2012 sowie die Information, daß Belarus, Italien, Marokko, Panama und Spanien aufgrund kürzlich getätigter Zahlung keine Rückstände hätten, zur Kenntnis;</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g)</w:t>
      </w:r>
      <w:r w:rsidRPr="00E14700">
        <w:rPr>
          <w:snapToGrid w:val="0"/>
          <w:lang w:val="de-DE"/>
        </w:rPr>
        <w:tab/>
        <w:t>er nahm zur Kenntnis, daß die UPOV vorsehe, die Grundsätze der WIPO für die Finanzierung der Kosten Dritter zu befolgen, mit den Ausnahmen, daß die UPOV die Kosten für Flugreisen weiterhin nur für die Economy-Klasse übernehme, weiterhin ein reduziertes Tagegeld zahle, das sich vom Tagegeldsatz der WIPO unterscheide, wenn die UPOV Vorkehrungen für die direkte Bezahlung der Unterkunft treffe, darum ersuche, daß relevante Dritte aus dem Privatsektor zur Teilnahme auf eigene Kosten ermuntert werden sollen, jedoch, falls vom Verbandsbüro als angemessen angesehen, die Reisekosten und damit verbundene Kosten übernehme und weiterhin keine Honorare zahle;</w:t>
      </w:r>
    </w:p>
    <w:p w:rsidR="00E14700" w:rsidRPr="00E14700" w:rsidRDefault="00E14700" w:rsidP="00E14700">
      <w:pPr>
        <w:rPr>
          <w:snapToGrid w:val="0"/>
          <w:lang w:val="de-DE"/>
        </w:rPr>
      </w:pPr>
    </w:p>
    <w:p w:rsidR="00E14700" w:rsidRPr="00E14700" w:rsidRDefault="00E14700" w:rsidP="00B47962">
      <w:pPr>
        <w:rPr>
          <w:snapToGrid w:val="0"/>
          <w:lang w:val="de-DE"/>
        </w:rPr>
      </w:pPr>
      <w:r w:rsidRPr="00E14700">
        <w:rPr>
          <w:snapToGrid w:val="0"/>
          <w:lang w:val="de-DE"/>
        </w:rPr>
        <w:tab/>
        <w:t>h)</w:t>
      </w:r>
      <w:r w:rsidRPr="00E14700">
        <w:rPr>
          <w:snapToGrid w:val="0"/>
          <w:lang w:val="de-DE"/>
        </w:rPr>
        <w:tab/>
        <w:t xml:space="preserve">nahm Angelegenheiten bezüglich Beobachtern in UPOV-Organen zur Kenntnis und befaßte sich insbesondere </w:t>
      </w:r>
      <w:r w:rsidR="000B4E37">
        <w:rPr>
          <w:snapToGrid w:val="0"/>
          <w:lang w:val="de-DE"/>
        </w:rPr>
        <w:t>mit folgenden Angelegenheiten</w:t>
      </w:r>
      <w:r w:rsidRPr="00E14700">
        <w:rPr>
          <w:snapToGrid w:val="0"/>
          <w:lang w:val="de-DE"/>
        </w:rPr>
        <w:t>:</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w:t>
      </w:r>
      <w:r w:rsidRPr="00E14700">
        <w:rPr>
          <w:snapToGrid w:val="0"/>
          <w:lang w:val="de-DE"/>
        </w:rPr>
        <w:tab/>
      </w:r>
      <w:r w:rsidR="0060618E">
        <w:rPr>
          <w:snapToGrid w:val="0"/>
          <w:lang w:val="de-DE"/>
        </w:rPr>
        <w:t xml:space="preserve">er </w:t>
      </w:r>
      <w:r w:rsidRPr="00E14700">
        <w:rPr>
          <w:snapToGrid w:val="0"/>
          <w:lang w:val="de-DE"/>
        </w:rPr>
        <w:t>nahm die Erteilung des Beobachterstatus an Ghana im TC und in den TWP zur Kenntnis;</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ii)</w:t>
      </w:r>
      <w:r w:rsidRPr="00E14700">
        <w:rPr>
          <w:snapToGrid w:val="0"/>
          <w:lang w:val="de-DE"/>
        </w:rPr>
        <w:tab/>
        <w:t>er war der Auffassung, daß die Namensänderung von „</w:t>
      </w:r>
      <w:r w:rsidR="00010A48" w:rsidRPr="00254F88">
        <w:rPr>
          <w:i/>
          <w:snapToGrid w:val="0"/>
          <w:lang w:val="de-DE"/>
        </w:rPr>
        <w:t>Association for Plant Breeding for the Benefit of Society</w:t>
      </w:r>
      <w:r w:rsidRPr="00E14700">
        <w:rPr>
          <w:snapToGrid w:val="0"/>
          <w:lang w:val="de-DE"/>
        </w:rPr>
        <w:t>“ (APBREBES) in „</w:t>
      </w:r>
      <w:r w:rsidRPr="00254F88">
        <w:rPr>
          <w:i/>
          <w:snapToGrid w:val="0"/>
          <w:lang w:val="de-DE"/>
        </w:rPr>
        <w:t>Seeds for All</w:t>
      </w:r>
      <w:r w:rsidRPr="00E14700">
        <w:rPr>
          <w:snapToGrid w:val="0"/>
          <w:lang w:val="de-DE"/>
        </w:rPr>
        <w:t>“ (Saatgut für alle), ohne weitere wesentlichen Änderungen von Zweck oder Satzung, im Grunde keine Auswirkungen auf den Beobachterstatus von APBREBES habe. Die Angelegenheit müsse jedoch vom Beratenden Ausschuß geprüft werden, wenn APBREBES dem Verbandsbüro jegliche Änderungen der Satzung von APBREBES zur Kenntnis bringe;</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i)</w:t>
      </w:r>
      <w:r w:rsidRPr="00E14700">
        <w:rPr>
          <w:snapToGrid w:val="0"/>
          <w:lang w:val="de-DE"/>
        </w:rPr>
        <w:tab/>
        <w:t>er billigte die Veröffentlichung eines Dokuments mit der Liste von UPOV-Mitgliedern, der Liste von Staaten und zwischenstaatlichen Organisationen, die das Verfahren für den Beitritt zum UPOV-Übereinkommen eingeleitet haben, und der Liste von Staaten und zwischenstaatlichen Organisationen, die im Hinblick auf Unterstützung bei der Ausarbeitung von Rechtsvorschriften aufgrund des UPOV-Übereinkommens mit dem Verbandsbüro in Verbindung standen, auf der UPOV-Website;</w:t>
      </w:r>
    </w:p>
    <w:p w:rsidR="00E14700" w:rsidRPr="00E14700" w:rsidRDefault="00E14700" w:rsidP="00E14700">
      <w:pPr>
        <w:rPr>
          <w:snapToGrid w:val="0"/>
          <w:lang w:val="de-DE"/>
        </w:rPr>
      </w:pPr>
    </w:p>
    <w:p w:rsidR="00E14700" w:rsidRPr="00E14700" w:rsidRDefault="00E14700" w:rsidP="00B47962">
      <w:pPr>
        <w:rPr>
          <w:snapToGrid w:val="0"/>
          <w:lang w:val="de-DE"/>
        </w:rPr>
      </w:pPr>
      <w:r w:rsidRPr="00E14700">
        <w:rPr>
          <w:snapToGrid w:val="0"/>
          <w:lang w:val="de-DE"/>
        </w:rPr>
        <w:tab/>
        <w:t>j)</w:t>
      </w:r>
      <w:r w:rsidRPr="00E14700">
        <w:rPr>
          <w:snapToGrid w:val="0"/>
          <w:lang w:val="de-DE"/>
        </w:rPr>
        <w:tab/>
        <w:t xml:space="preserve">er begrüßte die Berichte von neuen Verbandsmitgliedern; </w:t>
      </w:r>
      <w:r w:rsidR="00B47962">
        <w:rPr>
          <w:snapToGrid w:val="0"/>
          <w:lang w:val="de-DE"/>
        </w:rPr>
        <w:t>namentlich von</w:t>
      </w:r>
      <w:r w:rsidRPr="00E14700">
        <w:rPr>
          <w:snapToGrid w:val="0"/>
          <w:lang w:val="de-DE"/>
        </w:rPr>
        <w:t xml:space="preserve"> der Dominikanischen Republik, der Türkei und Vietnam, und verei</w:t>
      </w:r>
      <w:r w:rsidR="00B47962">
        <w:rPr>
          <w:snapToGrid w:val="0"/>
          <w:lang w:val="de-DE"/>
        </w:rPr>
        <w:t>n</w:t>
      </w:r>
      <w:r w:rsidRPr="00E14700">
        <w:rPr>
          <w:snapToGrid w:val="0"/>
          <w:lang w:val="de-DE"/>
        </w:rPr>
        <w:t>barte, Georgien dazu ein</w:t>
      </w:r>
      <w:r w:rsidR="00E2083C">
        <w:rPr>
          <w:snapToGrid w:val="0"/>
          <w:lang w:val="de-DE"/>
        </w:rPr>
        <w:t>zu</w:t>
      </w:r>
      <w:r w:rsidRPr="00E14700">
        <w:rPr>
          <w:snapToGrid w:val="0"/>
          <w:lang w:val="de-DE"/>
        </w:rPr>
        <w:t>laden, auf der sechsundachtzigsten Tagung des Beratenden Ausschusses im Oktober 2013 einen Bericht abzugeben;</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k)</w:t>
      </w:r>
      <w:r w:rsidRPr="00E14700">
        <w:rPr>
          <w:snapToGrid w:val="0"/>
          <w:lang w:val="de-DE"/>
        </w:rPr>
        <w:tab/>
      </w:r>
      <w:r w:rsidR="00B47962">
        <w:rPr>
          <w:snapToGrid w:val="0"/>
          <w:lang w:val="de-DE"/>
        </w:rPr>
        <w:t xml:space="preserve">er </w:t>
      </w:r>
      <w:r w:rsidRPr="00E14700">
        <w:rPr>
          <w:snapToGrid w:val="0"/>
          <w:lang w:val="de-DE"/>
        </w:rPr>
        <w:t xml:space="preserve">nahm die Entwicklungen </w:t>
      </w:r>
      <w:r w:rsidR="00DD2975">
        <w:rPr>
          <w:snapToGrid w:val="0"/>
          <w:lang w:val="de-DE"/>
        </w:rPr>
        <w:t>von Belang für die UPOV</w:t>
      </w:r>
      <w:r w:rsidRPr="00E14700">
        <w:rPr>
          <w:snapToGrid w:val="0"/>
          <w:lang w:val="de-DE"/>
        </w:rPr>
        <w:t xml:space="preserve"> in anderen internationalen Foren zur Kenntnis, und</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w:t>
      </w:r>
      <w:r w:rsidRPr="00E14700">
        <w:rPr>
          <w:snapToGrid w:val="0"/>
          <w:lang w:val="de-DE"/>
        </w:rPr>
        <w:tab/>
      </w:r>
      <w:r w:rsidR="00B47962">
        <w:rPr>
          <w:snapToGrid w:val="0"/>
          <w:lang w:val="de-DE"/>
        </w:rPr>
        <w:t xml:space="preserve">er </w:t>
      </w:r>
      <w:r w:rsidRPr="00E14700">
        <w:rPr>
          <w:snapToGrid w:val="0"/>
          <w:lang w:val="de-DE"/>
        </w:rPr>
        <w:t>billigte die Teilnahme des Verbandbüros an der Plattform für die gemeinsame Entwicklung und den Transfer von Technologien des Internationalen Vertrags über pflanzengenetische Ressourcen für Ernährung und Landwirtschaft (ITPGRFA);</w:t>
      </w:r>
    </w:p>
    <w:p w:rsidR="00E14700" w:rsidRPr="00E14700" w:rsidRDefault="00E14700" w:rsidP="00E14700">
      <w:pPr>
        <w:rPr>
          <w:snapToGrid w:val="0"/>
          <w:lang w:val="de-DE"/>
        </w:rPr>
      </w:pPr>
    </w:p>
    <w:p w:rsidR="00E14700" w:rsidRPr="00E14700" w:rsidRDefault="00E14700" w:rsidP="00B47962">
      <w:pPr>
        <w:rPr>
          <w:snapToGrid w:val="0"/>
          <w:lang w:val="de-DE"/>
        </w:rPr>
      </w:pPr>
      <w:r w:rsidRPr="00E14700">
        <w:rPr>
          <w:snapToGrid w:val="0"/>
          <w:lang w:val="de-DE"/>
        </w:rPr>
        <w:tab/>
      </w:r>
      <w:r w:rsidRPr="00E14700">
        <w:rPr>
          <w:snapToGrid w:val="0"/>
          <w:lang w:val="de-DE"/>
        </w:rPr>
        <w:tab/>
        <w:t>ii)</w:t>
      </w:r>
      <w:r w:rsidRPr="00E14700">
        <w:rPr>
          <w:snapToGrid w:val="0"/>
          <w:lang w:val="de-DE"/>
        </w:rPr>
        <w:tab/>
      </w:r>
      <w:r w:rsidR="00B47962">
        <w:rPr>
          <w:snapToGrid w:val="0"/>
          <w:lang w:val="de-DE"/>
        </w:rPr>
        <w:t xml:space="preserve">er </w:t>
      </w:r>
      <w:r w:rsidRPr="00E14700">
        <w:rPr>
          <w:snapToGrid w:val="0"/>
          <w:lang w:val="de-DE"/>
        </w:rPr>
        <w:t xml:space="preserve">billigte die Vorlage </w:t>
      </w:r>
      <w:r w:rsidR="00B47962">
        <w:rPr>
          <w:snapToGrid w:val="0"/>
          <w:lang w:val="de-DE"/>
        </w:rPr>
        <w:t>von</w:t>
      </w:r>
      <w:r w:rsidRPr="00E14700">
        <w:rPr>
          <w:snapToGrid w:val="0"/>
          <w:lang w:val="de-DE"/>
        </w:rPr>
        <w:t xml:space="preserve"> Berichte</w:t>
      </w:r>
      <w:r w:rsidR="00B47962">
        <w:rPr>
          <w:snapToGrid w:val="0"/>
          <w:lang w:val="de-DE"/>
        </w:rPr>
        <w:t>n</w:t>
      </w:r>
      <w:r w:rsidRPr="00E14700">
        <w:rPr>
          <w:snapToGrid w:val="0"/>
          <w:lang w:val="de-DE"/>
        </w:rPr>
        <w:t xml:space="preserve"> auf künftigen Tagungen</w:t>
      </w:r>
      <w:r w:rsidR="00B47962">
        <w:rPr>
          <w:snapToGrid w:val="0"/>
          <w:lang w:val="de-DE"/>
        </w:rPr>
        <w:t xml:space="preserve"> der </w:t>
      </w:r>
      <w:r w:rsidR="00B47962" w:rsidRPr="00E14700">
        <w:rPr>
          <w:snapToGrid w:val="0"/>
          <w:lang w:val="de-DE"/>
        </w:rPr>
        <w:t>ITPGRFA</w:t>
      </w:r>
      <w:r w:rsidRPr="00E14700">
        <w:rPr>
          <w:snapToGrid w:val="0"/>
          <w:lang w:val="de-DE"/>
        </w:rPr>
        <w:t>, die sich auf alle Akte des UPOV-Übereinkommens beziehen;</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r>
      <w:r w:rsidRPr="00E14700">
        <w:rPr>
          <w:snapToGrid w:val="0"/>
          <w:lang w:val="de-DE"/>
        </w:rPr>
        <w:tab/>
        <w:t>iii)</w:t>
      </w:r>
      <w:r w:rsidRPr="00E14700">
        <w:rPr>
          <w:snapToGrid w:val="0"/>
          <w:lang w:val="de-DE"/>
        </w:rPr>
        <w:tab/>
      </w:r>
      <w:r w:rsidR="00B47962">
        <w:rPr>
          <w:snapToGrid w:val="0"/>
          <w:lang w:val="de-DE"/>
        </w:rPr>
        <w:t xml:space="preserve">er </w:t>
      </w:r>
      <w:r w:rsidRPr="00E14700">
        <w:rPr>
          <w:snapToGrid w:val="0"/>
          <w:lang w:val="de-DE"/>
        </w:rPr>
        <w:t>billigte die Teilnahme der UPOV an der WIPO-Initiative für nachhaltige Weizenerzeugung in der Vereinigten Republik Tansania;</w:t>
      </w:r>
    </w:p>
    <w:p w:rsidR="00E14700" w:rsidRPr="00E14700" w:rsidRDefault="00E14700" w:rsidP="00E14700">
      <w:pPr>
        <w:rPr>
          <w:snapToGrid w:val="0"/>
          <w:lang w:val="de-DE"/>
        </w:rPr>
      </w:pPr>
    </w:p>
    <w:p w:rsidR="00E14700" w:rsidRPr="00E14700" w:rsidRDefault="00E14700" w:rsidP="00E14700">
      <w:pPr>
        <w:rPr>
          <w:snapToGrid w:val="0"/>
          <w:lang w:val="de-DE"/>
        </w:rPr>
      </w:pPr>
      <w:r w:rsidRPr="00E14700">
        <w:rPr>
          <w:snapToGrid w:val="0"/>
          <w:lang w:val="de-DE"/>
        </w:rPr>
        <w:tab/>
        <w:t>l)</w:t>
      </w:r>
      <w:r w:rsidRPr="00E14700">
        <w:rPr>
          <w:snapToGrid w:val="0"/>
          <w:lang w:val="de-DE"/>
        </w:rPr>
        <w:tab/>
        <w:t xml:space="preserve">er nahm die Vorschläge bezüglich des Tagungskalenders 2013 zur Kenntnis; und </w:t>
      </w:r>
    </w:p>
    <w:p w:rsidR="00E14700" w:rsidRPr="00E14700" w:rsidRDefault="00E14700" w:rsidP="00E14700">
      <w:pPr>
        <w:rPr>
          <w:snapToGrid w:val="0"/>
          <w:lang w:val="de-DE"/>
        </w:rPr>
      </w:pPr>
    </w:p>
    <w:p w:rsidR="006C620F" w:rsidRPr="00E14700" w:rsidRDefault="00E14700" w:rsidP="00E14700">
      <w:pPr>
        <w:rPr>
          <w:snapToGrid w:val="0"/>
          <w:lang w:val="de-DE"/>
        </w:rPr>
      </w:pPr>
      <w:r w:rsidRPr="00E14700">
        <w:rPr>
          <w:snapToGrid w:val="0"/>
          <w:lang w:val="de-DE"/>
        </w:rPr>
        <w:tab/>
        <w:t>m)</w:t>
      </w:r>
      <w:r w:rsidRPr="00E14700">
        <w:rPr>
          <w:snapToGrid w:val="0"/>
          <w:lang w:val="de-DE"/>
        </w:rPr>
        <w:tab/>
        <w:t>er empfahl dem Rat die Billigung eines Entwurfs einer Pressemitteilung</w:t>
      </w:r>
      <w:r>
        <w:rPr>
          <w:snapToGrid w:val="0"/>
          <w:lang w:val="de-DE"/>
        </w:rPr>
        <w:t>.</w:t>
      </w:r>
    </w:p>
    <w:p w:rsidR="006B519E" w:rsidRPr="00E14700" w:rsidRDefault="006B519E" w:rsidP="006B519E">
      <w:pPr>
        <w:rPr>
          <w:color w:val="000000"/>
          <w:lang w:val="de-DE"/>
        </w:rPr>
      </w:pPr>
    </w:p>
    <w:p w:rsidR="007C49DF" w:rsidRPr="00214693" w:rsidRDefault="004A094B" w:rsidP="00214693">
      <w:pPr>
        <w:rPr>
          <w:snapToGrid w:val="0"/>
          <w:lang w:val="de-DE"/>
        </w:rPr>
      </w:pPr>
      <w:r w:rsidRPr="006054BD">
        <w:rPr>
          <w:snapToGrid w:val="0"/>
        </w:rPr>
        <w:fldChar w:fldCharType="begin"/>
      </w:r>
      <w:r w:rsidR="007C49DF" w:rsidRPr="00214693">
        <w:rPr>
          <w:snapToGrid w:val="0"/>
          <w:lang w:val="de-DE"/>
        </w:rPr>
        <w:instrText xml:space="preserve"> AUTONUM  </w:instrText>
      </w:r>
      <w:r w:rsidRPr="006054BD">
        <w:rPr>
          <w:snapToGrid w:val="0"/>
        </w:rPr>
        <w:fldChar w:fldCharType="end"/>
      </w:r>
      <w:r w:rsidR="00214693">
        <w:rPr>
          <w:snapToGrid w:val="0"/>
          <w:lang w:val="de-DE"/>
        </w:rPr>
        <w:tab/>
        <w:t>Weitere</w:t>
      </w:r>
      <w:r w:rsidR="007C49DF" w:rsidRPr="00214693">
        <w:rPr>
          <w:snapToGrid w:val="0"/>
          <w:lang w:val="de-DE"/>
        </w:rPr>
        <w:t xml:space="preserve"> </w:t>
      </w:r>
      <w:r w:rsidR="00214693" w:rsidRPr="00214693">
        <w:rPr>
          <w:snapToGrid w:val="0"/>
          <w:lang w:val="de-DE"/>
        </w:rPr>
        <w:t>Information über die Arbeit der vierundachzigsten Tagung des Beratenden Ausschusses ist in Dokument C/46/16 enthalten</w:t>
      </w:r>
      <w:r w:rsidR="007C49DF" w:rsidRPr="00214693">
        <w:rPr>
          <w:snapToGrid w:val="0"/>
          <w:lang w:val="de-DE"/>
        </w:rPr>
        <w:t>.</w:t>
      </w:r>
    </w:p>
    <w:p w:rsidR="007C49DF" w:rsidRPr="00214693" w:rsidRDefault="007C49DF" w:rsidP="006B519E">
      <w:pPr>
        <w:rPr>
          <w:color w:val="000000"/>
          <w:lang w:val="de-DE"/>
        </w:rPr>
      </w:pPr>
    </w:p>
    <w:p w:rsidR="007C49DF" w:rsidRPr="00214693" w:rsidRDefault="007C49DF" w:rsidP="006B519E">
      <w:pPr>
        <w:rPr>
          <w:color w:val="000000"/>
          <w:lang w:val="de-DE"/>
        </w:rPr>
      </w:pPr>
    </w:p>
    <w:p w:rsidR="00214693" w:rsidRPr="00214693" w:rsidRDefault="00214693" w:rsidP="00214693">
      <w:pPr>
        <w:pStyle w:val="Heading2"/>
        <w:rPr>
          <w:lang w:val="de-DE"/>
        </w:rPr>
      </w:pPr>
      <w:bookmarkStart w:id="31" w:name="_Toc336954247"/>
      <w:bookmarkStart w:id="32" w:name="_Toc338153919"/>
      <w:bookmarkStart w:id="33" w:name="_Toc339366539"/>
      <w:bookmarkStart w:id="34" w:name="_Toc368400885"/>
      <w:r w:rsidRPr="00214693">
        <w:rPr>
          <w:lang w:val="de-DE"/>
        </w:rPr>
        <w:t>Verwaltungs- und Rechtsausschuß, Technischer Ausschuß, Technische Arbeitsgruppen und Arbeitsgruppe für biochemische und molekulare Verfahren und insbesondere für DNS</w:t>
      </w:r>
      <w:r w:rsidRPr="00214693">
        <w:rPr>
          <w:lang w:val="de-DE"/>
        </w:rPr>
        <w:noBreakHyphen/>
        <w:t>Profilierungsverfahren</w:t>
      </w:r>
      <w:bookmarkEnd w:id="31"/>
      <w:bookmarkEnd w:id="32"/>
      <w:bookmarkEnd w:id="33"/>
      <w:bookmarkEnd w:id="34"/>
    </w:p>
    <w:p w:rsidR="006B519E" w:rsidRPr="00C34F1F" w:rsidRDefault="006B519E" w:rsidP="006B519E">
      <w:pPr>
        <w:keepNext/>
        <w:rPr>
          <w:u w:val="single"/>
          <w:lang w:val="de-DE"/>
        </w:rPr>
      </w:pPr>
    </w:p>
    <w:p w:rsidR="00831893" w:rsidRPr="00214693" w:rsidRDefault="004A094B" w:rsidP="00B47962">
      <w:pPr>
        <w:rPr>
          <w:lang w:val="de-DE"/>
        </w:rPr>
      </w:pPr>
      <w:r w:rsidRPr="006054BD">
        <w:fldChar w:fldCharType="begin"/>
      </w:r>
      <w:r w:rsidR="006B519E" w:rsidRPr="00214693">
        <w:rPr>
          <w:lang w:val="de-DE"/>
        </w:rPr>
        <w:instrText xml:space="preserve"> AUTONUM  </w:instrText>
      </w:r>
      <w:r w:rsidRPr="006054BD">
        <w:fldChar w:fldCharType="end"/>
      </w:r>
      <w:r w:rsidR="00214693">
        <w:rPr>
          <w:lang w:val="de-DE"/>
        </w:rPr>
        <w:tab/>
        <w:t>Der</w:t>
      </w:r>
      <w:r w:rsidR="006B519E" w:rsidRPr="00214693">
        <w:rPr>
          <w:lang w:val="de-DE"/>
        </w:rPr>
        <w:t xml:space="preserve"> </w:t>
      </w:r>
      <w:r w:rsidR="00214693" w:rsidRPr="00214693">
        <w:rPr>
          <w:lang w:val="de-DE"/>
        </w:rPr>
        <w:t>CAJ hielt seine fünfundsechzigste Tagung am 29. März 2012 und seine sechsundsechzigste Tagung am 29. Oktober 2012 ab. Die CAJ-AG hielt ihre siebte Tagung am 29. und 30. Oktober 2012 ab</w:t>
      </w:r>
      <w:r w:rsidR="00831893" w:rsidRPr="00214693">
        <w:rPr>
          <w:lang w:val="de-DE"/>
        </w:rPr>
        <w:t>.</w:t>
      </w:r>
    </w:p>
    <w:p w:rsidR="00831893" w:rsidRPr="00214693" w:rsidRDefault="00831893" w:rsidP="006B519E">
      <w:pPr>
        <w:rPr>
          <w:lang w:val="de-DE"/>
        </w:rPr>
      </w:pPr>
    </w:p>
    <w:p w:rsidR="006B519E" w:rsidRPr="00214693" w:rsidRDefault="004A094B" w:rsidP="00214693">
      <w:pPr>
        <w:rPr>
          <w:lang w:val="de-DE"/>
        </w:rPr>
      </w:pPr>
      <w:r w:rsidRPr="006054BD">
        <w:fldChar w:fldCharType="begin"/>
      </w:r>
      <w:r w:rsidR="00831893" w:rsidRPr="00214693">
        <w:rPr>
          <w:lang w:val="de-DE"/>
        </w:rPr>
        <w:instrText xml:space="preserve"> AUTONUM  </w:instrText>
      </w:r>
      <w:r w:rsidRPr="006054BD">
        <w:fldChar w:fldCharType="end"/>
      </w:r>
      <w:r w:rsidR="00831893" w:rsidRPr="00214693">
        <w:rPr>
          <w:lang w:val="de-DE"/>
        </w:rPr>
        <w:tab/>
      </w:r>
      <w:r w:rsidR="00214693">
        <w:rPr>
          <w:lang w:val="de-DE"/>
        </w:rPr>
        <w:t>Der</w:t>
      </w:r>
      <w:r w:rsidR="006B519E" w:rsidRPr="00214693">
        <w:rPr>
          <w:lang w:val="de-DE"/>
        </w:rPr>
        <w:t xml:space="preserve"> </w:t>
      </w:r>
      <w:r w:rsidR="00214693" w:rsidRPr="00214693">
        <w:rPr>
          <w:lang w:val="de-DE"/>
        </w:rPr>
        <w:t xml:space="preserve">TC hielt seine achtundvierzigste Tagung vom 26. bis 28. März 2012 in Genf ab.  Der TC-EDC hielt Sitzungen am 11. und 12. Januar und am 26. und 27. März 2012 ab. Die TWA hielt ihre einundvierzigste Tagung vom 21. bis 25. Mai 2012 in </w:t>
      </w:r>
      <w:proofErr w:type="gramStart"/>
      <w:r w:rsidR="00214693" w:rsidRPr="00214693">
        <w:rPr>
          <w:lang w:val="de-DE"/>
        </w:rPr>
        <w:t>Angers</w:t>
      </w:r>
      <w:proofErr w:type="gramEnd"/>
      <w:r w:rsidR="00214693" w:rsidRPr="00214693">
        <w:rPr>
          <w:lang w:val="de-DE"/>
        </w:rPr>
        <w:t xml:space="preserve">, Frankreich, ab. Die TWC hielt ihre dreißigste Tagung vom 26. bis 29. Juni 2012 in Chisinau, Republik Moldau, ab. Die TWF hielt ihre dreiundvierzigste Tagung vom 30. Juli bis 3. August 2012 in </w:t>
      </w:r>
      <w:r w:rsidR="00DD2975">
        <w:rPr>
          <w:lang w:val="de-DE"/>
        </w:rPr>
        <w:t>Beijing</w:t>
      </w:r>
      <w:r w:rsidR="00214693" w:rsidRPr="00214693">
        <w:rPr>
          <w:lang w:val="de-DE"/>
        </w:rPr>
        <w:t xml:space="preserve">, China, ab. Die TWO hielt ihre fünfundvierzigste Tagung vom 6. bis 10. August 2012 in </w:t>
      </w:r>
      <w:r w:rsidR="0023631E">
        <w:rPr>
          <w:lang w:val="de-DE"/>
        </w:rPr>
        <w:t>Jeju</w:t>
      </w:r>
      <w:r w:rsidR="00214693" w:rsidRPr="00214693">
        <w:rPr>
          <w:lang w:val="de-DE"/>
        </w:rPr>
        <w:t>, Republik Korea, ab. Die TWV hielt ihre sechsundvierzigste Tagung vom 11. bis 15. Juni 2012 in der Nähe der Stadt Venlo, Niederlande, ab. Allen Tagungen der Technischen Arbeitsgruppen ging jeweils eine vorbereitende Arbeitstagung voraus</w:t>
      </w:r>
      <w:r w:rsidR="006B519E" w:rsidRPr="00214693">
        <w:rPr>
          <w:lang w:val="de-DE"/>
        </w:rPr>
        <w:t>.</w:t>
      </w:r>
    </w:p>
    <w:p w:rsidR="006B519E" w:rsidRPr="00214693" w:rsidRDefault="006B519E" w:rsidP="006B519E">
      <w:pPr>
        <w:rPr>
          <w:lang w:val="de-DE"/>
        </w:rPr>
      </w:pPr>
    </w:p>
    <w:p w:rsidR="006B519E" w:rsidRPr="00214693" w:rsidRDefault="004A094B" w:rsidP="00214693">
      <w:pPr>
        <w:rPr>
          <w:lang w:val="de-DE"/>
        </w:rPr>
      </w:pPr>
      <w:r w:rsidRPr="006054BD">
        <w:fldChar w:fldCharType="begin"/>
      </w:r>
      <w:r w:rsidR="006B519E" w:rsidRPr="00214693">
        <w:rPr>
          <w:lang w:val="de-DE"/>
        </w:rPr>
        <w:instrText xml:space="preserve"> AUTONUM  </w:instrText>
      </w:r>
      <w:r w:rsidRPr="006054BD">
        <w:fldChar w:fldCharType="end"/>
      </w:r>
      <w:r w:rsidR="006B519E" w:rsidRPr="00214693">
        <w:rPr>
          <w:lang w:val="de-DE"/>
        </w:rPr>
        <w:tab/>
      </w:r>
      <w:r w:rsidR="00214693">
        <w:rPr>
          <w:lang w:val="de-DE"/>
        </w:rPr>
        <w:t>Weitere</w:t>
      </w:r>
      <w:r w:rsidR="006B519E" w:rsidRPr="00214693">
        <w:rPr>
          <w:lang w:val="de-DE"/>
        </w:rPr>
        <w:t xml:space="preserve"> </w:t>
      </w:r>
      <w:r w:rsidR="00214693" w:rsidRPr="00214693">
        <w:rPr>
          <w:lang w:val="de-DE"/>
        </w:rPr>
        <w:t xml:space="preserve">Informationen über die Arbeit des CAJ, des TC und der TWP sind in den Dokumenten C/46/9 und C/47/9 „Bericht über den Fortschritt der Arbeiten des Verwaltungs- und Rechtsausschusses“ und C/46/10 und C/47/10 „Bericht über den Fortschritt der Arbeiten des Technischen Ausschusses, der Technischen Arbeitsgruppen und der </w:t>
      </w:r>
      <w:r w:rsidR="00214693" w:rsidRPr="00214693">
        <w:rPr>
          <w:spacing w:val="-2"/>
          <w:lang w:val="de-DE"/>
        </w:rPr>
        <w:t>Arbeitsgruppe für biochemische und molekulare Verfahren und insbesondere für DNS</w:t>
      </w:r>
      <w:r w:rsidR="00214693" w:rsidRPr="00214693">
        <w:rPr>
          <w:spacing w:val="-2"/>
          <w:lang w:val="de-DE"/>
        </w:rPr>
        <w:noBreakHyphen/>
        <w:t>Profilierungsverfahren“</w:t>
      </w:r>
      <w:r w:rsidR="00214693" w:rsidRPr="00214693">
        <w:rPr>
          <w:lang w:val="de-DE"/>
        </w:rPr>
        <w:t xml:space="preserve"> enthalten</w:t>
      </w:r>
      <w:r w:rsidR="006B519E" w:rsidRPr="00214693">
        <w:rPr>
          <w:lang w:val="de-DE"/>
        </w:rPr>
        <w:t>.</w:t>
      </w:r>
    </w:p>
    <w:p w:rsidR="006B519E" w:rsidRPr="00214693" w:rsidRDefault="006B519E" w:rsidP="006B519E">
      <w:pPr>
        <w:rPr>
          <w:lang w:val="de-DE"/>
        </w:rPr>
      </w:pPr>
    </w:p>
    <w:p w:rsidR="006B519E" w:rsidRPr="00214693" w:rsidRDefault="006B519E" w:rsidP="006B519E">
      <w:pPr>
        <w:rPr>
          <w:lang w:val="de-DE"/>
        </w:rPr>
      </w:pPr>
    </w:p>
    <w:p w:rsidR="006B519E" w:rsidRPr="00214693" w:rsidRDefault="006B519E" w:rsidP="006B519E">
      <w:pPr>
        <w:rPr>
          <w:lang w:val="de-DE"/>
        </w:rPr>
      </w:pPr>
    </w:p>
    <w:p w:rsidR="006B519E" w:rsidRPr="00214693" w:rsidRDefault="006B519E" w:rsidP="00214693">
      <w:pPr>
        <w:pStyle w:val="Heading1"/>
        <w:rPr>
          <w:lang w:val="de-DE"/>
        </w:rPr>
      </w:pPr>
      <w:bookmarkStart w:id="35" w:name="_Toc368400886"/>
      <w:r w:rsidRPr="00214693">
        <w:rPr>
          <w:lang w:val="de-DE"/>
        </w:rPr>
        <w:t>III.</w:t>
      </w:r>
      <w:r w:rsidRPr="00214693">
        <w:rPr>
          <w:lang w:val="de-DE"/>
        </w:rPr>
        <w:tab/>
      </w:r>
      <w:r w:rsidR="00214693" w:rsidRPr="00214693">
        <w:rPr>
          <w:lang w:val="de-DE"/>
        </w:rPr>
        <w:t>LEHRGÄNGE, SEMINARE, ARBEITSTAGUNGEN, DIENSTREISEN, WICHTIGE KONTAKTE</w:t>
      </w:r>
      <w:bookmarkEnd w:id="35"/>
    </w:p>
    <w:p w:rsidR="006B519E" w:rsidRPr="00214693" w:rsidRDefault="006B519E" w:rsidP="006B519E">
      <w:pPr>
        <w:keepNext/>
        <w:rPr>
          <w:lang w:val="de-DE"/>
        </w:rPr>
      </w:pPr>
    </w:p>
    <w:p w:rsidR="00214693" w:rsidRPr="007E00FD" w:rsidRDefault="00214693" w:rsidP="00214693">
      <w:pPr>
        <w:pStyle w:val="Heading2"/>
        <w:rPr>
          <w:lang w:val="de-DE"/>
        </w:rPr>
      </w:pPr>
      <w:bookmarkStart w:id="36" w:name="_Toc336954249"/>
      <w:bookmarkStart w:id="37" w:name="_Toc338153920"/>
      <w:bookmarkStart w:id="38" w:name="_Toc339366541"/>
      <w:bookmarkStart w:id="39" w:name="_Toc368400887"/>
      <w:r w:rsidRPr="007E00FD">
        <w:rPr>
          <w:lang w:val="de-DE"/>
        </w:rPr>
        <w:t>Individuelle Tätigkeiten</w:t>
      </w:r>
      <w:bookmarkEnd w:id="36"/>
      <w:bookmarkEnd w:id="37"/>
      <w:bookmarkEnd w:id="38"/>
      <w:bookmarkEnd w:id="39"/>
    </w:p>
    <w:p w:rsidR="006B519E" w:rsidRPr="007E00FD" w:rsidRDefault="006B519E" w:rsidP="006B519E">
      <w:pPr>
        <w:keepNext/>
        <w:rPr>
          <w:szCs w:val="24"/>
          <w:lang w:val="de-DE"/>
        </w:rPr>
      </w:pPr>
    </w:p>
    <w:p w:rsidR="007A683A" w:rsidRPr="007E00FD" w:rsidRDefault="004A094B" w:rsidP="00E2083C">
      <w:pPr>
        <w:rPr>
          <w:szCs w:val="24"/>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A683A" w:rsidRPr="007E00FD">
        <w:rPr>
          <w:szCs w:val="24"/>
          <w:lang w:val="de-DE"/>
        </w:rPr>
        <w:tab/>
      </w:r>
      <w:r w:rsidR="007E00FD">
        <w:rPr>
          <w:lang w:val="de-DE"/>
        </w:rPr>
        <w:t>Am</w:t>
      </w:r>
      <w:r w:rsidR="007A683A" w:rsidRPr="007E00FD">
        <w:rPr>
          <w:lang w:val="de-DE"/>
        </w:rPr>
        <w:t xml:space="preserve"> </w:t>
      </w:r>
      <w:r w:rsidR="007E00FD" w:rsidRPr="007E00FD">
        <w:rPr>
          <w:lang w:val="de-DE"/>
        </w:rPr>
        <w:t xml:space="preserve">5. Januar nahm das Büro in Genf an einer elektronischen Online-Konferenz mit Vertretern des Lenkungsausschusses des Weltsaatgutprojektes (Ernährungs- und Landwirtschaftsorganisation der Vereinten Nationen (FAO), </w:t>
      </w:r>
      <w:r w:rsidR="007E00FD" w:rsidRPr="007E00FD">
        <w:rPr>
          <w:i/>
          <w:lang w:val="de-DE"/>
        </w:rPr>
        <w:t>International Seed Federation</w:t>
      </w:r>
      <w:r w:rsidR="007E00FD" w:rsidRPr="007E00FD">
        <w:rPr>
          <w:lang w:val="de-DE"/>
        </w:rPr>
        <w:t xml:space="preserve"> (ISF), Internationale Vereinigung für Saatgutprüfung (ISTA), Organisation für Wirtschaftliche Zusammenarbeit und Entwicklung (OECD) und UPOV) teil, um die Fortschritte des Weltsaatgutprojektes zu erörtern. Weitere elektronische Konferenzen fanden am 10. und 26. Januar, am 14. Februar, 16. März, 10. und 13. April, 9. Mai, 1. Juni, 3. und 25. Juli, 17. und 23. August, und am 3., 13. und 25. September und am 1. und 26. November statt</w:t>
      </w:r>
      <w:r w:rsidR="007A683A" w:rsidRPr="007E00FD">
        <w:rPr>
          <w:szCs w:val="24"/>
          <w:lang w:val="de-DE"/>
        </w:rPr>
        <w:t>.</w:t>
      </w:r>
    </w:p>
    <w:p w:rsidR="007A683A" w:rsidRPr="007E00FD" w:rsidRDefault="007A683A" w:rsidP="007A683A">
      <w:pPr>
        <w:rPr>
          <w:szCs w:val="24"/>
          <w:lang w:val="de-DE"/>
        </w:rPr>
      </w:pPr>
    </w:p>
    <w:p w:rsidR="007A683A" w:rsidRPr="007E00FD" w:rsidRDefault="004A094B" w:rsidP="007E00FD">
      <w:pPr>
        <w:rPr>
          <w:szCs w:val="24"/>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E00FD">
        <w:rPr>
          <w:szCs w:val="24"/>
          <w:lang w:val="de-DE"/>
        </w:rPr>
        <w:tab/>
        <w:t>Am</w:t>
      </w:r>
      <w:r w:rsidR="007A683A" w:rsidRPr="007E00FD">
        <w:rPr>
          <w:szCs w:val="24"/>
          <w:lang w:val="de-DE"/>
        </w:rPr>
        <w:t xml:space="preserve"> </w:t>
      </w:r>
      <w:r w:rsidR="007E00FD" w:rsidRPr="007E00FD">
        <w:rPr>
          <w:lang w:val="de-DE"/>
        </w:rPr>
        <w:t>11. Januar hielt das Büro in Genf eine Sitzung mit seiner Exzellenz Herrn Kasmirhan Tahir, Botschafter und Ständiger Vertreter von Brunei Darussalam, Ständige Vertretung von Brunei Darussalam beim Amt der Vereinten Nationen, der Welthandelsorganisation und anderen internationalen Organisationen ab</w:t>
      </w:r>
      <w:r w:rsidR="007A683A" w:rsidRPr="007E00FD">
        <w:rPr>
          <w:szCs w:val="24"/>
          <w:lang w:val="de-DE"/>
        </w:rPr>
        <w:t>.</w:t>
      </w:r>
    </w:p>
    <w:p w:rsidR="007A683A" w:rsidRPr="007E00FD" w:rsidRDefault="007A683A" w:rsidP="007A683A">
      <w:pPr>
        <w:rPr>
          <w:szCs w:val="24"/>
          <w:lang w:val="de-DE"/>
        </w:rPr>
      </w:pPr>
    </w:p>
    <w:p w:rsidR="007A683A" w:rsidRPr="007E00FD" w:rsidRDefault="004A094B" w:rsidP="007E00FD">
      <w:pPr>
        <w:rPr>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A683A" w:rsidRPr="007E00FD">
        <w:rPr>
          <w:szCs w:val="24"/>
          <w:lang w:val="de-DE"/>
        </w:rPr>
        <w:tab/>
      </w:r>
      <w:r w:rsidR="007E00FD">
        <w:rPr>
          <w:szCs w:val="24"/>
          <w:lang w:val="de-DE"/>
        </w:rPr>
        <w:t>Am</w:t>
      </w:r>
      <w:r w:rsidR="007A683A" w:rsidRPr="007E00FD">
        <w:rPr>
          <w:szCs w:val="24"/>
          <w:lang w:val="de-DE"/>
        </w:rPr>
        <w:t xml:space="preserve"> </w:t>
      </w:r>
      <w:r w:rsidR="007E00FD" w:rsidRPr="007E00FD">
        <w:rPr>
          <w:lang w:val="de-DE"/>
        </w:rPr>
        <w:t xml:space="preserve">13. und 14. Januar nahm das Büro an einer Tagung des Lenkungsausschusses des Weltsaatgutprojekts in Arusha, Vereinigte Republik Tansania, teil. Der </w:t>
      </w:r>
      <w:r w:rsidR="007E00FD" w:rsidRPr="007E00FD">
        <w:rPr>
          <w:snapToGrid w:val="0"/>
          <w:lang w:val="de-DE"/>
        </w:rPr>
        <w:t>Lenkungsausschuß traf mit Regierungsbeamten und Vertretern des Saatgutsektors der Vereinigte</w:t>
      </w:r>
      <w:r w:rsidR="00FD641C">
        <w:rPr>
          <w:snapToGrid w:val="0"/>
          <w:lang w:val="de-DE"/>
        </w:rPr>
        <w:t>n</w:t>
      </w:r>
      <w:r w:rsidR="007E00FD" w:rsidRPr="007E00FD">
        <w:rPr>
          <w:snapToGrid w:val="0"/>
          <w:lang w:val="de-DE"/>
        </w:rPr>
        <w:t xml:space="preserve"> Republik Tansania zusammen</w:t>
      </w:r>
      <w:r w:rsidR="007A683A" w:rsidRPr="007E00FD">
        <w:rPr>
          <w:snapToGrid w:val="0"/>
          <w:szCs w:val="24"/>
          <w:lang w:val="de-DE"/>
        </w:rPr>
        <w:t>.</w:t>
      </w:r>
    </w:p>
    <w:p w:rsidR="007A683A" w:rsidRPr="007E00FD" w:rsidRDefault="007A683A" w:rsidP="007A683A">
      <w:pPr>
        <w:rPr>
          <w:lang w:val="de-DE"/>
        </w:rPr>
      </w:pPr>
    </w:p>
    <w:p w:rsidR="007A683A" w:rsidRPr="007E00FD" w:rsidRDefault="004A094B" w:rsidP="007E00FD">
      <w:pPr>
        <w:rPr>
          <w:szCs w:val="24"/>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A683A" w:rsidRPr="007E00FD">
        <w:rPr>
          <w:szCs w:val="24"/>
          <w:lang w:val="de-DE"/>
        </w:rPr>
        <w:tab/>
      </w:r>
      <w:r w:rsidR="007E00FD" w:rsidRPr="007E00FD">
        <w:rPr>
          <w:szCs w:val="24"/>
          <w:lang w:val="de-DE"/>
        </w:rPr>
        <w:t>Am</w:t>
      </w:r>
      <w:r w:rsidR="007A683A" w:rsidRPr="007E00FD">
        <w:rPr>
          <w:snapToGrid w:val="0"/>
          <w:lang w:val="de-DE"/>
        </w:rPr>
        <w:t xml:space="preserve"> </w:t>
      </w:r>
      <w:r w:rsidR="007E00FD" w:rsidRPr="007E00FD">
        <w:rPr>
          <w:snapToGrid w:val="0"/>
          <w:lang w:val="de-DE"/>
        </w:rPr>
        <w:t xml:space="preserve">14. Januar hatte das Büro eine kurze Sitzung mit </w:t>
      </w:r>
      <w:r w:rsidR="007E00FD" w:rsidRPr="007E00FD">
        <w:rPr>
          <w:lang w:val="de-DE"/>
        </w:rPr>
        <w:t>Herrn Patrick Ngwediagi, Registerbeamter, Züchterrechtsamt, Ministerium für Landwirtschaft, Ernährungsssichheit und Kooperativen (MAFC), betreffend den Gesetzentwurf Kontinentaltansanias über Pflanzenzüchterrechte und die Entwicklungen im Hinblick auf die Zusammenarbeit bei der Entwicklung eines Gesetzes für Sansibar</w:t>
      </w:r>
      <w:r w:rsidR="007A683A" w:rsidRPr="007E00FD">
        <w:rPr>
          <w:lang w:val="de-DE"/>
        </w:rPr>
        <w:t>.</w:t>
      </w:r>
    </w:p>
    <w:p w:rsidR="007A683A" w:rsidRPr="007E00FD" w:rsidRDefault="007A683A" w:rsidP="007A683A">
      <w:pPr>
        <w:rPr>
          <w:szCs w:val="24"/>
          <w:lang w:val="de-DE"/>
        </w:rPr>
      </w:pPr>
    </w:p>
    <w:p w:rsidR="007A683A" w:rsidRPr="007E00FD" w:rsidRDefault="004A094B" w:rsidP="00E2083C">
      <w:pPr>
        <w:rPr>
          <w:szCs w:val="24"/>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A683A" w:rsidRPr="007E00FD">
        <w:rPr>
          <w:szCs w:val="24"/>
          <w:lang w:val="de-DE"/>
        </w:rPr>
        <w:tab/>
      </w:r>
      <w:r w:rsidR="007E00FD" w:rsidRPr="007E00FD">
        <w:rPr>
          <w:szCs w:val="24"/>
          <w:lang w:val="de-DE"/>
        </w:rPr>
        <w:t>Am</w:t>
      </w:r>
      <w:r w:rsidR="007A683A" w:rsidRPr="007E00FD">
        <w:rPr>
          <w:szCs w:val="24"/>
          <w:lang w:val="de-DE"/>
        </w:rPr>
        <w:t xml:space="preserve"> </w:t>
      </w:r>
      <w:r w:rsidR="007E00FD" w:rsidRPr="007E00FD">
        <w:rPr>
          <w:lang w:val="de-DE"/>
        </w:rPr>
        <w:t xml:space="preserve">18. Januar kam das Büro in Genf mit offiziellen Vertretern der </w:t>
      </w:r>
      <w:r w:rsidR="007E00FD" w:rsidRPr="007E00FD">
        <w:rPr>
          <w:i/>
          <w:lang w:val="de-DE"/>
        </w:rPr>
        <w:t xml:space="preserve">Queensland University of Technology (QUT) </w:t>
      </w:r>
      <w:r w:rsidR="007E00FD" w:rsidRPr="007E00FD">
        <w:rPr>
          <w:lang w:val="de-DE"/>
        </w:rPr>
        <w:t>von Brisbane, Australien, während ihres Studienbesuches im Hauptsitz der Weltorganisation für Geistiges Eigentum (WIPO), namentlich mit Frau Professorin Rosalind Mason, Leiterin, Juristische Fakultät, und Herrn Professor Kamal Puri, Direktor, WIPO-QUT Masterprogramm für das Recht des geistigen Eigentums und Geschäftsführer</w:t>
      </w:r>
      <w:r w:rsidR="00E2083C">
        <w:rPr>
          <w:lang w:val="de-DE"/>
        </w:rPr>
        <w:t xml:space="preserve">, </w:t>
      </w:r>
      <w:r w:rsidR="00E2083C" w:rsidRPr="007E00FD">
        <w:rPr>
          <w:lang w:val="de-DE"/>
        </w:rPr>
        <w:t>zusammen</w:t>
      </w:r>
      <w:r w:rsidR="007E00FD" w:rsidRPr="007E00FD">
        <w:rPr>
          <w:lang w:val="de-DE"/>
        </w:rPr>
        <w:t>. Das Büro hielt ein allgemeines Referat über die UPOV</w:t>
      </w:r>
      <w:r w:rsidR="007A683A" w:rsidRPr="007E00FD">
        <w:rPr>
          <w:szCs w:val="24"/>
          <w:lang w:val="de-DE"/>
        </w:rPr>
        <w:t>.</w:t>
      </w:r>
    </w:p>
    <w:p w:rsidR="007A683A" w:rsidRPr="007E00FD" w:rsidRDefault="007A683A" w:rsidP="007A683A">
      <w:pPr>
        <w:rPr>
          <w:szCs w:val="24"/>
          <w:lang w:val="de-DE"/>
        </w:rPr>
      </w:pPr>
    </w:p>
    <w:p w:rsidR="007A683A" w:rsidRPr="007E00FD" w:rsidRDefault="004A094B" w:rsidP="007E00FD">
      <w:pPr>
        <w:rPr>
          <w:szCs w:val="24"/>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A683A" w:rsidRPr="007E00FD">
        <w:rPr>
          <w:szCs w:val="24"/>
          <w:lang w:val="de-DE"/>
        </w:rPr>
        <w:tab/>
      </w:r>
      <w:r w:rsidR="007E00FD" w:rsidRPr="007E00FD">
        <w:rPr>
          <w:szCs w:val="24"/>
          <w:lang w:val="de-DE"/>
        </w:rPr>
        <w:t>Am</w:t>
      </w:r>
      <w:r w:rsidR="007A683A" w:rsidRPr="007E00FD">
        <w:rPr>
          <w:szCs w:val="24"/>
          <w:lang w:val="de-DE"/>
        </w:rPr>
        <w:t xml:space="preserve"> </w:t>
      </w:r>
      <w:r w:rsidR="007E00FD" w:rsidRPr="007E00FD">
        <w:rPr>
          <w:lang w:val="de-DE"/>
        </w:rPr>
        <w:t>19. Januar empfing das Büro in Genf Frau Rasoanaivo, Beraterin, Ständige Vertretung von Madagaskar in Genf, und einen Praktikanten der Ständigen Vertretung und führte das UPOV</w:t>
      </w:r>
      <w:r w:rsidR="007E00FD" w:rsidRPr="007E00FD">
        <w:rPr>
          <w:lang w:val="de-DE"/>
        </w:rPr>
        <w:noBreakHyphen/>
        <w:t>Sortenschutzsystem und das Beitrittsverfahren aus</w:t>
      </w:r>
      <w:r w:rsidR="007A683A" w:rsidRPr="007E00FD">
        <w:rPr>
          <w:szCs w:val="24"/>
          <w:lang w:val="de-DE"/>
        </w:rPr>
        <w:t>.</w:t>
      </w:r>
    </w:p>
    <w:p w:rsidR="007A683A" w:rsidRPr="007E00FD" w:rsidRDefault="007A683A" w:rsidP="007A683A">
      <w:pPr>
        <w:rPr>
          <w:szCs w:val="24"/>
          <w:lang w:val="de-DE"/>
        </w:rPr>
      </w:pPr>
    </w:p>
    <w:p w:rsidR="007A683A" w:rsidRPr="007E00FD" w:rsidRDefault="004A094B" w:rsidP="007E00FD">
      <w:pPr>
        <w:rPr>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A683A" w:rsidRPr="007E00FD">
        <w:rPr>
          <w:szCs w:val="24"/>
          <w:lang w:val="de-DE"/>
        </w:rPr>
        <w:tab/>
      </w:r>
      <w:r w:rsidR="007E00FD" w:rsidRPr="007E00FD">
        <w:rPr>
          <w:szCs w:val="24"/>
          <w:lang w:val="de-DE"/>
        </w:rPr>
        <w:t>Am</w:t>
      </w:r>
      <w:r w:rsidR="007A683A" w:rsidRPr="007E00FD">
        <w:rPr>
          <w:szCs w:val="24"/>
          <w:lang w:val="de-DE"/>
        </w:rPr>
        <w:t xml:space="preserve"> </w:t>
      </w:r>
      <w:r w:rsidR="007E00FD" w:rsidRPr="007E00FD">
        <w:rPr>
          <w:lang w:val="de-DE"/>
        </w:rPr>
        <w:t xml:space="preserve">23, 24. und 26. Januar 2012 organisierte das Verbandsbüro in Zusammenarbeit mit dem </w:t>
      </w:r>
      <w:r w:rsidR="007E00FD" w:rsidRPr="007E00FD">
        <w:rPr>
          <w:i/>
          <w:lang w:val="de-DE"/>
        </w:rPr>
        <w:t>Instituto Nacional de Defensa de la Competencia y de la Protección de la Propiedad Intelectual</w:t>
      </w:r>
      <w:r w:rsidR="007E00FD" w:rsidRPr="007E00FD">
        <w:rPr>
          <w:lang w:val="de-DE"/>
        </w:rPr>
        <w:t xml:space="preserve"> (INDECOPI) und mit finanzieller Unterstützung des Patent- und Markenamtes der Vereinigten Staaten von Amerika (USPTO) drei </w:t>
      </w:r>
      <w:r w:rsidR="00F23749">
        <w:rPr>
          <w:lang w:val="de-DE"/>
        </w:rPr>
        <w:t>Seminare über Sortenschutz</w:t>
      </w:r>
      <w:r w:rsidR="007E00FD" w:rsidRPr="007E00FD">
        <w:rPr>
          <w:lang w:val="de-DE"/>
        </w:rPr>
        <w:t xml:space="preserve"> in Peru. Die Seminare fanden in Lima, Trujillo und Iquitos statt. Das Büro hielt Referate über UPOV, Sortenschutz nach dem UPOV-Übereinkommen und die Vorzüge der UPOV</w:t>
      </w:r>
      <w:r w:rsidR="007E00FD" w:rsidRPr="007E00FD">
        <w:rPr>
          <w:lang w:val="de-DE"/>
        </w:rPr>
        <w:noBreakHyphen/>
        <w:t xml:space="preserve">Mitgliedschaft. Am Rande des Seminars in Lima trat das Büro mit Herrn Hebert Tassano, Präsident, Exekutivrat, </w:t>
      </w:r>
      <w:r w:rsidR="007E00FD" w:rsidRPr="007E00FD">
        <w:rPr>
          <w:i/>
          <w:lang w:val="de-DE"/>
        </w:rPr>
        <w:t>Instituto Nacional de Defensa de la Competencia y de la Protección de la Propiedad Intelectual</w:t>
      </w:r>
      <w:r w:rsidR="007E00FD" w:rsidRPr="007E00FD">
        <w:rPr>
          <w:lang w:val="de-DE"/>
        </w:rPr>
        <w:t xml:space="preserve"> (INDECOPI), und Herrn Bruno Merchor, Leiter des Bereichs Erfindungen und Neue Technologien, INDECOPI, zusammen, um Entwicklungen in Peru im Hinblick auf die Umsetzung des Sortenschutzes zu erörtern</w:t>
      </w:r>
      <w:r w:rsidR="007A683A" w:rsidRPr="007E00FD">
        <w:rPr>
          <w:lang w:val="de-DE"/>
        </w:rPr>
        <w:t xml:space="preserve">. </w:t>
      </w:r>
    </w:p>
    <w:p w:rsidR="007A683A" w:rsidRPr="007E00FD" w:rsidRDefault="007A683A" w:rsidP="007A683A">
      <w:pPr>
        <w:rPr>
          <w:szCs w:val="24"/>
          <w:lang w:val="de-DE"/>
        </w:rPr>
      </w:pPr>
    </w:p>
    <w:p w:rsidR="007A683A" w:rsidRPr="007E00FD" w:rsidRDefault="004A094B" w:rsidP="007E00FD">
      <w:pPr>
        <w:rPr>
          <w:szCs w:val="24"/>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A683A" w:rsidRPr="007E00FD">
        <w:rPr>
          <w:szCs w:val="24"/>
          <w:lang w:val="de-DE"/>
        </w:rPr>
        <w:tab/>
      </w:r>
      <w:r w:rsidR="007E00FD">
        <w:rPr>
          <w:szCs w:val="24"/>
          <w:lang w:val="de-DE"/>
        </w:rPr>
        <w:t>Vom</w:t>
      </w:r>
      <w:r w:rsidR="007A683A" w:rsidRPr="007E00FD">
        <w:rPr>
          <w:szCs w:val="24"/>
          <w:lang w:val="de-DE"/>
        </w:rPr>
        <w:t xml:space="preserve"> </w:t>
      </w:r>
      <w:r w:rsidR="007E00FD" w:rsidRPr="007E00FD">
        <w:rPr>
          <w:lang w:val="de-DE"/>
        </w:rPr>
        <w:t>24. bis 27. Januar nahm das Büro in Paris, Frankreich, an den Tagungen der OECD</w:t>
      </w:r>
      <w:r w:rsidR="007E00FD" w:rsidRPr="007E00FD">
        <w:rPr>
          <w:lang w:val="de-DE"/>
        </w:rPr>
        <w:noBreakHyphen/>
        <w:t>Saatgutschemata sowie an der Tagung des Erweiterten Fachbeirats der OECD, der Ad</w:t>
      </w:r>
      <w:r w:rsidR="007E00FD" w:rsidRPr="007E00FD">
        <w:rPr>
          <w:lang w:val="de-DE"/>
        </w:rPr>
        <w:noBreakHyphen/>
        <w:t>hoc</w:t>
      </w:r>
      <w:r w:rsidR="007E00FD" w:rsidRPr="007E00FD">
        <w:rPr>
          <w:lang w:val="de-DE"/>
        </w:rPr>
        <w:noBreakHyphen/>
        <w:t>Arbeitsgruppe von Sachverständigen für biochemische und molekulare Verfahren für die Beschreibung und/oder Identifizierung von Sorten und an der Technischen Arbeitsgruppe für Sortenidentität und -reinheit teil</w:t>
      </w:r>
      <w:r w:rsidR="007A683A" w:rsidRPr="007E00FD">
        <w:rPr>
          <w:szCs w:val="24"/>
          <w:lang w:val="de-DE"/>
        </w:rPr>
        <w:t>.</w:t>
      </w:r>
    </w:p>
    <w:p w:rsidR="007A683A" w:rsidRPr="007E00FD" w:rsidRDefault="007A683A" w:rsidP="007A683A">
      <w:pPr>
        <w:rPr>
          <w:szCs w:val="24"/>
          <w:lang w:val="de-DE"/>
        </w:rPr>
      </w:pPr>
    </w:p>
    <w:p w:rsidR="007A683A" w:rsidRPr="007E00FD" w:rsidRDefault="004A094B" w:rsidP="007E00FD">
      <w:pPr>
        <w:rPr>
          <w:rFonts w:cs="Arial"/>
          <w:color w:val="000000"/>
          <w:lang w:val="de-DE"/>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E00FD">
        <w:rPr>
          <w:szCs w:val="24"/>
          <w:lang w:val="de-DE"/>
        </w:rPr>
        <w:tab/>
        <w:t>Vom</w:t>
      </w:r>
      <w:r w:rsidR="007A683A" w:rsidRPr="007E00FD">
        <w:rPr>
          <w:szCs w:val="24"/>
          <w:lang w:val="de-DE"/>
        </w:rPr>
        <w:t xml:space="preserve"> </w:t>
      </w:r>
      <w:r w:rsidR="007E00FD" w:rsidRPr="007E00FD">
        <w:rPr>
          <w:lang w:val="de-DE"/>
        </w:rPr>
        <w:t xml:space="preserve">26. Januar bis 1. Februar nahm das Büro </w:t>
      </w:r>
      <w:r w:rsidR="007E00FD" w:rsidRPr="007E00FD">
        <w:rPr>
          <w:snapToGrid w:val="0"/>
          <w:color w:val="000000"/>
          <w:lang w:val="de-DE"/>
        </w:rPr>
        <w:t xml:space="preserve">in </w:t>
      </w:r>
      <w:r w:rsidR="007E00FD" w:rsidRPr="007E00FD">
        <w:rPr>
          <w:color w:val="000000"/>
          <w:lang w:val="de-DE"/>
        </w:rPr>
        <w:t xml:space="preserve">Tokio, Chiba, Tsukuba und Hachimantai, Japan, </w:t>
      </w:r>
      <w:r w:rsidR="007E00FD" w:rsidRPr="007E00FD">
        <w:rPr>
          <w:lang w:val="de-DE"/>
        </w:rPr>
        <w:t xml:space="preserve">an </w:t>
      </w:r>
      <w:r w:rsidR="007E00FD" w:rsidRPr="007E00FD">
        <w:rPr>
          <w:snapToGrid w:val="0"/>
          <w:color w:val="000000"/>
          <w:lang w:val="de-DE"/>
        </w:rPr>
        <w:t>einer Studienreise und an damit verbundenen Tagungen für hochrangige für den Sortenschutz in Kambodscha, Indonesien und der Demokratischen Volksrepublik Laos zuständige Beamte teil</w:t>
      </w:r>
      <w:r w:rsidR="007A683A" w:rsidRPr="007E00FD">
        <w:rPr>
          <w:color w:val="000000"/>
          <w:lang w:val="de-DE"/>
        </w:rPr>
        <w:t>.</w:t>
      </w:r>
    </w:p>
    <w:p w:rsidR="007A683A" w:rsidRPr="007E00FD" w:rsidRDefault="007A683A" w:rsidP="007A683A">
      <w:pPr>
        <w:rPr>
          <w:rFonts w:cs="Arial"/>
          <w:color w:val="000000"/>
          <w:lang w:val="de-DE"/>
        </w:rPr>
      </w:pPr>
    </w:p>
    <w:p w:rsidR="007A683A" w:rsidRPr="007E00FD" w:rsidRDefault="004A094B" w:rsidP="007E00FD">
      <w:pPr>
        <w:rPr>
          <w:rFonts w:cs="Arial"/>
          <w:color w:val="000000"/>
          <w:lang w:val="de-DE"/>
        </w:rPr>
      </w:pPr>
      <w:r w:rsidRPr="006054BD">
        <w:rPr>
          <w:rFonts w:cs="Arial"/>
          <w:color w:val="000000"/>
        </w:rPr>
        <w:fldChar w:fldCharType="begin"/>
      </w:r>
      <w:r w:rsidR="007A683A" w:rsidRPr="007E00FD">
        <w:rPr>
          <w:rFonts w:cs="Arial"/>
          <w:color w:val="000000"/>
          <w:lang w:val="de-DE"/>
        </w:rPr>
        <w:instrText xml:space="preserve"> AUTONUM  </w:instrText>
      </w:r>
      <w:r w:rsidRPr="006054BD">
        <w:rPr>
          <w:rFonts w:cs="Arial"/>
          <w:color w:val="000000"/>
        </w:rPr>
        <w:fldChar w:fldCharType="end"/>
      </w:r>
      <w:r w:rsidR="007E00FD">
        <w:rPr>
          <w:rFonts w:cs="Arial"/>
          <w:color w:val="000000"/>
          <w:lang w:val="de-DE"/>
        </w:rPr>
        <w:tab/>
        <w:t>Zwischen dem</w:t>
      </w:r>
      <w:r w:rsidR="007A683A" w:rsidRPr="007E00FD">
        <w:rPr>
          <w:rFonts w:cs="Arial"/>
          <w:color w:val="000000"/>
          <w:lang w:val="de-DE"/>
        </w:rPr>
        <w:t xml:space="preserve"> </w:t>
      </w:r>
      <w:r w:rsidR="007E00FD" w:rsidRPr="007E00FD">
        <w:rPr>
          <w:color w:val="000000"/>
          <w:lang w:val="de-DE"/>
        </w:rPr>
        <w:t xml:space="preserve">14. </w:t>
      </w:r>
      <w:r w:rsidR="007E00FD">
        <w:rPr>
          <w:color w:val="000000"/>
          <w:lang w:val="de-DE"/>
        </w:rPr>
        <w:t>und dem</w:t>
      </w:r>
      <w:r w:rsidR="007E00FD" w:rsidRPr="007E00FD">
        <w:rPr>
          <w:color w:val="000000"/>
          <w:lang w:val="de-DE"/>
        </w:rPr>
        <w:t xml:space="preserve"> 22. Februar nahm das Büro in Genf an Teilen der zwanzigsten Tagung des Zwischenstaatlichen Ausschusses für geistiges Eigentum und genetische Ressourcen sowie traditionelle Kenntnisse und Gebräuche (IGC) der WIPO teil</w:t>
      </w:r>
      <w:r w:rsidR="007A683A" w:rsidRPr="007E00FD">
        <w:rPr>
          <w:rFonts w:cs="Arial"/>
          <w:color w:val="000000"/>
          <w:lang w:val="de-DE"/>
        </w:rPr>
        <w:t>.</w:t>
      </w:r>
    </w:p>
    <w:p w:rsidR="007A683A" w:rsidRPr="007E00FD" w:rsidRDefault="007A683A" w:rsidP="007A683A">
      <w:pPr>
        <w:rPr>
          <w:rFonts w:cs="Arial"/>
          <w:color w:val="000000"/>
          <w:lang w:val="de-DE"/>
        </w:rPr>
      </w:pPr>
    </w:p>
    <w:p w:rsidR="007A683A" w:rsidRPr="007E00FD" w:rsidRDefault="004A094B" w:rsidP="007E00FD">
      <w:pPr>
        <w:rPr>
          <w:rFonts w:cs="Arial"/>
          <w:color w:val="000000"/>
          <w:lang w:val="de-DE"/>
        </w:rPr>
      </w:pPr>
      <w:r w:rsidRPr="006054BD">
        <w:rPr>
          <w:rFonts w:cs="Arial"/>
          <w:color w:val="000000"/>
        </w:rPr>
        <w:fldChar w:fldCharType="begin"/>
      </w:r>
      <w:r w:rsidR="007A683A" w:rsidRPr="007E00FD">
        <w:rPr>
          <w:rFonts w:cs="Arial"/>
          <w:color w:val="000000"/>
          <w:lang w:val="de-DE"/>
        </w:rPr>
        <w:instrText xml:space="preserve"> AUTONUM  </w:instrText>
      </w:r>
      <w:r w:rsidRPr="006054BD">
        <w:rPr>
          <w:rFonts w:cs="Arial"/>
          <w:color w:val="000000"/>
        </w:rPr>
        <w:fldChar w:fldCharType="end"/>
      </w:r>
      <w:r w:rsidR="007E00FD">
        <w:rPr>
          <w:rFonts w:cs="Arial"/>
          <w:color w:val="000000"/>
          <w:lang w:val="de-DE"/>
        </w:rPr>
        <w:tab/>
        <w:t>Am</w:t>
      </w:r>
      <w:r w:rsidR="007A683A" w:rsidRPr="007E00FD">
        <w:rPr>
          <w:rFonts w:cs="Arial"/>
          <w:color w:val="000000"/>
          <w:lang w:val="de-DE"/>
        </w:rPr>
        <w:t xml:space="preserve"> </w:t>
      </w:r>
      <w:r w:rsidR="007E00FD" w:rsidRPr="007E00FD">
        <w:rPr>
          <w:color w:val="000000"/>
          <w:lang w:val="de-DE"/>
        </w:rPr>
        <w:t xml:space="preserve">21. Februar empfing das Büro in Genf Frau Fatima Al Ghazali, Gesandte, Ständige Vertretung des </w:t>
      </w:r>
      <w:proofErr w:type="gramStart"/>
      <w:r w:rsidR="007E00FD" w:rsidRPr="007E00FD">
        <w:rPr>
          <w:color w:val="000000"/>
          <w:lang w:val="de-DE"/>
        </w:rPr>
        <w:t>Oman</w:t>
      </w:r>
      <w:proofErr w:type="gramEnd"/>
      <w:r w:rsidR="007E00FD" w:rsidRPr="007E00FD">
        <w:rPr>
          <w:color w:val="000000"/>
          <w:lang w:val="de-DE"/>
        </w:rPr>
        <w:t>. Dabei wurde die Abhaltung einer Arbeitstagung in Oman zur Sensibilisierung für Sortenschutz erörtert (vergleiche Absatz 45</w:t>
      </w:r>
      <w:r w:rsidR="007A683A" w:rsidRPr="007E00FD">
        <w:rPr>
          <w:color w:val="000000"/>
          <w:szCs w:val="24"/>
          <w:lang w:val="de-DE"/>
        </w:rPr>
        <w:t>).</w:t>
      </w:r>
    </w:p>
    <w:p w:rsidR="007A683A" w:rsidRPr="007E00FD" w:rsidRDefault="007A683A" w:rsidP="007A683A">
      <w:pPr>
        <w:rPr>
          <w:rFonts w:cs="Arial"/>
          <w:color w:val="000000"/>
          <w:lang w:val="de-DE"/>
        </w:rPr>
      </w:pPr>
    </w:p>
    <w:p w:rsidR="007A683A" w:rsidRPr="007E00FD" w:rsidRDefault="004A094B" w:rsidP="007E00FD">
      <w:pPr>
        <w:rPr>
          <w:rFonts w:cs="Arial"/>
          <w:color w:val="000000"/>
          <w:lang w:val="de-DE" w:eastAsia="ja-JP"/>
        </w:rPr>
      </w:pPr>
      <w:r w:rsidRPr="006054BD">
        <w:rPr>
          <w:szCs w:val="24"/>
        </w:rPr>
        <w:fldChar w:fldCharType="begin"/>
      </w:r>
      <w:r w:rsidR="007A683A" w:rsidRPr="007E00FD">
        <w:rPr>
          <w:szCs w:val="24"/>
          <w:lang w:val="de-DE"/>
        </w:rPr>
        <w:instrText xml:space="preserve"> AUTONUM  </w:instrText>
      </w:r>
      <w:r w:rsidRPr="006054BD">
        <w:rPr>
          <w:szCs w:val="24"/>
        </w:rPr>
        <w:fldChar w:fldCharType="end"/>
      </w:r>
      <w:r w:rsidR="007E00FD">
        <w:rPr>
          <w:szCs w:val="24"/>
          <w:lang w:val="de-DE"/>
        </w:rPr>
        <w:tab/>
        <w:t>Am</w:t>
      </w:r>
      <w:r w:rsidR="007A683A" w:rsidRPr="007E00FD">
        <w:rPr>
          <w:szCs w:val="24"/>
          <w:lang w:val="de-DE"/>
        </w:rPr>
        <w:t xml:space="preserve"> </w:t>
      </w:r>
      <w:r w:rsidR="007E00FD" w:rsidRPr="007E00FD">
        <w:rPr>
          <w:lang w:val="de-DE"/>
        </w:rPr>
        <w:t xml:space="preserve">24. Februar nahm das Büro in </w:t>
      </w:r>
      <w:r w:rsidR="007E00FD" w:rsidRPr="007E00FD">
        <w:rPr>
          <w:color w:val="000000"/>
          <w:lang w:val="de-DE"/>
        </w:rPr>
        <w:t>Phnom Penh, Kambodscha</w:t>
      </w:r>
      <w:r w:rsidR="007E00FD" w:rsidRPr="007E00FD">
        <w:rPr>
          <w:lang w:val="de-DE"/>
        </w:rPr>
        <w:t xml:space="preserve">, an einem </w:t>
      </w:r>
      <w:r w:rsidR="007E00FD" w:rsidRPr="007E00FD">
        <w:rPr>
          <w:snapToGrid w:val="0"/>
          <w:color w:val="000000"/>
          <w:lang w:val="de-DE"/>
        </w:rPr>
        <w:t xml:space="preserve">Seminar zur Sensibilisierung für den Sortenschutz </w:t>
      </w:r>
      <w:r w:rsidR="007E00FD" w:rsidRPr="007E00FD">
        <w:rPr>
          <w:color w:val="000000"/>
          <w:lang w:val="de-DE"/>
        </w:rPr>
        <w:t>teil, das vom kambodschanischen Ministerium für Landwirtschaft, Forstwirtschaft und Fischerei in Zusammenarbeit mit dem japanischen Ministerium für Landwirtschaft, Forstwirtschaft und Fischerei im Rahmen der Tätigkeiten zur Zusammenarbeit des Ostasienforums über Sortenschutz (EAPVP</w:t>
      </w:r>
      <w:r w:rsidR="007E00FD" w:rsidRPr="007E00FD">
        <w:rPr>
          <w:color w:val="000000"/>
          <w:lang w:val="de-DE"/>
        </w:rPr>
        <w:noBreakHyphen/>
        <w:t>Forum) organisiert worden war</w:t>
      </w:r>
      <w:r w:rsidR="007A683A" w:rsidRPr="007E00FD">
        <w:rPr>
          <w:rFonts w:cs="Arial" w:hint="eastAsia"/>
          <w:color w:val="000000"/>
          <w:lang w:val="de-DE" w:eastAsia="ja-JP"/>
        </w:rPr>
        <w:t>.</w:t>
      </w:r>
    </w:p>
    <w:p w:rsidR="007A683A" w:rsidRPr="007E00FD" w:rsidRDefault="007A683A" w:rsidP="007A683A">
      <w:pPr>
        <w:rPr>
          <w:rFonts w:cs="Arial"/>
          <w:color w:val="000000"/>
          <w:lang w:val="de-DE" w:eastAsia="ja-JP"/>
        </w:rPr>
      </w:pPr>
    </w:p>
    <w:p w:rsidR="007A683A" w:rsidRPr="002A2BE2" w:rsidRDefault="004A094B" w:rsidP="002A2BE2">
      <w:pPr>
        <w:rPr>
          <w:rFonts w:cs="Arial"/>
          <w:noProof/>
          <w:color w:val="000000"/>
          <w:lang w:val="de-DE" w:eastAsia="ja-JP" w:bidi="km-KH"/>
        </w:rPr>
      </w:pPr>
      <w:r w:rsidRPr="006054BD">
        <w:rPr>
          <w:snapToGrid w:val="0"/>
          <w:lang w:eastAsia="ja-JP"/>
        </w:rPr>
        <w:fldChar w:fldCharType="begin"/>
      </w:r>
      <w:r w:rsidR="007A683A" w:rsidRPr="002A2BE2">
        <w:rPr>
          <w:snapToGrid w:val="0"/>
          <w:lang w:val="de-DE" w:eastAsia="ja-JP"/>
        </w:rPr>
        <w:instrText xml:space="preserve"> AUTONUM  </w:instrText>
      </w:r>
      <w:r w:rsidRPr="006054BD">
        <w:rPr>
          <w:snapToGrid w:val="0"/>
          <w:lang w:eastAsia="ja-JP"/>
        </w:rPr>
        <w:fldChar w:fldCharType="end"/>
      </w:r>
      <w:r w:rsidR="007A683A" w:rsidRPr="002A2BE2">
        <w:rPr>
          <w:snapToGrid w:val="0"/>
          <w:lang w:val="de-DE" w:eastAsia="ja-JP"/>
        </w:rPr>
        <w:tab/>
      </w:r>
      <w:r w:rsidR="002A2BE2">
        <w:rPr>
          <w:snapToGrid w:val="0"/>
          <w:lang w:val="de-DE" w:eastAsia="ja-JP"/>
        </w:rPr>
        <w:t>Vom</w:t>
      </w:r>
      <w:r w:rsidR="007A683A" w:rsidRPr="002A2BE2">
        <w:rPr>
          <w:snapToGrid w:val="0"/>
          <w:lang w:val="de-DE" w:eastAsia="ja-JP"/>
        </w:rPr>
        <w:t xml:space="preserve"> </w:t>
      </w:r>
      <w:r w:rsidR="002A2BE2" w:rsidRPr="002A2BE2">
        <w:rPr>
          <w:lang w:val="de-DE"/>
        </w:rPr>
        <w:t xml:space="preserve">27. bis 29. Februar nahm das Büro in Pattaya, Thailand, an Teilen des </w:t>
      </w:r>
      <w:r w:rsidR="002A2BE2" w:rsidRPr="002A2BE2">
        <w:rPr>
          <w:snapToGrid w:val="0"/>
          <w:lang w:val="de-DE"/>
        </w:rPr>
        <w:t xml:space="preserve">Kongresses der Saatgutvereinigung für Asien und den Pazifik (APSA) 2011 teil, der </w:t>
      </w:r>
      <w:r w:rsidR="002A2BE2" w:rsidRPr="002A2BE2">
        <w:rPr>
          <w:color w:val="000000"/>
          <w:lang w:val="de-DE"/>
        </w:rPr>
        <w:t>zwei Mal verschoben worden war. Das Büro hielt ein Referat über das „UPOV-Übereinkommen: Züchterausnahme und Ausnahmeregelungen für Landwirte“ bei der Arbeitstagung über Züchterrechte, Patente und Zugang zu biologischer Vielfalt und genetische Ressourcen, die am 27. Februar im Vorfeld des Kongresses stattfand, und lieferte „Aktualisierte Informationen über die Tätigkeiten der UPOV“ bei der Tagung des Ständigen Ausschusses für Geistige Eigentumsrechte am 29. Februar. Am Rande des APSA-Kongresses fand eine Sitzung des Lenkungsausschusses des Weltsaatgutprojektes statt</w:t>
      </w:r>
      <w:r w:rsidR="007A683A" w:rsidRPr="002A2BE2">
        <w:rPr>
          <w:rFonts w:cs="Arial"/>
          <w:noProof/>
          <w:color w:val="000000"/>
          <w:lang w:val="de-DE" w:eastAsia="ja-JP" w:bidi="km-KH"/>
        </w:rPr>
        <w:t>.</w:t>
      </w:r>
    </w:p>
    <w:p w:rsidR="007A683A" w:rsidRPr="002A2BE2" w:rsidRDefault="007A683A" w:rsidP="007A683A">
      <w:pPr>
        <w:rPr>
          <w:rFonts w:cs="Arial"/>
          <w:noProof/>
          <w:color w:val="000000"/>
          <w:lang w:val="de-DE" w:eastAsia="ja-JP" w:bidi="km-KH"/>
        </w:rPr>
      </w:pPr>
    </w:p>
    <w:p w:rsidR="007A683A" w:rsidRPr="002A2BE2" w:rsidRDefault="004A094B" w:rsidP="002A2BE2">
      <w:pPr>
        <w:rPr>
          <w:lang w:val="de-DE"/>
        </w:rPr>
      </w:pPr>
      <w:r w:rsidRPr="006054BD">
        <w:rPr>
          <w:snapToGrid w:val="0"/>
          <w:lang w:eastAsia="ja-JP"/>
        </w:rPr>
        <w:fldChar w:fldCharType="begin"/>
      </w:r>
      <w:r w:rsidR="007A683A" w:rsidRPr="002A2BE2">
        <w:rPr>
          <w:snapToGrid w:val="0"/>
          <w:lang w:val="de-DE" w:eastAsia="ja-JP"/>
        </w:rPr>
        <w:instrText xml:space="preserve"> AUTONUM  </w:instrText>
      </w:r>
      <w:r w:rsidRPr="006054BD">
        <w:rPr>
          <w:snapToGrid w:val="0"/>
          <w:lang w:eastAsia="ja-JP"/>
        </w:rPr>
        <w:fldChar w:fldCharType="end"/>
      </w:r>
      <w:r w:rsidR="007A683A" w:rsidRPr="002A2BE2">
        <w:rPr>
          <w:snapToGrid w:val="0"/>
          <w:lang w:val="de-DE" w:eastAsia="ja-JP"/>
        </w:rPr>
        <w:tab/>
      </w:r>
      <w:r w:rsidR="002A2BE2">
        <w:rPr>
          <w:lang w:val="de-DE"/>
        </w:rPr>
        <w:t>Am</w:t>
      </w:r>
      <w:r w:rsidR="007A683A" w:rsidRPr="002A2BE2">
        <w:rPr>
          <w:lang w:val="de-DE"/>
        </w:rPr>
        <w:t xml:space="preserve"> </w:t>
      </w:r>
      <w:r w:rsidR="002A2BE2" w:rsidRPr="002A2BE2">
        <w:rPr>
          <w:lang w:val="de-DE"/>
        </w:rPr>
        <w:t>28. Februar nahm das Büro am Hauptsitz der Welthandelsorganisation (WTO) in Genf an einschlägigen Teilen der Tagung des Rates für das Übereinkommen über handelsbezogene Aspekte der Rechte des geistigen Eigentums (Rat für TRIPS) teil</w:t>
      </w:r>
      <w:r w:rsidR="007A683A" w:rsidRPr="002A2BE2">
        <w:rPr>
          <w:szCs w:val="24"/>
          <w:lang w:val="de-DE"/>
        </w:rPr>
        <w:t>.</w:t>
      </w:r>
    </w:p>
    <w:p w:rsidR="007A683A" w:rsidRPr="002A2BE2" w:rsidRDefault="007A683A" w:rsidP="007A683A">
      <w:pPr>
        <w:rPr>
          <w:lang w:val="de-DE"/>
        </w:rPr>
      </w:pPr>
    </w:p>
    <w:p w:rsidR="007A683A" w:rsidRPr="002A2BE2" w:rsidRDefault="004A094B" w:rsidP="00E2083C">
      <w:pPr>
        <w:rPr>
          <w:lang w:val="de-DE"/>
        </w:rPr>
      </w:pPr>
      <w:r w:rsidRPr="006054BD">
        <w:rPr>
          <w:szCs w:val="24"/>
        </w:rPr>
        <w:fldChar w:fldCharType="begin"/>
      </w:r>
      <w:r w:rsidR="007A683A" w:rsidRPr="002A2BE2">
        <w:rPr>
          <w:szCs w:val="24"/>
          <w:lang w:val="de-DE"/>
        </w:rPr>
        <w:instrText xml:space="preserve"> AUTONUM  </w:instrText>
      </w:r>
      <w:r w:rsidRPr="006054BD">
        <w:rPr>
          <w:szCs w:val="24"/>
        </w:rPr>
        <w:fldChar w:fldCharType="end"/>
      </w:r>
      <w:r w:rsidR="002A2BE2">
        <w:rPr>
          <w:szCs w:val="24"/>
          <w:lang w:val="de-DE"/>
        </w:rPr>
        <w:tab/>
        <w:t>Vom</w:t>
      </w:r>
      <w:r w:rsidR="007A683A" w:rsidRPr="002A2BE2">
        <w:rPr>
          <w:szCs w:val="24"/>
          <w:lang w:val="de-DE"/>
        </w:rPr>
        <w:t xml:space="preserve"> </w:t>
      </w:r>
      <w:r w:rsidR="002A2BE2" w:rsidRPr="002A2BE2">
        <w:rPr>
          <w:lang w:val="de-DE"/>
        </w:rPr>
        <w:t xml:space="preserve">5. bis 8. März </w:t>
      </w:r>
      <w:r w:rsidR="00E2083C" w:rsidRPr="002A2BE2">
        <w:rPr>
          <w:lang w:val="de-DE"/>
        </w:rPr>
        <w:t xml:space="preserve">nahm das Büro </w:t>
      </w:r>
      <w:r w:rsidR="002A2BE2" w:rsidRPr="002A2BE2">
        <w:rPr>
          <w:lang w:val="de-DE"/>
        </w:rPr>
        <w:t>in Sansibar, Vereinigte Republik Tansania, am zwölften Jahres</w:t>
      </w:r>
      <w:r w:rsidR="007C2539">
        <w:rPr>
          <w:lang w:val="de-DE"/>
        </w:rPr>
        <w:t xml:space="preserve">kongreß </w:t>
      </w:r>
      <w:r w:rsidR="002A2BE2" w:rsidRPr="002A2BE2">
        <w:rPr>
          <w:lang w:val="de-DE"/>
        </w:rPr>
        <w:t xml:space="preserve">des Afrikanischen Saatguthandelsverbandes (AFSTA) teil, wo es ein Referat über jüngste Entwicklungen bei der UPOV hielt. Das Büro organisierte auch eine Arbeitstagung über Sortenschutz, die vor dem </w:t>
      </w:r>
      <w:r w:rsidR="007C2539">
        <w:rPr>
          <w:lang w:val="de-DE"/>
        </w:rPr>
        <w:t xml:space="preserve">Kongreß </w:t>
      </w:r>
      <w:r w:rsidR="002A2BE2" w:rsidRPr="002A2BE2">
        <w:rPr>
          <w:lang w:val="de-DE"/>
        </w:rPr>
        <w:t>am 5. März stattfand</w:t>
      </w:r>
      <w:r w:rsidR="007A683A" w:rsidRPr="002A2BE2">
        <w:rPr>
          <w:lang w:val="de-DE"/>
        </w:rPr>
        <w:t>.</w:t>
      </w:r>
    </w:p>
    <w:p w:rsidR="007A683A" w:rsidRPr="002A2BE2" w:rsidRDefault="007A683A" w:rsidP="007A683A">
      <w:pPr>
        <w:rPr>
          <w:lang w:val="de-DE"/>
        </w:rPr>
      </w:pPr>
    </w:p>
    <w:p w:rsidR="007A683A" w:rsidRPr="002A2BE2" w:rsidRDefault="004A094B" w:rsidP="00E2083C">
      <w:pPr>
        <w:rPr>
          <w:lang w:val="de-DE"/>
        </w:rPr>
      </w:pPr>
      <w:r w:rsidRPr="006054BD">
        <w:fldChar w:fldCharType="begin"/>
      </w:r>
      <w:r w:rsidR="007A683A" w:rsidRPr="002A2BE2">
        <w:rPr>
          <w:lang w:val="de-DE"/>
        </w:rPr>
        <w:instrText xml:space="preserve"> AUTONUM  </w:instrText>
      </w:r>
      <w:r w:rsidRPr="006054BD">
        <w:fldChar w:fldCharType="end"/>
      </w:r>
      <w:r w:rsidR="007A683A" w:rsidRPr="002A2BE2">
        <w:rPr>
          <w:lang w:val="de-DE"/>
        </w:rPr>
        <w:tab/>
      </w:r>
      <w:r w:rsidR="002A2BE2">
        <w:rPr>
          <w:lang w:val="de-DE"/>
        </w:rPr>
        <w:t>Am</w:t>
      </w:r>
      <w:r w:rsidR="007A683A" w:rsidRPr="002A2BE2">
        <w:rPr>
          <w:lang w:val="de-DE"/>
        </w:rPr>
        <w:t xml:space="preserve"> </w:t>
      </w:r>
      <w:r w:rsidR="002A2BE2" w:rsidRPr="002A2BE2">
        <w:rPr>
          <w:lang w:val="de-DE"/>
        </w:rPr>
        <w:t>Abend des 8. März 2012</w:t>
      </w:r>
      <w:r w:rsidR="00E2083C" w:rsidRPr="00E2083C">
        <w:rPr>
          <w:lang w:val="de-DE"/>
        </w:rPr>
        <w:t xml:space="preserve"> </w:t>
      </w:r>
      <w:r w:rsidR="00E2083C" w:rsidRPr="002A2BE2">
        <w:rPr>
          <w:lang w:val="de-DE"/>
        </w:rPr>
        <w:t>war der Lenkungsausschuss des Weltsaatgutprojektes</w:t>
      </w:r>
      <w:r w:rsidR="002A2BE2" w:rsidRPr="002A2BE2">
        <w:rPr>
          <w:lang w:val="de-DE"/>
        </w:rPr>
        <w:t xml:space="preserve"> in Sansibar, Vereinigte Republik Tansania, zu einem von Prof. Maghembe, Minister für Landwirtschaft, Ernährungssichheit und Kooperativen (MAFC), ausgerichteten Abendessen eingeladen, an dem auch Regierungsvertreter und Vertreter des Tansanischen Saatgutverbandes (TASTA) teilnahmen</w:t>
      </w:r>
      <w:r w:rsidR="007A683A" w:rsidRPr="002A2BE2">
        <w:rPr>
          <w:lang w:val="de-DE"/>
        </w:rPr>
        <w:t>.</w:t>
      </w:r>
    </w:p>
    <w:p w:rsidR="007A683A" w:rsidRPr="002A2BE2" w:rsidRDefault="007A683A" w:rsidP="007A683A">
      <w:pPr>
        <w:rPr>
          <w:lang w:val="de-DE"/>
        </w:rPr>
      </w:pPr>
    </w:p>
    <w:p w:rsidR="007A683A" w:rsidRPr="002A2BE2" w:rsidRDefault="004A094B" w:rsidP="002A2BE2">
      <w:pPr>
        <w:rPr>
          <w:lang w:val="de-DE"/>
        </w:rPr>
      </w:pPr>
      <w:r w:rsidRPr="006054BD">
        <w:fldChar w:fldCharType="begin"/>
      </w:r>
      <w:r w:rsidR="007A683A" w:rsidRPr="002A2BE2">
        <w:rPr>
          <w:lang w:val="de-DE"/>
        </w:rPr>
        <w:instrText xml:space="preserve"> AUTONUM  </w:instrText>
      </w:r>
      <w:r w:rsidRPr="006054BD">
        <w:fldChar w:fldCharType="end"/>
      </w:r>
      <w:r w:rsidR="002A2BE2">
        <w:rPr>
          <w:lang w:val="de-DE"/>
        </w:rPr>
        <w:tab/>
        <w:t>Am</w:t>
      </w:r>
      <w:r w:rsidR="007A683A" w:rsidRPr="002A2BE2">
        <w:rPr>
          <w:lang w:val="de-DE"/>
        </w:rPr>
        <w:t xml:space="preserve"> </w:t>
      </w:r>
      <w:r w:rsidR="002A2BE2" w:rsidRPr="002A2BE2">
        <w:rPr>
          <w:lang w:val="de-DE"/>
        </w:rPr>
        <w:t>9. März 2012 hielt der Lenkungsausschuss des Weltsaatgutprojektes ebenfalls in Sansibar seine zweite Sitzung mit Regierungsvertretern und Vertretern des Saatgutsektors der Vereinigten Republik Tansania ab (vergleiche Absatz 20</w:t>
      </w:r>
      <w:r w:rsidR="007A683A" w:rsidRPr="002A2BE2">
        <w:rPr>
          <w:lang w:val="de-DE"/>
        </w:rPr>
        <w:t>).</w:t>
      </w:r>
    </w:p>
    <w:p w:rsidR="007A683A" w:rsidRPr="002A2BE2" w:rsidRDefault="007A683A" w:rsidP="007A683A">
      <w:pPr>
        <w:rPr>
          <w:szCs w:val="24"/>
          <w:lang w:val="de-DE"/>
        </w:rPr>
      </w:pPr>
    </w:p>
    <w:p w:rsidR="007A683A" w:rsidRPr="002A2BE2" w:rsidRDefault="004A094B" w:rsidP="002A2BE2">
      <w:pPr>
        <w:rPr>
          <w:szCs w:val="24"/>
          <w:lang w:val="de-DE"/>
        </w:rPr>
      </w:pPr>
      <w:r w:rsidRPr="006054BD">
        <w:rPr>
          <w:szCs w:val="24"/>
        </w:rPr>
        <w:fldChar w:fldCharType="begin"/>
      </w:r>
      <w:r w:rsidR="007A683A" w:rsidRPr="002A2BE2">
        <w:rPr>
          <w:szCs w:val="24"/>
          <w:lang w:val="de-DE"/>
        </w:rPr>
        <w:instrText xml:space="preserve"> AUTONUM  </w:instrText>
      </w:r>
      <w:r w:rsidRPr="006054BD">
        <w:rPr>
          <w:szCs w:val="24"/>
        </w:rPr>
        <w:fldChar w:fldCharType="end"/>
      </w:r>
      <w:r w:rsidR="002A2BE2">
        <w:rPr>
          <w:szCs w:val="24"/>
          <w:lang w:val="de-DE"/>
        </w:rPr>
        <w:tab/>
        <w:t>Am</w:t>
      </w:r>
      <w:r w:rsidR="007A683A" w:rsidRPr="002A2BE2">
        <w:rPr>
          <w:szCs w:val="24"/>
          <w:lang w:val="de-DE"/>
        </w:rPr>
        <w:t xml:space="preserve"> </w:t>
      </w:r>
      <w:r w:rsidR="002A2BE2" w:rsidRPr="002A2BE2">
        <w:rPr>
          <w:lang w:val="de-DE"/>
        </w:rPr>
        <w:t>13. März erhielt das Büro in Genf den Besuch von Frau Catalina Gaviria Bravo, Beraterin für Handelsangelegenheiten, Ständige Vertretung Kolumbiens bei der WTO in Genf, und Herrn Juan Camilo Saretzki-Forero, Erster Sekretär, Ständige Vertretung Kolumbiens bei den Vereinten Nationen in Genf</w:t>
      </w:r>
      <w:r w:rsidR="007A683A" w:rsidRPr="002A2BE2">
        <w:rPr>
          <w:szCs w:val="24"/>
          <w:lang w:val="de-DE"/>
        </w:rPr>
        <w:t>.</w:t>
      </w:r>
    </w:p>
    <w:p w:rsidR="007A683A" w:rsidRPr="002A2BE2" w:rsidRDefault="007A683A" w:rsidP="007A683A">
      <w:pPr>
        <w:rPr>
          <w:szCs w:val="24"/>
          <w:lang w:val="de-DE"/>
        </w:rPr>
      </w:pPr>
    </w:p>
    <w:p w:rsidR="007A683A" w:rsidRPr="002A2BE2" w:rsidRDefault="004A094B" w:rsidP="00E2083C">
      <w:pPr>
        <w:rPr>
          <w:lang w:val="de-DE"/>
        </w:rPr>
      </w:pPr>
      <w:r w:rsidRPr="006054BD">
        <w:fldChar w:fldCharType="begin"/>
      </w:r>
      <w:r w:rsidR="007A683A" w:rsidRPr="002A2BE2">
        <w:rPr>
          <w:lang w:val="de-DE"/>
        </w:rPr>
        <w:instrText xml:space="preserve"> AUTONUM  </w:instrText>
      </w:r>
      <w:r w:rsidRPr="006054BD">
        <w:fldChar w:fldCharType="end"/>
      </w:r>
      <w:r w:rsidR="002A2BE2">
        <w:rPr>
          <w:lang w:val="de-DE"/>
        </w:rPr>
        <w:tab/>
        <w:t>Am</w:t>
      </w:r>
      <w:r w:rsidR="007A683A" w:rsidRPr="002A2BE2">
        <w:rPr>
          <w:lang w:val="de-DE"/>
        </w:rPr>
        <w:t xml:space="preserve"> </w:t>
      </w:r>
      <w:r w:rsidR="002A2BE2" w:rsidRPr="002A2BE2">
        <w:rPr>
          <w:lang w:val="de-DE"/>
        </w:rPr>
        <w:t xml:space="preserve">20. März hielt das Büro am Hauptsitz der WTO in Genf ein Referat über „Sortenschutz:  Gesetzgebung, Politik und Entwicklung” beim </w:t>
      </w:r>
      <w:bookmarkStart w:id="40" w:name="OLE_LINK10"/>
      <w:bookmarkStart w:id="41" w:name="OLE_LINK11"/>
      <w:r w:rsidR="002A2BE2" w:rsidRPr="002A2BE2">
        <w:rPr>
          <w:lang w:val="de-DE"/>
        </w:rPr>
        <w:t xml:space="preserve">Fortgeschrittenen Lehrgang </w:t>
      </w:r>
      <w:r w:rsidR="00E2083C" w:rsidRPr="002A2BE2">
        <w:rPr>
          <w:lang w:val="de-DE"/>
        </w:rPr>
        <w:t xml:space="preserve">der WIPO/WTO </w:t>
      </w:r>
      <w:r w:rsidR="002A2BE2" w:rsidRPr="002A2BE2">
        <w:rPr>
          <w:lang w:val="de-DE"/>
        </w:rPr>
        <w:t>über geistiges Eigentum für Regierungsbeamte</w:t>
      </w:r>
      <w:bookmarkEnd w:id="40"/>
      <w:bookmarkEnd w:id="41"/>
      <w:r w:rsidR="002A2BE2" w:rsidRPr="002A2BE2">
        <w:rPr>
          <w:lang w:val="de-DE"/>
        </w:rPr>
        <w:t xml:space="preserve">. An dem Kurs nahmen Teilnehmer aus Botswana, Burkina Faso, Chile, China, </w:t>
      </w:r>
      <w:r w:rsidR="00E2083C" w:rsidRPr="002A2BE2">
        <w:rPr>
          <w:lang w:val="de-DE"/>
        </w:rPr>
        <w:t xml:space="preserve">der Demokratischen Volksrepublik Laos, </w:t>
      </w:r>
      <w:r w:rsidR="002A2BE2" w:rsidRPr="002A2BE2">
        <w:rPr>
          <w:lang w:val="de-DE"/>
        </w:rPr>
        <w:t xml:space="preserve">Deutschland, Ghana, Indien, Iran (Islamische Republik), </w:t>
      </w:r>
      <w:r w:rsidR="00E2083C" w:rsidRPr="002A2BE2">
        <w:rPr>
          <w:lang w:val="de-DE"/>
        </w:rPr>
        <w:t>Kambodscha,</w:t>
      </w:r>
      <w:r w:rsidR="00F514B4">
        <w:rPr>
          <w:lang w:val="de-DE"/>
        </w:rPr>
        <w:t xml:space="preserve"> </w:t>
      </w:r>
      <w:r w:rsidR="002A2BE2" w:rsidRPr="002A2BE2">
        <w:rPr>
          <w:lang w:val="de-DE"/>
        </w:rPr>
        <w:t xml:space="preserve">Kanada, </w:t>
      </w:r>
      <w:r w:rsidR="00E2083C">
        <w:rPr>
          <w:lang w:val="de-DE"/>
        </w:rPr>
        <w:t>Kirgisistan</w:t>
      </w:r>
      <w:r w:rsidR="002A2BE2" w:rsidRPr="002A2BE2">
        <w:rPr>
          <w:lang w:val="de-DE"/>
        </w:rPr>
        <w:t>, Kuba, Mexiko, Montenegro, Nigeria, Norwegen, Panama, Peru, der Schwei</w:t>
      </w:r>
      <w:r w:rsidR="00E2083C">
        <w:rPr>
          <w:lang w:val="de-DE"/>
        </w:rPr>
        <w:t xml:space="preserve">z, Serbien, </w:t>
      </w:r>
      <w:r w:rsidR="00E2083C" w:rsidRPr="002A2BE2">
        <w:rPr>
          <w:lang w:val="de-DE"/>
        </w:rPr>
        <w:t>Simbabwe</w:t>
      </w:r>
      <w:r w:rsidR="00E2083C">
        <w:rPr>
          <w:lang w:val="de-DE"/>
        </w:rPr>
        <w:t xml:space="preserve">, Spanien, Sri Lanka </w:t>
      </w:r>
      <w:r w:rsidR="002A2BE2" w:rsidRPr="002A2BE2">
        <w:rPr>
          <w:lang w:val="de-DE"/>
        </w:rPr>
        <w:t>und Tunesien teil</w:t>
      </w:r>
      <w:r w:rsidR="00F91FFF" w:rsidRPr="002A2BE2">
        <w:rPr>
          <w:lang w:val="de-DE"/>
        </w:rPr>
        <w:t>.</w:t>
      </w:r>
    </w:p>
    <w:p w:rsidR="007A683A" w:rsidRPr="002A2BE2" w:rsidRDefault="007A683A" w:rsidP="007A683A">
      <w:pPr>
        <w:rPr>
          <w:lang w:val="de-DE"/>
        </w:rPr>
      </w:pPr>
    </w:p>
    <w:p w:rsidR="007A683A" w:rsidRPr="002F4F2D" w:rsidRDefault="004A094B" w:rsidP="002F4F2D">
      <w:pPr>
        <w:rPr>
          <w:lang w:val="de-DE"/>
        </w:rPr>
      </w:pPr>
      <w:r w:rsidRPr="006054BD">
        <w:fldChar w:fldCharType="begin"/>
      </w:r>
      <w:r w:rsidR="007A683A" w:rsidRPr="002F4F2D">
        <w:rPr>
          <w:lang w:val="de-DE"/>
        </w:rPr>
        <w:instrText xml:space="preserve"> AUTONUM  </w:instrText>
      </w:r>
      <w:r w:rsidRPr="006054BD">
        <w:fldChar w:fldCharType="end"/>
      </w:r>
      <w:r w:rsidR="007A683A" w:rsidRPr="002F4F2D">
        <w:rPr>
          <w:lang w:val="de-DE"/>
        </w:rPr>
        <w:tab/>
      </w:r>
      <w:r w:rsidR="002F4F2D">
        <w:rPr>
          <w:lang w:val="de-DE"/>
        </w:rPr>
        <w:t>In</w:t>
      </w:r>
      <w:r w:rsidR="007A683A" w:rsidRPr="002F4F2D">
        <w:rPr>
          <w:lang w:val="de-DE"/>
        </w:rPr>
        <w:t xml:space="preserve"> </w:t>
      </w:r>
      <w:r w:rsidR="002F4F2D" w:rsidRPr="002F4F2D">
        <w:rPr>
          <w:lang w:val="de-DE"/>
        </w:rPr>
        <w:t xml:space="preserve">der Woche des 26. März hatte das Büro in Genf eine Sitzung mit Herrn Nik Hulse, Leitender Prüfer für Züchterrechte, Züchterrechtsamt, </w:t>
      </w:r>
      <w:r w:rsidR="002F4F2D" w:rsidRPr="002F4F2D">
        <w:rPr>
          <w:i/>
          <w:lang w:val="de-DE"/>
        </w:rPr>
        <w:t>IP Australia</w:t>
      </w:r>
      <w:r w:rsidR="002F4F2D" w:rsidRPr="002F4F2D">
        <w:rPr>
          <w:lang w:val="de-DE"/>
        </w:rPr>
        <w:t>, um die Entwicklung einer webbasierten Vorlage für Prüfungsrichtlinien zu besprechen</w:t>
      </w:r>
      <w:r w:rsidR="007A683A" w:rsidRPr="002F4F2D">
        <w:rPr>
          <w:lang w:val="de-DE"/>
        </w:rPr>
        <w:t>.</w:t>
      </w:r>
    </w:p>
    <w:p w:rsidR="007A683A" w:rsidRPr="002F4F2D" w:rsidRDefault="007A683A" w:rsidP="007A683A">
      <w:pPr>
        <w:rPr>
          <w:lang w:val="de-DE"/>
        </w:rPr>
      </w:pPr>
    </w:p>
    <w:p w:rsidR="007A683A" w:rsidRPr="002F4F2D" w:rsidRDefault="004A094B" w:rsidP="002F4F2D">
      <w:pPr>
        <w:rPr>
          <w:lang w:val="de-DE"/>
        </w:rPr>
      </w:pPr>
      <w:r w:rsidRPr="006054BD">
        <w:fldChar w:fldCharType="begin"/>
      </w:r>
      <w:r w:rsidR="007A683A" w:rsidRPr="002F4F2D">
        <w:rPr>
          <w:lang w:val="de-DE"/>
        </w:rPr>
        <w:instrText xml:space="preserve"> AUTONUM  </w:instrText>
      </w:r>
      <w:r w:rsidRPr="006054BD">
        <w:fldChar w:fldCharType="end"/>
      </w:r>
      <w:r w:rsidR="007A683A" w:rsidRPr="002F4F2D">
        <w:rPr>
          <w:lang w:val="de-DE"/>
        </w:rPr>
        <w:tab/>
      </w:r>
      <w:r w:rsidR="002F4F2D">
        <w:rPr>
          <w:lang w:val="de-DE"/>
        </w:rPr>
        <w:t>Vom</w:t>
      </w:r>
      <w:r w:rsidR="007A683A" w:rsidRPr="002F4F2D">
        <w:rPr>
          <w:lang w:val="de-DE"/>
        </w:rPr>
        <w:t xml:space="preserve"> </w:t>
      </w:r>
      <w:r w:rsidR="002F4F2D" w:rsidRPr="002F4F2D">
        <w:rPr>
          <w:lang w:val="de-DE"/>
        </w:rPr>
        <w:t>16. bis 18. April nahm das Büro an Sitzungen des Lenkungsausschusses des Weltsaatgutprojekts in Accra, Ghana, teil. Der Lenkungsausschuss traf mit Seiner Exzellenz Herrn Kwesi Ahwoi, Minister für Landwirtschaft und Ernährung, Frau Grace Ama Issahaque, Leitende Staatsanwältin, Abteilung des Registerbeamten, Justizministerium, anderen Regierungsbeamten und Vertretern des Saatgutsektors in Ghana zusammen</w:t>
      </w:r>
      <w:r w:rsidR="007A683A" w:rsidRPr="002F4F2D">
        <w:rPr>
          <w:lang w:val="de-DE"/>
        </w:rPr>
        <w:t>.</w:t>
      </w:r>
    </w:p>
    <w:p w:rsidR="007A683A" w:rsidRPr="002F4F2D" w:rsidRDefault="007A683A" w:rsidP="007A683A">
      <w:pPr>
        <w:rPr>
          <w:lang w:val="de-DE"/>
        </w:rPr>
      </w:pPr>
    </w:p>
    <w:p w:rsidR="007A683A" w:rsidRPr="002F4F2D" w:rsidRDefault="004A094B" w:rsidP="002F4F2D">
      <w:pPr>
        <w:rPr>
          <w:lang w:val="de-DE"/>
        </w:rPr>
      </w:pPr>
      <w:r w:rsidRPr="006054BD">
        <w:fldChar w:fldCharType="begin"/>
      </w:r>
      <w:r w:rsidR="007A683A" w:rsidRPr="002F4F2D">
        <w:rPr>
          <w:lang w:val="de-DE"/>
        </w:rPr>
        <w:instrText xml:space="preserve"> AUTONUM  </w:instrText>
      </w:r>
      <w:r w:rsidRPr="006054BD">
        <w:fldChar w:fldCharType="end"/>
      </w:r>
      <w:r w:rsidR="002F4F2D">
        <w:rPr>
          <w:lang w:val="de-DE"/>
        </w:rPr>
        <w:tab/>
        <w:t>Am</w:t>
      </w:r>
      <w:r w:rsidR="007A683A" w:rsidRPr="002F4F2D">
        <w:rPr>
          <w:lang w:val="de-DE"/>
        </w:rPr>
        <w:t xml:space="preserve"> </w:t>
      </w:r>
      <w:r w:rsidR="002F4F2D" w:rsidRPr="002F4F2D">
        <w:rPr>
          <w:lang w:val="de-DE"/>
        </w:rPr>
        <w:t>19. April nahm das Büro in Belgrad, Serbien, an einer „Konferenz über Züchterrechte und UPOV</w:t>
      </w:r>
      <w:r w:rsidR="002F4F2D" w:rsidRPr="002F4F2D">
        <w:rPr>
          <w:lang w:val="de-DE"/>
        </w:rPr>
        <w:noBreakHyphen/>
        <w:t>Mitgliedschaft“ teil, die vom Pflanzenschutzdirektorat des Ministeriums für Landwirtschaft, Handel, Forst- und Wasserwirtschaft (MATFWM) von Serbien in Zusammenarbeit mit der niederländischen Botschaft in Belgrad und dem USAID-Agribusiness-Projekt organisiert worden war. Das Büro hielt ein Referat über „Einführung in das UPOV-System und Vorzüge der UPOV-Mitgliedschaft; Verbesserter Zugang zu neuen Sorten in kürzlich beigetretenen Ländern.“</w:t>
      </w:r>
    </w:p>
    <w:p w:rsidR="007A683A" w:rsidRPr="002F4F2D" w:rsidRDefault="007A683A" w:rsidP="007A683A">
      <w:pPr>
        <w:rPr>
          <w:lang w:val="de-DE"/>
        </w:rPr>
      </w:pPr>
    </w:p>
    <w:p w:rsidR="007A683A" w:rsidRPr="002F4F2D" w:rsidRDefault="004A094B" w:rsidP="006F0904">
      <w:pPr>
        <w:rPr>
          <w:lang w:val="de-DE"/>
        </w:rPr>
      </w:pPr>
      <w:r w:rsidRPr="006054BD">
        <w:fldChar w:fldCharType="begin"/>
      </w:r>
      <w:r w:rsidR="007A683A" w:rsidRPr="002F4F2D">
        <w:rPr>
          <w:lang w:val="de-DE"/>
        </w:rPr>
        <w:instrText xml:space="preserve"> AUTONUM  </w:instrText>
      </w:r>
      <w:r w:rsidRPr="006054BD">
        <w:fldChar w:fldCharType="end"/>
      </w:r>
      <w:r w:rsidR="002F4F2D">
        <w:rPr>
          <w:lang w:val="de-DE"/>
        </w:rPr>
        <w:tab/>
        <w:t>Vom</w:t>
      </w:r>
      <w:r w:rsidR="007A683A" w:rsidRPr="002F4F2D">
        <w:rPr>
          <w:lang w:val="de-DE"/>
        </w:rPr>
        <w:t xml:space="preserve"> </w:t>
      </w:r>
      <w:r w:rsidR="002F4F2D" w:rsidRPr="002F4F2D">
        <w:rPr>
          <w:lang w:val="de-DE"/>
        </w:rPr>
        <w:t>23. bis 27. April hielt das USPTO in Zusammenarbeit mit UPOV einen Lehrgang über „Sortenschutz nach dem UPOV-Übereinkommen“ in Alexandria, Virginia, Vereinigte Staaten von Amerika</w:t>
      </w:r>
      <w:r w:rsidR="006F0904">
        <w:rPr>
          <w:lang w:val="de-DE"/>
        </w:rPr>
        <w:t>,</w:t>
      </w:r>
      <w:r w:rsidR="002F4F2D" w:rsidRPr="002F4F2D">
        <w:rPr>
          <w:lang w:val="de-DE"/>
        </w:rPr>
        <w:t xml:space="preserve"> ab. Ziel des Lehrgangs ist die Schulung von Personen („Ausbildern“), die andere im Bereich der Züchterrechte nach dem UPOV-Übereinkommen schulen werden. Vor dem USPTO/UPOV-Lehrgang mussten alle Teilnehmer erfolgreich den UPOV-Fernlehrgang DL-205 „Einführung in das UPOV-Sortenschutzsystem nach dem UPOV-Übereinkommen“ absolvieren</w:t>
      </w:r>
      <w:r w:rsidR="002F4F2D">
        <w:rPr>
          <w:lang w:val="de-DE"/>
        </w:rPr>
        <w:t>.</w:t>
      </w:r>
    </w:p>
    <w:p w:rsidR="007A683A" w:rsidRPr="002F4F2D"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Pr>
          <w:lang w:val="de-DE"/>
        </w:rPr>
        <w:t>Am</w:t>
      </w:r>
      <w:r w:rsidR="007A683A" w:rsidRPr="00BA162C">
        <w:rPr>
          <w:lang w:val="de-DE"/>
        </w:rPr>
        <w:t xml:space="preserve"> </w:t>
      </w:r>
      <w:r w:rsidR="00BA162C" w:rsidRPr="00BA162C">
        <w:rPr>
          <w:lang w:val="de-DE"/>
        </w:rPr>
        <w:t>23. und 24. April nahm das Büro in Genf an einer Sitzung betreffend den WIPO-</w:t>
      </w:r>
      <w:r w:rsidR="00BA162C" w:rsidRPr="00BA162C">
        <w:rPr>
          <w:snapToGrid w:val="0"/>
          <w:lang w:val="de-DE"/>
        </w:rPr>
        <w:t>Rahmen für die Gestaltung entwicklungsförderlicher nationaler Strategien für geistiges Eigentum teil und leistete einen Beitrag zum thematischen Modul 2 „Landwirtschaft, ländliche Entwicklung und geistiges Eigentum“</w:t>
      </w:r>
      <w:r w:rsidR="00BA162C" w:rsidRPr="00BA162C">
        <w:rPr>
          <w:lang w:val="de-DE"/>
        </w:rPr>
        <w:t>.</w:t>
      </w:r>
    </w:p>
    <w:p w:rsidR="007A683A" w:rsidRPr="00BA162C" w:rsidRDefault="007A683A" w:rsidP="007A683A">
      <w:pPr>
        <w:rPr>
          <w:lang w:val="de-DE"/>
        </w:rPr>
      </w:pPr>
    </w:p>
    <w:p w:rsidR="007A683A" w:rsidRPr="00BA162C" w:rsidRDefault="004A094B" w:rsidP="00F514B4">
      <w:pPr>
        <w:rPr>
          <w:rFonts w:cs="Arial"/>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Pr>
          <w:lang w:val="de-DE"/>
        </w:rPr>
        <w:t>Am</w:t>
      </w:r>
      <w:r w:rsidR="007A683A" w:rsidRPr="00BA162C">
        <w:rPr>
          <w:rFonts w:cs="Arial"/>
          <w:lang w:val="de-DE"/>
        </w:rPr>
        <w:t xml:space="preserve"> </w:t>
      </w:r>
      <w:r w:rsidR="006F0904" w:rsidRPr="006F0904">
        <w:rPr>
          <w:lang w:val="de-DE"/>
        </w:rPr>
        <w:t>24. April nahm das Büro in Miami, Vereinigte Staaten von Amerika, an dem der Öffentlichkeit zugänglichen Teil der Jahrestagung der Internationalen Gemeinschaft der Züchter vegetativ vermehrbarer Zier- und Obstpflanzen (CIOPORA) teil und hielt ein Referat über die jüngsten Entwicklungen bei der UPOV</w:t>
      </w:r>
      <w:r w:rsidR="00BA162C" w:rsidRPr="00BA162C">
        <w:rPr>
          <w:lang w:val="de-DE"/>
        </w:rPr>
        <w:t>.</w:t>
      </w:r>
    </w:p>
    <w:p w:rsidR="007A683A" w:rsidRPr="00BA162C" w:rsidRDefault="007A683A" w:rsidP="007A683A">
      <w:pPr>
        <w:rPr>
          <w:rFonts w:cs="Arial"/>
          <w:lang w:val="de-DE"/>
        </w:rPr>
      </w:pPr>
    </w:p>
    <w:p w:rsidR="007A683A" w:rsidRPr="00BA162C" w:rsidRDefault="004A094B" w:rsidP="00BA162C">
      <w:pPr>
        <w:rPr>
          <w:rFonts w:cs="Arial"/>
          <w:lang w:val="de-DE"/>
        </w:rPr>
      </w:pPr>
      <w:r w:rsidRPr="006054BD">
        <w:rPr>
          <w:rFonts w:cs="Arial"/>
        </w:rPr>
        <w:fldChar w:fldCharType="begin"/>
      </w:r>
      <w:r w:rsidR="007A683A" w:rsidRPr="00BA162C">
        <w:rPr>
          <w:rFonts w:cs="Arial"/>
          <w:lang w:val="de-DE"/>
        </w:rPr>
        <w:instrText xml:space="preserve"> AUTONUM  </w:instrText>
      </w:r>
      <w:r w:rsidRPr="006054BD">
        <w:rPr>
          <w:rFonts w:cs="Arial"/>
        </w:rPr>
        <w:fldChar w:fldCharType="end"/>
      </w:r>
      <w:r w:rsidR="007A683A" w:rsidRPr="00BA162C">
        <w:rPr>
          <w:rFonts w:cs="Arial"/>
          <w:lang w:val="de-DE"/>
        </w:rPr>
        <w:tab/>
      </w:r>
      <w:r w:rsidR="00BA162C">
        <w:rPr>
          <w:lang w:val="de-DE"/>
        </w:rPr>
        <w:t>Am</w:t>
      </w:r>
      <w:r w:rsidR="007A683A" w:rsidRPr="00BA162C">
        <w:rPr>
          <w:rFonts w:cs="Arial"/>
          <w:lang w:val="de-DE"/>
        </w:rPr>
        <w:t xml:space="preserve"> </w:t>
      </w:r>
      <w:r w:rsidR="00BA162C" w:rsidRPr="00BA162C">
        <w:rPr>
          <w:lang w:val="de-DE"/>
        </w:rPr>
        <w:t>25. April war das Büro ebenfalls in Miami dazu eingeladen, bei der internationalen CIOPORA-Konferenz über geistiges Eigentum ein Referat über „Neue Entwicklungen bei der UPOV mit besonderem Bezug zu Gesamtamerika“ zu halten</w:t>
      </w:r>
      <w:r w:rsidR="00BA162C">
        <w:rPr>
          <w:lang w:val="de-DE"/>
        </w:rPr>
        <w:t>.</w:t>
      </w:r>
    </w:p>
    <w:p w:rsidR="007A683A" w:rsidRPr="00BA162C"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Pr>
          <w:lang w:val="de-DE"/>
        </w:rPr>
        <w:t>Am</w:t>
      </w:r>
      <w:r w:rsidR="007A683A" w:rsidRPr="00BA162C">
        <w:rPr>
          <w:lang w:val="de-DE"/>
        </w:rPr>
        <w:t xml:space="preserve"> </w:t>
      </w:r>
      <w:r w:rsidR="00BA162C" w:rsidRPr="00BA162C">
        <w:rPr>
          <w:lang w:val="de-DE"/>
        </w:rPr>
        <w:t>27. April empfing das Büro in Genf seine Exzellenz Herrn Nicolas Niemtchinow, Botschafter von Frankreich, der die Urkunde Frankreichs über die Ratifizierung der Akte von 1991 des UPOV</w:t>
      </w:r>
      <w:r w:rsidR="00BA162C" w:rsidRPr="00BA162C">
        <w:rPr>
          <w:lang w:val="de-DE"/>
        </w:rPr>
        <w:noBreakHyphen/>
        <w:t>Übereinkommens hinterlegte</w:t>
      </w:r>
      <w:r w:rsidR="007A683A" w:rsidRPr="00BA162C">
        <w:rPr>
          <w:lang w:val="de-DE"/>
        </w:rPr>
        <w:t>.</w:t>
      </w:r>
    </w:p>
    <w:p w:rsidR="007A683A" w:rsidRPr="00BA162C" w:rsidRDefault="007A683A" w:rsidP="007A683A">
      <w:pPr>
        <w:rPr>
          <w:lang w:val="de-DE"/>
        </w:rPr>
      </w:pPr>
    </w:p>
    <w:p w:rsidR="007A683A" w:rsidRPr="00BA162C" w:rsidRDefault="004A094B" w:rsidP="00E2083C">
      <w:pPr>
        <w:rPr>
          <w:rFonts w:eastAsia="MS Mincho" w:cs="Arial"/>
          <w:color w:val="000000"/>
          <w:lang w:val="de-DE" w:eastAsia="ja-JP"/>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Pr>
          <w:lang w:val="de-DE"/>
        </w:rPr>
        <w:t>Am</w:t>
      </w:r>
      <w:r w:rsidR="007A683A" w:rsidRPr="00BA162C">
        <w:rPr>
          <w:lang w:val="de-DE"/>
        </w:rPr>
        <w:t xml:space="preserve"> </w:t>
      </w:r>
      <w:r w:rsidR="00BA162C" w:rsidRPr="00BA162C">
        <w:rPr>
          <w:lang w:val="de-DE"/>
        </w:rPr>
        <w:t xml:space="preserve">1. und 2. Mai nahm das Büro in Muscat, Oman, an einem Lehrgang über die Umsetzung von und Sensibilisierung für Sortenschutz teil, der gemeinsam von der UPOV und der Regierung von Oman mit finanzieller Unterstützung des USPTO </w:t>
      </w:r>
      <w:r w:rsidR="00BA162C" w:rsidRPr="00BA162C">
        <w:rPr>
          <w:spacing w:val="-2"/>
          <w:lang w:val="de-DE"/>
        </w:rPr>
        <w:t xml:space="preserve">organisiert worden war. </w:t>
      </w:r>
      <w:r w:rsidR="00BA162C" w:rsidRPr="00BA162C">
        <w:rPr>
          <w:lang w:val="de-DE"/>
        </w:rPr>
        <w:t xml:space="preserve">Am Rande des Lehrgangs hatte das Büro eine Unterredung mit </w:t>
      </w:r>
      <w:r w:rsidR="00BA162C" w:rsidRPr="00BA162C">
        <w:rPr>
          <w:color w:val="000000"/>
          <w:lang w:val="de-DE"/>
        </w:rPr>
        <w:t>dem Generalsekretär des Forschungsrates, Dr. Hilal Bin Ali Al-Hinal, und seinem Team sowie mit dem Minister für Landwirtschaft und Fischerei, seiner Exzellenz Dr. Fuad Bin Ja’afar Al-Sajwani</w:t>
      </w:r>
      <w:r w:rsidR="007A683A" w:rsidRPr="00BA162C">
        <w:rPr>
          <w:rFonts w:eastAsia="MS Mincho" w:cs="Arial"/>
          <w:color w:val="000000"/>
          <w:lang w:val="de-DE" w:eastAsia="ja-JP"/>
        </w:rPr>
        <w:t>.</w:t>
      </w:r>
    </w:p>
    <w:p w:rsidR="007A683A" w:rsidRPr="00BA162C" w:rsidRDefault="007A683A" w:rsidP="007A683A">
      <w:pPr>
        <w:rPr>
          <w:rFonts w:eastAsia="MS Mincho" w:cs="Arial"/>
          <w:color w:val="000000"/>
          <w:lang w:val="de-DE" w:eastAsia="ja-JP"/>
        </w:rPr>
      </w:pPr>
    </w:p>
    <w:p w:rsidR="007A683A" w:rsidRPr="00BA162C" w:rsidRDefault="004A094B" w:rsidP="00BA162C">
      <w:pPr>
        <w:rPr>
          <w:rFonts w:eastAsia="MS Mincho" w:cs="Arial"/>
          <w:color w:val="000000"/>
          <w:lang w:val="de-DE" w:eastAsia="ja-JP"/>
        </w:rPr>
      </w:pPr>
      <w:r w:rsidRPr="006054BD">
        <w:rPr>
          <w:rFonts w:eastAsia="MS Mincho" w:cs="Arial"/>
          <w:color w:val="000000"/>
          <w:lang w:eastAsia="ja-JP"/>
        </w:rPr>
        <w:fldChar w:fldCharType="begin"/>
      </w:r>
      <w:r w:rsidR="007A683A" w:rsidRPr="00BA162C">
        <w:rPr>
          <w:rFonts w:eastAsia="MS Mincho" w:cs="Arial"/>
          <w:color w:val="000000"/>
          <w:lang w:val="de-DE" w:eastAsia="ja-JP"/>
        </w:rPr>
        <w:instrText xml:space="preserve"> AUTONUM  </w:instrText>
      </w:r>
      <w:r w:rsidRPr="006054BD">
        <w:rPr>
          <w:rFonts w:eastAsia="MS Mincho" w:cs="Arial"/>
          <w:color w:val="000000"/>
          <w:lang w:eastAsia="ja-JP"/>
        </w:rPr>
        <w:fldChar w:fldCharType="end"/>
      </w:r>
      <w:r w:rsidR="007A683A" w:rsidRPr="00BA162C">
        <w:rPr>
          <w:rFonts w:eastAsia="MS Mincho" w:cs="Arial"/>
          <w:color w:val="000000"/>
          <w:lang w:val="de-DE" w:eastAsia="ja-JP"/>
        </w:rPr>
        <w:tab/>
      </w:r>
      <w:r w:rsidR="00BA162C">
        <w:rPr>
          <w:rFonts w:eastAsia="MS Mincho" w:cs="Arial"/>
          <w:color w:val="000000"/>
          <w:lang w:val="de-DE" w:eastAsia="ja-JP"/>
        </w:rPr>
        <w:t>Zwischen</w:t>
      </w:r>
      <w:r w:rsidR="007A683A" w:rsidRPr="00BA162C">
        <w:rPr>
          <w:rFonts w:eastAsia="MS Mincho" w:cs="Arial"/>
          <w:color w:val="000000"/>
          <w:lang w:val="de-DE" w:eastAsia="ja-JP"/>
        </w:rPr>
        <w:t xml:space="preserve"> </w:t>
      </w:r>
      <w:r w:rsidR="00BA162C" w:rsidRPr="00BA162C">
        <w:rPr>
          <w:color w:val="000000"/>
          <w:lang w:val="de-DE"/>
        </w:rPr>
        <w:t xml:space="preserve">dem 7. und 18. Mai hatte das Büro in Genf Besuch von Herrn Patrick Maluku, Pflanzenprüfer, </w:t>
      </w:r>
      <w:r w:rsidR="00561B89" w:rsidRPr="00561B89">
        <w:rPr>
          <w:color w:val="000000"/>
          <w:lang w:val="de-DE"/>
        </w:rPr>
        <w:t>Pflanzenschutzamt</w:t>
      </w:r>
      <w:r w:rsidR="00561B89">
        <w:rPr>
          <w:color w:val="000000"/>
          <w:lang w:val="de-DE"/>
        </w:rPr>
        <w:t>,</w:t>
      </w:r>
      <w:r w:rsidR="00561B89" w:rsidRPr="00561B89">
        <w:rPr>
          <w:color w:val="000000"/>
          <w:lang w:val="de-DE"/>
        </w:rPr>
        <w:t xml:space="preserve"> </w:t>
      </w:r>
      <w:r w:rsidR="00BA162C" w:rsidRPr="00BA162C">
        <w:rPr>
          <w:color w:val="000000"/>
          <w:lang w:val="de-DE"/>
        </w:rPr>
        <w:t>kenianisches Amt für die Kontrolle der Pflanzengesundheit (KEPHIS), der im Hinblick auf die Einreichung von Daten für die UPOV-Datenbank für Pflanzensorten geschult wurde. Die Schulung wurde vom Büro und von WIPO-Kollegen in der WIPO-Abteilung „Brand Database“ erteilt</w:t>
      </w:r>
      <w:r w:rsidR="007A683A" w:rsidRPr="00BA162C">
        <w:rPr>
          <w:rFonts w:eastAsia="MS Mincho" w:cs="Arial"/>
          <w:color w:val="000000"/>
          <w:lang w:val="de-DE" w:eastAsia="ja-JP"/>
        </w:rPr>
        <w:t>.</w:t>
      </w:r>
    </w:p>
    <w:p w:rsidR="007A683A" w:rsidRPr="00BA162C" w:rsidRDefault="007A683A" w:rsidP="007A683A">
      <w:pPr>
        <w:rPr>
          <w:rFonts w:eastAsia="MS Mincho" w:cs="Arial"/>
          <w:color w:val="000000"/>
          <w:lang w:val="de-DE" w:eastAsia="ja-JP"/>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Pr>
          <w:lang w:val="de-DE"/>
        </w:rPr>
        <w:t>Am</w:t>
      </w:r>
      <w:r w:rsidR="007A683A" w:rsidRPr="00BA162C">
        <w:rPr>
          <w:lang w:val="de-DE"/>
        </w:rPr>
        <w:t xml:space="preserve"> </w:t>
      </w:r>
      <w:r w:rsidR="00BA162C" w:rsidRPr="00BA162C">
        <w:rPr>
          <w:lang w:val="de-DE"/>
        </w:rPr>
        <w:t xml:space="preserve">8. Mai veranstaltete das Büro in Uppsala, Schweden, im Rahmen des von der schwedischen  Universität für Agrarwissenschaften (SLU) organisierten und von der Stelle für internationale Entwicklungszusammenarbeit (Sida) finanzierten Ausbildungsprogramms „Genetische Ressourcen und </w:t>
      </w:r>
      <w:r w:rsidR="00BA162C" w:rsidRPr="00BA162C">
        <w:rPr>
          <w:rFonts w:cs="Arial"/>
          <w:lang w:val="de-DE"/>
        </w:rPr>
        <w:t>Rechte des geistigen Eigentums</w:t>
      </w:r>
      <w:r w:rsidR="00BA162C" w:rsidRPr="00BA162C">
        <w:rPr>
          <w:lang w:val="de-DE"/>
        </w:rPr>
        <w:t>“ eine ganztägige Ausbildungssitzung über den Sortenschutz. An dem Programm nahmen Teilnehmer aus Chile, China, Demokratische Volksrepublik Korea, Indien, Jordanien, Kenia, Malawi, Nepal, Pakistan, Peru, Simbabwe, Sudan und Uganda teil</w:t>
      </w:r>
      <w:r w:rsidR="007A683A" w:rsidRPr="00BA162C">
        <w:rPr>
          <w:lang w:val="de-DE"/>
        </w:rPr>
        <w:t>.</w:t>
      </w:r>
    </w:p>
    <w:p w:rsidR="007A683A" w:rsidRPr="00BA162C"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Pr>
          <w:lang w:val="de-DE"/>
        </w:rPr>
        <w:t>Am</w:t>
      </w:r>
      <w:r w:rsidR="007A683A" w:rsidRPr="00BA162C">
        <w:rPr>
          <w:lang w:val="de-DE"/>
        </w:rPr>
        <w:t xml:space="preserve"> </w:t>
      </w:r>
      <w:r w:rsidR="00BA162C" w:rsidRPr="00BA162C">
        <w:rPr>
          <w:lang w:val="de-DE"/>
        </w:rPr>
        <w:t>9. Mai war das Büro in Genf von seiner Exzellenz Angelos Pangratis, Botschafter und ständiger Vertreter der Europäischen Union bei der WTO, und ihrer Exzellenz Frau Mariangela Zappia, Botschafterin und ständige Beobachterin der Europäischen Union</w:t>
      </w:r>
      <w:r w:rsidR="00F514B4">
        <w:rPr>
          <w:lang w:val="de-DE"/>
        </w:rPr>
        <w:t>,</w:t>
      </w:r>
      <w:r w:rsidR="00BA162C" w:rsidRPr="00BA162C">
        <w:rPr>
          <w:lang w:val="de-DE"/>
        </w:rPr>
        <w:t xml:space="preserve"> beim Amt der Vereinten Nationen in Genf zu einem Empfang zur Feier des „Europatages“ eingeladen</w:t>
      </w:r>
      <w:r w:rsidR="00BA162C">
        <w:rPr>
          <w:lang w:val="de-DE"/>
        </w:rPr>
        <w:t>.</w:t>
      </w:r>
    </w:p>
    <w:p w:rsidR="007A683A" w:rsidRPr="00BA162C" w:rsidRDefault="007A683A" w:rsidP="007A683A">
      <w:pPr>
        <w:rPr>
          <w:lang w:val="de-DE"/>
        </w:rPr>
      </w:pPr>
    </w:p>
    <w:p w:rsidR="007A683A" w:rsidRPr="00BA162C" w:rsidRDefault="004A094B" w:rsidP="006F0904">
      <w:pPr>
        <w:rPr>
          <w:rFonts w:cs="Arial"/>
          <w:color w:val="000000"/>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 xml:space="preserve">10. Mai organisierte das Büro am </w:t>
      </w:r>
      <w:r w:rsidR="00BA162C" w:rsidRPr="00BA162C">
        <w:rPr>
          <w:color w:val="000000"/>
          <w:lang w:val="de-DE"/>
        </w:rPr>
        <w:t xml:space="preserve">UPOV-Hauptsitz </w:t>
      </w:r>
      <w:r w:rsidR="00BA162C" w:rsidRPr="00BA162C">
        <w:rPr>
          <w:lang w:val="de-DE"/>
        </w:rPr>
        <w:t>in Genf eine</w:t>
      </w:r>
      <w:r w:rsidR="00BA162C" w:rsidRPr="00BA162C">
        <w:rPr>
          <w:color w:val="000000"/>
          <w:lang w:val="de-DE"/>
        </w:rPr>
        <w:t xml:space="preserve"> Sitzung über elektronische </w:t>
      </w:r>
      <w:r w:rsidR="003A5F5E">
        <w:rPr>
          <w:color w:val="000000"/>
          <w:lang w:val="de-DE"/>
        </w:rPr>
        <w:t>Antragsformblätter</w:t>
      </w:r>
      <w:r w:rsidR="00BA162C" w:rsidRPr="00BA162C">
        <w:rPr>
          <w:color w:val="000000"/>
          <w:lang w:val="de-DE"/>
        </w:rPr>
        <w:t xml:space="preserve">, einschließlich der elektronischen Teilnahme über Internet. An der Sitzung nahmen teil:  WIPO; das </w:t>
      </w:r>
      <w:r w:rsidR="00BA162C" w:rsidRPr="00BA162C">
        <w:rPr>
          <w:lang w:val="de-DE"/>
        </w:rPr>
        <w:t xml:space="preserve">Gemeinschaftliche Sortenamt (CPVO) in Begleitung der </w:t>
      </w:r>
      <w:r w:rsidR="00BA162C" w:rsidRPr="00BA162C">
        <w:rPr>
          <w:i/>
          <w:lang w:val="de-DE"/>
        </w:rPr>
        <w:t>Groupe d'étude et de contrôle des variétés et des semences</w:t>
      </w:r>
      <w:r w:rsidR="00BA162C" w:rsidRPr="00BA162C">
        <w:rPr>
          <w:lang w:val="de-DE"/>
        </w:rPr>
        <w:t xml:space="preserve"> (GEVES, Frankreich) und Naktuinbouw (Niederlande); CIOPORA; ISF und d</w:t>
      </w:r>
      <w:r w:rsidR="006F0904">
        <w:rPr>
          <w:lang w:val="de-DE"/>
        </w:rPr>
        <w:t>a</w:t>
      </w:r>
      <w:r w:rsidR="00BA162C" w:rsidRPr="00BA162C">
        <w:rPr>
          <w:lang w:val="de-DE"/>
        </w:rPr>
        <w:t>s Büro</w:t>
      </w:r>
      <w:r w:rsidR="007A683A" w:rsidRPr="00BA162C">
        <w:rPr>
          <w:rFonts w:cs="Arial"/>
          <w:color w:val="000000"/>
          <w:lang w:val="de-DE"/>
        </w:rPr>
        <w:t>.</w:t>
      </w:r>
    </w:p>
    <w:p w:rsidR="007A683A" w:rsidRPr="00BA162C" w:rsidRDefault="007A683A" w:rsidP="007A683A">
      <w:pPr>
        <w:jc w:val="left"/>
        <w:rPr>
          <w:rFonts w:cs="Arial"/>
          <w:color w:val="000000"/>
          <w:lang w:val="de-DE"/>
        </w:rPr>
      </w:pPr>
    </w:p>
    <w:p w:rsidR="007A683A" w:rsidRPr="00BA162C" w:rsidRDefault="004A094B" w:rsidP="00F514B4">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10. und 11. Mai nahm das Büro am WIPO-Hauptsitz in Genf an der Arbeitstagung der WIPO „Geistiges Eigentum, Innovation und Ernährungssicherheit: Arbeitstagung für nachhaltige Weizenproduktion in Ostafrika - eine Fallstudie über die Rolle des geistigen Eigentums“ teil</w:t>
      </w:r>
      <w:r w:rsidR="007A683A" w:rsidRPr="00BA162C">
        <w:rPr>
          <w:lang w:val="de-DE"/>
        </w:rPr>
        <w:t>.</w:t>
      </w:r>
    </w:p>
    <w:p w:rsidR="007A683A" w:rsidRPr="00BA162C"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15. Mai nahm das Büro in London, Vereinigtes Königreich, am jährlichen Dinner der britischen Gesellschaft der Pflanzenzüchter (BSPB) teil</w:t>
      </w:r>
      <w:r w:rsidR="00BA162C">
        <w:rPr>
          <w:lang w:val="de-DE"/>
        </w:rPr>
        <w:t>.</w:t>
      </w:r>
    </w:p>
    <w:p w:rsidR="007A683A" w:rsidRPr="00BA162C"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23. Mai empfing das Büro Herrn Samuel A. Moreno, Generaldirektor der Abteilung juristische Angelegenheiten betreffend Verhandlungen, Ministerium für Handel und Industrie von Panama, und Frau Zoraida Rodríguez, Juristische Beraterin, Ständige Mission von Panama bei der WTO in Genf, wobei das Verfahren für den Beitritt zur Akte von 1991 des UPOV-Übereinkommens erörtert wurde</w:t>
      </w:r>
      <w:r w:rsidR="007A683A" w:rsidRPr="00BA162C">
        <w:rPr>
          <w:lang w:val="de-DE"/>
        </w:rPr>
        <w:t>.</w:t>
      </w:r>
    </w:p>
    <w:p w:rsidR="007A683A" w:rsidRPr="00BA162C"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24. Mai erhielt das Büro den Besuch von Frau Wéré Régine Gazaro, Direktorin, Abteilung für den Schutz gewerblichen Eigentums, Afrikanische Organisation für geistiges Eigentum (OAPI). Der Besuch umfaßte eine Vorführung der Nutzung der GENIE-Datenbank</w:t>
      </w:r>
      <w:r w:rsidR="007A683A" w:rsidRPr="00BA162C">
        <w:rPr>
          <w:lang w:val="de-DE"/>
        </w:rPr>
        <w:t>.</w:t>
      </w:r>
    </w:p>
    <w:p w:rsidR="007A683A" w:rsidRPr="00BA162C" w:rsidRDefault="007A683A" w:rsidP="007A683A">
      <w:pPr>
        <w:rPr>
          <w:lang w:val="de-DE"/>
        </w:rPr>
      </w:pPr>
    </w:p>
    <w:p w:rsidR="007A683A" w:rsidRPr="00BA162C" w:rsidRDefault="004A094B" w:rsidP="00775C24">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24. Mai erhielt das Büro den Besuch von Frau Jiang Zehui, Vorsitzende, Chinesischer Blumenverband, die von Vertretern des Außenministeriums, de</w:t>
      </w:r>
      <w:r w:rsidR="00775C24">
        <w:rPr>
          <w:lang w:val="de-DE"/>
        </w:rPr>
        <w:t>s</w:t>
      </w:r>
      <w:r w:rsidR="00BA162C" w:rsidRPr="00BA162C">
        <w:rPr>
          <w:lang w:val="de-DE"/>
        </w:rPr>
        <w:t xml:space="preserve"> Finanzministerium, der staatlichen Forstverwaltung, de</w:t>
      </w:r>
      <w:r w:rsidR="00775C24">
        <w:rPr>
          <w:lang w:val="de-DE"/>
        </w:rPr>
        <w:t>s</w:t>
      </w:r>
      <w:r w:rsidR="00BA162C" w:rsidRPr="00BA162C">
        <w:rPr>
          <w:lang w:val="de-DE"/>
        </w:rPr>
        <w:t xml:space="preserve"> internationalen Netzwerk</w:t>
      </w:r>
      <w:r w:rsidR="00775C24">
        <w:rPr>
          <w:lang w:val="de-DE"/>
        </w:rPr>
        <w:t>s</w:t>
      </w:r>
      <w:r w:rsidR="00BA162C" w:rsidRPr="00BA162C">
        <w:rPr>
          <w:lang w:val="de-DE"/>
        </w:rPr>
        <w:t xml:space="preserve"> für Bambus und Rattan (INBAR), der chinesischen Akad</w:t>
      </w:r>
      <w:r w:rsidR="00775C24">
        <w:rPr>
          <w:lang w:val="de-DE"/>
        </w:rPr>
        <w:t>emie für Forstwirtschaft und des</w:t>
      </w:r>
      <w:r w:rsidR="00BA162C" w:rsidRPr="00BA162C">
        <w:rPr>
          <w:lang w:val="de-DE"/>
        </w:rPr>
        <w:t xml:space="preserve"> Chinesischen Blumenverband</w:t>
      </w:r>
      <w:r w:rsidR="00775C24">
        <w:rPr>
          <w:lang w:val="de-DE"/>
        </w:rPr>
        <w:t>s</w:t>
      </w:r>
      <w:r w:rsidR="00BA162C" w:rsidRPr="00BA162C">
        <w:rPr>
          <w:lang w:val="de-DE"/>
        </w:rPr>
        <w:t xml:space="preserve"> begleitet wurde</w:t>
      </w:r>
      <w:r w:rsidR="007A683A" w:rsidRPr="00BA162C">
        <w:rPr>
          <w:lang w:val="de-DE"/>
        </w:rPr>
        <w:t>.</w:t>
      </w:r>
    </w:p>
    <w:p w:rsidR="007A683A" w:rsidRPr="00BA162C"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24. Mai empfing das Büro Frau Shahrinah Yusof Khan, stellvertretende Registerbeamtin, Leiterin der Patentabteilung, Patentamt von Brunei Darussalam, wobei das Verfahren für den Beitritt zur UPOV erörtert wurde</w:t>
      </w:r>
      <w:r w:rsidR="007A683A" w:rsidRPr="00BA162C">
        <w:rPr>
          <w:lang w:val="de-DE"/>
        </w:rPr>
        <w:t>.</w:t>
      </w:r>
    </w:p>
    <w:p w:rsidR="007A683A" w:rsidRPr="00BA162C" w:rsidRDefault="007A683A" w:rsidP="007A683A">
      <w:pPr>
        <w:rPr>
          <w:lang w:val="de-DE"/>
        </w:rPr>
      </w:pPr>
    </w:p>
    <w:p w:rsidR="007A683A" w:rsidRPr="00BA162C" w:rsidRDefault="004A094B" w:rsidP="00BA162C">
      <w:pPr>
        <w:rPr>
          <w:lang w:val="de-DE"/>
        </w:rPr>
      </w:pPr>
      <w:r w:rsidRPr="006054BD">
        <w:fldChar w:fldCharType="begin"/>
      </w:r>
      <w:r w:rsidR="007A683A" w:rsidRPr="00BA162C">
        <w:rPr>
          <w:lang w:val="de-DE"/>
        </w:rPr>
        <w:instrText xml:space="preserve"> AUTONUM  </w:instrText>
      </w:r>
      <w:r w:rsidRPr="006054BD">
        <w:fldChar w:fldCharType="end"/>
      </w:r>
      <w:r w:rsidR="007A683A" w:rsidRPr="00BA162C">
        <w:rPr>
          <w:lang w:val="de-DE"/>
        </w:rPr>
        <w:tab/>
      </w:r>
      <w:r w:rsidR="00BA162C" w:rsidRPr="00BA162C">
        <w:rPr>
          <w:lang w:val="de-DE"/>
        </w:rPr>
        <w:t>Am</w:t>
      </w:r>
      <w:r w:rsidR="007A683A" w:rsidRPr="00BA162C">
        <w:rPr>
          <w:lang w:val="de-DE"/>
        </w:rPr>
        <w:t xml:space="preserve"> </w:t>
      </w:r>
      <w:r w:rsidR="00BA162C" w:rsidRPr="00BA162C">
        <w:rPr>
          <w:lang w:val="de-DE"/>
        </w:rPr>
        <w:t>25. Mai empfing das Büro Herrn Ken-Ichiro Natsume, Leiter, WIPO-Büro in Japan</w:t>
      </w:r>
      <w:r w:rsidR="007A683A" w:rsidRPr="00BA162C">
        <w:rPr>
          <w:lang w:val="de-DE"/>
        </w:rPr>
        <w:t>.</w:t>
      </w:r>
    </w:p>
    <w:p w:rsidR="007A683A" w:rsidRPr="00BA162C" w:rsidRDefault="007A683A" w:rsidP="007A683A">
      <w:pPr>
        <w:rPr>
          <w:lang w:val="de-DE"/>
        </w:rPr>
      </w:pPr>
    </w:p>
    <w:p w:rsidR="007A683A" w:rsidRPr="001B3A94" w:rsidRDefault="004A094B" w:rsidP="001B3A94">
      <w:pPr>
        <w:rPr>
          <w:lang w:val="de-DE"/>
        </w:rPr>
      </w:pPr>
      <w:r w:rsidRPr="006054BD">
        <w:fldChar w:fldCharType="begin"/>
      </w:r>
      <w:r w:rsidR="007A683A" w:rsidRPr="001B3A94">
        <w:rPr>
          <w:lang w:val="de-DE"/>
        </w:rPr>
        <w:instrText xml:space="preserve"> AUTONUM  </w:instrText>
      </w:r>
      <w:r w:rsidRPr="006054BD">
        <w:fldChar w:fldCharType="end"/>
      </w:r>
      <w:r w:rsidR="001B3A94">
        <w:rPr>
          <w:lang w:val="de-DE"/>
        </w:rPr>
        <w:tab/>
        <w:t>Vom</w:t>
      </w:r>
      <w:r w:rsidR="007A683A" w:rsidRPr="001B3A94">
        <w:rPr>
          <w:lang w:val="de-DE"/>
        </w:rPr>
        <w:t xml:space="preserve"> </w:t>
      </w:r>
      <w:r w:rsidR="001B3A94" w:rsidRPr="001B3A94">
        <w:rPr>
          <w:lang w:val="de-DE"/>
        </w:rPr>
        <w:t xml:space="preserve">28. bis 30. Mai nahm das Büro in </w:t>
      </w:r>
      <w:r w:rsidR="001B3A94" w:rsidRPr="001B3A94">
        <w:rPr>
          <w:snapToGrid w:val="0"/>
          <w:color w:val="000000"/>
          <w:lang w:val="de-DE"/>
        </w:rPr>
        <w:t>Bangkok</w:t>
      </w:r>
      <w:r w:rsidR="001B3A94" w:rsidRPr="001B3A94">
        <w:rPr>
          <w:color w:val="000000"/>
          <w:lang w:val="de-DE"/>
        </w:rPr>
        <w:t xml:space="preserve">, Thailand, am </w:t>
      </w:r>
      <w:r w:rsidR="001B3A94" w:rsidRPr="001B3A94">
        <w:rPr>
          <w:snapToGrid w:val="0"/>
          <w:color w:val="000000"/>
          <w:lang w:val="de-DE"/>
        </w:rPr>
        <w:t xml:space="preserve">Fünften Ostasienforum über Sortenschutz (EAPVP Forum) und am </w:t>
      </w:r>
      <w:r w:rsidR="001B3A94" w:rsidRPr="001B3A94">
        <w:rPr>
          <w:color w:val="000000"/>
          <w:lang w:val="de-DE"/>
        </w:rPr>
        <w:t>Internationalen Seminar über die Auswirkungen des Sortenschutzes teil. Das Büro hielt ein Referat über „UPOV und die Auswirkungen des Sortenschutzes“. Am Rande dieser Veranstaltungen wurden einzelne Unterredungen mit Ländern des EAPVP-Forums geführt</w:t>
      </w:r>
      <w:r w:rsidR="007A683A" w:rsidRPr="001B3A94">
        <w:rPr>
          <w:rFonts w:cs="Arial"/>
          <w:iCs/>
          <w:color w:val="000000"/>
          <w:lang w:val="de-DE"/>
        </w:rPr>
        <w:t>.</w:t>
      </w:r>
    </w:p>
    <w:p w:rsidR="007A683A" w:rsidRPr="001B3A94" w:rsidRDefault="007A683A" w:rsidP="007A683A">
      <w:pPr>
        <w:rPr>
          <w:lang w:val="de-DE"/>
        </w:rPr>
      </w:pPr>
    </w:p>
    <w:p w:rsidR="007A683A" w:rsidRPr="001B3A94" w:rsidRDefault="004A094B" w:rsidP="001B3A94">
      <w:pPr>
        <w:rPr>
          <w:lang w:val="de-DE"/>
        </w:rPr>
      </w:pPr>
      <w:r w:rsidRPr="006054BD">
        <w:fldChar w:fldCharType="begin"/>
      </w:r>
      <w:r w:rsidR="007A683A" w:rsidRPr="001B3A94">
        <w:rPr>
          <w:lang w:val="de-DE"/>
        </w:rPr>
        <w:instrText xml:space="preserve"> AUTONUM  </w:instrText>
      </w:r>
      <w:r w:rsidRPr="006054BD">
        <w:fldChar w:fldCharType="end"/>
      </w:r>
      <w:r w:rsidR="001B3A94">
        <w:rPr>
          <w:lang w:val="de-DE"/>
        </w:rPr>
        <w:tab/>
        <w:t>Am</w:t>
      </w:r>
      <w:r w:rsidR="007A683A" w:rsidRPr="001B3A94">
        <w:rPr>
          <w:lang w:val="de-DE"/>
        </w:rPr>
        <w:t xml:space="preserve"> </w:t>
      </w:r>
      <w:r w:rsidR="001B3A94" w:rsidRPr="001B3A94">
        <w:rPr>
          <w:lang w:val="de-DE"/>
        </w:rPr>
        <w:t xml:space="preserve">5. Juni hielt das Büro am Internationalen Zentrum der staatlichen Moskauer Lomonosov-Universität </w:t>
      </w:r>
      <w:r w:rsidR="006F0904">
        <w:rPr>
          <w:lang w:val="de-DE"/>
        </w:rPr>
        <w:t xml:space="preserve">in Genf </w:t>
      </w:r>
      <w:r w:rsidR="001B3A94" w:rsidRPr="001B3A94">
        <w:rPr>
          <w:lang w:val="de-DE"/>
        </w:rPr>
        <w:t>vor Studenten, die am WIPO-Lehrgang zur Einführung in das internationale Recht des geistigen Eigentums teilnahmen, ein Referat über die „Einführung in den Sortenschutz“</w:t>
      </w:r>
      <w:r w:rsidR="007A683A" w:rsidRPr="001B3A94">
        <w:rPr>
          <w:lang w:val="de-DE"/>
        </w:rPr>
        <w:t>.</w:t>
      </w:r>
    </w:p>
    <w:p w:rsidR="007A683A" w:rsidRPr="001B3A94" w:rsidRDefault="007A683A" w:rsidP="007A683A">
      <w:pPr>
        <w:rPr>
          <w:lang w:val="de-DE"/>
        </w:rPr>
      </w:pPr>
    </w:p>
    <w:p w:rsidR="007A683A" w:rsidRPr="001B3A94" w:rsidRDefault="004A094B" w:rsidP="001B3A94">
      <w:pPr>
        <w:rPr>
          <w:lang w:val="de-DE"/>
        </w:rPr>
      </w:pPr>
      <w:r w:rsidRPr="006054BD">
        <w:fldChar w:fldCharType="begin"/>
      </w:r>
      <w:r w:rsidR="007A683A" w:rsidRPr="001B3A94">
        <w:rPr>
          <w:lang w:val="de-DE"/>
        </w:rPr>
        <w:instrText xml:space="preserve"> AUTONUM  </w:instrText>
      </w:r>
      <w:r w:rsidRPr="006054BD">
        <w:fldChar w:fldCharType="end"/>
      </w:r>
      <w:r w:rsidR="007A683A" w:rsidRPr="001B3A94">
        <w:rPr>
          <w:lang w:val="de-DE"/>
        </w:rPr>
        <w:tab/>
      </w:r>
      <w:r w:rsidR="001B3A94">
        <w:rPr>
          <w:lang w:val="de-DE"/>
        </w:rPr>
        <w:t>Am</w:t>
      </w:r>
      <w:r w:rsidR="007A683A" w:rsidRPr="001B3A94">
        <w:rPr>
          <w:lang w:val="de-DE"/>
        </w:rPr>
        <w:t xml:space="preserve"> </w:t>
      </w:r>
      <w:r w:rsidR="001B3A94" w:rsidRPr="001B3A94">
        <w:rPr>
          <w:lang w:val="de-DE"/>
        </w:rPr>
        <w:t xml:space="preserve">5. Juni nahm das Büro am Hauptsitz der WTO in Genf an </w:t>
      </w:r>
      <w:r w:rsidR="006F0904">
        <w:rPr>
          <w:lang w:val="de-DE"/>
        </w:rPr>
        <w:t xml:space="preserve">den </w:t>
      </w:r>
      <w:r w:rsidR="001B3A94" w:rsidRPr="001B3A94">
        <w:rPr>
          <w:lang w:val="de-DE"/>
        </w:rPr>
        <w:t>einschlägigen Teilen der Tagung des Rates für das Übereinkommen über handelsbezogene Aspekte der Rechte des geistigen Eigentums (Rat für TRIPS) teil</w:t>
      </w:r>
      <w:r w:rsidR="007A683A" w:rsidRPr="001B3A94">
        <w:rPr>
          <w:szCs w:val="24"/>
          <w:lang w:val="de-DE"/>
        </w:rPr>
        <w:t>.</w:t>
      </w:r>
    </w:p>
    <w:p w:rsidR="007A683A" w:rsidRPr="001B3A94" w:rsidRDefault="007A683A" w:rsidP="007A683A">
      <w:pPr>
        <w:rPr>
          <w:lang w:val="de-DE"/>
        </w:rPr>
      </w:pPr>
    </w:p>
    <w:p w:rsidR="007A683A" w:rsidRPr="001B3A94" w:rsidRDefault="004A094B" w:rsidP="006F0904">
      <w:pPr>
        <w:rPr>
          <w:lang w:val="de-DE"/>
        </w:rPr>
      </w:pPr>
      <w:r w:rsidRPr="006054BD">
        <w:fldChar w:fldCharType="begin"/>
      </w:r>
      <w:r w:rsidR="007A683A" w:rsidRPr="001B3A94">
        <w:rPr>
          <w:lang w:val="de-DE"/>
        </w:rPr>
        <w:instrText xml:space="preserve"> AUTONUM  </w:instrText>
      </w:r>
      <w:r w:rsidRPr="006054BD">
        <w:fldChar w:fldCharType="end"/>
      </w:r>
      <w:r w:rsidR="001B3A94">
        <w:rPr>
          <w:lang w:val="de-DE"/>
        </w:rPr>
        <w:tab/>
        <w:t>Vom</w:t>
      </w:r>
      <w:r w:rsidR="007A683A" w:rsidRPr="001B3A94">
        <w:rPr>
          <w:lang w:val="de-DE"/>
        </w:rPr>
        <w:t xml:space="preserve"> </w:t>
      </w:r>
      <w:r w:rsidR="001B3A94" w:rsidRPr="001B3A94">
        <w:rPr>
          <w:lang w:val="de-DE"/>
        </w:rPr>
        <w:t>12. bis 14. Juni nahm das Büro in Harare, Simbabwe, an der „Sachverständigentagung zur Überprüfung des Entwurfs eines ARIPO-Rechtsrahmens für den Schutz von Pflanzenzüchtungen“ teil, der von der Afrikanischen Regionalorganisation zum Schutz Geistigen Eigentums (ARIPO) in Zusammenarbeit mit der UPOV und mit finanzieller Unterstützung des USPTO organisiert worden war. Am Rande der Sachverständigentagung führte das Verbandsbüro Beratungsgespräche bezüglich rechtliche</w:t>
      </w:r>
      <w:r w:rsidR="006F0904">
        <w:rPr>
          <w:lang w:val="de-DE"/>
        </w:rPr>
        <w:t>r</w:t>
      </w:r>
      <w:r w:rsidR="001B3A94" w:rsidRPr="001B3A94">
        <w:rPr>
          <w:lang w:val="de-DE"/>
        </w:rPr>
        <w:t xml:space="preserve"> Angelegenheiten und UPOV-Mitgliedschaft mit den Direktoren des Landwirtschaftsministeriums von Simbabwe sowie mit Sachverständigen aus Ghana und der Vereinigten Republik Tansania</w:t>
      </w:r>
      <w:r w:rsidR="007A683A" w:rsidRPr="001B3A94">
        <w:rPr>
          <w:lang w:val="de-DE"/>
        </w:rPr>
        <w:t>.</w:t>
      </w:r>
    </w:p>
    <w:p w:rsidR="007A683A" w:rsidRPr="001B3A94" w:rsidRDefault="007A683A" w:rsidP="007A683A">
      <w:pPr>
        <w:rPr>
          <w:lang w:val="de-DE"/>
        </w:rPr>
      </w:pPr>
    </w:p>
    <w:p w:rsidR="007A683A" w:rsidRPr="001B3A94" w:rsidRDefault="004A094B" w:rsidP="001B3A94">
      <w:pPr>
        <w:rPr>
          <w:lang w:val="de-DE"/>
        </w:rPr>
      </w:pPr>
      <w:r w:rsidRPr="006054BD">
        <w:fldChar w:fldCharType="begin"/>
      </w:r>
      <w:r w:rsidR="007A683A" w:rsidRPr="001B3A94">
        <w:rPr>
          <w:lang w:val="de-DE"/>
        </w:rPr>
        <w:instrText xml:space="preserve"> AUTONUM  </w:instrText>
      </w:r>
      <w:r w:rsidRPr="006054BD">
        <w:fldChar w:fldCharType="end"/>
      </w:r>
      <w:r w:rsidR="007A683A" w:rsidRPr="001B3A94">
        <w:rPr>
          <w:lang w:val="de-DE"/>
        </w:rPr>
        <w:tab/>
      </w:r>
      <w:r w:rsidR="001B3A94">
        <w:rPr>
          <w:szCs w:val="24"/>
          <w:lang w:val="de-DE"/>
        </w:rPr>
        <w:t>Im</w:t>
      </w:r>
      <w:r w:rsidR="007A683A" w:rsidRPr="001B3A94">
        <w:rPr>
          <w:szCs w:val="24"/>
          <w:lang w:val="de-DE"/>
        </w:rPr>
        <w:t xml:space="preserve"> </w:t>
      </w:r>
      <w:r w:rsidR="001B3A94" w:rsidRPr="001B3A94">
        <w:rPr>
          <w:lang w:val="de-DE"/>
        </w:rPr>
        <w:t>Berichtszeitraum nahm das Büro auch weiterhin an dem vom Generaldirektor der WIPO lancierten Projekt für CO2-Neutralität teil, das „auf die interne Umsetzung und Überwachung ausgewählter Maßnahmen abzielt, die die Auswirkungen der Tätigkeit der Organisation auf die Umwelt minimieren werden, wobei das längerfristige Ziel eine neutrale Wirkung auf die Umwelt ist.“ Am 15. Juni nahm das Büro an einer Sitzung der Hauptarbeitsgruppe teil</w:t>
      </w:r>
      <w:r w:rsidR="007A683A" w:rsidRPr="001B3A94">
        <w:rPr>
          <w:szCs w:val="24"/>
          <w:lang w:val="de-DE"/>
        </w:rPr>
        <w:t>.</w:t>
      </w:r>
    </w:p>
    <w:p w:rsidR="007A683A" w:rsidRPr="001B3A94" w:rsidRDefault="007A683A" w:rsidP="007A683A">
      <w:pPr>
        <w:rPr>
          <w:lang w:val="de-DE"/>
        </w:rPr>
      </w:pPr>
    </w:p>
    <w:p w:rsidR="007A683A" w:rsidRPr="001B3A94" w:rsidRDefault="004A094B" w:rsidP="001B3A94">
      <w:pPr>
        <w:rPr>
          <w:lang w:val="de-DE"/>
        </w:rPr>
      </w:pPr>
      <w:r w:rsidRPr="006054BD">
        <w:fldChar w:fldCharType="begin"/>
      </w:r>
      <w:r w:rsidR="007A683A" w:rsidRPr="001B3A94">
        <w:rPr>
          <w:lang w:val="de-DE"/>
        </w:rPr>
        <w:instrText xml:space="preserve"> AUTONUM  </w:instrText>
      </w:r>
      <w:r w:rsidRPr="006054BD">
        <w:fldChar w:fldCharType="end"/>
      </w:r>
      <w:r w:rsidR="001B3A94">
        <w:rPr>
          <w:lang w:val="de-DE"/>
        </w:rPr>
        <w:tab/>
        <w:t>Vom</w:t>
      </w:r>
      <w:r w:rsidR="007A683A" w:rsidRPr="001B3A94">
        <w:rPr>
          <w:lang w:val="de-DE"/>
        </w:rPr>
        <w:t xml:space="preserve"> </w:t>
      </w:r>
      <w:r w:rsidR="001B3A94" w:rsidRPr="001B3A94">
        <w:rPr>
          <w:lang w:val="de-DE"/>
        </w:rPr>
        <w:t xml:space="preserve">18. bis 22. Juni erhielt das Büro Besuch von Herrn Jay Sanderson, Lehrbeauftragter, Mitglied des Australischen Zentrums für Geistiges Eigentum in der Landwirtschaft (ACIPA), </w:t>
      </w:r>
      <w:r w:rsidR="001B3A94" w:rsidRPr="001B3A94">
        <w:rPr>
          <w:i/>
          <w:lang w:val="de-DE"/>
        </w:rPr>
        <w:t>Griffith Law School of Australia</w:t>
      </w:r>
      <w:r w:rsidR="001B3A94" w:rsidRPr="001B3A94">
        <w:rPr>
          <w:lang w:val="de-DE"/>
        </w:rPr>
        <w:t>, der derzeit Recherchen über die UPOV und das UPOV-Übereinkommen anstellt</w:t>
      </w:r>
      <w:r w:rsidR="007A683A" w:rsidRPr="001B3A94">
        <w:rPr>
          <w:lang w:val="de-DE"/>
        </w:rPr>
        <w:t>.</w:t>
      </w:r>
    </w:p>
    <w:p w:rsidR="007A683A" w:rsidRPr="001B3A94" w:rsidRDefault="007A683A" w:rsidP="007A683A">
      <w:pPr>
        <w:rPr>
          <w:lang w:val="de-DE"/>
        </w:rPr>
      </w:pPr>
    </w:p>
    <w:p w:rsidR="007A683A" w:rsidRPr="001B3A94" w:rsidRDefault="004A094B" w:rsidP="00F514B4">
      <w:pPr>
        <w:rPr>
          <w:lang w:val="de-DE"/>
        </w:rPr>
      </w:pPr>
      <w:r w:rsidRPr="006054BD">
        <w:fldChar w:fldCharType="begin"/>
      </w:r>
      <w:r w:rsidR="007A683A" w:rsidRPr="001B3A94">
        <w:rPr>
          <w:lang w:val="de-DE"/>
        </w:rPr>
        <w:instrText xml:space="preserve"> AUTONUM  </w:instrText>
      </w:r>
      <w:r w:rsidRPr="006054BD">
        <w:fldChar w:fldCharType="end"/>
      </w:r>
      <w:r w:rsidR="001B3A94">
        <w:rPr>
          <w:lang w:val="de-DE"/>
        </w:rPr>
        <w:tab/>
        <w:t>Am</w:t>
      </w:r>
      <w:r w:rsidR="007A683A" w:rsidRPr="001B3A94">
        <w:rPr>
          <w:lang w:val="de-DE"/>
        </w:rPr>
        <w:t xml:space="preserve"> </w:t>
      </w:r>
      <w:r w:rsidR="001B3A94" w:rsidRPr="001B3A94">
        <w:rPr>
          <w:lang w:val="de-DE"/>
        </w:rPr>
        <w:t xml:space="preserve">19. Juni führte das Büro </w:t>
      </w:r>
      <w:r w:rsidR="00775C24" w:rsidRPr="001B3A94">
        <w:rPr>
          <w:lang w:val="de-DE"/>
        </w:rPr>
        <w:t xml:space="preserve">in Wageningen, Niederlande, </w:t>
      </w:r>
      <w:r w:rsidR="001B3A94" w:rsidRPr="001B3A94">
        <w:rPr>
          <w:lang w:val="de-DE"/>
        </w:rPr>
        <w:t>beim 15</w:t>
      </w:r>
      <w:r w:rsidR="006F0904">
        <w:rPr>
          <w:lang w:val="de-DE"/>
        </w:rPr>
        <w:t>.</w:t>
      </w:r>
      <w:r w:rsidR="001B3A94" w:rsidRPr="001B3A94">
        <w:rPr>
          <w:lang w:val="de-DE"/>
        </w:rPr>
        <w:t xml:space="preserve"> von Naktuinbouw organisierten Internationalen Lehrgang über Sortenschutz einen ganztägigen Lehrgang über die UPOV durch und beteiligte sich an dem Lehrgang. An dem Lehrgang nahmen Teilnehmer aus Australien, Belgien, Brasilien, Costa Rica, Ehemalige Jugoslawische Republik Mazedonien, Honduras, Indien, Italien, Kamerun, Kroatien, Libanon, Marokko, Niederlande, Polen, Serbien, Togo, Tunesien, Türkei und Uganda teil. Die Teilnehmer hatten die Möglichkeit, bilaterale Gespräche mit UPOV-Vertretern zu führen. Der Teilnehmer aus Honduras bat um Unterstützung im Hinblick auf das Beitrittsverfahren. Teilnehmer aus dem Libanon und aus der Ehemaligen Jugoslawischen Republik Mazedonien erkundigten sich nach Möglichkeiten zur Organisation von Tätigkeiten zur Sensibilisierung für die Vorteile des Pflanzenschutzes</w:t>
      </w:r>
      <w:r w:rsidR="007A683A" w:rsidRPr="001B3A94">
        <w:rPr>
          <w:rFonts w:cs="Arial"/>
          <w:szCs w:val="22"/>
          <w:lang w:val="de-DE"/>
        </w:rPr>
        <w:t>.</w:t>
      </w:r>
    </w:p>
    <w:p w:rsidR="007A683A" w:rsidRPr="001B3A94" w:rsidRDefault="007A683A" w:rsidP="007A683A">
      <w:pPr>
        <w:rPr>
          <w:lang w:val="de-DE"/>
        </w:rPr>
      </w:pPr>
    </w:p>
    <w:p w:rsidR="007A683A" w:rsidRPr="00016DF3" w:rsidRDefault="004A094B" w:rsidP="00775C24">
      <w:pPr>
        <w:rPr>
          <w:lang w:val="de-DE"/>
        </w:rPr>
      </w:pPr>
      <w:r w:rsidRPr="006054BD">
        <w:fldChar w:fldCharType="begin"/>
      </w:r>
      <w:r w:rsidR="007A683A" w:rsidRPr="00016DF3">
        <w:rPr>
          <w:lang w:val="de-DE"/>
        </w:rPr>
        <w:instrText xml:space="preserve"> AUTONUM  </w:instrText>
      </w:r>
      <w:r w:rsidRPr="006054BD">
        <w:fldChar w:fldCharType="end"/>
      </w:r>
      <w:r w:rsidR="00016DF3">
        <w:rPr>
          <w:lang w:val="de-DE"/>
        </w:rPr>
        <w:tab/>
        <w:t>Am</w:t>
      </w:r>
      <w:r w:rsidR="007A683A" w:rsidRPr="00016DF3">
        <w:rPr>
          <w:lang w:val="de-DE"/>
        </w:rPr>
        <w:t xml:space="preserve"> </w:t>
      </w:r>
      <w:r w:rsidR="00016DF3" w:rsidRPr="00016DF3">
        <w:rPr>
          <w:lang w:val="de-DE"/>
        </w:rPr>
        <w:t xml:space="preserve">20. Juni hielt das Büro am Hauptsitz der WTO in Genf ein Referat über den „Schutz von Biotechnologie und neue Pflanzensorten“ beim WIPO-WTO-Kolloquium für Dozenten im Bereich des geistigen Eigentums. An dem Kolloqium nahmen Teilnehmer aus </w:t>
      </w:r>
      <w:r w:rsidR="00016DF3" w:rsidRPr="00016DF3">
        <w:rPr>
          <w:szCs w:val="24"/>
          <w:lang w:val="de-DE"/>
        </w:rPr>
        <w:t xml:space="preserve">Ägypten, Äthiopien, Argentinien, Aserbaidschan, Bangladesh, Brasilien, China, der Dominikanischen Republik, Ecuador, Indien, Indonesien, Jordanien, </w:t>
      </w:r>
      <w:r w:rsidR="00775C24" w:rsidRPr="00016DF3">
        <w:rPr>
          <w:szCs w:val="24"/>
          <w:lang w:val="de-DE"/>
        </w:rPr>
        <w:t>Kambodscha,</w:t>
      </w:r>
      <w:r w:rsidR="00775C24">
        <w:rPr>
          <w:szCs w:val="24"/>
          <w:lang w:val="de-DE"/>
        </w:rPr>
        <w:t xml:space="preserve"> </w:t>
      </w:r>
      <w:r w:rsidR="00016DF3" w:rsidRPr="00016DF3">
        <w:rPr>
          <w:szCs w:val="24"/>
          <w:lang w:val="de-DE"/>
        </w:rPr>
        <w:t>Kuba, Lesotho, der Mongolei, der Russischen Föderation, Sambia</w:t>
      </w:r>
      <w:r w:rsidR="006F0904">
        <w:rPr>
          <w:szCs w:val="24"/>
          <w:lang w:val="de-DE"/>
        </w:rPr>
        <w:t>,</w:t>
      </w:r>
      <w:r w:rsidR="00016DF3" w:rsidRPr="00016DF3">
        <w:rPr>
          <w:szCs w:val="24"/>
          <w:lang w:val="de-DE"/>
        </w:rPr>
        <w:t xml:space="preserve"> Senegal, Spanien, Türkei und der Ukraine teil</w:t>
      </w:r>
      <w:r w:rsidR="00AF6A71" w:rsidRPr="00016DF3">
        <w:rPr>
          <w:szCs w:val="24"/>
          <w:lang w:val="de-DE"/>
        </w:rPr>
        <w:t>.</w:t>
      </w:r>
    </w:p>
    <w:p w:rsidR="007A683A" w:rsidRPr="00016DF3" w:rsidRDefault="007A683A" w:rsidP="007A683A">
      <w:pPr>
        <w:rPr>
          <w:lang w:val="de-DE"/>
        </w:rPr>
      </w:pPr>
    </w:p>
    <w:p w:rsidR="007A683A" w:rsidRPr="00016DF3" w:rsidRDefault="004A094B" w:rsidP="00F514B4">
      <w:pPr>
        <w:rPr>
          <w:lang w:val="de-DE"/>
        </w:rPr>
      </w:pPr>
      <w:r w:rsidRPr="006054BD">
        <w:fldChar w:fldCharType="begin"/>
      </w:r>
      <w:r w:rsidR="007A683A" w:rsidRPr="00016DF3">
        <w:rPr>
          <w:lang w:val="de-DE"/>
        </w:rPr>
        <w:instrText xml:space="preserve"> AUTONUM  </w:instrText>
      </w:r>
      <w:r w:rsidRPr="006054BD">
        <w:fldChar w:fldCharType="end"/>
      </w:r>
      <w:r w:rsidR="007A683A" w:rsidRPr="00016DF3">
        <w:rPr>
          <w:lang w:val="de-DE"/>
        </w:rPr>
        <w:tab/>
      </w:r>
      <w:r w:rsidR="00016DF3">
        <w:rPr>
          <w:lang w:val="de-DE"/>
        </w:rPr>
        <w:t>Am</w:t>
      </w:r>
      <w:r w:rsidR="007A683A" w:rsidRPr="00016DF3">
        <w:rPr>
          <w:lang w:val="de-DE"/>
        </w:rPr>
        <w:t xml:space="preserve"> </w:t>
      </w:r>
      <w:r w:rsidR="00016DF3" w:rsidRPr="00016DF3">
        <w:rPr>
          <w:lang w:val="de-DE"/>
        </w:rPr>
        <w:t xml:space="preserve">21. Juni hielt das Büro am Hauptsitz der WIPO in Genf auf dem interregionalen Zwischenseminar der WIPO über gewerbliches Eigentum ein Referat mit dem Titel „Schutz von Pflanzenzüchtungen nach dem Internationalen Übereinkommen zum Schutz von Pflanzenzüchtungen“. An dem Seminar nahmen Teilnehmer aus </w:t>
      </w:r>
      <w:r w:rsidR="00C0371D" w:rsidRPr="00016DF3">
        <w:rPr>
          <w:lang w:val="de-DE"/>
        </w:rPr>
        <w:t>Ägypten,</w:t>
      </w:r>
      <w:r w:rsidR="00C0371D">
        <w:rPr>
          <w:lang w:val="de-DE"/>
        </w:rPr>
        <w:t xml:space="preserve"> </w:t>
      </w:r>
      <w:r w:rsidR="00016DF3" w:rsidRPr="00016DF3">
        <w:rPr>
          <w:lang w:val="de-DE"/>
        </w:rPr>
        <w:t>Arabisch</w:t>
      </w:r>
      <w:r w:rsidR="00F514B4">
        <w:rPr>
          <w:lang w:val="de-DE"/>
        </w:rPr>
        <w:t>e</w:t>
      </w:r>
      <w:r w:rsidR="00016DF3" w:rsidRPr="00016DF3">
        <w:rPr>
          <w:lang w:val="de-DE"/>
        </w:rPr>
        <w:t xml:space="preserve"> Republik Syrien, Argentinien, Belarus, Brasilien, Burkina Faso, Chile, Costa Rica, Côte d’Ivoire, Demokratische Volksrepublik Korea, Demokratische Republik</w:t>
      </w:r>
      <w:r w:rsidR="00F514B4">
        <w:rPr>
          <w:lang w:val="de-DE"/>
        </w:rPr>
        <w:t xml:space="preserve"> Kongo</w:t>
      </w:r>
      <w:r w:rsidR="00C0371D">
        <w:rPr>
          <w:lang w:val="de-DE"/>
        </w:rPr>
        <w:t xml:space="preserve">, </w:t>
      </w:r>
      <w:r w:rsidR="00C0371D" w:rsidRPr="00016DF3">
        <w:rPr>
          <w:lang w:val="de-DE"/>
        </w:rPr>
        <w:t>Ehemalige Jugoslawische Republik</w:t>
      </w:r>
      <w:r w:rsidR="00C0371D">
        <w:rPr>
          <w:lang w:val="de-DE"/>
        </w:rPr>
        <w:t xml:space="preserve"> </w:t>
      </w:r>
      <w:r w:rsidR="00C0371D" w:rsidRPr="00016DF3">
        <w:rPr>
          <w:lang w:val="de-DE"/>
        </w:rPr>
        <w:t>Mazedonien,</w:t>
      </w:r>
      <w:r w:rsidR="00C0371D">
        <w:rPr>
          <w:lang w:val="de-DE"/>
        </w:rPr>
        <w:t xml:space="preserve"> </w:t>
      </w:r>
      <w:r w:rsidR="00016DF3" w:rsidRPr="00016DF3">
        <w:rPr>
          <w:lang w:val="de-DE"/>
        </w:rPr>
        <w:t xml:space="preserve">Georgien, Honduras, Indien, Irak, Jemen, Kirgyistan, Kolumbien, </w:t>
      </w:r>
      <w:r w:rsidR="00C0371D" w:rsidRPr="00016DF3">
        <w:rPr>
          <w:lang w:val="de-DE"/>
        </w:rPr>
        <w:t xml:space="preserve">Kongo, Kuba, </w:t>
      </w:r>
      <w:r w:rsidR="00016DF3" w:rsidRPr="00016DF3">
        <w:rPr>
          <w:lang w:val="de-DE"/>
        </w:rPr>
        <w:t xml:space="preserve">Libanon, Madagaskar, Mali, Mauritius, Mexiko, Montenegro, Mosambik, Namibia, Nigeria, Pakistan, Panama, Paraguay, Peru, Republik Moldau, Rumänien, Russische Föderation, São Tomé und Príncipe, Senegal, Serbien, Simbabwe, Sudan, Togo, Tunesien, der Ukraine, Usbekistan, Vietnam, Zentralafrikanische Republik sowie von der Palästinensichen Behörde, </w:t>
      </w:r>
      <w:r w:rsidR="00775C24">
        <w:rPr>
          <w:lang w:val="de-DE"/>
        </w:rPr>
        <w:t xml:space="preserve">dem </w:t>
      </w:r>
      <w:r w:rsidR="00016DF3" w:rsidRPr="00016DF3">
        <w:rPr>
          <w:lang w:val="de-DE"/>
        </w:rPr>
        <w:t xml:space="preserve">Patentamt des Kooperationsrates der Arabischen Golfstaaten, </w:t>
      </w:r>
      <w:r w:rsidR="00775C24">
        <w:rPr>
          <w:lang w:val="de-DE"/>
        </w:rPr>
        <w:t xml:space="preserve">der </w:t>
      </w:r>
      <w:r w:rsidR="00016DF3" w:rsidRPr="00016DF3">
        <w:rPr>
          <w:lang w:val="de-DE"/>
        </w:rPr>
        <w:t xml:space="preserve">ARIPO and </w:t>
      </w:r>
      <w:r w:rsidR="00775C24">
        <w:rPr>
          <w:lang w:val="de-DE"/>
        </w:rPr>
        <w:t xml:space="preserve">der </w:t>
      </w:r>
      <w:r w:rsidR="00016DF3" w:rsidRPr="00016DF3">
        <w:rPr>
          <w:lang w:val="de-DE"/>
        </w:rPr>
        <w:t>OAPI teil</w:t>
      </w:r>
      <w:r w:rsidR="00B31465" w:rsidRPr="00016DF3">
        <w:rPr>
          <w:lang w:val="de-DE"/>
        </w:rPr>
        <w:t>.</w:t>
      </w:r>
    </w:p>
    <w:p w:rsidR="007A683A" w:rsidRPr="00016DF3" w:rsidRDefault="007A683A" w:rsidP="007A683A">
      <w:pPr>
        <w:rPr>
          <w:lang w:val="de-DE"/>
        </w:rPr>
      </w:pPr>
    </w:p>
    <w:p w:rsidR="007A683A" w:rsidRPr="00016DF3" w:rsidRDefault="004A094B" w:rsidP="00016DF3">
      <w:pPr>
        <w:rPr>
          <w:lang w:val="de-DE"/>
        </w:rPr>
      </w:pPr>
      <w:r w:rsidRPr="006054BD">
        <w:fldChar w:fldCharType="begin"/>
      </w:r>
      <w:r w:rsidR="007A683A" w:rsidRPr="00016DF3">
        <w:rPr>
          <w:lang w:val="de-DE"/>
        </w:rPr>
        <w:instrText xml:space="preserve"> AUTONUM  </w:instrText>
      </w:r>
      <w:r w:rsidRPr="006054BD">
        <w:fldChar w:fldCharType="end"/>
      </w:r>
      <w:r w:rsidR="007A683A" w:rsidRPr="00016DF3">
        <w:rPr>
          <w:lang w:val="de-DE"/>
        </w:rPr>
        <w:tab/>
      </w:r>
      <w:r w:rsidR="00016DF3">
        <w:rPr>
          <w:lang w:val="de-DE"/>
        </w:rPr>
        <w:t>Vom</w:t>
      </w:r>
      <w:r w:rsidR="007A683A" w:rsidRPr="00016DF3">
        <w:rPr>
          <w:lang w:val="de-DE"/>
        </w:rPr>
        <w:t xml:space="preserve"> </w:t>
      </w:r>
      <w:r w:rsidR="00016DF3" w:rsidRPr="00016DF3">
        <w:rPr>
          <w:snapToGrid w:val="0"/>
          <w:lang w:val="de-DE"/>
        </w:rPr>
        <w:t xml:space="preserve">26. bis 28. Juni nahm das Büro in Rio de Janeiro, Brasilien, am </w:t>
      </w:r>
      <w:r w:rsidR="007C2539">
        <w:rPr>
          <w:snapToGrid w:val="0"/>
          <w:lang w:val="de-DE"/>
        </w:rPr>
        <w:t xml:space="preserve">Kongreß </w:t>
      </w:r>
      <w:r w:rsidR="00016DF3" w:rsidRPr="00016DF3">
        <w:rPr>
          <w:snapToGrid w:val="0"/>
          <w:lang w:val="de-DE"/>
        </w:rPr>
        <w:t xml:space="preserve">der </w:t>
      </w:r>
      <w:r w:rsidR="00016DF3" w:rsidRPr="00016DF3">
        <w:rPr>
          <w:i/>
          <w:snapToGrid w:val="0"/>
          <w:lang w:val="de-DE"/>
        </w:rPr>
        <w:t>International Seed Federation</w:t>
      </w:r>
      <w:r w:rsidR="00016DF3" w:rsidRPr="00016DF3">
        <w:rPr>
          <w:snapToGrid w:val="0"/>
          <w:lang w:val="de-DE"/>
        </w:rPr>
        <w:t xml:space="preserve"> (ISF) 2012 teil</w:t>
      </w:r>
      <w:r w:rsidR="007A683A" w:rsidRPr="00016DF3">
        <w:rPr>
          <w:snapToGrid w:val="0"/>
          <w:lang w:val="de-DE"/>
        </w:rPr>
        <w:t>.</w:t>
      </w:r>
    </w:p>
    <w:p w:rsidR="007A683A" w:rsidRPr="00016DF3" w:rsidRDefault="007A683A" w:rsidP="007A683A">
      <w:pPr>
        <w:rPr>
          <w:lang w:val="de-DE"/>
        </w:rPr>
      </w:pPr>
    </w:p>
    <w:p w:rsidR="007A683A" w:rsidRPr="00016DF3" w:rsidRDefault="004A094B" w:rsidP="00016DF3">
      <w:pPr>
        <w:rPr>
          <w:lang w:val="de-DE"/>
        </w:rPr>
      </w:pPr>
      <w:r w:rsidRPr="006054BD">
        <w:fldChar w:fldCharType="begin"/>
      </w:r>
      <w:r w:rsidR="007A683A" w:rsidRPr="00016DF3">
        <w:rPr>
          <w:lang w:val="de-DE"/>
        </w:rPr>
        <w:instrText xml:space="preserve"> AUTONUM  </w:instrText>
      </w:r>
      <w:r w:rsidRPr="006054BD">
        <w:fldChar w:fldCharType="end"/>
      </w:r>
      <w:r w:rsidR="00016DF3">
        <w:rPr>
          <w:lang w:val="de-DE"/>
        </w:rPr>
        <w:tab/>
        <w:t>Vom</w:t>
      </w:r>
      <w:r w:rsidR="007A683A" w:rsidRPr="00016DF3">
        <w:rPr>
          <w:lang w:val="de-DE"/>
        </w:rPr>
        <w:t xml:space="preserve"> </w:t>
      </w:r>
      <w:r w:rsidR="00016DF3" w:rsidRPr="00016DF3">
        <w:rPr>
          <w:lang w:val="de-DE"/>
        </w:rPr>
        <w:t>3. bis 6. Juli nahm das Büro in Neu Delhi, Indien</w:t>
      </w:r>
      <w:r w:rsidR="006F0904">
        <w:rPr>
          <w:lang w:val="de-DE"/>
        </w:rPr>
        <w:t>,</w:t>
      </w:r>
      <w:r w:rsidR="00016DF3" w:rsidRPr="00016DF3">
        <w:rPr>
          <w:lang w:val="de-DE"/>
        </w:rPr>
        <w:t xml:space="preserve"> an der</w:t>
      </w:r>
      <w:r w:rsidR="00016DF3" w:rsidRPr="00016DF3">
        <w:rPr>
          <w:snapToGrid w:val="0"/>
          <w:color w:val="000000"/>
          <w:lang w:val="de-DE"/>
        </w:rPr>
        <w:t xml:space="preserve"> zweiten Tagung der Ad</w:t>
      </w:r>
      <w:r w:rsidR="00016DF3" w:rsidRPr="00016DF3">
        <w:rPr>
          <w:snapToGrid w:val="0"/>
          <w:color w:val="000000"/>
          <w:lang w:val="de-DE"/>
        </w:rPr>
        <w:noBreakHyphen/>
        <w:t>Hoc</w:t>
      </w:r>
      <w:r w:rsidR="00016DF3" w:rsidRPr="00016DF3">
        <w:rPr>
          <w:snapToGrid w:val="0"/>
          <w:color w:val="000000"/>
          <w:lang w:val="de-DE"/>
        </w:rPr>
        <w:noBreakHyphen/>
        <w:t>Arbeitsgruppe ohne Einschränkung der Teilnahme für Zugang zu genetischen Ressourcen und gerechte und ausgewogene Beteiligung an den Vorteilen aus ihrer Nutzung zum Übereinkommen über die biologische Vielfalt (ICNP-2) teil</w:t>
      </w:r>
      <w:r w:rsidR="007A683A" w:rsidRPr="00016DF3">
        <w:rPr>
          <w:lang w:val="de-DE"/>
        </w:rPr>
        <w:t>.</w:t>
      </w:r>
    </w:p>
    <w:p w:rsidR="007A683A" w:rsidRPr="00016DF3" w:rsidRDefault="007A683A" w:rsidP="007A683A">
      <w:pPr>
        <w:rPr>
          <w:lang w:val="de-DE"/>
        </w:rPr>
      </w:pPr>
    </w:p>
    <w:p w:rsidR="007A683A" w:rsidRPr="00016DF3" w:rsidRDefault="004A094B" w:rsidP="00B72B08">
      <w:pPr>
        <w:rPr>
          <w:lang w:val="de-DE"/>
        </w:rPr>
      </w:pPr>
      <w:r w:rsidRPr="006054BD">
        <w:fldChar w:fldCharType="begin"/>
      </w:r>
      <w:r w:rsidR="007A683A" w:rsidRPr="00016DF3">
        <w:rPr>
          <w:lang w:val="de-DE"/>
        </w:rPr>
        <w:instrText xml:space="preserve"> AUTONUM  </w:instrText>
      </w:r>
      <w:r w:rsidRPr="006054BD">
        <w:fldChar w:fldCharType="end"/>
      </w:r>
      <w:r w:rsidR="007A683A" w:rsidRPr="00016DF3">
        <w:rPr>
          <w:lang w:val="de-DE"/>
        </w:rPr>
        <w:tab/>
      </w:r>
      <w:r w:rsidR="00016DF3">
        <w:rPr>
          <w:lang w:val="de-DE"/>
        </w:rPr>
        <w:t>Am</w:t>
      </w:r>
      <w:r w:rsidR="007A683A" w:rsidRPr="00016DF3">
        <w:rPr>
          <w:lang w:val="de-DE"/>
        </w:rPr>
        <w:t xml:space="preserve"> </w:t>
      </w:r>
      <w:r w:rsidR="00016DF3" w:rsidRPr="00016DF3">
        <w:rPr>
          <w:lang w:val="de-DE"/>
        </w:rPr>
        <w:t xml:space="preserve">4. Juli hielt das Büro in Rom, Italien, ein Referat über „Sortenschutz und Lizenzvergabe“ beim „Lehrgang für die Vergabe von Technik-Lizenzen für Entwicklungsländer: Do´s and Don’ts“, der von der </w:t>
      </w:r>
      <w:r w:rsidR="00016DF3" w:rsidRPr="00016DF3">
        <w:rPr>
          <w:i/>
          <w:lang w:val="de-DE"/>
        </w:rPr>
        <w:t>International Development Law Organization</w:t>
      </w:r>
      <w:r w:rsidR="00016DF3" w:rsidRPr="00016DF3">
        <w:rPr>
          <w:lang w:val="de-DE"/>
        </w:rPr>
        <w:t xml:space="preserve"> (IDLO) organisiert worden war. An dem Lehrgang nahmen Teilnehmer aus Ägypten, Argentinien, Brasilien, Bulgarien, Ehemalige Jugoslawische Republik Mazedonien, Kambodscha, Kenia, Libanon, Nepal, Nigeria, Pakistan, Peru, Philippinen, Rumänien, Südafrika, Sri Lanka, Uganda und Vietnam teil</w:t>
      </w:r>
      <w:r w:rsidR="007A683A" w:rsidRPr="00016DF3">
        <w:rPr>
          <w:lang w:val="de-DE"/>
        </w:rPr>
        <w:t>.</w:t>
      </w:r>
    </w:p>
    <w:p w:rsidR="007A683A" w:rsidRPr="00016DF3" w:rsidRDefault="007A683A" w:rsidP="007A683A">
      <w:pPr>
        <w:rPr>
          <w:lang w:val="de-DE"/>
        </w:rPr>
      </w:pPr>
    </w:p>
    <w:p w:rsidR="007A683A" w:rsidRPr="00016DF3" w:rsidRDefault="004A094B" w:rsidP="000A437F">
      <w:pPr>
        <w:rPr>
          <w:lang w:val="de-DE"/>
        </w:rPr>
      </w:pPr>
      <w:r w:rsidRPr="006054BD">
        <w:fldChar w:fldCharType="begin"/>
      </w:r>
      <w:r w:rsidR="007A683A" w:rsidRPr="00016DF3">
        <w:rPr>
          <w:lang w:val="de-DE"/>
        </w:rPr>
        <w:instrText xml:space="preserve"> AUTONUM  </w:instrText>
      </w:r>
      <w:r w:rsidRPr="006054BD">
        <w:fldChar w:fldCharType="end"/>
      </w:r>
      <w:r w:rsidR="007A683A" w:rsidRPr="00016DF3">
        <w:rPr>
          <w:lang w:val="de-DE"/>
        </w:rPr>
        <w:tab/>
      </w:r>
      <w:r w:rsidR="00016DF3">
        <w:rPr>
          <w:lang w:val="de-DE"/>
        </w:rPr>
        <w:t>Am</w:t>
      </w:r>
      <w:r w:rsidR="007A683A" w:rsidRPr="00016DF3">
        <w:rPr>
          <w:lang w:val="de-DE"/>
        </w:rPr>
        <w:t xml:space="preserve"> </w:t>
      </w:r>
      <w:r w:rsidR="00016DF3" w:rsidRPr="00016DF3">
        <w:rPr>
          <w:lang w:val="de-DE"/>
        </w:rPr>
        <w:t xml:space="preserve">6. Juli hielt das Büro am WIPO-Hauptsitz in Genf ein Referat über den „Schutz von Pflanzensorten nach dem UPOV-Übereinkommen“ bei der </w:t>
      </w:r>
      <w:bookmarkStart w:id="42" w:name="OLE_LINK16"/>
      <w:bookmarkStart w:id="43" w:name="OLE_LINK17"/>
      <w:r w:rsidR="00016DF3" w:rsidRPr="00016DF3">
        <w:rPr>
          <w:lang w:val="de-DE"/>
        </w:rPr>
        <w:t>WIPO</w:t>
      </w:r>
      <w:r w:rsidR="00016DF3" w:rsidRPr="00016DF3">
        <w:rPr>
          <w:lang w:val="de-DE"/>
        </w:rPr>
        <w:noBreakHyphen/>
        <w:t>Sommerschule über geistiges Eigentum</w:t>
      </w:r>
      <w:bookmarkEnd w:id="42"/>
      <w:bookmarkEnd w:id="43"/>
      <w:r w:rsidR="00016DF3" w:rsidRPr="00016DF3">
        <w:rPr>
          <w:lang w:val="de-DE"/>
        </w:rPr>
        <w:t xml:space="preserve">. An dem Lehrgang nahmen Teilnehmer aus Australien, Belgien, Brasilien, Chile, China, Demokratische Volksrepublik Korea, </w:t>
      </w:r>
      <w:r w:rsidR="000A437F" w:rsidRPr="00016DF3">
        <w:rPr>
          <w:lang w:val="de-DE"/>
        </w:rPr>
        <w:t>Deutschland,</w:t>
      </w:r>
      <w:r w:rsidR="000A437F">
        <w:rPr>
          <w:lang w:val="de-DE"/>
        </w:rPr>
        <w:t xml:space="preserve"> </w:t>
      </w:r>
      <w:r w:rsidR="00016DF3" w:rsidRPr="00016DF3">
        <w:rPr>
          <w:lang w:val="de-DE"/>
        </w:rPr>
        <w:t xml:space="preserve">Ecuador, Ehemalige Jugoslawische Republik Mazedonien, Griechenland, Indien, Italien, Japan, Kamerun, Kanada, Katar, Kolumbien, Marokko, Mexiko, Niederlande, Nigeria, Österreich, Polen, Republik Korea, Rumänien, Russische Föderation, Schweden, Schweiz, Tunesien, </w:t>
      </w:r>
      <w:r w:rsidR="007C2539" w:rsidRPr="00016DF3">
        <w:rPr>
          <w:lang w:val="de-DE"/>
        </w:rPr>
        <w:t>Venezuela</w:t>
      </w:r>
      <w:r w:rsidR="007C2539">
        <w:rPr>
          <w:lang w:val="de-DE"/>
        </w:rPr>
        <w:t xml:space="preserve">, </w:t>
      </w:r>
      <w:r w:rsidR="00016DF3" w:rsidRPr="00016DF3">
        <w:rPr>
          <w:lang w:val="de-DE"/>
        </w:rPr>
        <w:t>Vereinigte Staaten von Ame</w:t>
      </w:r>
      <w:r w:rsidR="007C2539">
        <w:rPr>
          <w:lang w:val="de-DE"/>
        </w:rPr>
        <w:t>rika und Vereinigtes Königreich</w:t>
      </w:r>
      <w:r w:rsidR="00016DF3" w:rsidRPr="00016DF3">
        <w:rPr>
          <w:lang w:val="de-DE"/>
        </w:rPr>
        <w:t xml:space="preserve"> teil</w:t>
      </w:r>
      <w:r w:rsidR="007A683A" w:rsidRPr="00016DF3">
        <w:rPr>
          <w:lang w:val="de-DE"/>
        </w:rPr>
        <w:t>.</w:t>
      </w:r>
    </w:p>
    <w:p w:rsidR="007A683A" w:rsidRPr="00016DF3" w:rsidRDefault="007A683A" w:rsidP="007A683A">
      <w:pPr>
        <w:rPr>
          <w:lang w:val="de-DE"/>
        </w:rPr>
      </w:pPr>
    </w:p>
    <w:p w:rsidR="007A683A" w:rsidRPr="00157D25" w:rsidRDefault="004A094B" w:rsidP="00157D25">
      <w:pPr>
        <w:rPr>
          <w:lang w:val="de-DE"/>
        </w:rPr>
      </w:pPr>
      <w:r w:rsidRPr="006054BD">
        <w:fldChar w:fldCharType="begin"/>
      </w:r>
      <w:r w:rsidR="007A683A" w:rsidRPr="00157D25">
        <w:rPr>
          <w:lang w:val="de-DE"/>
        </w:rPr>
        <w:instrText xml:space="preserve"> AUTONUM  </w:instrText>
      </w:r>
      <w:r w:rsidRPr="006054BD">
        <w:fldChar w:fldCharType="end"/>
      </w:r>
      <w:r w:rsidR="007A683A" w:rsidRPr="00157D25">
        <w:rPr>
          <w:lang w:val="de-DE"/>
        </w:rPr>
        <w:tab/>
      </w:r>
      <w:r w:rsidR="00157D25">
        <w:rPr>
          <w:lang w:val="de-DE"/>
        </w:rPr>
        <w:t>Vom</w:t>
      </w:r>
      <w:r w:rsidR="007A683A" w:rsidRPr="00157D25">
        <w:rPr>
          <w:lang w:val="de-DE"/>
        </w:rPr>
        <w:t xml:space="preserve"> </w:t>
      </w:r>
      <w:r w:rsidR="00157D25" w:rsidRPr="00157D25">
        <w:rPr>
          <w:lang w:val="de-DE"/>
        </w:rPr>
        <w:t>9. bis 13. Juli nahm das Büro an Teilen der zweiundzwanzigsten Tagung des Zwischenstaatlichen Ausschusses für geistiges Eigentum und genetische Ressourcen sowie traditionelle Kenntnisse und Gebräuche (IGC) der WIPO teil</w:t>
      </w:r>
      <w:r w:rsidR="007A683A" w:rsidRPr="00157D25">
        <w:rPr>
          <w:lang w:val="de-DE"/>
        </w:rPr>
        <w:t>.</w:t>
      </w:r>
    </w:p>
    <w:p w:rsidR="007A683A" w:rsidRPr="00157D25" w:rsidRDefault="007A683A" w:rsidP="007A683A">
      <w:pPr>
        <w:rPr>
          <w:lang w:val="de-DE"/>
        </w:rPr>
      </w:pPr>
    </w:p>
    <w:p w:rsidR="007A683A" w:rsidRPr="00157D25" w:rsidRDefault="004A094B" w:rsidP="00157D25">
      <w:pPr>
        <w:rPr>
          <w:lang w:val="de-DE"/>
        </w:rPr>
      </w:pPr>
      <w:r w:rsidRPr="006054BD">
        <w:fldChar w:fldCharType="begin"/>
      </w:r>
      <w:r w:rsidR="007A683A" w:rsidRPr="00157D25">
        <w:rPr>
          <w:lang w:val="de-DE"/>
        </w:rPr>
        <w:instrText xml:space="preserve"> AUTONUM  </w:instrText>
      </w:r>
      <w:r w:rsidRPr="006054BD">
        <w:fldChar w:fldCharType="end"/>
      </w:r>
      <w:r w:rsidR="00157D25">
        <w:rPr>
          <w:lang w:val="de-DE"/>
        </w:rPr>
        <w:tab/>
        <w:t>V</w:t>
      </w:r>
      <w:r w:rsidR="007A683A" w:rsidRPr="00157D25">
        <w:rPr>
          <w:lang w:val="de-DE"/>
        </w:rPr>
        <w:t xml:space="preserve">om </w:t>
      </w:r>
      <w:r w:rsidR="00157D25" w:rsidRPr="00157D25">
        <w:rPr>
          <w:lang w:val="de-DE"/>
        </w:rPr>
        <w:t>9. bis 13. Juli nahm das Büro in Helsinki, Finnland, an der Jahrestagung der OECD</w:t>
      </w:r>
      <w:r w:rsidR="00157D25" w:rsidRPr="00157D25">
        <w:rPr>
          <w:lang w:val="de-DE"/>
        </w:rPr>
        <w:noBreakHyphen/>
        <w:t>Saatgutschemata, einschließlich der Sitzungen des Erweiterten Fachbeirats der OECD (EAG), der Ad</w:t>
      </w:r>
      <w:r w:rsidR="00157D25" w:rsidRPr="00157D25">
        <w:rPr>
          <w:lang w:val="de-DE"/>
        </w:rPr>
        <w:noBreakHyphen/>
        <w:t>hoc-Arbeitsgruppe von Sachverständigen für biochemische und molekulare Verfahren für die Beschreibung und/oder Identifizierung von Sorten und an der Technischen Arbeitsgruppe für Sortenidentität und -reinheit teil</w:t>
      </w:r>
      <w:r w:rsidR="007A683A" w:rsidRPr="00157D25">
        <w:rPr>
          <w:lang w:val="de-DE"/>
        </w:rPr>
        <w:t>.</w:t>
      </w:r>
    </w:p>
    <w:p w:rsidR="007A683A" w:rsidRPr="00157D25" w:rsidRDefault="007A683A" w:rsidP="007A683A">
      <w:pPr>
        <w:rPr>
          <w:lang w:val="de-DE"/>
        </w:rPr>
      </w:pPr>
    </w:p>
    <w:p w:rsidR="007A683A" w:rsidRPr="00157D25" w:rsidRDefault="004A094B" w:rsidP="00157D25">
      <w:pPr>
        <w:rPr>
          <w:lang w:val="de-DE"/>
        </w:rPr>
      </w:pPr>
      <w:r w:rsidRPr="006054BD">
        <w:fldChar w:fldCharType="begin"/>
      </w:r>
      <w:r w:rsidR="007A683A" w:rsidRPr="00157D25">
        <w:rPr>
          <w:lang w:val="de-DE"/>
        </w:rPr>
        <w:instrText xml:space="preserve"> AUTONUM  </w:instrText>
      </w:r>
      <w:r w:rsidRPr="006054BD">
        <w:fldChar w:fldCharType="end"/>
      </w:r>
      <w:r w:rsidR="00157D25">
        <w:rPr>
          <w:lang w:val="de-DE"/>
        </w:rPr>
        <w:tab/>
        <w:t>V</w:t>
      </w:r>
      <w:r w:rsidR="007A683A" w:rsidRPr="00157D25">
        <w:rPr>
          <w:lang w:val="de-DE"/>
        </w:rPr>
        <w:t xml:space="preserve">om </w:t>
      </w:r>
      <w:r w:rsidR="00157D25" w:rsidRPr="00157D25">
        <w:rPr>
          <w:lang w:val="de-DE"/>
        </w:rPr>
        <w:t>10. bis 12. Juli hielt das Büro in Seoul, Republik Korea, bei dem vom koreanischen Saatgut- und Sortendienst (KSVS) und der koreanischen Stelle für Entwicklungszusammenarbeit (KOICA) organisierten Lehrgang „Sortenschutz und DUS-Prüfung“ Vorträge über die UPOV. An dem Lehrgang nahmen Teilnehmer aus Ägypten, Demokratische Volksrepublik Laos, Dominikanische Republik, Ghana, Guatemala, Indonesien, Jordanien, Kambodscha, Kenia, Marokko, Myanmar, Nicaragua, Philippinen, Tadschikistan, Uganda und Vereinigte Republik Tansania teil. Die Teilnehmer erhielten die Möglichkeit, bilaterale Gespräche mit UPOV</w:t>
      </w:r>
      <w:r w:rsidR="00157D25" w:rsidRPr="00157D25">
        <w:rPr>
          <w:lang w:val="de-DE"/>
        </w:rPr>
        <w:noBreakHyphen/>
        <w:t>Vertretern zu führen. Der Teilnehmer aus Jordanien bat das Büro um Unterstützung und Anleitung für die Umsetzung des Sortenschutzsystems und die DUS-Prüfung</w:t>
      </w:r>
      <w:r w:rsidR="007A683A" w:rsidRPr="00157D25">
        <w:rPr>
          <w:lang w:val="de-DE"/>
        </w:rPr>
        <w:t>.</w:t>
      </w:r>
    </w:p>
    <w:p w:rsidR="007A683A" w:rsidRPr="00157D25" w:rsidRDefault="007A683A" w:rsidP="007A683A">
      <w:pPr>
        <w:rPr>
          <w:lang w:val="de-DE"/>
        </w:rPr>
      </w:pPr>
    </w:p>
    <w:p w:rsidR="007A683A" w:rsidRPr="00157D25" w:rsidRDefault="004A094B" w:rsidP="00157D25">
      <w:pPr>
        <w:rPr>
          <w:rFonts w:cs="Arial"/>
          <w:szCs w:val="22"/>
          <w:lang w:val="de-DE"/>
        </w:rPr>
      </w:pPr>
      <w:r w:rsidRPr="006054BD">
        <w:fldChar w:fldCharType="begin"/>
      </w:r>
      <w:r w:rsidR="007A683A" w:rsidRPr="00157D25">
        <w:rPr>
          <w:lang w:val="de-DE"/>
        </w:rPr>
        <w:instrText xml:space="preserve"> AUTONUM  </w:instrText>
      </w:r>
      <w:r w:rsidRPr="006054BD">
        <w:fldChar w:fldCharType="end"/>
      </w:r>
      <w:r w:rsidR="00157D25">
        <w:rPr>
          <w:lang w:val="de-DE"/>
        </w:rPr>
        <w:tab/>
        <w:t>Am</w:t>
      </w:r>
      <w:r w:rsidR="007A683A" w:rsidRPr="00157D25">
        <w:rPr>
          <w:lang w:val="de-DE"/>
        </w:rPr>
        <w:t xml:space="preserve"> </w:t>
      </w:r>
      <w:r w:rsidR="00157D25" w:rsidRPr="00157D25">
        <w:rPr>
          <w:lang w:val="de-DE"/>
        </w:rPr>
        <w:t>16. und 17. Juli kam das Büro in Bangkok, Thailand mit offiziellen Vertretern des Landwirtschaftsministeriums (DOA) zusammen, um Unterstützung bei der Verfassung der Revision des Sortenschutzgesetzes zu leisten</w:t>
      </w:r>
      <w:r w:rsidR="007A683A" w:rsidRPr="00157D25">
        <w:rPr>
          <w:rFonts w:cs="Arial"/>
          <w:szCs w:val="22"/>
          <w:lang w:val="de-DE"/>
        </w:rPr>
        <w:t>.</w:t>
      </w:r>
    </w:p>
    <w:p w:rsidR="007A683A" w:rsidRPr="00157D25" w:rsidRDefault="007A683A" w:rsidP="007A683A">
      <w:pPr>
        <w:rPr>
          <w:lang w:val="de-DE"/>
        </w:rPr>
      </w:pPr>
    </w:p>
    <w:p w:rsidR="007A683A" w:rsidRPr="00157D25" w:rsidRDefault="004A094B" w:rsidP="00157D25">
      <w:pPr>
        <w:rPr>
          <w:lang w:val="de-DE"/>
        </w:rPr>
      </w:pPr>
      <w:r w:rsidRPr="006054BD">
        <w:fldChar w:fldCharType="begin"/>
      </w:r>
      <w:r w:rsidR="007A683A" w:rsidRPr="00157D25">
        <w:rPr>
          <w:lang w:val="de-DE"/>
        </w:rPr>
        <w:instrText xml:space="preserve"> AUTONUM  </w:instrText>
      </w:r>
      <w:r w:rsidRPr="006054BD">
        <w:fldChar w:fldCharType="end"/>
      </w:r>
      <w:r w:rsidR="007A683A" w:rsidRPr="00157D25">
        <w:rPr>
          <w:lang w:val="de-DE"/>
        </w:rPr>
        <w:tab/>
      </w:r>
      <w:r w:rsidR="00157D25">
        <w:rPr>
          <w:lang w:val="de-DE"/>
        </w:rPr>
        <w:t>Am</w:t>
      </w:r>
      <w:r w:rsidR="007A683A" w:rsidRPr="00157D25">
        <w:rPr>
          <w:lang w:val="de-DE"/>
        </w:rPr>
        <w:t xml:space="preserve"> </w:t>
      </w:r>
      <w:r w:rsidR="00157D25" w:rsidRPr="00157D25">
        <w:rPr>
          <w:lang w:val="de-DE"/>
        </w:rPr>
        <w:t>26. und 27. Juli hielt Herr Doug Waterhouse im Rahmen des „</w:t>
      </w:r>
      <w:r w:rsidR="00157D25" w:rsidRPr="00157D25">
        <w:rPr>
          <w:i/>
          <w:lang w:val="de-DE"/>
        </w:rPr>
        <w:t>QUT Master Program of Intellectual Property Law</w:t>
      </w:r>
      <w:r w:rsidR="00157D25" w:rsidRPr="00157D25">
        <w:rPr>
          <w:rFonts w:cs="Arial"/>
          <w:lang w:val="de-DE"/>
        </w:rPr>
        <w:t>“</w:t>
      </w:r>
      <w:r w:rsidR="00157D25" w:rsidRPr="00157D25">
        <w:rPr>
          <w:lang w:val="de-DE"/>
        </w:rPr>
        <w:t xml:space="preserve"> an der </w:t>
      </w:r>
      <w:r w:rsidR="00157D25" w:rsidRPr="00157D25">
        <w:rPr>
          <w:i/>
          <w:lang w:val="de-DE"/>
        </w:rPr>
        <w:t>Queensland University of Technology</w:t>
      </w:r>
      <w:r w:rsidR="00157D25" w:rsidRPr="00157D25">
        <w:rPr>
          <w:lang w:val="de-DE"/>
        </w:rPr>
        <w:t xml:space="preserve"> (QUT) in Brisbane, Australien, im Namen des Büros Vorlesungen über Pflanzensortenschutz nach dem UPOV-System</w:t>
      </w:r>
      <w:r w:rsidR="007A683A" w:rsidRPr="00157D25">
        <w:rPr>
          <w:lang w:val="de-DE"/>
        </w:rPr>
        <w:t>.</w:t>
      </w:r>
    </w:p>
    <w:p w:rsidR="007A683A" w:rsidRPr="00157D25" w:rsidRDefault="007A683A" w:rsidP="007A683A">
      <w:pPr>
        <w:rPr>
          <w:lang w:val="de-DE"/>
        </w:rPr>
      </w:pPr>
    </w:p>
    <w:p w:rsidR="007A683A" w:rsidRPr="00157D25" w:rsidRDefault="004A094B" w:rsidP="00157D25">
      <w:pPr>
        <w:rPr>
          <w:snapToGrid w:val="0"/>
          <w:lang w:val="de-DE"/>
        </w:rPr>
      </w:pPr>
      <w:r w:rsidRPr="006054BD">
        <w:fldChar w:fldCharType="begin"/>
      </w:r>
      <w:r w:rsidR="007A683A" w:rsidRPr="00157D25">
        <w:rPr>
          <w:lang w:val="de-DE"/>
        </w:rPr>
        <w:instrText xml:space="preserve"> AUTONUM  </w:instrText>
      </w:r>
      <w:r w:rsidRPr="006054BD">
        <w:fldChar w:fldCharType="end"/>
      </w:r>
      <w:r w:rsidR="007A683A" w:rsidRPr="00157D25">
        <w:rPr>
          <w:lang w:val="de-DE"/>
        </w:rPr>
        <w:tab/>
      </w:r>
      <w:r w:rsidR="00157D25">
        <w:rPr>
          <w:lang w:val="de-DE"/>
        </w:rPr>
        <w:t>Am</w:t>
      </w:r>
      <w:r w:rsidR="007A683A" w:rsidRPr="00157D25">
        <w:rPr>
          <w:lang w:val="de-DE"/>
        </w:rPr>
        <w:t xml:space="preserve"> </w:t>
      </w:r>
      <w:r w:rsidR="00157D25" w:rsidRPr="00157D25">
        <w:rPr>
          <w:lang w:val="de-DE"/>
        </w:rPr>
        <w:t xml:space="preserve">7. und 8. August nahm das Büro in Brasilia, Brasilien, auf Einladung von </w:t>
      </w:r>
      <w:r w:rsidR="00157D25" w:rsidRPr="00157D25">
        <w:rPr>
          <w:snapToGrid w:val="0"/>
          <w:lang w:val="de-DE"/>
        </w:rPr>
        <w:t>Herrn Shakeel Bhatti, Sekretär des Internationalen Vertrages über pflanzengenetische Ressourcen für Ernährung und Landwirtschaft (ITPGRFA), an einer Sitzung zur Erörterung der Optionen für die Einrichtung und die beabsichtigten Tätigkeiten einer „Plattform für die Mitentwicklung und den Technologietransfer“ im Rahmen des ITPGRFA teil. Die Sitzung wurde vom Ministerium für Landwirtschaft, Viehzucht und Nahrungsmittelversorgung und dem Umweltministerium von Brasilien, dem Brasilianischen Forschungsinstitut (EMBRAPA) sowie der Indonesischen Agentur für Agrarforschung und Entwicklung (IAARD) mitorganisiert</w:t>
      </w:r>
      <w:r w:rsidR="007A683A" w:rsidRPr="00157D25">
        <w:rPr>
          <w:snapToGrid w:val="0"/>
          <w:lang w:val="de-DE"/>
        </w:rPr>
        <w:t>.</w:t>
      </w:r>
    </w:p>
    <w:p w:rsidR="007A683A" w:rsidRPr="00157D25" w:rsidRDefault="007A683A" w:rsidP="007A683A">
      <w:pPr>
        <w:rPr>
          <w:snapToGrid w:val="0"/>
          <w:lang w:val="de-DE"/>
        </w:rPr>
      </w:pPr>
    </w:p>
    <w:p w:rsidR="007A683A" w:rsidRPr="00157D25" w:rsidRDefault="004A094B" w:rsidP="00157D25">
      <w:pPr>
        <w:rPr>
          <w:lang w:val="de-DE"/>
        </w:rPr>
      </w:pPr>
      <w:r w:rsidRPr="006054BD">
        <w:rPr>
          <w:snapToGrid w:val="0"/>
        </w:rPr>
        <w:fldChar w:fldCharType="begin"/>
      </w:r>
      <w:r w:rsidR="007A683A" w:rsidRPr="00157D25">
        <w:rPr>
          <w:snapToGrid w:val="0"/>
          <w:lang w:val="de-DE"/>
        </w:rPr>
        <w:instrText xml:space="preserve"> AUTONUM  </w:instrText>
      </w:r>
      <w:r w:rsidRPr="006054BD">
        <w:rPr>
          <w:snapToGrid w:val="0"/>
        </w:rPr>
        <w:fldChar w:fldCharType="end"/>
      </w:r>
      <w:r w:rsidR="007A683A" w:rsidRPr="00157D25">
        <w:rPr>
          <w:snapToGrid w:val="0"/>
          <w:lang w:val="de-DE"/>
        </w:rPr>
        <w:tab/>
      </w:r>
      <w:r w:rsidR="00157D25">
        <w:rPr>
          <w:lang w:val="de-DE"/>
        </w:rPr>
        <w:t>Am</w:t>
      </w:r>
      <w:r w:rsidR="007A683A" w:rsidRPr="00157D25">
        <w:rPr>
          <w:snapToGrid w:val="0"/>
          <w:lang w:val="de-DE"/>
        </w:rPr>
        <w:t xml:space="preserve"> </w:t>
      </w:r>
      <w:r w:rsidR="00157D25" w:rsidRPr="00157D25">
        <w:rPr>
          <w:snapToGrid w:val="0"/>
          <w:lang w:val="de-DE"/>
        </w:rPr>
        <w:t>21. und 22. August traf Herr Sebastian Pérez del Castillo, Analyst-Programmierer, WIPO</w:t>
      </w:r>
      <w:r w:rsidR="00157D25" w:rsidRPr="00157D25">
        <w:rPr>
          <w:snapToGrid w:val="0"/>
          <w:lang w:val="de-DE"/>
        </w:rPr>
        <w:noBreakHyphen/>
        <w:t xml:space="preserve">Abteilung Internetdienste, in Angers, Frankreich, </w:t>
      </w:r>
      <w:r w:rsidR="00157D25" w:rsidRPr="00157D25">
        <w:rPr>
          <w:lang w:val="de-DE"/>
        </w:rPr>
        <w:t xml:space="preserve">mit Sachverständigen des CPVO zusammen, um Informationen über das CPVO-Online-Antragsstellungssystem im Kontext elektronischer </w:t>
      </w:r>
      <w:r w:rsidR="003A5F5E">
        <w:rPr>
          <w:lang w:val="de-DE"/>
        </w:rPr>
        <w:t>Antragsformblätter</w:t>
      </w:r>
      <w:r w:rsidR="00157D25" w:rsidRPr="00157D25">
        <w:rPr>
          <w:lang w:val="de-DE"/>
        </w:rPr>
        <w:t xml:space="preserve"> einzuholen</w:t>
      </w:r>
      <w:r w:rsidR="007A683A" w:rsidRPr="00157D25">
        <w:rPr>
          <w:lang w:val="de-DE"/>
        </w:rPr>
        <w:t>.</w:t>
      </w:r>
    </w:p>
    <w:p w:rsidR="007A683A" w:rsidRPr="00157D25" w:rsidRDefault="007A683A" w:rsidP="007A683A">
      <w:pPr>
        <w:rPr>
          <w:snapToGrid w:val="0"/>
          <w:lang w:val="de-DE"/>
        </w:rPr>
      </w:pPr>
    </w:p>
    <w:p w:rsidR="007A683A" w:rsidRPr="00157D25" w:rsidRDefault="004A094B" w:rsidP="00157D25">
      <w:pPr>
        <w:rPr>
          <w:snapToGrid w:val="0"/>
          <w:lang w:val="de-DE"/>
        </w:rPr>
      </w:pPr>
      <w:r w:rsidRPr="006054BD">
        <w:rPr>
          <w:snapToGrid w:val="0"/>
        </w:rPr>
        <w:fldChar w:fldCharType="begin"/>
      </w:r>
      <w:r w:rsidR="007A683A" w:rsidRPr="00157D25">
        <w:rPr>
          <w:snapToGrid w:val="0"/>
          <w:lang w:val="de-DE"/>
        </w:rPr>
        <w:instrText xml:space="preserve"> AUTONUM  </w:instrText>
      </w:r>
      <w:r w:rsidRPr="006054BD">
        <w:rPr>
          <w:snapToGrid w:val="0"/>
        </w:rPr>
        <w:fldChar w:fldCharType="end"/>
      </w:r>
      <w:r w:rsidR="007A683A" w:rsidRPr="00157D25">
        <w:rPr>
          <w:snapToGrid w:val="0"/>
          <w:lang w:val="de-DE"/>
        </w:rPr>
        <w:tab/>
      </w:r>
      <w:r w:rsidR="00157D25">
        <w:rPr>
          <w:lang w:val="de-DE"/>
        </w:rPr>
        <w:t>Am</w:t>
      </w:r>
      <w:r w:rsidR="007A683A" w:rsidRPr="00157D25">
        <w:rPr>
          <w:snapToGrid w:val="0"/>
          <w:lang w:val="de-DE"/>
        </w:rPr>
        <w:t xml:space="preserve"> </w:t>
      </w:r>
      <w:r w:rsidR="00157D25" w:rsidRPr="00157D25">
        <w:rPr>
          <w:lang w:val="de-DE"/>
        </w:rPr>
        <w:t>29. August nahm das Büro in Genf an einer Telefonkonferenz mit WIPO-Kollegen und Sachverständigen im Zusammenhang mit dem WIPO-</w:t>
      </w:r>
      <w:r w:rsidR="00157D25" w:rsidRPr="00157D25">
        <w:rPr>
          <w:snapToGrid w:val="0"/>
          <w:lang w:val="de-DE"/>
        </w:rPr>
        <w:t>Rahmen für die Gestaltung entwicklungsförderlicher nationaler Strategien für geistiges Eigentum teil und leistete einen Beitrag zum thematischen Modul 2 „Landwirtschaft, ländliche Entwicklung und geistiges Eigentum“</w:t>
      </w:r>
      <w:r w:rsidR="00157D25" w:rsidRPr="00157D25">
        <w:rPr>
          <w:lang w:val="de-DE"/>
        </w:rPr>
        <w:t xml:space="preserve"> (vergleiche Absatz 41</w:t>
      </w:r>
      <w:r w:rsidR="007A683A" w:rsidRPr="00157D25">
        <w:rPr>
          <w:lang w:val="de-DE"/>
        </w:rPr>
        <w:t>)</w:t>
      </w:r>
      <w:r w:rsidR="007A683A" w:rsidRPr="00157D25">
        <w:rPr>
          <w:rFonts w:cs="Arial"/>
          <w:lang w:val="de-DE"/>
        </w:rPr>
        <w:t>.</w:t>
      </w:r>
    </w:p>
    <w:p w:rsidR="007A683A" w:rsidRPr="00157D25" w:rsidRDefault="007A683A" w:rsidP="007A683A">
      <w:pPr>
        <w:rPr>
          <w:snapToGrid w:val="0"/>
          <w:lang w:val="de-DE"/>
        </w:rPr>
      </w:pPr>
    </w:p>
    <w:p w:rsidR="007A683A" w:rsidRPr="002A5260" w:rsidRDefault="004A094B" w:rsidP="00C56C8F">
      <w:pPr>
        <w:rPr>
          <w:lang w:val="de-DE"/>
        </w:rPr>
      </w:pPr>
      <w:r w:rsidRPr="006054BD">
        <w:fldChar w:fldCharType="begin"/>
      </w:r>
      <w:r w:rsidR="007A683A" w:rsidRPr="00157D25">
        <w:rPr>
          <w:lang w:val="de-DE"/>
        </w:rPr>
        <w:instrText xml:space="preserve"> AUTONUM  </w:instrText>
      </w:r>
      <w:r w:rsidRPr="006054BD">
        <w:fldChar w:fldCharType="end"/>
      </w:r>
      <w:r w:rsidR="007A683A" w:rsidRPr="00157D25">
        <w:rPr>
          <w:lang w:val="de-DE"/>
        </w:rPr>
        <w:tab/>
      </w:r>
      <w:r w:rsidR="00C56C8F">
        <w:rPr>
          <w:lang w:val="de-DE"/>
        </w:rPr>
        <w:t>Vom</w:t>
      </w:r>
      <w:r w:rsidR="007A683A" w:rsidRPr="00157D25">
        <w:rPr>
          <w:lang w:val="de-DE"/>
        </w:rPr>
        <w:t xml:space="preserve"> </w:t>
      </w:r>
      <w:r w:rsidR="00157D25" w:rsidRPr="00157D25">
        <w:rPr>
          <w:lang w:val="de-DE"/>
        </w:rPr>
        <w:t xml:space="preserve">29. bis 31. August nahm das Büro in Santa Cruz de la Sierra, Bolivien (Plurinationaler Staat), an dem vom Lateinamerikanischen Verband der Vereinigungen der Saatguterzeuger (FELAS) organisierten </w:t>
      </w:r>
      <w:r w:rsidR="00157D25" w:rsidRPr="00157D25">
        <w:rPr>
          <w:snapToGrid w:val="0"/>
          <w:lang w:val="de-DE"/>
        </w:rPr>
        <w:t xml:space="preserve">XXIII. </w:t>
      </w:r>
      <w:r w:rsidR="00157D25" w:rsidRPr="002A5260">
        <w:rPr>
          <w:snapToGrid w:val="0"/>
          <w:lang w:val="de-DE"/>
        </w:rPr>
        <w:t>Panamerikanischen Saatgut</w:t>
      </w:r>
      <w:r w:rsidR="007C2539">
        <w:rPr>
          <w:snapToGrid w:val="0"/>
          <w:lang w:val="de-DE"/>
        </w:rPr>
        <w:t xml:space="preserve">kongreß </w:t>
      </w:r>
      <w:r w:rsidR="00157D25" w:rsidRPr="002A5260">
        <w:rPr>
          <w:lang w:val="de-DE"/>
        </w:rPr>
        <w:t>teil</w:t>
      </w:r>
      <w:r w:rsidR="007A683A" w:rsidRPr="002A5260">
        <w:rPr>
          <w:lang w:val="de-DE"/>
        </w:rPr>
        <w:t>.</w:t>
      </w:r>
    </w:p>
    <w:p w:rsidR="007A683A" w:rsidRPr="002A5260" w:rsidRDefault="007A683A" w:rsidP="007A683A">
      <w:pPr>
        <w:rPr>
          <w:lang w:val="de-DE"/>
        </w:rPr>
      </w:pPr>
    </w:p>
    <w:p w:rsidR="007A683A" w:rsidRPr="00C56C8F" w:rsidRDefault="004A094B" w:rsidP="00C56C8F">
      <w:pPr>
        <w:rPr>
          <w:lang w:val="de-DE"/>
        </w:rPr>
      </w:pPr>
      <w:r w:rsidRPr="006054BD">
        <w:fldChar w:fldCharType="begin"/>
      </w:r>
      <w:r w:rsidR="007A683A" w:rsidRPr="00C56C8F">
        <w:rPr>
          <w:lang w:val="de-DE"/>
        </w:rPr>
        <w:instrText xml:space="preserve"> AUTONUM  </w:instrText>
      </w:r>
      <w:r w:rsidRPr="006054BD">
        <w:fldChar w:fldCharType="end"/>
      </w:r>
      <w:r w:rsidR="007A683A" w:rsidRPr="00C56C8F">
        <w:rPr>
          <w:lang w:val="de-DE"/>
        </w:rPr>
        <w:tab/>
      </w:r>
      <w:r w:rsidR="00157D25" w:rsidRPr="00C56C8F">
        <w:rPr>
          <w:lang w:val="de-DE"/>
        </w:rPr>
        <w:t>Am</w:t>
      </w:r>
      <w:r w:rsidR="007A683A" w:rsidRPr="00C56C8F">
        <w:rPr>
          <w:lang w:val="de-DE"/>
        </w:rPr>
        <w:t xml:space="preserve"> </w:t>
      </w:r>
      <w:r w:rsidR="00C56C8F" w:rsidRPr="00C56C8F">
        <w:rPr>
          <w:lang w:val="de-DE"/>
        </w:rPr>
        <w:t>5. September empfing das Büro Herrn Luis Mayaute Vargas, der kürzlich sein Amt als Berater bei der Ständigen Vertretung Perus in Genf aufgenommen hat</w:t>
      </w:r>
      <w:r w:rsidR="007A683A" w:rsidRPr="00C56C8F">
        <w:rPr>
          <w:lang w:val="de-DE"/>
        </w:rPr>
        <w:t>.</w:t>
      </w:r>
    </w:p>
    <w:p w:rsidR="007A683A" w:rsidRPr="00C56C8F" w:rsidRDefault="007A683A" w:rsidP="007A683A">
      <w:pPr>
        <w:rPr>
          <w:lang w:val="de-DE"/>
        </w:rPr>
      </w:pPr>
    </w:p>
    <w:p w:rsidR="007A683A" w:rsidRPr="00C56C8F" w:rsidRDefault="004A094B" w:rsidP="00C56C8F">
      <w:pPr>
        <w:rPr>
          <w:lang w:val="de-DE"/>
        </w:rPr>
      </w:pPr>
      <w:r w:rsidRPr="006054BD">
        <w:fldChar w:fldCharType="begin"/>
      </w:r>
      <w:r w:rsidR="007A683A" w:rsidRPr="00C56C8F">
        <w:rPr>
          <w:lang w:val="de-DE"/>
        </w:rPr>
        <w:instrText xml:space="preserve"> AUTONUM  </w:instrText>
      </w:r>
      <w:r w:rsidRPr="006054BD">
        <w:fldChar w:fldCharType="end"/>
      </w:r>
      <w:r w:rsidR="007A683A" w:rsidRPr="00C56C8F">
        <w:rPr>
          <w:lang w:val="de-DE"/>
        </w:rPr>
        <w:tab/>
      </w:r>
      <w:r w:rsidR="00C56C8F">
        <w:rPr>
          <w:lang w:val="de-DE"/>
        </w:rPr>
        <w:t>Vom</w:t>
      </w:r>
      <w:r w:rsidR="007A683A" w:rsidRPr="00C56C8F">
        <w:rPr>
          <w:lang w:val="de-DE"/>
        </w:rPr>
        <w:t xml:space="preserve"> </w:t>
      </w:r>
      <w:r w:rsidR="00C56C8F" w:rsidRPr="00C56C8F">
        <w:rPr>
          <w:lang w:val="de-DE"/>
        </w:rPr>
        <w:t>5. bis 7. September hielt das Büro in Tsukuba, Japan, Vorträge über den Sortenschutz nach dem UPOV-Übereinkommen an dem von der japanischen Stelle für internationale Zusammenarbeit (JICA) veranstalteten Ausbildungslehrgang „Ein international harmonisiertes Sortenschutzsystem“. An dem Lehrgang nahmen Teilnehmer aus Indonesien, Kambodscha, Malaysia, Myanmar, Philippinen, Thailand und Vietnam teil. Die Teilnehmer des JICA-Ausbildungslehrgangs erhielten Gelegenheit, am UPOV-Fernlehrgang teilzunehmen</w:t>
      </w:r>
      <w:r w:rsidR="007A683A" w:rsidRPr="00C56C8F">
        <w:rPr>
          <w:szCs w:val="24"/>
          <w:lang w:val="de-DE"/>
        </w:rPr>
        <w:t>.</w:t>
      </w:r>
    </w:p>
    <w:p w:rsidR="007A683A" w:rsidRPr="00C56C8F" w:rsidRDefault="007A683A" w:rsidP="007A683A">
      <w:pPr>
        <w:rPr>
          <w:lang w:val="de-DE"/>
        </w:rPr>
      </w:pPr>
    </w:p>
    <w:p w:rsidR="007A683A" w:rsidRPr="00C56C8F" w:rsidRDefault="004A094B" w:rsidP="00C56C8F">
      <w:pPr>
        <w:rPr>
          <w:lang w:val="de-DE"/>
        </w:rPr>
      </w:pPr>
      <w:r w:rsidRPr="006054BD">
        <w:fldChar w:fldCharType="begin"/>
      </w:r>
      <w:r w:rsidR="007A683A" w:rsidRPr="00C56C8F">
        <w:rPr>
          <w:lang w:val="de-DE"/>
        </w:rPr>
        <w:instrText xml:space="preserve"> AUTONUM  </w:instrText>
      </w:r>
      <w:r w:rsidRPr="006054BD">
        <w:fldChar w:fldCharType="end"/>
      </w:r>
      <w:r w:rsidR="007A683A" w:rsidRPr="00C56C8F">
        <w:rPr>
          <w:lang w:val="de-DE"/>
        </w:rPr>
        <w:tab/>
      </w:r>
      <w:r w:rsidR="00157D25" w:rsidRPr="00C56C8F">
        <w:rPr>
          <w:lang w:val="de-DE"/>
        </w:rPr>
        <w:t>Am</w:t>
      </w:r>
      <w:r w:rsidR="007A683A" w:rsidRPr="00C56C8F">
        <w:rPr>
          <w:lang w:val="de-DE"/>
        </w:rPr>
        <w:t xml:space="preserve"> </w:t>
      </w:r>
      <w:r w:rsidR="00C56C8F" w:rsidRPr="00C56C8F">
        <w:rPr>
          <w:lang w:val="de-DE"/>
        </w:rPr>
        <w:t>6. September hielten das Verbandsbüro und andere Mitglieder des Lenkungsausschusses des Weltsaatgutprojektes in Seattle, Washington, Vereinigte Staaten von Amerika, Referate bei der Bill und Melinda Gates-Stiftung</w:t>
      </w:r>
      <w:r w:rsidR="007A683A" w:rsidRPr="00C56C8F">
        <w:rPr>
          <w:lang w:val="de-DE"/>
        </w:rPr>
        <w:t>.</w:t>
      </w:r>
    </w:p>
    <w:p w:rsidR="007A683A" w:rsidRPr="00C56C8F" w:rsidRDefault="007A683A" w:rsidP="007A683A">
      <w:pPr>
        <w:rPr>
          <w:lang w:val="de-DE"/>
        </w:rPr>
      </w:pPr>
    </w:p>
    <w:p w:rsidR="007A683A" w:rsidRPr="00C56C8F" w:rsidRDefault="004A094B" w:rsidP="00C56C8F">
      <w:pPr>
        <w:rPr>
          <w:lang w:val="de-DE"/>
        </w:rPr>
      </w:pPr>
      <w:r w:rsidRPr="006054BD">
        <w:fldChar w:fldCharType="begin"/>
      </w:r>
      <w:r w:rsidR="007A683A" w:rsidRPr="00C56C8F">
        <w:rPr>
          <w:lang w:val="de-DE"/>
        </w:rPr>
        <w:instrText xml:space="preserve"> AUTONUM  </w:instrText>
      </w:r>
      <w:r w:rsidRPr="006054BD">
        <w:fldChar w:fldCharType="end"/>
      </w:r>
      <w:r w:rsidR="007A683A" w:rsidRPr="00C56C8F">
        <w:rPr>
          <w:lang w:val="de-DE"/>
        </w:rPr>
        <w:tab/>
      </w:r>
      <w:r w:rsidR="00157D25" w:rsidRPr="00C56C8F">
        <w:rPr>
          <w:lang w:val="de-DE"/>
        </w:rPr>
        <w:t>Am</w:t>
      </w:r>
      <w:r w:rsidR="007A683A" w:rsidRPr="00C56C8F">
        <w:rPr>
          <w:lang w:val="de-DE"/>
        </w:rPr>
        <w:t xml:space="preserve"> </w:t>
      </w:r>
      <w:r w:rsidR="00C56C8F" w:rsidRPr="00C56C8F">
        <w:rPr>
          <w:lang w:val="de-DE"/>
        </w:rPr>
        <w:t>11. September erhielt das Büro einen Besuch von Frau Caroline Dommen, Vertreterin für allgemeine wirtschaftliche Belange, Büro der Quäker bei den Vereinten Nationen (QUNO) in Genf, um Entwicklungen bei der QUNO und der UPOV zu erörtern</w:t>
      </w:r>
      <w:r w:rsidR="00810D48" w:rsidRPr="00C56C8F">
        <w:rPr>
          <w:lang w:val="de-DE"/>
        </w:rPr>
        <w:t>.</w:t>
      </w:r>
    </w:p>
    <w:p w:rsidR="007A683A" w:rsidRPr="00C56C8F" w:rsidRDefault="007A683A" w:rsidP="007A683A">
      <w:pPr>
        <w:rPr>
          <w:lang w:val="de-DE"/>
        </w:rPr>
      </w:pPr>
    </w:p>
    <w:p w:rsidR="007A683A" w:rsidRPr="00C56C8F" w:rsidRDefault="004A094B" w:rsidP="00C56C8F">
      <w:pPr>
        <w:rPr>
          <w:lang w:val="de-DE"/>
        </w:rPr>
      </w:pPr>
      <w:r w:rsidRPr="006054BD">
        <w:fldChar w:fldCharType="begin"/>
      </w:r>
      <w:r w:rsidR="007A683A" w:rsidRPr="00C56C8F">
        <w:rPr>
          <w:lang w:val="de-DE"/>
        </w:rPr>
        <w:instrText xml:space="preserve"> AUTONUM  </w:instrText>
      </w:r>
      <w:r w:rsidRPr="006054BD">
        <w:fldChar w:fldCharType="end"/>
      </w:r>
      <w:r w:rsidR="007A683A" w:rsidRPr="00C56C8F">
        <w:rPr>
          <w:lang w:val="de-DE"/>
        </w:rPr>
        <w:tab/>
      </w:r>
      <w:r w:rsidR="00157D25" w:rsidRPr="00C56C8F">
        <w:rPr>
          <w:lang w:val="de-DE"/>
        </w:rPr>
        <w:t>Am</w:t>
      </w:r>
      <w:r w:rsidR="007A683A" w:rsidRPr="00C56C8F">
        <w:rPr>
          <w:lang w:val="de-DE"/>
        </w:rPr>
        <w:t xml:space="preserve"> </w:t>
      </w:r>
      <w:r w:rsidR="00C56C8F" w:rsidRPr="00C56C8F">
        <w:rPr>
          <w:lang w:val="de-DE"/>
        </w:rPr>
        <w:t>12. September hielt das Büro in Genf eine Sitzung mit einer Delegation der Organisation für Geistiges Eigentum Pakistans während ihres Studienbesuches bei der WIPO ab</w:t>
      </w:r>
      <w:r w:rsidR="007A683A" w:rsidRPr="00C56C8F">
        <w:rPr>
          <w:lang w:val="de-DE"/>
        </w:rPr>
        <w:t>.</w:t>
      </w:r>
    </w:p>
    <w:p w:rsidR="007A683A" w:rsidRPr="00C56C8F" w:rsidRDefault="007A683A" w:rsidP="007A683A">
      <w:pPr>
        <w:rPr>
          <w:lang w:val="de-DE"/>
        </w:rPr>
      </w:pPr>
    </w:p>
    <w:p w:rsidR="007A683A" w:rsidRPr="00C56C8F" w:rsidRDefault="004A094B" w:rsidP="00C56C8F">
      <w:pPr>
        <w:rPr>
          <w:lang w:val="de-DE"/>
        </w:rPr>
      </w:pPr>
      <w:r w:rsidRPr="006054BD">
        <w:fldChar w:fldCharType="begin"/>
      </w:r>
      <w:r w:rsidR="007A683A" w:rsidRPr="00C56C8F">
        <w:rPr>
          <w:lang w:val="de-DE"/>
        </w:rPr>
        <w:instrText xml:space="preserve"> AUTONUM  </w:instrText>
      </w:r>
      <w:r w:rsidRPr="006054BD">
        <w:fldChar w:fldCharType="end"/>
      </w:r>
      <w:r w:rsidR="007A683A" w:rsidRPr="00C56C8F">
        <w:rPr>
          <w:lang w:val="de-DE"/>
        </w:rPr>
        <w:tab/>
      </w:r>
      <w:r w:rsidR="00157D25" w:rsidRPr="00C56C8F">
        <w:rPr>
          <w:lang w:val="de-DE"/>
        </w:rPr>
        <w:t>Am</w:t>
      </w:r>
      <w:r w:rsidR="007A683A" w:rsidRPr="00C56C8F">
        <w:rPr>
          <w:lang w:val="de-DE"/>
        </w:rPr>
        <w:t xml:space="preserve"> </w:t>
      </w:r>
      <w:r w:rsidR="00C56C8F" w:rsidRPr="00C56C8F">
        <w:rPr>
          <w:lang w:val="de-DE"/>
        </w:rPr>
        <w:t>12. und 13. September nahm das Büro in Yaoundé, Kamerun, an den Feierlichkeiten zum fünfzigsten Jahrestag der Afrikanischen Organisation für geistiges Eigentum (OAPI) teil. Das Büro hielt eine Glückwunschansprache und brachte bei dieser Veranstaltung die Poster der UPOV an</w:t>
      </w:r>
      <w:r w:rsidR="007A683A" w:rsidRPr="00C56C8F">
        <w:rPr>
          <w:szCs w:val="24"/>
          <w:lang w:val="de-DE"/>
        </w:rPr>
        <w:t>.</w:t>
      </w:r>
    </w:p>
    <w:p w:rsidR="007A683A" w:rsidRPr="00C56C8F" w:rsidRDefault="007A683A" w:rsidP="007A683A">
      <w:pPr>
        <w:rPr>
          <w:lang w:val="de-DE"/>
        </w:rPr>
      </w:pPr>
    </w:p>
    <w:p w:rsidR="007A683A" w:rsidRPr="00C56C8F" w:rsidRDefault="004A094B" w:rsidP="00C56C8F">
      <w:pPr>
        <w:rPr>
          <w:lang w:val="de-DE"/>
        </w:rPr>
      </w:pPr>
      <w:r w:rsidRPr="006054BD">
        <w:fldChar w:fldCharType="begin"/>
      </w:r>
      <w:r w:rsidR="007A683A" w:rsidRPr="00C56C8F">
        <w:rPr>
          <w:lang w:val="de-DE"/>
        </w:rPr>
        <w:instrText xml:space="preserve"> AUTONUM  </w:instrText>
      </w:r>
      <w:r w:rsidRPr="006054BD">
        <w:fldChar w:fldCharType="end"/>
      </w:r>
      <w:r w:rsidR="007A683A" w:rsidRPr="00C56C8F">
        <w:rPr>
          <w:lang w:val="de-DE"/>
        </w:rPr>
        <w:tab/>
      </w:r>
      <w:r w:rsidR="00157D25" w:rsidRPr="00C56C8F">
        <w:rPr>
          <w:lang w:val="de-DE"/>
        </w:rPr>
        <w:t>Am</w:t>
      </w:r>
      <w:r w:rsidR="007A683A" w:rsidRPr="00C56C8F">
        <w:rPr>
          <w:lang w:val="de-DE"/>
        </w:rPr>
        <w:t xml:space="preserve"> </w:t>
      </w:r>
      <w:r w:rsidR="00C56C8F" w:rsidRPr="00C56C8F">
        <w:rPr>
          <w:lang w:val="de-DE"/>
        </w:rPr>
        <w:t>17. September nahm das Büro auf Einladung des Verbindungsbüros der FAO in Genf am Informationstag „Technologietransfer innerhalb des internationalen Vertrages über pflanzengenetische Ressourcen für Ernährung und Landwirtschaft“ teil, auf dem unter anderem Erörterungen über die Initiative für „Eine Plattform für den Technologie-Transfer und Co-Entwicklung nach dem internationalen Vertrag“ geführt wurden</w:t>
      </w:r>
      <w:r w:rsidR="007A683A" w:rsidRPr="00C56C8F">
        <w:rPr>
          <w:lang w:val="de-DE"/>
        </w:rPr>
        <w:t>.</w:t>
      </w:r>
    </w:p>
    <w:p w:rsidR="00863BC1" w:rsidRPr="00C56C8F" w:rsidRDefault="00863BC1" w:rsidP="007A683A">
      <w:pPr>
        <w:rPr>
          <w:lang w:val="de-DE"/>
        </w:rPr>
      </w:pPr>
    </w:p>
    <w:p w:rsidR="007A683A" w:rsidRPr="00803831" w:rsidRDefault="004A094B" w:rsidP="00803831">
      <w:pPr>
        <w:rPr>
          <w:lang w:val="de-DE"/>
        </w:rPr>
      </w:pPr>
      <w:r w:rsidRPr="006054BD">
        <w:fldChar w:fldCharType="begin"/>
      </w:r>
      <w:r w:rsidR="007A683A" w:rsidRPr="00803831">
        <w:rPr>
          <w:lang w:val="de-DE"/>
        </w:rPr>
        <w:instrText xml:space="preserve"> AUTONUM  </w:instrText>
      </w:r>
      <w:r w:rsidRPr="006054BD">
        <w:fldChar w:fldCharType="end"/>
      </w:r>
      <w:r w:rsidR="007A683A" w:rsidRPr="00803831">
        <w:rPr>
          <w:lang w:val="de-DE"/>
        </w:rPr>
        <w:tab/>
      </w:r>
      <w:r w:rsidR="00C56C8F" w:rsidRPr="00803831">
        <w:rPr>
          <w:lang w:val="de-DE"/>
        </w:rPr>
        <w:t>Am</w:t>
      </w:r>
      <w:r w:rsidR="007A683A" w:rsidRPr="00803831">
        <w:rPr>
          <w:lang w:val="de-DE"/>
        </w:rPr>
        <w:t xml:space="preserve"> </w:t>
      </w:r>
      <w:r w:rsidR="00803831" w:rsidRPr="00803831">
        <w:rPr>
          <w:lang w:val="de-DE"/>
        </w:rPr>
        <w:t>19. September hielt das Büro über das Internet Referate über die UPOV, die Auswirkungen und Vorteile des UPOV-Systems und öffentlich-private Partnerschaft bei der „</w:t>
      </w:r>
      <w:r w:rsidR="00803831" w:rsidRPr="00803831">
        <w:rPr>
          <w:rFonts w:cs="Arial"/>
          <w:lang w:val="de-DE"/>
        </w:rPr>
        <w:t>S</w:t>
      </w:r>
      <w:r w:rsidR="00803831" w:rsidRPr="00803831">
        <w:rPr>
          <w:lang w:val="de-DE"/>
        </w:rPr>
        <w:t>echsten internationalen Konferenz über geistige Eigentumsrechte in der Landwirtschaft“, die in Amman, Jordanien, abgehalten wurde</w:t>
      </w:r>
      <w:r w:rsidR="007A683A" w:rsidRPr="00803831">
        <w:rPr>
          <w:lang w:val="de-DE"/>
        </w:rPr>
        <w:t>.</w:t>
      </w:r>
    </w:p>
    <w:p w:rsidR="007A683A" w:rsidRPr="00803831" w:rsidRDefault="007A683A" w:rsidP="007A683A">
      <w:pPr>
        <w:rPr>
          <w:lang w:val="de-DE"/>
        </w:rPr>
      </w:pPr>
    </w:p>
    <w:p w:rsidR="007A683A" w:rsidRPr="00803831" w:rsidRDefault="004A094B" w:rsidP="00803831">
      <w:pPr>
        <w:rPr>
          <w:lang w:val="de-DE"/>
        </w:rPr>
      </w:pPr>
      <w:r w:rsidRPr="006054BD">
        <w:fldChar w:fldCharType="begin"/>
      </w:r>
      <w:r w:rsidR="007A683A" w:rsidRPr="00803831">
        <w:rPr>
          <w:lang w:val="de-DE"/>
        </w:rPr>
        <w:instrText xml:space="preserve"> AUTONUM  </w:instrText>
      </w:r>
      <w:r w:rsidRPr="006054BD">
        <w:fldChar w:fldCharType="end"/>
      </w:r>
      <w:r w:rsidR="007A683A" w:rsidRPr="00803831">
        <w:rPr>
          <w:lang w:val="de-DE"/>
        </w:rPr>
        <w:tab/>
      </w:r>
      <w:r w:rsidR="00C56C8F" w:rsidRPr="00803831">
        <w:rPr>
          <w:lang w:val="de-DE"/>
        </w:rPr>
        <w:t>Am</w:t>
      </w:r>
      <w:r w:rsidR="007A683A" w:rsidRPr="00803831">
        <w:rPr>
          <w:lang w:val="de-DE"/>
        </w:rPr>
        <w:t xml:space="preserve"> </w:t>
      </w:r>
      <w:r w:rsidR="00803831" w:rsidRPr="00803831">
        <w:rPr>
          <w:lang w:val="de-DE"/>
        </w:rPr>
        <w:t xml:space="preserve">20. und 21. September hielt das Büro in Peradeniya, Sri Lanka, </w:t>
      </w:r>
      <w:r w:rsidR="00803831" w:rsidRPr="00803831">
        <w:rPr>
          <w:snapToGrid w:val="0"/>
          <w:lang w:val="de-DE"/>
        </w:rPr>
        <w:t>eine Keynote-Rede über „Die Bedeutung neuer Pflanzensorten und des Sortenschutzes zum Nutzen der Gesellschaft“ beim</w:t>
      </w:r>
      <w:r w:rsidR="00803831" w:rsidRPr="00803831">
        <w:rPr>
          <w:lang w:val="de-DE"/>
        </w:rPr>
        <w:t xml:space="preserve"> jährlichen Symposium des Landwirtschaftsministeriums von Sri Lanka</w:t>
      </w:r>
      <w:r w:rsidR="007A683A" w:rsidRPr="00803831">
        <w:rPr>
          <w:snapToGrid w:val="0"/>
          <w:lang w:val="de-DE"/>
        </w:rPr>
        <w:t>.</w:t>
      </w:r>
    </w:p>
    <w:p w:rsidR="007A683A" w:rsidRPr="00803831" w:rsidRDefault="007A683A" w:rsidP="007A683A">
      <w:pPr>
        <w:rPr>
          <w:lang w:val="de-DE"/>
        </w:rPr>
      </w:pPr>
    </w:p>
    <w:p w:rsidR="007A683A" w:rsidRPr="00803831" w:rsidRDefault="004A094B" w:rsidP="004D0024">
      <w:pPr>
        <w:rPr>
          <w:lang w:val="de-DE"/>
        </w:rPr>
      </w:pPr>
      <w:r w:rsidRPr="006054BD">
        <w:fldChar w:fldCharType="begin"/>
      </w:r>
      <w:r w:rsidR="007A683A" w:rsidRPr="00803831">
        <w:rPr>
          <w:lang w:val="de-DE"/>
        </w:rPr>
        <w:instrText xml:space="preserve"> AUTONUM  </w:instrText>
      </w:r>
      <w:r w:rsidRPr="006054BD">
        <w:fldChar w:fldCharType="end"/>
      </w:r>
      <w:r w:rsidR="007A683A" w:rsidRPr="00803831">
        <w:rPr>
          <w:lang w:val="de-DE"/>
        </w:rPr>
        <w:tab/>
      </w:r>
      <w:r w:rsidR="00C56C8F" w:rsidRPr="00803831">
        <w:rPr>
          <w:lang w:val="de-DE"/>
        </w:rPr>
        <w:t>Am</w:t>
      </w:r>
      <w:r w:rsidR="007A683A" w:rsidRPr="00803831">
        <w:rPr>
          <w:lang w:val="de-DE"/>
        </w:rPr>
        <w:t xml:space="preserve"> </w:t>
      </w:r>
      <w:r w:rsidR="00803831" w:rsidRPr="00803831">
        <w:rPr>
          <w:lang w:val="de-DE"/>
        </w:rPr>
        <w:t>24. September nahm das Büro am Hauptsitz der WTO in Genf an einer Tagung über „Landwirtschaftliche Innovation für das 21. Jahrhundert – Abstimmung des internationalen Rahmens für geistiges Eigentum auf die Bedürfnisse der Landwirte“ teil, die während des Öffentlichen Forums der WTO 2012 von QUNO und dem Internationalen Institut für Umwelt und Entwicklung (IIED) organisiert worden war</w:t>
      </w:r>
      <w:r w:rsidR="007A683A" w:rsidRPr="00803831">
        <w:rPr>
          <w:lang w:val="de-DE"/>
        </w:rPr>
        <w:t>.</w:t>
      </w:r>
    </w:p>
    <w:p w:rsidR="007A683A" w:rsidRPr="00803831" w:rsidRDefault="007A683A" w:rsidP="007A683A">
      <w:pPr>
        <w:rPr>
          <w:lang w:val="de-DE"/>
        </w:rPr>
      </w:pPr>
    </w:p>
    <w:p w:rsidR="007A683A" w:rsidRPr="00803831" w:rsidRDefault="004A094B" w:rsidP="00B72B08">
      <w:pPr>
        <w:rPr>
          <w:lang w:val="de-DE"/>
        </w:rPr>
      </w:pPr>
      <w:r w:rsidRPr="006054BD">
        <w:fldChar w:fldCharType="begin"/>
      </w:r>
      <w:r w:rsidR="007A683A" w:rsidRPr="00803831">
        <w:rPr>
          <w:lang w:val="de-DE"/>
        </w:rPr>
        <w:instrText xml:space="preserve"> AUTONUM  </w:instrText>
      </w:r>
      <w:r w:rsidRPr="006054BD">
        <w:fldChar w:fldCharType="end"/>
      </w:r>
      <w:r w:rsidR="007A683A" w:rsidRPr="00803831">
        <w:rPr>
          <w:lang w:val="de-DE"/>
        </w:rPr>
        <w:tab/>
      </w:r>
      <w:r w:rsidR="00C56C8F" w:rsidRPr="00803831">
        <w:rPr>
          <w:lang w:val="de-DE"/>
        </w:rPr>
        <w:t>Am</w:t>
      </w:r>
      <w:r w:rsidR="007A683A" w:rsidRPr="00803831">
        <w:rPr>
          <w:lang w:val="de-DE"/>
        </w:rPr>
        <w:t xml:space="preserve"> </w:t>
      </w:r>
      <w:r w:rsidR="00803831" w:rsidRPr="00803831">
        <w:rPr>
          <w:lang w:val="de-DE"/>
        </w:rPr>
        <w:t xml:space="preserve">26. September veranstaltete das Büro in Uppsala, Schweden, im Rahmen des von der schwedischen Universität für Agrarwissenschaften (SLU) organisierten und von der Stelle für internationale Entwicklungszusammenarbeit (Sida) finanzierten Ausbildungsprogramms „Genetische Ressourcen und Rechte des geistigen Eigentums“ (GRIP-12b) eine ganztägige Ausbildungssitzung über den Sortenschutz. An dem Programm nahmen Teilnehmer aus Bosnien-Herzegowina, </w:t>
      </w:r>
      <w:r w:rsidR="00B72B08" w:rsidRPr="00803831">
        <w:rPr>
          <w:lang w:val="de-DE"/>
        </w:rPr>
        <w:t>Ecuador,</w:t>
      </w:r>
      <w:r w:rsidR="00B72B08">
        <w:rPr>
          <w:lang w:val="de-DE"/>
        </w:rPr>
        <w:t xml:space="preserve"> </w:t>
      </w:r>
      <w:r w:rsidR="00803831" w:rsidRPr="00803831">
        <w:rPr>
          <w:lang w:val="de-DE"/>
        </w:rPr>
        <w:t xml:space="preserve">Kamerun, </w:t>
      </w:r>
      <w:r w:rsidR="00B72B08" w:rsidRPr="00803831">
        <w:rPr>
          <w:lang w:val="de-DE"/>
        </w:rPr>
        <w:t>Kenia,</w:t>
      </w:r>
      <w:r w:rsidR="00B72B08">
        <w:rPr>
          <w:lang w:val="de-DE"/>
        </w:rPr>
        <w:t xml:space="preserve"> </w:t>
      </w:r>
      <w:r w:rsidR="00803831" w:rsidRPr="00803831">
        <w:rPr>
          <w:lang w:val="de-DE"/>
        </w:rPr>
        <w:t>Kolumbien, Mexiko, Montenegro, Serbien, Südafrika, Thailand, Tunesien, Türkei, Uganda, Vereinigte Republik Tansania und Vietnam teil</w:t>
      </w:r>
      <w:r w:rsidR="007A683A" w:rsidRPr="00803831">
        <w:rPr>
          <w:lang w:val="de-DE"/>
        </w:rPr>
        <w:t>.</w:t>
      </w:r>
    </w:p>
    <w:p w:rsidR="007A683A" w:rsidRPr="00803831" w:rsidRDefault="007A683A" w:rsidP="007A683A">
      <w:pPr>
        <w:rPr>
          <w:lang w:val="de-DE"/>
        </w:rPr>
      </w:pPr>
    </w:p>
    <w:p w:rsidR="007A683A" w:rsidRPr="00803831" w:rsidRDefault="004A094B" w:rsidP="00803831">
      <w:pPr>
        <w:rPr>
          <w:lang w:val="de-DE"/>
        </w:rPr>
      </w:pPr>
      <w:r w:rsidRPr="006054BD">
        <w:fldChar w:fldCharType="begin"/>
      </w:r>
      <w:r w:rsidR="007A683A" w:rsidRPr="00803831">
        <w:rPr>
          <w:lang w:val="de-DE"/>
        </w:rPr>
        <w:instrText xml:space="preserve"> AUTONUM  </w:instrText>
      </w:r>
      <w:r w:rsidRPr="006054BD">
        <w:fldChar w:fldCharType="end"/>
      </w:r>
      <w:r w:rsidR="007A683A" w:rsidRPr="00803831">
        <w:rPr>
          <w:lang w:val="de-DE"/>
        </w:rPr>
        <w:tab/>
      </w:r>
      <w:r w:rsidR="00C56C8F" w:rsidRPr="00803831">
        <w:rPr>
          <w:lang w:val="de-DE"/>
        </w:rPr>
        <w:t>Am</w:t>
      </w:r>
      <w:r w:rsidR="007A683A" w:rsidRPr="00803831">
        <w:rPr>
          <w:lang w:val="de-DE"/>
        </w:rPr>
        <w:t xml:space="preserve"> </w:t>
      </w:r>
      <w:r w:rsidR="00803831" w:rsidRPr="00803831">
        <w:rPr>
          <w:lang w:val="de-DE"/>
        </w:rPr>
        <w:t>26. September erhielt das Büro Besuch von Herrn Yoon Bae Kim, Präsident, Internationale Vereinigung für den Schutz Geistigen Eigentums (AIPPI)</w:t>
      </w:r>
      <w:r w:rsidR="007A683A" w:rsidRPr="00803831">
        <w:rPr>
          <w:lang w:val="de-DE"/>
        </w:rPr>
        <w:t>.</w:t>
      </w:r>
    </w:p>
    <w:p w:rsidR="007A683A" w:rsidRPr="00803831" w:rsidRDefault="007A683A" w:rsidP="006B519E">
      <w:pPr>
        <w:rPr>
          <w:lang w:val="de-DE"/>
        </w:rPr>
      </w:pPr>
    </w:p>
    <w:p w:rsidR="00D25549" w:rsidRPr="00803831" w:rsidRDefault="004A094B" w:rsidP="00C0371D">
      <w:pPr>
        <w:rPr>
          <w:lang w:val="de-DE"/>
        </w:rPr>
      </w:pPr>
      <w:r w:rsidRPr="006054BD">
        <w:fldChar w:fldCharType="begin"/>
      </w:r>
      <w:r w:rsidR="00D25549" w:rsidRPr="00803831">
        <w:rPr>
          <w:lang w:val="de-DE"/>
        </w:rPr>
        <w:instrText xml:space="preserve"> AUTONUM  </w:instrText>
      </w:r>
      <w:r w:rsidRPr="006054BD">
        <w:fldChar w:fldCharType="end"/>
      </w:r>
      <w:r w:rsidR="00D25549" w:rsidRPr="00803831">
        <w:rPr>
          <w:lang w:val="de-DE"/>
        </w:rPr>
        <w:tab/>
      </w:r>
      <w:r w:rsidR="00C56C8F" w:rsidRPr="00803831">
        <w:rPr>
          <w:lang w:val="de-DE"/>
        </w:rPr>
        <w:t>Am</w:t>
      </w:r>
      <w:r w:rsidR="00D25549" w:rsidRPr="00803831">
        <w:rPr>
          <w:lang w:val="de-DE"/>
        </w:rPr>
        <w:t xml:space="preserve"> </w:t>
      </w:r>
      <w:r w:rsidR="00803831" w:rsidRPr="00803831">
        <w:rPr>
          <w:lang w:val="de-DE"/>
        </w:rPr>
        <w:t xml:space="preserve">1. Oktober kam das Büro in Genf mit Frau Jemima Oware, </w:t>
      </w:r>
      <w:r w:rsidR="00C0513D">
        <w:rPr>
          <w:lang w:val="de-DE"/>
        </w:rPr>
        <w:t>General</w:t>
      </w:r>
      <w:r w:rsidR="00803831" w:rsidRPr="00803831">
        <w:rPr>
          <w:lang w:val="de-DE"/>
        </w:rPr>
        <w:t xml:space="preserve">staatsanwältin, und </w:t>
      </w:r>
      <w:r w:rsidR="00C0371D">
        <w:rPr>
          <w:lang w:val="de-DE"/>
        </w:rPr>
        <w:t>Frau Grace Ama Issahaque, Leitende Staatsanwältin, Abteilung des Registerbeamten</w:t>
      </w:r>
      <w:r w:rsidR="00803831" w:rsidRPr="00803831">
        <w:rPr>
          <w:lang w:val="de-DE"/>
        </w:rPr>
        <w:t>,</w:t>
      </w:r>
      <w:r w:rsidR="00C0371D">
        <w:rPr>
          <w:lang w:val="de-DE"/>
        </w:rPr>
        <w:t xml:space="preserve"> J</w:t>
      </w:r>
      <w:r w:rsidR="00803831" w:rsidRPr="00803831">
        <w:rPr>
          <w:lang w:val="de-DE"/>
        </w:rPr>
        <w:t>ustizministerium Ghanas</w:t>
      </w:r>
      <w:r w:rsidR="006F0904">
        <w:rPr>
          <w:lang w:val="de-DE"/>
        </w:rPr>
        <w:t>, zusammen</w:t>
      </w:r>
      <w:r w:rsidR="00803831" w:rsidRPr="00803831">
        <w:rPr>
          <w:lang w:val="de-DE"/>
        </w:rPr>
        <w:t xml:space="preserve"> und erteilte Auskünfte über das anstehende Verfahren vor dem Rat am 1. November für die Prüfung des Gesetzesentwurfs Ghanas über Züchterrechte (vergleiche auch Absatz 102 unten).</w:t>
      </w:r>
    </w:p>
    <w:p w:rsidR="00D25549" w:rsidRPr="00803831" w:rsidRDefault="00D25549" w:rsidP="00D25549">
      <w:pPr>
        <w:rPr>
          <w:lang w:val="de-DE"/>
        </w:rPr>
      </w:pPr>
    </w:p>
    <w:p w:rsidR="00D25549" w:rsidRPr="00803831" w:rsidRDefault="004A094B" w:rsidP="00DA4D4E">
      <w:pPr>
        <w:rPr>
          <w:lang w:val="de-DE"/>
        </w:rPr>
      </w:pPr>
      <w:r w:rsidRPr="006054BD">
        <w:fldChar w:fldCharType="begin"/>
      </w:r>
      <w:r w:rsidR="00D25549" w:rsidRPr="00803831">
        <w:rPr>
          <w:lang w:val="de-DE"/>
        </w:rPr>
        <w:instrText xml:space="preserve"> AUTONUM  </w:instrText>
      </w:r>
      <w:r w:rsidRPr="006054BD">
        <w:fldChar w:fldCharType="end"/>
      </w:r>
      <w:r w:rsidR="00D25549" w:rsidRPr="00803831">
        <w:rPr>
          <w:lang w:val="de-DE"/>
        </w:rPr>
        <w:tab/>
      </w:r>
      <w:r w:rsidR="00C56C8F" w:rsidRPr="00803831">
        <w:rPr>
          <w:lang w:val="de-DE"/>
        </w:rPr>
        <w:t>Am</w:t>
      </w:r>
      <w:r w:rsidR="00D25549" w:rsidRPr="00803831">
        <w:rPr>
          <w:lang w:val="de-DE"/>
        </w:rPr>
        <w:t xml:space="preserve"> </w:t>
      </w:r>
      <w:r w:rsidR="00803831" w:rsidRPr="00803831">
        <w:rPr>
          <w:lang w:val="de-DE"/>
        </w:rPr>
        <w:t>2. Oktober kam das Büro in Genf mit Herrn Timothy Johnson, Präsident, und Herrn Marcel Bruins, Generalsekretär</w:t>
      </w:r>
      <w:r w:rsidR="00DA4D4E">
        <w:rPr>
          <w:lang w:val="de-DE"/>
        </w:rPr>
        <w:t>,</w:t>
      </w:r>
      <w:r w:rsidR="00803831" w:rsidRPr="00803831">
        <w:rPr>
          <w:lang w:val="de-DE"/>
        </w:rPr>
        <w:t xml:space="preserve"> ISF, zusammen, um sich über die Entwicklungen beim ISF </w:t>
      </w:r>
      <w:r w:rsidR="00DD2975">
        <w:rPr>
          <w:lang w:val="de-DE"/>
        </w:rPr>
        <w:t>von Belang für die UPOV</w:t>
      </w:r>
      <w:r w:rsidR="00803831" w:rsidRPr="00803831">
        <w:rPr>
          <w:lang w:val="de-DE"/>
        </w:rPr>
        <w:t xml:space="preserve"> zu informieren</w:t>
      </w:r>
      <w:r w:rsidR="00D25549" w:rsidRPr="00803831">
        <w:rPr>
          <w:lang w:val="de-DE"/>
        </w:rPr>
        <w:t>.</w:t>
      </w:r>
    </w:p>
    <w:p w:rsidR="00D25549" w:rsidRPr="00803831" w:rsidRDefault="00D25549" w:rsidP="00D25549">
      <w:pPr>
        <w:rPr>
          <w:lang w:val="de-DE"/>
        </w:rPr>
      </w:pPr>
    </w:p>
    <w:p w:rsidR="002E1152" w:rsidRPr="00803831" w:rsidRDefault="004A094B" w:rsidP="00DA4D4E">
      <w:pPr>
        <w:rPr>
          <w:lang w:val="de-DE"/>
        </w:rPr>
      </w:pPr>
      <w:r w:rsidRPr="006054BD">
        <w:fldChar w:fldCharType="begin"/>
      </w:r>
      <w:r w:rsidR="002E1152" w:rsidRPr="00803831">
        <w:rPr>
          <w:lang w:val="de-DE"/>
        </w:rPr>
        <w:instrText xml:space="preserve"> AUTONUM  </w:instrText>
      </w:r>
      <w:r w:rsidRPr="006054BD">
        <w:fldChar w:fldCharType="end"/>
      </w:r>
      <w:r w:rsidR="002E1152" w:rsidRPr="00803831">
        <w:rPr>
          <w:lang w:val="de-DE"/>
        </w:rPr>
        <w:tab/>
      </w:r>
      <w:r w:rsidR="00C56C8F" w:rsidRPr="00803831">
        <w:rPr>
          <w:lang w:val="de-DE"/>
        </w:rPr>
        <w:t>Am</w:t>
      </w:r>
      <w:r w:rsidR="00285151" w:rsidRPr="00803831">
        <w:rPr>
          <w:lang w:val="de-DE"/>
        </w:rPr>
        <w:t xml:space="preserve"> </w:t>
      </w:r>
      <w:r w:rsidR="00803831" w:rsidRPr="00803831">
        <w:rPr>
          <w:lang w:val="de-DE"/>
        </w:rPr>
        <w:t xml:space="preserve">2., 3. und 4. Oktober organisierte das Büro während der fünfzigsten Sitzungsreihe der Versammlungen der Mitgliedstaaten der WIPO eine Reihe von Informationssitzungen über die UPOV auf Englisch, Französisch und Spanisch. Am </w:t>
      </w:r>
      <w:r w:rsidR="00DA4D4E">
        <w:rPr>
          <w:lang w:val="de-DE"/>
        </w:rPr>
        <w:t>R</w:t>
      </w:r>
      <w:r w:rsidR="00C0513D">
        <w:rPr>
          <w:lang w:val="de-DE"/>
        </w:rPr>
        <w:t>ande der WIPO-Versammlungen kam</w:t>
      </w:r>
      <w:r w:rsidR="00803831" w:rsidRPr="00803831">
        <w:rPr>
          <w:lang w:val="de-DE"/>
        </w:rPr>
        <w:t xml:space="preserve"> das Büro mit verschiedenen Delegationen (vergleiche Absätze 91, 94 bis 100 und 102) zusammen</w:t>
      </w:r>
      <w:r w:rsidR="00803831">
        <w:rPr>
          <w:lang w:val="de-DE"/>
        </w:rPr>
        <w:t>.</w:t>
      </w:r>
    </w:p>
    <w:p w:rsidR="002E1152" w:rsidRPr="00803831" w:rsidRDefault="002E1152" w:rsidP="006B519E">
      <w:pPr>
        <w:rPr>
          <w:lang w:val="de-DE"/>
        </w:rPr>
      </w:pPr>
    </w:p>
    <w:p w:rsidR="00ED0FC4" w:rsidRPr="00803831" w:rsidRDefault="004A094B" w:rsidP="007E26BF">
      <w:pPr>
        <w:rPr>
          <w:rFonts w:cs="Arial"/>
          <w:lang w:val="de-DE"/>
        </w:rPr>
      </w:pPr>
      <w:r w:rsidRPr="006054BD">
        <w:fldChar w:fldCharType="begin"/>
      </w:r>
      <w:r w:rsidR="00C63377" w:rsidRPr="00803831">
        <w:rPr>
          <w:lang w:val="de-DE"/>
        </w:rPr>
        <w:instrText xml:space="preserve"> AUTONUM  </w:instrText>
      </w:r>
      <w:r w:rsidRPr="006054BD">
        <w:fldChar w:fldCharType="end"/>
      </w:r>
      <w:r w:rsidR="00C63377" w:rsidRPr="00803831">
        <w:rPr>
          <w:lang w:val="de-DE"/>
        </w:rPr>
        <w:tab/>
      </w:r>
      <w:r w:rsidR="00C56C8F" w:rsidRPr="00803831">
        <w:rPr>
          <w:lang w:val="de-DE"/>
        </w:rPr>
        <w:t>Am</w:t>
      </w:r>
      <w:r w:rsidR="00C63377" w:rsidRPr="00803831">
        <w:rPr>
          <w:lang w:val="de-DE"/>
        </w:rPr>
        <w:t xml:space="preserve"> </w:t>
      </w:r>
      <w:r w:rsidR="00803831" w:rsidRPr="00803831">
        <w:rPr>
          <w:lang w:val="de-DE"/>
        </w:rPr>
        <w:t xml:space="preserve">3. Oktober kam das Büro in Genf mit Frau Lidia Álvarez Sagastume, Geschäftsführende Sekretärin, </w:t>
      </w:r>
      <w:r w:rsidR="00803831" w:rsidRPr="00803831">
        <w:rPr>
          <w:i/>
          <w:iCs/>
          <w:lang w:val="de-DE"/>
        </w:rPr>
        <w:t>Instituto de la Propiedad</w:t>
      </w:r>
      <w:r w:rsidR="00803831" w:rsidRPr="00803831">
        <w:rPr>
          <w:lang w:val="de-DE"/>
        </w:rPr>
        <w:t>, Honduras, zusammen</w:t>
      </w:r>
      <w:r w:rsidR="00B72B08">
        <w:rPr>
          <w:lang w:val="de-DE"/>
        </w:rPr>
        <w:t xml:space="preserve">, um </w:t>
      </w:r>
      <w:r w:rsidR="00803831" w:rsidRPr="00803831">
        <w:rPr>
          <w:lang w:val="de-DE"/>
        </w:rPr>
        <w:t>das Verfahren für den Beitritt zur UPOV</w:t>
      </w:r>
      <w:r w:rsidR="00B72B08">
        <w:rPr>
          <w:lang w:val="de-DE"/>
        </w:rPr>
        <w:t xml:space="preserve"> zu erörtern</w:t>
      </w:r>
      <w:r w:rsidR="00803831" w:rsidRPr="00803831">
        <w:rPr>
          <w:lang w:val="de-DE"/>
        </w:rPr>
        <w:t xml:space="preserve">. Es wurde zur Kenntnis genommen, daß Verordnung Nr. 21-2012 </w:t>
      </w:r>
      <w:r w:rsidR="004D0024" w:rsidRPr="00C56C8F">
        <w:rPr>
          <w:lang w:val="de-DE"/>
        </w:rPr>
        <w:t>„</w:t>
      </w:r>
      <w:r w:rsidR="00803831" w:rsidRPr="00803831">
        <w:rPr>
          <w:lang w:val="de-DE"/>
        </w:rPr>
        <w:t>Gesetz über den Schutz von Pflanzenzüchtungen", das am 23. Mai 2012 in Kraft trat, die angenommene Fass</w:t>
      </w:r>
      <w:r w:rsidR="007E26BF">
        <w:rPr>
          <w:lang w:val="de-DE"/>
        </w:rPr>
        <w:t xml:space="preserve">ung des Gesetzentwurfes war, über </w:t>
      </w:r>
      <w:r w:rsidR="00803831" w:rsidRPr="00803831">
        <w:rPr>
          <w:lang w:val="de-DE"/>
        </w:rPr>
        <w:t>den der Rat positiv entschieden hatte</w:t>
      </w:r>
      <w:r w:rsidR="00EA5981" w:rsidRPr="00803831">
        <w:rPr>
          <w:rFonts w:cs="Arial"/>
          <w:lang w:val="de-DE"/>
        </w:rPr>
        <w:t>.</w:t>
      </w:r>
    </w:p>
    <w:p w:rsidR="00A62710" w:rsidRPr="00803831" w:rsidRDefault="00A62710" w:rsidP="006B519E">
      <w:pPr>
        <w:rPr>
          <w:rFonts w:cs="Arial"/>
          <w:lang w:val="de-DE"/>
        </w:rPr>
      </w:pPr>
    </w:p>
    <w:p w:rsidR="00ED0FC4" w:rsidRPr="00803831" w:rsidRDefault="004A094B" w:rsidP="00DA4D4E">
      <w:pPr>
        <w:rPr>
          <w:rFonts w:cs="Arial"/>
          <w:lang w:val="de-DE"/>
        </w:rPr>
      </w:pPr>
      <w:r w:rsidRPr="006054BD">
        <w:rPr>
          <w:rFonts w:cs="Arial"/>
        </w:rPr>
        <w:fldChar w:fldCharType="begin"/>
      </w:r>
      <w:r w:rsidR="00ED0FC4" w:rsidRPr="00803831">
        <w:rPr>
          <w:rFonts w:cs="Arial"/>
          <w:lang w:val="de-DE"/>
        </w:rPr>
        <w:instrText xml:space="preserve"> AUTONUM  </w:instrText>
      </w:r>
      <w:r w:rsidRPr="006054BD">
        <w:rPr>
          <w:rFonts w:cs="Arial"/>
        </w:rPr>
        <w:fldChar w:fldCharType="end"/>
      </w:r>
      <w:r w:rsidR="00803831">
        <w:rPr>
          <w:rFonts w:cs="Arial"/>
          <w:lang w:val="de-DE"/>
        </w:rPr>
        <w:tab/>
        <w:t xml:space="preserve">Ebenfalls </w:t>
      </w:r>
      <w:r w:rsidR="00DA4D4E" w:rsidRPr="00DA4D4E">
        <w:rPr>
          <w:lang w:val="de-DE"/>
        </w:rPr>
        <w:t xml:space="preserve">am 3. Oktober kam das Büro mit Herrn Sami Alsodais, Generaldirektor, Generaldirektion für gewerbliches Eigentum, </w:t>
      </w:r>
      <w:r w:rsidR="00DA4D4E" w:rsidRPr="007E26BF">
        <w:rPr>
          <w:i/>
          <w:iCs/>
          <w:lang w:val="de-DE"/>
        </w:rPr>
        <w:t>King Abdulaziz City for Science and Technology</w:t>
      </w:r>
      <w:r w:rsidR="00DA4D4E" w:rsidRPr="00DA4D4E">
        <w:rPr>
          <w:lang w:val="de-DE"/>
        </w:rPr>
        <w:t xml:space="preserve"> (KASCT) und Herr</w:t>
      </w:r>
      <w:r w:rsidR="00DA4D4E">
        <w:rPr>
          <w:lang w:val="de-DE"/>
        </w:rPr>
        <w:t>n</w:t>
      </w:r>
      <w:r w:rsidR="00DA4D4E" w:rsidRPr="00DA4D4E">
        <w:rPr>
          <w:lang w:val="de-DE"/>
        </w:rPr>
        <w:t xml:space="preserve"> Abdulaziz Aiswailem, Vize-Präsident, Unterstützung der wissenschaftlichen Forschung, KACST, </w:t>
      </w:r>
      <w:r w:rsidR="00DA4D4E">
        <w:rPr>
          <w:lang w:val="de-DE"/>
        </w:rPr>
        <w:t xml:space="preserve">von </w:t>
      </w:r>
      <w:r w:rsidR="00DA4D4E" w:rsidRPr="00DA4D4E">
        <w:rPr>
          <w:lang w:val="de-DE"/>
        </w:rPr>
        <w:t xml:space="preserve">der Delegation aus </w:t>
      </w:r>
      <w:r w:rsidR="007C2539">
        <w:rPr>
          <w:lang w:val="de-DE"/>
        </w:rPr>
        <w:t>Saudi-Arabien</w:t>
      </w:r>
      <w:r w:rsidR="00DA4D4E">
        <w:rPr>
          <w:lang w:val="de-DE"/>
        </w:rPr>
        <w:t xml:space="preserve"> zusammen</w:t>
      </w:r>
      <w:r w:rsidR="00DA4D4E" w:rsidRPr="00DA4D4E">
        <w:rPr>
          <w:lang w:val="de-DE"/>
        </w:rPr>
        <w:t>, um die UPOV und den Sortenschutz zu erörtern</w:t>
      </w:r>
      <w:r w:rsidR="00ED0FC4" w:rsidRPr="00803831">
        <w:rPr>
          <w:rFonts w:cs="Arial"/>
          <w:lang w:val="de-DE"/>
        </w:rPr>
        <w:t>.</w:t>
      </w:r>
    </w:p>
    <w:p w:rsidR="00552269" w:rsidRPr="00803831" w:rsidRDefault="00552269" w:rsidP="006B519E">
      <w:pPr>
        <w:rPr>
          <w:rFonts w:cs="Arial"/>
          <w:lang w:val="de-DE"/>
        </w:rPr>
      </w:pPr>
    </w:p>
    <w:p w:rsidR="009E0610" w:rsidRPr="00803831" w:rsidRDefault="004A094B" w:rsidP="00803831">
      <w:pPr>
        <w:rPr>
          <w:rFonts w:cs="Arial"/>
          <w:lang w:val="de-DE"/>
        </w:rPr>
      </w:pPr>
      <w:r w:rsidRPr="006054BD">
        <w:rPr>
          <w:rFonts w:cs="Arial"/>
        </w:rPr>
        <w:fldChar w:fldCharType="begin"/>
      </w:r>
      <w:r w:rsidR="009E0610" w:rsidRPr="00803831">
        <w:rPr>
          <w:rFonts w:cs="Arial"/>
          <w:lang w:val="de-DE"/>
        </w:rPr>
        <w:instrText xml:space="preserve"> AUTONUM  </w:instrText>
      </w:r>
      <w:r w:rsidRPr="006054BD">
        <w:rPr>
          <w:rFonts w:cs="Arial"/>
        </w:rPr>
        <w:fldChar w:fldCharType="end"/>
      </w:r>
      <w:r w:rsidR="00803831">
        <w:rPr>
          <w:rFonts w:cs="Arial"/>
          <w:lang w:val="de-DE"/>
        </w:rPr>
        <w:tab/>
        <w:t>Ebenfalls</w:t>
      </w:r>
      <w:r w:rsidR="009E0610" w:rsidRPr="00803831">
        <w:rPr>
          <w:rFonts w:cs="Arial"/>
          <w:lang w:val="de-DE"/>
        </w:rPr>
        <w:t xml:space="preserve"> </w:t>
      </w:r>
      <w:r w:rsidR="00803831" w:rsidRPr="00803831">
        <w:rPr>
          <w:lang w:val="de-DE"/>
        </w:rPr>
        <w:t>am 3. Oktober kam das Büro in Genf mit Herrn Vibol Ngeth, Direktor, Abteilung für gewerbliches Eigentum, Ministerium für Industrie, Bergbau und Energie</w:t>
      </w:r>
      <w:r w:rsidR="00DA4D4E">
        <w:rPr>
          <w:lang w:val="de-DE"/>
        </w:rPr>
        <w:t xml:space="preserve"> von Kambodscha</w:t>
      </w:r>
      <w:r w:rsidR="007E26BF">
        <w:rPr>
          <w:lang w:val="de-DE"/>
        </w:rPr>
        <w:t xml:space="preserve"> zusammen</w:t>
      </w:r>
      <w:r w:rsidR="00803831" w:rsidRPr="00803831">
        <w:rPr>
          <w:lang w:val="de-DE"/>
        </w:rPr>
        <w:t xml:space="preserve">, um die Übersetzung der Akte von 1991 des UPOV-Übereinkommens </w:t>
      </w:r>
      <w:r w:rsidR="001C7E29">
        <w:rPr>
          <w:lang w:val="de-DE"/>
        </w:rPr>
        <w:t>ins Khmer</w:t>
      </w:r>
      <w:r w:rsidR="00803831" w:rsidRPr="00803831">
        <w:rPr>
          <w:lang w:val="de-DE"/>
        </w:rPr>
        <w:t xml:space="preserve"> zu erörtern</w:t>
      </w:r>
      <w:r w:rsidR="009435E0" w:rsidRPr="00803831">
        <w:rPr>
          <w:rFonts w:cs="Arial"/>
          <w:lang w:val="de-DE"/>
        </w:rPr>
        <w:t>.</w:t>
      </w:r>
    </w:p>
    <w:p w:rsidR="009E0610" w:rsidRPr="00803831" w:rsidRDefault="009E0610" w:rsidP="006B519E">
      <w:pPr>
        <w:rPr>
          <w:rFonts w:cs="Arial"/>
          <w:lang w:val="de-DE"/>
        </w:rPr>
      </w:pPr>
    </w:p>
    <w:p w:rsidR="00552269" w:rsidRPr="00803831" w:rsidRDefault="004A094B" w:rsidP="00DA4D4E">
      <w:pPr>
        <w:rPr>
          <w:lang w:val="de-DE"/>
        </w:rPr>
      </w:pPr>
      <w:r w:rsidRPr="006054BD">
        <w:fldChar w:fldCharType="begin"/>
      </w:r>
      <w:r w:rsidR="00A313FF" w:rsidRPr="00803831">
        <w:rPr>
          <w:lang w:val="de-DE"/>
        </w:rPr>
        <w:instrText xml:space="preserve"> AUTONUM  </w:instrText>
      </w:r>
      <w:r w:rsidRPr="006054BD">
        <w:fldChar w:fldCharType="end"/>
      </w:r>
      <w:r w:rsidR="00A313FF" w:rsidRPr="00803831">
        <w:rPr>
          <w:lang w:val="de-DE"/>
        </w:rPr>
        <w:tab/>
      </w:r>
      <w:r w:rsidR="00C56C8F" w:rsidRPr="00803831">
        <w:rPr>
          <w:lang w:val="de-DE"/>
        </w:rPr>
        <w:t>Am</w:t>
      </w:r>
      <w:r w:rsidR="00A313FF" w:rsidRPr="00803831">
        <w:rPr>
          <w:lang w:val="de-DE"/>
        </w:rPr>
        <w:t xml:space="preserve"> </w:t>
      </w:r>
      <w:r w:rsidR="00803831" w:rsidRPr="00803831">
        <w:rPr>
          <w:lang w:val="de-DE"/>
        </w:rPr>
        <w:t xml:space="preserve">4. Oktober erhielt das Büro in Genf den Besuch von Mr. Tejan-Cole, Rechtsberater, </w:t>
      </w:r>
      <w:r w:rsidR="00DA4D4E">
        <w:rPr>
          <w:lang w:val="de-DE"/>
        </w:rPr>
        <w:t>A</w:t>
      </w:r>
      <w:r w:rsidR="00803831" w:rsidRPr="00803831">
        <w:rPr>
          <w:lang w:val="de-DE"/>
        </w:rPr>
        <w:t>frikanische Stiftung für Landwirtschaftstechnik (AATF</w:t>
      </w:r>
      <w:r w:rsidR="00A62710" w:rsidRPr="00803831">
        <w:rPr>
          <w:lang w:val="de-DE"/>
        </w:rPr>
        <w:t>).</w:t>
      </w:r>
    </w:p>
    <w:p w:rsidR="0046418E" w:rsidRPr="00803831" w:rsidRDefault="0046418E" w:rsidP="00A313FF">
      <w:pPr>
        <w:rPr>
          <w:lang w:val="de-DE"/>
        </w:rPr>
      </w:pPr>
    </w:p>
    <w:p w:rsidR="0046418E" w:rsidRPr="00803831" w:rsidRDefault="004A094B" w:rsidP="007E26BF">
      <w:pPr>
        <w:rPr>
          <w:lang w:val="de-DE"/>
        </w:rPr>
      </w:pPr>
      <w:r w:rsidRPr="006054BD">
        <w:fldChar w:fldCharType="begin"/>
      </w:r>
      <w:r w:rsidR="0046418E" w:rsidRPr="00803831">
        <w:rPr>
          <w:lang w:val="de-DE"/>
        </w:rPr>
        <w:instrText xml:space="preserve"> AUTONUM  </w:instrText>
      </w:r>
      <w:r w:rsidRPr="006054BD">
        <w:fldChar w:fldCharType="end"/>
      </w:r>
      <w:r w:rsidR="00803831">
        <w:rPr>
          <w:lang w:val="de-DE"/>
        </w:rPr>
        <w:tab/>
        <w:t>Ebenfalls</w:t>
      </w:r>
      <w:r w:rsidR="0046418E" w:rsidRPr="00803831">
        <w:rPr>
          <w:lang w:val="de-DE"/>
        </w:rPr>
        <w:t xml:space="preserve"> </w:t>
      </w:r>
      <w:r w:rsidR="00803831" w:rsidRPr="00803831">
        <w:rPr>
          <w:lang w:val="de-DE"/>
        </w:rPr>
        <w:t xml:space="preserve">am 4. Oktober erhielt das Büro in Genf den Besuch von einer Delegation aus Bahrain und erteilte Beratung </w:t>
      </w:r>
      <w:r w:rsidR="007E26BF">
        <w:rPr>
          <w:lang w:val="de-DE"/>
        </w:rPr>
        <w:t>für das</w:t>
      </w:r>
      <w:r w:rsidR="00803831" w:rsidRPr="00803831">
        <w:rPr>
          <w:lang w:val="de-DE"/>
        </w:rPr>
        <w:t xml:space="preserve"> Verfahren für den Beitritt zur UPOV</w:t>
      </w:r>
      <w:r w:rsidR="00F908F7" w:rsidRPr="00803831">
        <w:rPr>
          <w:lang w:val="de-DE"/>
        </w:rPr>
        <w:t>.</w:t>
      </w:r>
    </w:p>
    <w:p w:rsidR="003621AA" w:rsidRPr="00803831" w:rsidRDefault="003621AA" w:rsidP="00A313FF">
      <w:pPr>
        <w:rPr>
          <w:lang w:val="de-DE"/>
        </w:rPr>
      </w:pPr>
    </w:p>
    <w:p w:rsidR="003621AA" w:rsidRPr="00803831" w:rsidRDefault="004A094B" w:rsidP="00DA4D4E">
      <w:pPr>
        <w:rPr>
          <w:rFonts w:cs="Arial"/>
          <w:lang w:val="de-DE"/>
        </w:rPr>
      </w:pPr>
      <w:r w:rsidRPr="006054BD">
        <w:fldChar w:fldCharType="begin"/>
      </w:r>
      <w:r w:rsidR="003621AA" w:rsidRPr="00803831">
        <w:rPr>
          <w:lang w:val="de-DE"/>
        </w:rPr>
        <w:instrText xml:space="preserve"> AUTONUM  </w:instrText>
      </w:r>
      <w:r w:rsidRPr="006054BD">
        <w:fldChar w:fldCharType="end"/>
      </w:r>
      <w:r w:rsidR="003621AA" w:rsidRPr="00803831">
        <w:rPr>
          <w:lang w:val="de-DE"/>
        </w:rPr>
        <w:tab/>
      </w:r>
      <w:r w:rsidR="00C56C8F" w:rsidRPr="00803831">
        <w:rPr>
          <w:lang w:val="de-DE"/>
        </w:rPr>
        <w:t>Am</w:t>
      </w:r>
      <w:r w:rsidR="003621AA" w:rsidRPr="00803831">
        <w:rPr>
          <w:lang w:val="de-DE"/>
        </w:rPr>
        <w:t xml:space="preserve"> </w:t>
      </w:r>
      <w:r w:rsidR="00803831" w:rsidRPr="00803831">
        <w:rPr>
          <w:lang w:val="de-DE"/>
        </w:rPr>
        <w:t>5. und 9. Oktober erhielt das Büro in Genf den Besuch von einer Delegation aus Brunei Darussalam, um die Bemerkungen des Büros zu dem Gesetzentwurf zur Sortenschutzverordnung</w:t>
      </w:r>
      <w:r w:rsidR="00DA4D4E">
        <w:rPr>
          <w:lang w:val="de-DE"/>
        </w:rPr>
        <w:t xml:space="preserve"> (Gesetzentwurf)</w:t>
      </w:r>
      <w:r w:rsidR="00803831" w:rsidRPr="00803831">
        <w:rPr>
          <w:lang w:val="de-DE"/>
        </w:rPr>
        <w:t xml:space="preserve">, technische Unterstützung und </w:t>
      </w:r>
      <w:r w:rsidR="00DA4D4E">
        <w:rPr>
          <w:lang w:val="de-DE"/>
        </w:rPr>
        <w:t>das</w:t>
      </w:r>
      <w:r w:rsidR="00803831" w:rsidRPr="00803831">
        <w:rPr>
          <w:b/>
          <w:bCs/>
          <w:lang w:val="de-DE"/>
        </w:rPr>
        <w:t xml:space="preserve"> </w:t>
      </w:r>
      <w:r w:rsidR="00803831" w:rsidRPr="00803831">
        <w:rPr>
          <w:lang w:val="de-DE"/>
        </w:rPr>
        <w:t>Verfahren für den Beitritt zur UPOV</w:t>
      </w:r>
      <w:r w:rsidR="00DA4D4E">
        <w:rPr>
          <w:lang w:val="de-DE"/>
        </w:rPr>
        <w:t xml:space="preserve"> zu erörtern</w:t>
      </w:r>
      <w:r w:rsidR="00A62710" w:rsidRPr="00803831">
        <w:rPr>
          <w:rFonts w:cs="Arial"/>
          <w:lang w:val="de-DE"/>
        </w:rPr>
        <w:t>.</w:t>
      </w:r>
    </w:p>
    <w:p w:rsidR="005B0492" w:rsidRPr="00803831" w:rsidRDefault="005B0492" w:rsidP="00A313FF">
      <w:pPr>
        <w:rPr>
          <w:rFonts w:cs="Arial"/>
          <w:lang w:val="de-DE"/>
        </w:rPr>
      </w:pPr>
    </w:p>
    <w:p w:rsidR="005B0492" w:rsidRPr="00803831" w:rsidRDefault="004A094B" w:rsidP="007C2539">
      <w:pPr>
        <w:rPr>
          <w:lang w:val="de-DE"/>
        </w:rPr>
      </w:pPr>
      <w:r w:rsidRPr="006054BD">
        <w:fldChar w:fldCharType="begin"/>
      </w:r>
      <w:r w:rsidR="005B0492" w:rsidRPr="00803831">
        <w:rPr>
          <w:lang w:val="de-DE"/>
        </w:rPr>
        <w:instrText xml:space="preserve"> AUTONUM  </w:instrText>
      </w:r>
      <w:r w:rsidRPr="006054BD">
        <w:fldChar w:fldCharType="end"/>
      </w:r>
      <w:r w:rsidR="00803831">
        <w:rPr>
          <w:lang w:val="de-DE"/>
        </w:rPr>
        <w:tab/>
        <w:t>Ebenfalls</w:t>
      </w:r>
      <w:r w:rsidR="005B0492" w:rsidRPr="00803831">
        <w:rPr>
          <w:lang w:val="de-DE"/>
        </w:rPr>
        <w:t xml:space="preserve"> </w:t>
      </w:r>
      <w:r w:rsidR="00803831" w:rsidRPr="00803831">
        <w:rPr>
          <w:lang w:val="de-DE"/>
        </w:rPr>
        <w:t>am 5. Oktober kam das Büro in Genf mit Herrn Richard Aching, Leitender technischer Prüfer, Amt für geistiges Eigentum, Justizministerium Trinidad und Tobago</w:t>
      </w:r>
      <w:r w:rsidR="007E26BF">
        <w:rPr>
          <w:lang w:val="de-DE"/>
        </w:rPr>
        <w:t>,</w:t>
      </w:r>
      <w:r w:rsidR="00DA4D4E">
        <w:rPr>
          <w:lang w:val="de-DE"/>
        </w:rPr>
        <w:t xml:space="preserve"> zusammen</w:t>
      </w:r>
      <w:r w:rsidR="00803831" w:rsidRPr="00803831">
        <w:rPr>
          <w:lang w:val="de-DE"/>
        </w:rPr>
        <w:t>, um die etwaige Organisation einer Veranstaltung über Sortenschutz in Trinidad und Tobago zu erörtern</w:t>
      </w:r>
      <w:r w:rsidR="00840EF3" w:rsidRPr="00803831">
        <w:rPr>
          <w:lang w:val="de-DE"/>
        </w:rPr>
        <w:t>.</w:t>
      </w:r>
    </w:p>
    <w:p w:rsidR="00C63377" w:rsidRPr="00803831" w:rsidRDefault="00C63377" w:rsidP="006B519E">
      <w:pPr>
        <w:rPr>
          <w:lang w:val="de-DE"/>
        </w:rPr>
      </w:pPr>
    </w:p>
    <w:p w:rsidR="00FD44F9" w:rsidRPr="00803831" w:rsidRDefault="004A094B" w:rsidP="007E26BF">
      <w:pPr>
        <w:rPr>
          <w:lang w:val="de-DE"/>
        </w:rPr>
      </w:pPr>
      <w:r w:rsidRPr="006054BD">
        <w:fldChar w:fldCharType="begin"/>
      </w:r>
      <w:r w:rsidR="00FD44F9" w:rsidRPr="00803831">
        <w:rPr>
          <w:lang w:val="de-DE"/>
        </w:rPr>
        <w:instrText xml:space="preserve"> AUTONUM  </w:instrText>
      </w:r>
      <w:r w:rsidRPr="006054BD">
        <w:fldChar w:fldCharType="end"/>
      </w:r>
      <w:r w:rsidR="00FD44F9" w:rsidRPr="00803831">
        <w:rPr>
          <w:lang w:val="de-DE"/>
        </w:rPr>
        <w:tab/>
      </w:r>
      <w:r w:rsidR="00C56C8F" w:rsidRPr="00803831">
        <w:rPr>
          <w:lang w:val="de-DE"/>
        </w:rPr>
        <w:t>Am</w:t>
      </w:r>
      <w:r w:rsidR="00FD44F9" w:rsidRPr="00803831">
        <w:rPr>
          <w:lang w:val="de-DE"/>
        </w:rPr>
        <w:t xml:space="preserve"> </w:t>
      </w:r>
      <w:r w:rsidR="00803831" w:rsidRPr="00803831">
        <w:rPr>
          <w:lang w:val="de-DE"/>
        </w:rPr>
        <w:t xml:space="preserve">8. Oktober kam das Büro in London, Vereinigtes Königreich, </w:t>
      </w:r>
      <w:r w:rsidR="00DA4D4E">
        <w:rPr>
          <w:lang w:val="de-DE"/>
        </w:rPr>
        <w:t xml:space="preserve">mit </w:t>
      </w:r>
      <w:r w:rsidR="007E26BF">
        <w:rPr>
          <w:lang w:val="de-DE"/>
        </w:rPr>
        <w:t xml:space="preserve">Mitgliedern </w:t>
      </w:r>
      <w:r w:rsidR="00DA4D4E">
        <w:rPr>
          <w:lang w:val="de-DE"/>
        </w:rPr>
        <w:t xml:space="preserve">der </w:t>
      </w:r>
      <w:r w:rsidR="00803831" w:rsidRPr="00803831">
        <w:rPr>
          <w:lang w:val="de-DE"/>
        </w:rPr>
        <w:t>Internationalen Kommission für die Nomenklatur der Kulturpflanzen (International Commission for the Nomenclature of Cultivated Plants), der Internationalen Vereinigung der biologischen Wissenschaften (International Union of Biological Sciences) (IUBS</w:t>
      </w:r>
      <w:r w:rsidR="00803831" w:rsidRPr="00803831">
        <w:rPr>
          <w:rFonts w:ascii="MS Gothic" w:eastAsia="MS Gothic" w:hAnsi="MS Gothic" w:cs="MS Gothic" w:hint="eastAsia"/>
          <w:lang w:val="de-DE"/>
        </w:rPr>
        <w:t>‑</w:t>
      </w:r>
      <w:r w:rsidR="00803831" w:rsidRPr="00803831">
        <w:rPr>
          <w:rFonts w:cs="Arial"/>
          <w:lang w:val="de-DE"/>
        </w:rPr>
        <w:t>Kommission)</w:t>
      </w:r>
      <w:r w:rsidR="00DA4D4E">
        <w:rPr>
          <w:rFonts w:cs="Arial"/>
          <w:lang w:val="de-DE"/>
        </w:rPr>
        <w:t xml:space="preserve"> zusammen</w:t>
      </w:r>
      <w:r w:rsidR="00803831" w:rsidRPr="00803831">
        <w:rPr>
          <w:rFonts w:cs="Arial"/>
          <w:lang w:val="de-DE"/>
        </w:rPr>
        <w:t>, um etwaige Bereiche für eine Zusammenarbeit in Angelegenheiten bezüglich Sortenbezeichnungen zwischen der UPOV, der IUBS</w:t>
      </w:r>
      <w:r w:rsidR="00803831" w:rsidRPr="00803831">
        <w:rPr>
          <w:rFonts w:ascii="MS Gothic" w:eastAsia="MS Gothic" w:hAnsi="MS Gothic" w:cs="MS Gothic" w:hint="eastAsia"/>
          <w:lang w:val="de-DE"/>
        </w:rPr>
        <w:t>‑</w:t>
      </w:r>
      <w:r w:rsidR="00803831" w:rsidRPr="00803831">
        <w:rPr>
          <w:rFonts w:cs="Arial"/>
          <w:lang w:val="de-DE"/>
        </w:rPr>
        <w:t xml:space="preserve">Kommission </w:t>
      </w:r>
      <w:r w:rsidR="007E26BF">
        <w:rPr>
          <w:rFonts w:cs="Arial"/>
          <w:lang w:val="de-DE"/>
        </w:rPr>
        <w:t>und</w:t>
      </w:r>
      <w:r w:rsidR="00803831" w:rsidRPr="00803831">
        <w:rPr>
          <w:rFonts w:cs="Arial"/>
          <w:lang w:val="de-DE"/>
        </w:rPr>
        <w:t xml:space="preserve"> der Kommission für die Nomenklatur der Kulturpflanzen der Internationalen Gesellschaft für Gartenbaukunde (ISHS</w:t>
      </w:r>
      <w:r w:rsidR="00803831" w:rsidRPr="00803831">
        <w:rPr>
          <w:rFonts w:ascii="MS Gothic" w:eastAsia="MS Gothic" w:hAnsi="MS Gothic" w:cs="MS Gothic" w:hint="eastAsia"/>
          <w:lang w:val="de-DE"/>
        </w:rPr>
        <w:t>‑</w:t>
      </w:r>
      <w:r w:rsidR="00803831" w:rsidRPr="00803831">
        <w:rPr>
          <w:rFonts w:cs="Arial"/>
          <w:lang w:val="de-DE"/>
        </w:rPr>
        <w:t>Kommission)</w:t>
      </w:r>
      <w:r w:rsidR="00DA4D4E">
        <w:rPr>
          <w:rFonts w:cs="Arial"/>
          <w:lang w:val="de-DE"/>
        </w:rPr>
        <w:t xml:space="preserve"> zu erörtern</w:t>
      </w:r>
      <w:r w:rsidR="00840EF3" w:rsidRPr="00803831">
        <w:rPr>
          <w:lang w:val="de-DE"/>
        </w:rPr>
        <w:t>.</w:t>
      </w:r>
    </w:p>
    <w:p w:rsidR="00FD44F9" w:rsidRPr="00803831" w:rsidRDefault="00FD44F9" w:rsidP="00FD44F9">
      <w:pPr>
        <w:rPr>
          <w:lang w:val="de-DE"/>
        </w:rPr>
      </w:pPr>
    </w:p>
    <w:p w:rsidR="002238C8" w:rsidRPr="00803831" w:rsidRDefault="004A094B" w:rsidP="00C0371D">
      <w:pPr>
        <w:rPr>
          <w:lang w:val="de-DE"/>
        </w:rPr>
      </w:pPr>
      <w:r w:rsidRPr="006054BD">
        <w:fldChar w:fldCharType="begin"/>
      </w:r>
      <w:r w:rsidR="002238C8" w:rsidRPr="00803831">
        <w:rPr>
          <w:lang w:val="de-DE"/>
        </w:rPr>
        <w:instrText xml:space="preserve"> AUTONUM  </w:instrText>
      </w:r>
      <w:r w:rsidRPr="006054BD">
        <w:fldChar w:fldCharType="end"/>
      </w:r>
      <w:r w:rsidR="002238C8" w:rsidRPr="00803831">
        <w:rPr>
          <w:lang w:val="de-DE"/>
        </w:rPr>
        <w:tab/>
      </w:r>
      <w:r w:rsidR="00C56C8F" w:rsidRPr="00803831">
        <w:rPr>
          <w:lang w:val="de-DE"/>
        </w:rPr>
        <w:t>Am</w:t>
      </w:r>
      <w:r w:rsidR="002238C8" w:rsidRPr="00803831">
        <w:rPr>
          <w:lang w:val="de-DE"/>
        </w:rPr>
        <w:t xml:space="preserve"> </w:t>
      </w:r>
      <w:r w:rsidR="00803831" w:rsidRPr="00803831">
        <w:rPr>
          <w:rFonts w:cs="Arial"/>
          <w:lang w:val="de-DE"/>
        </w:rPr>
        <w:t xml:space="preserve">9. Oktober </w:t>
      </w:r>
      <w:r w:rsidR="00803831" w:rsidRPr="00803831">
        <w:rPr>
          <w:lang w:val="de-DE"/>
        </w:rPr>
        <w:t xml:space="preserve">erhielt das Büro in Genf den Besuch von </w:t>
      </w:r>
      <w:r w:rsidR="00C0371D">
        <w:rPr>
          <w:lang w:val="de-DE"/>
        </w:rPr>
        <w:t>Frau Grace Ama Issahaque, Leitende Staatsanwältin, Abteilung des Registerbeamten</w:t>
      </w:r>
      <w:r w:rsidR="00803831" w:rsidRPr="00803831">
        <w:rPr>
          <w:lang w:val="de-DE"/>
        </w:rPr>
        <w:t xml:space="preserve">, Justizministerium Ghanas, </w:t>
      </w:r>
      <w:r w:rsidR="007E26BF">
        <w:rPr>
          <w:lang w:val="de-DE"/>
        </w:rPr>
        <w:t>um Maßnahmen</w:t>
      </w:r>
      <w:r w:rsidR="00803831" w:rsidRPr="00803831">
        <w:rPr>
          <w:lang w:val="de-DE"/>
        </w:rPr>
        <w:t xml:space="preserve"> betreffend d</w:t>
      </w:r>
      <w:r w:rsidR="00DA4D4E">
        <w:rPr>
          <w:lang w:val="de-DE"/>
        </w:rPr>
        <w:t>as</w:t>
      </w:r>
      <w:r w:rsidR="00803831" w:rsidRPr="00803831">
        <w:rPr>
          <w:lang w:val="de-DE"/>
        </w:rPr>
        <w:t xml:space="preserve"> Verfahren vor dem Rat am 1. November für die Prüfung des </w:t>
      </w:r>
      <w:r w:rsidR="007E26BF">
        <w:rPr>
          <w:lang w:val="de-DE"/>
        </w:rPr>
        <w:t>Gesetzentwurfs Ghanas über Pflanzenzüchter zu erörtern</w:t>
      </w:r>
      <w:r w:rsidR="00840EF3" w:rsidRPr="00803831">
        <w:rPr>
          <w:rFonts w:cs="Arial"/>
          <w:lang w:val="de-DE"/>
        </w:rPr>
        <w:t>.</w:t>
      </w:r>
    </w:p>
    <w:p w:rsidR="002238C8" w:rsidRPr="00803831" w:rsidRDefault="002238C8" w:rsidP="00FD44F9">
      <w:pPr>
        <w:rPr>
          <w:lang w:val="de-DE"/>
        </w:rPr>
      </w:pPr>
    </w:p>
    <w:p w:rsidR="003B2045" w:rsidRPr="00803831" w:rsidRDefault="004A094B" w:rsidP="00DE5DFD">
      <w:pPr>
        <w:rPr>
          <w:lang w:val="de-DE"/>
        </w:rPr>
      </w:pPr>
      <w:r w:rsidRPr="006054BD">
        <w:fldChar w:fldCharType="begin"/>
      </w:r>
      <w:r w:rsidR="007B64A3" w:rsidRPr="00803831">
        <w:rPr>
          <w:lang w:val="de-DE"/>
        </w:rPr>
        <w:instrText xml:space="preserve"> AUTONUM  </w:instrText>
      </w:r>
      <w:r w:rsidRPr="006054BD">
        <w:fldChar w:fldCharType="end"/>
      </w:r>
      <w:r w:rsidR="007B64A3" w:rsidRPr="00803831">
        <w:rPr>
          <w:lang w:val="de-DE"/>
        </w:rPr>
        <w:tab/>
      </w:r>
      <w:r w:rsidR="00C56C8F" w:rsidRPr="00803831">
        <w:rPr>
          <w:lang w:val="de-DE"/>
        </w:rPr>
        <w:t>Am</w:t>
      </w:r>
      <w:r w:rsidR="007D1DFE" w:rsidRPr="00803831">
        <w:rPr>
          <w:lang w:val="de-DE"/>
        </w:rPr>
        <w:t xml:space="preserve"> </w:t>
      </w:r>
      <w:r w:rsidR="00803831" w:rsidRPr="00803831">
        <w:rPr>
          <w:lang w:val="de-DE"/>
        </w:rPr>
        <w:t xml:space="preserve">9. Oktober referierte das Büro in Tokyo, Japan, auf dem Symposium über Sortenschutz in Asien, </w:t>
      </w:r>
      <w:r w:rsidR="00DA4D4E">
        <w:rPr>
          <w:lang w:val="de-DE"/>
        </w:rPr>
        <w:t>das</w:t>
      </w:r>
      <w:r w:rsidR="007E26BF" w:rsidRPr="007E26BF">
        <w:rPr>
          <w:lang w:val="de-DE"/>
        </w:rPr>
        <w:t xml:space="preserve"> </w:t>
      </w:r>
      <w:r w:rsidR="007E26BF" w:rsidRPr="00803831">
        <w:rPr>
          <w:lang w:val="de-DE"/>
        </w:rPr>
        <w:t>gemeinsam</w:t>
      </w:r>
      <w:r w:rsidR="00DA4D4E">
        <w:rPr>
          <w:lang w:val="de-DE"/>
        </w:rPr>
        <w:t xml:space="preserve"> </w:t>
      </w:r>
      <w:r w:rsidR="00803831" w:rsidRPr="00803831">
        <w:rPr>
          <w:lang w:val="de-DE"/>
        </w:rPr>
        <w:t xml:space="preserve">von CIOPORA </w:t>
      </w:r>
      <w:r w:rsidR="00DE5DFD">
        <w:rPr>
          <w:lang w:val="de-DE"/>
        </w:rPr>
        <w:t>u</w:t>
      </w:r>
      <w:r w:rsidR="00803831" w:rsidRPr="00803831">
        <w:rPr>
          <w:lang w:val="de-DE"/>
        </w:rPr>
        <w:t>nd der Japanischen Gesellschaft für technische Innovation in der Land- und Forstwirtschaft und der Fischerei (JATAFF)</w:t>
      </w:r>
      <w:r w:rsidR="00DA4D4E">
        <w:rPr>
          <w:lang w:val="de-DE"/>
        </w:rPr>
        <w:t xml:space="preserve"> </w:t>
      </w:r>
      <w:r w:rsidR="00DA4D4E" w:rsidRPr="00803831">
        <w:rPr>
          <w:lang w:val="de-DE"/>
        </w:rPr>
        <w:t xml:space="preserve">organisiert </w:t>
      </w:r>
      <w:r w:rsidR="00DA4D4E">
        <w:rPr>
          <w:lang w:val="de-DE"/>
        </w:rPr>
        <w:t xml:space="preserve">wurde, </w:t>
      </w:r>
      <w:r w:rsidR="00DA4D4E" w:rsidRPr="00803831">
        <w:rPr>
          <w:lang w:val="de-DE"/>
        </w:rPr>
        <w:t>über die jüngsten Entwicklungen in der UPOV</w:t>
      </w:r>
      <w:r w:rsidR="00803831" w:rsidRPr="00803831">
        <w:rPr>
          <w:lang w:val="de-DE"/>
        </w:rPr>
        <w:t>. An dem Symposium nahmen Teilnehmer aus der Demokratischen Volksrepublik Laos,</w:t>
      </w:r>
      <w:r w:rsidR="0053423C">
        <w:rPr>
          <w:lang w:val="de-DE"/>
        </w:rPr>
        <w:t xml:space="preserve"> </w:t>
      </w:r>
      <w:r w:rsidR="0053423C" w:rsidRPr="00803831">
        <w:rPr>
          <w:lang w:val="de-DE"/>
        </w:rPr>
        <w:t>Kambodscha, Japan</w:t>
      </w:r>
      <w:r w:rsidR="0053423C">
        <w:rPr>
          <w:lang w:val="de-DE"/>
        </w:rPr>
        <w:t>,</w:t>
      </w:r>
      <w:r w:rsidR="00803831" w:rsidRPr="00803831">
        <w:rPr>
          <w:lang w:val="de-DE"/>
        </w:rPr>
        <w:t xml:space="preserve"> Malaysia, Myanmar, Philippinen, Thailand und Vietnam teil</w:t>
      </w:r>
      <w:r w:rsidR="00596C76" w:rsidRPr="00803831">
        <w:rPr>
          <w:lang w:val="de-DE"/>
        </w:rPr>
        <w:t>.</w:t>
      </w:r>
    </w:p>
    <w:p w:rsidR="003B2045" w:rsidRPr="00803831" w:rsidRDefault="003B2045" w:rsidP="007B64A3">
      <w:pPr>
        <w:rPr>
          <w:lang w:val="de-DE"/>
        </w:rPr>
      </w:pPr>
    </w:p>
    <w:p w:rsidR="00450212" w:rsidRDefault="004A094B" w:rsidP="004D0024">
      <w:pPr>
        <w:rPr>
          <w:lang w:val="de-DE"/>
        </w:rPr>
      </w:pPr>
      <w:r w:rsidRPr="006054BD">
        <w:fldChar w:fldCharType="begin"/>
      </w:r>
      <w:r w:rsidR="00450212" w:rsidRPr="00803831">
        <w:rPr>
          <w:lang w:val="de-DE"/>
        </w:rPr>
        <w:instrText xml:space="preserve"> AUTONUM  </w:instrText>
      </w:r>
      <w:r w:rsidRPr="006054BD">
        <w:fldChar w:fldCharType="end"/>
      </w:r>
      <w:r w:rsidR="00450212" w:rsidRPr="00803831">
        <w:rPr>
          <w:lang w:val="de-DE"/>
        </w:rPr>
        <w:tab/>
      </w:r>
      <w:r w:rsidR="00C56C8F" w:rsidRPr="00803831">
        <w:rPr>
          <w:lang w:val="de-DE"/>
        </w:rPr>
        <w:t>Am</w:t>
      </w:r>
      <w:r w:rsidR="00450212" w:rsidRPr="00803831">
        <w:rPr>
          <w:lang w:val="de-DE"/>
        </w:rPr>
        <w:t xml:space="preserve"> </w:t>
      </w:r>
      <w:r w:rsidR="00803831" w:rsidRPr="00803831">
        <w:rPr>
          <w:lang w:val="de-DE"/>
        </w:rPr>
        <w:t xml:space="preserve">11. Oktober erhielt das Büro in Genf den Besuch von </w:t>
      </w:r>
      <w:r w:rsidR="007E26BF">
        <w:rPr>
          <w:lang w:val="de-DE"/>
        </w:rPr>
        <w:t xml:space="preserve">Herrn </w:t>
      </w:r>
      <w:r w:rsidR="00803831" w:rsidRPr="00803831">
        <w:rPr>
          <w:lang w:val="de-DE"/>
        </w:rPr>
        <w:t xml:space="preserve">José Ntutumu Nzang, Generalsekretär, </w:t>
      </w:r>
      <w:r w:rsidR="00803831" w:rsidRPr="00803831">
        <w:rPr>
          <w:i/>
          <w:iCs/>
          <w:lang w:val="de-DE"/>
        </w:rPr>
        <w:t>Presidencia del Gobierno, Consejo de Investigaciones Científicas y Tecnológicas</w:t>
      </w:r>
      <w:r w:rsidR="00803831" w:rsidRPr="00803831">
        <w:rPr>
          <w:lang w:val="de-DE"/>
        </w:rPr>
        <w:t xml:space="preserve"> (CICTE) aus Äquatorialguinea, um </w:t>
      </w:r>
      <w:r w:rsidR="00DA4D4E">
        <w:rPr>
          <w:lang w:val="de-DE"/>
        </w:rPr>
        <w:t>das</w:t>
      </w:r>
      <w:r w:rsidR="00803831" w:rsidRPr="00803831">
        <w:rPr>
          <w:lang w:val="de-DE"/>
        </w:rPr>
        <w:t xml:space="preserve"> Verfahren für den Beitritt zur UPOV zu erörtern</w:t>
      </w:r>
      <w:r w:rsidR="008A6769" w:rsidRPr="00803831">
        <w:rPr>
          <w:lang w:val="de-DE"/>
        </w:rPr>
        <w:t>.</w:t>
      </w:r>
    </w:p>
    <w:p w:rsidR="004D0024" w:rsidRPr="00803831" w:rsidRDefault="004D0024" w:rsidP="004D0024">
      <w:pPr>
        <w:rPr>
          <w:lang w:val="de-DE"/>
        </w:rPr>
      </w:pPr>
    </w:p>
    <w:p w:rsidR="007B64A3" w:rsidRPr="00803831" w:rsidRDefault="004A094B" w:rsidP="007C2539">
      <w:pPr>
        <w:rPr>
          <w:lang w:val="de-DE"/>
        </w:rPr>
      </w:pPr>
      <w:r w:rsidRPr="006054BD">
        <w:fldChar w:fldCharType="begin"/>
      </w:r>
      <w:r w:rsidR="003B2045" w:rsidRPr="00803831">
        <w:rPr>
          <w:lang w:val="de-DE"/>
        </w:rPr>
        <w:instrText xml:space="preserve"> AUTONUM  </w:instrText>
      </w:r>
      <w:r w:rsidRPr="006054BD">
        <w:fldChar w:fldCharType="end"/>
      </w:r>
      <w:r w:rsidR="003B2045" w:rsidRPr="00803831">
        <w:rPr>
          <w:lang w:val="de-DE"/>
        </w:rPr>
        <w:tab/>
      </w:r>
      <w:r w:rsidR="00C56C8F" w:rsidRPr="00803831">
        <w:rPr>
          <w:lang w:val="de-DE"/>
        </w:rPr>
        <w:t>Am</w:t>
      </w:r>
      <w:r w:rsidR="003B2045" w:rsidRPr="00803831">
        <w:rPr>
          <w:lang w:val="de-DE"/>
        </w:rPr>
        <w:t xml:space="preserve"> </w:t>
      </w:r>
      <w:r w:rsidR="00803831" w:rsidRPr="00803831">
        <w:rPr>
          <w:lang w:val="de-DE"/>
        </w:rPr>
        <w:t xml:space="preserve">11. Oktober hielt das Büro in Kasaoka, Präfektur Okayama, Vorträge über den Sortenschutz nach dem UPOV-Übereinkommen </w:t>
      </w:r>
      <w:r w:rsidR="00DA4D4E">
        <w:rPr>
          <w:lang w:val="de-DE"/>
        </w:rPr>
        <w:t>bei</w:t>
      </w:r>
      <w:r w:rsidR="00803831" w:rsidRPr="00803831">
        <w:rPr>
          <w:lang w:val="de-DE"/>
        </w:rPr>
        <w:t xml:space="preserve"> einem Ausbildungslehrgang über DUS für EAPVP-Sachverständige, </w:t>
      </w:r>
      <w:r w:rsidR="00DA4D4E">
        <w:rPr>
          <w:lang w:val="de-DE"/>
        </w:rPr>
        <w:t xml:space="preserve">das </w:t>
      </w:r>
      <w:r w:rsidR="00803831" w:rsidRPr="00803831">
        <w:rPr>
          <w:lang w:val="de-DE"/>
        </w:rPr>
        <w:t>vom Nationale</w:t>
      </w:r>
      <w:r w:rsidR="00DA4D4E">
        <w:rPr>
          <w:lang w:val="de-DE"/>
        </w:rPr>
        <w:t>n</w:t>
      </w:r>
      <w:r w:rsidR="00803831" w:rsidRPr="00803831">
        <w:rPr>
          <w:lang w:val="de-DE"/>
        </w:rPr>
        <w:t xml:space="preserve"> Saat- und Pflanzgutzentrum (NCSS) in Zusammenarbeit mit dem Ministerium für Landwirtschaft, Forstwirtschaft und Fischfang (MAFF) Japan</w:t>
      </w:r>
      <w:r w:rsidR="007E26BF">
        <w:rPr>
          <w:lang w:val="de-DE"/>
        </w:rPr>
        <w:t xml:space="preserve">s </w:t>
      </w:r>
      <w:r w:rsidR="007E26BF" w:rsidRPr="00803831">
        <w:rPr>
          <w:lang w:val="de-DE"/>
        </w:rPr>
        <w:t>organisiert</w:t>
      </w:r>
      <w:r w:rsidR="007E26BF">
        <w:rPr>
          <w:lang w:val="de-DE"/>
        </w:rPr>
        <w:t xml:space="preserve"> wurde</w:t>
      </w:r>
      <w:r w:rsidR="00803831" w:rsidRPr="00803831">
        <w:rPr>
          <w:lang w:val="de-DE"/>
        </w:rPr>
        <w:t>. An dem Lehrgang nahmen Sachverständige aus der Demokratischen Volksrepublik Laos, Malaysia, Philippinen, Thailand und Vietnam sowie auch NCSS-</w:t>
      </w:r>
      <w:r w:rsidR="00DA4D4E">
        <w:rPr>
          <w:lang w:val="de-DE"/>
        </w:rPr>
        <w:t>Personal</w:t>
      </w:r>
      <w:r w:rsidR="00803831" w:rsidRPr="00803831">
        <w:rPr>
          <w:lang w:val="de-DE"/>
        </w:rPr>
        <w:t xml:space="preserve"> teil</w:t>
      </w:r>
      <w:r w:rsidR="006F1D93" w:rsidRPr="00803831">
        <w:rPr>
          <w:lang w:val="de-DE"/>
        </w:rPr>
        <w:t>.</w:t>
      </w:r>
    </w:p>
    <w:p w:rsidR="007B64A3" w:rsidRPr="00803831" w:rsidRDefault="007B64A3" w:rsidP="007B64A3">
      <w:pPr>
        <w:rPr>
          <w:lang w:val="de-DE"/>
        </w:rPr>
      </w:pPr>
    </w:p>
    <w:p w:rsidR="007B64A3" w:rsidRPr="00301FCF" w:rsidRDefault="004A094B" w:rsidP="00D17D82">
      <w:pPr>
        <w:rPr>
          <w:lang w:val="de-DE"/>
        </w:rPr>
      </w:pPr>
      <w:r w:rsidRPr="006054BD">
        <w:fldChar w:fldCharType="begin"/>
      </w:r>
      <w:r w:rsidR="007B64A3" w:rsidRPr="00301FCF">
        <w:rPr>
          <w:lang w:val="de-DE"/>
        </w:rPr>
        <w:instrText xml:space="preserve"> AUTONUM  </w:instrText>
      </w:r>
      <w:r w:rsidRPr="006054BD">
        <w:fldChar w:fldCharType="end"/>
      </w:r>
      <w:r w:rsidR="007B64A3" w:rsidRPr="00301FCF">
        <w:rPr>
          <w:lang w:val="de-DE"/>
        </w:rPr>
        <w:tab/>
      </w:r>
      <w:r w:rsidR="00C56C8F" w:rsidRPr="00301FCF">
        <w:rPr>
          <w:lang w:val="de-DE"/>
        </w:rPr>
        <w:t>Am</w:t>
      </w:r>
      <w:r w:rsidR="00364000" w:rsidRPr="00301FCF">
        <w:rPr>
          <w:lang w:val="de-DE"/>
        </w:rPr>
        <w:t xml:space="preserve"> </w:t>
      </w:r>
      <w:r w:rsidR="00301FCF" w:rsidRPr="00301FCF">
        <w:rPr>
          <w:lang w:val="de-DE"/>
        </w:rPr>
        <w:t>15. und 16. Oktober nahm das Büro in Brüssel, Belgien, als Beobachter an de</w:t>
      </w:r>
      <w:r w:rsidR="00883962">
        <w:rPr>
          <w:lang w:val="de-DE"/>
        </w:rPr>
        <w:t>r</w:t>
      </w:r>
      <w:r w:rsidR="00301FCF" w:rsidRPr="00301FCF">
        <w:rPr>
          <w:lang w:val="de-DE"/>
        </w:rPr>
        <w:t xml:space="preserve"> Jahrestagung der </w:t>
      </w:r>
      <w:r w:rsidR="00301FCF" w:rsidRPr="00883962">
        <w:rPr>
          <w:i/>
          <w:iCs/>
          <w:lang w:val="de-DE"/>
        </w:rPr>
        <w:t>European</w:t>
      </w:r>
      <w:r w:rsidR="00D17D82">
        <w:rPr>
          <w:i/>
          <w:iCs/>
          <w:lang w:val="de-DE"/>
        </w:rPr>
        <w:t xml:space="preserve"> </w:t>
      </w:r>
      <w:r w:rsidR="00301FCF" w:rsidRPr="00883962">
        <w:rPr>
          <w:i/>
          <w:iCs/>
          <w:lang w:val="de-DE"/>
        </w:rPr>
        <w:t>Seed Association</w:t>
      </w:r>
      <w:r w:rsidR="00301FCF" w:rsidRPr="00301FCF">
        <w:rPr>
          <w:lang w:val="de-DE"/>
        </w:rPr>
        <w:t xml:space="preserve"> (ESA) teil</w:t>
      </w:r>
      <w:r w:rsidR="00364000" w:rsidRPr="00301FCF">
        <w:rPr>
          <w:lang w:val="de-DE"/>
        </w:rPr>
        <w:t>.</w:t>
      </w:r>
    </w:p>
    <w:p w:rsidR="002D0061" w:rsidRPr="00301FCF" w:rsidRDefault="002D0061" w:rsidP="007B64A3">
      <w:pPr>
        <w:rPr>
          <w:lang w:val="de-DE"/>
        </w:rPr>
      </w:pPr>
    </w:p>
    <w:p w:rsidR="002D0061" w:rsidRPr="00301FCF" w:rsidRDefault="004A094B" w:rsidP="007C2539">
      <w:pPr>
        <w:rPr>
          <w:lang w:val="de-DE"/>
        </w:rPr>
      </w:pPr>
      <w:r w:rsidRPr="006054BD">
        <w:fldChar w:fldCharType="begin"/>
      </w:r>
      <w:r w:rsidR="002D0061" w:rsidRPr="00301FCF">
        <w:rPr>
          <w:lang w:val="de-DE"/>
        </w:rPr>
        <w:instrText xml:space="preserve"> AUTONUM  </w:instrText>
      </w:r>
      <w:r w:rsidRPr="006054BD">
        <w:fldChar w:fldCharType="end"/>
      </w:r>
      <w:r w:rsidR="002D0061" w:rsidRPr="00301FCF">
        <w:rPr>
          <w:lang w:val="de-DE"/>
        </w:rPr>
        <w:tab/>
      </w:r>
      <w:r w:rsidR="00C56C8F" w:rsidRPr="00301FCF">
        <w:rPr>
          <w:lang w:val="de-DE"/>
        </w:rPr>
        <w:t>Am</w:t>
      </w:r>
      <w:r w:rsidR="002D0061" w:rsidRPr="00301FCF">
        <w:rPr>
          <w:lang w:val="de-DE"/>
        </w:rPr>
        <w:t xml:space="preserve"> </w:t>
      </w:r>
      <w:r w:rsidR="00301FCF" w:rsidRPr="00301FCF">
        <w:rPr>
          <w:lang w:val="de-DE"/>
        </w:rPr>
        <w:t xml:space="preserve">18. Oktober richtete das Büro </w:t>
      </w:r>
      <w:r w:rsidR="00883962">
        <w:rPr>
          <w:lang w:val="de-DE"/>
        </w:rPr>
        <w:t>a</w:t>
      </w:r>
      <w:r w:rsidR="00301FCF" w:rsidRPr="00301FCF">
        <w:rPr>
          <w:lang w:val="de-DE"/>
        </w:rPr>
        <w:t>m UPOV</w:t>
      </w:r>
      <w:r w:rsidR="00301FCF" w:rsidRPr="00301FCF">
        <w:rPr>
          <w:rFonts w:ascii="MS Gothic" w:eastAsia="MS Gothic" w:hAnsi="MS Gothic" w:cs="MS Gothic" w:hint="eastAsia"/>
          <w:lang w:val="de-DE"/>
        </w:rPr>
        <w:t>‑</w:t>
      </w:r>
      <w:r w:rsidR="00301FCF" w:rsidRPr="00301FCF">
        <w:rPr>
          <w:rFonts w:cs="Arial"/>
          <w:lang w:val="de-DE"/>
        </w:rPr>
        <w:t>Hauptsitz</w:t>
      </w:r>
      <w:r w:rsidR="00301FCF" w:rsidRPr="00301FCF">
        <w:rPr>
          <w:lang w:val="de-DE"/>
        </w:rPr>
        <w:t xml:space="preserve"> eine Tagung aus, um elektronische Systeme für die Einreichung von Anträgen, einschließlich </w:t>
      </w:r>
      <w:r w:rsidR="008117D3">
        <w:rPr>
          <w:lang w:val="de-DE"/>
        </w:rPr>
        <w:t xml:space="preserve">der </w:t>
      </w:r>
      <w:r w:rsidR="00301FCF" w:rsidRPr="00301FCF">
        <w:rPr>
          <w:lang w:val="de-DE"/>
        </w:rPr>
        <w:t>elektronische</w:t>
      </w:r>
      <w:r w:rsidR="008117D3">
        <w:rPr>
          <w:lang w:val="de-DE"/>
        </w:rPr>
        <w:t>n</w:t>
      </w:r>
      <w:r w:rsidR="00301FCF" w:rsidRPr="00301FCF">
        <w:rPr>
          <w:lang w:val="de-DE"/>
        </w:rPr>
        <w:t xml:space="preserve"> Teilnahme </w:t>
      </w:r>
      <w:r w:rsidR="008117D3">
        <w:rPr>
          <w:lang w:val="de-DE"/>
        </w:rPr>
        <w:t>über Internet</w:t>
      </w:r>
      <w:r w:rsidR="00883962">
        <w:rPr>
          <w:lang w:val="de-DE"/>
        </w:rPr>
        <w:t xml:space="preserve">, </w:t>
      </w:r>
      <w:r w:rsidR="00883962" w:rsidRPr="00301FCF">
        <w:rPr>
          <w:lang w:val="de-DE"/>
        </w:rPr>
        <w:t>zu erörtern</w:t>
      </w:r>
      <w:r w:rsidR="00301FCF" w:rsidRPr="00301FCF">
        <w:rPr>
          <w:lang w:val="de-DE"/>
        </w:rPr>
        <w:t xml:space="preserve">. An der Tagung nahmen Teilnehmer </w:t>
      </w:r>
      <w:r w:rsidR="00883962">
        <w:rPr>
          <w:lang w:val="de-DE"/>
        </w:rPr>
        <w:t>der</w:t>
      </w:r>
      <w:r w:rsidR="00301FCF" w:rsidRPr="00301FCF">
        <w:rPr>
          <w:lang w:val="de-DE"/>
        </w:rPr>
        <w:t xml:space="preserve"> </w:t>
      </w:r>
      <w:r w:rsidR="008117D3">
        <w:rPr>
          <w:lang w:val="de-DE"/>
        </w:rPr>
        <w:t xml:space="preserve">folgenden Organisationen teil: </w:t>
      </w:r>
      <w:r w:rsidR="00301FCF" w:rsidRPr="00301FCF">
        <w:rPr>
          <w:lang w:val="de-DE"/>
        </w:rPr>
        <w:t xml:space="preserve">WIPO-Abteilung für Internetdienste, WIPO-Abteilung </w:t>
      </w:r>
      <w:r w:rsidR="008117D3" w:rsidRPr="00803831">
        <w:rPr>
          <w:lang w:val="de-DE"/>
        </w:rPr>
        <w:t>„</w:t>
      </w:r>
      <w:r w:rsidR="008117D3">
        <w:rPr>
          <w:lang w:val="de-DE"/>
        </w:rPr>
        <w:t>Brand Database"</w:t>
      </w:r>
      <w:r w:rsidR="00204DE5">
        <w:rPr>
          <w:lang w:val="de-DE"/>
        </w:rPr>
        <w:t xml:space="preserve">; </w:t>
      </w:r>
      <w:r w:rsidR="00301FCF" w:rsidRPr="00301FCF">
        <w:rPr>
          <w:lang w:val="de-DE"/>
        </w:rPr>
        <w:t>CPVO, in Begleitung von Sachverständigen vom Bundessortenamt (Deutschland) und Naktuinbouw (Niederlande): C</w:t>
      </w:r>
      <w:r w:rsidR="0023631E">
        <w:rPr>
          <w:lang w:val="de-DE"/>
        </w:rPr>
        <w:t>I</w:t>
      </w:r>
      <w:r w:rsidR="00301FCF" w:rsidRPr="00301FCF">
        <w:rPr>
          <w:lang w:val="de-DE"/>
        </w:rPr>
        <w:t xml:space="preserve">OPORA; ISF und </w:t>
      </w:r>
      <w:r w:rsidR="008117D3">
        <w:rPr>
          <w:lang w:val="de-DE"/>
        </w:rPr>
        <w:t>das</w:t>
      </w:r>
      <w:r w:rsidR="00301FCF" w:rsidRPr="00301FCF">
        <w:rPr>
          <w:lang w:val="de-DE"/>
        </w:rPr>
        <w:t xml:space="preserve"> Büro. Am Rande dieser Tagung erörterten das Büro und </w:t>
      </w:r>
      <w:r w:rsidR="008117D3">
        <w:rPr>
          <w:lang w:val="de-DE"/>
        </w:rPr>
        <w:t>das</w:t>
      </w:r>
      <w:r w:rsidR="00301FCF" w:rsidRPr="00301FCF">
        <w:rPr>
          <w:lang w:val="de-DE"/>
        </w:rPr>
        <w:t xml:space="preserve"> CPVO Angelegenheiten be</w:t>
      </w:r>
      <w:r w:rsidR="00883962">
        <w:rPr>
          <w:lang w:val="de-DE"/>
        </w:rPr>
        <w:t>treffend die</w:t>
      </w:r>
      <w:r w:rsidR="00301FCF" w:rsidRPr="00301FCF">
        <w:rPr>
          <w:lang w:val="de-DE"/>
        </w:rPr>
        <w:t xml:space="preserve"> etwaige Entwicklung einer </w:t>
      </w:r>
      <w:r w:rsidR="008117D3" w:rsidRPr="008117D3">
        <w:rPr>
          <w:lang w:val="de-DE"/>
        </w:rPr>
        <w:t>Suchfunktion für ähnliche Sortenbezeichnungen</w:t>
      </w:r>
      <w:r w:rsidR="0065047D" w:rsidRPr="00301FCF">
        <w:rPr>
          <w:kern w:val="28"/>
          <w:lang w:val="de-DE"/>
        </w:rPr>
        <w:t>.</w:t>
      </w:r>
    </w:p>
    <w:p w:rsidR="00A04EFC" w:rsidRPr="00301FCF" w:rsidRDefault="00A04EFC" w:rsidP="002D0061">
      <w:pPr>
        <w:rPr>
          <w:lang w:val="de-DE"/>
        </w:rPr>
      </w:pPr>
    </w:p>
    <w:p w:rsidR="00A04EFC" w:rsidRPr="00301FCF" w:rsidRDefault="004A094B" w:rsidP="00D17D82">
      <w:pPr>
        <w:rPr>
          <w:lang w:val="de-DE"/>
        </w:rPr>
      </w:pPr>
      <w:r w:rsidRPr="006054BD">
        <w:fldChar w:fldCharType="begin"/>
      </w:r>
      <w:r w:rsidR="00A04EFC" w:rsidRPr="00301FCF">
        <w:rPr>
          <w:lang w:val="de-DE"/>
        </w:rPr>
        <w:instrText xml:space="preserve"> AUTONUM  </w:instrText>
      </w:r>
      <w:r w:rsidRPr="006054BD">
        <w:fldChar w:fldCharType="end"/>
      </w:r>
      <w:r w:rsidR="00301FCF">
        <w:rPr>
          <w:lang w:val="de-DE"/>
        </w:rPr>
        <w:tab/>
        <w:t>Ebenfalls</w:t>
      </w:r>
      <w:r w:rsidR="00A04EFC" w:rsidRPr="00301FCF">
        <w:rPr>
          <w:lang w:val="de-DE"/>
        </w:rPr>
        <w:t xml:space="preserve"> </w:t>
      </w:r>
      <w:r w:rsidR="00301FCF" w:rsidRPr="00301FCF">
        <w:rPr>
          <w:lang w:val="de-DE"/>
        </w:rPr>
        <w:t xml:space="preserve">am 18. Oktober nahm das Büro </w:t>
      </w:r>
      <w:r w:rsidR="00883962">
        <w:rPr>
          <w:lang w:val="de-DE"/>
        </w:rPr>
        <w:t>a</w:t>
      </w:r>
      <w:r w:rsidR="00301FCF" w:rsidRPr="00301FCF">
        <w:rPr>
          <w:lang w:val="de-DE"/>
        </w:rPr>
        <w:t>m WIPO-Hauptsitz in Genf an einer Erörterung über „</w:t>
      </w:r>
      <w:r w:rsidR="00D17D82" w:rsidRPr="00D17D82">
        <w:rPr>
          <w:i/>
          <w:iCs/>
          <w:lang w:val="de-DE"/>
        </w:rPr>
        <w:t>The Changing Geography of Innovation: Opportunities and Challenges</w:t>
      </w:r>
      <w:r w:rsidR="00301FCF" w:rsidRPr="00301FCF">
        <w:rPr>
          <w:lang w:val="de-DE"/>
        </w:rPr>
        <w:t>", organisiert von der WIPO und dem Diplomatischen Club in Genf</w:t>
      </w:r>
      <w:r w:rsidR="007C2539">
        <w:rPr>
          <w:lang w:val="de-DE"/>
        </w:rPr>
        <w:t>,</w:t>
      </w:r>
      <w:r w:rsidR="00883962">
        <w:rPr>
          <w:lang w:val="de-DE"/>
        </w:rPr>
        <w:t xml:space="preserve"> teil</w:t>
      </w:r>
      <w:r w:rsidR="00A04EFC" w:rsidRPr="00301FCF">
        <w:rPr>
          <w:lang w:val="de-DE"/>
        </w:rPr>
        <w:t>.</w:t>
      </w:r>
    </w:p>
    <w:p w:rsidR="007B64A3" w:rsidRPr="00301FCF" w:rsidRDefault="007B64A3" w:rsidP="007B64A3">
      <w:pPr>
        <w:rPr>
          <w:lang w:val="de-DE"/>
        </w:rPr>
      </w:pPr>
    </w:p>
    <w:p w:rsidR="00DF0208" w:rsidRPr="00301FCF" w:rsidRDefault="004A094B" w:rsidP="00D17D82">
      <w:pPr>
        <w:rPr>
          <w:lang w:val="de-DE"/>
        </w:rPr>
      </w:pPr>
      <w:r w:rsidRPr="006054BD">
        <w:fldChar w:fldCharType="begin"/>
      </w:r>
      <w:r w:rsidR="00DF0208" w:rsidRPr="00301FCF">
        <w:rPr>
          <w:lang w:val="de-DE"/>
        </w:rPr>
        <w:instrText xml:space="preserve"> AUTONUM  </w:instrText>
      </w:r>
      <w:r w:rsidRPr="006054BD">
        <w:fldChar w:fldCharType="end"/>
      </w:r>
      <w:r w:rsidR="00DF0208" w:rsidRPr="00301FCF">
        <w:rPr>
          <w:lang w:val="de-DE"/>
        </w:rPr>
        <w:tab/>
      </w:r>
      <w:r w:rsidR="00C56C8F" w:rsidRPr="00301FCF">
        <w:rPr>
          <w:lang w:val="de-DE"/>
        </w:rPr>
        <w:t>Am</w:t>
      </w:r>
      <w:r w:rsidR="00DF0208" w:rsidRPr="00301FCF">
        <w:rPr>
          <w:lang w:val="de-DE"/>
        </w:rPr>
        <w:t xml:space="preserve"> </w:t>
      </w:r>
      <w:r w:rsidR="00301FCF" w:rsidRPr="00301FCF">
        <w:rPr>
          <w:lang w:val="de-DE"/>
        </w:rPr>
        <w:t>19. Oktober kam das Büro in Genf mit Herrn Juan Manuel Escalante, Ber</w:t>
      </w:r>
      <w:r w:rsidR="00883962">
        <w:rPr>
          <w:lang w:val="de-DE"/>
        </w:rPr>
        <w:t>ater, Ständige Vertretung Ec</w:t>
      </w:r>
      <w:r w:rsidR="00301FCF" w:rsidRPr="00301FCF">
        <w:rPr>
          <w:lang w:val="de-DE"/>
        </w:rPr>
        <w:t>uador</w:t>
      </w:r>
      <w:r w:rsidR="00D17D82">
        <w:rPr>
          <w:lang w:val="de-DE"/>
        </w:rPr>
        <w:t>s</w:t>
      </w:r>
      <w:r w:rsidR="00301FCF" w:rsidRPr="00301FCF">
        <w:rPr>
          <w:lang w:val="de-DE"/>
        </w:rPr>
        <w:t xml:space="preserve"> bei der Welthandelsorganisation (WTO) zusammen. Herr Escalante berichtete über Entwicklungen bezüglich der Erhöhung der Gebühren für Züchterrechte in Ecuador</w:t>
      </w:r>
      <w:r w:rsidR="00F71DB7" w:rsidRPr="00301FCF">
        <w:rPr>
          <w:lang w:val="de-DE"/>
        </w:rPr>
        <w:t>.</w:t>
      </w:r>
    </w:p>
    <w:p w:rsidR="00906084" w:rsidRPr="00301FCF" w:rsidRDefault="00906084" w:rsidP="007B64A3">
      <w:pPr>
        <w:rPr>
          <w:rFonts w:cs="Arial"/>
          <w:lang w:val="de-DE"/>
        </w:rPr>
      </w:pPr>
    </w:p>
    <w:p w:rsidR="00906084" w:rsidRPr="00301FCF" w:rsidRDefault="004A094B" w:rsidP="007C2539">
      <w:pPr>
        <w:rPr>
          <w:lang w:val="de-DE"/>
        </w:rPr>
      </w:pPr>
      <w:r w:rsidRPr="006054BD">
        <w:fldChar w:fldCharType="begin"/>
      </w:r>
      <w:r w:rsidR="00906084" w:rsidRPr="00301FCF">
        <w:rPr>
          <w:lang w:val="de-DE"/>
        </w:rPr>
        <w:instrText xml:space="preserve"> AUTONUM  </w:instrText>
      </w:r>
      <w:r w:rsidRPr="006054BD">
        <w:fldChar w:fldCharType="end"/>
      </w:r>
      <w:r w:rsidR="00906084" w:rsidRPr="00301FCF">
        <w:rPr>
          <w:lang w:val="de-DE"/>
        </w:rPr>
        <w:tab/>
      </w:r>
      <w:r w:rsidR="00C56C8F" w:rsidRPr="00301FCF">
        <w:rPr>
          <w:lang w:val="de-DE"/>
        </w:rPr>
        <w:t>Am</w:t>
      </w:r>
      <w:r w:rsidR="00906084" w:rsidRPr="00301FCF">
        <w:rPr>
          <w:lang w:val="de-DE"/>
        </w:rPr>
        <w:t xml:space="preserve"> </w:t>
      </w:r>
      <w:r w:rsidR="00301FCF" w:rsidRPr="00301FCF">
        <w:rPr>
          <w:lang w:val="de-DE"/>
        </w:rPr>
        <w:t xml:space="preserve">22. Oktober erhielt das Büro in Genf den Besuch von </w:t>
      </w:r>
      <w:r w:rsidR="00883962">
        <w:rPr>
          <w:lang w:val="de-DE"/>
        </w:rPr>
        <w:t xml:space="preserve">Seiner Exzellenz, </w:t>
      </w:r>
      <w:r w:rsidR="00301FCF" w:rsidRPr="00301FCF">
        <w:rPr>
          <w:lang w:val="de-DE"/>
        </w:rPr>
        <w:t xml:space="preserve">Herrn Alfredo Suescum, Botschafter und Ständiger Vertreter von Panama, und Frau Zoraida Rodríguez Montenegro, </w:t>
      </w:r>
      <w:r w:rsidR="00883962">
        <w:rPr>
          <w:lang w:val="de-DE"/>
        </w:rPr>
        <w:t>S</w:t>
      </w:r>
      <w:r w:rsidR="00301FCF" w:rsidRPr="00301FCF">
        <w:rPr>
          <w:lang w:val="de-DE"/>
        </w:rPr>
        <w:t>tellvertretende Ständige Vertreterin von Panama. Bei dieser Gelegenheit hinterlegte Herr Suescum die Beitrittsurkunde Panamas zu der Akte von 1991 des UPOV-Übereinkommens</w:t>
      </w:r>
      <w:r w:rsidR="00AF1D3F" w:rsidRPr="00301FCF">
        <w:rPr>
          <w:lang w:val="de-DE"/>
        </w:rPr>
        <w:t>.</w:t>
      </w:r>
    </w:p>
    <w:p w:rsidR="00DF0208" w:rsidRPr="00301FCF" w:rsidRDefault="00DF0208" w:rsidP="007B64A3">
      <w:pPr>
        <w:rPr>
          <w:lang w:val="de-DE"/>
        </w:rPr>
      </w:pPr>
    </w:p>
    <w:p w:rsidR="007B64A3" w:rsidRPr="00301FCF" w:rsidRDefault="004A094B" w:rsidP="007C2539">
      <w:pPr>
        <w:rPr>
          <w:lang w:val="de-DE"/>
        </w:rPr>
      </w:pPr>
      <w:r w:rsidRPr="006054BD">
        <w:fldChar w:fldCharType="begin"/>
      </w:r>
      <w:r w:rsidR="007B64A3" w:rsidRPr="00301FCF">
        <w:rPr>
          <w:lang w:val="de-DE"/>
        </w:rPr>
        <w:instrText xml:space="preserve"> AUTONUM  </w:instrText>
      </w:r>
      <w:r w:rsidRPr="006054BD">
        <w:fldChar w:fldCharType="end"/>
      </w:r>
      <w:r w:rsidR="007B64A3" w:rsidRPr="00301FCF">
        <w:rPr>
          <w:lang w:val="de-DE"/>
        </w:rPr>
        <w:tab/>
      </w:r>
      <w:r w:rsidR="00C56C8F" w:rsidRPr="00301FCF">
        <w:rPr>
          <w:lang w:val="de-DE"/>
        </w:rPr>
        <w:t>Am</w:t>
      </w:r>
      <w:r w:rsidR="00D4043D" w:rsidRPr="00301FCF">
        <w:rPr>
          <w:lang w:val="de-DE"/>
        </w:rPr>
        <w:t xml:space="preserve"> </w:t>
      </w:r>
      <w:r w:rsidR="00301FCF" w:rsidRPr="00301FCF">
        <w:rPr>
          <w:lang w:val="de-DE"/>
        </w:rPr>
        <w:t>22. Oktober nahm das Büro in Paris, Frankreich, an einem Abendessen im Rahmen einer Studienreise für hochrangige Beamte aus Malaysia, den Phillip</w:t>
      </w:r>
      <w:r w:rsidR="00DE5DFD">
        <w:rPr>
          <w:lang w:val="de-DE"/>
        </w:rPr>
        <w:t>p</w:t>
      </w:r>
      <w:r w:rsidR="00301FCF" w:rsidRPr="00301FCF">
        <w:rPr>
          <w:lang w:val="de-DE"/>
        </w:rPr>
        <w:t xml:space="preserve">inen und Thailand, </w:t>
      </w:r>
      <w:r w:rsidR="008117D3" w:rsidRPr="00301FCF">
        <w:rPr>
          <w:lang w:val="de-DE"/>
        </w:rPr>
        <w:t>organisiert</w:t>
      </w:r>
      <w:r w:rsidR="00883962">
        <w:rPr>
          <w:lang w:val="de-DE"/>
        </w:rPr>
        <w:t xml:space="preserve"> </w:t>
      </w:r>
      <w:r w:rsidR="00301FCF" w:rsidRPr="00301FCF">
        <w:rPr>
          <w:lang w:val="de-DE"/>
        </w:rPr>
        <w:t xml:space="preserve">von der </w:t>
      </w:r>
      <w:r w:rsidR="00301FCF" w:rsidRPr="00301FCF">
        <w:rPr>
          <w:i/>
          <w:iCs/>
          <w:lang w:val="de-DE"/>
        </w:rPr>
        <w:t>Groupe National Interprofessionnel des Semences et Plants</w:t>
      </w:r>
      <w:r w:rsidR="00301FCF" w:rsidRPr="00301FCF">
        <w:rPr>
          <w:lang w:val="de-DE"/>
        </w:rPr>
        <w:t xml:space="preserve"> (GNIS),</w:t>
      </w:r>
      <w:r w:rsidR="008117D3">
        <w:rPr>
          <w:lang w:val="de-DE"/>
        </w:rPr>
        <w:t xml:space="preserve"> teil,</w:t>
      </w:r>
      <w:r w:rsidR="00301FCF" w:rsidRPr="00301FCF">
        <w:rPr>
          <w:lang w:val="de-DE"/>
        </w:rPr>
        <w:t xml:space="preserve"> um die </w:t>
      </w:r>
      <w:r w:rsidR="00D17D82">
        <w:rPr>
          <w:lang w:val="de-DE"/>
        </w:rPr>
        <w:t>Ausarbeitung von Rechtsvorschriften</w:t>
      </w:r>
      <w:r w:rsidR="00301FCF" w:rsidRPr="00301FCF">
        <w:rPr>
          <w:lang w:val="de-DE"/>
        </w:rPr>
        <w:t xml:space="preserve"> in </w:t>
      </w:r>
      <w:r w:rsidR="007C2539">
        <w:rPr>
          <w:lang w:val="de-DE"/>
        </w:rPr>
        <w:t>deren</w:t>
      </w:r>
      <w:r w:rsidR="00301FCF" w:rsidRPr="00301FCF">
        <w:rPr>
          <w:lang w:val="de-DE"/>
        </w:rPr>
        <w:t xml:space="preserve"> jeweiligen Ländern</w:t>
      </w:r>
      <w:r w:rsidR="00883962">
        <w:rPr>
          <w:lang w:val="de-DE"/>
        </w:rPr>
        <w:t xml:space="preserve"> zu erörtern</w:t>
      </w:r>
      <w:r w:rsidR="00AF1D3F" w:rsidRPr="00301FCF">
        <w:rPr>
          <w:lang w:val="de-DE"/>
        </w:rPr>
        <w:t>.</w:t>
      </w:r>
    </w:p>
    <w:p w:rsidR="007B64A3" w:rsidRPr="00301FCF" w:rsidRDefault="007B64A3" w:rsidP="007B64A3">
      <w:pPr>
        <w:rPr>
          <w:lang w:val="de-DE"/>
        </w:rPr>
      </w:pPr>
    </w:p>
    <w:p w:rsidR="00236F1B" w:rsidRPr="00301FCF" w:rsidRDefault="004A094B" w:rsidP="007C2539">
      <w:pPr>
        <w:rPr>
          <w:lang w:val="de-DE"/>
        </w:rPr>
      </w:pPr>
      <w:r w:rsidRPr="006054BD">
        <w:fldChar w:fldCharType="begin"/>
      </w:r>
      <w:r w:rsidR="00236F1B" w:rsidRPr="00301FCF">
        <w:rPr>
          <w:lang w:val="de-DE"/>
        </w:rPr>
        <w:instrText xml:space="preserve"> AUTONUM  </w:instrText>
      </w:r>
      <w:r w:rsidRPr="006054BD">
        <w:fldChar w:fldCharType="end"/>
      </w:r>
      <w:r w:rsidR="00236F1B" w:rsidRPr="00301FCF">
        <w:rPr>
          <w:lang w:val="de-DE"/>
        </w:rPr>
        <w:tab/>
      </w:r>
      <w:r w:rsidR="00C56C8F" w:rsidRPr="00301FCF">
        <w:rPr>
          <w:lang w:val="de-DE"/>
        </w:rPr>
        <w:t>Am</w:t>
      </w:r>
      <w:r w:rsidR="00236F1B" w:rsidRPr="00301FCF">
        <w:rPr>
          <w:lang w:val="de-DE"/>
        </w:rPr>
        <w:t xml:space="preserve"> </w:t>
      </w:r>
      <w:r w:rsidR="00301FCF" w:rsidRPr="00301FCF">
        <w:rPr>
          <w:lang w:val="de-DE"/>
        </w:rPr>
        <w:t xml:space="preserve">23. Oktober nahm das Büro an </w:t>
      </w:r>
      <w:r w:rsidR="00883962">
        <w:rPr>
          <w:lang w:val="de-DE"/>
        </w:rPr>
        <w:t>einer Webkonferenz mit Studienteilnehmern</w:t>
      </w:r>
      <w:r w:rsidR="00301FCF" w:rsidRPr="00301FCF">
        <w:rPr>
          <w:lang w:val="de-DE"/>
        </w:rPr>
        <w:t xml:space="preserve"> des JICA</w:t>
      </w:r>
      <w:r w:rsidR="00301FCF" w:rsidRPr="00301FCF">
        <w:rPr>
          <w:rFonts w:ascii="MS Gothic" w:eastAsia="MS Gothic" w:hAnsi="MS Gothic" w:cs="MS Gothic" w:hint="eastAsia"/>
          <w:lang w:val="de-DE"/>
        </w:rPr>
        <w:t>‑</w:t>
      </w:r>
      <w:r w:rsidR="00301FCF" w:rsidRPr="00301FCF">
        <w:rPr>
          <w:rFonts w:cs="Arial"/>
          <w:lang w:val="de-DE"/>
        </w:rPr>
        <w:t xml:space="preserve">Ausbildungslehrgangs </w:t>
      </w:r>
      <w:r w:rsidR="007C2539">
        <w:rPr>
          <w:lang w:val="de-DE"/>
        </w:rPr>
        <w:t>teil</w:t>
      </w:r>
      <w:r w:rsidR="007C2539" w:rsidRPr="00301FCF">
        <w:rPr>
          <w:rFonts w:cs="Arial"/>
          <w:lang w:val="de-DE"/>
        </w:rPr>
        <w:t xml:space="preserve"> </w:t>
      </w:r>
      <w:r w:rsidR="00301FCF" w:rsidRPr="00301FCF">
        <w:rPr>
          <w:rFonts w:cs="Arial"/>
          <w:lang w:val="de-DE"/>
        </w:rPr>
        <w:t>(vergleiche Absatz 80</w:t>
      </w:r>
      <w:r w:rsidR="00236F1B" w:rsidRPr="00301FCF">
        <w:rPr>
          <w:lang w:val="de-DE"/>
        </w:rPr>
        <w:t>).</w:t>
      </w:r>
    </w:p>
    <w:p w:rsidR="00236F1B" w:rsidRPr="00301FCF" w:rsidRDefault="00236F1B" w:rsidP="00236F1B">
      <w:pPr>
        <w:rPr>
          <w:lang w:val="de-DE"/>
        </w:rPr>
      </w:pPr>
    </w:p>
    <w:p w:rsidR="007B64A3" w:rsidRPr="006D028B" w:rsidRDefault="004A094B" w:rsidP="00883962">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6D028B">
        <w:rPr>
          <w:lang w:val="de-DE"/>
        </w:rPr>
        <w:t>Ebenfalls</w:t>
      </w:r>
      <w:r w:rsidR="00236F1B" w:rsidRPr="006D028B">
        <w:rPr>
          <w:lang w:val="de-DE"/>
        </w:rPr>
        <w:t xml:space="preserve"> </w:t>
      </w:r>
      <w:r w:rsidR="006D028B" w:rsidRPr="006D028B">
        <w:rPr>
          <w:rFonts w:cs="Arial"/>
          <w:lang w:val="de-DE"/>
        </w:rPr>
        <w:t xml:space="preserve">am 23. Oktober hielt das Büro in Maputo, Mosambik, </w:t>
      </w:r>
      <w:r w:rsidR="00883962" w:rsidRPr="006D028B">
        <w:rPr>
          <w:rFonts w:cs="Arial"/>
          <w:lang w:val="de-DE"/>
        </w:rPr>
        <w:t xml:space="preserve">ein Referat </w:t>
      </w:r>
      <w:r w:rsidR="006D028B" w:rsidRPr="006D028B">
        <w:rPr>
          <w:rFonts w:cs="Arial"/>
          <w:lang w:val="de-DE"/>
        </w:rPr>
        <w:t xml:space="preserve">über Züchterrechte und das UPOV-Übereinkommen auf dem nationalen Seminar der WIPO über die Auswirkungen des </w:t>
      </w:r>
      <w:r w:rsidR="006D028B" w:rsidRPr="006D028B">
        <w:rPr>
          <w:lang w:val="de-DE"/>
        </w:rPr>
        <w:t>Vertrags über die internationale Zusammenarbeit auf dem Gebiet des Patentwesens (PCT) auf die Forschung</w:t>
      </w:r>
      <w:r w:rsidR="00773CB9" w:rsidRPr="006D028B">
        <w:rPr>
          <w:lang w:val="de-DE"/>
        </w:rPr>
        <w:t>.</w:t>
      </w:r>
    </w:p>
    <w:p w:rsidR="00277F1E" w:rsidRPr="006D028B" w:rsidRDefault="00277F1E" w:rsidP="007B64A3">
      <w:pPr>
        <w:rPr>
          <w:lang w:val="de-DE"/>
        </w:rPr>
      </w:pPr>
    </w:p>
    <w:p w:rsidR="00527810" w:rsidRPr="006D028B" w:rsidRDefault="004A094B" w:rsidP="00883962">
      <w:pPr>
        <w:rPr>
          <w:lang w:val="de-DE"/>
        </w:rPr>
      </w:pPr>
      <w:r w:rsidRPr="006054BD">
        <w:fldChar w:fldCharType="begin"/>
      </w:r>
      <w:r w:rsidR="00527810" w:rsidRPr="006D028B">
        <w:rPr>
          <w:lang w:val="de-DE"/>
        </w:rPr>
        <w:instrText xml:space="preserve"> AUTONUM  </w:instrText>
      </w:r>
      <w:r w:rsidRPr="006054BD">
        <w:fldChar w:fldCharType="end"/>
      </w:r>
      <w:r w:rsidR="00527810" w:rsidRPr="006D028B">
        <w:rPr>
          <w:lang w:val="de-DE"/>
        </w:rPr>
        <w:tab/>
      </w:r>
      <w:r w:rsidR="00C56C8F" w:rsidRPr="006D028B">
        <w:rPr>
          <w:lang w:val="de-DE"/>
        </w:rPr>
        <w:t>Am</w:t>
      </w:r>
      <w:r w:rsidR="00527810" w:rsidRPr="006D028B">
        <w:rPr>
          <w:lang w:val="de-DE"/>
        </w:rPr>
        <w:t xml:space="preserve"> </w:t>
      </w:r>
      <w:r w:rsidR="006D028B" w:rsidRPr="006D028B">
        <w:rPr>
          <w:lang w:val="de-DE"/>
        </w:rPr>
        <w:t>24. Oktober kam das Büro, ebenfalls in Maputo, mit Vertretern des Landw</w:t>
      </w:r>
      <w:r w:rsidR="007C2539">
        <w:rPr>
          <w:lang w:val="de-DE"/>
        </w:rPr>
        <w:t>irtschaftsministeriums und des N</w:t>
      </w:r>
      <w:r w:rsidR="006D028B" w:rsidRPr="006D028B">
        <w:rPr>
          <w:lang w:val="de-DE"/>
        </w:rPr>
        <w:t>ationalen Instituts für landwirtschaftliche Forschung von Mosambik</w:t>
      </w:r>
      <w:r w:rsidR="00883962">
        <w:rPr>
          <w:lang w:val="de-DE"/>
        </w:rPr>
        <w:t xml:space="preserve"> zusammen</w:t>
      </w:r>
      <w:r w:rsidR="006D028B" w:rsidRPr="006D028B">
        <w:rPr>
          <w:lang w:val="de-DE"/>
        </w:rPr>
        <w:t>. Es wurden Vorträge über das UPOV</w:t>
      </w:r>
      <w:r w:rsidR="006D028B" w:rsidRPr="006D028B">
        <w:rPr>
          <w:rFonts w:ascii="MS Gothic" w:eastAsia="MS Gothic" w:hAnsi="MS Gothic" w:cs="MS Gothic" w:hint="eastAsia"/>
          <w:lang w:val="de-DE"/>
        </w:rPr>
        <w:t>‑</w:t>
      </w:r>
      <w:r w:rsidR="006D028B" w:rsidRPr="006D028B">
        <w:rPr>
          <w:rFonts w:cs="Arial"/>
          <w:lang w:val="de-DE"/>
        </w:rPr>
        <w:t>Übereinkommen und die Auswirkungen des Sortenschutzes</w:t>
      </w:r>
      <w:r w:rsidR="00883962">
        <w:rPr>
          <w:rFonts w:cs="Arial"/>
          <w:lang w:val="de-DE"/>
        </w:rPr>
        <w:t xml:space="preserve"> gehalten</w:t>
      </w:r>
      <w:r w:rsidR="006D028B" w:rsidRPr="006D028B">
        <w:rPr>
          <w:lang w:val="de-DE"/>
        </w:rPr>
        <w:t xml:space="preserve"> und Anleitung über das Verfahren für den Beitritt zur UPOV</w:t>
      </w:r>
      <w:r w:rsidR="00883962">
        <w:rPr>
          <w:lang w:val="de-DE"/>
        </w:rPr>
        <w:t xml:space="preserve"> erteilt</w:t>
      </w:r>
      <w:r w:rsidR="0054488B" w:rsidRPr="006D028B">
        <w:rPr>
          <w:lang w:val="de-DE"/>
        </w:rPr>
        <w:t>.</w:t>
      </w:r>
    </w:p>
    <w:p w:rsidR="007B64A3" w:rsidRPr="006D028B" w:rsidRDefault="007B64A3" w:rsidP="007B64A3">
      <w:pPr>
        <w:rPr>
          <w:lang w:val="de-DE"/>
        </w:rPr>
      </w:pPr>
    </w:p>
    <w:p w:rsidR="00D57452" w:rsidRPr="006D028B" w:rsidRDefault="004A094B" w:rsidP="00883962">
      <w:pPr>
        <w:rPr>
          <w:lang w:val="de-DE"/>
        </w:rPr>
      </w:pPr>
      <w:r w:rsidRPr="006054BD">
        <w:fldChar w:fldCharType="begin"/>
      </w:r>
      <w:r w:rsidR="00D57452" w:rsidRPr="006D028B">
        <w:rPr>
          <w:lang w:val="de-DE"/>
        </w:rPr>
        <w:instrText xml:space="preserve"> AUTONUM  </w:instrText>
      </w:r>
      <w:r w:rsidRPr="006054BD">
        <w:fldChar w:fldCharType="end"/>
      </w:r>
      <w:r w:rsidR="00D57452" w:rsidRPr="006D028B">
        <w:rPr>
          <w:lang w:val="de-DE"/>
        </w:rPr>
        <w:tab/>
      </w:r>
      <w:r w:rsidR="00C56C8F" w:rsidRPr="006D028B">
        <w:rPr>
          <w:lang w:val="de-DE"/>
        </w:rPr>
        <w:t>Am</w:t>
      </w:r>
      <w:r w:rsidR="00D57452" w:rsidRPr="006D028B">
        <w:rPr>
          <w:lang w:val="de-DE"/>
        </w:rPr>
        <w:t xml:space="preserve"> </w:t>
      </w:r>
      <w:r w:rsidR="006D028B" w:rsidRPr="006D028B">
        <w:rPr>
          <w:lang w:val="de-DE"/>
        </w:rPr>
        <w:t>26. Oktober kam das Büro in Genf mit Frau Catherine Saez, Journalistin</w:t>
      </w:r>
      <w:r w:rsidR="008117D3">
        <w:rPr>
          <w:lang w:val="de-DE"/>
        </w:rPr>
        <w:t>,</w:t>
      </w:r>
      <w:r w:rsidR="00883962">
        <w:rPr>
          <w:lang w:val="de-DE"/>
        </w:rPr>
        <w:t xml:space="preserve"> zusammen</w:t>
      </w:r>
      <w:r w:rsidR="006D028B" w:rsidRPr="006D028B">
        <w:rPr>
          <w:lang w:val="de-DE"/>
        </w:rPr>
        <w:t>,</w:t>
      </w:r>
      <w:r w:rsidR="00883962">
        <w:rPr>
          <w:lang w:val="de-DE"/>
        </w:rPr>
        <w:t xml:space="preserve"> um</w:t>
      </w:r>
      <w:r w:rsidR="006D028B" w:rsidRPr="006D028B">
        <w:rPr>
          <w:lang w:val="de-DE"/>
        </w:rPr>
        <w:t xml:space="preserve"> einen etwaigen Artikel über die UPOV in IP Watch</w:t>
      </w:r>
      <w:r w:rsidR="00883962">
        <w:rPr>
          <w:lang w:val="de-DE"/>
        </w:rPr>
        <w:t xml:space="preserve"> zu erörtern</w:t>
      </w:r>
      <w:r w:rsidR="006A1C56" w:rsidRPr="006D028B">
        <w:rPr>
          <w:lang w:val="de-DE"/>
        </w:rPr>
        <w:t xml:space="preserve">. </w:t>
      </w:r>
    </w:p>
    <w:p w:rsidR="00EC17A9" w:rsidRPr="006D028B" w:rsidRDefault="00EC17A9" w:rsidP="007B64A3">
      <w:pPr>
        <w:rPr>
          <w:lang w:val="de-DE"/>
        </w:rPr>
      </w:pPr>
    </w:p>
    <w:p w:rsidR="00EC17A9" w:rsidRPr="006D028B" w:rsidRDefault="004A094B" w:rsidP="00883962">
      <w:pPr>
        <w:rPr>
          <w:lang w:val="de-DE"/>
        </w:rPr>
      </w:pPr>
      <w:r w:rsidRPr="006054BD">
        <w:fldChar w:fldCharType="begin"/>
      </w:r>
      <w:r w:rsidR="00EC17A9" w:rsidRPr="006D028B">
        <w:rPr>
          <w:lang w:val="de-DE"/>
        </w:rPr>
        <w:instrText xml:space="preserve"> AUTONUM  </w:instrText>
      </w:r>
      <w:r w:rsidRPr="006054BD">
        <w:fldChar w:fldCharType="end"/>
      </w:r>
      <w:r w:rsidR="00EC17A9" w:rsidRPr="006D028B">
        <w:rPr>
          <w:lang w:val="de-DE"/>
        </w:rPr>
        <w:tab/>
      </w:r>
      <w:r w:rsidR="00C56C8F" w:rsidRPr="006D028B">
        <w:rPr>
          <w:lang w:val="de-DE"/>
        </w:rPr>
        <w:t>Am</w:t>
      </w:r>
      <w:r w:rsidR="00EC17A9" w:rsidRPr="006D028B">
        <w:rPr>
          <w:lang w:val="de-DE"/>
        </w:rPr>
        <w:t xml:space="preserve"> </w:t>
      </w:r>
      <w:r w:rsidR="006D028B" w:rsidRPr="006D028B">
        <w:rPr>
          <w:lang w:val="de-DE"/>
        </w:rPr>
        <w:t xml:space="preserve">29. Oktober kam das Büro in Genf mit einer Delegation aus der Dominikanischen Republik </w:t>
      </w:r>
      <w:r w:rsidR="00883962">
        <w:rPr>
          <w:lang w:val="de-DE"/>
        </w:rPr>
        <w:t xml:space="preserve">zusammen </w:t>
      </w:r>
      <w:r w:rsidR="006D028B" w:rsidRPr="006D028B">
        <w:rPr>
          <w:lang w:val="de-DE"/>
        </w:rPr>
        <w:t xml:space="preserve">und wurde von Änderungen </w:t>
      </w:r>
      <w:r w:rsidR="00883962">
        <w:rPr>
          <w:lang w:val="de-DE"/>
        </w:rPr>
        <w:t>bezüglich</w:t>
      </w:r>
      <w:r w:rsidR="006D028B" w:rsidRPr="006D028B">
        <w:rPr>
          <w:lang w:val="de-DE"/>
        </w:rPr>
        <w:t xml:space="preserve"> der </w:t>
      </w:r>
      <w:r w:rsidR="00883962">
        <w:rPr>
          <w:lang w:val="de-DE"/>
        </w:rPr>
        <w:t>V</w:t>
      </w:r>
      <w:r w:rsidR="006D028B" w:rsidRPr="006D028B">
        <w:rPr>
          <w:lang w:val="de-DE"/>
        </w:rPr>
        <w:t>ertretung der Dominikanischen Republik im UPOV-Rat</w:t>
      </w:r>
      <w:r w:rsidR="00883962">
        <w:rPr>
          <w:lang w:val="de-DE"/>
        </w:rPr>
        <w:t xml:space="preserve"> </w:t>
      </w:r>
      <w:r w:rsidR="00883962" w:rsidRPr="006D028B">
        <w:rPr>
          <w:lang w:val="de-DE"/>
        </w:rPr>
        <w:t>unterrichtet</w:t>
      </w:r>
      <w:r w:rsidR="00AB50AA" w:rsidRPr="006D028B">
        <w:rPr>
          <w:lang w:val="de-DE"/>
        </w:rPr>
        <w:t>.</w:t>
      </w:r>
    </w:p>
    <w:p w:rsidR="00D57452" w:rsidRPr="006D028B" w:rsidRDefault="00D57452" w:rsidP="007B64A3">
      <w:pPr>
        <w:rPr>
          <w:lang w:val="de-DE"/>
        </w:rPr>
      </w:pPr>
    </w:p>
    <w:p w:rsidR="00A0430F" w:rsidRPr="006D028B" w:rsidRDefault="004A094B" w:rsidP="006D028B">
      <w:pPr>
        <w:rPr>
          <w:lang w:val="de-DE"/>
        </w:rPr>
      </w:pPr>
      <w:r w:rsidRPr="006054BD">
        <w:fldChar w:fldCharType="begin"/>
      </w:r>
      <w:r w:rsidR="00A0430F" w:rsidRPr="00C34F1F">
        <w:rPr>
          <w:lang w:val="de-DE"/>
        </w:rPr>
        <w:instrText xml:space="preserve"> AUTONUM  </w:instrText>
      </w:r>
      <w:r w:rsidRPr="006054BD">
        <w:fldChar w:fldCharType="end"/>
      </w:r>
      <w:r w:rsidR="00A0430F" w:rsidRPr="00C34F1F">
        <w:rPr>
          <w:lang w:val="de-DE"/>
        </w:rPr>
        <w:tab/>
      </w:r>
      <w:r w:rsidR="00C56C8F" w:rsidRPr="00C56C8F">
        <w:rPr>
          <w:lang w:val="de-DE"/>
        </w:rPr>
        <w:t>Am</w:t>
      </w:r>
      <w:r w:rsidR="00A0430F" w:rsidRPr="00C34F1F">
        <w:rPr>
          <w:lang w:val="de-DE"/>
        </w:rPr>
        <w:t xml:space="preserve"> </w:t>
      </w:r>
      <w:r w:rsidR="006D028B" w:rsidRPr="006D028B">
        <w:rPr>
          <w:lang w:val="de-DE"/>
        </w:rPr>
        <w:t xml:space="preserve">2. November organisierte das Büro in Genf ein Symposium über die Vorteile des Sortenschutzes für Landwirte und Pflanzer. An dem Symposium nahmen 118 Teilnehmer teil </w:t>
      </w:r>
      <w:r w:rsidR="00A0430F" w:rsidRPr="006D028B">
        <w:rPr>
          <w:lang w:val="de-DE"/>
        </w:rPr>
        <w:t>(</w:t>
      </w:r>
      <w:r w:rsidR="006D028B">
        <w:rPr>
          <w:lang w:val="de-DE"/>
        </w:rPr>
        <w:t>vergleiche</w:t>
      </w:r>
      <w:r w:rsidR="00A0430F" w:rsidRPr="006D028B">
        <w:rPr>
          <w:lang w:val="de-DE"/>
        </w:rPr>
        <w:t xml:space="preserve"> </w:t>
      </w:r>
      <w:hyperlink r:id="rId10" w:history="1">
        <w:r w:rsidR="0023631E">
          <w:rPr>
            <w:rStyle w:val="Hyperlink"/>
            <w:lang w:val="de-DE"/>
          </w:rPr>
          <w:t>http://www.upov.int/meetings/de/details.jsp?meeting_id=26104</w:t>
        </w:r>
      </w:hyperlink>
      <w:r w:rsidR="00A0430F" w:rsidRPr="006D028B">
        <w:rPr>
          <w:lang w:val="de-DE"/>
        </w:rPr>
        <w:t>).</w:t>
      </w:r>
    </w:p>
    <w:p w:rsidR="00A0430F" w:rsidRPr="006D028B" w:rsidRDefault="00A0430F" w:rsidP="00A0430F">
      <w:pPr>
        <w:rPr>
          <w:lang w:val="de-DE"/>
        </w:rPr>
      </w:pPr>
    </w:p>
    <w:p w:rsidR="0023131A" w:rsidRPr="006D028B" w:rsidRDefault="004A094B" w:rsidP="00883962">
      <w:pPr>
        <w:rPr>
          <w:szCs w:val="24"/>
          <w:lang w:val="de-DE"/>
        </w:rPr>
      </w:pPr>
      <w:r w:rsidRPr="006054BD">
        <w:fldChar w:fldCharType="begin"/>
      </w:r>
      <w:r w:rsidR="00867978" w:rsidRPr="006D028B">
        <w:rPr>
          <w:lang w:val="de-DE"/>
        </w:rPr>
        <w:instrText xml:space="preserve"> AUTONUM  </w:instrText>
      </w:r>
      <w:r w:rsidRPr="006054BD">
        <w:fldChar w:fldCharType="end"/>
      </w:r>
      <w:r w:rsidR="00867978" w:rsidRPr="006D028B">
        <w:rPr>
          <w:lang w:val="de-DE"/>
        </w:rPr>
        <w:tab/>
      </w:r>
      <w:r w:rsidR="00C56C8F" w:rsidRPr="006D028B">
        <w:rPr>
          <w:lang w:val="de-DE"/>
        </w:rPr>
        <w:t>Am</w:t>
      </w:r>
      <w:r w:rsidR="00867978" w:rsidRPr="006D028B">
        <w:rPr>
          <w:lang w:val="de-DE"/>
        </w:rPr>
        <w:t xml:space="preserve"> </w:t>
      </w:r>
      <w:r w:rsidR="006D028B" w:rsidRPr="006D028B">
        <w:rPr>
          <w:lang w:val="de-DE"/>
        </w:rPr>
        <w:t xml:space="preserve">6. und 7. November nahm das Büro am Hauptsitz der Weltorganisation für geistiges Eigentum (WTO) in Genf an den einschlägigen Teilen </w:t>
      </w:r>
      <w:r w:rsidR="00883962">
        <w:rPr>
          <w:lang w:val="de-DE"/>
        </w:rPr>
        <w:t>der Tagung</w:t>
      </w:r>
      <w:r w:rsidR="006D028B" w:rsidRPr="006D028B">
        <w:rPr>
          <w:lang w:val="de-DE"/>
        </w:rPr>
        <w:t xml:space="preserve"> des Rates für handelsbezogene Aspekte der Rechte des geistigen Eigentums (Rat für TRIPS) teil</w:t>
      </w:r>
      <w:r w:rsidR="00867978" w:rsidRPr="006D028B">
        <w:rPr>
          <w:szCs w:val="24"/>
          <w:lang w:val="de-DE"/>
        </w:rPr>
        <w:t>.</w:t>
      </w:r>
    </w:p>
    <w:p w:rsidR="0023131A" w:rsidRPr="006D028B" w:rsidRDefault="0023131A" w:rsidP="007B64A3">
      <w:pPr>
        <w:rPr>
          <w:szCs w:val="24"/>
          <w:lang w:val="de-DE"/>
        </w:rPr>
      </w:pPr>
    </w:p>
    <w:p w:rsidR="00C00B12" w:rsidRPr="006D028B" w:rsidRDefault="004A094B" w:rsidP="007C2539">
      <w:pPr>
        <w:rPr>
          <w:lang w:val="de-DE"/>
        </w:rPr>
      </w:pPr>
      <w:r w:rsidRPr="006054BD">
        <w:fldChar w:fldCharType="begin"/>
      </w:r>
      <w:r w:rsidR="00C00B12" w:rsidRPr="006D028B">
        <w:rPr>
          <w:lang w:val="de-DE"/>
        </w:rPr>
        <w:instrText xml:space="preserve"> AUTONUM  </w:instrText>
      </w:r>
      <w:r w:rsidRPr="006054BD">
        <w:fldChar w:fldCharType="end"/>
      </w:r>
      <w:r w:rsidR="006D028B">
        <w:rPr>
          <w:lang w:val="de-DE"/>
        </w:rPr>
        <w:tab/>
        <w:t>Vom</w:t>
      </w:r>
      <w:r w:rsidR="00C00B12" w:rsidRPr="006D028B">
        <w:rPr>
          <w:lang w:val="de-DE"/>
        </w:rPr>
        <w:t xml:space="preserve"> </w:t>
      </w:r>
      <w:r w:rsidR="006D028B" w:rsidRPr="006D028B">
        <w:rPr>
          <w:lang w:val="de-DE"/>
        </w:rPr>
        <w:t xml:space="preserve">6. bis 9. November nahm das Büro in Kuta, Indonesien, am </w:t>
      </w:r>
      <w:r w:rsidR="007C2539">
        <w:rPr>
          <w:lang w:val="de-DE"/>
        </w:rPr>
        <w:t xml:space="preserve">Kongreß </w:t>
      </w:r>
      <w:r w:rsidR="006D028B" w:rsidRPr="006D028B">
        <w:rPr>
          <w:lang w:val="de-DE"/>
        </w:rPr>
        <w:t xml:space="preserve">der Saatgutvereinigung für Asien und den Pazifik (APSA) teil und hielt einen Vortrag über </w:t>
      </w:r>
      <w:r w:rsidR="008117D3">
        <w:rPr>
          <w:lang w:val="de-DE"/>
        </w:rPr>
        <w:t xml:space="preserve">die </w:t>
      </w:r>
      <w:r w:rsidR="006D028B" w:rsidRPr="006D028B">
        <w:rPr>
          <w:lang w:val="de-DE"/>
        </w:rPr>
        <w:t>jüngste</w:t>
      </w:r>
      <w:r w:rsidR="008117D3">
        <w:rPr>
          <w:lang w:val="de-DE"/>
        </w:rPr>
        <w:t>n</w:t>
      </w:r>
      <w:r w:rsidR="006D028B" w:rsidRPr="006D028B">
        <w:rPr>
          <w:lang w:val="de-DE"/>
        </w:rPr>
        <w:t xml:space="preserve"> Entwicklungen in der UPOV bei dem Ständigen Ausschuss für Rechte des geistigen Eigentums</w:t>
      </w:r>
      <w:r w:rsidR="00C00B12" w:rsidRPr="006D028B">
        <w:rPr>
          <w:lang w:val="de-DE"/>
        </w:rPr>
        <w:t>.</w:t>
      </w:r>
    </w:p>
    <w:p w:rsidR="00C00B12" w:rsidRPr="006D028B" w:rsidRDefault="00C00B12" w:rsidP="00C00B12">
      <w:pPr>
        <w:rPr>
          <w:lang w:val="de-DE"/>
        </w:rPr>
      </w:pPr>
    </w:p>
    <w:p w:rsidR="007B64A3" w:rsidRPr="006D028B" w:rsidRDefault="004A094B" w:rsidP="007C2539">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6D028B">
        <w:rPr>
          <w:lang w:val="de-DE"/>
        </w:rPr>
        <w:t>V</w:t>
      </w:r>
      <w:r w:rsidR="00DC300B" w:rsidRPr="006D028B">
        <w:rPr>
          <w:lang w:val="de-DE"/>
        </w:rPr>
        <w:t xml:space="preserve">om </w:t>
      </w:r>
      <w:r w:rsidR="006D028B" w:rsidRPr="006D028B">
        <w:rPr>
          <w:lang w:val="de-DE"/>
        </w:rPr>
        <w:t>13. bis 15. November nahm das Büro in Antalya, Türkei, als Beobachter, an der fünften Ministerialtagung der Organisation für wirtschaftliche Zusammenarbeit (ECO) über Landwirtschaft und der zweiten Spenderkonferenz über die Umsetzung des Regionalen Programms für Nahrungsmittelsicherung (RPFS)</w:t>
      </w:r>
      <w:r w:rsidR="00EA581C">
        <w:rPr>
          <w:lang w:val="de-DE"/>
        </w:rPr>
        <w:t xml:space="preserve"> teil</w:t>
      </w:r>
      <w:r w:rsidR="006D028B" w:rsidRPr="006D028B">
        <w:rPr>
          <w:lang w:val="de-DE"/>
        </w:rPr>
        <w:t xml:space="preserve">. An diesen Veranstaltungen nahmen Teilnehmer aus Afghanistan, Aserbaidschan, Iran (Islamische Republik), </w:t>
      </w:r>
      <w:r w:rsidR="00E2083C">
        <w:rPr>
          <w:lang w:val="de-DE"/>
        </w:rPr>
        <w:t>Kirgisistan</w:t>
      </w:r>
      <w:r w:rsidR="006D028B" w:rsidRPr="006D028B">
        <w:rPr>
          <w:lang w:val="de-DE"/>
        </w:rPr>
        <w:t>, Pakistan, Tadschikistan</w:t>
      </w:r>
      <w:r w:rsidR="008117D3">
        <w:rPr>
          <w:lang w:val="de-DE"/>
        </w:rPr>
        <w:t xml:space="preserve">, </w:t>
      </w:r>
      <w:r w:rsidR="006D028B" w:rsidRPr="006D028B">
        <w:rPr>
          <w:lang w:val="de-DE"/>
        </w:rPr>
        <w:t>T</w:t>
      </w:r>
      <w:r w:rsidR="007C2539">
        <w:rPr>
          <w:lang w:val="de-DE"/>
        </w:rPr>
        <w:t>ü</w:t>
      </w:r>
      <w:r w:rsidR="006D028B" w:rsidRPr="006D028B">
        <w:rPr>
          <w:lang w:val="de-DE"/>
        </w:rPr>
        <w:t>rkei</w:t>
      </w:r>
      <w:r w:rsidR="008117D3">
        <w:rPr>
          <w:lang w:val="de-DE"/>
        </w:rPr>
        <w:t xml:space="preserve"> und </w:t>
      </w:r>
      <w:r w:rsidR="008117D3" w:rsidRPr="006D028B">
        <w:rPr>
          <w:lang w:val="de-DE"/>
        </w:rPr>
        <w:t>Zypern</w:t>
      </w:r>
      <w:r w:rsidR="006D028B" w:rsidRPr="006D028B">
        <w:rPr>
          <w:lang w:val="de-DE"/>
        </w:rPr>
        <w:t xml:space="preserve"> </w:t>
      </w:r>
      <w:r w:rsidR="007C2539">
        <w:rPr>
          <w:lang w:val="de-DE"/>
        </w:rPr>
        <w:t>sowie</w:t>
      </w:r>
      <w:r w:rsidR="006D028B" w:rsidRPr="006D028B">
        <w:rPr>
          <w:lang w:val="de-DE"/>
        </w:rPr>
        <w:t xml:space="preserve"> von den folgenden Organisationen teil: </w:t>
      </w:r>
      <w:r w:rsidR="008117D3">
        <w:rPr>
          <w:lang w:val="de-DE"/>
        </w:rPr>
        <w:t>S</w:t>
      </w:r>
      <w:r w:rsidR="006D028B" w:rsidRPr="006D028B">
        <w:rPr>
          <w:lang w:val="de-DE"/>
        </w:rPr>
        <w:t xml:space="preserve">aatgutvereinigung der ECO (ECOSA), Handels- und Entwicklungsbank der ECO, </w:t>
      </w:r>
      <w:r w:rsidR="00D17D82" w:rsidRPr="00D17D82">
        <w:rPr>
          <w:lang w:val="de-DE"/>
        </w:rPr>
        <w:t xml:space="preserve">Europäische Bank für Wiederaufbau und Entwicklung </w:t>
      </w:r>
      <w:r w:rsidR="00EA581C" w:rsidRPr="00D17D82">
        <w:rPr>
          <w:lang w:val="de-DE"/>
        </w:rPr>
        <w:t>(EBRD</w:t>
      </w:r>
      <w:r w:rsidR="00EA581C">
        <w:rPr>
          <w:lang w:val="de-DE"/>
        </w:rPr>
        <w:t>),</w:t>
      </w:r>
      <w:r w:rsidR="006D028B" w:rsidRPr="006D028B">
        <w:rPr>
          <w:lang w:val="de-DE"/>
        </w:rPr>
        <w:t xml:space="preserve"> FAO, Internationale</w:t>
      </w:r>
      <w:r w:rsidR="008117D3">
        <w:rPr>
          <w:lang w:val="de-DE"/>
        </w:rPr>
        <w:t>s</w:t>
      </w:r>
      <w:r w:rsidR="006D028B" w:rsidRPr="006D028B">
        <w:rPr>
          <w:lang w:val="de-DE"/>
        </w:rPr>
        <w:t xml:space="preserve"> Zentrum für landwirtschaftliche Forschung in Dürregebieten (ICARDA)</w:t>
      </w:r>
      <w:r w:rsidR="00EA581C">
        <w:rPr>
          <w:lang w:val="de-DE"/>
        </w:rPr>
        <w:t xml:space="preserve">, </w:t>
      </w:r>
      <w:r w:rsidR="006D028B" w:rsidRPr="006D028B">
        <w:rPr>
          <w:lang w:val="de-DE"/>
        </w:rPr>
        <w:t>Islamische Entwicklungsbank</w:t>
      </w:r>
      <w:r w:rsidR="00EA581C">
        <w:rPr>
          <w:lang w:val="de-DE"/>
        </w:rPr>
        <w:t xml:space="preserve"> (IDB)</w:t>
      </w:r>
      <w:r w:rsidR="006D028B" w:rsidRPr="006D028B">
        <w:rPr>
          <w:lang w:val="de-DE"/>
        </w:rPr>
        <w:t xml:space="preserve">, Entwicklungsprogramm der Vereinten Nationen (UNDP), Organisation der Vereinten Nationen für industrielle Entwicklung (UNIDO), </w:t>
      </w:r>
      <w:r w:rsidR="00EA581C">
        <w:rPr>
          <w:lang w:val="de-DE"/>
        </w:rPr>
        <w:t xml:space="preserve">UPOV, Weltbank, </w:t>
      </w:r>
      <w:r w:rsidR="006D028B" w:rsidRPr="006D028B">
        <w:rPr>
          <w:lang w:val="de-DE"/>
        </w:rPr>
        <w:t>Weltorganisation für Tiergesundheit (OIE)</w:t>
      </w:r>
      <w:r w:rsidR="00304B03" w:rsidRPr="006D028B">
        <w:rPr>
          <w:lang w:val="de-DE"/>
        </w:rPr>
        <w:t>.</w:t>
      </w:r>
    </w:p>
    <w:p w:rsidR="007B64A3" w:rsidRPr="006D028B" w:rsidRDefault="007B64A3" w:rsidP="007B64A3">
      <w:pPr>
        <w:rPr>
          <w:lang w:val="de-DE"/>
        </w:rPr>
      </w:pPr>
    </w:p>
    <w:p w:rsidR="007B64A3" w:rsidRPr="006D028B" w:rsidRDefault="004A094B" w:rsidP="00E54B7C">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6D028B">
        <w:rPr>
          <w:lang w:val="de-DE"/>
        </w:rPr>
        <w:t>Vom</w:t>
      </w:r>
      <w:r w:rsidR="00055EB3" w:rsidRPr="006D028B">
        <w:rPr>
          <w:lang w:val="de-DE"/>
        </w:rPr>
        <w:t xml:space="preserve"> </w:t>
      </w:r>
      <w:r w:rsidR="006D028B" w:rsidRPr="006D028B">
        <w:rPr>
          <w:lang w:val="de-DE"/>
        </w:rPr>
        <w:t>14. bis 16. November nahm das Büro in Rom, Italien, an der sechste</w:t>
      </w:r>
      <w:r w:rsidR="00EA581C">
        <w:rPr>
          <w:lang w:val="de-DE"/>
        </w:rPr>
        <w:t>n</w:t>
      </w:r>
      <w:r w:rsidR="006D028B" w:rsidRPr="006D028B">
        <w:rPr>
          <w:lang w:val="de-DE"/>
        </w:rPr>
        <w:t xml:space="preserve"> Tagung der Zwischenstaatlichen Technischen Arbeitsgruppe für pflanzengenetische Ressourcen für Ernährung und Landwirtschaft (ITWG-PGRFA) der FAO-Kommission für genetische Ressourcen </w:t>
      </w:r>
      <w:r w:rsidR="008117D3">
        <w:rPr>
          <w:lang w:val="de-DE"/>
        </w:rPr>
        <w:t>für</w:t>
      </w:r>
      <w:r w:rsidR="006D028B" w:rsidRPr="006D028B">
        <w:rPr>
          <w:lang w:val="de-DE"/>
        </w:rPr>
        <w:t xml:space="preserve"> Ernährung und Landwirtschaft (CGRFA) teil und erstattete Bericht über Entwicklungen in der UPOV</w:t>
      </w:r>
      <w:r w:rsidR="00DF70FA" w:rsidRPr="006D028B">
        <w:rPr>
          <w:lang w:val="de-DE"/>
        </w:rPr>
        <w:t>.</w:t>
      </w:r>
    </w:p>
    <w:p w:rsidR="007B64A3" w:rsidRPr="006D028B" w:rsidRDefault="007B64A3" w:rsidP="007B64A3">
      <w:pPr>
        <w:rPr>
          <w:lang w:val="de-DE"/>
        </w:rPr>
      </w:pPr>
    </w:p>
    <w:p w:rsidR="007B64A3" w:rsidRPr="006D028B" w:rsidRDefault="004A094B" w:rsidP="008117D3">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C56C8F" w:rsidRPr="006D028B">
        <w:rPr>
          <w:lang w:val="de-DE"/>
        </w:rPr>
        <w:t>Am</w:t>
      </w:r>
      <w:r w:rsidR="00BA09A4" w:rsidRPr="006D028B">
        <w:rPr>
          <w:lang w:val="de-DE"/>
        </w:rPr>
        <w:t xml:space="preserve"> </w:t>
      </w:r>
      <w:r w:rsidR="006D028B" w:rsidRPr="006D028B">
        <w:rPr>
          <w:lang w:val="de-DE"/>
        </w:rPr>
        <w:t>16. November hielt das Büro in München, Deutschland</w:t>
      </w:r>
      <w:r w:rsidR="00EA581C">
        <w:rPr>
          <w:lang w:val="de-DE"/>
        </w:rPr>
        <w:t>,</w:t>
      </w:r>
      <w:r w:rsidR="006D028B" w:rsidRPr="006D028B">
        <w:rPr>
          <w:lang w:val="de-DE"/>
        </w:rPr>
        <w:t xml:space="preserve"> beim Fachausschuß für den Schutz von Pflanzenzüchtungen der Deutschen Vereinigung für gewerblichen Rechtsschutz (GRUR) </w:t>
      </w:r>
      <w:r w:rsidR="008117D3" w:rsidRPr="006D028B">
        <w:rPr>
          <w:lang w:val="de-DE"/>
        </w:rPr>
        <w:t xml:space="preserve">einen Vortrag </w:t>
      </w:r>
      <w:r w:rsidR="006D028B" w:rsidRPr="006D028B">
        <w:rPr>
          <w:lang w:val="de-DE"/>
        </w:rPr>
        <w:t>über jüngste Entwicklungen in der UPOV</w:t>
      </w:r>
      <w:r w:rsidR="00BA09A4" w:rsidRPr="006D028B">
        <w:rPr>
          <w:lang w:val="de-DE"/>
        </w:rPr>
        <w:t>.</w:t>
      </w:r>
    </w:p>
    <w:p w:rsidR="0087517C" w:rsidRPr="006D028B" w:rsidRDefault="0087517C" w:rsidP="007B64A3">
      <w:pPr>
        <w:rPr>
          <w:lang w:val="de-DE"/>
        </w:rPr>
      </w:pPr>
    </w:p>
    <w:p w:rsidR="0087517C" w:rsidRPr="006D028B" w:rsidRDefault="004A094B" w:rsidP="006D028B">
      <w:pPr>
        <w:rPr>
          <w:lang w:val="de-DE"/>
        </w:rPr>
      </w:pPr>
      <w:r w:rsidRPr="006054BD">
        <w:fldChar w:fldCharType="begin"/>
      </w:r>
      <w:r w:rsidR="00D6058C" w:rsidRPr="006D028B">
        <w:rPr>
          <w:lang w:val="de-DE"/>
        </w:rPr>
        <w:instrText xml:space="preserve"> AUTONUM  </w:instrText>
      </w:r>
      <w:r w:rsidRPr="006054BD">
        <w:fldChar w:fldCharType="end"/>
      </w:r>
      <w:r w:rsidR="00D6058C" w:rsidRPr="006D028B">
        <w:rPr>
          <w:lang w:val="de-DE"/>
        </w:rPr>
        <w:tab/>
      </w:r>
      <w:r w:rsidR="00C56C8F" w:rsidRPr="006D028B">
        <w:rPr>
          <w:lang w:val="de-DE"/>
        </w:rPr>
        <w:t>Am</w:t>
      </w:r>
      <w:r w:rsidR="00D6058C" w:rsidRPr="006D028B">
        <w:rPr>
          <w:lang w:val="de-DE"/>
        </w:rPr>
        <w:t xml:space="preserve"> </w:t>
      </w:r>
      <w:r w:rsidR="00EA581C">
        <w:rPr>
          <w:lang w:val="de-DE"/>
        </w:rPr>
        <w:t>16. November nahm das Büro a</w:t>
      </w:r>
      <w:r w:rsidR="006D028B" w:rsidRPr="006D028B">
        <w:rPr>
          <w:lang w:val="de-DE"/>
        </w:rPr>
        <w:t>m WIPO-Hauptsitz in Genf an der Seminarreihe über globale Herausforderungen: Innovation, Nahrungsmittelsicherheit und landwirtschaftliche Entwicklung: Zusammenarbeit und Partnerschaften</w:t>
      </w:r>
      <w:r w:rsidR="004D0024">
        <w:rPr>
          <w:lang w:val="de-DE"/>
        </w:rPr>
        <w:t xml:space="preserve"> teil</w:t>
      </w:r>
      <w:r w:rsidR="006D028B" w:rsidRPr="006D028B">
        <w:rPr>
          <w:lang w:val="de-DE"/>
        </w:rPr>
        <w:t>, wo ein Referat von Dr. Ismail Serageldin, Direktor der Bibliothek von Alexandria, Ägypten</w:t>
      </w:r>
      <w:r w:rsidR="004D0024">
        <w:rPr>
          <w:lang w:val="de-DE"/>
        </w:rPr>
        <w:t>,</w:t>
      </w:r>
      <w:r w:rsidR="006D028B" w:rsidRPr="006D028B">
        <w:rPr>
          <w:lang w:val="de-DE"/>
        </w:rPr>
        <w:t xml:space="preserve"> gehalten wurde</w:t>
      </w:r>
      <w:r w:rsidR="00D6058C" w:rsidRPr="006D028B">
        <w:rPr>
          <w:lang w:val="de-DE"/>
        </w:rPr>
        <w:t>.</w:t>
      </w:r>
    </w:p>
    <w:p w:rsidR="007B64A3" w:rsidRPr="006D028B" w:rsidRDefault="007B64A3" w:rsidP="007B64A3">
      <w:pPr>
        <w:rPr>
          <w:lang w:val="de-DE"/>
        </w:rPr>
      </w:pPr>
    </w:p>
    <w:p w:rsidR="00160332" w:rsidRPr="006D028B" w:rsidRDefault="004A094B" w:rsidP="006D028B">
      <w:pPr>
        <w:rPr>
          <w:lang w:val="de-DE"/>
        </w:rPr>
      </w:pPr>
      <w:r w:rsidRPr="006054BD">
        <w:fldChar w:fldCharType="begin"/>
      </w:r>
      <w:r w:rsidR="00160332" w:rsidRPr="006D028B">
        <w:rPr>
          <w:lang w:val="de-DE"/>
        </w:rPr>
        <w:instrText xml:space="preserve"> AUTONUM  </w:instrText>
      </w:r>
      <w:r w:rsidRPr="006054BD">
        <w:fldChar w:fldCharType="end"/>
      </w:r>
      <w:r w:rsidR="00160332" w:rsidRPr="006D028B">
        <w:rPr>
          <w:lang w:val="de-DE"/>
        </w:rPr>
        <w:tab/>
      </w:r>
      <w:r w:rsidR="00C56C8F" w:rsidRPr="006D028B">
        <w:rPr>
          <w:lang w:val="de-DE"/>
        </w:rPr>
        <w:t>Am</w:t>
      </w:r>
      <w:r w:rsidR="00160332" w:rsidRPr="006D028B">
        <w:rPr>
          <w:lang w:val="de-DE"/>
        </w:rPr>
        <w:t xml:space="preserve"> </w:t>
      </w:r>
      <w:r w:rsidR="006D028B" w:rsidRPr="006D028B">
        <w:rPr>
          <w:lang w:val="de-DE"/>
        </w:rPr>
        <w:t>21. November nahm das Büro in Genf an einer Tagung mit der WIPO teil, um eine mögliche Teilnahme von internationalen Organisationen mit Sitz in Genf an der Weltausstellung EXPO 2015, die im Jahr 2015 in Mailand, Italien, stattfinden wird</w:t>
      </w:r>
      <w:r w:rsidR="004D0024">
        <w:rPr>
          <w:lang w:val="de-DE"/>
        </w:rPr>
        <w:t>, zu erörtern</w:t>
      </w:r>
      <w:r w:rsidR="006D028B" w:rsidRPr="006D028B">
        <w:rPr>
          <w:lang w:val="de-DE"/>
        </w:rPr>
        <w:t xml:space="preserve"> (vergleiche Absatz 131 unten</w:t>
      </w:r>
      <w:r w:rsidR="002E137D" w:rsidRPr="006D028B">
        <w:rPr>
          <w:lang w:val="de-DE"/>
        </w:rPr>
        <w:t>)</w:t>
      </w:r>
      <w:r w:rsidR="008F5208" w:rsidRPr="006D028B">
        <w:rPr>
          <w:lang w:val="de-DE"/>
        </w:rPr>
        <w:t>.</w:t>
      </w:r>
    </w:p>
    <w:p w:rsidR="00160332" w:rsidRPr="006D028B" w:rsidRDefault="00160332" w:rsidP="007B64A3">
      <w:pPr>
        <w:rPr>
          <w:lang w:val="de-DE"/>
        </w:rPr>
      </w:pPr>
    </w:p>
    <w:p w:rsidR="00160332" w:rsidRPr="006D028B" w:rsidRDefault="004A094B" w:rsidP="004D0024">
      <w:pPr>
        <w:rPr>
          <w:lang w:val="de-DE"/>
        </w:rPr>
      </w:pPr>
      <w:r w:rsidRPr="006054BD">
        <w:fldChar w:fldCharType="begin"/>
      </w:r>
      <w:r w:rsidR="00160332" w:rsidRPr="006D028B">
        <w:rPr>
          <w:lang w:val="de-DE"/>
        </w:rPr>
        <w:instrText xml:space="preserve"> AUTONUM  </w:instrText>
      </w:r>
      <w:r w:rsidRPr="006054BD">
        <w:fldChar w:fldCharType="end"/>
      </w:r>
      <w:r w:rsidR="00160332" w:rsidRPr="006D028B">
        <w:rPr>
          <w:lang w:val="de-DE"/>
        </w:rPr>
        <w:tab/>
      </w:r>
      <w:r w:rsidR="00C56C8F" w:rsidRPr="006D028B">
        <w:rPr>
          <w:lang w:val="de-DE"/>
        </w:rPr>
        <w:t>Am</w:t>
      </w:r>
      <w:r w:rsidR="00160332" w:rsidRPr="006D028B">
        <w:rPr>
          <w:lang w:val="de-DE"/>
        </w:rPr>
        <w:t xml:space="preserve"> </w:t>
      </w:r>
      <w:r w:rsidR="006D028B" w:rsidRPr="006D028B">
        <w:rPr>
          <w:lang w:val="de-DE"/>
        </w:rPr>
        <w:t>22. November kam das Büro in Genf mit Herrn Kees van Ettekoven, Leiter der Sortenprüfungsabteilung, Naktuinbouw, Niederlande,</w:t>
      </w:r>
      <w:r w:rsidR="004D0024">
        <w:rPr>
          <w:lang w:val="de-DE"/>
        </w:rPr>
        <w:t xml:space="preserve"> zusammen,</w:t>
      </w:r>
      <w:r w:rsidR="006D028B" w:rsidRPr="006D028B">
        <w:rPr>
          <w:lang w:val="de-DE"/>
        </w:rPr>
        <w:t xml:space="preserve"> um die Zusammenarbeit zwischen Naktuinbouw und UPOV zu erörtern</w:t>
      </w:r>
      <w:r w:rsidR="00743772" w:rsidRPr="006D028B">
        <w:rPr>
          <w:lang w:val="de-DE"/>
        </w:rPr>
        <w:t>.</w:t>
      </w:r>
    </w:p>
    <w:p w:rsidR="00160332" w:rsidRPr="006D028B" w:rsidRDefault="00160332" w:rsidP="007B64A3">
      <w:pPr>
        <w:rPr>
          <w:lang w:val="de-DE"/>
        </w:rPr>
      </w:pPr>
    </w:p>
    <w:p w:rsidR="007B64A3" w:rsidRPr="006D028B" w:rsidRDefault="004A094B" w:rsidP="004D0024">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6D028B">
        <w:rPr>
          <w:lang w:val="de-DE"/>
        </w:rPr>
        <w:t>V</w:t>
      </w:r>
      <w:r w:rsidR="00BA09A4" w:rsidRPr="006D028B">
        <w:rPr>
          <w:lang w:val="de-DE"/>
        </w:rPr>
        <w:t xml:space="preserve">om </w:t>
      </w:r>
      <w:r w:rsidR="006D028B" w:rsidRPr="006D028B">
        <w:rPr>
          <w:lang w:val="de-DE"/>
        </w:rPr>
        <w:t>28. November bis 30. November nahm das Büro in Sansibar, Vereinigte Republik Tansania, an dem Teil der sechsunddreißigsten Tagung des ARIPO-Verwaltungsrat</w:t>
      </w:r>
      <w:r w:rsidR="00DE5DFD">
        <w:rPr>
          <w:lang w:val="de-DE"/>
        </w:rPr>
        <w:t>e</w:t>
      </w:r>
      <w:r w:rsidR="006D028B" w:rsidRPr="006D028B">
        <w:rPr>
          <w:lang w:val="de-DE"/>
        </w:rPr>
        <w:t>s</w:t>
      </w:r>
      <w:r w:rsidR="004D0024">
        <w:rPr>
          <w:lang w:val="de-DE"/>
        </w:rPr>
        <w:t xml:space="preserve"> teil</w:t>
      </w:r>
      <w:r w:rsidR="006D028B" w:rsidRPr="006D028B">
        <w:rPr>
          <w:lang w:val="de-DE"/>
        </w:rPr>
        <w:t xml:space="preserve">, der sich auf </w:t>
      </w:r>
      <w:r w:rsidR="004D0024">
        <w:rPr>
          <w:lang w:val="de-DE"/>
        </w:rPr>
        <w:t>den</w:t>
      </w:r>
      <w:r w:rsidR="006D028B" w:rsidRPr="006D028B">
        <w:rPr>
          <w:lang w:val="de-DE"/>
        </w:rPr>
        <w:t xml:space="preserve"> </w:t>
      </w:r>
      <w:r w:rsidR="004D0024" w:rsidRPr="00C56C8F">
        <w:rPr>
          <w:lang w:val="de-DE"/>
        </w:rPr>
        <w:t>„</w:t>
      </w:r>
      <w:r w:rsidR="004D0024">
        <w:rPr>
          <w:lang w:val="de-DE"/>
        </w:rPr>
        <w:t>R</w:t>
      </w:r>
      <w:r w:rsidR="006D028B" w:rsidRPr="006D028B">
        <w:rPr>
          <w:lang w:val="de-DE"/>
        </w:rPr>
        <w:t>evidierten Entwurf für den rechtlichen Rahmen für Sortenschutz</w:t>
      </w:r>
      <w:r w:rsidR="004D0024">
        <w:rPr>
          <w:lang w:val="de-DE"/>
        </w:rPr>
        <w:t>"</w:t>
      </w:r>
      <w:r w:rsidR="006D028B" w:rsidRPr="006D028B">
        <w:rPr>
          <w:lang w:val="de-DE"/>
        </w:rPr>
        <w:t xml:space="preserve"> bezieht. Am Rande der Tagung besuchte das Büro das Ministerium für Landwirtschaft und natürliche Ressourcen von Sansibar, um die </w:t>
      </w:r>
      <w:r w:rsidR="00D17D82">
        <w:rPr>
          <w:lang w:val="de-DE"/>
        </w:rPr>
        <w:t>Ausarbeitung von Rechtsvorschriften</w:t>
      </w:r>
      <w:r w:rsidR="006D028B" w:rsidRPr="006D028B">
        <w:rPr>
          <w:lang w:val="de-DE"/>
        </w:rPr>
        <w:t xml:space="preserve"> für Züchterrechte</w:t>
      </w:r>
      <w:r w:rsidR="004D0024">
        <w:rPr>
          <w:lang w:val="de-DE"/>
        </w:rPr>
        <w:t xml:space="preserve"> zu erörtern</w:t>
      </w:r>
      <w:r w:rsidR="007112D4" w:rsidRPr="006D028B">
        <w:rPr>
          <w:lang w:val="de-DE"/>
        </w:rPr>
        <w:t>.</w:t>
      </w:r>
    </w:p>
    <w:p w:rsidR="002B53D8" w:rsidRPr="006D028B" w:rsidRDefault="002B53D8" w:rsidP="007B64A3">
      <w:pPr>
        <w:rPr>
          <w:lang w:val="de-DE"/>
        </w:rPr>
      </w:pPr>
    </w:p>
    <w:p w:rsidR="002B53D8" w:rsidRPr="006D028B" w:rsidRDefault="004A094B" w:rsidP="004D0024">
      <w:pPr>
        <w:rPr>
          <w:lang w:val="de-DE"/>
        </w:rPr>
      </w:pPr>
      <w:r w:rsidRPr="006054BD">
        <w:fldChar w:fldCharType="begin"/>
      </w:r>
      <w:r w:rsidR="002B53D8" w:rsidRPr="006D028B">
        <w:rPr>
          <w:lang w:val="de-DE"/>
        </w:rPr>
        <w:instrText xml:space="preserve"> AUTONUM  </w:instrText>
      </w:r>
      <w:r w:rsidRPr="006054BD">
        <w:fldChar w:fldCharType="end"/>
      </w:r>
      <w:r w:rsidR="002B53D8" w:rsidRPr="006D028B">
        <w:rPr>
          <w:lang w:val="de-DE"/>
        </w:rPr>
        <w:tab/>
      </w:r>
      <w:r w:rsidR="00C56C8F" w:rsidRPr="006D028B">
        <w:rPr>
          <w:lang w:val="de-DE"/>
        </w:rPr>
        <w:t>Am</w:t>
      </w:r>
      <w:r w:rsidR="002B53D8" w:rsidRPr="006D028B">
        <w:rPr>
          <w:spacing w:val="-2"/>
          <w:lang w:val="de-DE"/>
        </w:rPr>
        <w:t xml:space="preserve"> </w:t>
      </w:r>
      <w:r w:rsidR="006D028B" w:rsidRPr="006D028B">
        <w:rPr>
          <w:lang w:val="de-DE"/>
        </w:rPr>
        <w:t>30. November kam das Büro in Genf mit Herrn Javad Mozafari Hashjin, Leiter des Verwaltungsrats des ITPGRFA</w:t>
      </w:r>
      <w:r w:rsidR="004D0024">
        <w:rPr>
          <w:lang w:val="de-DE"/>
        </w:rPr>
        <w:t xml:space="preserve"> zusammen</w:t>
      </w:r>
      <w:r w:rsidR="006D028B" w:rsidRPr="006D028B">
        <w:rPr>
          <w:lang w:val="de-DE"/>
        </w:rPr>
        <w:t xml:space="preserve">, um die Zusammenarbeit zwischen </w:t>
      </w:r>
      <w:r w:rsidR="004D0024">
        <w:rPr>
          <w:lang w:val="de-DE"/>
        </w:rPr>
        <w:t xml:space="preserve">der </w:t>
      </w:r>
      <w:r w:rsidR="006D028B" w:rsidRPr="006D028B">
        <w:rPr>
          <w:lang w:val="de-DE"/>
        </w:rPr>
        <w:t>UPOV und dem ITPGRFA zu erörtern</w:t>
      </w:r>
      <w:r w:rsidR="00FC02D7" w:rsidRPr="006D028B">
        <w:rPr>
          <w:lang w:val="de-DE"/>
        </w:rPr>
        <w:t>.</w:t>
      </w:r>
    </w:p>
    <w:p w:rsidR="007B64A3" w:rsidRPr="006D028B" w:rsidRDefault="007B64A3" w:rsidP="007B64A3">
      <w:pPr>
        <w:rPr>
          <w:lang w:val="de-DE"/>
        </w:rPr>
      </w:pPr>
    </w:p>
    <w:p w:rsidR="001C468E" w:rsidRPr="006D028B" w:rsidRDefault="004A094B" w:rsidP="0010393E">
      <w:pPr>
        <w:rPr>
          <w:snapToGrid w:val="0"/>
          <w:lang w:val="de-DE"/>
        </w:rPr>
      </w:pPr>
      <w:r w:rsidRPr="006054BD">
        <w:fldChar w:fldCharType="begin"/>
      </w:r>
      <w:r w:rsidR="001C468E" w:rsidRPr="006D028B">
        <w:rPr>
          <w:lang w:val="de-DE"/>
        </w:rPr>
        <w:instrText xml:space="preserve"> AUTONUM  </w:instrText>
      </w:r>
      <w:r w:rsidRPr="006054BD">
        <w:fldChar w:fldCharType="end"/>
      </w:r>
      <w:r w:rsidR="001C468E" w:rsidRPr="006D028B">
        <w:rPr>
          <w:lang w:val="de-DE"/>
        </w:rPr>
        <w:tab/>
      </w:r>
      <w:r w:rsidR="00C56C8F" w:rsidRPr="006D028B">
        <w:rPr>
          <w:lang w:val="de-DE"/>
        </w:rPr>
        <w:t>Am</w:t>
      </w:r>
      <w:r w:rsidR="001C468E" w:rsidRPr="006D028B">
        <w:rPr>
          <w:lang w:val="de-DE"/>
        </w:rPr>
        <w:t xml:space="preserve"> </w:t>
      </w:r>
      <w:r w:rsidR="006D028B" w:rsidRPr="006D028B">
        <w:rPr>
          <w:lang w:val="de-DE"/>
        </w:rPr>
        <w:t>3. Dezember erhielt das Büro in Genf den Besuch von Frau Vesna Filipović-Nikolić, Beraterin, Ständige Vertretung Serbien</w:t>
      </w:r>
      <w:r w:rsidR="0010393E">
        <w:rPr>
          <w:lang w:val="de-DE"/>
        </w:rPr>
        <w:t>s</w:t>
      </w:r>
      <w:r w:rsidR="006D028B" w:rsidRPr="006D028B">
        <w:rPr>
          <w:lang w:val="de-DE"/>
        </w:rPr>
        <w:t>, um die Hinterlegung der Beitrittsurkunde Serbiens zu der Akte von 1991 des UPOV</w:t>
      </w:r>
      <w:r w:rsidR="006D028B" w:rsidRPr="006D028B">
        <w:rPr>
          <w:rFonts w:ascii="MS Gothic" w:eastAsia="MS Gothic" w:hAnsi="MS Gothic" w:cs="MS Gothic" w:hint="eastAsia"/>
          <w:lang w:val="de-DE"/>
        </w:rPr>
        <w:t>‑</w:t>
      </w:r>
      <w:r w:rsidR="006D028B" w:rsidRPr="006D028B">
        <w:rPr>
          <w:rFonts w:cs="Arial"/>
          <w:lang w:val="de-DE"/>
        </w:rPr>
        <w:t>Übereinkommens zu erörtern</w:t>
      </w:r>
      <w:r w:rsidR="006D028B">
        <w:rPr>
          <w:rFonts w:cs="Arial"/>
          <w:lang w:val="de-DE"/>
        </w:rPr>
        <w:t xml:space="preserve"> (vergleiche Absatz 130).</w:t>
      </w:r>
    </w:p>
    <w:p w:rsidR="001C468E" w:rsidRPr="006D028B" w:rsidRDefault="001C468E" w:rsidP="007B64A3">
      <w:pPr>
        <w:rPr>
          <w:lang w:val="de-DE"/>
        </w:rPr>
      </w:pPr>
    </w:p>
    <w:p w:rsidR="007B64A3" w:rsidRPr="006D028B" w:rsidRDefault="004A094B" w:rsidP="00204DE5">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C56C8F" w:rsidRPr="006D028B">
        <w:rPr>
          <w:lang w:val="de-DE"/>
        </w:rPr>
        <w:t>Am</w:t>
      </w:r>
      <w:r w:rsidR="00017FBE" w:rsidRPr="006D028B">
        <w:rPr>
          <w:lang w:val="de-DE"/>
        </w:rPr>
        <w:t xml:space="preserve"> </w:t>
      </w:r>
      <w:r w:rsidR="006D028B" w:rsidRPr="006D028B">
        <w:rPr>
          <w:lang w:val="de-DE"/>
        </w:rPr>
        <w:t xml:space="preserve">4. und 5. Dezember nahm das Büro in </w:t>
      </w:r>
      <w:proofErr w:type="gramStart"/>
      <w:r w:rsidR="006D028B" w:rsidRPr="006D028B">
        <w:rPr>
          <w:lang w:val="de-DE"/>
        </w:rPr>
        <w:t>Angers</w:t>
      </w:r>
      <w:proofErr w:type="gramEnd"/>
      <w:r w:rsidR="006D028B" w:rsidRPr="006D028B">
        <w:rPr>
          <w:lang w:val="de-DE"/>
        </w:rPr>
        <w:t>, Frankreich, an der sechzehnten Tagung de</w:t>
      </w:r>
      <w:r w:rsidR="00204DE5">
        <w:rPr>
          <w:lang w:val="de-DE"/>
        </w:rPr>
        <w:t>s</w:t>
      </w:r>
      <w:r w:rsidR="00E54B7C">
        <w:rPr>
          <w:lang w:val="de-DE"/>
        </w:rPr>
        <w:t xml:space="preserve"> CPVO und dess</w:t>
      </w:r>
      <w:r w:rsidR="006D028B" w:rsidRPr="006D028B">
        <w:rPr>
          <w:lang w:val="de-DE"/>
        </w:rPr>
        <w:t>en Prüfungsämtern</w:t>
      </w:r>
      <w:r w:rsidR="004D0024">
        <w:rPr>
          <w:lang w:val="de-DE"/>
        </w:rPr>
        <w:t xml:space="preserve"> teil</w:t>
      </w:r>
      <w:r w:rsidR="00017FBE" w:rsidRPr="006D028B">
        <w:rPr>
          <w:lang w:val="de-DE"/>
        </w:rPr>
        <w:t>.</w:t>
      </w:r>
    </w:p>
    <w:p w:rsidR="007C0C7B" w:rsidRPr="006D028B" w:rsidRDefault="007C0C7B" w:rsidP="007B64A3">
      <w:pPr>
        <w:rPr>
          <w:lang w:val="de-DE"/>
        </w:rPr>
      </w:pPr>
    </w:p>
    <w:p w:rsidR="007C0C7B" w:rsidRPr="006D028B" w:rsidRDefault="004A094B" w:rsidP="007C2539">
      <w:pPr>
        <w:rPr>
          <w:lang w:val="de-DE"/>
        </w:rPr>
      </w:pPr>
      <w:r w:rsidRPr="006054BD">
        <w:fldChar w:fldCharType="begin"/>
      </w:r>
      <w:r w:rsidR="007C0C7B" w:rsidRPr="006D028B">
        <w:rPr>
          <w:lang w:val="de-DE"/>
        </w:rPr>
        <w:instrText xml:space="preserve"> AUTONUM  </w:instrText>
      </w:r>
      <w:r w:rsidRPr="006054BD">
        <w:fldChar w:fldCharType="end"/>
      </w:r>
      <w:r w:rsidR="007C0C7B" w:rsidRPr="006D028B">
        <w:rPr>
          <w:lang w:val="de-DE"/>
        </w:rPr>
        <w:tab/>
      </w:r>
      <w:r w:rsidR="00C56C8F" w:rsidRPr="006D028B">
        <w:rPr>
          <w:lang w:val="de-DE"/>
        </w:rPr>
        <w:t>Am</w:t>
      </w:r>
      <w:r w:rsidR="007C0C7B" w:rsidRPr="006D028B">
        <w:rPr>
          <w:lang w:val="de-DE"/>
        </w:rPr>
        <w:t xml:space="preserve"> </w:t>
      </w:r>
      <w:r w:rsidR="006D028B" w:rsidRPr="006D028B">
        <w:rPr>
          <w:lang w:val="de-DE"/>
        </w:rPr>
        <w:t xml:space="preserve">5. Dezember erhielt das Büro in Genf den Besuch von </w:t>
      </w:r>
      <w:r w:rsidR="00E54B7C">
        <w:rPr>
          <w:lang w:val="de-DE"/>
        </w:rPr>
        <w:t xml:space="preserve">Seiner Exzellenz </w:t>
      </w:r>
      <w:r w:rsidR="006D028B" w:rsidRPr="006D028B">
        <w:rPr>
          <w:lang w:val="de-DE"/>
        </w:rPr>
        <w:t>Herrn Uglješa Zvekić, Botschafter</w:t>
      </w:r>
      <w:r w:rsidR="004D0024">
        <w:rPr>
          <w:lang w:val="de-DE"/>
        </w:rPr>
        <w:t xml:space="preserve"> und</w:t>
      </w:r>
      <w:r w:rsidR="006D028B" w:rsidRPr="006D028B">
        <w:rPr>
          <w:lang w:val="de-DE"/>
        </w:rPr>
        <w:t xml:space="preserve"> </w:t>
      </w:r>
      <w:r w:rsidR="004D0024">
        <w:rPr>
          <w:lang w:val="de-DE"/>
        </w:rPr>
        <w:t>S</w:t>
      </w:r>
      <w:r w:rsidR="006D028B" w:rsidRPr="006D028B">
        <w:rPr>
          <w:lang w:val="de-DE"/>
        </w:rPr>
        <w:t>tändiger Vertreter Serbien</w:t>
      </w:r>
      <w:r w:rsidR="0010393E">
        <w:rPr>
          <w:lang w:val="de-DE"/>
        </w:rPr>
        <w:t>s</w:t>
      </w:r>
      <w:r w:rsidR="006D028B" w:rsidRPr="006D028B">
        <w:rPr>
          <w:lang w:val="de-DE"/>
        </w:rPr>
        <w:t>, der die Beitrittsurkunde Serbiens zum UPOV-Übereinkommen</w:t>
      </w:r>
      <w:r w:rsidR="004D0024">
        <w:rPr>
          <w:lang w:val="de-DE"/>
        </w:rPr>
        <w:t xml:space="preserve"> hinterlegte</w:t>
      </w:r>
      <w:r w:rsidR="006D028B" w:rsidRPr="006D028B">
        <w:rPr>
          <w:lang w:val="de-DE"/>
        </w:rPr>
        <w:t xml:space="preserve">, </w:t>
      </w:r>
      <w:r w:rsidR="00E54B7C">
        <w:rPr>
          <w:lang w:val="de-DE"/>
        </w:rPr>
        <w:t>wo</w:t>
      </w:r>
      <w:r w:rsidR="006D028B" w:rsidRPr="006D028B">
        <w:rPr>
          <w:lang w:val="de-DE"/>
        </w:rPr>
        <w:t xml:space="preserve">durch Serbien am 5. Januar 2013 </w:t>
      </w:r>
      <w:r w:rsidR="00E54B7C">
        <w:rPr>
          <w:lang w:val="de-DE"/>
        </w:rPr>
        <w:t>der UPOV als</w:t>
      </w:r>
      <w:r w:rsidR="00E54B7C" w:rsidRPr="006D028B">
        <w:rPr>
          <w:lang w:val="de-DE"/>
        </w:rPr>
        <w:t xml:space="preserve"> einundsiebzigste</w:t>
      </w:r>
      <w:r w:rsidR="00E54B7C">
        <w:rPr>
          <w:lang w:val="de-DE"/>
        </w:rPr>
        <w:t>s</w:t>
      </w:r>
      <w:r w:rsidR="00E54B7C" w:rsidRPr="006D028B">
        <w:rPr>
          <w:lang w:val="de-DE"/>
        </w:rPr>
        <w:t xml:space="preserve"> </w:t>
      </w:r>
      <w:r w:rsidR="00E54B7C">
        <w:rPr>
          <w:lang w:val="de-DE"/>
        </w:rPr>
        <w:t>Verbandsmitglied</w:t>
      </w:r>
      <w:r w:rsidR="006D028B" w:rsidRPr="006D028B">
        <w:rPr>
          <w:lang w:val="de-DE"/>
        </w:rPr>
        <w:t xml:space="preserve"> beitrat</w:t>
      </w:r>
      <w:r w:rsidR="005135CD" w:rsidRPr="006D028B">
        <w:rPr>
          <w:lang w:val="de-DE"/>
        </w:rPr>
        <w:t>.</w:t>
      </w:r>
    </w:p>
    <w:p w:rsidR="007C0C7B" w:rsidRPr="006D028B" w:rsidRDefault="007C0C7B" w:rsidP="007C0C7B">
      <w:pPr>
        <w:rPr>
          <w:lang w:val="de-DE"/>
        </w:rPr>
      </w:pPr>
    </w:p>
    <w:p w:rsidR="004F657A" w:rsidRPr="006D028B" w:rsidRDefault="004A094B" w:rsidP="00DE5DFD">
      <w:pPr>
        <w:rPr>
          <w:lang w:val="de-DE"/>
        </w:rPr>
      </w:pPr>
      <w:r w:rsidRPr="006054BD">
        <w:fldChar w:fldCharType="begin"/>
      </w:r>
      <w:r w:rsidR="004F657A" w:rsidRPr="006D028B">
        <w:rPr>
          <w:lang w:val="de-DE"/>
        </w:rPr>
        <w:instrText xml:space="preserve"> AUTONUM  </w:instrText>
      </w:r>
      <w:r w:rsidRPr="006054BD">
        <w:fldChar w:fldCharType="end"/>
      </w:r>
      <w:r w:rsidR="004F657A" w:rsidRPr="006D028B">
        <w:rPr>
          <w:lang w:val="de-DE"/>
        </w:rPr>
        <w:tab/>
      </w:r>
      <w:r w:rsidR="00C56C8F" w:rsidRPr="006D028B">
        <w:rPr>
          <w:lang w:val="de-DE"/>
        </w:rPr>
        <w:t>Am</w:t>
      </w:r>
      <w:r w:rsidR="004F657A" w:rsidRPr="006D028B">
        <w:rPr>
          <w:lang w:val="de-DE"/>
        </w:rPr>
        <w:t xml:space="preserve"> </w:t>
      </w:r>
      <w:r w:rsidR="006D028B" w:rsidRPr="006D028B">
        <w:rPr>
          <w:lang w:val="de-DE"/>
        </w:rPr>
        <w:t>10. Dezember nahm das Bü</w:t>
      </w:r>
      <w:r w:rsidR="00DE5DFD">
        <w:rPr>
          <w:lang w:val="de-DE"/>
        </w:rPr>
        <w:t>r</w:t>
      </w:r>
      <w:r w:rsidR="006D028B" w:rsidRPr="006D028B">
        <w:rPr>
          <w:lang w:val="de-DE"/>
        </w:rPr>
        <w:t>o bei der ständigen Vertretung Italien</w:t>
      </w:r>
      <w:r w:rsidR="0010393E">
        <w:rPr>
          <w:lang w:val="de-DE"/>
        </w:rPr>
        <w:t>s</w:t>
      </w:r>
      <w:r w:rsidR="006D028B" w:rsidRPr="006D028B">
        <w:rPr>
          <w:lang w:val="de-DE"/>
        </w:rPr>
        <w:t xml:space="preserve"> in Genf an einer interorganisatorischen Tagung mit zwischenstaatlichen Organisationen (IGOs) mit Sitz in Genf, der FAO und dem Team der UN-EXPO 2015</w:t>
      </w:r>
      <w:r w:rsidR="004D0024">
        <w:rPr>
          <w:lang w:val="de-DE"/>
        </w:rPr>
        <w:t xml:space="preserve"> teil</w:t>
      </w:r>
      <w:r w:rsidR="004F657A" w:rsidRPr="006D028B">
        <w:rPr>
          <w:lang w:val="de-DE"/>
        </w:rPr>
        <w:t>.</w:t>
      </w:r>
    </w:p>
    <w:p w:rsidR="004F657A" w:rsidRPr="006D028B" w:rsidRDefault="004F657A" w:rsidP="007B64A3">
      <w:pPr>
        <w:rPr>
          <w:lang w:val="de-DE"/>
        </w:rPr>
      </w:pPr>
    </w:p>
    <w:p w:rsidR="007B64A3" w:rsidRPr="006D028B" w:rsidRDefault="004A094B" w:rsidP="007C2539">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6D028B">
        <w:rPr>
          <w:lang w:val="de-DE"/>
        </w:rPr>
        <w:t>V</w:t>
      </w:r>
      <w:r w:rsidR="00832D4A" w:rsidRPr="006D028B">
        <w:rPr>
          <w:lang w:val="de-DE"/>
        </w:rPr>
        <w:t xml:space="preserve">om </w:t>
      </w:r>
      <w:r w:rsidR="006D028B" w:rsidRPr="006D028B">
        <w:rPr>
          <w:lang w:val="de-DE"/>
        </w:rPr>
        <w:t xml:space="preserve">10. bis 14. Dezember organisierte das Büro </w:t>
      </w:r>
      <w:r w:rsidR="00E54B7C" w:rsidRPr="006D028B">
        <w:rPr>
          <w:lang w:val="de-DE"/>
        </w:rPr>
        <w:t>in Montevideo, Uruguay</w:t>
      </w:r>
      <w:r w:rsidR="00E54B7C">
        <w:rPr>
          <w:lang w:val="de-DE"/>
        </w:rPr>
        <w:t>,</w:t>
      </w:r>
      <w:r w:rsidR="00E54B7C" w:rsidRPr="006D028B">
        <w:rPr>
          <w:lang w:val="de-DE"/>
        </w:rPr>
        <w:t xml:space="preserve"> </w:t>
      </w:r>
      <w:r w:rsidR="006D028B" w:rsidRPr="006D028B">
        <w:rPr>
          <w:lang w:val="de-DE"/>
        </w:rPr>
        <w:t xml:space="preserve">in Zusammenarbeit mit dem </w:t>
      </w:r>
      <w:r w:rsidR="006D028B" w:rsidRPr="006D028B">
        <w:rPr>
          <w:i/>
          <w:iCs/>
          <w:lang w:val="de-DE"/>
        </w:rPr>
        <w:t>Instituto Nacional de Semillas</w:t>
      </w:r>
      <w:r w:rsidR="006D028B" w:rsidRPr="006D028B">
        <w:rPr>
          <w:lang w:val="de-DE"/>
        </w:rPr>
        <w:t xml:space="preserve"> (INASE) (Uruguay), dem spanischen Sortenamt (OEVV), der spanischen Stelle für internationale Entwicklungszusammenarbeit (AECID), </w:t>
      </w:r>
      <w:r w:rsidR="00E54B7C">
        <w:rPr>
          <w:lang w:val="de-DE"/>
        </w:rPr>
        <w:t xml:space="preserve">der </w:t>
      </w:r>
      <w:r w:rsidR="006D028B" w:rsidRPr="006D028B">
        <w:rPr>
          <w:lang w:val="de-DE"/>
        </w:rPr>
        <w:t xml:space="preserve">WIPO und </w:t>
      </w:r>
      <w:r w:rsidR="00E54B7C">
        <w:rPr>
          <w:lang w:val="de-DE"/>
        </w:rPr>
        <w:t xml:space="preserve">dem </w:t>
      </w:r>
      <w:r w:rsidR="006D028B" w:rsidRPr="006D028B">
        <w:rPr>
          <w:lang w:val="de-DE"/>
        </w:rPr>
        <w:t xml:space="preserve">USPTO den </w:t>
      </w:r>
      <w:r w:rsidR="004D0024">
        <w:rPr>
          <w:lang w:val="de-DE"/>
        </w:rPr>
        <w:t>XI.</w:t>
      </w:r>
      <w:r w:rsidR="0023631E">
        <w:rPr>
          <w:lang w:val="de-DE"/>
        </w:rPr>
        <w:t> </w:t>
      </w:r>
      <w:r w:rsidR="006D028B" w:rsidRPr="006D028B">
        <w:rPr>
          <w:lang w:val="de-DE"/>
        </w:rPr>
        <w:t xml:space="preserve">Ausbildungslehrgang über den Schutz von Pflanzenzüchtungen für iberoamerikanische Länder. An dem Lehrgang nahmen 26 Sachverständige aus 18 Ländern teil, die gegenwärtig oder künftig an der DUS-Prüfung beteiligt sind (Argentinien, Bolivien (Plurinationaler Staat), Brasilien, Chile, Costa Rica, Dominikanische Republik, Ecuador, El Salvador, Guatemala, Honduras, </w:t>
      </w:r>
      <w:r w:rsidR="00E54B7C" w:rsidRPr="006D028B">
        <w:rPr>
          <w:lang w:val="de-DE"/>
        </w:rPr>
        <w:t>Kolumbien,</w:t>
      </w:r>
      <w:r w:rsidR="00E54B7C">
        <w:rPr>
          <w:lang w:val="de-DE"/>
        </w:rPr>
        <w:t xml:space="preserve"> </w:t>
      </w:r>
      <w:r w:rsidR="006D028B" w:rsidRPr="006D028B">
        <w:rPr>
          <w:lang w:val="de-DE"/>
        </w:rPr>
        <w:t xml:space="preserve">Mexiko, Niederlande, Nicaragua, Panama, Paraguay, Peru und Uruguay). Vorträge wurden von Sachverständigen aus Argentinien, Chile, Uruguay, </w:t>
      </w:r>
      <w:r w:rsidR="004D0024">
        <w:rPr>
          <w:lang w:val="de-DE"/>
        </w:rPr>
        <w:t xml:space="preserve">von </w:t>
      </w:r>
      <w:r w:rsidR="006D028B" w:rsidRPr="006D028B">
        <w:rPr>
          <w:lang w:val="de-DE"/>
        </w:rPr>
        <w:t>CPVO, OEVV und dem Büro</w:t>
      </w:r>
      <w:r w:rsidR="004D0024">
        <w:rPr>
          <w:lang w:val="de-DE"/>
        </w:rPr>
        <w:t xml:space="preserve"> </w:t>
      </w:r>
      <w:r w:rsidR="004D0024" w:rsidRPr="006D028B">
        <w:rPr>
          <w:lang w:val="de-DE"/>
        </w:rPr>
        <w:t>gehalten</w:t>
      </w:r>
      <w:r w:rsidR="006D028B" w:rsidRPr="006D028B">
        <w:rPr>
          <w:lang w:val="de-DE"/>
        </w:rPr>
        <w:t xml:space="preserve">. Als Vorbereitung </w:t>
      </w:r>
      <w:r w:rsidR="004D0024">
        <w:rPr>
          <w:lang w:val="de-DE"/>
        </w:rPr>
        <w:t>wurden</w:t>
      </w:r>
      <w:r w:rsidR="006D028B" w:rsidRPr="006D028B">
        <w:rPr>
          <w:lang w:val="de-DE"/>
        </w:rPr>
        <w:t xml:space="preserve"> die Teilnehmer </w:t>
      </w:r>
      <w:r w:rsidR="004D0024">
        <w:rPr>
          <w:lang w:val="de-DE"/>
        </w:rPr>
        <w:t>eingeladen</w:t>
      </w:r>
      <w:r w:rsidR="006D028B" w:rsidRPr="006D028B">
        <w:rPr>
          <w:lang w:val="de-DE"/>
        </w:rPr>
        <w:t>, den UPOV-Fernlehrgang DL-205 zu absolvieren</w:t>
      </w:r>
      <w:r w:rsidR="00D009EB" w:rsidRPr="006D028B">
        <w:rPr>
          <w:szCs w:val="24"/>
          <w:lang w:val="de-DE"/>
        </w:rPr>
        <w:t>.</w:t>
      </w:r>
    </w:p>
    <w:p w:rsidR="007B64A3" w:rsidRPr="006D028B" w:rsidRDefault="007B64A3" w:rsidP="007B64A3">
      <w:pPr>
        <w:rPr>
          <w:lang w:val="de-DE"/>
        </w:rPr>
      </w:pPr>
    </w:p>
    <w:p w:rsidR="00867978" w:rsidRPr="006D028B" w:rsidRDefault="004A094B" w:rsidP="00373D38">
      <w:pPr>
        <w:rPr>
          <w:lang w:val="de-DE"/>
        </w:rPr>
      </w:pPr>
      <w:r w:rsidRPr="006054BD">
        <w:fldChar w:fldCharType="begin"/>
      </w:r>
      <w:r w:rsidR="00867978" w:rsidRPr="006D028B">
        <w:rPr>
          <w:lang w:val="de-DE"/>
        </w:rPr>
        <w:instrText xml:space="preserve"> AUTONUM  </w:instrText>
      </w:r>
      <w:r w:rsidRPr="006054BD">
        <w:fldChar w:fldCharType="end"/>
      </w:r>
      <w:r w:rsidR="00867978" w:rsidRPr="006D028B">
        <w:rPr>
          <w:lang w:val="de-DE"/>
        </w:rPr>
        <w:tab/>
      </w:r>
      <w:r w:rsidR="00C56C8F" w:rsidRPr="006D028B">
        <w:rPr>
          <w:lang w:val="de-DE"/>
        </w:rPr>
        <w:t>Am</w:t>
      </w:r>
      <w:r w:rsidR="00867978" w:rsidRPr="006D028B">
        <w:rPr>
          <w:lang w:val="de-DE"/>
        </w:rPr>
        <w:t xml:space="preserve"> </w:t>
      </w:r>
      <w:r w:rsidR="006D028B" w:rsidRPr="006D028B">
        <w:rPr>
          <w:lang w:val="de-DE"/>
        </w:rPr>
        <w:t xml:space="preserve">12. Dezember erhielt das Büro den Besuch von Herrn Miguel Peralta López, Generaldirektor, Registerführer, Register für geistiges Eigentum, </w:t>
      </w:r>
      <w:r w:rsidR="006D028B" w:rsidRPr="006D028B">
        <w:rPr>
          <w:i/>
          <w:iCs/>
          <w:lang w:val="de-DE"/>
        </w:rPr>
        <w:t>Ministerio de Fomento, Industria y Comercio</w:t>
      </w:r>
      <w:r w:rsidR="006D028B" w:rsidRPr="006D028B">
        <w:rPr>
          <w:lang w:val="de-DE"/>
        </w:rPr>
        <w:t xml:space="preserve"> (MIFIC) aus Nicaragua, um Unterstützung, die die UPOV bei der Umsetzung und Entwicklung des Sortenschutzsystems leisten</w:t>
      </w:r>
      <w:r w:rsidR="004D0024">
        <w:rPr>
          <w:lang w:val="de-DE"/>
        </w:rPr>
        <w:t xml:space="preserve"> könnte, </w:t>
      </w:r>
      <w:r w:rsidR="004D0024" w:rsidRPr="006D028B">
        <w:rPr>
          <w:lang w:val="de-DE"/>
        </w:rPr>
        <w:t>zu erörtern</w:t>
      </w:r>
      <w:r w:rsidR="00867978" w:rsidRPr="006D028B">
        <w:rPr>
          <w:lang w:val="de-DE"/>
        </w:rPr>
        <w:t>.</w:t>
      </w:r>
    </w:p>
    <w:p w:rsidR="00867978" w:rsidRPr="006D028B" w:rsidRDefault="00867978" w:rsidP="007B64A3">
      <w:pPr>
        <w:rPr>
          <w:lang w:val="de-DE"/>
        </w:rPr>
      </w:pPr>
    </w:p>
    <w:p w:rsidR="00F73054" w:rsidRPr="006D028B" w:rsidRDefault="004A094B" w:rsidP="00373D38">
      <w:pPr>
        <w:rPr>
          <w:lang w:val="de-DE"/>
        </w:rPr>
      </w:pPr>
      <w:r w:rsidRPr="006054BD">
        <w:fldChar w:fldCharType="begin"/>
      </w:r>
      <w:r w:rsidR="00F73054" w:rsidRPr="006D028B">
        <w:rPr>
          <w:lang w:val="de-DE"/>
        </w:rPr>
        <w:instrText xml:space="preserve"> AUTONUM  </w:instrText>
      </w:r>
      <w:r w:rsidRPr="006054BD">
        <w:fldChar w:fldCharType="end"/>
      </w:r>
      <w:r w:rsidR="00F73054" w:rsidRPr="006D028B">
        <w:rPr>
          <w:lang w:val="de-DE"/>
        </w:rPr>
        <w:tab/>
      </w:r>
      <w:r w:rsidR="00C56C8F" w:rsidRPr="006D028B">
        <w:rPr>
          <w:lang w:val="de-DE"/>
        </w:rPr>
        <w:t>Am</w:t>
      </w:r>
      <w:r w:rsidR="00F73054" w:rsidRPr="006D028B">
        <w:rPr>
          <w:lang w:val="de-DE"/>
        </w:rPr>
        <w:t xml:space="preserve"> </w:t>
      </w:r>
      <w:r w:rsidR="006D028B" w:rsidRPr="006D028B">
        <w:rPr>
          <w:lang w:val="de-DE"/>
        </w:rPr>
        <w:t>13. Dezember hielt das Büro in Genf auf der siebenundzwanzigsten Tagung des unabhängigen beratenden Aufsichtsausschusses der WIPO</w:t>
      </w:r>
      <w:r w:rsidR="00373D38">
        <w:rPr>
          <w:lang w:val="de-DE"/>
        </w:rPr>
        <w:t xml:space="preserve"> </w:t>
      </w:r>
      <w:r w:rsidR="00373D38" w:rsidRPr="006D028B">
        <w:rPr>
          <w:lang w:val="de-DE"/>
        </w:rPr>
        <w:t>ein Referat über die UPOV</w:t>
      </w:r>
      <w:r w:rsidR="003034EC" w:rsidRPr="006D028B">
        <w:rPr>
          <w:lang w:val="de-DE"/>
        </w:rPr>
        <w:t>.</w:t>
      </w:r>
    </w:p>
    <w:p w:rsidR="00F9684C" w:rsidRPr="006D028B" w:rsidRDefault="00F9684C" w:rsidP="007B64A3">
      <w:pPr>
        <w:rPr>
          <w:lang w:val="de-DE"/>
        </w:rPr>
      </w:pPr>
    </w:p>
    <w:p w:rsidR="004C2FAD" w:rsidRPr="006D028B" w:rsidRDefault="004A094B" w:rsidP="00373D38">
      <w:pPr>
        <w:rPr>
          <w:lang w:val="de-DE"/>
        </w:rPr>
      </w:pPr>
      <w:r w:rsidRPr="006054BD">
        <w:fldChar w:fldCharType="begin"/>
      </w:r>
      <w:r w:rsidR="007B64A3" w:rsidRPr="006D028B">
        <w:rPr>
          <w:lang w:val="de-DE"/>
        </w:rPr>
        <w:instrText xml:space="preserve"> AUTONUM  </w:instrText>
      </w:r>
      <w:r w:rsidRPr="006054BD">
        <w:fldChar w:fldCharType="end"/>
      </w:r>
      <w:r w:rsidR="007B64A3" w:rsidRPr="006D028B">
        <w:rPr>
          <w:lang w:val="de-DE"/>
        </w:rPr>
        <w:tab/>
      </w:r>
      <w:r w:rsidR="00C56C8F" w:rsidRPr="006D028B">
        <w:rPr>
          <w:lang w:val="de-DE"/>
        </w:rPr>
        <w:t>Am</w:t>
      </w:r>
      <w:r w:rsidR="00A6768A" w:rsidRPr="006D028B">
        <w:rPr>
          <w:lang w:val="de-DE"/>
        </w:rPr>
        <w:t xml:space="preserve"> </w:t>
      </w:r>
      <w:r w:rsidR="006D028B" w:rsidRPr="006D028B">
        <w:rPr>
          <w:lang w:val="de-DE"/>
        </w:rPr>
        <w:t xml:space="preserve">19. Dezember hielt das Büro in Nay Pyi Taw, Myanmar, </w:t>
      </w:r>
      <w:r w:rsidR="00373D38">
        <w:rPr>
          <w:lang w:val="de-DE"/>
        </w:rPr>
        <w:t>bei</w:t>
      </w:r>
      <w:r w:rsidR="00373D38" w:rsidRPr="006D028B">
        <w:rPr>
          <w:lang w:val="de-DE"/>
        </w:rPr>
        <w:t xml:space="preserve"> einem Seminar zur Sensibilisierung für Sortenschutz, das von der Abteilung für landwirtschaftliche Forschung des Ministeriums für Landwirtschaft und Bewässerung (MOAI) Myanmar</w:t>
      </w:r>
      <w:r w:rsidR="00373D38">
        <w:rPr>
          <w:lang w:val="de-DE"/>
        </w:rPr>
        <w:t>s</w:t>
      </w:r>
      <w:r w:rsidR="00373D38" w:rsidRPr="006D028B">
        <w:rPr>
          <w:lang w:val="de-DE"/>
        </w:rPr>
        <w:t>, zusammen mit dem MAFF Japan</w:t>
      </w:r>
      <w:r w:rsidR="00373D38">
        <w:rPr>
          <w:lang w:val="de-DE"/>
        </w:rPr>
        <w:t>s</w:t>
      </w:r>
      <w:r w:rsidR="00373D38" w:rsidRPr="006D028B">
        <w:rPr>
          <w:lang w:val="de-DE"/>
        </w:rPr>
        <w:t xml:space="preserve"> organisiert wurde</w:t>
      </w:r>
      <w:r w:rsidR="00373D38">
        <w:rPr>
          <w:lang w:val="de-DE"/>
        </w:rPr>
        <w:t xml:space="preserve">, </w:t>
      </w:r>
      <w:r w:rsidR="006D028B" w:rsidRPr="006D028B">
        <w:rPr>
          <w:lang w:val="de-DE"/>
        </w:rPr>
        <w:t xml:space="preserve">Referate über die UPOV und die Auswirkungen von Sortenschutz. An dem Seminar nahmen 120 Beamte des MOAI </w:t>
      </w:r>
      <w:r w:rsidR="00373D38">
        <w:rPr>
          <w:lang w:val="de-DE"/>
        </w:rPr>
        <w:t xml:space="preserve">sowie weitere </w:t>
      </w:r>
      <w:r w:rsidR="006D028B" w:rsidRPr="006D028B">
        <w:rPr>
          <w:lang w:val="de-DE"/>
        </w:rPr>
        <w:t>Teilnehmer teil. Am Rande des Seminars kam das Büro mit gehobenen Beamten des MOAI zusammen, um den Gesetzentwurf Myanmars über Sortenschutz zu erörtern</w:t>
      </w:r>
      <w:r w:rsidR="00373D38">
        <w:rPr>
          <w:lang w:val="de-DE"/>
        </w:rPr>
        <w:t xml:space="preserve"> und </w:t>
      </w:r>
      <w:r w:rsidR="00FB1AA6">
        <w:rPr>
          <w:lang w:val="de-DE"/>
        </w:rPr>
        <w:t>das</w:t>
      </w:r>
      <w:r w:rsidR="006D028B" w:rsidRPr="006D028B">
        <w:rPr>
          <w:lang w:val="de-DE"/>
        </w:rPr>
        <w:t xml:space="preserve"> Verfahren für den Beitritt zur UPOV</w:t>
      </w:r>
      <w:r w:rsidR="00373D38">
        <w:rPr>
          <w:lang w:val="de-DE"/>
        </w:rPr>
        <w:t xml:space="preserve"> zu</w:t>
      </w:r>
      <w:r w:rsidR="00FB1AA6">
        <w:rPr>
          <w:lang w:val="de-DE"/>
        </w:rPr>
        <w:t xml:space="preserve"> erläuter</w:t>
      </w:r>
      <w:r w:rsidR="00373D38">
        <w:rPr>
          <w:lang w:val="de-DE"/>
        </w:rPr>
        <w:t>n</w:t>
      </w:r>
      <w:r w:rsidR="0048639B" w:rsidRPr="006D028B">
        <w:rPr>
          <w:lang w:val="de-DE"/>
        </w:rPr>
        <w:t>.</w:t>
      </w:r>
    </w:p>
    <w:p w:rsidR="007A683A" w:rsidRPr="006D028B" w:rsidRDefault="007A683A" w:rsidP="006B519E">
      <w:pPr>
        <w:rPr>
          <w:lang w:val="de-DE"/>
        </w:rPr>
      </w:pPr>
    </w:p>
    <w:p w:rsidR="00ED4509" w:rsidRPr="006D028B" w:rsidRDefault="00ED4509" w:rsidP="006B519E">
      <w:pPr>
        <w:rPr>
          <w:lang w:val="de-DE"/>
        </w:rPr>
      </w:pPr>
    </w:p>
    <w:p w:rsidR="006B519E" w:rsidRPr="002A5260" w:rsidRDefault="00117C01" w:rsidP="006B519E">
      <w:pPr>
        <w:pStyle w:val="Heading2"/>
        <w:rPr>
          <w:lang w:val="de-DE"/>
        </w:rPr>
      </w:pPr>
      <w:bookmarkStart w:id="44" w:name="_Toc368400888"/>
      <w:r w:rsidRPr="002A5260">
        <w:rPr>
          <w:lang w:val="de-DE"/>
        </w:rPr>
        <w:t>Fernlehrgang</w:t>
      </w:r>
      <w:bookmarkEnd w:id="44"/>
    </w:p>
    <w:p w:rsidR="006B519E" w:rsidRPr="002A5260" w:rsidRDefault="006B519E" w:rsidP="006B519E">
      <w:pPr>
        <w:keepNext/>
        <w:rPr>
          <w:szCs w:val="24"/>
          <w:lang w:val="de-DE"/>
        </w:rPr>
      </w:pPr>
    </w:p>
    <w:p w:rsidR="006B519E" w:rsidRPr="008C222D" w:rsidRDefault="004A094B" w:rsidP="007C2539">
      <w:pPr>
        <w:rPr>
          <w:lang w:val="de-DE"/>
        </w:rPr>
      </w:pPr>
      <w:r w:rsidRPr="008C222D">
        <w:fldChar w:fldCharType="begin"/>
      </w:r>
      <w:r w:rsidR="006B519E" w:rsidRPr="008C222D">
        <w:rPr>
          <w:lang w:val="de-DE"/>
        </w:rPr>
        <w:instrText xml:space="preserve"> AUTONUM  </w:instrText>
      </w:r>
      <w:r w:rsidRPr="008C222D">
        <w:fldChar w:fldCharType="end"/>
      </w:r>
      <w:r w:rsidR="006B519E" w:rsidRPr="008C222D">
        <w:rPr>
          <w:lang w:val="de-DE"/>
        </w:rPr>
        <w:tab/>
      </w:r>
      <w:r w:rsidR="009443F5">
        <w:rPr>
          <w:lang w:val="de-DE"/>
        </w:rPr>
        <w:t xml:space="preserve">Zwei </w:t>
      </w:r>
      <w:r w:rsidR="00373D38">
        <w:rPr>
          <w:lang w:val="de-DE"/>
        </w:rPr>
        <w:t>Sitzung</w:t>
      </w:r>
      <w:r w:rsidR="009443F5">
        <w:rPr>
          <w:lang w:val="de-DE"/>
        </w:rPr>
        <w:t>en</w:t>
      </w:r>
      <w:r w:rsidR="006B7643" w:rsidRPr="008C222D">
        <w:rPr>
          <w:lang w:val="de-DE"/>
        </w:rPr>
        <w:t xml:space="preserve"> des UPOV-Fernlehrgangs DL-205 fanden vom 7. Mai bis zum 10. Juni und vom 5. November bis zum 9. Dezember 2012 </w:t>
      </w:r>
      <w:r w:rsidR="007C2539">
        <w:rPr>
          <w:lang w:val="de-DE"/>
        </w:rPr>
        <w:t>auf</w:t>
      </w:r>
      <w:r w:rsidR="006B7643" w:rsidRPr="008C222D">
        <w:rPr>
          <w:lang w:val="de-DE"/>
        </w:rPr>
        <w:t xml:space="preserve"> Deutsch, Englisch, Französisch und Spanisch statt. Eine Aufschlüsselung der am Lehrgang teilnehmenden </w:t>
      </w:r>
      <w:r w:rsidR="007C2539">
        <w:rPr>
          <w:lang w:val="de-DE"/>
        </w:rPr>
        <w:t>Studienteilnehmer</w:t>
      </w:r>
      <w:r w:rsidR="006B7643" w:rsidRPr="008C222D">
        <w:rPr>
          <w:lang w:val="de-DE"/>
        </w:rPr>
        <w:t xml:space="preserve"> ist in Anlage III, Unterprogramm UV 3, </w:t>
      </w:r>
      <w:r w:rsidR="008C222D" w:rsidRPr="008C222D">
        <w:rPr>
          <w:bCs/>
          <w:lang w:val="de-DE"/>
        </w:rPr>
        <w:t xml:space="preserve">Planerfüllungsindikator 4(a) </w:t>
      </w:r>
      <w:r w:rsidR="008C222D" w:rsidRPr="008C222D">
        <w:rPr>
          <w:lang w:val="de-DE"/>
        </w:rPr>
        <w:t>„</w:t>
      </w:r>
      <w:r w:rsidR="008C222D" w:rsidRPr="008C222D">
        <w:rPr>
          <w:bCs/>
          <w:color w:val="000000"/>
          <w:lang w:val="de-DE"/>
        </w:rPr>
        <w:t>Teilnahme</w:t>
      </w:r>
      <w:r w:rsidR="008C222D" w:rsidRPr="008C222D">
        <w:rPr>
          <w:color w:val="000000"/>
          <w:lang w:val="de-DE"/>
        </w:rPr>
        <w:t xml:space="preserve"> an den UPOV</w:t>
      </w:r>
      <w:r w:rsidR="007C2539">
        <w:rPr>
          <w:color w:val="000000"/>
          <w:lang w:val="de-DE"/>
        </w:rPr>
        <w:t>-</w:t>
      </w:r>
      <w:r w:rsidR="008C222D" w:rsidRPr="008C222D">
        <w:rPr>
          <w:color w:val="000000"/>
          <w:lang w:val="de-DE"/>
        </w:rPr>
        <w:t>Fernlehrgängen"</w:t>
      </w:r>
      <w:r w:rsidR="006B7643" w:rsidRPr="008C222D">
        <w:rPr>
          <w:lang w:val="de-DE"/>
        </w:rPr>
        <w:t xml:space="preserve"> enthalten</w:t>
      </w:r>
      <w:r w:rsidR="006B519E" w:rsidRPr="008C222D">
        <w:rPr>
          <w:lang w:val="de-DE"/>
        </w:rPr>
        <w:t>.</w:t>
      </w:r>
    </w:p>
    <w:p w:rsidR="006B519E" w:rsidRPr="008C222D" w:rsidRDefault="006B519E" w:rsidP="006B519E">
      <w:pPr>
        <w:rPr>
          <w:lang w:val="de-DE"/>
        </w:rPr>
      </w:pPr>
    </w:p>
    <w:p w:rsidR="006B519E" w:rsidRPr="006B7643" w:rsidRDefault="006B519E" w:rsidP="006B519E">
      <w:pPr>
        <w:rPr>
          <w:szCs w:val="24"/>
          <w:lang w:val="de-DE"/>
        </w:rPr>
      </w:pPr>
    </w:p>
    <w:p w:rsidR="006B519E" w:rsidRPr="006B7643" w:rsidRDefault="006B519E" w:rsidP="006B519E">
      <w:pPr>
        <w:rPr>
          <w:szCs w:val="24"/>
          <w:lang w:val="de-DE"/>
        </w:rPr>
      </w:pPr>
    </w:p>
    <w:p w:rsidR="006B519E" w:rsidRPr="006B7643" w:rsidRDefault="006B519E" w:rsidP="006B7643">
      <w:pPr>
        <w:pStyle w:val="Heading1"/>
        <w:rPr>
          <w:lang w:val="de-DE"/>
        </w:rPr>
      </w:pPr>
      <w:bookmarkStart w:id="45" w:name="_Toc368400889"/>
      <w:r w:rsidRPr="006B7643">
        <w:rPr>
          <w:lang w:val="de-DE"/>
        </w:rPr>
        <w:t>IV.</w:t>
      </w:r>
      <w:r w:rsidRPr="006B7643">
        <w:rPr>
          <w:lang w:val="de-DE"/>
        </w:rPr>
        <w:tab/>
      </w:r>
      <w:r w:rsidR="006B7643" w:rsidRPr="006B7643">
        <w:rPr>
          <w:lang w:val="de-DE"/>
        </w:rPr>
        <w:t>KONTAKTE MIT STAATEN UND ORGANISATIONEN</w:t>
      </w:r>
      <w:bookmarkEnd w:id="45"/>
    </w:p>
    <w:p w:rsidR="006B519E" w:rsidRPr="006B7643" w:rsidRDefault="006B519E" w:rsidP="006B519E">
      <w:pPr>
        <w:pStyle w:val="BodyText"/>
        <w:rPr>
          <w:lang w:val="de-DE"/>
        </w:rPr>
      </w:pPr>
    </w:p>
    <w:p w:rsidR="006B519E" w:rsidRPr="006B7643" w:rsidRDefault="004A094B" w:rsidP="006B7643">
      <w:pPr>
        <w:pStyle w:val="BodyText"/>
        <w:rPr>
          <w:lang w:val="de-DE"/>
        </w:rPr>
      </w:pPr>
      <w:r w:rsidRPr="006054BD">
        <w:fldChar w:fldCharType="begin"/>
      </w:r>
      <w:r w:rsidR="006B519E" w:rsidRPr="006B7643">
        <w:rPr>
          <w:lang w:val="de-DE"/>
        </w:rPr>
        <w:instrText xml:space="preserve"> AUTONUM  </w:instrText>
      </w:r>
      <w:r w:rsidRPr="006054BD">
        <w:fldChar w:fldCharType="end"/>
      </w:r>
      <w:r w:rsidR="008C222D">
        <w:rPr>
          <w:lang w:val="de-DE"/>
        </w:rPr>
        <w:tab/>
        <w:t>Das</w:t>
      </w:r>
      <w:r w:rsidR="006B519E" w:rsidRPr="006B7643">
        <w:rPr>
          <w:lang w:val="de-DE"/>
        </w:rPr>
        <w:t xml:space="preserve"> </w:t>
      </w:r>
      <w:r w:rsidR="006B7643" w:rsidRPr="006B7643">
        <w:rPr>
          <w:lang w:val="de-DE"/>
        </w:rPr>
        <w:t>Verbandsbüro stellte Unterstützung bezüglich der Rechtsvorschriften über den Sortenschutz für folgende Mitglieder bereit:  Kanada, Kolumbien, Nicaragua und Panama</w:t>
      </w:r>
      <w:r w:rsidR="006B519E" w:rsidRPr="006B7643">
        <w:rPr>
          <w:lang w:val="de-DE"/>
        </w:rPr>
        <w:t>.</w:t>
      </w:r>
    </w:p>
    <w:p w:rsidR="006B519E" w:rsidRPr="006B7643" w:rsidRDefault="006B519E" w:rsidP="006B519E">
      <w:pPr>
        <w:pStyle w:val="BodyText"/>
        <w:rPr>
          <w:lang w:val="de-DE"/>
        </w:rPr>
      </w:pPr>
    </w:p>
    <w:p w:rsidR="006B519E" w:rsidRPr="006B7643" w:rsidRDefault="004A094B" w:rsidP="009443F5">
      <w:pPr>
        <w:pStyle w:val="BodyText"/>
        <w:rPr>
          <w:lang w:val="de-DE"/>
        </w:rPr>
      </w:pPr>
      <w:r w:rsidRPr="006054BD">
        <w:fldChar w:fldCharType="begin"/>
      </w:r>
      <w:r w:rsidR="006B519E" w:rsidRPr="006B7643">
        <w:rPr>
          <w:lang w:val="de-DE"/>
        </w:rPr>
        <w:instrText xml:space="preserve"> AUTONUM  </w:instrText>
      </w:r>
      <w:r w:rsidRPr="006054BD">
        <w:fldChar w:fldCharType="end"/>
      </w:r>
      <w:r w:rsidR="006B519E" w:rsidRPr="006B7643">
        <w:rPr>
          <w:lang w:val="de-DE"/>
        </w:rPr>
        <w:tab/>
      </w:r>
      <w:r w:rsidR="006B7643">
        <w:rPr>
          <w:lang w:val="de-DE"/>
        </w:rPr>
        <w:t>Das Büro</w:t>
      </w:r>
      <w:r w:rsidR="006B7643" w:rsidRPr="006B7643">
        <w:rPr>
          <w:lang w:val="de-DE"/>
        </w:rPr>
        <w:t xml:space="preserve"> erteilte folgenden Verbandsmitgliedern Informationen über die Anforderungen für die Hinterlegung einer Urkunde über den Beitritt bzw. die Ratifizierung der Akte von 1991 des UPOV</w:t>
      </w:r>
      <w:r w:rsidR="006B7643" w:rsidRPr="006B7643">
        <w:rPr>
          <w:lang w:val="de-DE"/>
        </w:rPr>
        <w:noBreakHyphen/>
        <w:t xml:space="preserve">Übereinkommens: Bahrain, Frankreich, Honduras, </w:t>
      </w:r>
      <w:r w:rsidR="009443F5" w:rsidRPr="006B7643">
        <w:rPr>
          <w:lang w:val="de-DE"/>
        </w:rPr>
        <w:t xml:space="preserve">Kambodscha, Kolumbien, </w:t>
      </w:r>
      <w:r w:rsidR="006B7643" w:rsidRPr="006B7643">
        <w:rPr>
          <w:lang w:val="de-DE"/>
        </w:rPr>
        <w:t>Nicaragua, Panama und Serbien</w:t>
      </w:r>
      <w:r w:rsidR="006B519E" w:rsidRPr="006B7643">
        <w:rPr>
          <w:lang w:val="de-DE"/>
        </w:rPr>
        <w:t>.</w:t>
      </w:r>
    </w:p>
    <w:p w:rsidR="006B519E" w:rsidRPr="006B7643" w:rsidRDefault="006B519E" w:rsidP="006B519E">
      <w:pPr>
        <w:rPr>
          <w:lang w:val="de-DE"/>
        </w:rPr>
      </w:pPr>
    </w:p>
    <w:p w:rsidR="006B519E" w:rsidRPr="006B7643" w:rsidRDefault="004A094B" w:rsidP="00373D38">
      <w:pPr>
        <w:rPr>
          <w:lang w:val="de-DE"/>
        </w:rPr>
      </w:pPr>
      <w:r w:rsidRPr="006054BD">
        <w:fldChar w:fldCharType="begin"/>
      </w:r>
      <w:r w:rsidR="006B519E" w:rsidRPr="006B7643">
        <w:rPr>
          <w:lang w:val="de-DE"/>
        </w:rPr>
        <w:instrText xml:space="preserve"> AUTONUM  </w:instrText>
      </w:r>
      <w:r w:rsidRPr="006054BD">
        <w:fldChar w:fldCharType="end"/>
      </w:r>
      <w:r w:rsidR="006B519E" w:rsidRPr="006B7643">
        <w:rPr>
          <w:lang w:val="de-DE"/>
        </w:rPr>
        <w:tab/>
      </w:r>
      <w:r w:rsidR="006B7643">
        <w:rPr>
          <w:lang w:val="de-DE"/>
        </w:rPr>
        <w:t>Das Büro</w:t>
      </w:r>
      <w:r w:rsidR="006B7643" w:rsidRPr="006B7643">
        <w:rPr>
          <w:lang w:val="de-DE"/>
        </w:rPr>
        <w:t xml:space="preserve"> stellte Beratung und Unterstützung bezüglich der Ausarbeitung von Rechtsvorschriften über den Sortenschutz gemäß der Akte von 1991 des UPOV Übereinkommens und/oder </w:t>
      </w:r>
      <w:r w:rsidR="00373D38">
        <w:rPr>
          <w:lang w:val="de-DE"/>
        </w:rPr>
        <w:t>des</w:t>
      </w:r>
      <w:r w:rsidR="006B7643" w:rsidRPr="006B7643">
        <w:rPr>
          <w:lang w:val="de-DE"/>
        </w:rPr>
        <w:t xml:space="preserve"> Verfahren</w:t>
      </w:r>
      <w:r w:rsidR="00373D38">
        <w:rPr>
          <w:lang w:val="de-DE"/>
        </w:rPr>
        <w:t>s</w:t>
      </w:r>
      <w:r w:rsidR="006B7643" w:rsidRPr="006B7643">
        <w:rPr>
          <w:lang w:val="de-DE"/>
        </w:rPr>
        <w:t xml:space="preserve"> für den Beitritt zum Übereinkommen für potentielle Verbandsmitglieder bereit. Das Büro gab schriftliche oder mündliche Bemerkungen ab, </w:t>
      </w:r>
      <w:proofErr w:type="gramStart"/>
      <w:r w:rsidR="006B7643" w:rsidRPr="006B7643">
        <w:rPr>
          <w:lang w:val="de-DE"/>
        </w:rPr>
        <w:t>stattete</w:t>
      </w:r>
      <w:proofErr w:type="gramEnd"/>
      <w:r w:rsidR="006B7643" w:rsidRPr="006B7643">
        <w:rPr>
          <w:lang w:val="de-DE"/>
        </w:rPr>
        <w:t xml:space="preserve"> Besuche bei Behörden ab oder empfing Vertreter der entsprechenden Staaten und Organisationen, um die gewünschte Beratung zu erteilen. In dieser Hinsicht unterhielt das Büro Kontakte mit </w:t>
      </w:r>
      <w:r w:rsidR="008C222D" w:rsidRPr="006B7643">
        <w:rPr>
          <w:lang w:val="de-DE"/>
        </w:rPr>
        <w:t>Äquatorialguinea</w:t>
      </w:r>
      <w:r w:rsidR="008C222D">
        <w:rPr>
          <w:lang w:val="de-DE"/>
        </w:rPr>
        <w:t>,</w:t>
      </w:r>
      <w:r w:rsidR="008C222D" w:rsidRPr="006B7643">
        <w:rPr>
          <w:lang w:val="de-DE"/>
        </w:rPr>
        <w:t xml:space="preserve"> </w:t>
      </w:r>
      <w:r w:rsidR="006B7643" w:rsidRPr="006B7643">
        <w:rPr>
          <w:lang w:val="de-DE"/>
        </w:rPr>
        <w:t>Bosnien und Herzegowina, Brunei Darussalam, Demokratische Volksrepublik Laos,</w:t>
      </w:r>
      <w:r w:rsidR="00373D38">
        <w:rPr>
          <w:lang w:val="de-DE"/>
        </w:rPr>
        <w:t xml:space="preserve"> </w:t>
      </w:r>
      <w:r w:rsidR="009443F5" w:rsidRPr="006B7643">
        <w:rPr>
          <w:lang w:val="de-DE"/>
        </w:rPr>
        <w:t>Ghana,</w:t>
      </w:r>
      <w:r w:rsidR="009443F5">
        <w:rPr>
          <w:lang w:val="de-DE"/>
        </w:rPr>
        <w:t xml:space="preserve"> </w:t>
      </w:r>
      <w:r w:rsidR="006B7643" w:rsidRPr="006B7643">
        <w:rPr>
          <w:lang w:val="de-DE"/>
        </w:rPr>
        <w:t>Malaysia, Myanmar, Pakistan, Philippinen, Simbabwe, Thailand und Vereinigte Republik Tansania</w:t>
      </w:r>
      <w:r w:rsidR="006B519E" w:rsidRPr="006B7643">
        <w:rPr>
          <w:lang w:val="de-DE"/>
        </w:rPr>
        <w:t>.</w:t>
      </w:r>
    </w:p>
    <w:p w:rsidR="006B519E" w:rsidRPr="006B7643" w:rsidRDefault="006B519E" w:rsidP="006B519E">
      <w:pPr>
        <w:pStyle w:val="BodyText"/>
        <w:rPr>
          <w:lang w:val="de-DE"/>
        </w:rPr>
      </w:pPr>
    </w:p>
    <w:p w:rsidR="00951672" w:rsidRPr="006B7643" w:rsidRDefault="004A094B" w:rsidP="008C222D">
      <w:pPr>
        <w:rPr>
          <w:lang w:val="de-DE"/>
        </w:rPr>
      </w:pPr>
      <w:r w:rsidRPr="006054BD">
        <w:fldChar w:fldCharType="begin"/>
      </w:r>
      <w:r w:rsidR="006B519E" w:rsidRPr="006B7643">
        <w:rPr>
          <w:lang w:val="de-DE"/>
        </w:rPr>
        <w:instrText xml:space="preserve"> AUTONUM  </w:instrText>
      </w:r>
      <w:r w:rsidRPr="006054BD">
        <w:fldChar w:fldCharType="end"/>
      </w:r>
      <w:r w:rsidR="006B519E" w:rsidRPr="006B7643">
        <w:rPr>
          <w:lang w:val="de-DE"/>
        </w:rPr>
        <w:tab/>
      </w:r>
      <w:r w:rsidR="006B7643">
        <w:rPr>
          <w:lang w:val="de-DE"/>
        </w:rPr>
        <w:t>Das Büro</w:t>
      </w:r>
      <w:r w:rsidR="006B7643" w:rsidRPr="006B7643">
        <w:rPr>
          <w:lang w:val="de-DE"/>
        </w:rPr>
        <w:t xml:space="preserve"> kam mit Vertretern zwischenstaatlicher Organisationen zusammen, um die Tätigkeiten zu koordinieren oder Informationen über die UPOV zu erteilen. Das Büro nahm an Tagungen und Erörterungen </w:t>
      </w:r>
      <w:r w:rsidR="008C222D">
        <w:rPr>
          <w:lang w:val="de-DE"/>
        </w:rPr>
        <w:t xml:space="preserve">mit </w:t>
      </w:r>
      <w:r w:rsidR="006B7643" w:rsidRPr="006B7643">
        <w:rPr>
          <w:lang w:val="de-DE"/>
        </w:rPr>
        <w:t>folgende</w:t>
      </w:r>
      <w:r w:rsidR="008C222D">
        <w:rPr>
          <w:lang w:val="de-DE"/>
        </w:rPr>
        <w:t>n</w:t>
      </w:r>
      <w:r w:rsidR="006B7643" w:rsidRPr="006B7643">
        <w:rPr>
          <w:lang w:val="de-DE"/>
        </w:rPr>
        <w:t xml:space="preserve"> Organisationen teil: ARIPO, ECO, FAO, IDLO, ISTA, OAPI, OECD, WIPO und WTO</w:t>
      </w:r>
      <w:r w:rsidR="006B519E" w:rsidRPr="006B7643">
        <w:rPr>
          <w:lang w:val="de-DE"/>
        </w:rPr>
        <w:t>.</w:t>
      </w:r>
    </w:p>
    <w:p w:rsidR="006B519E" w:rsidRPr="006B7643" w:rsidRDefault="006B519E" w:rsidP="006B519E">
      <w:pPr>
        <w:rPr>
          <w:lang w:val="de-DE"/>
        </w:rPr>
      </w:pPr>
    </w:p>
    <w:p w:rsidR="006B519E" w:rsidRPr="006B7643" w:rsidRDefault="004A094B" w:rsidP="008C222D">
      <w:pPr>
        <w:pStyle w:val="BodyText"/>
        <w:rPr>
          <w:lang w:val="de-DE"/>
        </w:rPr>
      </w:pPr>
      <w:r w:rsidRPr="006054BD">
        <w:fldChar w:fldCharType="begin"/>
      </w:r>
      <w:r w:rsidR="006B519E" w:rsidRPr="006B7643">
        <w:rPr>
          <w:lang w:val="de-DE"/>
        </w:rPr>
        <w:instrText xml:space="preserve"> AUTONUM  </w:instrText>
      </w:r>
      <w:r w:rsidRPr="006054BD">
        <w:fldChar w:fldCharType="end"/>
      </w:r>
      <w:r w:rsidR="006B7643">
        <w:rPr>
          <w:lang w:val="de-DE"/>
        </w:rPr>
        <w:tab/>
        <w:t>Das</w:t>
      </w:r>
      <w:r w:rsidR="006B519E" w:rsidRPr="006B7643">
        <w:rPr>
          <w:lang w:val="de-DE"/>
        </w:rPr>
        <w:t xml:space="preserve"> </w:t>
      </w:r>
      <w:r w:rsidR="006B7643" w:rsidRPr="006B7643">
        <w:rPr>
          <w:lang w:val="de-DE"/>
        </w:rPr>
        <w:t xml:space="preserve">Verbandsbüro nahm an </w:t>
      </w:r>
      <w:r w:rsidR="008C222D">
        <w:rPr>
          <w:lang w:val="de-DE"/>
        </w:rPr>
        <w:t>Veranstaltungen</w:t>
      </w:r>
      <w:r w:rsidR="006B7643" w:rsidRPr="006B7643">
        <w:rPr>
          <w:lang w:val="de-DE"/>
        </w:rPr>
        <w:t xml:space="preserve"> von folgenden Berufsverbänden teil, um die Entwicklungen bei der praktischen Anwendung des Sortenschutzes auf weltweiter und regionaler Ebene zu verfolgen:  AFSTA, APSA, CIOPORA, ESA, FELAS und ISF</w:t>
      </w:r>
      <w:r w:rsidR="006B519E" w:rsidRPr="006B7643">
        <w:rPr>
          <w:lang w:val="de-DE"/>
        </w:rPr>
        <w:t>.</w:t>
      </w:r>
    </w:p>
    <w:p w:rsidR="006B519E" w:rsidRPr="006B7643" w:rsidRDefault="006B519E" w:rsidP="006B519E">
      <w:pPr>
        <w:rPr>
          <w:strike/>
          <w:lang w:val="de-DE"/>
        </w:rPr>
      </w:pPr>
    </w:p>
    <w:p w:rsidR="006B519E" w:rsidRPr="006B7643" w:rsidRDefault="006B519E" w:rsidP="006B519E">
      <w:pPr>
        <w:rPr>
          <w:lang w:val="de-DE"/>
        </w:rPr>
      </w:pPr>
    </w:p>
    <w:p w:rsidR="006B519E" w:rsidRPr="006B7643" w:rsidRDefault="006B519E" w:rsidP="006B519E">
      <w:pPr>
        <w:rPr>
          <w:lang w:val="de-DE"/>
        </w:rPr>
      </w:pPr>
    </w:p>
    <w:p w:rsidR="006B519E" w:rsidRPr="006B7643" w:rsidRDefault="006B519E" w:rsidP="006B7643">
      <w:pPr>
        <w:pStyle w:val="Heading1"/>
        <w:rPr>
          <w:lang w:val="de-DE"/>
        </w:rPr>
      </w:pPr>
      <w:bookmarkStart w:id="46" w:name="_Toc368400890"/>
      <w:r w:rsidRPr="006B7643">
        <w:rPr>
          <w:lang w:val="de-DE"/>
        </w:rPr>
        <w:t>V.</w:t>
      </w:r>
      <w:r w:rsidRPr="006B7643">
        <w:rPr>
          <w:lang w:val="de-DE"/>
        </w:rPr>
        <w:tab/>
      </w:r>
      <w:r w:rsidR="007E0074" w:rsidRPr="006B7643">
        <w:rPr>
          <w:lang w:val="de-DE"/>
        </w:rPr>
        <w:t>VERÖFFENTLICHUNG</w:t>
      </w:r>
      <w:r w:rsidR="006B7643" w:rsidRPr="006B7643">
        <w:rPr>
          <w:lang w:val="de-DE"/>
        </w:rPr>
        <w:t>En</w:t>
      </w:r>
      <w:bookmarkEnd w:id="46"/>
    </w:p>
    <w:p w:rsidR="006B519E" w:rsidRPr="006B7643" w:rsidRDefault="006B519E" w:rsidP="006B519E">
      <w:pPr>
        <w:keepNext/>
        <w:rPr>
          <w:lang w:val="de-DE"/>
        </w:rPr>
      </w:pPr>
    </w:p>
    <w:p w:rsidR="006B7643" w:rsidRPr="006B7643" w:rsidRDefault="004A094B" w:rsidP="006B7643">
      <w:pPr>
        <w:keepNext/>
        <w:rPr>
          <w:lang w:val="de-DE"/>
        </w:rPr>
      </w:pPr>
      <w:r w:rsidRPr="006054BD">
        <w:fldChar w:fldCharType="begin"/>
      </w:r>
      <w:r w:rsidR="006B519E" w:rsidRPr="006B7643">
        <w:rPr>
          <w:lang w:val="de-DE"/>
        </w:rPr>
        <w:instrText xml:space="preserve"> AUTONUM  </w:instrText>
      </w:r>
      <w:r w:rsidRPr="006054BD">
        <w:fldChar w:fldCharType="end"/>
      </w:r>
      <w:r w:rsidR="006B7643">
        <w:rPr>
          <w:lang w:val="de-DE"/>
        </w:rPr>
        <w:tab/>
        <w:t>Das</w:t>
      </w:r>
      <w:r w:rsidR="006B519E" w:rsidRPr="006B7643">
        <w:rPr>
          <w:lang w:val="de-DE"/>
        </w:rPr>
        <w:t xml:space="preserve"> </w:t>
      </w:r>
      <w:r w:rsidR="006B7643" w:rsidRPr="006B7643">
        <w:rPr>
          <w:lang w:val="de-DE"/>
        </w:rPr>
        <w:t>Büro veröffentlichte:</w:t>
      </w:r>
    </w:p>
    <w:p w:rsidR="006B7643" w:rsidRPr="006B7643" w:rsidRDefault="006B7643" w:rsidP="006B7643">
      <w:pPr>
        <w:keepNext/>
        <w:rPr>
          <w:lang w:val="de-DE"/>
        </w:rPr>
      </w:pPr>
    </w:p>
    <w:p w:rsidR="006B7643" w:rsidRPr="006B7643" w:rsidRDefault="006B7643" w:rsidP="006B7643">
      <w:pPr>
        <w:ind w:firstLine="567"/>
        <w:rPr>
          <w:lang w:val="de-DE"/>
        </w:rPr>
      </w:pPr>
      <w:r w:rsidRPr="006B7643">
        <w:rPr>
          <w:lang w:val="de-DE"/>
        </w:rPr>
        <w:t>a)</w:t>
      </w:r>
      <w:r w:rsidRPr="006B7643">
        <w:rPr>
          <w:lang w:val="de-DE"/>
        </w:rPr>
        <w:tab/>
        <w:t>eine Ausgabe (Nr. 105) des Amts- und Nachrichtenblattes der UPOV, „</w:t>
      </w:r>
      <w:r w:rsidRPr="006B7643">
        <w:rPr>
          <w:i/>
          <w:lang w:val="de-DE"/>
        </w:rPr>
        <w:t>Plant Variety Protection</w:t>
      </w:r>
      <w:r w:rsidRPr="006B7643">
        <w:rPr>
          <w:lang w:val="de-DE"/>
        </w:rPr>
        <w:t>“ in elektronischem Format;</w:t>
      </w:r>
    </w:p>
    <w:p w:rsidR="006B7643" w:rsidRPr="006B7643" w:rsidRDefault="006B7643" w:rsidP="006B7643">
      <w:pPr>
        <w:rPr>
          <w:lang w:val="de-DE"/>
        </w:rPr>
      </w:pPr>
    </w:p>
    <w:p w:rsidR="006B7643" w:rsidRPr="006B7643" w:rsidRDefault="006B7643" w:rsidP="006B7643">
      <w:pPr>
        <w:ind w:firstLine="567"/>
        <w:rPr>
          <w:lang w:val="de-DE"/>
        </w:rPr>
      </w:pPr>
      <w:r w:rsidRPr="006B7643">
        <w:rPr>
          <w:lang w:val="de-DE"/>
        </w:rPr>
        <w:t>b)</w:t>
      </w:r>
      <w:r w:rsidRPr="006B7643">
        <w:rPr>
          <w:lang w:val="de-DE"/>
        </w:rPr>
        <w:tab/>
        <w:t xml:space="preserve">sieben aktualisierte CD-ROM der „UPOV Datenbank für Pflanzensorten“ (einschließlich zweier Aktualisierungen von 2011); </w:t>
      </w:r>
    </w:p>
    <w:p w:rsidR="006B7643" w:rsidRPr="006B7643" w:rsidRDefault="006B7643" w:rsidP="006B7643">
      <w:pPr>
        <w:rPr>
          <w:lang w:val="de-DE"/>
        </w:rPr>
      </w:pPr>
    </w:p>
    <w:p w:rsidR="006B7643" w:rsidRPr="006B7643" w:rsidRDefault="006B7643" w:rsidP="006B7643">
      <w:pPr>
        <w:ind w:firstLine="567"/>
        <w:rPr>
          <w:lang w:val="de-DE"/>
        </w:rPr>
      </w:pPr>
      <w:r w:rsidRPr="006B7643">
        <w:rPr>
          <w:lang w:val="de-DE"/>
        </w:rPr>
        <w:t>c)</w:t>
      </w:r>
      <w:r w:rsidRPr="006B7643">
        <w:rPr>
          <w:lang w:val="de-DE"/>
        </w:rPr>
        <w:tab/>
        <w:t xml:space="preserve">neun vom Rat auf seiner neunundzwanzigsten außerordentlichen Tagung am 30. März 2012 und auf seiner sechsundvierzigsten ordentlichen Tagung am 1. November 2012 angenommene </w:t>
      </w:r>
      <w:r w:rsidR="007C2539">
        <w:rPr>
          <w:lang w:val="de-DE"/>
        </w:rPr>
        <w:tab/>
      </w:r>
      <w:r w:rsidRPr="006B7643">
        <w:rPr>
          <w:lang w:val="de-DE"/>
        </w:rPr>
        <w:t>und auf der UPOV-Website veröffentlichte Dokumente:</w:t>
      </w:r>
    </w:p>
    <w:p w:rsidR="006B7643" w:rsidRPr="006B7643" w:rsidRDefault="006B7643" w:rsidP="006B7643">
      <w:pPr>
        <w:rPr>
          <w:lang w:val="de-DE"/>
        </w:rPr>
      </w:pPr>
    </w:p>
    <w:p w:rsidR="006B7643" w:rsidRPr="006B7643" w:rsidRDefault="006B7643" w:rsidP="0023631E">
      <w:pPr>
        <w:tabs>
          <w:tab w:val="left" w:pos="2268"/>
        </w:tabs>
        <w:ind w:left="2268" w:hanging="1701"/>
        <w:rPr>
          <w:lang w:val="de-DE"/>
        </w:rPr>
      </w:pPr>
      <w:r w:rsidRPr="006B7643">
        <w:rPr>
          <w:lang w:val="de-DE"/>
        </w:rPr>
        <w:t>UPOV/INF/4/2</w:t>
      </w:r>
      <w:r w:rsidR="0023631E">
        <w:rPr>
          <w:lang w:val="de-DE"/>
        </w:rPr>
        <w:tab/>
      </w:r>
      <w:r w:rsidRPr="006B7643">
        <w:rPr>
          <w:lang w:val="de-DE"/>
        </w:rPr>
        <w:t>Finanzordnung und ihre Durchführungsbestimmungen der UPOV (Überarbeitung)</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 xml:space="preserve">UPOV/INF/12/4 </w:t>
      </w:r>
      <w:r w:rsidRPr="006B7643">
        <w:rPr>
          <w:lang w:val="de-DE"/>
        </w:rPr>
        <w:tab/>
        <w:t xml:space="preserve">Erläuterungen zu Sortenbezeichnungen nach dem UPOV-Übereinkommen" </w:t>
      </w:r>
      <w:r w:rsidR="007C2539">
        <w:rPr>
          <w:lang w:val="de-DE"/>
        </w:rPr>
        <w:tab/>
      </w:r>
      <w:r w:rsidR="0023631E">
        <w:rPr>
          <w:lang w:val="de-DE"/>
        </w:rPr>
        <w:t>(Überarbeitung)</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 xml:space="preserve">UPOV/INF/19/1 </w:t>
      </w:r>
      <w:r w:rsidRPr="006B7643">
        <w:rPr>
          <w:lang w:val="de-DE"/>
        </w:rPr>
        <w:tab/>
        <w:t xml:space="preserve">Regeln für die Erteilung des Beobachterstatus an Staaten, zwischenstaatliche </w:t>
      </w:r>
      <w:r w:rsidR="008C222D">
        <w:rPr>
          <w:lang w:val="de-DE"/>
        </w:rPr>
        <w:tab/>
      </w:r>
      <w:r w:rsidRPr="006B7643">
        <w:rPr>
          <w:lang w:val="de-DE"/>
        </w:rPr>
        <w:t>Organisationen und internationale Nichtr</w:t>
      </w:r>
      <w:r w:rsidR="0023631E">
        <w:rPr>
          <w:lang w:val="de-DE"/>
        </w:rPr>
        <w:t>egierungsorganisationen bei UPOV-</w:t>
      </w:r>
      <w:r w:rsidR="007C2539">
        <w:rPr>
          <w:lang w:val="de-DE"/>
        </w:rPr>
        <w:tab/>
      </w:r>
      <w:r w:rsidR="0023631E">
        <w:rPr>
          <w:lang w:val="de-DE"/>
        </w:rPr>
        <w:t>Organen (Überarbeitung)</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 xml:space="preserve">UPOV/INF/20/1 </w:t>
      </w:r>
      <w:r w:rsidRPr="006B7643">
        <w:rPr>
          <w:lang w:val="de-DE"/>
        </w:rPr>
        <w:tab/>
        <w:t xml:space="preserve">Regeln für den Zugang zu </w:t>
      </w:r>
      <w:r w:rsidR="0023631E">
        <w:rPr>
          <w:lang w:val="de-DE"/>
        </w:rPr>
        <w:t>UPOV-Dokumenten (Überarbeitung)</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 xml:space="preserve">UPOV/INF/21/1 </w:t>
      </w:r>
      <w:r w:rsidR="002A0864">
        <w:rPr>
          <w:lang w:val="de-DE"/>
        </w:rPr>
        <w:tab/>
      </w:r>
      <w:r w:rsidRPr="006B7643">
        <w:rPr>
          <w:lang w:val="de-DE"/>
        </w:rPr>
        <w:t xml:space="preserve">Alternative </w:t>
      </w:r>
      <w:r w:rsidR="0023631E">
        <w:rPr>
          <w:lang w:val="de-DE"/>
        </w:rPr>
        <w:t>Mechanismen zur Streitbeilegung</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UPOV/INF-EXN/2</w:t>
      </w:r>
      <w:r w:rsidRPr="006B7643">
        <w:rPr>
          <w:lang w:val="de-DE"/>
        </w:rPr>
        <w:tab/>
        <w:t xml:space="preserve">Liste der INF-EXN-Dokumente und Datum der jüngsten Ausgabe (Überarbeitung) </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UPOV/INF-EXN/3</w:t>
      </w:r>
      <w:r w:rsidR="002A0864">
        <w:rPr>
          <w:lang w:val="de-DE"/>
        </w:rPr>
        <w:tab/>
      </w:r>
      <w:r w:rsidRPr="006B7643">
        <w:rPr>
          <w:lang w:val="de-DE"/>
        </w:rPr>
        <w:t xml:space="preserve">Liste der UPOV/INF-EXN-Dokumente und Datum der jüngsten Ausgabe </w:t>
      </w:r>
      <w:r w:rsidR="007C2539">
        <w:rPr>
          <w:lang w:val="de-DE"/>
        </w:rPr>
        <w:tab/>
      </w:r>
      <w:r w:rsidRPr="006B7643">
        <w:rPr>
          <w:lang w:val="de-DE"/>
        </w:rPr>
        <w:t>(Überarbeitung)</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T</w:t>
      </w:r>
      <w:r w:rsidR="0023631E">
        <w:rPr>
          <w:lang w:val="de-DE"/>
        </w:rPr>
        <w:t>G</w:t>
      </w:r>
      <w:r w:rsidRPr="006B7643">
        <w:rPr>
          <w:lang w:val="de-DE"/>
        </w:rPr>
        <w:t>P/12/2</w:t>
      </w:r>
      <w:r w:rsidRPr="006B7643">
        <w:rPr>
          <w:lang w:val="de-DE"/>
        </w:rPr>
        <w:tab/>
      </w:r>
      <w:r w:rsidRPr="006B7643">
        <w:rPr>
          <w:lang w:val="de-DE"/>
        </w:rPr>
        <w:tab/>
        <w:t>Anleitung zu bestimmten physiologi</w:t>
      </w:r>
      <w:r w:rsidR="0023631E">
        <w:rPr>
          <w:lang w:val="de-DE"/>
        </w:rPr>
        <w:t>schen Merkmalen (Überarbeitung)</w:t>
      </w:r>
    </w:p>
    <w:p w:rsidR="006B7643" w:rsidRPr="006B7643" w:rsidRDefault="006B7643" w:rsidP="0023631E">
      <w:pPr>
        <w:tabs>
          <w:tab w:val="left" w:pos="2268"/>
        </w:tabs>
        <w:ind w:left="2268" w:hanging="1701"/>
        <w:rPr>
          <w:lang w:val="de-DE"/>
        </w:rPr>
      </w:pPr>
    </w:p>
    <w:p w:rsidR="006B7643" w:rsidRPr="006B7643" w:rsidRDefault="006B7643" w:rsidP="0023631E">
      <w:pPr>
        <w:tabs>
          <w:tab w:val="left" w:pos="2268"/>
        </w:tabs>
        <w:ind w:left="2268" w:hanging="1701"/>
        <w:rPr>
          <w:lang w:val="de-DE"/>
        </w:rPr>
      </w:pPr>
      <w:r w:rsidRPr="006B7643">
        <w:rPr>
          <w:lang w:val="de-DE"/>
        </w:rPr>
        <w:t>TGP/0/5</w:t>
      </w:r>
      <w:r w:rsidRPr="006B7643">
        <w:rPr>
          <w:lang w:val="de-DE"/>
        </w:rPr>
        <w:tab/>
      </w:r>
      <w:r w:rsidRPr="006B7643">
        <w:rPr>
          <w:lang w:val="de-DE"/>
        </w:rPr>
        <w:tab/>
        <w:t>Liste der TGP-Dokumente und Datum der j</w:t>
      </w:r>
      <w:r w:rsidR="0023631E">
        <w:rPr>
          <w:lang w:val="de-DE"/>
        </w:rPr>
        <w:t>üngsten Ausgabe (Überarbeitung)</w:t>
      </w:r>
    </w:p>
    <w:p w:rsidR="006B7643" w:rsidRPr="006B7643" w:rsidRDefault="006B7643" w:rsidP="006B7643">
      <w:pPr>
        <w:rPr>
          <w:lang w:val="de-DE"/>
        </w:rPr>
      </w:pPr>
    </w:p>
    <w:p w:rsidR="00A9165A" w:rsidRDefault="006B7643" w:rsidP="006B7643">
      <w:pPr>
        <w:keepNext/>
        <w:rPr>
          <w:lang w:val="de-DE"/>
        </w:rPr>
      </w:pPr>
      <w:r w:rsidRPr="006B7643">
        <w:rPr>
          <w:lang w:val="de-DE"/>
        </w:rPr>
        <w:t>d)</w:t>
      </w:r>
      <w:r w:rsidRPr="006B7643">
        <w:rPr>
          <w:lang w:val="de-DE"/>
        </w:rPr>
        <w:tab/>
        <w:t>folgende Prüfungsrichtlinien wurden vom TC auf seiner achtundvierzigsten Tagung angenommen</w:t>
      </w:r>
      <w:r w:rsidR="00A9165A" w:rsidRPr="006B7643">
        <w:rPr>
          <w:lang w:val="de-DE"/>
        </w:rPr>
        <w:t>:</w:t>
      </w:r>
    </w:p>
    <w:p w:rsidR="006B7643" w:rsidRDefault="006B7643" w:rsidP="006B7643">
      <w:pPr>
        <w:keepNext/>
        <w:rPr>
          <w:lang w:val="de-DE"/>
        </w:rPr>
      </w:pPr>
    </w:p>
    <w:tbl>
      <w:tblPr>
        <w:tblW w:w="9781"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15"/>
        <w:gridCol w:w="1510"/>
        <w:gridCol w:w="1225"/>
        <w:gridCol w:w="1474"/>
        <w:gridCol w:w="1467"/>
        <w:gridCol w:w="2290"/>
      </w:tblGrid>
      <w:tr w:rsidR="00B962A4" w:rsidRPr="00950A5E" w:rsidTr="00B962A4">
        <w:trPr>
          <w:tblHeader/>
          <w:jc w:val="center"/>
        </w:trPr>
        <w:tc>
          <w:tcPr>
            <w:tcW w:w="1815" w:type="dxa"/>
            <w:shd w:val="clear" w:color="auto" w:fill="E6E6E6"/>
            <w:vAlign w:val="center"/>
          </w:tcPr>
          <w:p w:rsidR="00B962A4" w:rsidRPr="00950A5E" w:rsidRDefault="00B962A4" w:rsidP="00D807C9">
            <w:pPr>
              <w:keepNext/>
              <w:spacing w:before="60" w:after="60"/>
              <w:jc w:val="left"/>
              <w:rPr>
                <w:rFonts w:cs="Arial"/>
                <w:snapToGrid w:val="0"/>
                <w:sz w:val="16"/>
                <w:szCs w:val="16"/>
                <w:lang w:val="fr-FR"/>
              </w:rPr>
            </w:pPr>
            <w:r w:rsidRPr="00950A5E">
              <w:rPr>
                <w:rFonts w:cs="Arial"/>
                <w:snapToGrid w:val="0"/>
                <w:sz w:val="16"/>
                <w:szCs w:val="16"/>
                <w:lang w:val="fr-FR"/>
              </w:rPr>
              <w:t>Document No.</w:t>
            </w:r>
            <w:r w:rsidRPr="00950A5E">
              <w:rPr>
                <w:rFonts w:cs="Arial"/>
                <w:snapToGrid w:val="0"/>
                <w:sz w:val="16"/>
                <w:szCs w:val="16"/>
                <w:lang w:val="fr-FR"/>
              </w:rPr>
              <w:br/>
              <w:t>N</w:t>
            </w:r>
            <w:r w:rsidRPr="00950A5E">
              <w:rPr>
                <w:rFonts w:cs="Arial"/>
                <w:snapToGrid w:val="0"/>
                <w:sz w:val="16"/>
                <w:szCs w:val="16"/>
                <w:vertAlign w:val="superscript"/>
                <w:lang w:val="fr-FR"/>
              </w:rPr>
              <w:t>° </w:t>
            </w:r>
            <w:r w:rsidRPr="00950A5E">
              <w:rPr>
                <w:rFonts w:cs="Arial"/>
                <w:snapToGrid w:val="0"/>
                <w:sz w:val="16"/>
                <w:szCs w:val="16"/>
                <w:lang w:val="fr-FR"/>
              </w:rPr>
              <w:t>du document</w:t>
            </w:r>
            <w:r w:rsidRPr="00950A5E">
              <w:rPr>
                <w:rFonts w:cs="Arial"/>
                <w:snapToGrid w:val="0"/>
                <w:sz w:val="16"/>
                <w:szCs w:val="16"/>
                <w:lang w:val="fr-FR"/>
              </w:rPr>
              <w:br/>
              <w:t>Dokument-Nr</w:t>
            </w:r>
            <w:proofErr w:type="gramStart"/>
            <w:r w:rsidRPr="00950A5E">
              <w:rPr>
                <w:rFonts w:cs="Arial"/>
                <w:snapToGrid w:val="0"/>
                <w:sz w:val="16"/>
                <w:szCs w:val="16"/>
                <w:lang w:val="fr-FR"/>
              </w:rPr>
              <w:t>.</w:t>
            </w:r>
            <w:proofErr w:type="gramEnd"/>
            <w:r w:rsidRPr="00950A5E">
              <w:rPr>
                <w:rFonts w:cs="Arial"/>
                <w:snapToGrid w:val="0"/>
                <w:sz w:val="16"/>
                <w:szCs w:val="16"/>
                <w:lang w:val="fr-FR"/>
              </w:rPr>
              <w:br/>
              <w:t>No del documento</w:t>
            </w:r>
          </w:p>
        </w:tc>
        <w:tc>
          <w:tcPr>
            <w:tcW w:w="1510" w:type="dxa"/>
            <w:shd w:val="clear" w:color="auto" w:fill="E6E6E6"/>
            <w:vAlign w:val="center"/>
          </w:tcPr>
          <w:p w:rsidR="00B962A4" w:rsidRPr="00950A5E" w:rsidRDefault="00B962A4" w:rsidP="00D807C9">
            <w:pPr>
              <w:keepNext/>
              <w:spacing w:before="60" w:after="60"/>
              <w:jc w:val="left"/>
              <w:rPr>
                <w:rFonts w:cs="Arial"/>
                <w:snapToGrid w:val="0"/>
                <w:sz w:val="16"/>
                <w:szCs w:val="16"/>
                <w:lang w:val="fr-FR"/>
              </w:rPr>
            </w:pPr>
            <w:r w:rsidRPr="00950A5E">
              <w:rPr>
                <w:rFonts w:cs="Arial"/>
                <w:snapToGrid w:val="0"/>
                <w:sz w:val="16"/>
                <w:szCs w:val="16"/>
                <w:lang w:val="fr-FR"/>
              </w:rPr>
              <w:t>English</w:t>
            </w:r>
          </w:p>
        </w:tc>
        <w:tc>
          <w:tcPr>
            <w:tcW w:w="1225" w:type="dxa"/>
            <w:shd w:val="clear" w:color="auto" w:fill="E6E6E6"/>
            <w:vAlign w:val="center"/>
          </w:tcPr>
          <w:p w:rsidR="00B962A4" w:rsidRPr="00950A5E" w:rsidRDefault="00B962A4" w:rsidP="00D807C9">
            <w:pPr>
              <w:keepNext/>
              <w:spacing w:before="60" w:after="60"/>
              <w:jc w:val="left"/>
              <w:rPr>
                <w:rFonts w:cs="Arial"/>
                <w:snapToGrid w:val="0"/>
                <w:sz w:val="16"/>
                <w:szCs w:val="16"/>
                <w:lang w:val="fr-FR"/>
              </w:rPr>
            </w:pPr>
            <w:r w:rsidRPr="00950A5E">
              <w:rPr>
                <w:rFonts w:cs="Arial"/>
                <w:snapToGrid w:val="0"/>
                <w:sz w:val="16"/>
                <w:szCs w:val="16"/>
                <w:lang w:val="fr-FR"/>
              </w:rPr>
              <w:t>Français</w:t>
            </w:r>
          </w:p>
        </w:tc>
        <w:tc>
          <w:tcPr>
            <w:tcW w:w="1474" w:type="dxa"/>
            <w:shd w:val="clear" w:color="auto" w:fill="E6E6E6"/>
            <w:vAlign w:val="center"/>
          </w:tcPr>
          <w:p w:rsidR="00B962A4" w:rsidRPr="00950A5E" w:rsidRDefault="00B962A4" w:rsidP="00D807C9">
            <w:pPr>
              <w:keepNext/>
              <w:spacing w:before="60" w:after="60"/>
              <w:jc w:val="left"/>
              <w:rPr>
                <w:rFonts w:cs="Arial"/>
                <w:snapToGrid w:val="0"/>
                <w:sz w:val="16"/>
                <w:szCs w:val="16"/>
                <w:lang w:val="fr-FR"/>
              </w:rPr>
            </w:pPr>
            <w:r w:rsidRPr="00950A5E">
              <w:rPr>
                <w:rFonts w:cs="Arial"/>
                <w:snapToGrid w:val="0"/>
                <w:sz w:val="16"/>
                <w:szCs w:val="16"/>
                <w:lang w:val="fr-FR"/>
              </w:rPr>
              <w:t>Deutsch</w:t>
            </w:r>
          </w:p>
        </w:tc>
        <w:tc>
          <w:tcPr>
            <w:tcW w:w="1467" w:type="dxa"/>
            <w:shd w:val="clear" w:color="auto" w:fill="E6E6E6"/>
            <w:vAlign w:val="center"/>
          </w:tcPr>
          <w:p w:rsidR="00B962A4" w:rsidRPr="00950A5E" w:rsidRDefault="00B962A4" w:rsidP="00D807C9">
            <w:pPr>
              <w:keepNext/>
              <w:spacing w:before="60" w:after="60"/>
              <w:jc w:val="left"/>
              <w:rPr>
                <w:rFonts w:cs="Arial"/>
                <w:snapToGrid w:val="0"/>
                <w:sz w:val="16"/>
                <w:szCs w:val="16"/>
                <w:lang w:val="fr-FR"/>
              </w:rPr>
            </w:pPr>
            <w:r w:rsidRPr="00950A5E">
              <w:rPr>
                <w:rFonts w:cs="Arial"/>
                <w:snapToGrid w:val="0"/>
                <w:sz w:val="16"/>
                <w:szCs w:val="16"/>
                <w:lang w:val="fr-FR"/>
              </w:rPr>
              <w:t>Español</w:t>
            </w:r>
          </w:p>
        </w:tc>
        <w:tc>
          <w:tcPr>
            <w:tcW w:w="2290" w:type="dxa"/>
            <w:shd w:val="clear" w:color="auto" w:fill="E6E6E6"/>
            <w:vAlign w:val="center"/>
          </w:tcPr>
          <w:p w:rsidR="00B962A4" w:rsidRPr="00950A5E" w:rsidRDefault="00B962A4" w:rsidP="00D807C9">
            <w:pPr>
              <w:keepNext/>
              <w:spacing w:before="60" w:after="60"/>
              <w:jc w:val="left"/>
              <w:rPr>
                <w:rFonts w:cs="Arial"/>
                <w:snapToGrid w:val="0"/>
                <w:sz w:val="16"/>
                <w:szCs w:val="16"/>
                <w:lang w:val="fr-FR"/>
              </w:rPr>
            </w:pPr>
            <w:r w:rsidRPr="00950A5E">
              <w:rPr>
                <w:rFonts w:cs="Arial"/>
                <w:snapToGrid w:val="0"/>
                <w:sz w:val="16"/>
                <w:szCs w:val="16"/>
                <w:lang w:val="fr-FR"/>
              </w:rPr>
              <w:t>Botanical name</w:t>
            </w:r>
            <w:r w:rsidRPr="00950A5E">
              <w:rPr>
                <w:rFonts w:cs="Arial"/>
                <w:snapToGrid w:val="0"/>
                <w:sz w:val="16"/>
                <w:szCs w:val="16"/>
                <w:lang w:val="fr-FR"/>
              </w:rPr>
              <w:br/>
              <w:t>Nom botanique</w:t>
            </w:r>
            <w:r w:rsidRPr="00950A5E">
              <w:rPr>
                <w:rFonts w:cs="Arial"/>
                <w:snapToGrid w:val="0"/>
                <w:sz w:val="16"/>
                <w:szCs w:val="16"/>
                <w:lang w:val="fr-FR"/>
              </w:rPr>
              <w:br/>
              <w:t>Botanischer Name</w:t>
            </w:r>
            <w:r w:rsidRPr="00950A5E">
              <w:rPr>
                <w:rFonts w:cs="Arial"/>
                <w:snapToGrid w:val="0"/>
                <w:sz w:val="16"/>
                <w:szCs w:val="16"/>
                <w:lang w:val="fr-FR"/>
              </w:rPr>
              <w:br/>
              <w:t>Nombre botánico</w:t>
            </w:r>
          </w:p>
        </w:tc>
      </w:tr>
      <w:tr w:rsidR="00B962A4" w:rsidRPr="00950A5E" w:rsidTr="00B962A4">
        <w:trPr>
          <w:jc w:val="center"/>
        </w:trPr>
        <w:tc>
          <w:tcPr>
            <w:tcW w:w="9781" w:type="dxa"/>
            <w:gridSpan w:val="6"/>
          </w:tcPr>
          <w:p w:rsidR="00B962A4" w:rsidRPr="00950A5E" w:rsidRDefault="00B962A4" w:rsidP="00D807C9">
            <w:pPr>
              <w:keepNext/>
              <w:spacing w:before="120" w:after="60"/>
              <w:jc w:val="left"/>
              <w:rPr>
                <w:rFonts w:cs="Arial"/>
                <w:sz w:val="16"/>
                <w:szCs w:val="16"/>
                <w:lang w:val="fr-FR"/>
              </w:rPr>
            </w:pPr>
            <w:r w:rsidRPr="00105BE1">
              <w:rPr>
                <w:rFonts w:cs="Arial"/>
                <w:b/>
                <w:bCs/>
                <w:sz w:val="16"/>
                <w:szCs w:val="16"/>
              </w:rPr>
              <w:t>NEUE PRÜFUNGSRICHTLINIEN</w:t>
            </w:r>
          </w:p>
        </w:tc>
      </w:tr>
      <w:tr w:rsidR="00B962A4" w:rsidRPr="00950A5E" w:rsidTr="00D807C9">
        <w:trPr>
          <w:jc w:val="center"/>
        </w:trPr>
        <w:tc>
          <w:tcPr>
            <w:tcW w:w="1815" w:type="dxa"/>
          </w:tcPr>
          <w:p w:rsidR="00B962A4" w:rsidRPr="00950A5E" w:rsidRDefault="00B962A4" w:rsidP="00D807C9">
            <w:pPr>
              <w:pStyle w:val="BodyText"/>
              <w:keepNext/>
              <w:spacing w:before="60" w:after="60"/>
              <w:jc w:val="left"/>
              <w:rPr>
                <w:snapToGrid w:val="0"/>
                <w:sz w:val="16"/>
                <w:szCs w:val="16"/>
                <w:lang w:val="fr-FR"/>
              </w:rPr>
            </w:pPr>
            <w:r w:rsidRPr="00950A5E">
              <w:rPr>
                <w:sz w:val="16"/>
                <w:szCs w:val="16"/>
                <w:lang w:val="fr-FR"/>
              </w:rPr>
              <w:t>TG/276/1</w:t>
            </w:r>
          </w:p>
        </w:tc>
        <w:tc>
          <w:tcPr>
            <w:tcW w:w="1510" w:type="dxa"/>
          </w:tcPr>
          <w:p w:rsidR="00B962A4" w:rsidRPr="00950A5E" w:rsidRDefault="00B962A4" w:rsidP="00D807C9">
            <w:pPr>
              <w:keepNext/>
              <w:spacing w:before="60" w:after="60"/>
              <w:jc w:val="left"/>
              <w:rPr>
                <w:snapToGrid w:val="0"/>
                <w:sz w:val="16"/>
                <w:szCs w:val="16"/>
                <w:lang w:val="fr-FR"/>
              </w:rPr>
            </w:pPr>
            <w:r w:rsidRPr="00950A5E">
              <w:rPr>
                <w:snapToGrid w:val="0"/>
                <w:sz w:val="16"/>
                <w:szCs w:val="16"/>
                <w:lang w:val="fr-FR"/>
              </w:rPr>
              <w:t xml:space="preserve">Hemp </w:t>
            </w:r>
          </w:p>
        </w:tc>
        <w:tc>
          <w:tcPr>
            <w:tcW w:w="1225" w:type="dxa"/>
          </w:tcPr>
          <w:p w:rsidR="00B962A4" w:rsidRPr="00950A5E" w:rsidRDefault="00B962A4" w:rsidP="00D807C9">
            <w:pPr>
              <w:keepNext/>
              <w:spacing w:before="60" w:after="60"/>
              <w:jc w:val="left"/>
              <w:rPr>
                <w:sz w:val="16"/>
                <w:szCs w:val="16"/>
                <w:lang w:val="fr-FR"/>
              </w:rPr>
            </w:pPr>
            <w:r w:rsidRPr="00950A5E">
              <w:rPr>
                <w:sz w:val="16"/>
                <w:szCs w:val="16"/>
                <w:lang w:val="fr-FR"/>
              </w:rPr>
              <w:t>Chanvre</w:t>
            </w:r>
          </w:p>
        </w:tc>
        <w:tc>
          <w:tcPr>
            <w:tcW w:w="1474" w:type="dxa"/>
          </w:tcPr>
          <w:p w:rsidR="00B962A4" w:rsidRPr="00950A5E" w:rsidRDefault="00B962A4" w:rsidP="00D807C9">
            <w:pPr>
              <w:keepNext/>
              <w:spacing w:before="60" w:after="60"/>
              <w:jc w:val="left"/>
              <w:rPr>
                <w:sz w:val="16"/>
                <w:szCs w:val="16"/>
                <w:lang w:val="fr-FR"/>
              </w:rPr>
            </w:pPr>
            <w:r w:rsidRPr="00950A5E">
              <w:rPr>
                <w:sz w:val="16"/>
                <w:szCs w:val="16"/>
                <w:lang w:val="fr-FR"/>
              </w:rPr>
              <w:t>Hanf</w:t>
            </w:r>
          </w:p>
        </w:tc>
        <w:tc>
          <w:tcPr>
            <w:tcW w:w="1467" w:type="dxa"/>
          </w:tcPr>
          <w:p w:rsidR="00B962A4" w:rsidRPr="00950A5E" w:rsidRDefault="00B962A4" w:rsidP="00D807C9">
            <w:pPr>
              <w:keepNext/>
              <w:spacing w:before="60" w:after="60"/>
              <w:jc w:val="left"/>
              <w:rPr>
                <w:sz w:val="16"/>
                <w:szCs w:val="16"/>
                <w:lang w:val="fr-FR"/>
              </w:rPr>
            </w:pPr>
            <w:r w:rsidRPr="00950A5E">
              <w:rPr>
                <w:sz w:val="16"/>
                <w:szCs w:val="16"/>
                <w:lang w:val="fr-FR"/>
              </w:rPr>
              <w:t>Cáñamo</w:t>
            </w:r>
          </w:p>
        </w:tc>
        <w:tc>
          <w:tcPr>
            <w:tcW w:w="2290" w:type="dxa"/>
          </w:tcPr>
          <w:p w:rsidR="00B962A4" w:rsidRPr="00950A5E" w:rsidRDefault="00B962A4" w:rsidP="00D807C9">
            <w:pPr>
              <w:keepNext/>
              <w:spacing w:before="60" w:after="60"/>
              <w:jc w:val="left"/>
              <w:rPr>
                <w:rFonts w:cs="Arial"/>
                <w:sz w:val="16"/>
                <w:szCs w:val="16"/>
                <w:lang w:val="fr-FR"/>
              </w:rPr>
            </w:pPr>
            <w:r w:rsidRPr="00950A5E">
              <w:rPr>
                <w:i/>
                <w:snapToGrid w:val="0"/>
                <w:sz w:val="16"/>
                <w:szCs w:val="16"/>
                <w:lang w:val="fr-FR"/>
              </w:rPr>
              <w:t>Cannabis sativa</w:t>
            </w:r>
            <w:r w:rsidRPr="00950A5E">
              <w:rPr>
                <w:snapToGrid w:val="0"/>
                <w:sz w:val="16"/>
                <w:szCs w:val="16"/>
                <w:lang w:val="fr-FR"/>
              </w:rPr>
              <w:t xml:space="preserve"> L.</w:t>
            </w:r>
          </w:p>
        </w:tc>
      </w:tr>
      <w:tr w:rsidR="00B962A4" w:rsidRPr="00950A5E" w:rsidTr="00D807C9">
        <w:trPr>
          <w:jc w:val="center"/>
        </w:trPr>
        <w:tc>
          <w:tcPr>
            <w:tcW w:w="1815" w:type="dxa"/>
          </w:tcPr>
          <w:p w:rsidR="00B962A4" w:rsidRPr="00950A5E" w:rsidRDefault="00B962A4" w:rsidP="00D807C9">
            <w:pPr>
              <w:pStyle w:val="BodyText"/>
              <w:spacing w:before="60" w:after="60"/>
              <w:jc w:val="left"/>
              <w:rPr>
                <w:sz w:val="16"/>
                <w:szCs w:val="16"/>
                <w:lang w:val="fr-FR"/>
              </w:rPr>
            </w:pPr>
            <w:r w:rsidRPr="00950A5E">
              <w:rPr>
                <w:sz w:val="16"/>
                <w:szCs w:val="16"/>
                <w:lang w:val="fr-FR"/>
              </w:rPr>
              <w:t>TG/277/1</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Blue Honeysuckle, Bush Honeysuckle;  Honeyberry</w:t>
            </w:r>
          </w:p>
        </w:tc>
        <w:tc>
          <w:tcPr>
            <w:tcW w:w="1225" w:type="dxa"/>
          </w:tcPr>
          <w:p w:rsidR="00B962A4" w:rsidRPr="00253A3D" w:rsidRDefault="00B962A4" w:rsidP="00D807C9">
            <w:pPr>
              <w:spacing w:before="60" w:after="60"/>
              <w:jc w:val="left"/>
              <w:rPr>
                <w:sz w:val="16"/>
                <w:szCs w:val="16"/>
                <w:lang w:val="fr-FR"/>
              </w:rPr>
            </w:pPr>
            <w:r w:rsidRPr="00253A3D">
              <w:rPr>
                <w:sz w:val="16"/>
                <w:szCs w:val="16"/>
                <w:lang w:val="fr-FR"/>
              </w:rPr>
              <w:t>Camérisier bleu</w:t>
            </w:r>
          </w:p>
        </w:tc>
        <w:tc>
          <w:tcPr>
            <w:tcW w:w="1474" w:type="dxa"/>
          </w:tcPr>
          <w:p w:rsidR="00B962A4" w:rsidRPr="00950A5E" w:rsidRDefault="00B962A4" w:rsidP="00D807C9">
            <w:pPr>
              <w:spacing w:before="60" w:after="60"/>
              <w:jc w:val="left"/>
              <w:rPr>
                <w:sz w:val="16"/>
                <w:szCs w:val="16"/>
                <w:lang w:val="fr-FR"/>
              </w:rPr>
            </w:pPr>
            <w:r w:rsidRPr="00950A5E">
              <w:rPr>
                <w:sz w:val="16"/>
                <w:szCs w:val="16"/>
                <w:lang w:val="fr-FR"/>
              </w:rPr>
              <w:t>Blaue Honigbeere</w:t>
            </w:r>
          </w:p>
        </w:tc>
        <w:tc>
          <w:tcPr>
            <w:tcW w:w="1467" w:type="dxa"/>
          </w:tcPr>
          <w:p w:rsidR="00B962A4" w:rsidRPr="00950A5E" w:rsidRDefault="00B962A4" w:rsidP="00D807C9">
            <w:pPr>
              <w:spacing w:before="60" w:after="60"/>
              <w:jc w:val="left"/>
              <w:rPr>
                <w:sz w:val="16"/>
                <w:szCs w:val="16"/>
                <w:lang w:val="fr-FR"/>
              </w:rPr>
            </w:pPr>
            <w:r>
              <w:rPr>
                <w:sz w:val="16"/>
                <w:szCs w:val="16"/>
                <w:lang w:val="fr-FR"/>
              </w:rPr>
              <w:t>Madreselva Azúl</w:t>
            </w:r>
          </w:p>
        </w:tc>
        <w:tc>
          <w:tcPr>
            <w:tcW w:w="2290" w:type="dxa"/>
          </w:tcPr>
          <w:p w:rsidR="00B962A4" w:rsidRPr="00950A5E" w:rsidRDefault="00B962A4" w:rsidP="00D807C9">
            <w:pPr>
              <w:spacing w:before="60" w:after="60"/>
              <w:jc w:val="left"/>
              <w:rPr>
                <w:rFonts w:cs="Arial"/>
                <w:sz w:val="16"/>
                <w:szCs w:val="16"/>
                <w:lang w:val="fr-FR"/>
              </w:rPr>
            </w:pPr>
            <w:r w:rsidRPr="00950A5E">
              <w:rPr>
                <w:i/>
                <w:sz w:val="16"/>
                <w:szCs w:val="16"/>
                <w:lang w:val="fr-FR"/>
              </w:rPr>
              <w:t>Lonicera caerulea</w:t>
            </w:r>
            <w:r w:rsidRPr="00950A5E">
              <w:rPr>
                <w:sz w:val="16"/>
                <w:szCs w:val="16"/>
                <w:lang w:val="fr-FR"/>
              </w:rPr>
              <w:t xml:space="preserve"> L</w:t>
            </w:r>
          </w:p>
        </w:tc>
      </w:tr>
      <w:tr w:rsidR="00B962A4" w:rsidRPr="00950A5E" w:rsidTr="00D807C9">
        <w:trPr>
          <w:jc w:val="center"/>
        </w:trPr>
        <w:tc>
          <w:tcPr>
            <w:tcW w:w="1815" w:type="dxa"/>
          </w:tcPr>
          <w:p w:rsidR="00B962A4" w:rsidRPr="00950A5E" w:rsidRDefault="00B962A4" w:rsidP="00D807C9">
            <w:pPr>
              <w:spacing w:before="60" w:after="60"/>
              <w:jc w:val="left"/>
              <w:rPr>
                <w:rFonts w:cs="Arial"/>
                <w:sz w:val="16"/>
                <w:szCs w:val="16"/>
                <w:lang w:val="fr-FR"/>
              </w:rPr>
            </w:pPr>
            <w:r w:rsidRPr="00950A5E">
              <w:rPr>
                <w:sz w:val="16"/>
                <w:szCs w:val="16"/>
                <w:lang w:val="fr-FR"/>
              </w:rPr>
              <w:t>TG/278/1</w:t>
            </w:r>
          </w:p>
        </w:tc>
        <w:tc>
          <w:tcPr>
            <w:tcW w:w="1510" w:type="dxa"/>
          </w:tcPr>
          <w:p w:rsidR="00B962A4" w:rsidRPr="00950A5E" w:rsidRDefault="00B962A4" w:rsidP="00D807C9">
            <w:pPr>
              <w:spacing w:before="60" w:after="60"/>
              <w:jc w:val="left"/>
              <w:rPr>
                <w:rFonts w:cs="Arial"/>
                <w:sz w:val="16"/>
                <w:szCs w:val="16"/>
                <w:lang w:val="fr-FR"/>
              </w:rPr>
            </w:pPr>
            <w:r w:rsidRPr="00950A5E">
              <w:rPr>
                <w:sz w:val="16"/>
                <w:szCs w:val="16"/>
                <w:lang w:val="fr-FR"/>
              </w:rPr>
              <w:t xml:space="preserve">Buckwheat </w:t>
            </w:r>
          </w:p>
        </w:tc>
        <w:tc>
          <w:tcPr>
            <w:tcW w:w="1225" w:type="dxa"/>
          </w:tcPr>
          <w:p w:rsidR="00B962A4" w:rsidRPr="00950A5E" w:rsidRDefault="00B962A4" w:rsidP="00D807C9">
            <w:pPr>
              <w:spacing w:before="60" w:after="60"/>
              <w:jc w:val="left"/>
              <w:rPr>
                <w:rFonts w:cs="Arial"/>
                <w:sz w:val="16"/>
                <w:szCs w:val="16"/>
                <w:lang w:val="fr-FR"/>
              </w:rPr>
            </w:pPr>
            <w:r w:rsidRPr="00950A5E">
              <w:rPr>
                <w:sz w:val="16"/>
                <w:szCs w:val="16"/>
                <w:lang w:val="fr-FR"/>
              </w:rPr>
              <w:t>Blé noir;  Sarrasin</w:t>
            </w:r>
          </w:p>
        </w:tc>
        <w:tc>
          <w:tcPr>
            <w:tcW w:w="1474" w:type="dxa"/>
          </w:tcPr>
          <w:p w:rsidR="00B962A4" w:rsidRPr="00950A5E" w:rsidRDefault="00B962A4" w:rsidP="00D807C9">
            <w:pPr>
              <w:spacing w:before="60" w:after="60"/>
              <w:jc w:val="left"/>
              <w:rPr>
                <w:rFonts w:cs="Arial"/>
                <w:sz w:val="16"/>
                <w:szCs w:val="16"/>
                <w:lang w:val="fr-FR"/>
              </w:rPr>
            </w:pPr>
            <w:r w:rsidRPr="00950A5E">
              <w:rPr>
                <w:sz w:val="16"/>
                <w:szCs w:val="16"/>
                <w:lang w:val="fr-FR"/>
              </w:rPr>
              <w:t>Buchweizen</w:t>
            </w:r>
          </w:p>
        </w:tc>
        <w:tc>
          <w:tcPr>
            <w:tcW w:w="1467" w:type="dxa"/>
          </w:tcPr>
          <w:p w:rsidR="00B962A4" w:rsidRPr="00950A5E" w:rsidRDefault="00B962A4" w:rsidP="00D807C9">
            <w:pPr>
              <w:spacing w:before="60" w:after="60"/>
              <w:jc w:val="left"/>
              <w:rPr>
                <w:rFonts w:cs="Arial"/>
                <w:sz w:val="16"/>
                <w:szCs w:val="16"/>
                <w:lang w:val="fr-FR"/>
              </w:rPr>
            </w:pPr>
            <w:r w:rsidRPr="00950A5E">
              <w:rPr>
                <w:sz w:val="16"/>
                <w:szCs w:val="16"/>
                <w:lang w:val="fr-FR"/>
              </w:rPr>
              <w:t>Alforfón</w:t>
            </w:r>
          </w:p>
        </w:tc>
        <w:tc>
          <w:tcPr>
            <w:tcW w:w="2290" w:type="dxa"/>
          </w:tcPr>
          <w:p w:rsidR="00B962A4" w:rsidRPr="00950A5E" w:rsidRDefault="00B962A4" w:rsidP="00D807C9">
            <w:pPr>
              <w:spacing w:before="60" w:after="60"/>
              <w:jc w:val="left"/>
              <w:rPr>
                <w:rFonts w:cs="Arial"/>
                <w:sz w:val="16"/>
                <w:szCs w:val="16"/>
                <w:lang w:val="fr-FR"/>
              </w:rPr>
            </w:pPr>
            <w:r w:rsidRPr="00950A5E">
              <w:rPr>
                <w:i/>
                <w:sz w:val="16"/>
                <w:szCs w:val="16"/>
                <w:lang w:val="fr-FR"/>
              </w:rPr>
              <w:t>Fagopyrum esculentum</w:t>
            </w:r>
            <w:r w:rsidRPr="00950A5E">
              <w:rPr>
                <w:sz w:val="16"/>
                <w:szCs w:val="16"/>
                <w:lang w:val="fr-FR"/>
              </w:rPr>
              <w:t xml:space="preserve"> Moench </w:t>
            </w:r>
            <w:r w:rsidRPr="00950A5E">
              <w:rPr>
                <w:rFonts w:cs="Arial"/>
                <w:sz w:val="16"/>
                <w:szCs w:val="16"/>
                <w:lang w:val="fr-FR"/>
              </w:rPr>
              <w:t>(</w:t>
            </w:r>
            <w:r w:rsidRPr="00950A5E">
              <w:rPr>
                <w:rFonts w:cs="Arial"/>
                <w:i/>
                <w:iCs/>
                <w:sz w:val="16"/>
                <w:szCs w:val="16"/>
                <w:lang w:val="fr-FR"/>
              </w:rPr>
              <w:t xml:space="preserve">Fagopyrum sagittatum </w:t>
            </w:r>
            <w:r w:rsidRPr="00950A5E">
              <w:rPr>
                <w:rFonts w:cs="Arial"/>
                <w:sz w:val="16"/>
                <w:szCs w:val="16"/>
                <w:lang w:val="fr-FR"/>
              </w:rPr>
              <w:t>Gilib.)</w:t>
            </w:r>
          </w:p>
        </w:tc>
      </w:tr>
      <w:tr w:rsidR="00B962A4" w:rsidRPr="00950A5E" w:rsidTr="00D807C9">
        <w:trPr>
          <w:cantSplit/>
          <w:jc w:val="center"/>
        </w:trPr>
        <w:tc>
          <w:tcPr>
            <w:tcW w:w="1815" w:type="dxa"/>
          </w:tcPr>
          <w:p w:rsidR="00B962A4" w:rsidRPr="00950A5E" w:rsidRDefault="00B962A4" w:rsidP="00D807C9">
            <w:pPr>
              <w:pStyle w:val="BodyText"/>
              <w:spacing w:before="60" w:after="60"/>
              <w:jc w:val="left"/>
              <w:rPr>
                <w:sz w:val="16"/>
                <w:szCs w:val="16"/>
                <w:lang w:val="fr-FR"/>
              </w:rPr>
            </w:pPr>
            <w:r w:rsidRPr="00950A5E">
              <w:rPr>
                <w:sz w:val="16"/>
                <w:szCs w:val="16"/>
                <w:lang w:val="fr-FR"/>
              </w:rPr>
              <w:t>TG/279/1</w:t>
            </w:r>
          </w:p>
        </w:tc>
        <w:tc>
          <w:tcPr>
            <w:tcW w:w="1510" w:type="dxa"/>
          </w:tcPr>
          <w:p w:rsidR="00B962A4" w:rsidRPr="00950A5E" w:rsidRDefault="00B962A4" w:rsidP="00D807C9">
            <w:pPr>
              <w:spacing w:before="60" w:after="60"/>
              <w:jc w:val="left"/>
              <w:rPr>
                <w:rFonts w:cs="Arial"/>
                <w:sz w:val="16"/>
                <w:szCs w:val="16"/>
                <w:lang w:val="fr-FR"/>
              </w:rPr>
            </w:pPr>
            <w:r w:rsidRPr="00950A5E">
              <w:rPr>
                <w:sz w:val="16"/>
                <w:szCs w:val="16"/>
                <w:lang w:val="fr-FR"/>
              </w:rPr>
              <w:t>Canna</w:t>
            </w:r>
          </w:p>
        </w:tc>
        <w:tc>
          <w:tcPr>
            <w:tcW w:w="1225" w:type="dxa"/>
          </w:tcPr>
          <w:p w:rsidR="00B962A4" w:rsidRPr="00950A5E" w:rsidRDefault="00B962A4" w:rsidP="00D807C9">
            <w:pPr>
              <w:spacing w:before="60" w:after="60"/>
              <w:jc w:val="left"/>
              <w:rPr>
                <w:rFonts w:cs="Arial"/>
                <w:sz w:val="16"/>
                <w:szCs w:val="16"/>
                <w:lang w:val="fr-FR"/>
              </w:rPr>
            </w:pPr>
            <w:r w:rsidRPr="00950A5E">
              <w:rPr>
                <w:sz w:val="16"/>
                <w:szCs w:val="16"/>
                <w:lang w:val="fr-FR"/>
              </w:rPr>
              <w:t>Balisier;  Canna</w:t>
            </w:r>
          </w:p>
        </w:tc>
        <w:tc>
          <w:tcPr>
            <w:tcW w:w="1474" w:type="dxa"/>
          </w:tcPr>
          <w:p w:rsidR="00B962A4" w:rsidRPr="00950A5E" w:rsidRDefault="00B962A4" w:rsidP="00D807C9">
            <w:pPr>
              <w:spacing w:before="60" w:after="60"/>
              <w:jc w:val="left"/>
              <w:rPr>
                <w:rFonts w:cs="Arial"/>
                <w:sz w:val="16"/>
                <w:szCs w:val="16"/>
                <w:lang w:val="fr-FR"/>
              </w:rPr>
            </w:pPr>
            <w:r w:rsidRPr="00950A5E">
              <w:rPr>
                <w:sz w:val="16"/>
                <w:szCs w:val="16"/>
                <w:lang w:val="fr-FR"/>
              </w:rPr>
              <w:t>Blumenrohr</w:t>
            </w:r>
          </w:p>
        </w:tc>
        <w:tc>
          <w:tcPr>
            <w:tcW w:w="1467"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Platanillo</w:t>
            </w:r>
          </w:p>
        </w:tc>
        <w:tc>
          <w:tcPr>
            <w:tcW w:w="2290" w:type="dxa"/>
          </w:tcPr>
          <w:p w:rsidR="00B962A4" w:rsidRPr="00950A5E" w:rsidRDefault="00B962A4" w:rsidP="00D807C9">
            <w:pPr>
              <w:spacing w:before="60" w:after="60"/>
              <w:jc w:val="left"/>
              <w:rPr>
                <w:rFonts w:cs="Arial"/>
                <w:sz w:val="16"/>
                <w:szCs w:val="16"/>
                <w:lang w:val="fr-FR"/>
              </w:rPr>
            </w:pPr>
            <w:r w:rsidRPr="00950A5E">
              <w:rPr>
                <w:bCs/>
                <w:i/>
                <w:sz w:val="16"/>
                <w:szCs w:val="16"/>
                <w:lang w:val="fr-FR"/>
              </w:rPr>
              <w:t>Canna</w:t>
            </w:r>
            <w:r w:rsidRPr="00950A5E">
              <w:rPr>
                <w:bCs/>
                <w:sz w:val="16"/>
                <w:szCs w:val="16"/>
                <w:lang w:val="fr-FR"/>
              </w:rPr>
              <w:t xml:space="preserve"> L.</w:t>
            </w:r>
          </w:p>
        </w:tc>
      </w:tr>
      <w:tr w:rsidR="00B962A4" w:rsidRPr="00950A5E" w:rsidTr="00D807C9">
        <w:trPr>
          <w:jc w:val="center"/>
        </w:trPr>
        <w:tc>
          <w:tcPr>
            <w:tcW w:w="1815" w:type="dxa"/>
          </w:tcPr>
          <w:p w:rsidR="00B962A4" w:rsidRPr="00950A5E" w:rsidRDefault="00B962A4" w:rsidP="00D807C9">
            <w:pPr>
              <w:pStyle w:val="BodyText"/>
              <w:spacing w:before="60" w:after="60"/>
              <w:jc w:val="left"/>
              <w:rPr>
                <w:sz w:val="16"/>
                <w:szCs w:val="16"/>
                <w:lang w:val="fr-FR"/>
              </w:rPr>
            </w:pPr>
            <w:r w:rsidRPr="00950A5E">
              <w:rPr>
                <w:sz w:val="16"/>
                <w:szCs w:val="16"/>
                <w:lang w:val="fr-FR"/>
              </w:rPr>
              <w:t>TG/280/1</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Heuchera</w:t>
            </w:r>
            <w:proofErr w:type="gramStart"/>
            <w:r w:rsidRPr="00950A5E">
              <w:rPr>
                <w:sz w:val="16"/>
                <w:szCs w:val="16"/>
                <w:lang w:val="fr-FR"/>
              </w:rPr>
              <w:t>,</w:t>
            </w:r>
            <w:proofErr w:type="gramEnd"/>
            <w:r w:rsidRPr="00950A5E">
              <w:rPr>
                <w:sz w:val="16"/>
                <w:szCs w:val="16"/>
                <w:lang w:val="fr-FR"/>
              </w:rPr>
              <w:br/>
              <w:t>Coral Flower,</w:t>
            </w:r>
            <w:r w:rsidRPr="00950A5E">
              <w:rPr>
                <w:sz w:val="16"/>
                <w:szCs w:val="16"/>
                <w:lang w:val="fr-FR"/>
              </w:rPr>
              <w:br/>
              <w:t>Heucherella, Foamy Bells</w:t>
            </w:r>
          </w:p>
        </w:tc>
        <w:tc>
          <w:tcPr>
            <w:tcW w:w="1225" w:type="dxa"/>
          </w:tcPr>
          <w:p w:rsidR="00B962A4" w:rsidRPr="00950A5E" w:rsidRDefault="00B962A4" w:rsidP="00D807C9">
            <w:pPr>
              <w:spacing w:before="60" w:after="60"/>
              <w:jc w:val="left"/>
              <w:rPr>
                <w:sz w:val="16"/>
                <w:szCs w:val="16"/>
                <w:lang w:val="fr-FR"/>
              </w:rPr>
            </w:pPr>
            <w:r w:rsidRPr="00950A5E">
              <w:rPr>
                <w:sz w:val="16"/>
                <w:szCs w:val="16"/>
                <w:lang w:val="fr-FR"/>
              </w:rPr>
              <w:t>Heuchera</w:t>
            </w:r>
          </w:p>
        </w:tc>
        <w:tc>
          <w:tcPr>
            <w:tcW w:w="1474" w:type="dxa"/>
          </w:tcPr>
          <w:p w:rsidR="00B962A4" w:rsidRPr="00950A5E" w:rsidRDefault="00B962A4" w:rsidP="00D807C9">
            <w:pPr>
              <w:spacing w:before="60" w:after="60"/>
              <w:jc w:val="left"/>
              <w:rPr>
                <w:sz w:val="16"/>
                <w:szCs w:val="16"/>
                <w:lang w:val="fr-FR"/>
              </w:rPr>
            </w:pPr>
            <w:r w:rsidRPr="00950A5E">
              <w:rPr>
                <w:sz w:val="16"/>
                <w:szCs w:val="16"/>
                <w:lang w:val="fr-FR"/>
              </w:rPr>
              <w:t>Purpurglöckchen</w:t>
            </w:r>
          </w:p>
        </w:tc>
        <w:tc>
          <w:tcPr>
            <w:tcW w:w="1467" w:type="dxa"/>
          </w:tcPr>
          <w:p w:rsidR="00B962A4" w:rsidRPr="00950A5E" w:rsidRDefault="00B962A4" w:rsidP="00D807C9">
            <w:pPr>
              <w:spacing w:before="60" w:after="60"/>
              <w:jc w:val="left"/>
              <w:rPr>
                <w:sz w:val="16"/>
                <w:szCs w:val="16"/>
                <w:lang w:val="fr-FR"/>
              </w:rPr>
            </w:pPr>
          </w:p>
        </w:tc>
        <w:tc>
          <w:tcPr>
            <w:tcW w:w="2290" w:type="dxa"/>
          </w:tcPr>
          <w:p w:rsidR="00B962A4" w:rsidRPr="00950A5E" w:rsidRDefault="00B962A4" w:rsidP="00D807C9">
            <w:pPr>
              <w:spacing w:before="60" w:after="60"/>
              <w:jc w:val="left"/>
              <w:rPr>
                <w:rFonts w:cs="Arial"/>
                <w:i/>
                <w:sz w:val="16"/>
                <w:szCs w:val="16"/>
                <w:lang w:val="fr-FR"/>
              </w:rPr>
            </w:pPr>
            <w:r w:rsidRPr="00950A5E">
              <w:rPr>
                <w:bCs/>
                <w:i/>
                <w:sz w:val="16"/>
                <w:szCs w:val="16"/>
                <w:lang w:val="fr-FR"/>
              </w:rPr>
              <w:t xml:space="preserve">Heuchera </w:t>
            </w:r>
            <w:r w:rsidRPr="00950A5E">
              <w:rPr>
                <w:bCs/>
                <w:sz w:val="16"/>
                <w:szCs w:val="16"/>
                <w:lang w:val="fr-FR"/>
              </w:rPr>
              <w:t>L.</w:t>
            </w:r>
            <w:proofErr w:type="gramStart"/>
            <w:r w:rsidRPr="00950A5E">
              <w:rPr>
                <w:bCs/>
                <w:sz w:val="16"/>
                <w:szCs w:val="16"/>
                <w:lang w:val="fr-FR"/>
              </w:rPr>
              <w:t>,</w:t>
            </w:r>
            <w:proofErr w:type="gramEnd"/>
            <w:r w:rsidRPr="00950A5E">
              <w:rPr>
                <w:bCs/>
                <w:sz w:val="16"/>
                <w:szCs w:val="16"/>
                <w:lang w:val="fr-FR"/>
              </w:rPr>
              <w:br/>
            </w:r>
            <w:r w:rsidRPr="00950A5E">
              <w:rPr>
                <w:sz w:val="16"/>
                <w:szCs w:val="16"/>
                <w:lang w:val="fr-FR"/>
              </w:rPr>
              <w:t>x</w:t>
            </w:r>
            <w:r w:rsidRPr="00950A5E">
              <w:rPr>
                <w:i/>
                <w:sz w:val="16"/>
                <w:szCs w:val="16"/>
                <w:lang w:val="fr-FR"/>
              </w:rPr>
              <w:t>Heucherella</w:t>
            </w:r>
            <w:r w:rsidRPr="00950A5E">
              <w:rPr>
                <w:sz w:val="16"/>
                <w:szCs w:val="16"/>
                <w:lang w:val="fr-FR"/>
              </w:rPr>
              <w:t xml:space="preserve"> H. R. Wehrh., </w:t>
            </w:r>
            <w:r w:rsidRPr="00950A5E">
              <w:rPr>
                <w:i/>
                <w:sz w:val="16"/>
                <w:szCs w:val="16"/>
                <w:lang w:val="fr-FR"/>
              </w:rPr>
              <w:t>Heuchera</w:t>
            </w:r>
            <w:r w:rsidRPr="00950A5E">
              <w:rPr>
                <w:sz w:val="16"/>
                <w:szCs w:val="16"/>
                <w:lang w:val="fr-FR"/>
              </w:rPr>
              <w:t> </w:t>
            </w:r>
            <w:r w:rsidRPr="00950A5E">
              <w:rPr>
                <w:rFonts w:cs="Arial"/>
                <w:sz w:val="16"/>
                <w:szCs w:val="16"/>
                <w:lang w:val="fr-FR"/>
              </w:rPr>
              <w:t>x </w:t>
            </w:r>
            <w:r w:rsidRPr="00950A5E">
              <w:rPr>
                <w:i/>
                <w:sz w:val="16"/>
                <w:szCs w:val="16"/>
                <w:lang w:val="fr-FR"/>
              </w:rPr>
              <w:t>Tiarella</w:t>
            </w:r>
          </w:p>
        </w:tc>
      </w:tr>
      <w:tr w:rsidR="00B962A4" w:rsidRPr="00950A5E" w:rsidTr="00D807C9">
        <w:trPr>
          <w:jc w:val="center"/>
        </w:trPr>
        <w:tc>
          <w:tcPr>
            <w:tcW w:w="1815" w:type="dxa"/>
          </w:tcPr>
          <w:p w:rsidR="00B962A4" w:rsidRPr="00950A5E" w:rsidRDefault="00B962A4" w:rsidP="00D807C9">
            <w:pPr>
              <w:pStyle w:val="BodyText"/>
              <w:spacing w:before="60" w:after="60"/>
              <w:jc w:val="left"/>
              <w:rPr>
                <w:sz w:val="16"/>
                <w:szCs w:val="16"/>
                <w:lang w:val="fr-FR"/>
              </w:rPr>
            </w:pPr>
            <w:r w:rsidRPr="00950A5E">
              <w:rPr>
                <w:sz w:val="16"/>
                <w:szCs w:val="16"/>
                <w:lang w:val="fr-FR"/>
              </w:rPr>
              <w:t>TG/281/1</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Echinacea</w:t>
            </w:r>
            <w:proofErr w:type="gramStart"/>
            <w:r w:rsidRPr="00950A5E">
              <w:rPr>
                <w:sz w:val="16"/>
                <w:szCs w:val="16"/>
                <w:lang w:val="fr-FR"/>
              </w:rPr>
              <w:t>,</w:t>
            </w:r>
            <w:proofErr w:type="gramEnd"/>
            <w:r w:rsidRPr="00950A5E">
              <w:rPr>
                <w:sz w:val="16"/>
                <w:szCs w:val="16"/>
                <w:lang w:val="fr-FR"/>
              </w:rPr>
              <w:br/>
            </w:r>
            <w:r w:rsidRPr="00950A5E">
              <w:rPr>
                <w:rFonts w:cs="Arial"/>
                <w:sz w:val="16"/>
                <w:szCs w:val="16"/>
                <w:lang w:val="fr-FR"/>
              </w:rPr>
              <w:t>Cone flower</w:t>
            </w:r>
            <w:r w:rsidRPr="00950A5E">
              <w:rPr>
                <w:sz w:val="16"/>
                <w:szCs w:val="16"/>
                <w:lang w:val="fr-FR"/>
              </w:rPr>
              <w:t xml:space="preserve"> </w:t>
            </w:r>
          </w:p>
        </w:tc>
        <w:tc>
          <w:tcPr>
            <w:tcW w:w="1225" w:type="dxa"/>
          </w:tcPr>
          <w:p w:rsidR="00B962A4" w:rsidRPr="00950A5E" w:rsidRDefault="00B962A4" w:rsidP="00D807C9">
            <w:pPr>
              <w:spacing w:before="60" w:after="60"/>
              <w:jc w:val="left"/>
              <w:rPr>
                <w:sz w:val="16"/>
                <w:szCs w:val="16"/>
                <w:lang w:val="fr-FR"/>
              </w:rPr>
            </w:pPr>
            <w:r w:rsidRPr="00950A5E">
              <w:rPr>
                <w:sz w:val="16"/>
                <w:szCs w:val="16"/>
                <w:lang w:val="fr-FR"/>
              </w:rPr>
              <w:t>Échinacée</w:t>
            </w:r>
          </w:p>
        </w:tc>
        <w:tc>
          <w:tcPr>
            <w:tcW w:w="1474" w:type="dxa"/>
          </w:tcPr>
          <w:p w:rsidR="00B962A4" w:rsidRPr="00950A5E" w:rsidRDefault="00B962A4" w:rsidP="00D807C9">
            <w:pPr>
              <w:spacing w:before="60" w:after="60"/>
              <w:jc w:val="left"/>
              <w:rPr>
                <w:sz w:val="16"/>
                <w:szCs w:val="16"/>
                <w:lang w:val="fr-FR"/>
              </w:rPr>
            </w:pPr>
            <w:r w:rsidRPr="00950A5E">
              <w:rPr>
                <w:sz w:val="16"/>
                <w:szCs w:val="16"/>
                <w:lang w:val="fr-FR"/>
              </w:rPr>
              <w:t>Igelkopf</w:t>
            </w:r>
          </w:p>
        </w:tc>
        <w:tc>
          <w:tcPr>
            <w:tcW w:w="1467" w:type="dxa"/>
          </w:tcPr>
          <w:p w:rsidR="00B962A4" w:rsidRPr="00950A5E" w:rsidRDefault="00B962A4" w:rsidP="00D807C9">
            <w:pPr>
              <w:spacing w:before="60" w:after="60"/>
              <w:jc w:val="left"/>
              <w:rPr>
                <w:sz w:val="16"/>
                <w:szCs w:val="16"/>
                <w:lang w:val="fr-FR"/>
              </w:rPr>
            </w:pPr>
          </w:p>
        </w:tc>
        <w:tc>
          <w:tcPr>
            <w:tcW w:w="2290" w:type="dxa"/>
          </w:tcPr>
          <w:p w:rsidR="00B962A4" w:rsidRPr="00950A5E" w:rsidRDefault="00B962A4" w:rsidP="00D807C9">
            <w:pPr>
              <w:spacing w:before="60" w:after="60"/>
              <w:jc w:val="left"/>
              <w:rPr>
                <w:rFonts w:cs="Arial"/>
                <w:sz w:val="16"/>
                <w:szCs w:val="16"/>
                <w:lang w:val="fr-FR"/>
              </w:rPr>
            </w:pPr>
            <w:r w:rsidRPr="00950A5E">
              <w:rPr>
                <w:bCs/>
                <w:i/>
                <w:sz w:val="16"/>
                <w:szCs w:val="16"/>
                <w:lang w:val="fr-FR"/>
              </w:rPr>
              <w:t xml:space="preserve">Echinacea </w:t>
            </w:r>
            <w:r w:rsidRPr="00950A5E">
              <w:rPr>
                <w:bCs/>
                <w:sz w:val="16"/>
                <w:szCs w:val="16"/>
                <w:lang w:val="fr-FR"/>
              </w:rPr>
              <w:t>Moench.</w:t>
            </w:r>
          </w:p>
        </w:tc>
      </w:tr>
      <w:tr w:rsidR="00B962A4" w:rsidRPr="00950A5E" w:rsidTr="00D807C9">
        <w:trPr>
          <w:jc w:val="center"/>
        </w:trPr>
        <w:tc>
          <w:tcPr>
            <w:tcW w:w="1815" w:type="dxa"/>
          </w:tcPr>
          <w:p w:rsidR="00B962A4" w:rsidRPr="00950A5E" w:rsidRDefault="00B962A4" w:rsidP="00D807C9">
            <w:pPr>
              <w:pStyle w:val="preparedby"/>
              <w:spacing w:before="60" w:after="60"/>
              <w:jc w:val="left"/>
              <w:rPr>
                <w:i w:val="0"/>
                <w:sz w:val="16"/>
                <w:szCs w:val="16"/>
                <w:lang w:val="fr-FR"/>
              </w:rPr>
            </w:pPr>
            <w:r w:rsidRPr="00950A5E">
              <w:rPr>
                <w:i w:val="0"/>
                <w:sz w:val="16"/>
                <w:szCs w:val="16"/>
                <w:lang w:val="fr-FR"/>
              </w:rPr>
              <w:t>TG/282/1</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 xml:space="preserve">Shiitake </w:t>
            </w:r>
          </w:p>
        </w:tc>
        <w:tc>
          <w:tcPr>
            <w:tcW w:w="1225" w:type="dxa"/>
          </w:tcPr>
          <w:p w:rsidR="00B962A4" w:rsidRPr="00950A5E" w:rsidRDefault="00B962A4" w:rsidP="00D807C9">
            <w:pPr>
              <w:spacing w:before="60" w:after="60"/>
              <w:jc w:val="left"/>
              <w:rPr>
                <w:rFonts w:cs="Arial"/>
                <w:sz w:val="16"/>
                <w:szCs w:val="16"/>
                <w:lang w:val="fr-FR"/>
              </w:rPr>
            </w:pPr>
            <w:r w:rsidRPr="00950A5E">
              <w:rPr>
                <w:sz w:val="16"/>
                <w:szCs w:val="16"/>
                <w:lang w:val="fr-FR"/>
              </w:rPr>
              <w:t>Shiitake</w:t>
            </w:r>
          </w:p>
        </w:tc>
        <w:tc>
          <w:tcPr>
            <w:tcW w:w="1474" w:type="dxa"/>
          </w:tcPr>
          <w:p w:rsidR="00B962A4" w:rsidRPr="00950A5E" w:rsidRDefault="00B962A4" w:rsidP="00D807C9">
            <w:pPr>
              <w:spacing w:before="60" w:after="60"/>
              <w:jc w:val="left"/>
              <w:rPr>
                <w:rFonts w:cs="Arial"/>
                <w:sz w:val="16"/>
                <w:szCs w:val="16"/>
                <w:lang w:val="fr-FR"/>
              </w:rPr>
            </w:pPr>
            <w:r w:rsidRPr="00950A5E">
              <w:rPr>
                <w:sz w:val="16"/>
                <w:szCs w:val="16"/>
                <w:lang w:val="fr-FR"/>
              </w:rPr>
              <w:t>Pasaniapilz</w:t>
            </w:r>
          </w:p>
        </w:tc>
        <w:tc>
          <w:tcPr>
            <w:tcW w:w="1467"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Shiitake</w:t>
            </w:r>
          </w:p>
        </w:tc>
        <w:tc>
          <w:tcPr>
            <w:tcW w:w="2290" w:type="dxa"/>
          </w:tcPr>
          <w:p w:rsidR="00B962A4" w:rsidRPr="00950A5E" w:rsidRDefault="00B962A4" w:rsidP="00D807C9">
            <w:pPr>
              <w:spacing w:before="60" w:after="60"/>
              <w:jc w:val="left"/>
              <w:rPr>
                <w:rFonts w:cs="Arial"/>
                <w:sz w:val="16"/>
                <w:szCs w:val="16"/>
                <w:lang w:val="fr-FR"/>
              </w:rPr>
            </w:pPr>
            <w:r w:rsidRPr="00950A5E">
              <w:rPr>
                <w:i/>
                <w:sz w:val="16"/>
                <w:szCs w:val="16"/>
                <w:lang w:val="fr-FR" w:eastAsia="ja-JP"/>
              </w:rPr>
              <w:t>Lentinula</w:t>
            </w:r>
            <w:r w:rsidRPr="00950A5E">
              <w:rPr>
                <w:i/>
                <w:sz w:val="16"/>
                <w:szCs w:val="16"/>
                <w:lang w:val="fr-FR"/>
              </w:rPr>
              <w:t xml:space="preserve"> </w:t>
            </w:r>
            <w:r w:rsidRPr="00950A5E">
              <w:rPr>
                <w:i/>
                <w:sz w:val="16"/>
                <w:szCs w:val="16"/>
                <w:lang w:val="fr-FR" w:eastAsia="ja-JP"/>
              </w:rPr>
              <w:t>edodes</w:t>
            </w:r>
            <w:r w:rsidRPr="00950A5E">
              <w:rPr>
                <w:sz w:val="16"/>
                <w:szCs w:val="16"/>
                <w:lang w:val="fr-FR"/>
              </w:rPr>
              <w:t xml:space="preserve"> </w:t>
            </w:r>
            <w:r w:rsidRPr="00950A5E">
              <w:rPr>
                <w:sz w:val="16"/>
                <w:szCs w:val="16"/>
                <w:lang w:val="fr-FR" w:eastAsia="ja-JP"/>
              </w:rPr>
              <w:t>(Berk.) Pegler</w:t>
            </w:r>
            <w:r w:rsidRPr="00950A5E">
              <w:rPr>
                <w:i/>
                <w:sz w:val="16"/>
                <w:szCs w:val="16"/>
                <w:lang w:val="fr-FR"/>
              </w:rPr>
              <w:br/>
            </w:r>
            <w:r w:rsidRPr="00950A5E">
              <w:rPr>
                <w:i/>
                <w:sz w:val="16"/>
                <w:szCs w:val="16"/>
                <w:lang w:val="fr-FR" w:eastAsia="ja-JP"/>
              </w:rPr>
              <w:t>Lentinus elodes</w:t>
            </w:r>
            <w:r w:rsidRPr="00950A5E">
              <w:rPr>
                <w:sz w:val="16"/>
                <w:szCs w:val="16"/>
                <w:lang w:val="fr-FR" w:eastAsia="ja-JP"/>
              </w:rPr>
              <w:t xml:space="preserve"> (Berk.) Sing.</w:t>
            </w:r>
          </w:p>
        </w:tc>
      </w:tr>
      <w:tr w:rsidR="00B962A4" w:rsidRPr="00950A5E" w:rsidTr="00B962A4">
        <w:trPr>
          <w:jc w:val="center"/>
        </w:trPr>
        <w:tc>
          <w:tcPr>
            <w:tcW w:w="1815" w:type="dxa"/>
          </w:tcPr>
          <w:p w:rsidR="00B962A4" w:rsidRPr="00950A5E" w:rsidRDefault="00B962A4" w:rsidP="00D807C9">
            <w:pPr>
              <w:pStyle w:val="preparedby"/>
              <w:spacing w:before="60" w:after="60"/>
              <w:jc w:val="left"/>
              <w:rPr>
                <w:i w:val="0"/>
                <w:sz w:val="16"/>
                <w:szCs w:val="16"/>
                <w:lang w:val="fr-FR"/>
              </w:rPr>
            </w:pPr>
            <w:r w:rsidRPr="00950A5E">
              <w:rPr>
                <w:i w:val="0"/>
                <w:sz w:val="16"/>
                <w:szCs w:val="16"/>
                <w:lang w:val="fr-FR"/>
              </w:rPr>
              <w:t>TG/283/1</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Oncidium</w:t>
            </w:r>
          </w:p>
        </w:tc>
        <w:tc>
          <w:tcPr>
            <w:tcW w:w="1225" w:type="dxa"/>
          </w:tcPr>
          <w:p w:rsidR="00B962A4" w:rsidRPr="00950A5E" w:rsidRDefault="00B962A4" w:rsidP="00D807C9">
            <w:pPr>
              <w:spacing w:before="60" w:after="60"/>
              <w:jc w:val="left"/>
              <w:rPr>
                <w:sz w:val="16"/>
                <w:szCs w:val="16"/>
                <w:lang w:val="fr-FR"/>
              </w:rPr>
            </w:pPr>
            <w:r w:rsidRPr="00950A5E">
              <w:rPr>
                <w:sz w:val="16"/>
                <w:szCs w:val="16"/>
                <w:lang w:val="fr-FR"/>
              </w:rPr>
              <w:t>Orchidée danseuse</w:t>
            </w:r>
            <w:proofErr w:type="gramStart"/>
            <w:r w:rsidRPr="00950A5E">
              <w:rPr>
                <w:sz w:val="16"/>
                <w:szCs w:val="16"/>
                <w:lang w:val="fr-FR"/>
              </w:rPr>
              <w:t>,</w:t>
            </w:r>
            <w:proofErr w:type="gramEnd"/>
            <w:r w:rsidRPr="00950A5E">
              <w:rPr>
                <w:sz w:val="16"/>
                <w:szCs w:val="16"/>
                <w:lang w:val="fr-FR"/>
              </w:rPr>
              <w:br/>
              <w:t>Oncidium</w:t>
            </w:r>
          </w:p>
        </w:tc>
        <w:tc>
          <w:tcPr>
            <w:tcW w:w="1474" w:type="dxa"/>
          </w:tcPr>
          <w:p w:rsidR="00B962A4" w:rsidRPr="00950A5E" w:rsidRDefault="00B962A4" w:rsidP="00D807C9">
            <w:pPr>
              <w:spacing w:before="60" w:after="60"/>
              <w:jc w:val="left"/>
              <w:rPr>
                <w:sz w:val="16"/>
                <w:szCs w:val="16"/>
                <w:lang w:val="fr-FR"/>
              </w:rPr>
            </w:pPr>
            <w:r w:rsidRPr="00950A5E">
              <w:rPr>
                <w:sz w:val="16"/>
                <w:szCs w:val="16"/>
                <w:lang w:val="fr-FR"/>
              </w:rPr>
              <w:t>Oncidium</w:t>
            </w:r>
          </w:p>
        </w:tc>
        <w:tc>
          <w:tcPr>
            <w:tcW w:w="1467" w:type="dxa"/>
          </w:tcPr>
          <w:p w:rsidR="00B962A4" w:rsidRPr="00950A5E" w:rsidRDefault="00B962A4" w:rsidP="00D807C9">
            <w:pPr>
              <w:spacing w:before="60" w:after="60"/>
              <w:jc w:val="left"/>
              <w:rPr>
                <w:sz w:val="16"/>
                <w:szCs w:val="16"/>
                <w:lang w:val="fr-FR"/>
              </w:rPr>
            </w:pPr>
            <w:r w:rsidRPr="00950A5E">
              <w:rPr>
                <w:sz w:val="16"/>
                <w:szCs w:val="16"/>
                <w:lang w:val="fr-FR"/>
              </w:rPr>
              <w:t>Oncidium</w:t>
            </w:r>
          </w:p>
        </w:tc>
        <w:tc>
          <w:tcPr>
            <w:tcW w:w="2290" w:type="dxa"/>
          </w:tcPr>
          <w:p w:rsidR="00B962A4" w:rsidRPr="00950A5E" w:rsidRDefault="00B962A4" w:rsidP="00D807C9">
            <w:pPr>
              <w:spacing w:before="60" w:after="60"/>
              <w:jc w:val="left"/>
              <w:rPr>
                <w:rFonts w:cs="Arial"/>
                <w:sz w:val="16"/>
                <w:szCs w:val="16"/>
                <w:lang w:val="fr-FR"/>
              </w:rPr>
            </w:pPr>
            <w:r w:rsidRPr="00950A5E">
              <w:rPr>
                <w:i/>
                <w:sz w:val="16"/>
                <w:szCs w:val="16"/>
                <w:lang w:val="fr-FR"/>
              </w:rPr>
              <w:t>Oncidium</w:t>
            </w:r>
            <w:r w:rsidRPr="00950A5E">
              <w:rPr>
                <w:sz w:val="16"/>
                <w:szCs w:val="16"/>
                <w:lang w:val="fr-FR"/>
              </w:rPr>
              <w:t xml:space="preserve"> Sw.</w:t>
            </w:r>
          </w:p>
        </w:tc>
      </w:tr>
      <w:tr w:rsidR="00B962A4" w:rsidRPr="00950A5E" w:rsidTr="00B962A4">
        <w:trPr>
          <w:jc w:val="center"/>
        </w:trPr>
        <w:tc>
          <w:tcPr>
            <w:tcW w:w="9781" w:type="dxa"/>
            <w:gridSpan w:val="6"/>
          </w:tcPr>
          <w:p w:rsidR="00B962A4" w:rsidRPr="00950A5E" w:rsidRDefault="00B962A4" w:rsidP="00D807C9">
            <w:pPr>
              <w:keepNext/>
              <w:keepLines/>
              <w:spacing w:before="120" w:after="60"/>
              <w:jc w:val="left"/>
              <w:rPr>
                <w:rFonts w:cs="Arial"/>
                <w:sz w:val="16"/>
                <w:szCs w:val="16"/>
                <w:lang w:val="fr-FR"/>
              </w:rPr>
            </w:pPr>
            <w:r w:rsidRPr="00105BE1">
              <w:rPr>
                <w:rFonts w:cs="Arial"/>
                <w:b/>
                <w:bCs/>
                <w:sz w:val="16"/>
                <w:szCs w:val="16"/>
              </w:rPr>
              <w:t>ÜBERARBEITUNGEN VON PRÜFUNGSRICHTLINIEN</w:t>
            </w:r>
          </w:p>
        </w:tc>
      </w:tr>
      <w:tr w:rsidR="00B962A4" w:rsidRPr="00950A5E" w:rsidTr="00B962A4">
        <w:trPr>
          <w:jc w:val="center"/>
        </w:trPr>
        <w:tc>
          <w:tcPr>
            <w:tcW w:w="1815" w:type="dxa"/>
          </w:tcPr>
          <w:p w:rsidR="00B962A4" w:rsidRPr="00950A5E" w:rsidRDefault="00B962A4" w:rsidP="00D807C9">
            <w:pPr>
              <w:keepNext/>
              <w:keepLines/>
              <w:spacing w:before="60"/>
              <w:rPr>
                <w:sz w:val="16"/>
                <w:szCs w:val="16"/>
                <w:lang w:val="fr-FR"/>
              </w:rPr>
            </w:pPr>
            <w:r w:rsidRPr="00950A5E">
              <w:rPr>
                <w:sz w:val="16"/>
                <w:szCs w:val="16"/>
                <w:lang w:val="fr-FR"/>
              </w:rPr>
              <w:t>TG/98/7</w:t>
            </w:r>
          </w:p>
        </w:tc>
        <w:tc>
          <w:tcPr>
            <w:tcW w:w="1510" w:type="dxa"/>
          </w:tcPr>
          <w:p w:rsidR="00B962A4" w:rsidRPr="00950A5E" w:rsidRDefault="00B962A4" w:rsidP="00D807C9">
            <w:pPr>
              <w:keepNext/>
              <w:keepLines/>
              <w:spacing w:before="60" w:after="60"/>
              <w:jc w:val="left"/>
              <w:rPr>
                <w:rFonts w:cs="Arial"/>
                <w:sz w:val="16"/>
                <w:szCs w:val="16"/>
                <w:lang w:val="fr-FR"/>
              </w:rPr>
            </w:pPr>
            <w:r w:rsidRPr="00950A5E">
              <w:rPr>
                <w:rFonts w:cs="Arial"/>
                <w:sz w:val="16"/>
                <w:szCs w:val="16"/>
                <w:lang w:val="fr-FR"/>
              </w:rPr>
              <w:t>Actinidia, Kiwifruit</w:t>
            </w:r>
          </w:p>
        </w:tc>
        <w:tc>
          <w:tcPr>
            <w:tcW w:w="1225" w:type="dxa"/>
          </w:tcPr>
          <w:p w:rsidR="00B962A4" w:rsidRPr="00950A5E" w:rsidRDefault="00B962A4" w:rsidP="00D807C9">
            <w:pPr>
              <w:keepNext/>
              <w:keepLines/>
              <w:spacing w:before="60" w:after="60"/>
              <w:jc w:val="left"/>
              <w:rPr>
                <w:rFonts w:cs="Arial"/>
                <w:sz w:val="16"/>
                <w:szCs w:val="16"/>
                <w:lang w:val="fr-FR"/>
              </w:rPr>
            </w:pPr>
            <w:r w:rsidRPr="00950A5E">
              <w:rPr>
                <w:rFonts w:cs="Arial"/>
                <w:sz w:val="16"/>
                <w:szCs w:val="16"/>
                <w:lang w:val="fr-FR"/>
              </w:rPr>
              <w:t xml:space="preserve">Actinidia </w:t>
            </w:r>
          </w:p>
        </w:tc>
        <w:tc>
          <w:tcPr>
            <w:tcW w:w="1474" w:type="dxa"/>
          </w:tcPr>
          <w:p w:rsidR="00B962A4" w:rsidRPr="00950A5E" w:rsidRDefault="00B962A4" w:rsidP="00D807C9">
            <w:pPr>
              <w:keepNext/>
              <w:keepLines/>
              <w:spacing w:before="60" w:after="60"/>
              <w:jc w:val="left"/>
              <w:rPr>
                <w:rFonts w:cs="Arial"/>
                <w:sz w:val="16"/>
                <w:szCs w:val="16"/>
                <w:lang w:val="fr-FR"/>
              </w:rPr>
            </w:pPr>
            <w:r w:rsidRPr="00950A5E">
              <w:rPr>
                <w:rFonts w:cs="Arial"/>
                <w:sz w:val="16"/>
                <w:szCs w:val="16"/>
                <w:lang w:val="fr-FR"/>
              </w:rPr>
              <w:t xml:space="preserve">Actinidia </w:t>
            </w:r>
          </w:p>
        </w:tc>
        <w:tc>
          <w:tcPr>
            <w:tcW w:w="1467" w:type="dxa"/>
          </w:tcPr>
          <w:p w:rsidR="00B962A4" w:rsidRPr="00950A5E" w:rsidRDefault="00B962A4" w:rsidP="00D807C9">
            <w:pPr>
              <w:keepNext/>
              <w:keepLines/>
              <w:spacing w:before="60" w:after="60"/>
              <w:jc w:val="left"/>
              <w:rPr>
                <w:rFonts w:cs="Arial"/>
                <w:sz w:val="16"/>
                <w:szCs w:val="16"/>
                <w:lang w:val="fr-FR"/>
              </w:rPr>
            </w:pPr>
            <w:r w:rsidRPr="00950A5E">
              <w:rPr>
                <w:rFonts w:cs="Arial"/>
                <w:sz w:val="16"/>
                <w:szCs w:val="16"/>
                <w:lang w:val="fr-FR"/>
              </w:rPr>
              <w:t xml:space="preserve">Actinidia </w:t>
            </w:r>
          </w:p>
        </w:tc>
        <w:tc>
          <w:tcPr>
            <w:tcW w:w="2290" w:type="dxa"/>
          </w:tcPr>
          <w:p w:rsidR="00B962A4" w:rsidRPr="00950A5E" w:rsidRDefault="00B962A4" w:rsidP="00D807C9">
            <w:pPr>
              <w:keepNext/>
              <w:keepLines/>
              <w:spacing w:before="60" w:after="60"/>
              <w:jc w:val="left"/>
              <w:rPr>
                <w:rFonts w:cs="Arial"/>
                <w:sz w:val="16"/>
                <w:szCs w:val="16"/>
                <w:lang w:val="fr-FR"/>
              </w:rPr>
            </w:pPr>
            <w:r w:rsidRPr="00950A5E">
              <w:rPr>
                <w:i/>
                <w:sz w:val="16"/>
                <w:szCs w:val="16"/>
                <w:lang w:val="fr-FR"/>
              </w:rPr>
              <w:t xml:space="preserve">Actinidia </w:t>
            </w:r>
            <w:r w:rsidRPr="00950A5E">
              <w:rPr>
                <w:sz w:val="16"/>
                <w:szCs w:val="16"/>
                <w:lang w:val="fr-FR"/>
              </w:rPr>
              <w:t>Lindl</w:t>
            </w:r>
            <w:r w:rsidRPr="00950A5E">
              <w:rPr>
                <w:i/>
                <w:sz w:val="16"/>
                <w:szCs w:val="16"/>
                <w:lang w:val="fr-FR"/>
              </w:rPr>
              <w:t>.</w:t>
            </w:r>
          </w:p>
        </w:tc>
      </w:tr>
      <w:tr w:rsidR="00B962A4" w:rsidRPr="00950A5E" w:rsidTr="00B962A4">
        <w:trPr>
          <w:jc w:val="center"/>
        </w:trPr>
        <w:tc>
          <w:tcPr>
            <w:tcW w:w="1815" w:type="dxa"/>
          </w:tcPr>
          <w:p w:rsidR="00B962A4" w:rsidRPr="00950A5E" w:rsidRDefault="00B962A4" w:rsidP="00D807C9">
            <w:pPr>
              <w:pStyle w:val="BodyText"/>
              <w:keepNext/>
              <w:keepLines/>
              <w:spacing w:before="60" w:after="60"/>
              <w:jc w:val="left"/>
              <w:rPr>
                <w:sz w:val="16"/>
                <w:szCs w:val="16"/>
                <w:lang w:val="fr-FR"/>
              </w:rPr>
            </w:pPr>
            <w:r w:rsidRPr="00950A5E">
              <w:rPr>
                <w:sz w:val="16"/>
                <w:szCs w:val="16"/>
                <w:lang w:val="fr-FR"/>
              </w:rPr>
              <w:t>TG/120/4</w:t>
            </w:r>
          </w:p>
        </w:tc>
        <w:tc>
          <w:tcPr>
            <w:tcW w:w="1510" w:type="dxa"/>
          </w:tcPr>
          <w:p w:rsidR="00B962A4" w:rsidRPr="00950A5E" w:rsidRDefault="00B962A4" w:rsidP="00D807C9">
            <w:pPr>
              <w:keepNext/>
              <w:keepLines/>
              <w:spacing w:before="60" w:after="60"/>
              <w:jc w:val="left"/>
              <w:rPr>
                <w:sz w:val="16"/>
                <w:szCs w:val="16"/>
                <w:lang w:val="fr-FR"/>
              </w:rPr>
            </w:pPr>
            <w:r w:rsidRPr="00950A5E">
              <w:rPr>
                <w:sz w:val="16"/>
                <w:szCs w:val="16"/>
                <w:lang w:val="fr-FR"/>
              </w:rPr>
              <w:t xml:space="preserve">Durum wheat, </w:t>
            </w:r>
            <w:r w:rsidRPr="00950A5E">
              <w:rPr>
                <w:sz w:val="16"/>
                <w:szCs w:val="16"/>
                <w:lang w:val="fr-FR"/>
              </w:rPr>
              <w:br/>
              <w:t>Hard Wheat, Macaroni Wheat</w:t>
            </w:r>
          </w:p>
        </w:tc>
        <w:tc>
          <w:tcPr>
            <w:tcW w:w="1225" w:type="dxa"/>
          </w:tcPr>
          <w:p w:rsidR="00B962A4" w:rsidRPr="00950A5E" w:rsidRDefault="00B962A4" w:rsidP="00D807C9">
            <w:pPr>
              <w:keepNext/>
              <w:keepLines/>
              <w:spacing w:before="60" w:after="60"/>
              <w:jc w:val="left"/>
              <w:rPr>
                <w:rFonts w:cs="Arial"/>
                <w:sz w:val="16"/>
                <w:szCs w:val="16"/>
                <w:lang w:val="fr-FR"/>
              </w:rPr>
            </w:pPr>
            <w:r w:rsidRPr="00950A5E">
              <w:rPr>
                <w:sz w:val="16"/>
                <w:szCs w:val="16"/>
                <w:lang w:val="fr-FR"/>
              </w:rPr>
              <w:t>Blé dur</w:t>
            </w:r>
          </w:p>
        </w:tc>
        <w:tc>
          <w:tcPr>
            <w:tcW w:w="1474" w:type="dxa"/>
          </w:tcPr>
          <w:p w:rsidR="00B962A4" w:rsidRPr="00950A5E" w:rsidRDefault="00B962A4" w:rsidP="00D807C9">
            <w:pPr>
              <w:keepNext/>
              <w:keepLines/>
              <w:spacing w:before="60" w:after="60"/>
              <w:jc w:val="left"/>
              <w:rPr>
                <w:rFonts w:cs="Arial"/>
                <w:sz w:val="16"/>
                <w:szCs w:val="16"/>
                <w:lang w:val="fr-FR"/>
              </w:rPr>
            </w:pPr>
            <w:r w:rsidRPr="00950A5E">
              <w:rPr>
                <w:sz w:val="16"/>
                <w:szCs w:val="16"/>
                <w:lang w:val="fr-FR"/>
              </w:rPr>
              <w:t>Durumweizen;  Hartweizen</w:t>
            </w:r>
          </w:p>
        </w:tc>
        <w:tc>
          <w:tcPr>
            <w:tcW w:w="1467" w:type="dxa"/>
          </w:tcPr>
          <w:p w:rsidR="00B962A4" w:rsidRPr="00950A5E" w:rsidRDefault="00B962A4" w:rsidP="00D807C9">
            <w:pPr>
              <w:keepNext/>
              <w:keepLines/>
              <w:spacing w:before="60" w:after="60"/>
              <w:jc w:val="left"/>
              <w:rPr>
                <w:rFonts w:cs="Arial"/>
                <w:sz w:val="16"/>
                <w:szCs w:val="16"/>
                <w:lang w:val="fr-FR"/>
              </w:rPr>
            </w:pPr>
            <w:r w:rsidRPr="00950A5E">
              <w:rPr>
                <w:sz w:val="16"/>
                <w:szCs w:val="16"/>
                <w:lang w:val="fr-FR"/>
              </w:rPr>
              <w:t>Trigo duro</w:t>
            </w:r>
          </w:p>
        </w:tc>
        <w:tc>
          <w:tcPr>
            <w:tcW w:w="2290" w:type="dxa"/>
          </w:tcPr>
          <w:p w:rsidR="00B962A4" w:rsidRPr="00950A5E" w:rsidRDefault="00B962A4" w:rsidP="00D807C9">
            <w:pPr>
              <w:keepNext/>
              <w:keepLines/>
              <w:spacing w:before="60" w:after="60"/>
              <w:jc w:val="left"/>
              <w:rPr>
                <w:rFonts w:cs="Arial"/>
                <w:sz w:val="16"/>
                <w:szCs w:val="16"/>
                <w:lang w:val="fr-FR"/>
              </w:rPr>
            </w:pPr>
            <w:r w:rsidRPr="00950A5E">
              <w:rPr>
                <w:i/>
                <w:sz w:val="16"/>
                <w:szCs w:val="16"/>
                <w:lang w:val="fr-FR"/>
              </w:rPr>
              <w:t>Triticum turgidum</w:t>
            </w:r>
            <w:r w:rsidRPr="00950A5E">
              <w:rPr>
                <w:sz w:val="16"/>
                <w:szCs w:val="16"/>
                <w:lang w:val="fr-FR"/>
              </w:rPr>
              <w:t xml:space="preserve"> L. subsp.</w:t>
            </w:r>
            <w:r w:rsidRPr="00950A5E">
              <w:rPr>
                <w:sz w:val="16"/>
                <w:szCs w:val="16"/>
                <w:lang w:val="fr-FR"/>
              </w:rPr>
              <w:br/>
            </w:r>
            <w:r w:rsidRPr="00950A5E">
              <w:rPr>
                <w:i/>
                <w:sz w:val="16"/>
                <w:szCs w:val="16"/>
                <w:lang w:val="fr-FR"/>
              </w:rPr>
              <w:t>durum</w:t>
            </w:r>
            <w:r w:rsidRPr="00950A5E">
              <w:rPr>
                <w:sz w:val="16"/>
                <w:szCs w:val="16"/>
                <w:lang w:val="fr-FR"/>
              </w:rPr>
              <w:t xml:space="preserve"> (Desf.) Husn., </w:t>
            </w:r>
            <w:r w:rsidRPr="00950A5E">
              <w:rPr>
                <w:sz w:val="16"/>
                <w:szCs w:val="16"/>
                <w:lang w:val="fr-FR"/>
              </w:rPr>
              <w:br/>
            </w:r>
            <w:r w:rsidRPr="00950A5E">
              <w:rPr>
                <w:i/>
                <w:sz w:val="16"/>
                <w:szCs w:val="16"/>
                <w:lang w:val="fr-FR"/>
              </w:rPr>
              <w:t xml:space="preserve">Triticum durum </w:t>
            </w:r>
            <w:r w:rsidRPr="00950A5E">
              <w:rPr>
                <w:sz w:val="16"/>
                <w:szCs w:val="16"/>
                <w:lang w:val="fr-FR"/>
              </w:rPr>
              <w:t xml:space="preserve">Desf., </w:t>
            </w:r>
            <w:r w:rsidRPr="00950A5E">
              <w:rPr>
                <w:i/>
                <w:sz w:val="16"/>
                <w:szCs w:val="16"/>
                <w:lang w:val="fr-FR"/>
              </w:rPr>
              <w:t>Triticum turgidum</w:t>
            </w:r>
            <w:r w:rsidRPr="00950A5E">
              <w:rPr>
                <w:sz w:val="16"/>
                <w:szCs w:val="16"/>
                <w:lang w:val="fr-FR"/>
              </w:rPr>
              <w:t xml:space="preserve"> subsp.  </w:t>
            </w:r>
            <w:r w:rsidRPr="00950A5E">
              <w:rPr>
                <w:i/>
                <w:sz w:val="16"/>
                <w:szCs w:val="16"/>
                <w:lang w:val="fr-FR"/>
              </w:rPr>
              <w:t>turgidum</w:t>
            </w:r>
            <w:r w:rsidRPr="00950A5E">
              <w:rPr>
                <w:sz w:val="16"/>
                <w:szCs w:val="16"/>
                <w:lang w:val="fr-FR"/>
              </w:rPr>
              <w:t xml:space="preserve"> conv.  </w:t>
            </w:r>
            <w:r w:rsidRPr="00950A5E">
              <w:rPr>
                <w:i/>
                <w:sz w:val="16"/>
                <w:szCs w:val="16"/>
                <w:lang w:val="fr-FR"/>
              </w:rPr>
              <w:t>durum</w:t>
            </w:r>
            <w:r w:rsidRPr="00950A5E">
              <w:rPr>
                <w:sz w:val="16"/>
                <w:szCs w:val="16"/>
                <w:lang w:val="fr-FR"/>
              </w:rPr>
              <w:t xml:space="preserve"> (Desf.) MacKey, </w:t>
            </w:r>
            <w:r w:rsidRPr="00950A5E">
              <w:rPr>
                <w:i/>
                <w:sz w:val="16"/>
                <w:szCs w:val="16"/>
                <w:lang w:val="fr-FR"/>
              </w:rPr>
              <w:t>Triticum turgidum</w:t>
            </w:r>
            <w:r w:rsidRPr="00950A5E">
              <w:rPr>
                <w:sz w:val="16"/>
                <w:szCs w:val="16"/>
                <w:lang w:val="fr-FR"/>
              </w:rPr>
              <w:t xml:space="preserve"> L.</w:t>
            </w:r>
          </w:p>
        </w:tc>
      </w:tr>
      <w:tr w:rsidR="00B962A4" w:rsidRPr="00950A5E" w:rsidTr="00D807C9">
        <w:trPr>
          <w:jc w:val="center"/>
        </w:trPr>
        <w:tc>
          <w:tcPr>
            <w:tcW w:w="1815" w:type="dxa"/>
          </w:tcPr>
          <w:p w:rsidR="00B962A4" w:rsidRPr="00950A5E" w:rsidRDefault="00B962A4" w:rsidP="00D807C9">
            <w:pPr>
              <w:pStyle w:val="preparedby"/>
              <w:spacing w:before="60" w:after="60"/>
              <w:jc w:val="left"/>
              <w:rPr>
                <w:rFonts w:cs="Arial"/>
                <w:i w:val="0"/>
                <w:snapToGrid w:val="0"/>
                <w:sz w:val="16"/>
                <w:szCs w:val="16"/>
                <w:lang w:val="fr-FR"/>
              </w:rPr>
            </w:pPr>
            <w:r w:rsidRPr="00950A5E">
              <w:rPr>
                <w:rFonts w:cs="Arial"/>
                <w:i w:val="0"/>
                <w:sz w:val="16"/>
                <w:szCs w:val="16"/>
                <w:lang w:val="fr-FR"/>
              </w:rPr>
              <w:t>TG/218/2</w:t>
            </w:r>
          </w:p>
        </w:tc>
        <w:tc>
          <w:tcPr>
            <w:tcW w:w="1510" w:type="dxa"/>
          </w:tcPr>
          <w:p w:rsidR="00B962A4" w:rsidRPr="00950A5E" w:rsidRDefault="00B962A4" w:rsidP="00D807C9">
            <w:pPr>
              <w:spacing w:before="60" w:after="60"/>
              <w:jc w:val="left"/>
              <w:rPr>
                <w:rFonts w:cs="Arial"/>
                <w:snapToGrid w:val="0"/>
                <w:sz w:val="16"/>
                <w:szCs w:val="16"/>
                <w:lang w:val="fr-FR"/>
              </w:rPr>
            </w:pPr>
            <w:r w:rsidRPr="00950A5E">
              <w:rPr>
                <w:rFonts w:cs="Arial"/>
                <w:sz w:val="16"/>
                <w:szCs w:val="16"/>
                <w:lang w:val="fr-FR"/>
              </w:rPr>
              <w:t xml:space="preserve">Parsnip </w:t>
            </w:r>
          </w:p>
        </w:tc>
        <w:tc>
          <w:tcPr>
            <w:tcW w:w="1225" w:type="dxa"/>
          </w:tcPr>
          <w:p w:rsidR="00B962A4" w:rsidRPr="00950A5E" w:rsidRDefault="00B962A4" w:rsidP="00D807C9">
            <w:pPr>
              <w:spacing w:before="60" w:after="60"/>
              <w:jc w:val="left"/>
              <w:rPr>
                <w:rFonts w:cs="Arial"/>
                <w:sz w:val="16"/>
                <w:szCs w:val="16"/>
                <w:lang w:val="fr-FR"/>
              </w:rPr>
            </w:pPr>
            <w:r w:rsidRPr="00950A5E">
              <w:rPr>
                <w:sz w:val="16"/>
                <w:szCs w:val="16"/>
                <w:lang w:val="fr-FR"/>
              </w:rPr>
              <w:t>Panais</w:t>
            </w:r>
          </w:p>
        </w:tc>
        <w:tc>
          <w:tcPr>
            <w:tcW w:w="1474"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Pastinake</w:t>
            </w:r>
          </w:p>
        </w:tc>
        <w:tc>
          <w:tcPr>
            <w:tcW w:w="1467"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Chirivía</w:t>
            </w:r>
          </w:p>
        </w:tc>
        <w:tc>
          <w:tcPr>
            <w:tcW w:w="2290" w:type="dxa"/>
          </w:tcPr>
          <w:p w:rsidR="00B962A4" w:rsidRPr="00950A5E" w:rsidRDefault="00B962A4" w:rsidP="00D807C9">
            <w:pPr>
              <w:spacing w:before="60" w:after="60"/>
              <w:jc w:val="left"/>
              <w:rPr>
                <w:rFonts w:cs="Arial"/>
                <w:sz w:val="16"/>
                <w:szCs w:val="16"/>
                <w:lang w:val="fr-FR"/>
              </w:rPr>
            </w:pPr>
            <w:r w:rsidRPr="00950A5E">
              <w:rPr>
                <w:rFonts w:cs="Arial"/>
                <w:i/>
                <w:iCs/>
                <w:sz w:val="16"/>
                <w:szCs w:val="16"/>
                <w:lang w:val="fr-FR"/>
              </w:rPr>
              <w:t xml:space="preserve">Pastinaca sativa </w:t>
            </w:r>
            <w:r w:rsidRPr="00950A5E">
              <w:rPr>
                <w:rFonts w:cs="Arial"/>
                <w:sz w:val="16"/>
                <w:szCs w:val="16"/>
                <w:lang w:val="fr-FR"/>
              </w:rPr>
              <w:t>L.</w:t>
            </w:r>
          </w:p>
        </w:tc>
      </w:tr>
      <w:tr w:rsidR="00B962A4" w:rsidRPr="00950A5E" w:rsidTr="00D807C9">
        <w:trPr>
          <w:trHeight w:val="750"/>
          <w:jc w:val="center"/>
        </w:trPr>
        <w:tc>
          <w:tcPr>
            <w:tcW w:w="1815" w:type="dxa"/>
            <w:vMerge w:val="restart"/>
          </w:tcPr>
          <w:p w:rsidR="00B962A4" w:rsidRPr="00950A5E" w:rsidRDefault="00B962A4" w:rsidP="00D807C9">
            <w:pPr>
              <w:pStyle w:val="preparedby"/>
              <w:spacing w:before="60" w:after="60"/>
              <w:jc w:val="left"/>
              <w:rPr>
                <w:rFonts w:cs="Arial"/>
                <w:i w:val="0"/>
                <w:sz w:val="16"/>
                <w:szCs w:val="16"/>
                <w:lang w:val="fr-FR"/>
              </w:rPr>
            </w:pPr>
            <w:r w:rsidRPr="00950A5E">
              <w:rPr>
                <w:rFonts w:cs="Arial"/>
                <w:i w:val="0"/>
                <w:sz w:val="16"/>
                <w:szCs w:val="16"/>
                <w:lang w:val="fr-FR"/>
              </w:rPr>
              <w:t>TG/63/7-TG/64/7</w:t>
            </w:r>
          </w:p>
        </w:tc>
        <w:tc>
          <w:tcPr>
            <w:tcW w:w="1510" w:type="dxa"/>
          </w:tcPr>
          <w:p w:rsidR="00B962A4" w:rsidRPr="00950A5E" w:rsidRDefault="00B962A4" w:rsidP="00D807C9">
            <w:pPr>
              <w:spacing w:before="60" w:after="60"/>
              <w:jc w:val="left"/>
              <w:rPr>
                <w:rFonts w:cs="Arial"/>
                <w:sz w:val="16"/>
                <w:szCs w:val="16"/>
                <w:lang w:val="fr-FR"/>
              </w:rPr>
            </w:pPr>
            <w:r w:rsidRPr="00950A5E">
              <w:rPr>
                <w:sz w:val="16"/>
                <w:szCs w:val="16"/>
                <w:lang w:val="fr-FR"/>
              </w:rPr>
              <w:t>Black radish, Oriental radish</w:t>
            </w:r>
          </w:p>
        </w:tc>
        <w:tc>
          <w:tcPr>
            <w:tcW w:w="1225" w:type="dxa"/>
          </w:tcPr>
          <w:p w:rsidR="00B962A4" w:rsidRPr="00950A5E" w:rsidRDefault="00B962A4" w:rsidP="00D807C9">
            <w:pPr>
              <w:spacing w:before="60" w:after="60"/>
              <w:jc w:val="left"/>
              <w:rPr>
                <w:rFonts w:cs="Arial"/>
                <w:sz w:val="16"/>
                <w:szCs w:val="16"/>
                <w:lang w:val="fr-FR"/>
              </w:rPr>
            </w:pPr>
            <w:r w:rsidRPr="00950A5E">
              <w:rPr>
                <w:sz w:val="16"/>
                <w:szCs w:val="16"/>
                <w:lang w:val="fr-FR"/>
              </w:rPr>
              <w:t>Radis rave</w:t>
            </w:r>
          </w:p>
        </w:tc>
        <w:tc>
          <w:tcPr>
            <w:tcW w:w="1474" w:type="dxa"/>
          </w:tcPr>
          <w:p w:rsidR="00B962A4" w:rsidRPr="00950A5E" w:rsidRDefault="00B962A4" w:rsidP="00D807C9">
            <w:pPr>
              <w:spacing w:before="60" w:after="60"/>
              <w:jc w:val="left"/>
              <w:rPr>
                <w:rFonts w:cs="Arial"/>
                <w:sz w:val="16"/>
                <w:szCs w:val="16"/>
                <w:lang w:val="fr-FR"/>
              </w:rPr>
            </w:pPr>
            <w:r w:rsidRPr="00950A5E">
              <w:rPr>
                <w:sz w:val="16"/>
                <w:szCs w:val="16"/>
                <w:lang w:val="fr-FR"/>
              </w:rPr>
              <w:t>Rettich</w:t>
            </w:r>
          </w:p>
        </w:tc>
        <w:tc>
          <w:tcPr>
            <w:tcW w:w="1467" w:type="dxa"/>
          </w:tcPr>
          <w:p w:rsidR="00B962A4" w:rsidRPr="00950A5E" w:rsidRDefault="00B962A4" w:rsidP="00D807C9">
            <w:pPr>
              <w:spacing w:before="60" w:after="60"/>
              <w:jc w:val="left"/>
              <w:rPr>
                <w:rFonts w:cs="Arial"/>
                <w:sz w:val="16"/>
                <w:szCs w:val="16"/>
                <w:lang w:val="fr-FR"/>
              </w:rPr>
            </w:pPr>
            <w:r w:rsidRPr="00950A5E">
              <w:rPr>
                <w:sz w:val="16"/>
                <w:szCs w:val="16"/>
                <w:lang w:val="fr-FR"/>
              </w:rPr>
              <w:t xml:space="preserve">Rabano </w:t>
            </w:r>
            <w:proofErr w:type="gramStart"/>
            <w:r w:rsidRPr="00950A5E">
              <w:rPr>
                <w:sz w:val="16"/>
                <w:szCs w:val="16"/>
                <w:lang w:val="fr-FR"/>
              </w:rPr>
              <w:t>de invierno</w:t>
            </w:r>
            <w:proofErr w:type="gramEnd"/>
            <w:r w:rsidRPr="00950A5E">
              <w:rPr>
                <w:sz w:val="16"/>
                <w:szCs w:val="16"/>
                <w:lang w:val="fr-FR"/>
              </w:rPr>
              <w:t>, Rabano negro</w:t>
            </w:r>
          </w:p>
        </w:tc>
        <w:tc>
          <w:tcPr>
            <w:tcW w:w="2290" w:type="dxa"/>
          </w:tcPr>
          <w:p w:rsidR="00B962A4" w:rsidRPr="00950A5E" w:rsidRDefault="00B962A4" w:rsidP="00D807C9">
            <w:pPr>
              <w:spacing w:before="60" w:after="60"/>
              <w:jc w:val="left"/>
              <w:rPr>
                <w:rFonts w:cs="Arial"/>
                <w:sz w:val="16"/>
                <w:szCs w:val="16"/>
                <w:lang w:val="fr-FR"/>
              </w:rPr>
            </w:pPr>
            <w:r w:rsidRPr="00950A5E">
              <w:rPr>
                <w:i/>
                <w:sz w:val="16"/>
                <w:szCs w:val="16"/>
                <w:lang w:val="fr-FR"/>
              </w:rPr>
              <w:t>Raphanus sativus</w:t>
            </w:r>
            <w:r w:rsidRPr="00950A5E">
              <w:rPr>
                <w:sz w:val="16"/>
                <w:szCs w:val="16"/>
                <w:lang w:val="fr-FR"/>
              </w:rPr>
              <w:t xml:space="preserve"> L. var.  </w:t>
            </w:r>
            <w:r w:rsidRPr="00950A5E">
              <w:rPr>
                <w:i/>
                <w:sz w:val="16"/>
                <w:szCs w:val="16"/>
                <w:lang w:val="fr-FR"/>
              </w:rPr>
              <w:t>niger</w:t>
            </w:r>
            <w:r w:rsidRPr="00950A5E">
              <w:rPr>
                <w:sz w:val="16"/>
                <w:szCs w:val="16"/>
                <w:lang w:val="fr-FR"/>
              </w:rPr>
              <w:t xml:space="preserve"> (Mill.) S. Kerner</w:t>
            </w:r>
            <w:r w:rsidRPr="00950A5E">
              <w:rPr>
                <w:sz w:val="16"/>
                <w:szCs w:val="16"/>
                <w:shd w:val="clear" w:color="auto" w:fill="FFFFFF"/>
                <w:lang w:val="fr-FR"/>
              </w:rPr>
              <w:t xml:space="preserve">, = (N) </w:t>
            </w:r>
            <w:r w:rsidRPr="00950A5E">
              <w:rPr>
                <w:i/>
                <w:sz w:val="16"/>
                <w:szCs w:val="16"/>
                <w:lang w:val="fr-FR"/>
              </w:rPr>
              <w:t xml:space="preserve">Raphanus sativus </w:t>
            </w:r>
            <w:r w:rsidRPr="00950A5E">
              <w:rPr>
                <w:sz w:val="16"/>
                <w:szCs w:val="16"/>
                <w:lang w:val="fr-FR"/>
              </w:rPr>
              <w:t>L</w:t>
            </w:r>
            <w:r w:rsidRPr="00950A5E">
              <w:rPr>
                <w:i/>
                <w:sz w:val="16"/>
                <w:lang w:val="fr-FR"/>
              </w:rPr>
              <w:t>.</w:t>
            </w:r>
            <w:r w:rsidRPr="00950A5E">
              <w:rPr>
                <w:i/>
                <w:sz w:val="16"/>
                <w:szCs w:val="16"/>
                <w:lang w:val="fr-FR"/>
              </w:rPr>
              <w:t> </w:t>
            </w:r>
            <w:r w:rsidRPr="00950A5E">
              <w:rPr>
                <w:sz w:val="16"/>
                <w:szCs w:val="16"/>
                <w:lang w:val="fr-FR"/>
              </w:rPr>
              <w:t xml:space="preserve">var.  </w:t>
            </w:r>
            <w:r w:rsidRPr="00950A5E">
              <w:rPr>
                <w:i/>
                <w:sz w:val="16"/>
                <w:szCs w:val="16"/>
                <w:lang w:val="fr-FR"/>
              </w:rPr>
              <w:t>longipinnatus</w:t>
            </w:r>
            <w:r w:rsidRPr="00950A5E">
              <w:rPr>
                <w:sz w:val="16"/>
                <w:szCs w:val="16"/>
                <w:lang w:val="fr-FR"/>
              </w:rPr>
              <w:t xml:space="preserve"> L.H.  Bailey</w:t>
            </w:r>
          </w:p>
        </w:tc>
      </w:tr>
      <w:tr w:rsidR="00B962A4" w:rsidRPr="00950A5E" w:rsidTr="00B962A4">
        <w:trPr>
          <w:trHeight w:val="750"/>
          <w:jc w:val="center"/>
        </w:trPr>
        <w:tc>
          <w:tcPr>
            <w:tcW w:w="1815" w:type="dxa"/>
            <w:vMerge/>
          </w:tcPr>
          <w:p w:rsidR="00B962A4" w:rsidRPr="00950A5E" w:rsidRDefault="00B962A4" w:rsidP="00D807C9">
            <w:pPr>
              <w:pStyle w:val="preparedby"/>
              <w:spacing w:before="60" w:after="60"/>
              <w:jc w:val="left"/>
              <w:rPr>
                <w:rFonts w:cs="Arial"/>
                <w:i w:val="0"/>
                <w:sz w:val="16"/>
                <w:szCs w:val="16"/>
                <w:lang w:val="fr-FR"/>
              </w:rPr>
            </w:pP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Radish, Garden Radish, European Radish, Chinese Small Radish, Western Radish</w:t>
            </w:r>
          </w:p>
        </w:tc>
        <w:tc>
          <w:tcPr>
            <w:tcW w:w="1225" w:type="dxa"/>
          </w:tcPr>
          <w:p w:rsidR="00B962A4" w:rsidRPr="00950A5E" w:rsidRDefault="00B962A4" w:rsidP="00D807C9">
            <w:pPr>
              <w:spacing w:before="60" w:after="60"/>
              <w:jc w:val="left"/>
              <w:rPr>
                <w:sz w:val="16"/>
                <w:szCs w:val="16"/>
                <w:lang w:val="fr-FR"/>
              </w:rPr>
            </w:pPr>
            <w:r w:rsidRPr="00950A5E">
              <w:rPr>
                <w:sz w:val="16"/>
                <w:szCs w:val="16"/>
                <w:lang w:val="fr-FR"/>
              </w:rPr>
              <w:t>Radis de tous les mois</w:t>
            </w:r>
          </w:p>
        </w:tc>
        <w:tc>
          <w:tcPr>
            <w:tcW w:w="1474" w:type="dxa"/>
          </w:tcPr>
          <w:p w:rsidR="00B962A4" w:rsidRPr="00950A5E" w:rsidRDefault="00B962A4" w:rsidP="00D807C9">
            <w:pPr>
              <w:spacing w:before="60" w:after="60"/>
              <w:jc w:val="left"/>
              <w:rPr>
                <w:sz w:val="16"/>
                <w:szCs w:val="16"/>
                <w:lang w:val="fr-FR"/>
              </w:rPr>
            </w:pPr>
            <w:r w:rsidRPr="00950A5E">
              <w:rPr>
                <w:sz w:val="16"/>
                <w:szCs w:val="16"/>
                <w:lang w:val="fr-FR"/>
              </w:rPr>
              <w:t>Radieschen</w:t>
            </w:r>
          </w:p>
        </w:tc>
        <w:tc>
          <w:tcPr>
            <w:tcW w:w="1467" w:type="dxa"/>
          </w:tcPr>
          <w:p w:rsidR="00B962A4" w:rsidRPr="00950A5E" w:rsidRDefault="00B962A4" w:rsidP="00D807C9">
            <w:pPr>
              <w:spacing w:before="60" w:after="60"/>
              <w:jc w:val="left"/>
              <w:rPr>
                <w:sz w:val="16"/>
                <w:szCs w:val="16"/>
                <w:lang w:val="fr-FR"/>
              </w:rPr>
            </w:pPr>
            <w:r w:rsidRPr="00950A5E">
              <w:rPr>
                <w:sz w:val="16"/>
                <w:szCs w:val="16"/>
                <w:lang w:val="fr-FR"/>
              </w:rPr>
              <w:t>Rabanito</w:t>
            </w:r>
          </w:p>
        </w:tc>
        <w:tc>
          <w:tcPr>
            <w:tcW w:w="2290" w:type="dxa"/>
          </w:tcPr>
          <w:p w:rsidR="00B962A4" w:rsidRPr="00950A5E" w:rsidRDefault="00B962A4" w:rsidP="00D807C9">
            <w:pPr>
              <w:spacing w:before="60" w:after="60"/>
              <w:jc w:val="left"/>
              <w:rPr>
                <w:i/>
                <w:sz w:val="16"/>
                <w:szCs w:val="16"/>
                <w:lang w:val="fr-FR"/>
              </w:rPr>
            </w:pPr>
            <w:r w:rsidRPr="00950A5E">
              <w:rPr>
                <w:i/>
                <w:sz w:val="16"/>
                <w:szCs w:val="16"/>
                <w:lang w:val="fr-FR"/>
              </w:rPr>
              <w:t>Raphanus sativus</w:t>
            </w:r>
            <w:r w:rsidRPr="00950A5E">
              <w:rPr>
                <w:sz w:val="16"/>
                <w:szCs w:val="16"/>
                <w:lang w:val="fr-FR"/>
              </w:rPr>
              <w:t xml:space="preserve"> L. var </w:t>
            </w:r>
            <w:r w:rsidRPr="00950A5E">
              <w:rPr>
                <w:i/>
                <w:sz w:val="16"/>
                <w:szCs w:val="16"/>
                <w:lang w:val="fr-FR"/>
              </w:rPr>
              <w:t>sativus</w:t>
            </w:r>
            <w:r w:rsidRPr="00950A5E">
              <w:rPr>
                <w:sz w:val="16"/>
                <w:szCs w:val="16"/>
                <w:lang w:val="fr-FR"/>
              </w:rPr>
              <w:t xml:space="preserve"> = (S)</w:t>
            </w:r>
          </w:p>
        </w:tc>
      </w:tr>
      <w:tr w:rsidR="00B962A4" w:rsidRPr="00950A5E" w:rsidTr="00B962A4">
        <w:trPr>
          <w:jc w:val="center"/>
        </w:trPr>
        <w:tc>
          <w:tcPr>
            <w:tcW w:w="9781" w:type="dxa"/>
            <w:gridSpan w:val="6"/>
          </w:tcPr>
          <w:p w:rsidR="00B962A4" w:rsidRPr="00950A5E" w:rsidRDefault="00B962A4" w:rsidP="00D807C9">
            <w:pPr>
              <w:spacing w:before="120" w:after="60"/>
              <w:jc w:val="left"/>
              <w:rPr>
                <w:rFonts w:cs="Arial"/>
                <w:sz w:val="16"/>
                <w:szCs w:val="16"/>
                <w:lang w:val="fr-FR"/>
              </w:rPr>
            </w:pPr>
            <w:r w:rsidRPr="00105BE1">
              <w:rPr>
                <w:rFonts w:cs="Arial"/>
                <w:b/>
                <w:bCs/>
                <w:sz w:val="16"/>
                <w:szCs w:val="16"/>
              </w:rPr>
              <w:t>TEILÜBERARBEITUNGEN VON PRÜFUNGSRICHTLINIEN</w:t>
            </w:r>
          </w:p>
        </w:tc>
      </w:tr>
      <w:tr w:rsidR="00B962A4" w:rsidRPr="00950A5E" w:rsidTr="00D807C9">
        <w:trPr>
          <w:jc w:val="center"/>
        </w:trPr>
        <w:tc>
          <w:tcPr>
            <w:tcW w:w="1815" w:type="dxa"/>
          </w:tcPr>
          <w:p w:rsidR="00B962A4" w:rsidRPr="00950A5E" w:rsidRDefault="00B962A4" w:rsidP="00D807C9">
            <w:pPr>
              <w:keepNext/>
              <w:spacing w:before="60" w:after="60"/>
              <w:jc w:val="left"/>
              <w:rPr>
                <w:rFonts w:cs="Arial"/>
                <w:sz w:val="16"/>
                <w:szCs w:val="16"/>
                <w:lang w:val="fr-FR"/>
              </w:rPr>
            </w:pPr>
            <w:r w:rsidRPr="00950A5E">
              <w:rPr>
                <w:rFonts w:cs="Arial"/>
                <w:sz w:val="16"/>
                <w:szCs w:val="16"/>
                <w:lang w:val="fr-FR"/>
              </w:rPr>
              <w:t>TG/12/9 Rev.</w:t>
            </w:r>
          </w:p>
        </w:tc>
        <w:tc>
          <w:tcPr>
            <w:tcW w:w="1510" w:type="dxa"/>
          </w:tcPr>
          <w:p w:rsidR="00B962A4" w:rsidRPr="00950A5E" w:rsidRDefault="00B962A4" w:rsidP="00D807C9">
            <w:pPr>
              <w:keepNext/>
              <w:spacing w:before="60" w:after="60"/>
              <w:jc w:val="left"/>
              <w:rPr>
                <w:rFonts w:cs="Arial"/>
                <w:sz w:val="16"/>
                <w:szCs w:val="16"/>
                <w:lang w:val="fr-FR"/>
              </w:rPr>
            </w:pPr>
            <w:r w:rsidRPr="00950A5E">
              <w:rPr>
                <w:rFonts w:cs="Arial"/>
                <w:sz w:val="16"/>
                <w:szCs w:val="16"/>
                <w:lang w:val="fr-FR"/>
              </w:rPr>
              <w:t>French Bean</w:t>
            </w:r>
          </w:p>
        </w:tc>
        <w:tc>
          <w:tcPr>
            <w:tcW w:w="1225" w:type="dxa"/>
          </w:tcPr>
          <w:p w:rsidR="00B962A4" w:rsidRPr="00950A5E" w:rsidRDefault="00B962A4" w:rsidP="00D807C9">
            <w:pPr>
              <w:keepNext/>
              <w:spacing w:before="60" w:after="60"/>
              <w:jc w:val="left"/>
              <w:rPr>
                <w:rFonts w:cs="Arial"/>
                <w:sz w:val="16"/>
                <w:szCs w:val="16"/>
                <w:lang w:val="fr-FR"/>
              </w:rPr>
            </w:pPr>
            <w:r w:rsidRPr="00950A5E">
              <w:rPr>
                <w:rFonts w:cs="Arial"/>
                <w:sz w:val="16"/>
                <w:szCs w:val="16"/>
                <w:lang w:val="fr-FR"/>
              </w:rPr>
              <w:t>Haricot</w:t>
            </w:r>
          </w:p>
        </w:tc>
        <w:tc>
          <w:tcPr>
            <w:tcW w:w="1474"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 xml:space="preserve">Gartenbohne </w:t>
            </w:r>
          </w:p>
        </w:tc>
        <w:tc>
          <w:tcPr>
            <w:tcW w:w="1467" w:type="dxa"/>
          </w:tcPr>
          <w:p w:rsidR="00B962A4" w:rsidRPr="00950A5E" w:rsidRDefault="00B962A4" w:rsidP="00D807C9">
            <w:pPr>
              <w:spacing w:before="60" w:after="60"/>
              <w:jc w:val="left"/>
              <w:rPr>
                <w:sz w:val="16"/>
                <w:szCs w:val="16"/>
                <w:lang w:val="fr-FR"/>
              </w:rPr>
            </w:pPr>
            <w:r w:rsidRPr="00950A5E">
              <w:rPr>
                <w:sz w:val="16"/>
                <w:szCs w:val="16"/>
                <w:lang w:val="fr-FR"/>
              </w:rPr>
              <w:t>Judía común, Alubia</w:t>
            </w:r>
          </w:p>
        </w:tc>
        <w:tc>
          <w:tcPr>
            <w:tcW w:w="2290" w:type="dxa"/>
          </w:tcPr>
          <w:p w:rsidR="00B962A4" w:rsidRPr="00950A5E" w:rsidRDefault="00B962A4" w:rsidP="00D807C9">
            <w:pPr>
              <w:spacing w:before="60" w:after="60"/>
              <w:jc w:val="left"/>
              <w:rPr>
                <w:sz w:val="16"/>
                <w:szCs w:val="16"/>
                <w:lang w:val="fr-FR"/>
              </w:rPr>
            </w:pPr>
            <w:r w:rsidRPr="00950A5E">
              <w:rPr>
                <w:sz w:val="16"/>
                <w:szCs w:val="16"/>
                <w:lang w:val="fr-FR"/>
              </w:rPr>
              <w:t>Phaseolus vulgaris L.</w:t>
            </w:r>
          </w:p>
        </w:tc>
      </w:tr>
      <w:tr w:rsidR="00B962A4" w:rsidRPr="00950A5E" w:rsidTr="00D807C9">
        <w:trPr>
          <w:jc w:val="center"/>
        </w:trPr>
        <w:tc>
          <w:tcPr>
            <w:tcW w:w="1815"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TG/78/4 Rev.</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Kalanchoe</w:t>
            </w:r>
          </w:p>
        </w:tc>
        <w:tc>
          <w:tcPr>
            <w:tcW w:w="1225"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Kalanchoe</w:t>
            </w:r>
          </w:p>
        </w:tc>
        <w:tc>
          <w:tcPr>
            <w:tcW w:w="1474" w:type="dxa"/>
          </w:tcPr>
          <w:p w:rsidR="00B962A4" w:rsidRPr="00950A5E" w:rsidRDefault="00B962A4" w:rsidP="00D807C9">
            <w:pPr>
              <w:autoSpaceDE w:val="0"/>
              <w:autoSpaceDN w:val="0"/>
              <w:adjustRightInd w:val="0"/>
              <w:spacing w:before="60" w:after="60"/>
              <w:jc w:val="left"/>
              <w:rPr>
                <w:rFonts w:cs="Arial"/>
                <w:sz w:val="16"/>
                <w:szCs w:val="16"/>
                <w:lang w:val="fr-FR"/>
              </w:rPr>
            </w:pPr>
            <w:r w:rsidRPr="00950A5E">
              <w:rPr>
                <w:rFonts w:cs="Arial"/>
                <w:sz w:val="16"/>
                <w:szCs w:val="16"/>
                <w:lang w:val="fr-FR"/>
              </w:rPr>
              <w:t xml:space="preserve">Kalanchoe, </w:t>
            </w:r>
            <w:r w:rsidRPr="00950A5E">
              <w:rPr>
                <w:rFonts w:cs="Arial"/>
                <w:sz w:val="16"/>
                <w:szCs w:val="16"/>
                <w:lang w:val="fr-FR"/>
              </w:rPr>
              <w:br/>
              <w:t>Flammendes</w:t>
            </w:r>
            <w:r w:rsidRPr="00950A5E">
              <w:rPr>
                <w:rFonts w:cs="Arial"/>
                <w:sz w:val="16"/>
                <w:szCs w:val="16"/>
                <w:lang w:val="fr-FR"/>
              </w:rPr>
              <w:br/>
              <w:t>Kätchen</w:t>
            </w:r>
          </w:p>
        </w:tc>
        <w:tc>
          <w:tcPr>
            <w:tcW w:w="1467"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Kalancho</w:t>
            </w:r>
          </w:p>
        </w:tc>
        <w:tc>
          <w:tcPr>
            <w:tcW w:w="2290" w:type="dxa"/>
          </w:tcPr>
          <w:p w:rsidR="00B962A4" w:rsidRPr="00950A5E" w:rsidRDefault="00B962A4" w:rsidP="00D807C9">
            <w:pPr>
              <w:autoSpaceDE w:val="0"/>
              <w:autoSpaceDN w:val="0"/>
              <w:adjustRightInd w:val="0"/>
              <w:spacing w:before="60" w:after="60"/>
              <w:jc w:val="left"/>
              <w:rPr>
                <w:rFonts w:cs="Arial"/>
                <w:i/>
                <w:iCs/>
                <w:sz w:val="16"/>
                <w:szCs w:val="16"/>
                <w:lang w:val="fr-FR"/>
              </w:rPr>
            </w:pPr>
            <w:r w:rsidRPr="00950A5E">
              <w:rPr>
                <w:rFonts w:cs="Arial"/>
                <w:i/>
                <w:iCs/>
                <w:sz w:val="16"/>
                <w:szCs w:val="16"/>
                <w:lang w:val="fr-FR"/>
              </w:rPr>
              <w:t>Kalanchoe blossfeldiana</w:t>
            </w:r>
            <w:r w:rsidRPr="00950A5E">
              <w:rPr>
                <w:rFonts w:cs="Arial"/>
                <w:i/>
                <w:iCs/>
                <w:sz w:val="16"/>
                <w:szCs w:val="16"/>
                <w:lang w:val="fr-FR"/>
              </w:rPr>
              <w:br/>
            </w:r>
            <w:r w:rsidRPr="00950A5E">
              <w:rPr>
                <w:rFonts w:cs="Arial"/>
                <w:sz w:val="16"/>
                <w:szCs w:val="16"/>
                <w:lang w:val="fr-FR"/>
              </w:rPr>
              <w:t>Poelln.  and its hybrids</w:t>
            </w:r>
          </w:p>
        </w:tc>
      </w:tr>
      <w:tr w:rsidR="00B962A4" w:rsidRPr="00950A5E" w:rsidTr="00D807C9">
        <w:trPr>
          <w:jc w:val="center"/>
        </w:trPr>
        <w:tc>
          <w:tcPr>
            <w:tcW w:w="1815"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TG/196/2 Rev.</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New Guinée Impatiens</w:t>
            </w:r>
          </w:p>
        </w:tc>
        <w:tc>
          <w:tcPr>
            <w:tcW w:w="1225" w:type="dxa"/>
          </w:tcPr>
          <w:p w:rsidR="00B962A4" w:rsidRPr="00950A5E" w:rsidRDefault="00B962A4" w:rsidP="00D807C9">
            <w:pPr>
              <w:spacing w:before="60" w:after="60"/>
              <w:jc w:val="left"/>
              <w:rPr>
                <w:rFonts w:cs="Arial"/>
                <w:sz w:val="16"/>
                <w:szCs w:val="16"/>
                <w:lang w:val="fr-FR"/>
              </w:rPr>
            </w:pPr>
            <w:r w:rsidRPr="00950A5E">
              <w:rPr>
                <w:sz w:val="16"/>
                <w:szCs w:val="16"/>
                <w:lang w:val="fr-FR"/>
              </w:rPr>
              <w:t>Impatiente de Nouvelle-Guinée</w:t>
            </w:r>
          </w:p>
        </w:tc>
        <w:tc>
          <w:tcPr>
            <w:tcW w:w="1474" w:type="dxa"/>
          </w:tcPr>
          <w:p w:rsidR="00B962A4" w:rsidRPr="00950A5E" w:rsidRDefault="00B962A4" w:rsidP="00D807C9">
            <w:pPr>
              <w:spacing w:before="60" w:after="60"/>
              <w:jc w:val="left"/>
              <w:rPr>
                <w:rFonts w:cs="Arial"/>
                <w:sz w:val="16"/>
                <w:szCs w:val="16"/>
                <w:lang w:val="fr-FR"/>
              </w:rPr>
            </w:pPr>
            <w:r w:rsidRPr="00950A5E">
              <w:rPr>
                <w:sz w:val="16"/>
                <w:szCs w:val="16"/>
                <w:lang w:val="fr-FR"/>
              </w:rPr>
              <w:t>Neu-Guinée-Impatiens</w:t>
            </w:r>
          </w:p>
        </w:tc>
        <w:tc>
          <w:tcPr>
            <w:tcW w:w="1467" w:type="dxa"/>
          </w:tcPr>
          <w:p w:rsidR="00B962A4" w:rsidRPr="00950A5E" w:rsidRDefault="00B962A4" w:rsidP="00D807C9">
            <w:pPr>
              <w:spacing w:before="60" w:after="60"/>
              <w:jc w:val="left"/>
              <w:rPr>
                <w:rFonts w:cs="Arial"/>
                <w:sz w:val="16"/>
                <w:szCs w:val="16"/>
                <w:lang w:val="fr-FR"/>
              </w:rPr>
            </w:pPr>
            <w:r w:rsidRPr="00950A5E">
              <w:rPr>
                <w:sz w:val="16"/>
                <w:szCs w:val="16"/>
                <w:lang w:val="fr-FR"/>
              </w:rPr>
              <w:t>Impatiens de Nueva Guinée</w:t>
            </w:r>
          </w:p>
        </w:tc>
        <w:tc>
          <w:tcPr>
            <w:tcW w:w="2290" w:type="dxa"/>
          </w:tcPr>
          <w:p w:rsidR="00B962A4" w:rsidRPr="00950A5E" w:rsidRDefault="00B962A4" w:rsidP="00D807C9">
            <w:pPr>
              <w:spacing w:before="60" w:after="60"/>
              <w:jc w:val="left"/>
              <w:rPr>
                <w:rFonts w:cs="Arial"/>
                <w:sz w:val="16"/>
                <w:szCs w:val="16"/>
                <w:lang w:val="fr-FR"/>
              </w:rPr>
            </w:pPr>
            <w:r w:rsidRPr="00950A5E">
              <w:rPr>
                <w:sz w:val="16"/>
                <w:szCs w:val="16"/>
                <w:lang w:val="fr-FR"/>
              </w:rPr>
              <w:t>New Guinée Impatiens Group</w:t>
            </w:r>
          </w:p>
        </w:tc>
      </w:tr>
      <w:tr w:rsidR="00B962A4" w:rsidRPr="00950A5E" w:rsidTr="00D807C9">
        <w:trPr>
          <w:jc w:val="center"/>
        </w:trPr>
        <w:tc>
          <w:tcPr>
            <w:tcW w:w="1815" w:type="dxa"/>
          </w:tcPr>
          <w:p w:rsidR="00B962A4" w:rsidRPr="00950A5E" w:rsidRDefault="00B962A4" w:rsidP="00D807C9">
            <w:pPr>
              <w:spacing w:before="60" w:after="60"/>
              <w:jc w:val="left"/>
              <w:rPr>
                <w:rFonts w:cs="Arial"/>
                <w:sz w:val="16"/>
                <w:szCs w:val="16"/>
                <w:lang w:val="fr-FR"/>
              </w:rPr>
            </w:pPr>
            <w:r w:rsidRPr="00950A5E">
              <w:rPr>
                <w:rFonts w:cs="Arial"/>
                <w:sz w:val="16"/>
                <w:szCs w:val="16"/>
                <w:lang w:val="fr-FR"/>
              </w:rPr>
              <w:t>TG/22/10 Rev.</w:t>
            </w:r>
          </w:p>
        </w:tc>
        <w:tc>
          <w:tcPr>
            <w:tcW w:w="1510" w:type="dxa"/>
          </w:tcPr>
          <w:p w:rsidR="00B962A4" w:rsidRPr="00950A5E" w:rsidRDefault="00B962A4" w:rsidP="00D807C9">
            <w:pPr>
              <w:spacing w:before="60" w:after="60"/>
              <w:jc w:val="left"/>
              <w:rPr>
                <w:sz w:val="16"/>
                <w:szCs w:val="16"/>
                <w:lang w:val="fr-FR"/>
              </w:rPr>
            </w:pPr>
            <w:r w:rsidRPr="00950A5E">
              <w:rPr>
                <w:sz w:val="16"/>
                <w:szCs w:val="16"/>
                <w:lang w:val="fr-FR"/>
              </w:rPr>
              <w:t>Strawberry</w:t>
            </w:r>
          </w:p>
        </w:tc>
        <w:tc>
          <w:tcPr>
            <w:tcW w:w="1225" w:type="dxa"/>
          </w:tcPr>
          <w:p w:rsidR="00B962A4" w:rsidRPr="00950A5E" w:rsidRDefault="00B962A4" w:rsidP="00D807C9">
            <w:pPr>
              <w:spacing w:before="60" w:after="60"/>
              <w:jc w:val="left"/>
              <w:rPr>
                <w:sz w:val="16"/>
                <w:szCs w:val="16"/>
                <w:lang w:val="fr-FR"/>
              </w:rPr>
            </w:pPr>
            <w:r w:rsidRPr="00950A5E">
              <w:rPr>
                <w:sz w:val="16"/>
                <w:szCs w:val="16"/>
                <w:lang w:val="fr-FR"/>
              </w:rPr>
              <w:t>Fraisier</w:t>
            </w:r>
          </w:p>
        </w:tc>
        <w:tc>
          <w:tcPr>
            <w:tcW w:w="1474" w:type="dxa"/>
          </w:tcPr>
          <w:p w:rsidR="00B962A4" w:rsidRPr="00950A5E" w:rsidRDefault="00B962A4" w:rsidP="00D807C9">
            <w:pPr>
              <w:spacing w:before="60" w:after="60"/>
              <w:jc w:val="left"/>
              <w:rPr>
                <w:sz w:val="16"/>
                <w:szCs w:val="16"/>
                <w:lang w:val="fr-FR"/>
              </w:rPr>
            </w:pPr>
            <w:r w:rsidRPr="00950A5E">
              <w:rPr>
                <w:sz w:val="16"/>
                <w:szCs w:val="16"/>
                <w:lang w:val="fr-FR"/>
              </w:rPr>
              <w:t>Erdbeere</w:t>
            </w:r>
          </w:p>
        </w:tc>
        <w:tc>
          <w:tcPr>
            <w:tcW w:w="1467" w:type="dxa"/>
          </w:tcPr>
          <w:p w:rsidR="00B962A4" w:rsidRPr="00950A5E" w:rsidRDefault="00B962A4" w:rsidP="00D807C9">
            <w:pPr>
              <w:spacing w:before="60" w:after="60"/>
              <w:jc w:val="left"/>
              <w:rPr>
                <w:sz w:val="16"/>
                <w:szCs w:val="16"/>
                <w:lang w:val="fr-FR"/>
              </w:rPr>
            </w:pPr>
            <w:r w:rsidRPr="00950A5E">
              <w:rPr>
                <w:sz w:val="16"/>
                <w:szCs w:val="16"/>
                <w:lang w:val="fr-FR"/>
              </w:rPr>
              <w:t>Fresa, Frutilla</w:t>
            </w:r>
          </w:p>
        </w:tc>
        <w:tc>
          <w:tcPr>
            <w:tcW w:w="2290" w:type="dxa"/>
          </w:tcPr>
          <w:p w:rsidR="00B962A4" w:rsidRPr="00950A5E" w:rsidRDefault="00B962A4" w:rsidP="00D807C9">
            <w:pPr>
              <w:spacing w:before="60" w:after="60"/>
              <w:jc w:val="left"/>
              <w:rPr>
                <w:sz w:val="16"/>
                <w:szCs w:val="16"/>
                <w:lang w:val="fr-FR"/>
              </w:rPr>
            </w:pPr>
            <w:r w:rsidRPr="00950A5E">
              <w:rPr>
                <w:sz w:val="16"/>
                <w:szCs w:val="16"/>
                <w:lang w:val="fr-FR"/>
              </w:rPr>
              <w:t>Fragaria L.</w:t>
            </w:r>
          </w:p>
        </w:tc>
      </w:tr>
    </w:tbl>
    <w:p w:rsidR="00B962A4" w:rsidRDefault="00B962A4" w:rsidP="00B962A4">
      <w:pPr>
        <w:rPr>
          <w:rFonts w:cs="Arial"/>
          <w:snapToGrid w:val="0"/>
        </w:rPr>
      </w:pPr>
    </w:p>
    <w:p w:rsidR="005C6D8F" w:rsidRPr="006054BD" w:rsidRDefault="005C6D8F" w:rsidP="00A9165A">
      <w:pPr>
        <w:rPr>
          <w:rFonts w:cs="Arial"/>
          <w:snapToGrid w:val="0"/>
          <w:u w:val="single"/>
        </w:rPr>
      </w:pPr>
    </w:p>
    <w:p w:rsidR="006B519E" w:rsidRPr="006B7643" w:rsidRDefault="004A094B" w:rsidP="006B7643">
      <w:pPr>
        <w:numPr>
          <w:ilvl w:val="12"/>
          <w:numId w:val="0"/>
        </w:numPr>
        <w:tabs>
          <w:tab w:val="left" w:pos="5103"/>
        </w:tabs>
        <w:ind w:left="4536"/>
        <w:rPr>
          <w:i/>
          <w:lang w:val="de-DE"/>
        </w:rPr>
      </w:pPr>
      <w:r w:rsidRPr="006054BD">
        <w:rPr>
          <w:i/>
        </w:rPr>
        <w:fldChar w:fldCharType="begin"/>
      </w:r>
      <w:r w:rsidR="006B519E" w:rsidRPr="006B7643">
        <w:rPr>
          <w:i/>
          <w:lang w:val="de-DE"/>
        </w:rPr>
        <w:instrText xml:space="preserve"> AUTONUM  </w:instrText>
      </w:r>
      <w:r w:rsidRPr="006054BD">
        <w:rPr>
          <w:i/>
        </w:rPr>
        <w:fldChar w:fldCharType="end"/>
      </w:r>
      <w:r w:rsidR="006B519E" w:rsidRPr="006B7643">
        <w:rPr>
          <w:i/>
          <w:lang w:val="de-DE"/>
        </w:rPr>
        <w:tab/>
      </w:r>
      <w:r w:rsidR="006B7643" w:rsidRPr="006B7643">
        <w:rPr>
          <w:i/>
          <w:lang w:val="de-DE"/>
        </w:rPr>
        <w:t>Der</w:t>
      </w:r>
      <w:r w:rsidR="006B519E" w:rsidRPr="006B7643">
        <w:rPr>
          <w:i/>
          <w:lang w:val="de-DE"/>
        </w:rPr>
        <w:t xml:space="preserve"> </w:t>
      </w:r>
      <w:r w:rsidR="006B7643" w:rsidRPr="006B7643">
        <w:rPr>
          <w:i/>
          <w:lang w:val="de-DE"/>
        </w:rPr>
        <w:t>Rat wird ersucht, diesen Bericht zur Kenntnis zu nehmen</w:t>
      </w:r>
      <w:r w:rsidR="006B519E" w:rsidRPr="006B7643">
        <w:rPr>
          <w:i/>
          <w:lang w:val="de-DE"/>
        </w:rPr>
        <w:t>.</w:t>
      </w:r>
    </w:p>
    <w:p w:rsidR="006B519E" w:rsidRPr="006B7643" w:rsidRDefault="006B519E" w:rsidP="006B519E">
      <w:pPr>
        <w:rPr>
          <w:lang w:val="de-DE"/>
        </w:rPr>
      </w:pPr>
    </w:p>
    <w:p w:rsidR="00DA71E3" w:rsidRPr="006B7643" w:rsidRDefault="00DA71E3" w:rsidP="006B519E">
      <w:pPr>
        <w:rPr>
          <w:lang w:val="de-DE"/>
        </w:rPr>
      </w:pPr>
    </w:p>
    <w:p w:rsidR="00DA71E3" w:rsidRPr="006B7643" w:rsidRDefault="00DA71E3" w:rsidP="006B519E">
      <w:pPr>
        <w:rPr>
          <w:lang w:val="de-DE"/>
        </w:rPr>
      </w:pPr>
    </w:p>
    <w:p w:rsidR="006B519E" w:rsidRPr="00444961" w:rsidRDefault="006B519E" w:rsidP="006B7643">
      <w:pPr>
        <w:numPr>
          <w:ilvl w:val="12"/>
          <w:numId w:val="0"/>
        </w:numPr>
        <w:tabs>
          <w:tab w:val="left" w:pos="5103"/>
        </w:tabs>
        <w:ind w:left="4536"/>
        <w:jc w:val="right"/>
        <w:rPr>
          <w:lang w:val="de-DE"/>
        </w:rPr>
      </w:pPr>
      <w:r w:rsidRPr="00444961">
        <w:rPr>
          <w:lang w:val="de-DE"/>
        </w:rPr>
        <w:t>[</w:t>
      </w:r>
      <w:r w:rsidR="006B7643" w:rsidRPr="002A5260">
        <w:rPr>
          <w:lang w:val="de-DE"/>
        </w:rPr>
        <w:t>Anlagen folgen</w:t>
      </w:r>
      <w:r w:rsidRPr="00444961">
        <w:rPr>
          <w:lang w:val="de-DE"/>
        </w:rPr>
        <w:t>]</w:t>
      </w:r>
    </w:p>
    <w:p w:rsidR="006B519E" w:rsidRPr="00444961" w:rsidRDefault="006B519E" w:rsidP="006B519E">
      <w:pPr>
        <w:rPr>
          <w:lang w:val="de-DE"/>
        </w:rPr>
        <w:sectPr w:rsidR="006B519E" w:rsidRPr="00444961" w:rsidSect="002548AA">
          <w:headerReference w:type="default" r:id="rId11"/>
          <w:pgSz w:w="11907" w:h="16840" w:code="9"/>
          <w:pgMar w:top="510" w:right="1134" w:bottom="1134" w:left="1134" w:header="510" w:footer="680" w:gutter="0"/>
          <w:cols w:space="720"/>
          <w:titlePg/>
        </w:sectPr>
      </w:pPr>
    </w:p>
    <w:p w:rsidR="006B519E" w:rsidRPr="00444961" w:rsidRDefault="006B519E" w:rsidP="006B519E">
      <w:pPr>
        <w:jc w:val="center"/>
        <w:rPr>
          <w:lang w:val="de-DE"/>
        </w:rPr>
      </w:pPr>
      <w:r w:rsidRPr="00444961">
        <w:rPr>
          <w:lang w:val="de-DE"/>
        </w:rPr>
        <w:t>C/47/2</w:t>
      </w:r>
    </w:p>
    <w:p w:rsidR="006B519E" w:rsidRPr="00444961" w:rsidRDefault="006B519E" w:rsidP="006B519E">
      <w:pPr>
        <w:jc w:val="center"/>
        <w:rPr>
          <w:lang w:val="de-DE"/>
        </w:rPr>
      </w:pPr>
    </w:p>
    <w:p w:rsidR="006B519E" w:rsidRPr="00444961" w:rsidRDefault="00BE6871" w:rsidP="006B519E">
      <w:pPr>
        <w:jc w:val="center"/>
        <w:rPr>
          <w:lang w:val="de-DE"/>
        </w:rPr>
      </w:pPr>
      <w:bookmarkStart w:id="47" w:name="_Toc207102117"/>
      <w:bookmarkStart w:id="48" w:name="_Toc207164762"/>
      <w:r>
        <w:rPr>
          <w:lang w:val="de-DE"/>
        </w:rPr>
        <w:t>ANLAGE</w:t>
      </w:r>
      <w:r w:rsidR="006B519E" w:rsidRPr="00444961">
        <w:rPr>
          <w:lang w:val="de-DE"/>
        </w:rPr>
        <w:t xml:space="preserve"> I</w:t>
      </w:r>
      <w:bookmarkEnd w:id="47"/>
      <w:bookmarkEnd w:id="48"/>
    </w:p>
    <w:p w:rsidR="006B519E" w:rsidRPr="00444961" w:rsidRDefault="006B519E" w:rsidP="006B519E">
      <w:pPr>
        <w:jc w:val="center"/>
        <w:rPr>
          <w:lang w:val="de-DE"/>
        </w:rPr>
      </w:pPr>
    </w:p>
    <w:p w:rsidR="006B519E" w:rsidRPr="00444961" w:rsidRDefault="006B519E" w:rsidP="006B519E">
      <w:pPr>
        <w:jc w:val="center"/>
        <w:rPr>
          <w:lang w:val="de-DE"/>
        </w:rPr>
      </w:pPr>
    </w:p>
    <w:p w:rsidR="00BE6871" w:rsidRPr="00BE6871" w:rsidRDefault="00BE6871" w:rsidP="00BE6871">
      <w:pPr>
        <w:spacing w:line="360" w:lineRule="auto"/>
        <w:jc w:val="center"/>
        <w:rPr>
          <w:szCs w:val="24"/>
          <w:lang w:val="de-DE"/>
        </w:rPr>
      </w:pPr>
      <w:r w:rsidRPr="00BE6871">
        <w:rPr>
          <w:lang w:val="de-DE"/>
        </w:rPr>
        <w:t>VERBANDSMITGLIEDER</w:t>
      </w:r>
    </w:p>
    <w:p w:rsidR="00BE6871" w:rsidRPr="00BE6871" w:rsidRDefault="00BE6871" w:rsidP="00BE6871">
      <w:pPr>
        <w:jc w:val="center"/>
        <w:rPr>
          <w:lang w:val="de-DE"/>
        </w:rPr>
      </w:pPr>
      <w:r w:rsidRPr="00BE6871">
        <w:rPr>
          <w:lang w:val="de-DE"/>
        </w:rPr>
        <w:t>31. Dezember 2012</w:t>
      </w:r>
      <w:r w:rsidRPr="00BE6871">
        <w:rPr>
          <w:lang w:val="de-DE"/>
        </w:rPr>
        <w:br/>
      </w:r>
    </w:p>
    <w:p w:rsidR="00BE6871" w:rsidRPr="00BE6871" w:rsidRDefault="00BE6871" w:rsidP="00BE6871">
      <w:pPr>
        <w:jc w:val="center"/>
        <w:rPr>
          <w:lang w:val="de-DE"/>
        </w:rPr>
      </w:pPr>
    </w:p>
    <w:p w:rsidR="00BE6871" w:rsidRPr="00BE6871" w:rsidRDefault="00BE6871" w:rsidP="00BE6871">
      <w:pPr>
        <w:rPr>
          <w:lang w:val="de-DE"/>
        </w:rPr>
      </w:pPr>
      <w:r w:rsidRPr="00BE6871">
        <w:rPr>
          <w:lang w:val="de-DE"/>
        </w:rPr>
        <w:t>Dieses Dokument weist den Stand der Mitgliedschaft des Verbandes zum 31. Dezember 2012 in bezug auf das Übereinkommen und seine verschiedenen Akte aus (vergleiche Artikel 31 und 32 des Übereinkommens von 1961, Artikel 32 Absatz 1 der Akte von 1978 und Artikel 34 Absatz 2 der Akte von 1991).</w:t>
      </w:r>
    </w:p>
    <w:p w:rsidR="00BE6871" w:rsidRPr="00BE6871" w:rsidRDefault="00BE6871" w:rsidP="00BE6871">
      <w:pPr>
        <w:rPr>
          <w:lang w:val="de-DE"/>
        </w:rPr>
      </w:pPr>
    </w:p>
    <w:p w:rsidR="00BE6871" w:rsidRPr="004956D4" w:rsidRDefault="00BE6871" w:rsidP="00BE6871">
      <w:pPr>
        <w:spacing w:before="60"/>
        <w:ind w:left="992" w:hanging="992"/>
        <w:jc w:val="left"/>
        <w:rPr>
          <w:rFonts w:cs="Arial"/>
          <w:lang w:val="de-DE"/>
        </w:rPr>
      </w:pPr>
      <w:r w:rsidRPr="004956D4">
        <w:rPr>
          <w:lang w:val="de-DE"/>
        </w:rPr>
        <w:t>- 1. Zeile:</w:t>
      </w:r>
      <w:r w:rsidRPr="004956D4">
        <w:rPr>
          <w:lang w:val="de-DE"/>
        </w:rPr>
        <w:tab/>
        <w:t>Internationales Übereinkommen zum Schutz von Pflanzenzüchtungen vom 2. Dezember 1961</w:t>
      </w:r>
    </w:p>
    <w:p w:rsidR="00BE6871" w:rsidRPr="004956D4" w:rsidRDefault="00BE6871" w:rsidP="00BE6871">
      <w:pPr>
        <w:spacing w:before="60"/>
        <w:ind w:left="992" w:hanging="992"/>
        <w:jc w:val="left"/>
        <w:rPr>
          <w:rFonts w:cs="Arial"/>
          <w:lang w:val="de-DE"/>
        </w:rPr>
      </w:pPr>
      <w:r w:rsidRPr="004956D4">
        <w:rPr>
          <w:lang w:val="de-DE"/>
        </w:rPr>
        <w:t>- 2. Zeile:</w:t>
      </w:r>
      <w:r w:rsidRPr="004956D4">
        <w:rPr>
          <w:lang w:val="de-DE"/>
        </w:rPr>
        <w:tab/>
        <w:t>Zusatzakte vom 10. November 1972</w:t>
      </w:r>
    </w:p>
    <w:p w:rsidR="00BE6871" w:rsidRPr="004956D4" w:rsidRDefault="00BE6871" w:rsidP="00BE6871">
      <w:pPr>
        <w:spacing w:before="60"/>
        <w:ind w:left="992" w:hanging="992"/>
        <w:jc w:val="left"/>
        <w:rPr>
          <w:rFonts w:cs="Arial"/>
          <w:lang w:val="de-DE"/>
        </w:rPr>
      </w:pPr>
      <w:r w:rsidRPr="004956D4">
        <w:rPr>
          <w:lang w:val="de-DE"/>
        </w:rPr>
        <w:t>- 3. Zeile:</w:t>
      </w:r>
      <w:r w:rsidRPr="004956D4">
        <w:rPr>
          <w:lang w:val="de-DE"/>
        </w:rPr>
        <w:tab/>
        <w:t>Akte vom 23. Oktober 1978</w:t>
      </w:r>
    </w:p>
    <w:p w:rsidR="00BE6871" w:rsidRPr="004956D4" w:rsidRDefault="00BE6871" w:rsidP="00BE6871">
      <w:pPr>
        <w:spacing w:before="60"/>
        <w:ind w:left="992" w:hanging="992"/>
        <w:jc w:val="left"/>
        <w:rPr>
          <w:rFonts w:cs="Arial"/>
        </w:rPr>
      </w:pPr>
      <w:r w:rsidRPr="004956D4">
        <w:rPr>
          <w:lang w:val="de-DE"/>
        </w:rPr>
        <w:t>- 4. Zeile:</w:t>
      </w:r>
      <w:r w:rsidRPr="004956D4">
        <w:rPr>
          <w:lang w:val="de-DE"/>
        </w:rPr>
        <w:tab/>
        <w:t xml:space="preserve">Akte vom 19. </w:t>
      </w:r>
      <w:r w:rsidRPr="004956D4">
        <w:t>März 1991</w:t>
      </w:r>
    </w:p>
    <w:p w:rsidR="00BE6871" w:rsidRPr="00710780" w:rsidRDefault="00BE6871" w:rsidP="00BE6871">
      <w:pPr>
        <w:rPr>
          <w:rFonts w:cs="Arial"/>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BE6871" w:rsidRPr="00710780" w:rsidTr="001649DC">
        <w:trPr>
          <w:cantSplit/>
          <w:tblHeader/>
          <w:jc w:val="center"/>
        </w:trPr>
        <w:tc>
          <w:tcPr>
            <w:tcW w:w="2552" w:type="dxa"/>
            <w:shd w:val="pct10" w:color="auto" w:fill="FFFFFF"/>
          </w:tcPr>
          <w:p w:rsidR="00BE6871" w:rsidRPr="00710780" w:rsidRDefault="00BE6871" w:rsidP="001649DC">
            <w:pPr>
              <w:spacing w:before="100" w:after="100"/>
              <w:jc w:val="left"/>
              <w:rPr>
                <w:rFonts w:cs="Arial"/>
              </w:rPr>
            </w:pPr>
            <w:r w:rsidRPr="00710780">
              <w:rPr>
                <w:rFonts w:cs="Arial"/>
              </w:rPr>
              <w:t>Mitglied</w:t>
            </w:r>
          </w:p>
        </w:tc>
        <w:tc>
          <w:tcPr>
            <w:tcW w:w="2080" w:type="dxa"/>
            <w:shd w:val="pct10" w:color="auto" w:fill="FFFFFF"/>
          </w:tcPr>
          <w:p w:rsidR="00BE6871" w:rsidRPr="00710780" w:rsidRDefault="00BE6871" w:rsidP="001649DC">
            <w:pPr>
              <w:spacing w:before="100" w:after="100"/>
              <w:jc w:val="left"/>
              <w:rPr>
                <w:rFonts w:cs="Arial"/>
              </w:rPr>
            </w:pPr>
            <w:r w:rsidRPr="00710780">
              <w:rPr>
                <w:rFonts w:cs="Arial"/>
              </w:rPr>
              <w:t>Datum der Unterzeichnung</w:t>
            </w:r>
          </w:p>
        </w:tc>
        <w:tc>
          <w:tcPr>
            <w:tcW w:w="2348" w:type="dxa"/>
            <w:shd w:val="pct10" w:color="auto" w:fill="FFFFFF"/>
          </w:tcPr>
          <w:p w:rsidR="00BE6871" w:rsidRPr="00BE6871" w:rsidRDefault="00BE6871" w:rsidP="001649DC">
            <w:pPr>
              <w:spacing w:before="100" w:after="100"/>
              <w:jc w:val="left"/>
              <w:rPr>
                <w:rFonts w:cs="Arial"/>
                <w:lang w:val="de-DE"/>
              </w:rPr>
            </w:pPr>
            <w:r w:rsidRPr="00BE6871">
              <w:rPr>
                <w:rFonts w:cs="Arial"/>
                <w:lang w:val="de-DE"/>
              </w:rPr>
              <w:t>Datum der Hinterlegung der Urkunde über die Ratifizierung, Annahme, Genehmigung oder den Beitritt</w:t>
            </w:r>
          </w:p>
        </w:tc>
        <w:tc>
          <w:tcPr>
            <w:tcW w:w="2508" w:type="dxa"/>
            <w:gridSpan w:val="2"/>
            <w:shd w:val="pct10" w:color="auto" w:fill="FFFFFF"/>
          </w:tcPr>
          <w:p w:rsidR="00BE6871" w:rsidRPr="00710780" w:rsidRDefault="00BE6871" w:rsidP="001649DC">
            <w:pPr>
              <w:spacing w:before="100" w:after="100"/>
              <w:jc w:val="left"/>
              <w:rPr>
                <w:rFonts w:cs="Arial"/>
              </w:rPr>
            </w:pPr>
            <w:r w:rsidRPr="00710780">
              <w:rPr>
                <w:rFonts w:cs="Arial"/>
              </w:rPr>
              <w:t>Datum des Inkrafttretens</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Albanien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15. September 2005</w:t>
            </w:r>
          </w:p>
        </w:tc>
        <w:tc>
          <w:tcPr>
            <w:tcW w:w="2508"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15. Oktober 2005</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Argentinien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25. November 1994</w:t>
            </w:r>
            <w:r w:rsidRPr="00710780">
              <w:rPr>
                <w:rFonts w:cs="Arial"/>
              </w:rPr>
              <w:br/>
              <w:t>-</w:t>
            </w:r>
          </w:p>
        </w:tc>
        <w:tc>
          <w:tcPr>
            <w:tcW w:w="2508"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25. Dezember 1994</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Aserbaidschan</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9. November 2004</w:t>
            </w:r>
          </w:p>
        </w:tc>
        <w:tc>
          <w:tcPr>
            <w:tcW w:w="2508"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9. Dezember 2004</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Australien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 Februar 1989</w:t>
            </w:r>
            <w:r w:rsidRPr="00710780">
              <w:rPr>
                <w:rFonts w:cs="Arial"/>
              </w:rPr>
              <w:br/>
              <w:t>20. Dezember 1999</w:t>
            </w:r>
          </w:p>
        </w:tc>
        <w:tc>
          <w:tcPr>
            <w:tcW w:w="2508"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 März 1989</w:t>
            </w:r>
            <w:r w:rsidRPr="00710780">
              <w:rPr>
                <w:rFonts w:cs="Arial"/>
              </w:rPr>
              <w:br/>
              <w:t>20. Januar 2000</w:t>
            </w:r>
          </w:p>
        </w:tc>
      </w:tr>
      <w:tr w:rsidR="00BE6871" w:rsidRPr="00710780" w:rsidTr="001649DC">
        <w:trPr>
          <w:cantSplit/>
          <w:jc w:val="center"/>
        </w:trPr>
        <w:tc>
          <w:tcPr>
            <w:tcW w:w="2552" w:type="dxa"/>
          </w:tcPr>
          <w:p w:rsidR="00BE6871" w:rsidRPr="00710780" w:rsidRDefault="00BE6871" w:rsidP="001649DC">
            <w:pPr>
              <w:spacing w:before="80" w:after="80"/>
              <w:jc w:val="left"/>
              <w:rPr>
                <w:rFonts w:cs="Arial"/>
              </w:rPr>
            </w:pPr>
            <w:r w:rsidRPr="00710780">
              <w:rPr>
                <w:rFonts w:cs="Arial"/>
              </w:rPr>
              <w:t>Belarus</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5. Dezember 2002</w:t>
            </w:r>
          </w:p>
        </w:tc>
        <w:tc>
          <w:tcPr>
            <w:tcW w:w="2508"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5. Januar 2003</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br w:type="page"/>
              <w:t>Belgien</w:t>
            </w:r>
          </w:p>
        </w:tc>
        <w:tc>
          <w:tcPr>
            <w:tcW w:w="2080" w:type="dxa"/>
          </w:tcPr>
          <w:p w:rsidR="00BE6871" w:rsidRPr="00710780" w:rsidRDefault="00BE6871" w:rsidP="001649DC">
            <w:pPr>
              <w:spacing w:before="100" w:after="100"/>
              <w:jc w:val="left"/>
              <w:rPr>
                <w:rFonts w:cs="Arial"/>
              </w:rPr>
            </w:pPr>
            <w:r w:rsidRPr="00710780">
              <w:rPr>
                <w:rFonts w:cs="Arial"/>
              </w:rPr>
              <w:t>2. Dezember 1961</w:t>
            </w:r>
            <w:r w:rsidRPr="00710780">
              <w:rPr>
                <w:rFonts w:cs="Arial"/>
              </w:rPr>
              <w:br/>
              <w:t>10. November 1972</w:t>
            </w:r>
            <w:r w:rsidRPr="00710780">
              <w:rPr>
                <w:rFonts w:cs="Arial"/>
              </w:rPr>
              <w:br/>
              <w:t>23. Oktober 1978</w:t>
            </w:r>
            <w:r w:rsidRPr="00710780">
              <w:rPr>
                <w:rFonts w:cs="Arial"/>
              </w:rPr>
              <w:br/>
              <w:t>19. März 1991</w:t>
            </w:r>
          </w:p>
        </w:tc>
        <w:tc>
          <w:tcPr>
            <w:tcW w:w="2348" w:type="dxa"/>
          </w:tcPr>
          <w:p w:rsidR="00BE6871" w:rsidRPr="00710780" w:rsidRDefault="00BE6871" w:rsidP="001649DC">
            <w:pPr>
              <w:spacing w:before="100" w:after="100"/>
              <w:jc w:val="left"/>
              <w:rPr>
                <w:rFonts w:cs="Arial"/>
              </w:rPr>
            </w:pPr>
            <w:r w:rsidRPr="00710780">
              <w:rPr>
                <w:rFonts w:cs="Arial"/>
              </w:rPr>
              <w:t>5. November 1976</w:t>
            </w:r>
            <w:r w:rsidRPr="00710780">
              <w:rPr>
                <w:rFonts w:cs="Arial"/>
              </w:rPr>
              <w:br/>
              <w:t>5. November 1976</w:t>
            </w:r>
            <w:r w:rsidRPr="00710780">
              <w:rPr>
                <w:rFonts w:cs="Arial"/>
              </w:rPr>
              <w:br/>
              <w:t>-</w:t>
            </w:r>
            <w:r w:rsidRPr="00710780">
              <w:rPr>
                <w:rFonts w:cs="Arial"/>
              </w:rPr>
              <w:br/>
              <w:t>-</w:t>
            </w:r>
          </w:p>
        </w:tc>
        <w:tc>
          <w:tcPr>
            <w:tcW w:w="2508" w:type="dxa"/>
            <w:gridSpan w:val="2"/>
          </w:tcPr>
          <w:p w:rsidR="00BE6871" w:rsidRPr="00710780" w:rsidRDefault="00BE6871" w:rsidP="001649DC">
            <w:pPr>
              <w:spacing w:before="100" w:after="100"/>
              <w:jc w:val="left"/>
              <w:rPr>
                <w:rFonts w:cs="Arial"/>
              </w:rPr>
            </w:pPr>
            <w:r w:rsidRPr="00710780">
              <w:rPr>
                <w:rFonts w:cs="Arial"/>
              </w:rPr>
              <w:t>5. Dezember 1976</w:t>
            </w:r>
            <w:r w:rsidRPr="00710780">
              <w:rPr>
                <w:rFonts w:cs="Arial"/>
              </w:rPr>
              <w:br/>
              <w:t>11. Februar 1977</w:t>
            </w:r>
            <w:r w:rsidRPr="00710780">
              <w:rPr>
                <w:rFonts w:cs="Arial"/>
              </w:rPr>
              <w:br/>
              <w:t>-</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Bolivien (Plurinationaler Staat)</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21. April 1999</w:t>
            </w:r>
            <w:r w:rsidRPr="00710780">
              <w:rPr>
                <w:rFonts w:cs="Arial"/>
              </w:rPr>
              <w:br/>
              <w:t>-</w:t>
            </w:r>
          </w:p>
        </w:tc>
        <w:tc>
          <w:tcPr>
            <w:tcW w:w="2508"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21. Mai 1999</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Brasilien</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23. April 1999</w:t>
            </w:r>
            <w:r w:rsidRPr="00710780">
              <w:rPr>
                <w:rFonts w:cs="Arial"/>
              </w:rPr>
              <w:br/>
              <w:t>-</w:t>
            </w:r>
          </w:p>
        </w:tc>
        <w:tc>
          <w:tcPr>
            <w:tcW w:w="2508"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23. Mai 1999</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Bulgarien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März 1998</w:t>
            </w:r>
          </w:p>
        </w:tc>
        <w:tc>
          <w:tcPr>
            <w:tcW w:w="2508"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April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Chile</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5. Dezember 1995</w:t>
            </w:r>
            <w:r w:rsidRPr="00710780">
              <w:rPr>
                <w:rFonts w:cs="Arial"/>
              </w:rPr>
              <w:br/>
              <w:t>-</w:t>
            </w:r>
          </w:p>
        </w:tc>
        <w:tc>
          <w:tcPr>
            <w:tcW w:w="2508"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5. Januar 1996</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China</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23. März 1999</w:t>
            </w:r>
            <w:r w:rsidRPr="00710780">
              <w:rPr>
                <w:rFonts w:cs="Arial"/>
              </w:rPr>
              <w:br/>
              <w:t>-</w:t>
            </w:r>
          </w:p>
        </w:tc>
        <w:tc>
          <w:tcPr>
            <w:tcW w:w="2508"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23. April 1999</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Costa Rica</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12. Dezember 2008</w:t>
            </w:r>
          </w:p>
        </w:tc>
        <w:tc>
          <w:tcPr>
            <w:tcW w:w="2508"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12. Januar 2009</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Dänemark</w:t>
            </w:r>
          </w:p>
        </w:tc>
        <w:tc>
          <w:tcPr>
            <w:tcW w:w="2080" w:type="dxa"/>
          </w:tcPr>
          <w:p w:rsidR="00BE6871" w:rsidRPr="00710780" w:rsidRDefault="00BE6871" w:rsidP="001649DC">
            <w:pPr>
              <w:spacing w:before="100" w:after="100"/>
              <w:jc w:val="left"/>
              <w:rPr>
                <w:rFonts w:cs="Arial"/>
              </w:rPr>
            </w:pPr>
            <w:r w:rsidRPr="00710780">
              <w:rPr>
                <w:rFonts w:cs="Arial"/>
              </w:rPr>
              <w:t>26. November 1962</w:t>
            </w:r>
            <w:r w:rsidRPr="00710780">
              <w:rPr>
                <w:rFonts w:cs="Arial"/>
              </w:rPr>
              <w:br/>
              <w:t>10. November 1972</w:t>
            </w:r>
            <w:r w:rsidRPr="00710780">
              <w:rPr>
                <w:rFonts w:cs="Arial"/>
              </w:rPr>
              <w:br/>
              <w:t>23. Oktober 1978</w:t>
            </w:r>
            <w:r w:rsidRPr="00710780">
              <w:rPr>
                <w:rFonts w:cs="Arial"/>
              </w:rPr>
              <w:br/>
              <w:t>19. März 1991</w:t>
            </w:r>
          </w:p>
        </w:tc>
        <w:tc>
          <w:tcPr>
            <w:tcW w:w="2348" w:type="dxa"/>
          </w:tcPr>
          <w:p w:rsidR="00BE6871" w:rsidRPr="00710780" w:rsidRDefault="00BE6871" w:rsidP="001649DC">
            <w:pPr>
              <w:tabs>
                <w:tab w:val="left" w:pos="1883"/>
              </w:tabs>
              <w:spacing w:before="100" w:after="100"/>
              <w:jc w:val="left"/>
              <w:rPr>
                <w:rFonts w:cs="Arial"/>
              </w:rPr>
            </w:pPr>
            <w:r w:rsidRPr="00710780">
              <w:rPr>
                <w:rFonts w:cs="Arial"/>
              </w:rPr>
              <w:t>6. September 1968</w:t>
            </w:r>
            <w:r w:rsidRPr="00710780">
              <w:rPr>
                <w:rFonts w:cs="Arial"/>
              </w:rPr>
              <w:br/>
              <w:t>8. Februar 1974</w:t>
            </w:r>
            <w:r w:rsidRPr="00710780">
              <w:rPr>
                <w:rFonts w:cs="Arial"/>
              </w:rPr>
              <w:br/>
              <w:t>8. Oktober 1981</w:t>
            </w:r>
            <w:r w:rsidRPr="00710780">
              <w:rPr>
                <w:rFonts w:cs="Arial"/>
              </w:rPr>
              <w:br/>
              <w:t>26. April 1996</w:t>
            </w:r>
          </w:p>
        </w:tc>
        <w:tc>
          <w:tcPr>
            <w:tcW w:w="2508" w:type="dxa"/>
            <w:gridSpan w:val="2"/>
          </w:tcPr>
          <w:p w:rsidR="00BE6871" w:rsidRPr="00710780" w:rsidRDefault="00BE6871" w:rsidP="001649DC">
            <w:pPr>
              <w:tabs>
                <w:tab w:val="left" w:pos="1883"/>
              </w:tabs>
              <w:spacing w:before="100" w:after="100"/>
              <w:jc w:val="left"/>
              <w:rPr>
                <w:rFonts w:cs="Arial"/>
              </w:rPr>
            </w:pPr>
            <w:r w:rsidRPr="00710780">
              <w:rPr>
                <w:rFonts w:cs="Arial"/>
              </w:rPr>
              <w:t>6. Oktober 1968</w:t>
            </w:r>
            <w:r w:rsidRPr="00710780">
              <w:rPr>
                <w:rFonts w:cs="Arial"/>
              </w:rPr>
              <w:br/>
              <w:t>11. Februar 1977</w:t>
            </w:r>
            <w:r w:rsidRPr="00710780">
              <w:rPr>
                <w:rFonts w:cs="Arial"/>
              </w:rPr>
              <w:br/>
              <w:t>8. November 1981</w:t>
            </w:r>
            <w:r w:rsidRPr="00710780">
              <w:rPr>
                <w:rFonts w:cs="Arial"/>
              </w:rPr>
              <w:br/>
              <w:t>24. April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Deutschland</w:t>
            </w:r>
          </w:p>
        </w:tc>
        <w:tc>
          <w:tcPr>
            <w:tcW w:w="2080" w:type="dxa"/>
          </w:tcPr>
          <w:p w:rsidR="00BE6871" w:rsidRPr="00710780" w:rsidRDefault="00BE6871" w:rsidP="001649DC">
            <w:pPr>
              <w:spacing w:before="100" w:after="100"/>
              <w:jc w:val="left"/>
              <w:rPr>
                <w:rFonts w:cs="Arial"/>
              </w:rPr>
            </w:pPr>
            <w:r w:rsidRPr="00710780">
              <w:rPr>
                <w:rFonts w:cs="Arial"/>
              </w:rPr>
              <w:t>2. Dezember 1961</w:t>
            </w:r>
            <w:r w:rsidRPr="00710780">
              <w:rPr>
                <w:rFonts w:cs="Arial"/>
              </w:rPr>
              <w:br/>
              <w:t>10. November 1972</w:t>
            </w:r>
            <w:r w:rsidRPr="00710780">
              <w:rPr>
                <w:rFonts w:cs="Arial"/>
              </w:rPr>
              <w:br/>
              <w:t>23. Oktober 1978</w:t>
            </w:r>
            <w:r w:rsidRPr="00710780">
              <w:rPr>
                <w:rFonts w:cs="Arial"/>
              </w:rPr>
              <w:br/>
              <w:t>19. März 1991</w:t>
            </w:r>
          </w:p>
        </w:tc>
        <w:tc>
          <w:tcPr>
            <w:tcW w:w="2348" w:type="dxa"/>
          </w:tcPr>
          <w:p w:rsidR="00BE6871" w:rsidRPr="00710780" w:rsidRDefault="00BE6871" w:rsidP="001649DC">
            <w:pPr>
              <w:tabs>
                <w:tab w:val="left" w:pos="1883"/>
              </w:tabs>
              <w:spacing w:before="100" w:after="100"/>
              <w:jc w:val="left"/>
              <w:rPr>
                <w:rFonts w:cs="Arial"/>
              </w:rPr>
            </w:pPr>
            <w:r w:rsidRPr="00710780">
              <w:rPr>
                <w:rFonts w:cs="Arial"/>
              </w:rPr>
              <w:t>11. Juli 1968</w:t>
            </w:r>
            <w:r w:rsidRPr="00710780">
              <w:rPr>
                <w:rFonts w:cs="Arial"/>
              </w:rPr>
              <w:br/>
              <w:t>23. Juli 1976</w:t>
            </w:r>
            <w:r w:rsidRPr="00710780">
              <w:rPr>
                <w:rFonts w:cs="Arial"/>
              </w:rPr>
              <w:br/>
              <w:t>12. März 1986</w:t>
            </w:r>
            <w:r w:rsidRPr="00710780">
              <w:rPr>
                <w:rFonts w:cs="Arial"/>
              </w:rPr>
              <w:br/>
              <w:t>25. Juni 1998</w:t>
            </w:r>
          </w:p>
        </w:tc>
        <w:tc>
          <w:tcPr>
            <w:tcW w:w="2508" w:type="dxa"/>
            <w:gridSpan w:val="2"/>
          </w:tcPr>
          <w:p w:rsidR="00BE6871" w:rsidRPr="00710780" w:rsidRDefault="00BE6871" w:rsidP="001649DC">
            <w:pPr>
              <w:tabs>
                <w:tab w:val="left" w:pos="1883"/>
              </w:tabs>
              <w:spacing w:before="100" w:after="100"/>
              <w:jc w:val="left"/>
              <w:rPr>
                <w:rFonts w:cs="Arial"/>
              </w:rPr>
            </w:pPr>
            <w:r w:rsidRPr="00710780">
              <w:rPr>
                <w:rFonts w:cs="Arial"/>
              </w:rPr>
              <w:t>10. August 1968</w:t>
            </w:r>
            <w:r w:rsidRPr="00710780">
              <w:rPr>
                <w:rFonts w:cs="Arial"/>
              </w:rPr>
              <w:br/>
              <w:t>11. Februar 1977</w:t>
            </w:r>
            <w:r w:rsidRPr="00710780">
              <w:rPr>
                <w:rFonts w:cs="Arial"/>
              </w:rPr>
              <w:br/>
              <w:t>12. April 1986</w:t>
            </w:r>
            <w:r w:rsidRPr="00710780">
              <w:rPr>
                <w:rFonts w:cs="Arial"/>
              </w:rPr>
              <w:br/>
              <w:t>25. Juli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Dominikanische Republik</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16. Mai 2007</w:t>
            </w:r>
          </w:p>
        </w:tc>
        <w:tc>
          <w:tcPr>
            <w:tcW w:w="2508" w:type="dxa"/>
            <w:gridSpan w:val="2"/>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16. Juni 2007</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Ecuador</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8. Juli 1997</w:t>
            </w:r>
            <w:r w:rsidRPr="00710780">
              <w:rPr>
                <w:rFonts w:cs="Arial"/>
              </w:rPr>
              <w:br/>
              <w:t>-</w:t>
            </w:r>
          </w:p>
        </w:tc>
        <w:tc>
          <w:tcPr>
            <w:tcW w:w="2508" w:type="dxa"/>
            <w:gridSpan w:val="2"/>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8. August 1997</w:t>
            </w:r>
          </w:p>
        </w:tc>
      </w:tr>
      <w:tr w:rsidR="00BE6871" w:rsidRPr="00710780" w:rsidTr="001649DC">
        <w:trPr>
          <w:cantSplit/>
          <w:trHeight w:val="1056"/>
          <w:jc w:val="center"/>
        </w:trPr>
        <w:tc>
          <w:tcPr>
            <w:tcW w:w="2552" w:type="dxa"/>
          </w:tcPr>
          <w:p w:rsidR="00BE6871" w:rsidRPr="00710780" w:rsidRDefault="00BE6871" w:rsidP="001649DC">
            <w:pPr>
              <w:spacing w:before="100" w:after="100"/>
              <w:jc w:val="left"/>
              <w:rPr>
                <w:rFonts w:cs="Arial"/>
              </w:rPr>
            </w:pPr>
            <w:r w:rsidRPr="00710780">
              <w:rPr>
                <w:rFonts w:cs="Arial"/>
              </w:rPr>
              <w:t>Ehemalige Jugoslawische Republik Mazedonien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4. April 2011</w:t>
            </w:r>
          </w:p>
        </w:tc>
        <w:tc>
          <w:tcPr>
            <w:tcW w:w="2508"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4. Mai 2011</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Estland</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tabs>
                <w:tab w:val="left" w:pos="1883"/>
              </w:tabs>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24. August 2000</w:t>
            </w:r>
          </w:p>
        </w:tc>
        <w:tc>
          <w:tcPr>
            <w:tcW w:w="2508" w:type="dxa"/>
            <w:gridSpan w:val="2"/>
          </w:tcPr>
          <w:p w:rsidR="00BE6871" w:rsidRPr="00710780" w:rsidRDefault="00BE6871" w:rsidP="001649DC">
            <w:pPr>
              <w:tabs>
                <w:tab w:val="left" w:pos="1883"/>
              </w:tabs>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24. September 2000</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Europäische Union</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tabs>
                <w:tab w:val="left" w:pos="1883"/>
              </w:tabs>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29. Juni 2005</w:t>
            </w:r>
          </w:p>
        </w:tc>
        <w:tc>
          <w:tcPr>
            <w:tcW w:w="2508" w:type="dxa"/>
            <w:gridSpan w:val="2"/>
          </w:tcPr>
          <w:p w:rsidR="00BE6871" w:rsidRPr="00710780" w:rsidRDefault="00BE6871" w:rsidP="001649DC">
            <w:pPr>
              <w:tabs>
                <w:tab w:val="left" w:pos="1883"/>
              </w:tabs>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29. Juli 2005</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Finnland</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48" w:type="dxa"/>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16. März 1993</w:t>
            </w:r>
            <w:r w:rsidRPr="00710780">
              <w:rPr>
                <w:rFonts w:cs="Arial"/>
              </w:rPr>
              <w:br/>
              <w:t>20. Juni 2001</w:t>
            </w:r>
          </w:p>
        </w:tc>
        <w:tc>
          <w:tcPr>
            <w:tcW w:w="2508" w:type="dxa"/>
            <w:gridSpan w:val="2"/>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16. April 1993</w:t>
            </w:r>
            <w:r w:rsidRPr="00710780">
              <w:rPr>
                <w:rFonts w:cs="Arial"/>
              </w:rPr>
              <w:br/>
              <w:t>20. Juli 2001</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Frankreich</w:t>
            </w:r>
          </w:p>
        </w:tc>
        <w:tc>
          <w:tcPr>
            <w:tcW w:w="2080" w:type="dxa"/>
          </w:tcPr>
          <w:p w:rsidR="00BE6871" w:rsidRPr="00710780" w:rsidRDefault="00BE6871" w:rsidP="001649DC">
            <w:pPr>
              <w:spacing w:before="100" w:after="100"/>
              <w:jc w:val="left"/>
              <w:rPr>
                <w:rFonts w:cs="Arial"/>
              </w:rPr>
            </w:pPr>
            <w:r w:rsidRPr="00710780">
              <w:rPr>
                <w:rFonts w:cs="Arial"/>
              </w:rPr>
              <w:t>2. Dezember 1961</w:t>
            </w:r>
            <w:r w:rsidRPr="00710780">
              <w:rPr>
                <w:rFonts w:cs="Arial"/>
              </w:rPr>
              <w:br/>
              <w:t>10. November 1972</w:t>
            </w:r>
            <w:r w:rsidRPr="00710780">
              <w:rPr>
                <w:rFonts w:cs="Arial"/>
              </w:rPr>
              <w:br/>
              <w:t>23. Oktober 1978</w:t>
            </w:r>
            <w:r w:rsidRPr="00710780">
              <w:rPr>
                <w:rFonts w:cs="Arial"/>
              </w:rPr>
              <w:br/>
              <w:t>19. März 1991</w:t>
            </w:r>
          </w:p>
        </w:tc>
        <w:tc>
          <w:tcPr>
            <w:tcW w:w="2357" w:type="dxa"/>
            <w:gridSpan w:val="2"/>
          </w:tcPr>
          <w:p w:rsidR="00BE6871" w:rsidRPr="00710780" w:rsidRDefault="00BE6871" w:rsidP="001649DC">
            <w:pPr>
              <w:tabs>
                <w:tab w:val="left" w:pos="1883"/>
              </w:tabs>
              <w:spacing w:before="100" w:after="100"/>
              <w:jc w:val="left"/>
              <w:rPr>
                <w:rFonts w:cs="Arial"/>
              </w:rPr>
            </w:pPr>
            <w:r w:rsidRPr="00710780">
              <w:rPr>
                <w:rFonts w:cs="Arial"/>
              </w:rPr>
              <w:t>3. September 1971</w:t>
            </w:r>
            <w:r w:rsidRPr="00710780">
              <w:rPr>
                <w:rFonts w:cs="Arial"/>
              </w:rPr>
              <w:br/>
              <w:t>22. Januar 1975</w:t>
            </w:r>
            <w:r w:rsidRPr="00710780">
              <w:rPr>
                <w:rFonts w:cs="Arial"/>
              </w:rPr>
              <w:br/>
              <w:t>17. Februar 1983</w:t>
            </w:r>
            <w:r w:rsidRPr="00710780">
              <w:rPr>
                <w:rFonts w:cs="Arial"/>
              </w:rPr>
              <w:br/>
              <w:t>27. April 2012</w:t>
            </w:r>
          </w:p>
        </w:tc>
        <w:tc>
          <w:tcPr>
            <w:tcW w:w="2499" w:type="dxa"/>
          </w:tcPr>
          <w:p w:rsidR="00BE6871" w:rsidRPr="00710780" w:rsidRDefault="00BE6871" w:rsidP="001649DC">
            <w:pPr>
              <w:spacing w:before="100" w:after="100"/>
              <w:jc w:val="left"/>
              <w:rPr>
                <w:rFonts w:cs="Arial"/>
              </w:rPr>
            </w:pPr>
            <w:r w:rsidRPr="00710780">
              <w:rPr>
                <w:rFonts w:cs="Arial"/>
              </w:rPr>
              <w:t>3. Oktober 1971</w:t>
            </w:r>
            <w:r w:rsidRPr="00710780">
              <w:rPr>
                <w:rFonts w:cs="Arial"/>
              </w:rPr>
              <w:br/>
              <w:t>11. Februar 1977</w:t>
            </w:r>
            <w:r w:rsidRPr="00710780">
              <w:rPr>
                <w:rFonts w:cs="Arial"/>
              </w:rPr>
              <w:br/>
              <w:t>17. März 1983</w:t>
            </w:r>
            <w:r w:rsidRPr="00710780">
              <w:rPr>
                <w:rFonts w:cs="Arial"/>
              </w:rPr>
              <w:br/>
              <w:t>27. Mai 2012</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Georgien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29. Oktober 2008</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29. November 2008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Irland</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27. September 1979</w:t>
            </w:r>
            <w:r w:rsidRPr="00710780">
              <w:rPr>
                <w:rFonts w:cs="Arial"/>
              </w:rPr>
              <w:br/>
              <w:t>21. Februar 1992</w:t>
            </w:r>
          </w:p>
        </w:tc>
        <w:tc>
          <w:tcPr>
            <w:tcW w:w="2357" w:type="dxa"/>
            <w:gridSpan w:val="2"/>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19. Mai 1981</w:t>
            </w:r>
            <w:r w:rsidRPr="00710780">
              <w:rPr>
                <w:rFonts w:cs="Arial"/>
              </w:rPr>
              <w:br/>
              <w:t>8. Dezember 2011</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8. November 1981</w:t>
            </w:r>
            <w:r w:rsidRPr="00710780">
              <w:rPr>
                <w:rFonts w:cs="Arial"/>
              </w:rPr>
              <w:br/>
              <w:t>8. Januar 2012</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Island</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tabs>
                <w:tab w:val="left" w:pos="1883"/>
              </w:tabs>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3. April 2006</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3. Mai 2006</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Israel</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23. Oktober 1991</w:t>
            </w:r>
          </w:p>
        </w:tc>
        <w:tc>
          <w:tcPr>
            <w:tcW w:w="2357" w:type="dxa"/>
            <w:gridSpan w:val="2"/>
          </w:tcPr>
          <w:p w:rsidR="00BE6871" w:rsidRPr="00710780" w:rsidRDefault="00BE6871" w:rsidP="001649DC">
            <w:pPr>
              <w:spacing w:before="100" w:after="100"/>
              <w:jc w:val="left"/>
              <w:rPr>
                <w:rFonts w:cs="Arial"/>
              </w:rPr>
            </w:pPr>
            <w:r w:rsidRPr="00710780">
              <w:rPr>
                <w:rFonts w:cs="Arial"/>
              </w:rPr>
              <w:t>12. November 1979</w:t>
            </w:r>
            <w:r w:rsidRPr="00710780">
              <w:rPr>
                <w:rFonts w:cs="Arial"/>
              </w:rPr>
              <w:br/>
              <w:t>12. November 1979</w:t>
            </w:r>
            <w:r w:rsidRPr="00710780">
              <w:rPr>
                <w:rFonts w:cs="Arial"/>
              </w:rPr>
              <w:br/>
              <w:t>12. April 1984</w:t>
            </w:r>
            <w:r w:rsidRPr="00710780">
              <w:rPr>
                <w:rFonts w:cs="Arial"/>
              </w:rPr>
              <w:br/>
              <w:t>3. Juni 1996</w:t>
            </w:r>
          </w:p>
        </w:tc>
        <w:tc>
          <w:tcPr>
            <w:tcW w:w="2499" w:type="dxa"/>
          </w:tcPr>
          <w:p w:rsidR="00BE6871" w:rsidRPr="00710780" w:rsidRDefault="00BE6871" w:rsidP="001649DC">
            <w:pPr>
              <w:spacing w:before="100" w:after="100"/>
              <w:jc w:val="left"/>
              <w:rPr>
                <w:rFonts w:cs="Arial"/>
              </w:rPr>
            </w:pPr>
            <w:r w:rsidRPr="00710780">
              <w:rPr>
                <w:rFonts w:cs="Arial"/>
              </w:rPr>
              <w:t>12. Dezember 1979</w:t>
            </w:r>
            <w:r w:rsidRPr="00710780">
              <w:rPr>
                <w:rFonts w:cs="Arial"/>
              </w:rPr>
              <w:br/>
              <w:t>12. Dezember 1979</w:t>
            </w:r>
            <w:r w:rsidRPr="00710780">
              <w:rPr>
                <w:rFonts w:cs="Arial"/>
              </w:rPr>
              <w:br/>
              <w:t>12. Mai 1984</w:t>
            </w:r>
            <w:r w:rsidRPr="00710780">
              <w:rPr>
                <w:rFonts w:cs="Arial"/>
              </w:rPr>
              <w:br/>
              <w:t>24. April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Italien</w:t>
            </w:r>
          </w:p>
        </w:tc>
        <w:tc>
          <w:tcPr>
            <w:tcW w:w="2080" w:type="dxa"/>
          </w:tcPr>
          <w:p w:rsidR="00BE6871" w:rsidRPr="00710780" w:rsidRDefault="00BE6871" w:rsidP="001649DC">
            <w:pPr>
              <w:spacing w:before="100" w:after="100"/>
              <w:jc w:val="left"/>
              <w:rPr>
                <w:rFonts w:cs="Arial"/>
              </w:rPr>
            </w:pPr>
            <w:r w:rsidRPr="00710780">
              <w:rPr>
                <w:rFonts w:cs="Arial"/>
              </w:rPr>
              <w:t>2. Dezember 1961</w:t>
            </w:r>
            <w:r w:rsidRPr="00710780">
              <w:rPr>
                <w:rFonts w:cs="Arial"/>
              </w:rPr>
              <w:br/>
              <w:t>10. November 1972</w:t>
            </w:r>
            <w:r w:rsidRPr="00710780">
              <w:rPr>
                <w:rFonts w:cs="Arial"/>
              </w:rPr>
              <w:br/>
              <w:t>23. Oktober 1978</w:t>
            </w:r>
            <w:r w:rsidRPr="00710780">
              <w:rPr>
                <w:rFonts w:cs="Arial"/>
              </w:rPr>
              <w:br/>
              <w:t>19. März 1991</w:t>
            </w:r>
          </w:p>
        </w:tc>
        <w:tc>
          <w:tcPr>
            <w:tcW w:w="2357" w:type="dxa"/>
            <w:gridSpan w:val="2"/>
          </w:tcPr>
          <w:p w:rsidR="00BE6871" w:rsidRPr="00710780" w:rsidRDefault="00BE6871" w:rsidP="001649DC">
            <w:pPr>
              <w:spacing w:before="100" w:after="100"/>
              <w:jc w:val="left"/>
              <w:rPr>
                <w:rFonts w:cs="Arial"/>
              </w:rPr>
            </w:pPr>
            <w:r w:rsidRPr="00710780">
              <w:rPr>
                <w:rFonts w:cs="Arial"/>
              </w:rPr>
              <w:t>1. Juni 1977</w:t>
            </w:r>
            <w:r w:rsidRPr="00710780">
              <w:rPr>
                <w:rFonts w:cs="Arial"/>
              </w:rPr>
              <w:br/>
              <w:t>1. Juni 1977</w:t>
            </w:r>
            <w:r w:rsidRPr="00710780">
              <w:rPr>
                <w:rFonts w:cs="Arial"/>
              </w:rPr>
              <w:br/>
              <w:t>28. April 1986</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1. Juli 1977</w:t>
            </w:r>
            <w:r w:rsidRPr="00710780">
              <w:rPr>
                <w:rFonts w:cs="Arial"/>
              </w:rPr>
              <w:br/>
              <w:t>1. Juli 1977</w:t>
            </w:r>
            <w:r w:rsidRPr="00710780">
              <w:rPr>
                <w:rFonts w:cs="Arial"/>
              </w:rPr>
              <w:br/>
              <w:t>28. Mai 1986</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Japan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17. Oktober 1979</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 August 1982</w:t>
            </w:r>
            <w:r w:rsidRPr="00710780">
              <w:rPr>
                <w:rFonts w:cs="Arial"/>
              </w:rPr>
              <w:br/>
              <w:t>24. November 1998</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 September 1982</w:t>
            </w:r>
            <w:r w:rsidRPr="00710780">
              <w:rPr>
                <w:rFonts w:cs="Arial"/>
              </w:rPr>
              <w:br/>
              <w:t>24. Dezember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Jordanien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September 2004</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Oktober 2004</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Kanada</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31. Oktober 1979</w:t>
            </w:r>
            <w:r w:rsidRPr="00710780">
              <w:rPr>
                <w:rFonts w:cs="Arial"/>
              </w:rPr>
              <w:br/>
              <w:t>9. März 1992</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4. Februar 1991</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4. März 1991</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80" w:after="80"/>
              <w:jc w:val="left"/>
              <w:rPr>
                <w:rFonts w:cs="Arial"/>
              </w:rPr>
            </w:pPr>
            <w:r w:rsidRPr="00710780">
              <w:rPr>
                <w:rFonts w:cs="Arial"/>
              </w:rPr>
              <w:t>Kenia</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13. April 1999</w:t>
            </w:r>
            <w:r w:rsidRPr="00710780">
              <w:rPr>
                <w:rFonts w:cs="Arial"/>
              </w:rPr>
              <w:br/>
              <w:t>-</w:t>
            </w:r>
          </w:p>
        </w:tc>
        <w:tc>
          <w:tcPr>
            <w:tcW w:w="2499"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13. Mai 1999</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Kirgisistan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26. Mai 2000</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26. Juni 2000</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Kolumbien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13. August 1996</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13. September 1996</w:t>
            </w:r>
            <w:r w:rsidRPr="00710780">
              <w:rPr>
                <w:rFonts w:cs="Arial"/>
              </w:rPr>
              <w:br/>
            </w:r>
          </w:p>
        </w:tc>
      </w:tr>
      <w:tr w:rsidR="00BE6871" w:rsidRPr="00710780" w:rsidTr="001649DC">
        <w:trPr>
          <w:cantSplit/>
          <w:jc w:val="center"/>
        </w:trPr>
        <w:tc>
          <w:tcPr>
            <w:tcW w:w="2552" w:type="dxa"/>
          </w:tcPr>
          <w:p w:rsidR="00BE6871" w:rsidRPr="00710780" w:rsidRDefault="00BE6871" w:rsidP="001649DC">
            <w:pPr>
              <w:spacing w:before="120" w:after="120"/>
              <w:jc w:val="left"/>
              <w:rPr>
                <w:rFonts w:cs="Arial"/>
              </w:rPr>
            </w:pPr>
            <w:r w:rsidRPr="00710780">
              <w:rPr>
                <w:rFonts w:cs="Arial"/>
              </w:rPr>
              <w:t>Kroatien</w:t>
            </w:r>
          </w:p>
        </w:tc>
        <w:tc>
          <w:tcPr>
            <w:tcW w:w="2080"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1. August 2001</w:t>
            </w:r>
          </w:p>
        </w:tc>
        <w:tc>
          <w:tcPr>
            <w:tcW w:w="2499"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1. September 2001</w:t>
            </w:r>
          </w:p>
        </w:tc>
      </w:tr>
      <w:tr w:rsidR="00BE6871" w:rsidRPr="00710780" w:rsidTr="001649DC">
        <w:trPr>
          <w:cantSplit/>
          <w:jc w:val="center"/>
        </w:trPr>
        <w:tc>
          <w:tcPr>
            <w:tcW w:w="2552" w:type="dxa"/>
          </w:tcPr>
          <w:p w:rsidR="00BE6871" w:rsidRPr="00710780" w:rsidRDefault="00BE6871" w:rsidP="001649DC">
            <w:pPr>
              <w:spacing w:before="120" w:after="120"/>
              <w:jc w:val="left"/>
              <w:rPr>
                <w:rFonts w:cs="Arial"/>
              </w:rPr>
            </w:pPr>
            <w:r w:rsidRPr="00710780">
              <w:rPr>
                <w:rFonts w:cs="Arial"/>
              </w:rPr>
              <w:t>Lettland</w:t>
            </w:r>
          </w:p>
        </w:tc>
        <w:tc>
          <w:tcPr>
            <w:tcW w:w="2080"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30. Juli 2002</w:t>
            </w:r>
          </w:p>
        </w:tc>
        <w:tc>
          <w:tcPr>
            <w:tcW w:w="2499"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30. August 2002</w:t>
            </w:r>
          </w:p>
        </w:tc>
      </w:tr>
      <w:tr w:rsidR="00BE6871" w:rsidRPr="00710780" w:rsidTr="001649DC">
        <w:trPr>
          <w:cantSplit/>
          <w:jc w:val="center"/>
        </w:trPr>
        <w:tc>
          <w:tcPr>
            <w:tcW w:w="2552" w:type="dxa"/>
          </w:tcPr>
          <w:p w:rsidR="00BE6871" w:rsidRPr="00710780" w:rsidRDefault="00BE6871" w:rsidP="001649DC">
            <w:pPr>
              <w:spacing w:before="120" w:after="120"/>
              <w:jc w:val="left"/>
              <w:rPr>
                <w:rFonts w:cs="Arial"/>
              </w:rPr>
            </w:pPr>
            <w:r w:rsidRPr="00710780">
              <w:rPr>
                <w:rFonts w:cs="Arial"/>
              </w:rPr>
              <w:t>Litauen</w:t>
            </w:r>
          </w:p>
        </w:tc>
        <w:tc>
          <w:tcPr>
            <w:tcW w:w="2080"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10. November 2003</w:t>
            </w:r>
          </w:p>
        </w:tc>
        <w:tc>
          <w:tcPr>
            <w:tcW w:w="2499"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10. Dezember 2003</w:t>
            </w:r>
          </w:p>
        </w:tc>
      </w:tr>
      <w:tr w:rsidR="00BE6871" w:rsidRPr="00710780" w:rsidTr="001649DC">
        <w:trPr>
          <w:cantSplit/>
          <w:jc w:val="center"/>
        </w:trPr>
        <w:tc>
          <w:tcPr>
            <w:tcW w:w="2552" w:type="dxa"/>
          </w:tcPr>
          <w:p w:rsidR="00BE6871" w:rsidRPr="00710780" w:rsidRDefault="00BE6871" w:rsidP="001649DC">
            <w:pPr>
              <w:spacing w:before="120" w:after="120"/>
              <w:jc w:val="left"/>
              <w:rPr>
                <w:rFonts w:cs="Arial"/>
              </w:rPr>
            </w:pPr>
            <w:r w:rsidRPr="00710780">
              <w:rPr>
                <w:rFonts w:cs="Arial"/>
              </w:rPr>
              <w:t>Marokko</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8. September 2006</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8. Oktober 2006</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Mexiko</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25. Juli 1979</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9. Juli 1997</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9. August 1997</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Neuseeland</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25. Juli 1979</w:t>
            </w:r>
            <w:r w:rsidRPr="00710780">
              <w:rPr>
                <w:rFonts w:cs="Arial"/>
              </w:rPr>
              <w:br/>
              <w:t>19. Dezember 1991</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 November 1980</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8. November 1981</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20" w:after="120"/>
              <w:jc w:val="left"/>
              <w:rPr>
                <w:rFonts w:cs="Arial"/>
              </w:rPr>
            </w:pPr>
            <w:r w:rsidRPr="00710780">
              <w:rPr>
                <w:rFonts w:cs="Arial"/>
              </w:rPr>
              <w:t>Nicaragua</w:t>
            </w:r>
          </w:p>
        </w:tc>
        <w:tc>
          <w:tcPr>
            <w:tcW w:w="2080"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6. August 2001</w:t>
            </w:r>
            <w:r w:rsidRPr="00710780">
              <w:rPr>
                <w:rFonts w:cs="Arial"/>
              </w:rPr>
              <w:br/>
              <w:t>-</w:t>
            </w:r>
          </w:p>
        </w:tc>
        <w:tc>
          <w:tcPr>
            <w:tcW w:w="2499" w:type="dxa"/>
          </w:tcPr>
          <w:p w:rsidR="00BE6871" w:rsidRPr="00710780" w:rsidRDefault="00BE6871" w:rsidP="001649DC">
            <w:pPr>
              <w:spacing w:before="120" w:after="120"/>
              <w:jc w:val="left"/>
              <w:rPr>
                <w:rFonts w:cs="Arial"/>
              </w:rPr>
            </w:pPr>
            <w:r w:rsidRPr="00710780">
              <w:rPr>
                <w:rFonts w:cs="Arial"/>
              </w:rPr>
              <w:t>-</w:t>
            </w:r>
            <w:r w:rsidRPr="00710780">
              <w:rPr>
                <w:rFonts w:cs="Arial"/>
              </w:rPr>
              <w:br/>
              <w:t>-</w:t>
            </w:r>
            <w:r w:rsidRPr="00710780">
              <w:rPr>
                <w:rFonts w:cs="Arial"/>
              </w:rPr>
              <w:br/>
              <w:t>6. September 2001</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Niederlande</w:t>
            </w:r>
          </w:p>
        </w:tc>
        <w:tc>
          <w:tcPr>
            <w:tcW w:w="2080" w:type="dxa"/>
          </w:tcPr>
          <w:p w:rsidR="00BE6871" w:rsidRPr="00710780" w:rsidRDefault="00BE6871" w:rsidP="001649DC">
            <w:pPr>
              <w:spacing w:before="100" w:after="100"/>
              <w:jc w:val="left"/>
              <w:rPr>
                <w:rFonts w:cs="Arial"/>
              </w:rPr>
            </w:pPr>
            <w:r w:rsidRPr="00710780">
              <w:rPr>
                <w:rFonts w:cs="Arial"/>
              </w:rPr>
              <w:t>2. Dezember 1961</w:t>
            </w:r>
            <w:r w:rsidRPr="00710780">
              <w:rPr>
                <w:rFonts w:cs="Arial"/>
              </w:rPr>
              <w:br/>
              <w:t>10. November 1972</w:t>
            </w:r>
            <w:r w:rsidRPr="00710780">
              <w:rPr>
                <w:rFonts w:cs="Arial"/>
              </w:rPr>
              <w:br/>
              <w:t>23. Oktober 1978</w:t>
            </w:r>
            <w:r w:rsidRPr="00710780">
              <w:rPr>
                <w:rFonts w:cs="Arial"/>
              </w:rPr>
              <w:br/>
              <w:t>19. März 1991</w:t>
            </w:r>
          </w:p>
        </w:tc>
        <w:tc>
          <w:tcPr>
            <w:tcW w:w="2357" w:type="dxa"/>
            <w:gridSpan w:val="2"/>
          </w:tcPr>
          <w:p w:rsidR="00BE6871" w:rsidRPr="00710780" w:rsidRDefault="00BE6871" w:rsidP="001649DC">
            <w:pPr>
              <w:spacing w:before="100" w:after="100"/>
              <w:jc w:val="left"/>
              <w:rPr>
                <w:rFonts w:cs="Arial"/>
              </w:rPr>
            </w:pPr>
            <w:r w:rsidRPr="00710780">
              <w:rPr>
                <w:rFonts w:cs="Arial"/>
              </w:rPr>
              <w:t>8. August 1976</w:t>
            </w:r>
            <w:r w:rsidRPr="00710780">
              <w:rPr>
                <w:rFonts w:cs="Arial"/>
              </w:rPr>
              <w:br/>
              <w:t>12. Januar 1977</w:t>
            </w:r>
            <w:r w:rsidRPr="00710780">
              <w:rPr>
                <w:rFonts w:cs="Arial"/>
              </w:rPr>
              <w:br/>
              <w:t>2. August 1984</w:t>
            </w:r>
            <w:r w:rsidRPr="00710780">
              <w:rPr>
                <w:rFonts w:cs="Arial"/>
              </w:rPr>
              <w:br/>
              <w:t>14. Oktober 1996</w:t>
            </w:r>
          </w:p>
        </w:tc>
        <w:tc>
          <w:tcPr>
            <w:tcW w:w="2499" w:type="dxa"/>
          </w:tcPr>
          <w:p w:rsidR="00BE6871" w:rsidRPr="00710780" w:rsidRDefault="00BE6871" w:rsidP="001649DC">
            <w:pPr>
              <w:spacing w:before="100" w:after="100"/>
              <w:jc w:val="left"/>
              <w:rPr>
                <w:rFonts w:cs="Arial"/>
              </w:rPr>
            </w:pPr>
            <w:r w:rsidRPr="00710780">
              <w:rPr>
                <w:rFonts w:cs="Arial"/>
              </w:rPr>
              <w:t>10. August 1968</w:t>
            </w:r>
            <w:r w:rsidRPr="00710780">
              <w:rPr>
                <w:rFonts w:cs="Arial"/>
              </w:rPr>
              <w:br/>
              <w:t>11. Februar 1977</w:t>
            </w:r>
            <w:r w:rsidRPr="00710780">
              <w:rPr>
                <w:rFonts w:cs="Arial"/>
              </w:rPr>
              <w:br/>
              <w:t>2. September 1984</w:t>
            </w:r>
            <w:r w:rsidRPr="00710780">
              <w:rPr>
                <w:rFonts w:cs="Arial"/>
              </w:rPr>
              <w:br/>
              <w:t>24. April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Norwegen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13. August 1993</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13. September 1993</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Österreich</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14. Juni 1994</w:t>
            </w:r>
            <w:r w:rsidRPr="00710780">
              <w:rPr>
                <w:rFonts w:cs="Arial"/>
              </w:rPr>
              <w:br/>
              <w:t>1. Juni 2004</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14. Juli 1994</w:t>
            </w:r>
            <w:r w:rsidRPr="00710780">
              <w:rPr>
                <w:rFonts w:cs="Arial"/>
              </w:rPr>
              <w:br/>
              <w:t>1. Juli 2004</w:t>
            </w:r>
          </w:p>
        </w:tc>
      </w:tr>
      <w:tr w:rsidR="00BE6871" w:rsidRPr="00710780" w:rsidTr="001649DC">
        <w:trPr>
          <w:cantSplit/>
          <w:jc w:val="center"/>
        </w:trPr>
        <w:tc>
          <w:tcPr>
            <w:tcW w:w="2552" w:type="dxa"/>
          </w:tcPr>
          <w:p w:rsidR="00BE6871" w:rsidRPr="00710780" w:rsidRDefault="00BE6871" w:rsidP="001649DC">
            <w:pPr>
              <w:spacing w:before="80" w:after="80"/>
              <w:jc w:val="left"/>
              <w:rPr>
                <w:rFonts w:cs="Arial"/>
              </w:rPr>
            </w:pPr>
            <w:r w:rsidRPr="00710780">
              <w:rPr>
                <w:rFonts w:cs="Arial"/>
              </w:rPr>
              <w:t>Oman</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22. Oktober 2009</w:t>
            </w:r>
          </w:p>
        </w:tc>
        <w:tc>
          <w:tcPr>
            <w:tcW w:w="2499"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22. November 2009</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Panama</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23. April 1999</w:t>
            </w:r>
            <w:r w:rsidRPr="00710780">
              <w:rPr>
                <w:rFonts w:cs="Arial"/>
              </w:rPr>
              <w:br/>
            </w:r>
            <w:r>
              <w:rPr>
                <w:rFonts w:cs="Arial"/>
              </w:rPr>
              <w:t>22. Oktober 2012</w:t>
            </w:r>
          </w:p>
        </w:tc>
        <w:tc>
          <w:tcPr>
            <w:tcW w:w="2499"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23. Mai 1999</w:t>
            </w:r>
            <w:r w:rsidRPr="00710780">
              <w:rPr>
                <w:rFonts w:cs="Arial"/>
              </w:rPr>
              <w:br/>
            </w:r>
            <w:r w:rsidR="00F86D73">
              <w:rPr>
                <w:rFonts w:cs="Arial"/>
              </w:rPr>
              <w:t>22. November 2012</w:t>
            </w:r>
          </w:p>
        </w:tc>
      </w:tr>
      <w:tr w:rsidR="00BE6871" w:rsidRPr="00710780" w:rsidTr="001649DC">
        <w:trPr>
          <w:cantSplit/>
          <w:trHeight w:val="1328"/>
          <w:jc w:val="center"/>
        </w:trPr>
        <w:tc>
          <w:tcPr>
            <w:tcW w:w="2552" w:type="dxa"/>
          </w:tcPr>
          <w:p w:rsidR="00BE6871" w:rsidRPr="00710780" w:rsidRDefault="00BE6871" w:rsidP="001649DC">
            <w:pPr>
              <w:spacing w:before="100" w:after="100"/>
              <w:jc w:val="left"/>
              <w:rPr>
                <w:rFonts w:cs="Arial"/>
              </w:rPr>
            </w:pPr>
            <w:r w:rsidRPr="00710780">
              <w:rPr>
                <w:rFonts w:cs="Arial"/>
              </w:rPr>
              <w:t>Paraguay</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8. Januar 1997</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8. Februar 1997</w:t>
            </w:r>
          </w:p>
        </w:tc>
      </w:tr>
      <w:tr w:rsidR="00BE6871" w:rsidRPr="00710780" w:rsidTr="001649DC">
        <w:trPr>
          <w:cantSplit/>
          <w:trHeight w:val="1188"/>
          <w:jc w:val="center"/>
        </w:trPr>
        <w:tc>
          <w:tcPr>
            <w:tcW w:w="2552" w:type="dxa"/>
          </w:tcPr>
          <w:p w:rsidR="00BE6871" w:rsidRPr="00710780" w:rsidRDefault="00BE6871" w:rsidP="001649DC">
            <w:pPr>
              <w:spacing w:before="100" w:after="100"/>
              <w:jc w:val="left"/>
              <w:rPr>
                <w:rFonts w:cs="Arial"/>
              </w:rPr>
            </w:pPr>
            <w:r w:rsidRPr="00710780">
              <w:rPr>
                <w:rFonts w:cs="Arial"/>
              </w:rPr>
              <w:t>Peru</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8. Juli 2011</w:t>
            </w:r>
          </w:p>
        </w:tc>
        <w:tc>
          <w:tcPr>
            <w:tcW w:w="2499"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8. August 2011</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Polen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11. Oktober 1989</w:t>
            </w:r>
            <w:r w:rsidRPr="00710780">
              <w:rPr>
                <w:rFonts w:cs="Arial"/>
              </w:rPr>
              <w:br/>
              <w:t>15. Juli 2003</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11. November 1989</w:t>
            </w:r>
            <w:r w:rsidRPr="00710780">
              <w:rPr>
                <w:rFonts w:cs="Arial"/>
              </w:rPr>
              <w:br/>
              <w:t>15. August 2003</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Portugal</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14. September 1995</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14. Oktober 1995</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Republik Korea</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7. Dezember 2001</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7. Januar 2002</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Republik Moldau</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28. September 1998</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28. Oktober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Rumänien</w:t>
            </w:r>
          </w:p>
        </w:tc>
        <w:tc>
          <w:tcPr>
            <w:tcW w:w="2080"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16. Februar 2001</w:t>
            </w:r>
          </w:p>
        </w:tc>
        <w:tc>
          <w:tcPr>
            <w:tcW w:w="2499" w:type="dxa"/>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16. März 2001</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Russische Föderation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März 1998</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April 1998</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Schweden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11. Januar 1973</w:t>
            </w:r>
            <w:r w:rsidRPr="00710780">
              <w:rPr>
                <w:rFonts w:cs="Arial"/>
              </w:rPr>
              <w:br/>
              <w:t>6. Dezember 1978</w:t>
            </w:r>
            <w:r w:rsidRPr="00710780">
              <w:rPr>
                <w:rFonts w:cs="Arial"/>
              </w:rPr>
              <w:br/>
              <w:t>17. Dezember 1991</w:t>
            </w:r>
          </w:p>
        </w:tc>
        <w:tc>
          <w:tcPr>
            <w:tcW w:w="2357" w:type="dxa"/>
            <w:gridSpan w:val="2"/>
          </w:tcPr>
          <w:p w:rsidR="00BE6871" w:rsidRPr="00710780" w:rsidRDefault="00BE6871" w:rsidP="001649DC">
            <w:pPr>
              <w:spacing w:before="100" w:after="100"/>
              <w:jc w:val="left"/>
              <w:rPr>
                <w:rFonts w:cs="Arial"/>
              </w:rPr>
            </w:pPr>
            <w:r w:rsidRPr="00710780">
              <w:rPr>
                <w:rFonts w:cs="Arial"/>
              </w:rPr>
              <w:t>17. November 1971</w:t>
            </w:r>
            <w:r w:rsidRPr="00710780">
              <w:rPr>
                <w:rFonts w:cs="Arial"/>
              </w:rPr>
              <w:br/>
              <w:t>11. Januar 1973</w:t>
            </w:r>
            <w:r w:rsidRPr="00710780">
              <w:rPr>
                <w:rFonts w:cs="Arial"/>
              </w:rPr>
              <w:br/>
              <w:t>1. Dezember 1982</w:t>
            </w:r>
            <w:r w:rsidRPr="00710780">
              <w:rPr>
                <w:rFonts w:cs="Arial"/>
              </w:rPr>
              <w:br/>
              <w:t>18. Dezember 1997</w:t>
            </w:r>
          </w:p>
        </w:tc>
        <w:tc>
          <w:tcPr>
            <w:tcW w:w="2499" w:type="dxa"/>
          </w:tcPr>
          <w:p w:rsidR="00BE6871" w:rsidRPr="00710780" w:rsidRDefault="00BE6871" w:rsidP="001649DC">
            <w:pPr>
              <w:spacing w:before="100" w:after="100"/>
              <w:jc w:val="left"/>
              <w:rPr>
                <w:rFonts w:cs="Arial"/>
              </w:rPr>
            </w:pPr>
            <w:r w:rsidRPr="00710780">
              <w:rPr>
                <w:rFonts w:cs="Arial"/>
              </w:rPr>
              <w:t>17. Dezember 1971</w:t>
            </w:r>
            <w:r w:rsidRPr="00710780">
              <w:rPr>
                <w:rFonts w:cs="Arial"/>
              </w:rPr>
              <w:br/>
              <w:t>11. Februar 1977</w:t>
            </w:r>
            <w:r w:rsidRPr="00710780">
              <w:rPr>
                <w:rFonts w:cs="Arial"/>
              </w:rPr>
              <w:br/>
              <w:t>1. Januar 1983</w:t>
            </w:r>
            <w:r w:rsidRPr="00710780">
              <w:rPr>
                <w:rFonts w:cs="Arial"/>
              </w:rPr>
              <w:br/>
              <w:t>24. April 1998</w:t>
            </w:r>
          </w:p>
        </w:tc>
      </w:tr>
      <w:tr w:rsidR="00BE6871" w:rsidRPr="00710780" w:rsidTr="001649DC">
        <w:trPr>
          <w:cantSplit/>
          <w:trHeight w:val="563"/>
          <w:jc w:val="center"/>
        </w:trPr>
        <w:tc>
          <w:tcPr>
            <w:tcW w:w="2552" w:type="dxa"/>
          </w:tcPr>
          <w:p w:rsidR="00BE6871" w:rsidRPr="00710780" w:rsidRDefault="00BE6871" w:rsidP="001649DC">
            <w:pPr>
              <w:spacing w:before="100" w:after="100"/>
              <w:jc w:val="left"/>
              <w:rPr>
                <w:rFonts w:cs="Arial"/>
              </w:rPr>
            </w:pPr>
            <w:r w:rsidRPr="00710780">
              <w:rPr>
                <w:rFonts w:cs="Arial"/>
              </w:rPr>
              <w:t>Schweiz</w:t>
            </w:r>
          </w:p>
        </w:tc>
        <w:tc>
          <w:tcPr>
            <w:tcW w:w="2080" w:type="dxa"/>
          </w:tcPr>
          <w:p w:rsidR="00BE6871" w:rsidRPr="00710780" w:rsidRDefault="00BE6871" w:rsidP="001649DC">
            <w:pPr>
              <w:spacing w:before="100" w:after="100"/>
              <w:jc w:val="left"/>
              <w:rPr>
                <w:rFonts w:cs="Arial"/>
              </w:rPr>
            </w:pPr>
            <w:r w:rsidRPr="00710780">
              <w:rPr>
                <w:rFonts w:cs="Arial"/>
              </w:rPr>
              <w:t>30. November 1962</w:t>
            </w:r>
            <w:r w:rsidRPr="00710780">
              <w:rPr>
                <w:rFonts w:cs="Arial"/>
              </w:rPr>
              <w:br/>
              <w:t>10. November 1972</w:t>
            </w:r>
            <w:r w:rsidRPr="00710780">
              <w:rPr>
                <w:rFonts w:cs="Arial"/>
              </w:rPr>
              <w:br/>
              <w:t>23. Oktober 1978</w:t>
            </w:r>
            <w:r w:rsidRPr="00710780">
              <w:rPr>
                <w:rFonts w:cs="Arial"/>
              </w:rPr>
              <w:br/>
              <w:t>19. März 1991</w:t>
            </w:r>
          </w:p>
        </w:tc>
        <w:tc>
          <w:tcPr>
            <w:tcW w:w="2357" w:type="dxa"/>
            <w:gridSpan w:val="2"/>
          </w:tcPr>
          <w:p w:rsidR="00BE6871" w:rsidRPr="00710780" w:rsidRDefault="00BE6871" w:rsidP="001649DC">
            <w:pPr>
              <w:spacing w:before="100" w:after="100"/>
              <w:jc w:val="left"/>
              <w:rPr>
                <w:rFonts w:cs="Arial"/>
              </w:rPr>
            </w:pPr>
            <w:r w:rsidRPr="00710780">
              <w:rPr>
                <w:rFonts w:cs="Arial"/>
              </w:rPr>
              <w:t>10. Juni 1977</w:t>
            </w:r>
            <w:r w:rsidRPr="00710780">
              <w:rPr>
                <w:rFonts w:cs="Arial"/>
              </w:rPr>
              <w:br/>
              <w:t>10. Juni 1977</w:t>
            </w:r>
            <w:r w:rsidRPr="00710780">
              <w:rPr>
                <w:rFonts w:cs="Arial"/>
              </w:rPr>
              <w:br/>
              <w:t>17. Juni 1981</w:t>
            </w:r>
            <w:r w:rsidRPr="00710780">
              <w:rPr>
                <w:rFonts w:cs="Arial"/>
              </w:rPr>
              <w:br/>
              <w:t>1. August 2008</w:t>
            </w:r>
          </w:p>
        </w:tc>
        <w:tc>
          <w:tcPr>
            <w:tcW w:w="2499" w:type="dxa"/>
          </w:tcPr>
          <w:p w:rsidR="00BE6871" w:rsidRPr="00710780" w:rsidRDefault="00BE6871" w:rsidP="001649DC">
            <w:pPr>
              <w:spacing w:before="100" w:after="100"/>
              <w:jc w:val="left"/>
              <w:rPr>
                <w:rFonts w:cs="Arial"/>
              </w:rPr>
            </w:pPr>
            <w:r w:rsidRPr="00710780">
              <w:rPr>
                <w:rFonts w:cs="Arial"/>
              </w:rPr>
              <w:t>10. Juli 1977</w:t>
            </w:r>
            <w:r w:rsidRPr="00710780">
              <w:rPr>
                <w:rFonts w:cs="Arial"/>
              </w:rPr>
              <w:br/>
              <w:t>10. Juli 1977</w:t>
            </w:r>
            <w:r w:rsidRPr="00710780">
              <w:rPr>
                <w:rFonts w:cs="Arial"/>
              </w:rPr>
              <w:br/>
              <w:t>8. November 1981</w:t>
            </w:r>
            <w:r w:rsidRPr="00710780">
              <w:rPr>
                <w:rFonts w:cs="Arial"/>
              </w:rPr>
              <w:br/>
              <w:t>1. September 2008</w:t>
            </w:r>
          </w:p>
        </w:tc>
      </w:tr>
      <w:tr w:rsidR="00BE6871" w:rsidRPr="00710780" w:rsidTr="001649DC">
        <w:trPr>
          <w:cantSplit/>
          <w:trHeight w:val="562"/>
          <w:jc w:val="center"/>
        </w:trPr>
        <w:tc>
          <w:tcPr>
            <w:tcW w:w="2552" w:type="dxa"/>
          </w:tcPr>
          <w:p w:rsidR="00BE6871" w:rsidRPr="00710780" w:rsidRDefault="00BE6871" w:rsidP="001649DC">
            <w:pPr>
              <w:spacing w:before="100" w:after="100"/>
              <w:jc w:val="left"/>
              <w:rPr>
                <w:rFonts w:cs="Arial"/>
              </w:rPr>
            </w:pPr>
            <w:r>
              <w:rPr>
                <w:rFonts w:cs="Arial"/>
              </w:rPr>
              <w:t>Serbien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r>
            <w:r>
              <w:rPr>
                <w:rFonts w:cs="Arial"/>
              </w:rPr>
              <w:t>5</w:t>
            </w:r>
            <w:r w:rsidRPr="00710780">
              <w:rPr>
                <w:rFonts w:cs="Arial"/>
              </w:rPr>
              <w:t xml:space="preserve">. </w:t>
            </w:r>
            <w:r>
              <w:rPr>
                <w:rFonts w:cs="Arial"/>
              </w:rPr>
              <w:t>Dezember</w:t>
            </w:r>
            <w:r w:rsidRPr="00710780">
              <w:rPr>
                <w:rFonts w:cs="Arial"/>
              </w:rPr>
              <w:t xml:space="preserve"> 20</w:t>
            </w:r>
            <w:r>
              <w:rPr>
                <w:rFonts w:cs="Arial"/>
              </w:rPr>
              <w:t>12</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r>
            <w:r>
              <w:rPr>
                <w:rFonts w:cs="Arial"/>
              </w:rPr>
              <w:t>5</w:t>
            </w:r>
            <w:r w:rsidRPr="00710780">
              <w:rPr>
                <w:rFonts w:cs="Arial"/>
              </w:rPr>
              <w:t>. J</w:t>
            </w:r>
            <w:r>
              <w:rPr>
                <w:rFonts w:cs="Arial"/>
              </w:rPr>
              <w:t>anuar</w:t>
            </w:r>
            <w:r w:rsidRPr="00710780">
              <w:rPr>
                <w:rFonts w:cs="Arial"/>
              </w:rPr>
              <w:t xml:space="preserve"> 20</w:t>
            </w:r>
            <w:r>
              <w:rPr>
                <w:rFonts w:cs="Arial"/>
              </w:rPr>
              <w:t>13</w:t>
            </w:r>
          </w:p>
        </w:tc>
      </w:tr>
      <w:tr w:rsidR="00BE6871" w:rsidRPr="00710780" w:rsidTr="001649DC">
        <w:trPr>
          <w:cantSplit/>
          <w:jc w:val="center"/>
        </w:trPr>
        <w:tc>
          <w:tcPr>
            <w:tcW w:w="2552" w:type="dxa"/>
            <w:tcBorders>
              <w:bottom w:val="single" w:sz="4" w:space="0" w:color="auto"/>
            </w:tcBorders>
          </w:tcPr>
          <w:p w:rsidR="00BE6871" w:rsidRPr="00710780" w:rsidRDefault="00BE6871" w:rsidP="001649DC">
            <w:pPr>
              <w:spacing w:before="100" w:after="100"/>
              <w:jc w:val="left"/>
              <w:rPr>
                <w:rFonts w:cs="Arial"/>
              </w:rPr>
            </w:pPr>
            <w:r w:rsidRPr="00710780">
              <w:rPr>
                <w:rFonts w:cs="Arial"/>
              </w:rPr>
              <w:t>Singapur</w:t>
            </w:r>
          </w:p>
        </w:tc>
        <w:tc>
          <w:tcPr>
            <w:tcW w:w="2080" w:type="dxa"/>
            <w:tcBorders>
              <w:bottom w:val="single" w:sz="4" w:space="0" w:color="auto"/>
            </w:tcBorders>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Borders>
              <w:bottom w:val="single" w:sz="4" w:space="0" w:color="auto"/>
            </w:tcBorders>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30. Juni 2004</w:t>
            </w:r>
          </w:p>
        </w:tc>
        <w:tc>
          <w:tcPr>
            <w:tcW w:w="2499" w:type="dxa"/>
            <w:tcBorders>
              <w:bottom w:val="single" w:sz="4" w:space="0" w:color="auto"/>
            </w:tcBorders>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30. Juli 2004</w:t>
            </w:r>
          </w:p>
        </w:tc>
      </w:tr>
      <w:tr w:rsidR="00BE6871" w:rsidRPr="00710780" w:rsidTr="001649DC">
        <w:trPr>
          <w:cantSplit/>
          <w:jc w:val="center"/>
        </w:trPr>
        <w:tc>
          <w:tcPr>
            <w:tcW w:w="2552" w:type="dxa"/>
            <w:tcBorders>
              <w:top w:val="nil"/>
            </w:tcBorders>
          </w:tcPr>
          <w:p w:rsidR="00BE6871" w:rsidRPr="00710780" w:rsidRDefault="00BE6871" w:rsidP="001649DC">
            <w:pPr>
              <w:spacing w:before="100" w:after="100"/>
              <w:jc w:val="left"/>
              <w:rPr>
                <w:rFonts w:cs="Arial"/>
              </w:rPr>
            </w:pPr>
            <w:r w:rsidRPr="00710780">
              <w:rPr>
                <w:rFonts w:cs="Arial"/>
              </w:rPr>
              <w:t>Slowakei</w:t>
            </w:r>
            <w:r w:rsidRPr="00710780">
              <w:rPr>
                <w:rFonts w:cs="Arial"/>
                <w:vertAlign w:val="superscript"/>
              </w:rPr>
              <w:footnoteReference w:id="2"/>
            </w:r>
          </w:p>
        </w:tc>
        <w:tc>
          <w:tcPr>
            <w:tcW w:w="2080" w:type="dxa"/>
            <w:tcBorders>
              <w:top w:val="nil"/>
            </w:tcBorders>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Borders>
              <w:top w:val="nil"/>
            </w:tcBorders>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w:t>
            </w:r>
            <w:r w:rsidRPr="00710780">
              <w:rPr>
                <w:rFonts w:cs="Arial"/>
              </w:rPr>
              <w:br/>
              <w:t>12. Mai 2009</w:t>
            </w:r>
          </w:p>
        </w:tc>
        <w:tc>
          <w:tcPr>
            <w:tcW w:w="2499" w:type="dxa"/>
            <w:tcBorders>
              <w:top w:val="nil"/>
            </w:tcBorders>
          </w:tcPr>
          <w:p w:rsidR="00BE6871" w:rsidRPr="00710780" w:rsidRDefault="00BE6871" w:rsidP="001649DC">
            <w:pPr>
              <w:spacing w:before="80" w:after="80"/>
              <w:jc w:val="left"/>
              <w:rPr>
                <w:rFonts w:cs="Arial"/>
              </w:rPr>
            </w:pPr>
            <w:r w:rsidRPr="00710780">
              <w:rPr>
                <w:rFonts w:cs="Arial"/>
              </w:rPr>
              <w:t>-</w:t>
            </w:r>
            <w:r w:rsidRPr="00710780">
              <w:rPr>
                <w:rFonts w:cs="Arial"/>
              </w:rPr>
              <w:br/>
              <w:t>-</w:t>
            </w:r>
            <w:r w:rsidRPr="00710780">
              <w:rPr>
                <w:rFonts w:cs="Arial"/>
              </w:rPr>
              <w:br/>
              <w:t>1. Januar 1993</w:t>
            </w:r>
            <w:r w:rsidRPr="00710780">
              <w:rPr>
                <w:rFonts w:cs="Arial"/>
              </w:rPr>
              <w:br/>
              <w:t>12. Juni 2009</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Slowenien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29. Juni 1999</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29. Juli 1999</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Spanien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19. März 1991</w:t>
            </w:r>
          </w:p>
        </w:tc>
        <w:tc>
          <w:tcPr>
            <w:tcW w:w="2357" w:type="dxa"/>
            <w:gridSpan w:val="2"/>
          </w:tcPr>
          <w:p w:rsidR="00BE6871" w:rsidRPr="00710780" w:rsidRDefault="00BE6871" w:rsidP="001649DC">
            <w:pPr>
              <w:spacing w:before="100" w:after="100"/>
              <w:jc w:val="left"/>
              <w:rPr>
                <w:rFonts w:cs="Arial"/>
              </w:rPr>
            </w:pPr>
            <w:r w:rsidRPr="00710780">
              <w:rPr>
                <w:rFonts w:cs="Arial"/>
              </w:rPr>
              <w:t>18. April 1980</w:t>
            </w:r>
            <w:r w:rsidRPr="00710780">
              <w:rPr>
                <w:rFonts w:cs="Arial"/>
              </w:rPr>
              <w:br/>
              <w:t>18. April 1980</w:t>
            </w:r>
            <w:r w:rsidRPr="00710780">
              <w:rPr>
                <w:rFonts w:cs="Arial"/>
              </w:rPr>
              <w:br/>
              <w:t>-</w:t>
            </w:r>
            <w:r w:rsidRPr="00710780">
              <w:rPr>
                <w:rFonts w:cs="Arial"/>
              </w:rPr>
              <w:br/>
              <w:t>18. Juni 2007</w:t>
            </w:r>
          </w:p>
        </w:tc>
        <w:tc>
          <w:tcPr>
            <w:tcW w:w="2499" w:type="dxa"/>
          </w:tcPr>
          <w:p w:rsidR="00BE6871" w:rsidRPr="00710780" w:rsidRDefault="00BE6871" w:rsidP="001649DC">
            <w:pPr>
              <w:spacing w:before="100" w:after="100"/>
              <w:jc w:val="left"/>
              <w:rPr>
                <w:rFonts w:cs="Arial"/>
              </w:rPr>
            </w:pPr>
            <w:r w:rsidRPr="00710780">
              <w:rPr>
                <w:rFonts w:cs="Arial"/>
              </w:rPr>
              <w:t>18. Mai 1980</w:t>
            </w:r>
            <w:r w:rsidRPr="00710780">
              <w:rPr>
                <w:rFonts w:cs="Arial"/>
              </w:rPr>
              <w:br/>
              <w:t>18. Mai 1980</w:t>
            </w:r>
            <w:r w:rsidRPr="00710780">
              <w:rPr>
                <w:rFonts w:cs="Arial"/>
              </w:rPr>
              <w:br/>
              <w:t>-</w:t>
            </w:r>
            <w:r w:rsidRPr="00710780">
              <w:rPr>
                <w:rFonts w:cs="Arial"/>
              </w:rPr>
              <w:br/>
              <w:t>18. Juli 2007</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Südafrika</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23. Oktober 1978</w:t>
            </w:r>
            <w:r w:rsidRPr="00710780">
              <w:rPr>
                <w:rFonts w:cs="Arial"/>
              </w:rPr>
              <w:br/>
              <w:t>19. März 1991</w:t>
            </w:r>
          </w:p>
        </w:tc>
        <w:tc>
          <w:tcPr>
            <w:tcW w:w="2357" w:type="dxa"/>
            <w:gridSpan w:val="2"/>
          </w:tcPr>
          <w:p w:rsidR="00BE6871" w:rsidRPr="00710780" w:rsidRDefault="00BE6871" w:rsidP="001649DC">
            <w:pPr>
              <w:spacing w:before="100" w:after="100"/>
              <w:jc w:val="left"/>
              <w:rPr>
                <w:rFonts w:cs="Arial"/>
              </w:rPr>
            </w:pPr>
            <w:r w:rsidRPr="00710780">
              <w:rPr>
                <w:rFonts w:cs="Arial"/>
              </w:rPr>
              <w:t>7. Oktober 1977</w:t>
            </w:r>
            <w:r w:rsidRPr="00710780">
              <w:rPr>
                <w:rFonts w:cs="Arial"/>
              </w:rPr>
              <w:br/>
              <w:t>7. Oktober 1977</w:t>
            </w:r>
            <w:r w:rsidRPr="00710780">
              <w:rPr>
                <w:rFonts w:cs="Arial"/>
              </w:rPr>
              <w:br/>
              <w:t>21. Juli 1981</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6. November 1977</w:t>
            </w:r>
            <w:r w:rsidRPr="00710780">
              <w:rPr>
                <w:rFonts w:cs="Arial"/>
              </w:rPr>
              <w:br/>
              <w:t>6. November 1977</w:t>
            </w:r>
            <w:r w:rsidRPr="00710780">
              <w:rPr>
                <w:rFonts w:cs="Arial"/>
              </w:rPr>
              <w:br/>
              <w:t>8. November 1981</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Trinidad und Tobago</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30. Dezember 1997</w:t>
            </w:r>
            <w:r w:rsidRPr="00710780">
              <w:rPr>
                <w:rFonts w:cs="Arial"/>
              </w:rPr>
              <w:br/>
              <w:t>-</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30. Januar 1998</w:t>
            </w:r>
            <w:r w:rsidRPr="00710780">
              <w:rPr>
                <w:rFonts w:cs="Arial"/>
              </w:rPr>
              <w:br/>
              <w:t>-</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Tschechische Republik</w:t>
            </w:r>
            <w:r w:rsidRPr="00710780">
              <w:rPr>
                <w:rFonts w:cs="Arial"/>
                <w:vertAlign w:val="superscript"/>
              </w:rPr>
              <w:t>1</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Oktober 2002</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 Januar 1993</w:t>
            </w:r>
            <w:r w:rsidRPr="00710780">
              <w:rPr>
                <w:rFonts w:cs="Arial"/>
              </w:rPr>
              <w:br/>
              <w:t>24. November 2002</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Tunesien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31. Juli 2003</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31. August 2003</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Türkei</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18. Oktober 2007</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18 November 2007</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Ukraine</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 Oktober 1995</w:t>
            </w:r>
            <w:r w:rsidRPr="00710780">
              <w:rPr>
                <w:rFonts w:cs="Arial"/>
              </w:rPr>
              <w:br/>
              <w:t>19. Dezember 2006</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3. November 1995</w:t>
            </w:r>
            <w:r w:rsidRPr="00710780">
              <w:rPr>
                <w:rFonts w:cs="Arial"/>
              </w:rPr>
              <w:br/>
              <w:t>19. Januar 2007</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Ungarn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16. März 1983</w:t>
            </w:r>
            <w:r w:rsidRPr="00710780">
              <w:rPr>
                <w:rFonts w:cs="Arial"/>
              </w:rPr>
              <w:br/>
              <w:t>1. Dezember 2002</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16. April 1983</w:t>
            </w:r>
            <w:r w:rsidRPr="00710780">
              <w:rPr>
                <w:rFonts w:cs="Arial"/>
              </w:rPr>
              <w:br/>
              <w:t>1. Januar 2003</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Uruguay</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13. Oktober 1994-</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13. November 1994</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Usbekistan</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14. Oktober 2004</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14. November 2004</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Vereinigtes Königreich</w:t>
            </w:r>
          </w:p>
        </w:tc>
        <w:tc>
          <w:tcPr>
            <w:tcW w:w="2080" w:type="dxa"/>
          </w:tcPr>
          <w:p w:rsidR="00BE6871" w:rsidRPr="00710780" w:rsidRDefault="00BE6871" w:rsidP="001649DC">
            <w:pPr>
              <w:spacing w:before="100" w:after="100"/>
              <w:jc w:val="left"/>
              <w:rPr>
                <w:rFonts w:cs="Arial"/>
              </w:rPr>
            </w:pPr>
            <w:r w:rsidRPr="00710780">
              <w:rPr>
                <w:rFonts w:cs="Arial"/>
              </w:rPr>
              <w:t>26. November 1962</w:t>
            </w:r>
            <w:r w:rsidRPr="00710780">
              <w:rPr>
                <w:rFonts w:cs="Arial"/>
              </w:rPr>
              <w:br/>
              <w:t>10. November 1972</w:t>
            </w:r>
            <w:r w:rsidRPr="00710780">
              <w:rPr>
                <w:rFonts w:cs="Arial"/>
              </w:rPr>
              <w:br/>
              <w:t>23. Oktober 1978</w:t>
            </w:r>
            <w:r w:rsidRPr="00710780">
              <w:rPr>
                <w:rFonts w:cs="Arial"/>
              </w:rPr>
              <w:br/>
              <w:t>19. März 1991</w:t>
            </w:r>
          </w:p>
        </w:tc>
        <w:tc>
          <w:tcPr>
            <w:tcW w:w="2357" w:type="dxa"/>
            <w:gridSpan w:val="2"/>
          </w:tcPr>
          <w:p w:rsidR="00BE6871" w:rsidRPr="00710780" w:rsidRDefault="00BE6871" w:rsidP="001649DC">
            <w:pPr>
              <w:spacing w:before="100" w:after="100"/>
              <w:jc w:val="left"/>
              <w:rPr>
                <w:rFonts w:cs="Arial"/>
              </w:rPr>
            </w:pPr>
            <w:r w:rsidRPr="00710780">
              <w:rPr>
                <w:rFonts w:cs="Arial"/>
              </w:rPr>
              <w:t>17. September 1965</w:t>
            </w:r>
            <w:r w:rsidRPr="00710780">
              <w:rPr>
                <w:rFonts w:cs="Arial"/>
              </w:rPr>
              <w:br/>
              <w:t>1. Juli 1980</w:t>
            </w:r>
            <w:r w:rsidRPr="00710780">
              <w:rPr>
                <w:rFonts w:cs="Arial"/>
              </w:rPr>
              <w:br/>
              <w:t>24. August 1983</w:t>
            </w:r>
            <w:r w:rsidRPr="00710780">
              <w:rPr>
                <w:rFonts w:cs="Arial"/>
              </w:rPr>
              <w:br/>
              <w:t>3. Dezember 1998</w:t>
            </w:r>
          </w:p>
        </w:tc>
        <w:tc>
          <w:tcPr>
            <w:tcW w:w="2499" w:type="dxa"/>
          </w:tcPr>
          <w:p w:rsidR="00BE6871" w:rsidRPr="00710780" w:rsidRDefault="00BE6871" w:rsidP="001649DC">
            <w:pPr>
              <w:spacing w:before="100" w:after="100"/>
              <w:jc w:val="left"/>
              <w:rPr>
                <w:rFonts w:cs="Arial"/>
              </w:rPr>
            </w:pPr>
            <w:r w:rsidRPr="00710780">
              <w:rPr>
                <w:rFonts w:cs="Arial"/>
              </w:rPr>
              <w:t>10. August 1968</w:t>
            </w:r>
            <w:r w:rsidRPr="00710780">
              <w:rPr>
                <w:rFonts w:cs="Arial"/>
              </w:rPr>
              <w:br/>
              <w:t>31. Juli 1980</w:t>
            </w:r>
            <w:r w:rsidRPr="00710780">
              <w:rPr>
                <w:rFonts w:cs="Arial"/>
              </w:rPr>
              <w:br/>
              <w:t>24. September 1983</w:t>
            </w:r>
            <w:r w:rsidRPr="00710780">
              <w:rPr>
                <w:rFonts w:cs="Arial"/>
              </w:rPr>
              <w:br/>
              <w:t>3. Januar 1999</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Vereinigte Staaten von Amerika</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23. Oktober 1978</w:t>
            </w:r>
            <w:r w:rsidRPr="00710780">
              <w:rPr>
                <w:rFonts w:cs="Arial"/>
              </w:rPr>
              <w:br/>
              <w:t>25. Oktober 1991</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12. November 1980</w:t>
            </w:r>
            <w:r w:rsidRPr="00710780">
              <w:rPr>
                <w:rFonts w:cs="Arial"/>
              </w:rPr>
              <w:br/>
              <w:t>22. Januar 1999</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8. November 1981</w:t>
            </w:r>
            <w:r w:rsidRPr="00710780">
              <w:rPr>
                <w:rFonts w:cs="Arial"/>
              </w:rPr>
              <w:br/>
              <w:t>22. Februar 1999</w:t>
            </w:r>
          </w:p>
        </w:tc>
      </w:tr>
      <w:tr w:rsidR="00BE6871" w:rsidRPr="00710780" w:rsidTr="001649DC">
        <w:trPr>
          <w:cantSplit/>
          <w:jc w:val="center"/>
        </w:trPr>
        <w:tc>
          <w:tcPr>
            <w:tcW w:w="2552" w:type="dxa"/>
          </w:tcPr>
          <w:p w:rsidR="00BE6871" w:rsidRPr="00710780" w:rsidRDefault="00BE6871" w:rsidP="001649DC">
            <w:pPr>
              <w:spacing w:before="100" w:after="100"/>
              <w:jc w:val="left"/>
              <w:rPr>
                <w:rFonts w:cs="Arial"/>
              </w:rPr>
            </w:pPr>
            <w:r w:rsidRPr="00710780">
              <w:rPr>
                <w:rFonts w:cs="Arial"/>
              </w:rPr>
              <w:t>Vietnam</w:t>
            </w:r>
          </w:p>
        </w:tc>
        <w:tc>
          <w:tcPr>
            <w:tcW w:w="2080"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w:t>
            </w:r>
          </w:p>
        </w:tc>
        <w:tc>
          <w:tcPr>
            <w:tcW w:w="2357" w:type="dxa"/>
            <w:gridSpan w:val="2"/>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November 2006</w:t>
            </w:r>
          </w:p>
        </w:tc>
        <w:tc>
          <w:tcPr>
            <w:tcW w:w="2499" w:type="dxa"/>
          </w:tcPr>
          <w:p w:rsidR="00BE6871" w:rsidRPr="00710780" w:rsidRDefault="00BE6871" w:rsidP="001649DC">
            <w:pPr>
              <w:spacing w:before="100" w:after="100"/>
              <w:jc w:val="left"/>
              <w:rPr>
                <w:rFonts w:cs="Arial"/>
              </w:rPr>
            </w:pPr>
            <w:r w:rsidRPr="00710780">
              <w:rPr>
                <w:rFonts w:cs="Arial"/>
              </w:rPr>
              <w:t>-</w:t>
            </w:r>
            <w:r w:rsidRPr="00710780">
              <w:rPr>
                <w:rFonts w:cs="Arial"/>
              </w:rPr>
              <w:br/>
              <w:t>-</w:t>
            </w:r>
            <w:r w:rsidRPr="00710780">
              <w:rPr>
                <w:rFonts w:cs="Arial"/>
              </w:rPr>
              <w:br/>
              <w:t>-</w:t>
            </w:r>
            <w:r w:rsidRPr="00710780">
              <w:rPr>
                <w:rFonts w:cs="Arial"/>
              </w:rPr>
              <w:br/>
              <w:t>24. Dezember 2006</w:t>
            </w:r>
          </w:p>
        </w:tc>
      </w:tr>
    </w:tbl>
    <w:p w:rsidR="00BE6871" w:rsidRPr="00710780" w:rsidRDefault="00BE6871" w:rsidP="00BE6871">
      <w:pPr>
        <w:rPr>
          <w:rFonts w:cs="Arial"/>
        </w:rPr>
      </w:pPr>
    </w:p>
    <w:p w:rsidR="00BE6871" w:rsidRPr="00710780" w:rsidRDefault="00BE6871" w:rsidP="00BE6871">
      <w:pPr>
        <w:rPr>
          <w:rFonts w:cs="Arial"/>
        </w:rPr>
      </w:pPr>
    </w:p>
    <w:p w:rsidR="00BE6871" w:rsidRPr="00710780" w:rsidRDefault="00BE6871" w:rsidP="00BE6871">
      <w:pPr>
        <w:rPr>
          <w:rFonts w:cs="Arial"/>
        </w:rPr>
      </w:pPr>
      <w:r w:rsidRPr="00710780">
        <w:rPr>
          <w:rFonts w:cs="Arial"/>
        </w:rPr>
        <w:t>Insgesamt: 70 Verbandsmitglieder</w:t>
      </w:r>
      <w:r>
        <w:rPr>
          <w:rStyle w:val="FootnoteReference"/>
          <w:rFonts w:cs="Arial"/>
        </w:rPr>
        <w:footnoteReference w:id="3"/>
      </w:r>
      <w:r w:rsidRPr="00710780">
        <w:rPr>
          <w:rFonts w:cs="Arial"/>
        </w:rPr>
        <w:t xml:space="preserve"> </w:t>
      </w:r>
    </w:p>
    <w:p w:rsidR="00BE6871" w:rsidRPr="00710780" w:rsidRDefault="00BE6871" w:rsidP="00BE6871">
      <w:pPr>
        <w:rPr>
          <w:rFonts w:ascii="Times New Roman" w:hAnsi="Times New Roman"/>
          <w:sz w:val="24"/>
        </w:rPr>
      </w:pPr>
    </w:p>
    <w:p w:rsidR="00BE6871" w:rsidRPr="00710780" w:rsidRDefault="00BE6871" w:rsidP="00BE6871"/>
    <w:p w:rsidR="00BE6871" w:rsidRPr="00710780" w:rsidRDefault="00BE6871" w:rsidP="00BE6871"/>
    <w:p w:rsidR="00BE6871" w:rsidRPr="00710780" w:rsidRDefault="00BE6871" w:rsidP="00BE6871">
      <w:pPr>
        <w:jc w:val="right"/>
      </w:pPr>
      <w:r w:rsidRPr="00710780">
        <w:t>[Anlage II folgt]</w:t>
      </w:r>
    </w:p>
    <w:p w:rsidR="00BE6871" w:rsidRPr="00710780" w:rsidRDefault="00BE6871" w:rsidP="00BE6871"/>
    <w:p w:rsidR="006B519E" w:rsidRPr="006054BD" w:rsidRDefault="006B519E" w:rsidP="006B519E">
      <w:pPr>
        <w:sectPr w:rsidR="006B519E" w:rsidRPr="006054BD" w:rsidSect="00C12930">
          <w:headerReference w:type="default" r:id="rId12"/>
          <w:footerReference w:type="first" r:id="rId13"/>
          <w:footnotePr>
            <w:numRestart w:val="eachSect"/>
          </w:footnotePr>
          <w:pgSz w:w="11907" w:h="16840" w:code="9"/>
          <w:pgMar w:top="510" w:right="1134" w:bottom="1134" w:left="1134" w:header="510" w:footer="680" w:gutter="0"/>
          <w:pgNumType w:start="1"/>
          <w:cols w:space="720"/>
          <w:titlePg/>
        </w:sectPr>
      </w:pPr>
    </w:p>
    <w:p w:rsidR="006B519E" w:rsidRPr="006054BD" w:rsidRDefault="006B519E" w:rsidP="006B519E">
      <w:pPr>
        <w:jc w:val="center"/>
      </w:pPr>
      <w:r w:rsidRPr="006054BD">
        <w:t>C/47/2</w:t>
      </w:r>
    </w:p>
    <w:p w:rsidR="006B519E" w:rsidRPr="006054BD" w:rsidRDefault="006B519E" w:rsidP="006B519E">
      <w:pPr>
        <w:jc w:val="center"/>
      </w:pPr>
    </w:p>
    <w:p w:rsidR="00944D0A" w:rsidRPr="00944D0A" w:rsidRDefault="00BE6871" w:rsidP="00944D0A">
      <w:pPr>
        <w:jc w:val="center"/>
        <w:rPr>
          <w:rFonts w:cs="Arial"/>
          <w:lang w:val="de-DE"/>
        </w:rPr>
      </w:pPr>
      <w:bookmarkStart w:id="49" w:name="_Toc207102119"/>
      <w:bookmarkStart w:id="50" w:name="_Toc207164764"/>
      <w:r w:rsidRPr="00944D0A">
        <w:rPr>
          <w:lang w:val="de-DE"/>
        </w:rPr>
        <w:t>ANLAGE</w:t>
      </w:r>
      <w:r w:rsidR="006B519E" w:rsidRPr="00944D0A">
        <w:rPr>
          <w:lang w:val="de-DE"/>
        </w:rPr>
        <w:t xml:space="preserve"> II</w:t>
      </w:r>
      <w:bookmarkEnd w:id="49"/>
      <w:bookmarkEnd w:id="50"/>
      <w:r w:rsidR="006B519E" w:rsidRPr="00944D0A">
        <w:rPr>
          <w:lang w:val="de-DE"/>
        </w:rPr>
        <w:br/>
      </w:r>
      <w:r w:rsidR="006B519E" w:rsidRPr="00944D0A">
        <w:rPr>
          <w:lang w:val="de-DE"/>
        </w:rPr>
        <w:br/>
      </w:r>
      <w:bookmarkStart w:id="51" w:name="_Toc207186208"/>
      <w:r w:rsidR="00944D0A" w:rsidRPr="00944D0A">
        <w:rPr>
          <w:rFonts w:cs="Arial"/>
          <w:lang w:val="de-DE"/>
        </w:rPr>
        <w:t>ÜBERBLICK ÜBER DIE DIENSTREISEN IM JAHRE 20</w:t>
      </w:r>
      <w:bookmarkEnd w:id="51"/>
      <w:r w:rsidR="00944D0A" w:rsidRPr="00944D0A">
        <w:rPr>
          <w:rFonts w:cs="Arial"/>
          <w:lang w:val="de-DE"/>
        </w:rPr>
        <w:t>12</w:t>
      </w:r>
    </w:p>
    <w:p w:rsidR="00944D0A" w:rsidRPr="00944D0A" w:rsidRDefault="00944D0A" w:rsidP="00944D0A">
      <w:pPr>
        <w:ind w:right="-1"/>
        <w:jc w:val="center"/>
        <w:rPr>
          <w:rFonts w:cs="Arial"/>
          <w:lang w:val="de-DE"/>
        </w:rPr>
      </w:pPr>
    </w:p>
    <w:p w:rsidR="00944D0A" w:rsidRPr="00944D0A" w:rsidRDefault="00944D0A" w:rsidP="00944D0A">
      <w:pPr>
        <w:ind w:right="-1"/>
        <w:jc w:val="center"/>
        <w:rPr>
          <w:rFonts w:cs="Arial"/>
          <w:lang w:val="de-DE"/>
        </w:rP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014"/>
        <w:gridCol w:w="2617"/>
      </w:tblGrid>
      <w:tr w:rsidR="00944D0A" w:rsidRPr="002539B4" w:rsidTr="001649DC">
        <w:trPr>
          <w:cantSplit/>
          <w:tblHeader/>
          <w:jc w:val="center"/>
        </w:trPr>
        <w:tc>
          <w:tcPr>
            <w:tcW w:w="4216" w:type="dxa"/>
          </w:tcPr>
          <w:p w:rsidR="00944D0A" w:rsidRPr="002539B4" w:rsidRDefault="00944D0A" w:rsidP="004D6731">
            <w:pPr>
              <w:spacing w:before="60" w:after="60"/>
              <w:jc w:val="left"/>
              <w:rPr>
                <w:rFonts w:cs="Arial"/>
                <w:b/>
              </w:rPr>
            </w:pPr>
            <w:r w:rsidRPr="002539B4">
              <w:rPr>
                <w:rFonts w:cs="Arial"/>
                <w:b/>
              </w:rPr>
              <w:t>Dienstreise</w:t>
            </w:r>
          </w:p>
        </w:tc>
        <w:tc>
          <w:tcPr>
            <w:tcW w:w="3014" w:type="dxa"/>
          </w:tcPr>
          <w:p w:rsidR="00944D0A" w:rsidRPr="002539B4" w:rsidRDefault="00944D0A" w:rsidP="001649DC">
            <w:pPr>
              <w:spacing w:before="60" w:after="60"/>
              <w:jc w:val="left"/>
              <w:rPr>
                <w:rFonts w:cs="Arial"/>
                <w:b/>
              </w:rPr>
            </w:pPr>
            <w:r w:rsidRPr="002539B4">
              <w:rPr>
                <w:rFonts w:cs="Arial"/>
                <w:b/>
              </w:rPr>
              <w:t>Ort/Monat</w:t>
            </w:r>
          </w:p>
        </w:tc>
        <w:tc>
          <w:tcPr>
            <w:tcW w:w="2617" w:type="dxa"/>
          </w:tcPr>
          <w:p w:rsidR="00944D0A" w:rsidRPr="002539B4" w:rsidRDefault="00944D0A" w:rsidP="001649DC">
            <w:pPr>
              <w:spacing w:before="60" w:after="60"/>
              <w:jc w:val="left"/>
              <w:rPr>
                <w:rFonts w:cs="Arial"/>
                <w:b/>
              </w:rPr>
            </w:pPr>
            <w:r w:rsidRPr="002539B4">
              <w:rPr>
                <w:rFonts w:cs="Arial"/>
                <w:b/>
              </w:rPr>
              <w:t>Bedienstete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lang w:val="de-DE"/>
              </w:rPr>
            </w:pPr>
            <w:r w:rsidRPr="00944D0A">
              <w:rPr>
                <w:rFonts w:cs="Arial"/>
                <w:lang w:val="de-DE"/>
              </w:rPr>
              <w:t xml:space="preserve">Sitzung des </w:t>
            </w:r>
            <w:r w:rsidRPr="00944D0A">
              <w:rPr>
                <w:lang w:val="de-DE"/>
              </w:rPr>
              <w:t>Lenkungsausschusses des Weltsaatgutprojektes (FAO, ISF, ISTA, OECD und UPOV)</w:t>
            </w:r>
          </w:p>
          <w:p w:rsidR="00944D0A" w:rsidRPr="002539B4" w:rsidRDefault="00944D0A" w:rsidP="004D6731">
            <w:pPr>
              <w:spacing w:before="60" w:after="60"/>
              <w:jc w:val="left"/>
              <w:rPr>
                <w:rFonts w:cs="Arial"/>
              </w:rPr>
            </w:pPr>
            <w:r w:rsidRPr="002539B4">
              <w:rPr>
                <w:rFonts w:cs="Arial"/>
              </w:rPr>
              <w:t>Rechtsberatungssitzung</w:t>
            </w:r>
            <w:r>
              <w:rPr>
                <w:rFonts w:cs="Arial"/>
              </w:rPr>
              <w:t xml:space="preserve"> beim </w:t>
            </w:r>
            <w:r w:rsidRPr="00710780">
              <w:t>Züchterrechtsamt, MAFC</w:t>
            </w:r>
            <w:r>
              <w:rPr>
                <w:rFonts w:cs="Arial"/>
              </w:rPr>
              <w:t xml:space="preserve"> </w:t>
            </w:r>
          </w:p>
        </w:tc>
        <w:tc>
          <w:tcPr>
            <w:tcW w:w="3014" w:type="dxa"/>
          </w:tcPr>
          <w:p w:rsidR="00944D0A" w:rsidRPr="00944D0A" w:rsidRDefault="00944D0A" w:rsidP="001649DC">
            <w:pPr>
              <w:spacing w:before="60" w:after="60"/>
              <w:jc w:val="left"/>
              <w:rPr>
                <w:rFonts w:cs="Arial"/>
                <w:lang w:val="de-DE"/>
              </w:rPr>
            </w:pPr>
            <w:r w:rsidRPr="00944D0A">
              <w:rPr>
                <w:lang w:val="de-DE"/>
              </w:rPr>
              <w:t>Arusha, Vereinigte Republik Tansania</w:t>
            </w:r>
            <w:r w:rsidRPr="00944D0A">
              <w:rPr>
                <w:rFonts w:cs="Arial"/>
                <w:lang w:val="de-DE"/>
              </w:rPr>
              <w:t xml:space="preserve"> (Januar)</w:t>
            </w:r>
          </w:p>
        </w:tc>
        <w:tc>
          <w:tcPr>
            <w:tcW w:w="2617" w:type="dxa"/>
          </w:tcPr>
          <w:p w:rsidR="00944D0A" w:rsidRPr="002539B4" w:rsidRDefault="00944D0A" w:rsidP="001649DC">
            <w:pPr>
              <w:spacing w:before="60" w:after="60"/>
              <w:jc w:val="left"/>
              <w:rPr>
                <w:rFonts w:cs="Arial"/>
              </w:rPr>
            </w:pPr>
            <w:r w:rsidRPr="002539B4">
              <w:rPr>
                <w:rFonts w:cs="Arial"/>
              </w:rPr>
              <w:t>Button</w:t>
            </w:r>
          </w:p>
        </w:tc>
      </w:tr>
      <w:tr w:rsidR="00944D0A" w:rsidRPr="002539B4" w:rsidTr="001649DC">
        <w:trPr>
          <w:cantSplit/>
          <w:jc w:val="center"/>
        </w:trPr>
        <w:tc>
          <w:tcPr>
            <w:tcW w:w="4216" w:type="dxa"/>
            <w:tcBorders>
              <w:top w:val="nil"/>
              <w:right w:val="nil"/>
            </w:tcBorders>
          </w:tcPr>
          <w:p w:rsidR="00944D0A" w:rsidRPr="002539B4" w:rsidRDefault="00F23749" w:rsidP="004D6731">
            <w:pPr>
              <w:spacing w:before="60" w:after="60"/>
              <w:jc w:val="left"/>
              <w:rPr>
                <w:rFonts w:cs="Arial"/>
              </w:rPr>
            </w:pPr>
            <w:r>
              <w:t>Seminare über Sortenschutz</w:t>
            </w:r>
          </w:p>
        </w:tc>
        <w:tc>
          <w:tcPr>
            <w:tcW w:w="3014" w:type="dxa"/>
            <w:tcBorders>
              <w:top w:val="nil"/>
            </w:tcBorders>
          </w:tcPr>
          <w:p w:rsidR="00944D0A" w:rsidRPr="002539B4" w:rsidRDefault="00944D0A" w:rsidP="001649DC">
            <w:pPr>
              <w:spacing w:before="60" w:after="60"/>
              <w:jc w:val="left"/>
              <w:rPr>
                <w:rFonts w:cs="Arial"/>
              </w:rPr>
            </w:pPr>
            <w:r w:rsidRPr="00710780">
              <w:t>Lima, Trujillo und Iquitos</w:t>
            </w:r>
            <w:r>
              <w:t>, Peru</w:t>
            </w:r>
            <w:r w:rsidRPr="00710780">
              <w:t xml:space="preserve"> </w:t>
            </w:r>
            <w:r w:rsidRPr="002539B4">
              <w:rPr>
                <w:rFonts w:cs="Arial"/>
              </w:rPr>
              <w:t>(Januar)</w:t>
            </w:r>
          </w:p>
        </w:tc>
        <w:tc>
          <w:tcPr>
            <w:tcW w:w="2617" w:type="dxa"/>
            <w:tcBorders>
              <w:top w:val="nil"/>
            </w:tcBorders>
          </w:tcPr>
          <w:p w:rsidR="00944D0A" w:rsidRPr="002539B4" w:rsidRDefault="00944D0A" w:rsidP="001649DC">
            <w:pPr>
              <w:spacing w:before="60" w:after="60"/>
              <w:jc w:val="left"/>
              <w:rPr>
                <w:rFonts w:cs="Arial"/>
              </w:rPr>
            </w:pPr>
            <w:r>
              <w:rPr>
                <w:rFonts w:cs="Arial"/>
              </w:rPr>
              <w:t>Button, Lavignolle (AR)</w:t>
            </w:r>
          </w:p>
        </w:tc>
      </w:tr>
      <w:tr w:rsidR="00944D0A" w:rsidRPr="002539B4" w:rsidTr="001649DC">
        <w:trPr>
          <w:cantSplit/>
          <w:jc w:val="center"/>
        </w:trPr>
        <w:tc>
          <w:tcPr>
            <w:tcW w:w="4216" w:type="dxa"/>
            <w:tcBorders>
              <w:right w:val="nil"/>
            </w:tcBorders>
          </w:tcPr>
          <w:p w:rsidR="00944D0A" w:rsidRPr="002539B4" w:rsidRDefault="00944D0A" w:rsidP="004D6731">
            <w:pPr>
              <w:spacing w:before="60" w:after="60"/>
              <w:jc w:val="left"/>
              <w:rPr>
                <w:rFonts w:cs="Arial"/>
              </w:rPr>
            </w:pPr>
            <w:r w:rsidRPr="00710780">
              <w:t>Tagungen der OECD</w:t>
            </w:r>
            <w:r w:rsidRPr="00710780">
              <w:noBreakHyphen/>
              <w:t>Saatgutschemat</w:t>
            </w:r>
            <w:r>
              <w:t>a</w:t>
            </w:r>
          </w:p>
        </w:tc>
        <w:tc>
          <w:tcPr>
            <w:tcW w:w="3014" w:type="dxa"/>
          </w:tcPr>
          <w:p w:rsidR="00944D0A" w:rsidRPr="002539B4" w:rsidRDefault="00AB1799" w:rsidP="001649DC">
            <w:pPr>
              <w:spacing w:before="60" w:after="60"/>
              <w:jc w:val="left"/>
              <w:rPr>
                <w:rFonts w:cs="Arial"/>
              </w:rPr>
            </w:pPr>
            <w:r>
              <w:rPr>
                <w:rFonts w:cs="Arial"/>
              </w:rPr>
              <w:t>Paris, Frankreich</w:t>
            </w:r>
            <w:r w:rsidR="00944D0A" w:rsidRPr="002539B4">
              <w:rPr>
                <w:rFonts w:cs="Arial"/>
              </w:rPr>
              <w:t xml:space="preserve"> (Januar)</w:t>
            </w:r>
          </w:p>
        </w:tc>
        <w:tc>
          <w:tcPr>
            <w:tcW w:w="2617" w:type="dxa"/>
          </w:tcPr>
          <w:p w:rsidR="00944D0A" w:rsidRPr="002539B4" w:rsidRDefault="00944D0A" w:rsidP="001649DC">
            <w:pPr>
              <w:spacing w:before="60" w:after="60"/>
              <w:jc w:val="left"/>
              <w:rPr>
                <w:rFonts w:cs="Arial"/>
              </w:rPr>
            </w:pPr>
            <w:r>
              <w:rPr>
                <w:rFonts w:cs="Arial"/>
              </w:rPr>
              <w:t>Borys</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snapToGrid w:val="0"/>
                <w:lang w:val="de-DE"/>
              </w:rPr>
            </w:pPr>
            <w:r w:rsidRPr="00944D0A">
              <w:rPr>
                <w:rFonts w:cs="Arial"/>
                <w:lang w:val="de-DE"/>
              </w:rPr>
              <w:t xml:space="preserve">Studienreise und </w:t>
            </w:r>
            <w:r w:rsidRPr="00944D0A">
              <w:rPr>
                <w:snapToGrid w:val="0"/>
                <w:color w:val="000000"/>
                <w:lang w:val="de-DE"/>
              </w:rPr>
              <w:t>damit verbundene Tagungen für hochrangige für den Sortenschutz zuständige Beamte</w:t>
            </w:r>
          </w:p>
        </w:tc>
        <w:tc>
          <w:tcPr>
            <w:tcW w:w="3014" w:type="dxa"/>
          </w:tcPr>
          <w:p w:rsidR="00944D0A" w:rsidRPr="00944D0A" w:rsidRDefault="00944D0A" w:rsidP="001649DC">
            <w:pPr>
              <w:spacing w:before="60" w:after="60"/>
              <w:jc w:val="left"/>
              <w:rPr>
                <w:rFonts w:cs="Arial"/>
                <w:snapToGrid w:val="0"/>
                <w:lang w:val="de-DE"/>
              </w:rPr>
            </w:pPr>
            <w:r w:rsidRPr="00944D0A">
              <w:rPr>
                <w:color w:val="000000"/>
                <w:lang w:val="de-DE"/>
              </w:rPr>
              <w:t>Tokio, Chiba, Tsukuba und Hachimantai, Japan</w:t>
            </w:r>
            <w:r w:rsidRPr="00944D0A">
              <w:rPr>
                <w:rFonts w:cs="Arial"/>
                <w:snapToGrid w:val="0"/>
                <w:lang w:val="de-DE"/>
              </w:rPr>
              <w:t xml:space="preserve"> (Januar</w:t>
            </w:r>
            <w:r w:rsidR="00AB1799">
              <w:rPr>
                <w:rFonts w:cs="Arial"/>
                <w:snapToGrid w:val="0"/>
                <w:lang w:val="de-DE"/>
              </w:rPr>
              <w:t>/Februar</w:t>
            </w:r>
            <w:r w:rsidRPr="00944D0A">
              <w:rPr>
                <w:rFonts w:cs="Arial"/>
                <w:snapToGrid w:val="0"/>
                <w:lang w:val="de-DE"/>
              </w:rPr>
              <w:t>)</w:t>
            </w:r>
          </w:p>
        </w:tc>
        <w:tc>
          <w:tcPr>
            <w:tcW w:w="2617" w:type="dxa"/>
          </w:tcPr>
          <w:p w:rsidR="00944D0A" w:rsidRPr="002539B4" w:rsidRDefault="00944D0A" w:rsidP="001649DC">
            <w:pPr>
              <w:spacing w:before="60" w:after="60"/>
              <w:jc w:val="left"/>
              <w:rPr>
                <w:rFonts w:cs="Arial"/>
              </w:rPr>
            </w:pPr>
            <w:r w:rsidRPr="002539B4">
              <w:rPr>
                <w:rFonts w:cs="Arial"/>
              </w:rPr>
              <w:t>Button</w:t>
            </w:r>
            <w:r>
              <w:rPr>
                <w:rFonts w:cs="Arial"/>
              </w:rPr>
              <w:t>, Aihara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Zwanzigste Sitzung des zwischenstaatlichen Ausschusses der WIPO über geistiges Eigentum und genetische Ressourcen sowie traditionelle Kenntnisse und Gebräuche</w:t>
            </w:r>
            <w:r w:rsidR="00AB1799">
              <w:rPr>
                <w:rFonts w:cs="Arial"/>
                <w:lang w:val="de-DE"/>
              </w:rPr>
              <w:t xml:space="preserve"> (IGC)</w:t>
            </w:r>
          </w:p>
        </w:tc>
        <w:tc>
          <w:tcPr>
            <w:tcW w:w="3014" w:type="dxa"/>
          </w:tcPr>
          <w:p w:rsidR="00944D0A" w:rsidRPr="002539B4" w:rsidRDefault="00944D0A" w:rsidP="001649DC">
            <w:pPr>
              <w:spacing w:before="60" w:after="60"/>
              <w:jc w:val="left"/>
              <w:rPr>
                <w:rFonts w:cs="Arial"/>
              </w:rPr>
            </w:pPr>
            <w:r w:rsidRPr="002539B4">
              <w:rPr>
                <w:rFonts w:cs="Arial"/>
              </w:rPr>
              <w:t>Genf, Schweiz (Februar)</w:t>
            </w:r>
          </w:p>
        </w:tc>
        <w:tc>
          <w:tcPr>
            <w:tcW w:w="2617" w:type="dxa"/>
          </w:tcPr>
          <w:p w:rsidR="00944D0A" w:rsidRPr="00FC6079" w:rsidRDefault="00944D0A" w:rsidP="001649DC">
            <w:pPr>
              <w:spacing w:before="60" w:after="60"/>
              <w:jc w:val="left"/>
              <w:rPr>
                <w:rFonts w:cs="Arial"/>
                <w:b/>
                <w:bCs/>
              </w:rPr>
            </w:pPr>
            <w:r>
              <w:rPr>
                <w:rFonts w:cs="Arial"/>
              </w:rPr>
              <w:t>Aihara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snapToGrid w:val="0"/>
                <w:color w:val="000000"/>
                <w:lang w:val="de-DE"/>
              </w:rPr>
            </w:pPr>
            <w:r w:rsidRPr="00944D0A">
              <w:rPr>
                <w:snapToGrid w:val="0"/>
                <w:color w:val="000000"/>
                <w:lang w:val="de-DE"/>
              </w:rPr>
              <w:t>Seminar zur Sensibilisierung für den Sortenschutz</w:t>
            </w:r>
          </w:p>
          <w:p w:rsidR="00944D0A" w:rsidRPr="00944D0A" w:rsidRDefault="007C2539" w:rsidP="004D6731">
            <w:pPr>
              <w:spacing w:before="60" w:after="60"/>
              <w:jc w:val="left"/>
              <w:rPr>
                <w:snapToGrid w:val="0"/>
                <w:lang w:val="de-DE"/>
              </w:rPr>
            </w:pPr>
            <w:r>
              <w:rPr>
                <w:snapToGrid w:val="0"/>
                <w:lang w:val="de-DE"/>
              </w:rPr>
              <w:t xml:space="preserve">Kongreß </w:t>
            </w:r>
            <w:r w:rsidR="00944D0A" w:rsidRPr="00944D0A">
              <w:rPr>
                <w:snapToGrid w:val="0"/>
                <w:lang w:val="de-DE"/>
              </w:rPr>
              <w:t>der Saatgutvereinigung für Asien und den Pazifik (APSA) 2011</w:t>
            </w:r>
          </w:p>
          <w:p w:rsidR="00944D0A" w:rsidRPr="00944D0A" w:rsidRDefault="00944D0A" w:rsidP="004D6731">
            <w:pPr>
              <w:spacing w:before="60" w:after="60"/>
              <w:jc w:val="left"/>
              <w:rPr>
                <w:snapToGrid w:val="0"/>
                <w:lang w:val="de-DE"/>
              </w:rPr>
            </w:pPr>
            <w:r w:rsidRPr="00944D0A">
              <w:rPr>
                <w:color w:val="000000"/>
                <w:lang w:val="de-DE"/>
              </w:rPr>
              <w:t>Arbeitstagung über Züchterrechte, Patente und Zugang zu biologischer Vielfalt und genetische Ressourcen im Vorfeld des Kongresses</w:t>
            </w:r>
          </w:p>
          <w:p w:rsidR="00944D0A" w:rsidRPr="00944D0A" w:rsidRDefault="00944D0A" w:rsidP="004D6731">
            <w:pPr>
              <w:spacing w:before="60" w:after="60"/>
              <w:jc w:val="left"/>
              <w:rPr>
                <w:rFonts w:cs="Arial"/>
                <w:lang w:val="de-DE"/>
              </w:rPr>
            </w:pPr>
            <w:r w:rsidRPr="00944D0A">
              <w:rPr>
                <w:color w:val="000000"/>
                <w:lang w:val="de-DE"/>
              </w:rPr>
              <w:t xml:space="preserve">Sitzung des Lenkungsausschusses des Weltsaatgutprojektes </w:t>
            </w:r>
            <w:r w:rsidRPr="00944D0A">
              <w:rPr>
                <w:lang w:val="de-DE"/>
              </w:rPr>
              <w:t>(FAO, ISF, ISTA, OECD und UPOV)</w:t>
            </w:r>
          </w:p>
        </w:tc>
        <w:tc>
          <w:tcPr>
            <w:tcW w:w="3014" w:type="dxa"/>
          </w:tcPr>
          <w:p w:rsidR="00944D0A" w:rsidRPr="00282611" w:rsidRDefault="00944D0A" w:rsidP="001649DC">
            <w:pPr>
              <w:spacing w:before="60" w:after="60"/>
              <w:jc w:val="left"/>
              <w:rPr>
                <w:rFonts w:cs="Arial"/>
              </w:rPr>
            </w:pPr>
            <w:r w:rsidRPr="00282611">
              <w:rPr>
                <w:color w:val="000000"/>
              </w:rPr>
              <w:t>Phnom Penh, Kambodscha</w:t>
            </w:r>
            <w:r w:rsidRPr="00282611">
              <w:rPr>
                <w:rFonts w:cs="Arial"/>
              </w:rPr>
              <w:t xml:space="preserve"> (Februar)</w:t>
            </w:r>
          </w:p>
          <w:p w:rsidR="00944D0A" w:rsidRPr="00282611" w:rsidRDefault="00944D0A" w:rsidP="001649DC">
            <w:pPr>
              <w:spacing w:before="60" w:after="60"/>
              <w:jc w:val="left"/>
              <w:rPr>
                <w:rFonts w:cs="Arial"/>
              </w:rPr>
            </w:pPr>
            <w:r w:rsidRPr="00282611">
              <w:t>Pattaya, Thailand</w:t>
            </w:r>
            <w:r w:rsidR="00AB1799">
              <w:t xml:space="preserve"> </w:t>
            </w:r>
            <w:r w:rsidR="00AB1799" w:rsidRPr="00282611">
              <w:rPr>
                <w:rFonts w:cs="Arial"/>
              </w:rPr>
              <w:t>(Februar)</w:t>
            </w:r>
          </w:p>
        </w:tc>
        <w:tc>
          <w:tcPr>
            <w:tcW w:w="2617" w:type="dxa"/>
          </w:tcPr>
          <w:p w:rsidR="00944D0A" w:rsidRPr="002539B4" w:rsidRDefault="00944D0A" w:rsidP="001649DC">
            <w:pPr>
              <w:spacing w:before="60" w:after="60"/>
              <w:jc w:val="left"/>
              <w:rPr>
                <w:rFonts w:cs="Arial"/>
              </w:rPr>
            </w:pPr>
            <w:r w:rsidRPr="002539B4">
              <w:rPr>
                <w:rFonts w:cs="Arial"/>
              </w:rPr>
              <w:t>Button</w:t>
            </w:r>
            <w:r>
              <w:rPr>
                <w:rFonts w:cs="Arial"/>
              </w:rPr>
              <w:t>, Aihara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lang w:val="de-DE"/>
              </w:rPr>
            </w:pPr>
            <w:r w:rsidRPr="00944D0A">
              <w:rPr>
                <w:lang w:val="de-DE"/>
              </w:rPr>
              <w:t>Tagung des Rates für TRIPS</w:t>
            </w:r>
          </w:p>
          <w:p w:rsidR="00944D0A" w:rsidRPr="00944D0A" w:rsidRDefault="00AB1799" w:rsidP="004D6731">
            <w:pPr>
              <w:spacing w:before="60" w:after="60"/>
              <w:jc w:val="left"/>
              <w:rPr>
                <w:rFonts w:cs="Arial"/>
                <w:lang w:val="de-DE"/>
              </w:rPr>
            </w:pPr>
            <w:r>
              <w:rPr>
                <w:lang w:val="de-DE"/>
              </w:rPr>
              <w:t>(</w:t>
            </w:r>
            <w:r w:rsidR="00944D0A" w:rsidRPr="00944D0A">
              <w:rPr>
                <w:lang w:val="de-DE"/>
              </w:rPr>
              <w:t>Hauptsitz der WTO</w:t>
            </w:r>
            <w:r>
              <w:rPr>
                <w:lang w:val="de-DE"/>
              </w:rPr>
              <w:t>)</w:t>
            </w:r>
          </w:p>
        </w:tc>
        <w:tc>
          <w:tcPr>
            <w:tcW w:w="3014" w:type="dxa"/>
          </w:tcPr>
          <w:p w:rsidR="00944D0A" w:rsidRPr="002539B4" w:rsidRDefault="00944D0A" w:rsidP="001649DC">
            <w:pPr>
              <w:spacing w:before="60" w:after="60"/>
              <w:jc w:val="left"/>
              <w:rPr>
                <w:rFonts w:cs="Arial"/>
              </w:rPr>
            </w:pPr>
            <w:r w:rsidRPr="002539B4">
              <w:rPr>
                <w:rFonts w:cs="Arial"/>
              </w:rPr>
              <w:t>Genf, Schweiz (Februar)</w:t>
            </w:r>
          </w:p>
        </w:tc>
        <w:tc>
          <w:tcPr>
            <w:tcW w:w="2617" w:type="dxa"/>
          </w:tcPr>
          <w:p w:rsidR="00944D0A" w:rsidRPr="002539B4" w:rsidRDefault="00AB1799" w:rsidP="001649DC">
            <w:pPr>
              <w:spacing w:before="60" w:after="60"/>
              <w:jc w:val="left"/>
              <w:rPr>
                <w:rFonts w:cs="Arial"/>
              </w:rPr>
            </w:pPr>
            <w:r>
              <w:rPr>
                <w:rFonts w:cs="Arial"/>
              </w:rPr>
              <w:t>Huerta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lang w:val="de-DE"/>
              </w:rPr>
            </w:pPr>
            <w:r w:rsidRPr="00944D0A">
              <w:rPr>
                <w:lang w:val="de-DE"/>
              </w:rPr>
              <w:t>Zwölfter Jahres</w:t>
            </w:r>
            <w:r w:rsidR="007C2539">
              <w:rPr>
                <w:lang w:val="de-DE"/>
              </w:rPr>
              <w:t xml:space="preserve">kongreß </w:t>
            </w:r>
            <w:r w:rsidRPr="00944D0A">
              <w:rPr>
                <w:lang w:val="de-DE"/>
              </w:rPr>
              <w:t>des Afrikanischen Saatguthandelsverbandes (AFSTA)</w:t>
            </w:r>
          </w:p>
          <w:p w:rsidR="00944D0A" w:rsidRPr="00944D0A" w:rsidRDefault="00944D0A" w:rsidP="004D6731">
            <w:pPr>
              <w:spacing w:before="60" w:after="60"/>
              <w:jc w:val="left"/>
              <w:rPr>
                <w:lang w:val="de-DE"/>
              </w:rPr>
            </w:pPr>
            <w:r w:rsidRPr="00944D0A">
              <w:rPr>
                <w:lang w:val="de-DE"/>
              </w:rPr>
              <w:t>Arbeitstagung über Sortenschutz im Vorfeld des Kongresses</w:t>
            </w:r>
          </w:p>
          <w:p w:rsidR="00944D0A" w:rsidRPr="00944D0A" w:rsidRDefault="00944D0A" w:rsidP="004D6731">
            <w:pPr>
              <w:spacing w:before="60" w:after="60"/>
              <w:jc w:val="left"/>
              <w:rPr>
                <w:rFonts w:cs="Arial"/>
                <w:lang w:val="de-DE"/>
              </w:rPr>
            </w:pPr>
            <w:r w:rsidRPr="00944D0A">
              <w:rPr>
                <w:rFonts w:cs="Arial"/>
                <w:lang w:val="de-DE"/>
              </w:rPr>
              <w:t xml:space="preserve">Sitzung des </w:t>
            </w:r>
            <w:r w:rsidRPr="00944D0A">
              <w:rPr>
                <w:lang w:val="de-DE"/>
              </w:rPr>
              <w:t>Lenkungsausschusses des Weltsaatgutprojektes (FAO, ISF, ISTA, OECD und UPOV)</w:t>
            </w:r>
          </w:p>
        </w:tc>
        <w:tc>
          <w:tcPr>
            <w:tcW w:w="3014" w:type="dxa"/>
          </w:tcPr>
          <w:p w:rsidR="00944D0A" w:rsidRPr="00944D0A" w:rsidRDefault="00944D0A" w:rsidP="001649DC">
            <w:pPr>
              <w:spacing w:before="60" w:after="60"/>
              <w:jc w:val="left"/>
              <w:rPr>
                <w:rFonts w:cs="Arial"/>
                <w:lang w:val="de-DE"/>
              </w:rPr>
            </w:pPr>
            <w:r w:rsidRPr="00944D0A">
              <w:rPr>
                <w:lang w:val="de-DE"/>
              </w:rPr>
              <w:t>Sansibar, Vereinigte Republik Tansania (März)</w:t>
            </w:r>
          </w:p>
        </w:tc>
        <w:tc>
          <w:tcPr>
            <w:tcW w:w="2617" w:type="dxa"/>
          </w:tcPr>
          <w:p w:rsidR="00944D0A" w:rsidRPr="002539B4" w:rsidRDefault="00944D0A" w:rsidP="001649DC">
            <w:pPr>
              <w:spacing w:before="60" w:after="60"/>
              <w:jc w:val="left"/>
              <w:rPr>
                <w:rFonts w:cs="Arial"/>
              </w:rPr>
            </w:pPr>
            <w:r>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Fortgeschrittene</w:t>
            </w:r>
            <w:r w:rsidR="00AB1799">
              <w:rPr>
                <w:lang w:val="de-DE"/>
              </w:rPr>
              <w:t>r</w:t>
            </w:r>
            <w:r w:rsidRPr="00944D0A">
              <w:rPr>
                <w:lang w:val="de-DE"/>
              </w:rPr>
              <w:t xml:space="preserve"> Lehrgang </w:t>
            </w:r>
            <w:r w:rsidR="00AB1799" w:rsidRPr="00944D0A">
              <w:rPr>
                <w:lang w:val="de-DE"/>
              </w:rPr>
              <w:t xml:space="preserve">der WIPO/WTO </w:t>
            </w:r>
            <w:r w:rsidRPr="00944D0A">
              <w:rPr>
                <w:lang w:val="de-DE"/>
              </w:rPr>
              <w:t xml:space="preserve">über geistiges Eigentum für Regierungsbeamte </w:t>
            </w:r>
          </w:p>
        </w:tc>
        <w:tc>
          <w:tcPr>
            <w:tcW w:w="3014" w:type="dxa"/>
          </w:tcPr>
          <w:p w:rsidR="00944D0A" w:rsidRPr="002539B4" w:rsidRDefault="00944D0A" w:rsidP="001649DC">
            <w:pPr>
              <w:spacing w:before="60" w:after="60"/>
              <w:jc w:val="left"/>
              <w:rPr>
                <w:rFonts w:cs="Arial"/>
              </w:rPr>
            </w:pPr>
            <w:r w:rsidRPr="002539B4">
              <w:rPr>
                <w:rFonts w:cs="Arial"/>
              </w:rPr>
              <w:t>Genf, Schweiz (</w:t>
            </w:r>
            <w:r>
              <w:rPr>
                <w:rFonts w:cs="Arial"/>
              </w:rPr>
              <w:t>März</w:t>
            </w:r>
            <w:r w:rsidRPr="002539B4">
              <w:rPr>
                <w:rFonts w:cs="Arial"/>
              </w:rPr>
              <w:t>)</w:t>
            </w:r>
          </w:p>
        </w:tc>
        <w:tc>
          <w:tcPr>
            <w:tcW w:w="2617" w:type="dxa"/>
          </w:tcPr>
          <w:p w:rsidR="00944D0A" w:rsidRPr="002539B4" w:rsidRDefault="00944D0A" w:rsidP="001649DC">
            <w:pPr>
              <w:spacing w:before="60" w:after="60"/>
              <w:jc w:val="left"/>
              <w:rPr>
                <w:rFonts w:cs="Arial"/>
              </w:rPr>
            </w:pPr>
            <w:r>
              <w:rPr>
                <w:rFonts w:cs="Arial"/>
              </w:rPr>
              <w:t>Button, Huerta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 xml:space="preserve">Sitzung des </w:t>
            </w:r>
            <w:r w:rsidRPr="00944D0A">
              <w:rPr>
                <w:lang w:val="de-DE"/>
              </w:rPr>
              <w:t>Lenkungsausschusses des Weltsaatgutprojektes (FAO, ISF, ISTA, OECD und UPOV)</w:t>
            </w:r>
          </w:p>
        </w:tc>
        <w:tc>
          <w:tcPr>
            <w:tcW w:w="3014" w:type="dxa"/>
          </w:tcPr>
          <w:p w:rsidR="00944D0A" w:rsidRPr="002539B4" w:rsidRDefault="00944D0A" w:rsidP="001649DC">
            <w:pPr>
              <w:spacing w:before="60" w:after="60"/>
              <w:jc w:val="left"/>
              <w:rPr>
                <w:rFonts w:cs="Arial"/>
              </w:rPr>
            </w:pPr>
            <w:r w:rsidRPr="00710780">
              <w:t>Accra, Ghana</w:t>
            </w:r>
            <w:r w:rsidR="00AB1799">
              <w:t xml:space="preserve"> </w:t>
            </w:r>
            <w:r w:rsidR="00AB1799" w:rsidRPr="00944D0A">
              <w:rPr>
                <w:rFonts w:cs="Arial"/>
                <w:lang w:val="de-DE"/>
              </w:rPr>
              <w:t>(April)</w:t>
            </w:r>
          </w:p>
        </w:tc>
        <w:tc>
          <w:tcPr>
            <w:tcW w:w="2617" w:type="dxa"/>
          </w:tcPr>
          <w:p w:rsidR="00944D0A" w:rsidRPr="002539B4" w:rsidRDefault="00944D0A" w:rsidP="001649DC">
            <w:pPr>
              <w:spacing w:before="60" w:after="60"/>
              <w:jc w:val="left"/>
              <w:rPr>
                <w:rFonts w:cs="Arial"/>
              </w:rPr>
            </w:pPr>
            <w:r>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Konferenz über Züchterrechte und UPOV</w:t>
            </w:r>
            <w:r w:rsidRPr="00944D0A">
              <w:rPr>
                <w:lang w:val="de-DE"/>
              </w:rPr>
              <w:noBreakHyphen/>
              <w:t>Mitgliedschaft</w:t>
            </w:r>
          </w:p>
        </w:tc>
        <w:tc>
          <w:tcPr>
            <w:tcW w:w="3014" w:type="dxa"/>
          </w:tcPr>
          <w:p w:rsidR="00944D0A" w:rsidRPr="002539B4" w:rsidRDefault="00944D0A" w:rsidP="001649DC">
            <w:pPr>
              <w:spacing w:before="60" w:after="60"/>
              <w:jc w:val="left"/>
              <w:rPr>
                <w:rFonts w:cs="Arial"/>
              </w:rPr>
            </w:pPr>
            <w:r w:rsidRPr="00710780">
              <w:t>Belgrad, Serbien</w:t>
            </w:r>
            <w:r w:rsidR="00AB1799">
              <w:t xml:space="preserve"> </w:t>
            </w:r>
            <w:r w:rsidR="00AB1799" w:rsidRPr="00944D0A">
              <w:rPr>
                <w:rFonts w:cs="Arial"/>
                <w:lang w:val="de-DE"/>
              </w:rPr>
              <w:t>(April)</w:t>
            </w:r>
          </w:p>
        </w:tc>
        <w:tc>
          <w:tcPr>
            <w:tcW w:w="2617" w:type="dxa"/>
          </w:tcPr>
          <w:p w:rsidR="00944D0A" w:rsidRPr="002539B4" w:rsidRDefault="00944D0A" w:rsidP="001649DC">
            <w:pPr>
              <w:spacing w:before="60" w:after="60"/>
              <w:jc w:val="left"/>
              <w:rPr>
                <w:rFonts w:cs="Arial"/>
              </w:rPr>
            </w:pPr>
            <w:r>
              <w:rPr>
                <w:rFonts w:cs="Arial"/>
              </w:rPr>
              <w:t>Huerta</w:t>
            </w:r>
          </w:p>
        </w:tc>
      </w:tr>
      <w:tr w:rsidR="00944D0A" w:rsidRPr="002539B4" w:rsidTr="001649DC">
        <w:trPr>
          <w:cantSplit/>
          <w:jc w:val="center"/>
        </w:trPr>
        <w:tc>
          <w:tcPr>
            <w:tcW w:w="4216" w:type="dxa"/>
            <w:tcBorders>
              <w:right w:val="nil"/>
            </w:tcBorders>
          </w:tcPr>
          <w:p w:rsidR="00944D0A" w:rsidRPr="00944D0A" w:rsidRDefault="00AB1799" w:rsidP="004D6731">
            <w:pPr>
              <w:spacing w:before="60" w:after="60"/>
              <w:jc w:val="left"/>
              <w:rPr>
                <w:rFonts w:cs="Arial"/>
                <w:lang w:val="de-DE"/>
              </w:rPr>
            </w:pPr>
            <w:r>
              <w:rPr>
                <w:lang w:val="de-DE"/>
              </w:rPr>
              <w:t>USPTO/UPOV-</w:t>
            </w:r>
            <w:r w:rsidR="00944D0A" w:rsidRPr="00944D0A">
              <w:rPr>
                <w:lang w:val="de-DE"/>
              </w:rPr>
              <w:t>Lehrgang über „Sortenschutz nach dem UPOV-Übereinkommen“</w:t>
            </w:r>
          </w:p>
        </w:tc>
        <w:tc>
          <w:tcPr>
            <w:tcW w:w="3014" w:type="dxa"/>
          </w:tcPr>
          <w:p w:rsidR="00944D0A" w:rsidRPr="00944D0A" w:rsidRDefault="00944D0A" w:rsidP="001649DC">
            <w:pPr>
              <w:spacing w:before="60" w:after="60"/>
              <w:jc w:val="left"/>
              <w:rPr>
                <w:rFonts w:cs="Arial"/>
                <w:lang w:val="de-DE"/>
              </w:rPr>
            </w:pPr>
            <w:r w:rsidRPr="00944D0A">
              <w:rPr>
                <w:lang w:val="de-DE"/>
              </w:rPr>
              <w:t xml:space="preserve">Alexandria, Virginia, Vereinigte Staaten von Amerika </w:t>
            </w:r>
            <w:r w:rsidRPr="00944D0A">
              <w:rPr>
                <w:rFonts w:cs="Arial"/>
                <w:lang w:val="de-DE"/>
              </w:rPr>
              <w:t>(April)</w:t>
            </w:r>
          </w:p>
        </w:tc>
        <w:tc>
          <w:tcPr>
            <w:tcW w:w="2617" w:type="dxa"/>
          </w:tcPr>
          <w:p w:rsidR="00944D0A" w:rsidRPr="002539B4" w:rsidRDefault="00944D0A" w:rsidP="001649DC">
            <w:pPr>
              <w:spacing w:before="60" w:after="60"/>
              <w:jc w:val="left"/>
              <w:rPr>
                <w:rFonts w:cs="Arial"/>
              </w:rPr>
            </w:pPr>
            <w:r>
              <w:rPr>
                <w:rFonts w:cs="Arial"/>
              </w:rPr>
              <w:t>Button, Huerta, Rovere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Sitzung betreffend den WIPO-</w:t>
            </w:r>
            <w:r w:rsidRPr="00944D0A">
              <w:rPr>
                <w:snapToGrid w:val="0"/>
                <w:lang w:val="de-DE"/>
              </w:rPr>
              <w:t>Rahmen für die Gestaltung entwicklungsförderlicher nationaler Strategien für geistiges Eigentum</w:t>
            </w:r>
          </w:p>
        </w:tc>
        <w:tc>
          <w:tcPr>
            <w:tcW w:w="3014" w:type="dxa"/>
          </w:tcPr>
          <w:p w:rsidR="00944D0A" w:rsidRPr="002539B4" w:rsidRDefault="00944D0A" w:rsidP="001649DC">
            <w:pPr>
              <w:spacing w:before="60" w:after="60"/>
              <w:jc w:val="left"/>
              <w:rPr>
                <w:rFonts w:cs="Arial"/>
              </w:rPr>
            </w:pPr>
            <w:r w:rsidRPr="002539B4">
              <w:rPr>
                <w:rFonts w:cs="Arial"/>
              </w:rPr>
              <w:t>Genf, Schweiz (</w:t>
            </w:r>
            <w:r>
              <w:rPr>
                <w:rFonts w:cs="Arial"/>
              </w:rPr>
              <w:t>April</w:t>
            </w:r>
            <w:r w:rsidRPr="002539B4">
              <w:rPr>
                <w:rFonts w:cs="Arial"/>
              </w:rPr>
              <w:t>)</w:t>
            </w:r>
          </w:p>
        </w:tc>
        <w:tc>
          <w:tcPr>
            <w:tcW w:w="2617" w:type="dxa"/>
          </w:tcPr>
          <w:p w:rsidR="00944D0A" w:rsidRPr="002539B4" w:rsidRDefault="00944D0A" w:rsidP="001649DC">
            <w:pPr>
              <w:spacing w:before="60" w:after="60"/>
              <w:jc w:val="left"/>
              <w:rPr>
                <w:rFonts w:cs="Arial"/>
              </w:rPr>
            </w:pPr>
            <w:r>
              <w:rPr>
                <w:rFonts w:cs="Arial"/>
              </w:rPr>
              <w:t>Aihara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lang w:val="de-DE"/>
              </w:rPr>
            </w:pPr>
            <w:r w:rsidRPr="00944D0A">
              <w:rPr>
                <w:lang w:val="de-DE"/>
              </w:rPr>
              <w:t>Jahrestagung der Internationalen Gemeinschaft der Züchter vegetativ vermehrbarer Zier- und Obstpflanzen (CIOPORA)</w:t>
            </w:r>
          </w:p>
          <w:p w:rsidR="00944D0A" w:rsidRPr="00944D0A" w:rsidRDefault="00944D0A" w:rsidP="004D6731">
            <w:pPr>
              <w:spacing w:before="60" w:after="60"/>
              <w:jc w:val="left"/>
              <w:rPr>
                <w:rFonts w:cs="Arial"/>
                <w:lang w:val="de-DE"/>
              </w:rPr>
            </w:pPr>
            <w:r w:rsidRPr="00944D0A">
              <w:rPr>
                <w:lang w:val="de-DE"/>
              </w:rPr>
              <w:t>Internationale CIOPORA-Konferenz über geistiges Eigentum</w:t>
            </w:r>
          </w:p>
        </w:tc>
        <w:tc>
          <w:tcPr>
            <w:tcW w:w="3014" w:type="dxa"/>
          </w:tcPr>
          <w:p w:rsidR="00944D0A" w:rsidRPr="00944D0A" w:rsidRDefault="00944D0A" w:rsidP="001649DC">
            <w:pPr>
              <w:spacing w:before="60" w:after="60"/>
              <w:jc w:val="left"/>
              <w:rPr>
                <w:rFonts w:cs="Arial"/>
                <w:lang w:val="de-DE"/>
              </w:rPr>
            </w:pPr>
            <w:r w:rsidRPr="00944D0A">
              <w:rPr>
                <w:lang w:val="de-DE"/>
              </w:rPr>
              <w:t>Miami, Vereinigte Staaten von Amerika (April)</w:t>
            </w:r>
          </w:p>
        </w:tc>
        <w:tc>
          <w:tcPr>
            <w:tcW w:w="2617" w:type="dxa"/>
          </w:tcPr>
          <w:p w:rsidR="00944D0A" w:rsidRPr="002539B4" w:rsidRDefault="00944D0A" w:rsidP="001649DC">
            <w:pPr>
              <w:spacing w:before="60" w:after="60"/>
              <w:jc w:val="left"/>
              <w:rPr>
                <w:rFonts w:cs="Arial"/>
              </w:rPr>
            </w:pPr>
            <w:r>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Lehrgang über die Umsetzung von und Sensibilisierung für Sortenschutz</w:t>
            </w:r>
          </w:p>
        </w:tc>
        <w:tc>
          <w:tcPr>
            <w:tcW w:w="3014" w:type="dxa"/>
          </w:tcPr>
          <w:p w:rsidR="00944D0A" w:rsidRPr="002539B4" w:rsidRDefault="00944D0A" w:rsidP="001649DC">
            <w:pPr>
              <w:spacing w:before="60" w:after="60"/>
              <w:jc w:val="left"/>
              <w:rPr>
                <w:rFonts w:cs="Arial"/>
              </w:rPr>
            </w:pPr>
            <w:r w:rsidRPr="00710780">
              <w:t>Muscat, Oman</w:t>
            </w:r>
            <w:r>
              <w:t xml:space="preserve"> (Mai)</w:t>
            </w:r>
          </w:p>
        </w:tc>
        <w:tc>
          <w:tcPr>
            <w:tcW w:w="2617" w:type="dxa"/>
          </w:tcPr>
          <w:p w:rsidR="00944D0A" w:rsidRPr="002539B4" w:rsidRDefault="00944D0A" w:rsidP="001649DC">
            <w:pPr>
              <w:spacing w:before="60" w:after="60"/>
              <w:jc w:val="left"/>
              <w:rPr>
                <w:rFonts w:cs="Arial"/>
              </w:rPr>
            </w:pPr>
            <w:r>
              <w:rPr>
                <w:rFonts w:cs="Arial"/>
              </w:rPr>
              <w:t>Button, Huerta</w:t>
            </w:r>
          </w:p>
        </w:tc>
      </w:tr>
      <w:tr w:rsidR="00944D0A" w:rsidRPr="002539B4" w:rsidTr="001649DC">
        <w:trPr>
          <w:cantSplit/>
          <w:trHeight w:val="710"/>
          <w:jc w:val="center"/>
        </w:trPr>
        <w:tc>
          <w:tcPr>
            <w:tcW w:w="4216" w:type="dxa"/>
            <w:tcBorders>
              <w:right w:val="nil"/>
            </w:tcBorders>
          </w:tcPr>
          <w:p w:rsidR="00944D0A" w:rsidRPr="00944D0A" w:rsidRDefault="00944D0A" w:rsidP="004D6731">
            <w:pPr>
              <w:keepNext/>
              <w:spacing w:before="60" w:after="60"/>
              <w:jc w:val="left"/>
              <w:rPr>
                <w:rFonts w:cs="Arial"/>
                <w:lang w:val="de-DE"/>
              </w:rPr>
            </w:pPr>
            <w:r w:rsidRPr="00944D0A">
              <w:rPr>
                <w:lang w:val="de-DE"/>
              </w:rPr>
              <w:t xml:space="preserve">Ausbildungssitzung über den Sortenschutz </w:t>
            </w:r>
            <w:r w:rsidR="00B76E7B">
              <w:rPr>
                <w:lang w:val="de-DE"/>
              </w:rPr>
              <w:t>im Rahmen</w:t>
            </w:r>
            <w:r w:rsidRPr="00944D0A">
              <w:rPr>
                <w:lang w:val="de-DE"/>
              </w:rPr>
              <w:t xml:space="preserve"> des Ausbildungsprogramms „Genetische Ressourcen und </w:t>
            </w:r>
            <w:r w:rsidRPr="00944D0A">
              <w:rPr>
                <w:rFonts w:cs="Arial"/>
                <w:lang w:val="de-DE"/>
              </w:rPr>
              <w:t>Rechte des geistigen Eigentums</w:t>
            </w:r>
            <w:r w:rsidRPr="00944D0A">
              <w:rPr>
                <w:lang w:val="de-DE"/>
              </w:rPr>
              <w:t>“ (GRIP-</w:t>
            </w:r>
            <w:r w:rsidR="00AB1799">
              <w:rPr>
                <w:lang w:val="de-DE"/>
              </w:rPr>
              <w:t>Lehrgang)</w:t>
            </w:r>
          </w:p>
        </w:tc>
        <w:tc>
          <w:tcPr>
            <w:tcW w:w="3014" w:type="dxa"/>
          </w:tcPr>
          <w:p w:rsidR="00944D0A" w:rsidRPr="002539B4" w:rsidRDefault="00944D0A" w:rsidP="001649DC">
            <w:pPr>
              <w:keepNext/>
              <w:spacing w:before="60" w:after="60"/>
              <w:jc w:val="left"/>
              <w:rPr>
                <w:rFonts w:cs="Arial"/>
              </w:rPr>
            </w:pPr>
            <w:r w:rsidRPr="00710780">
              <w:t>Uppsala, Schweden</w:t>
            </w:r>
            <w:r>
              <w:t xml:space="preserve"> (Mai)</w:t>
            </w:r>
          </w:p>
        </w:tc>
        <w:tc>
          <w:tcPr>
            <w:tcW w:w="2617" w:type="dxa"/>
          </w:tcPr>
          <w:p w:rsidR="00944D0A" w:rsidRPr="002539B4" w:rsidRDefault="00944D0A" w:rsidP="001649DC">
            <w:pPr>
              <w:keepNext/>
              <w:spacing w:before="60" w:after="60"/>
              <w:jc w:val="left"/>
              <w:rPr>
                <w:rFonts w:cs="Arial"/>
              </w:rPr>
            </w:pPr>
            <w:r>
              <w:rPr>
                <w:rFonts w:cs="Arial"/>
              </w:rPr>
              <w:t>Aihara</w:t>
            </w:r>
          </w:p>
        </w:tc>
      </w:tr>
      <w:tr w:rsidR="00944D0A" w:rsidRPr="009066D5" w:rsidTr="001649DC">
        <w:trPr>
          <w:cantSplit/>
          <w:jc w:val="center"/>
        </w:trPr>
        <w:tc>
          <w:tcPr>
            <w:tcW w:w="4216" w:type="dxa"/>
            <w:tcBorders>
              <w:right w:val="nil"/>
            </w:tcBorders>
          </w:tcPr>
          <w:p w:rsidR="00944D0A" w:rsidRPr="002539B4" w:rsidRDefault="00944D0A" w:rsidP="004D6731">
            <w:pPr>
              <w:spacing w:before="60" w:after="60"/>
              <w:jc w:val="left"/>
              <w:rPr>
                <w:rFonts w:cs="Arial"/>
                <w:lang w:val="es-ES"/>
              </w:rPr>
            </w:pPr>
            <w:r w:rsidRPr="00710780">
              <w:rPr>
                <w:color w:val="000000"/>
              </w:rPr>
              <w:t xml:space="preserve">Sitzung über elektronische </w:t>
            </w:r>
            <w:r w:rsidR="003A5F5E">
              <w:rPr>
                <w:color w:val="000000"/>
              </w:rPr>
              <w:t>Antragsformblätter</w:t>
            </w:r>
          </w:p>
        </w:tc>
        <w:tc>
          <w:tcPr>
            <w:tcW w:w="3014" w:type="dxa"/>
          </w:tcPr>
          <w:p w:rsidR="00944D0A" w:rsidRPr="002539B4" w:rsidRDefault="00944D0A" w:rsidP="001649DC">
            <w:pPr>
              <w:spacing w:before="60" w:after="60"/>
              <w:jc w:val="left"/>
              <w:rPr>
                <w:rFonts w:cs="Arial"/>
              </w:rPr>
            </w:pPr>
            <w:r w:rsidRPr="002539B4">
              <w:rPr>
                <w:rFonts w:cs="Arial"/>
              </w:rPr>
              <w:t xml:space="preserve">Genf, Schweiz </w:t>
            </w:r>
            <w:r>
              <w:t>(Mai)</w:t>
            </w:r>
          </w:p>
        </w:tc>
        <w:tc>
          <w:tcPr>
            <w:tcW w:w="2617" w:type="dxa"/>
          </w:tcPr>
          <w:p w:rsidR="00944D0A" w:rsidRPr="004126C6" w:rsidRDefault="00944D0A" w:rsidP="001649DC">
            <w:pPr>
              <w:spacing w:before="60" w:after="60"/>
              <w:jc w:val="left"/>
              <w:rPr>
                <w:rFonts w:cs="Arial"/>
              </w:rPr>
            </w:pPr>
            <w:r w:rsidRPr="004126C6">
              <w:rPr>
                <w:rFonts w:cs="Arial"/>
              </w:rPr>
              <w:t>Button, Huerta, Aihara, Borys, R</w:t>
            </w:r>
            <w:r>
              <w:rPr>
                <w:rFonts w:cs="Arial"/>
              </w:rPr>
              <w:t>ivoire, Oertel</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 xml:space="preserve">Arbeitstagung der WIPO „Geistiges Eigentum, Innovation und </w:t>
            </w:r>
            <w:r w:rsidR="007C2539">
              <w:rPr>
                <w:lang w:val="de-DE"/>
              </w:rPr>
              <w:t xml:space="preserve">Ernährungssicherheit: Arbeitstagung </w:t>
            </w:r>
            <w:r w:rsidRPr="00944D0A">
              <w:rPr>
                <w:lang w:val="de-DE"/>
              </w:rPr>
              <w:t>für nachhaltige Weizenproduktion in Ostafrika - eine Fallstudie über die Rolle des geistigen Eigentums“</w:t>
            </w:r>
          </w:p>
        </w:tc>
        <w:tc>
          <w:tcPr>
            <w:tcW w:w="3014" w:type="dxa"/>
          </w:tcPr>
          <w:p w:rsidR="00944D0A" w:rsidRPr="002539B4" w:rsidRDefault="00944D0A" w:rsidP="001649DC">
            <w:pPr>
              <w:spacing w:before="60" w:after="60"/>
              <w:jc w:val="left"/>
              <w:rPr>
                <w:rFonts w:cs="Arial"/>
              </w:rPr>
            </w:pPr>
            <w:r w:rsidRPr="002539B4">
              <w:rPr>
                <w:rFonts w:cs="Arial"/>
              </w:rPr>
              <w:t xml:space="preserve">Genf, Schweiz </w:t>
            </w:r>
            <w:r>
              <w:t>(Mai)</w:t>
            </w:r>
          </w:p>
        </w:tc>
        <w:tc>
          <w:tcPr>
            <w:tcW w:w="2617" w:type="dxa"/>
          </w:tcPr>
          <w:p w:rsidR="00944D0A" w:rsidRPr="002539B4" w:rsidRDefault="00944D0A" w:rsidP="001649DC">
            <w:pPr>
              <w:spacing w:before="60" w:after="60"/>
              <w:jc w:val="left"/>
              <w:rPr>
                <w:rFonts w:cs="Arial"/>
              </w:rPr>
            </w:pPr>
            <w:r>
              <w:rPr>
                <w:rFonts w:cs="Arial"/>
              </w:rPr>
              <w:t>Button, Aihara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Jährliches Dinner der britischen Gesellschaft der Pflanzenzüchter (BSPB)</w:t>
            </w:r>
          </w:p>
        </w:tc>
        <w:tc>
          <w:tcPr>
            <w:tcW w:w="3014" w:type="dxa"/>
          </w:tcPr>
          <w:p w:rsidR="00944D0A" w:rsidRPr="002539B4" w:rsidRDefault="00944D0A" w:rsidP="001649DC">
            <w:pPr>
              <w:spacing w:before="60" w:after="60"/>
              <w:jc w:val="left"/>
              <w:rPr>
                <w:rFonts w:cs="Arial"/>
              </w:rPr>
            </w:pPr>
            <w:r w:rsidRPr="00710780">
              <w:t>London, Vereinigtes Königreich</w:t>
            </w:r>
            <w:r>
              <w:t xml:space="preserve"> (Mai)</w:t>
            </w:r>
          </w:p>
        </w:tc>
        <w:tc>
          <w:tcPr>
            <w:tcW w:w="2617" w:type="dxa"/>
          </w:tcPr>
          <w:p w:rsidR="00944D0A" w:rsidRPr="002539B4" w:rsidRDefault="00944D0A" w:rsidP="001649DC">
            <w:pPr>
              <w:spacing w:before="60" w:after="60"/>
              <w:jc w:val="left"/>
              <w:rPr>
                <w:rFonts w:cs="Arial"/>
              </w:rPr>
            </w:pPr>
            <w:r>
              <w:rPr>
                <w:rFonts w:cs="Arial"/>
              </w:rPr>
              <w:t>Button</w:t>
            </w:r>
          </w:p>
        </w:tc>
      </w:tr>
      <w:tr w:rsidR="00944D0A" w:rsidRPr="002539B4" w:rsidTr="001649DC">
        <w:trPr>
          <w:cantSplit/>
          <w:jc w:val="center"/>
        </w:trPr>
        <w:tc>
          <w:tcPr>
            <w:tcW w:w="4216" w:type="dxa"/>
            <w:tcBorders>
              <w:right w:val="nil"/>
            </w:tcBorders>
          </w:tcPr>
          <w:p w:rsidR="00944D0A" w:rsidRPr="00AB1799" w:rsidRDefault="00AB1799" w:rsidP="004D6731">
            <w:pPr>
              <w:spacing w:before="60" w:after="60"/>
              <w:jc w:val="left"/>
              <w:rPr>
                <w:rFonts w:cs="Arial"/>
                <w:lang w:val="de-DE"/>
              </w:rPr>
            </w:pPr>
            <w:r w:rsidRPr="00944D0A">
              <w:rPr>
                <w:rFonts w:cs="Arial"/>
                <w:lang w:val="de-DE"/>
              </w:rPr>
              <w:t>Vorbereitende Arbeitstagung der TW</w:t>
            </w:r>
            <w:r>
              <w:rPr>
                <w:rFonts w:cs="Arial"/>
                <w:lang w:val="de-DE"/>
              </w:rPr>
              <w:t>A</w:t>
            </w:r>
            <w:r w:rsidRPr="00944D0A">
              <w:rPr>
                <w:rFonts w:cs="Arial"/>
                <w:lang w:val="de-DE"/>
              </w:rPr>
              <w:t xml:space="preserve"> und </w:t>
            </w:r>
            <w:r>
              <w:rPr>
                <w:rFonts w:cs="Arial"/>
                <w:lang w:val="de-DE"/>
              </w:rPr>
              <w:t>ein</w:t>
            </w:r>
            <w:r w:rsidRPr="00944D0A">
              <w:rPr>
                <w:rFonts w:cs="Arial"/>
                <w:lang w:val="de-DE"/>
              </w:rPr>
              <w:t>undvierzigste Tagung der TW</w:t>
            </w:r>
            <w:r>
              <w:rPr>
                <w:rFonts w:cs="Arial"/>
                <w:lang w:val="de-DE"/>
              </w:rPr>
              <w:t>A</w:t>
            </w:r>
          </w:p>
        </w:tc>
        <w:tc>
          <w:tcPr>
            <w:tcW w:w="3014" w:type="dxa"/>
          </w:tcPr>
          <w:p w:rsidR="00944D0A" w:rsidRPr="002539B4" w:rsidRDefault="00AB1799" w:rsidP="001649DC">
            <w:pPr>
              <w:spacing w:before="60" w:after="60"/>
              <w:jc w:val="left"/>
              <w:rPr>
                <w:rFonts w:cs="Arial"/>
              </w:rPr>
            </w:pPr>
            <w:r>
              <w:rPr>
                <w:rFonts w:cs="Arial"/>
              </w:rPr>
              <w:t xml:space="preserve">Angers, Frankreich </w:t>
            </w:r>
            <w:r w:rsidR="00944D0A" w:rsidRPr="002539B4">
              <w:rPr>
                <w:rFonts w:cs="Arial"/>
              </w:rPr>
              <w:t>(Juni)</w:t>
            </w:r>
          </w:p>
        </w:tc>
        <w:tc>
          <w:tcPr>
            <w:tcW w:w="2617" w:type="dxa"/>
          </w:tcPr>
          <w:p w:rsidR="00944D0A" w:rsidRPr="002539B4" w:rsidRDefault="00944D0A" w:rsidP="001649DC">
            <w:pPr>
              <w:spacing w:before="60" w:after="60"/>
              <w:jc w:val="left"/>
              <w:rPr>
                <w:rFonts w:cs="Arial"/>
              </w:rPr>
            </w:pPr>
            <w:r>
              <w:rPr>
                <w:rFonts w:cs="Arial"/>
              </w:rPr>
              <w:t>Button, Borys, Taveira, Oertel</w:t>
            </w:r>
          </w:p>
        </w:tc>
      </w:tr>
      <w:tr w:rsidR="00944D0A" w:rsidRPr="002539B4" w:rsidTr="001649DC">
        <w:trPr>
          <w:cantSplit/>
          <w:jc w:val="center"/>
        </w:trPr>
        <w:tc>
          <w:tcPr>
            <w:tcW w:w="4216" w:type="dxa"/>
            <w:tcBorders>
              <w:right w:val="nil"/>
            </w:tcBorders>
          </w:tcPr>
          <w:p w:rsidR="00944D0A" w:rsidRPr="00944D0A" w:rsidRDefault="00AB1799" w:rsidP="004D6731">
            <w:pPr>
              <w:spacing w:before="60" w:after="60"/>
              <w:jc w:val="left"/>
              <w:rPr>
                <w:snapToGrid w:val="0"/>
                <w:color w:val="000000"/>
                <w:lang w:val="de-DE"/>
              </w:rPr>
            </w:pPr>
            <w:r>
              <w:rPr>
                <w:snapToGrid w:val="0"/>
                <w:color w:val="000000"/>
                <w:lang w:val="de-DE"/>
              </w:rPr>
              <w:t xml:space="preserve">Sitzung im Rahmen des </w:t>
            </w:r>
            <w:r w:rsidR="00944D0A" w:rsidRPr="00944D0A">
              <w:rPr>
                <w:snapToGrid w:val="0"/>
                <w:color w:val="000000"/>
                <w:lang w:val="de-DE"/>
              </w:rPr>
              <w:t>Fünften Ostasienforum</w:t>
            </w:r>
            <w:r>
              <w:rPr>
                <w:snapToGrid w:val="0"/>
                <w:color w:val="000000"/>
                <w:lang w:val="de-DE"/>
              </w:rPr>
              <w:t>s</w:t>
            </w:r>
            <w:r w:rsidR="00944D0A" w:rsidRPr="00944D0A">
              <w:rPr>
                <w:snapToGrid w:val="0"/>
                <w:color w:val="000000"/>
                <w:lang w:val="de-DE"/>
              </w:rPr>
              <w:t xml:space="preserve"> über Sortenschutz (EAPVP</w:t>
            </w:r>
            <w:r w:rsidR="00C416F8">
              <w:rPr>
                <w:snapToGrid w:val="0"/>
                <w:color w:val="000000"/>
                <w:lang w:val="de-DE"/>
              </w:rPr>
              <w:t>-</w:t>
            </w:r>
            <w:r w:rsidR="00944D0A" w:rsidRPr="00944D0A">
              <w:rPr>
                <w:snapToGrid w:val="0"/>
                <w:color w:val="000000"/>
                <w:lang w:val="de-DE"/>
              </w:rPr>
              <w:t>Forum)</w:t>
            </w:r>
          </w:p>
          <w:p w:rsidR="00944D0A" w:rsidRPr="00944D0A" w:rsidRDefault="00944D0A" w:rsidP="004D6731">
            <w:pPr>
              <w:spacing w:before="60" w:after="60"/>
              <w:jc w:val="left"/>
              <w:rPr>
                <w:rFonts w:cs="Arial"/>
                <w:lang w:val="de-DE"/>
              </w:rPr>
            </w:pPr>
            <w:r w:rsidRPr="00944D0A">
              <w:rPr>
                <w:color w:val="000000"/>
                <w:lang w:val="de-DE"/>
              </w:rPr>
              <w:t>Internationales Seminar über die Auswirkungen des Sortenschutzes</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sidRPr="002539B4">
              <w:rPr>
                <w:rFonts w:cs="Arial"/>
              </w:rPr>
              <w:t>(Juni)</w:t>
            </w:r>
            <w:r>
              <w:rPr>
                <w:rFonts w:cs="Arial"/>
              </w:rPr>
              <w:t xml:space="preserve"> </w:t>
            </w:r>
            <w:r w:rsidRPr="00710780">
              <w:rPr>
                <w:snapToGrid w:val="0"/>
                <w:color w:val="000000"/>
              </w:rPr>
              <w:t>Bangkok</w:t>
            </w:r>
            <w:r w:rsidRPr="00710780">
              <w:rPr>
                <w:color w:val="000000"/>
              </w:rPr>
              <w:t>, Thailand</w:t>
            </w:r>
          </w:p>
        </w:tc>
        <w:tc>
          <w:tcPr>
            <w:tcW w:w="2617" w:type="dxa"/>
          </w:tcPr>
          <w:p w:rsidR="00944D0A" w:rsidRPr="002539B4" w:rsidRDefault="00944D0A" w:rsidP="001649DC">
            <w:pPr>
              <w:spacing w:before="60" w:after="60"/>
              <w:jc w:val="left"/>
              <w:rPr>
                <w:rFonts w:cs="Arial"/>
              </w:rPr>
            </w:pPr>
            <w:r>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WIPO-Lehrgang zur Einführung in das internationale Recht des geistigen Eigentums</w:t>
            </w:r>
          </w:p>
        </w:tc>
        <w:tc>
          <w:tcPr>
            <w:tcW w:w="3014" w:type="dxa"/>
          </w:tcPr>
          <w:p w:rsidR="00944D0A" w:rsidRPr="002539B4" w:rsidRDefault="00944D0A" w:rsidP="001649DC">
            <w:pPr>
              <w:spacing w:before="60" w:after="60"/>
              <w:jc w:val="left"/>
              <w:rPr>
                <w:rFonts w:cs="Arial"/>
              </w:rPr>
            </w:pPr>
            <w:r>
              <w:rPr>
                <w:rFonts w:cs="Arial"/>
              </w:rPr>
              <w:t>Genf, Schweiz</w:t>
            </w:r>
            <w:r w:rsidRPr="002539B4">
              <w:rPr>
                <w:rFonts w:cs="Arial"/>
              </w:rPr>
              <w:t xml:space="preserve"> (Juni)</w:t>
            </w:r>
          </w:p>
        </w:tc>
        <w:tc>
          <w:tcPr>
            <w:tcW w:w="2617" w:type="dxa"/>
          </w:tcPr>
          <w:p w:rsidR="00944D0A" w:rsidRPr="002539B4" w:rsidRDefault="00944D0A" w:rsidP="001649DC">
            <w:pPr>
              <w:spacing w:before="60" w:after="60"/>
              <w:jc w:val="left"/>
              <w:rPr>
                <w:rFonts w:cs="Arial"/>
              </w:rPr>
            </w:pPr>
            <w:r>
              <w:rPr>
                <w:rFonts w:cs="Arial"/>
              </w:rPr>
              <w:t>Aihara</w:t>
            </w:r>
          </w:p>
        </w:tc>
      </w:tr>
      <w:tr w:rsidR="00944D0A" w:rsidRPr="00FC6079" w:rsidTr="001649DC">
        <w:trPr>
          <w:cantSplit/>
          <w:jc w:val="center"/>
        </w:trPr>
        <w:tc>
          <w:tcPr>
            <w:tcW w:w="4216" w:type="dxa"/>
            <w:tcBorders>
              <w:right w:val="nil"/>
            </w:tcBorders>
          </w:tcPr>
          <w:p w:rsidR="00944D0A" w:rsidRPr="00944D0A" w:rsidRDefault="00944D0A" w:rsidP="004D6731">
            <w:pPr>
              <w:spacing w:before="60" w:after="60"/>
              <w:jc w:val="left"/>
              <w:rPr>
                <w:lang w:val="de-DE"/>
              </w:rPr>
            </w:pPr>
            <w:r w:rsidRPr="00944D0A">
              <w:rPr>
                <w:lang w:val="de-DE"/>
              </w:rPr>
              <w:t>Tagung des Rates für TRIPS</w:t>
            </w:r>
          </w:p>
          <w:p w:rsidR="00944D0A" w:rsidRPr="00944D0A" w:rsidRDefault="00944D0A" w:rsidP="004D6731">
            <w:pPr>
              <w:spacing w:before="60" w:after="60"/>
              <w:jc w:val="left"/>
              <w:rPr>
                <w:rFonts w:cs="Arial"/>
                <w:lang w:val="de-DE"/>
              </w:rPr>
            </w:pPr>
            <w:r w:rsidRPr="00944D0A">
              <w:rPr>
                <w:lang w:val="de-DE"/>
              </w:rPr>
              <w:t>(Hauptsitz der WTO)</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Pr>
                <w:rFonts w:cs="Arial"/>
              </w:rPr>
              <w:t xml:space="preserve">Genf, Schweiz </w:t>
            </w:r>
            <w:r w:rsidRPr="002539B4">
              <w:rPr>
                <w:rFonts w:cs="Arial"/>
              </w:rPr>
              <w:t>(Juni)</w:t>
            </w:r>
          </w:p>
        </w:tc>
        <w:tc>
          <w:tcPr>
            <w:tcW w:w="2617" w:type="dxa"/>
          </w:tcPr>
          <w:p w:rsidR="00944D0A" w:rsidRPr="002539B4" w:rsidRDefault="00944D0A" w:rsidP="001649DC">
            <w:pPr>
              <w:spacing w:before="60" w:after="60"/>
              <w:jc w:val="left"/>
              <w:rPr>
                <w:rFonts w:cs="Arial"/>
                <w:lang w:val="es-ES"/>
              </w:rPr>
            </w:pPr>
            <w:r>
              <w:rPr>
                <w:rFonts w:cs="Arial"/>
              </w:rPr>
              <w:t>Huerta</w:t>
            </w:r>
          </w:p>
        </w:tc>
      </w:tr>
      <w:tr w:rsidR="00944D0A" w:rsidRPr="002539B4" w:rsidTr="001649DC">
        <w:trPr>
          <w:cantSplit/>
          <w:jc w:val="center"/>
        </w:trPr>
        <w:tc>
          <w:tcPr>
            <w:tcW w:w="4216" w:type="dxa"/>
            <w:tcBorders>
              <w:right w:val="nil"/>
            </w:tcBorders>
          </w:tcPr>
          <w:p w:rsidR="00944D0A" w:rsidRPr="00AB1799" w:rsidRDefault="00AB1799" w:rsidP="004D6731">
            <w:pPr>
              <w:spacing w:before="60" w:after="60"/>
              <w:jc w:val="left"/>
              <w:rPr>
                <w:rFonts w:cs="Arial"/>
                <w:lang w:val="de-DE"/>
              </w:rPr>
            </w:pPr>
            <w:r w:rsidRPr="00944D0A">
              <w:rPr>
                <w:rFonts w:cs="Arial"/>
                <w:lang w:val="de-DE"/>
              </w:rPr>
              <w:t>Vorbereitende Arbeitstagung der TW</w:t>
            </w:r>
            <w:r>
              <w:rPr>
                <w:rFonts w:cs="Arial"/>
                <w:lang w:val="de-DE"/>
              </w:rPr>
              <w:t>V</w:t>
            </w:r>
            <w:r w:rsidRPr="00944D0A">
              <w:rPr>
                <w:rFonts w:cs="Arial"/>
                <w:lang w:val="de-DE"/>
              </w:rPr>
              <w:t xml:space="preserve"> und </w:t>
            </w:r>
            <w:r>
              <w:rPr>
                <w:rFonts w:cs="Arial"/>
                <w:lang w:val="de-DE"/>
              </w:rPr>
              <w:t>sechs</w:t>
            </w:r>
            <w:r w:rsidRPr="00944D0A">
              <w:rPr>
                <w:rFonts w:cs="Arial"/>
                <w:lang w:val="de-DE"/>
              </w:rPr>
              <w:t>undvierzigste Tagung der TW</w:t>
            </w:r>
            <w:r>
              <w:rPr>
                <w:rFonts w:cs="Arial"/>
                <w:lang w:val="de-DE"/>
              </w:rPr>
              <w:t>V</w:t>
            </w:r>
          </w:p>
        </w:tc>
        <w:tc>
          <w:tcPr>
            <w:tcW w:w="3014" w:type="dxa"/>
          </w:tcPr>
          <w:p w:rsidR="00944D0A" w:rsidRPr="00C416F8" w:rsidRDefault="00C416F8" w:rsidP="001649DC">
            <w:pPr>
              <w:spacing w:before="60" w:after="60"/>
              <w:jc w:val="left"/>
              <w:rPr>
                <w:rFonts w:cs="Arial"/>
                <w:lang w:val="de-DE"/>
              </w:rPr>
            </w:pPr>
            <w:r>
              <w:rPr>
                <w:rFonts w:cs="Arial"/>
                <w:lang w:val="de-DE"/>
              </w:rPr>
              <w:t>In der Nähe von</w:t>
            </w:r>
            <w:r w:rsidR="00AB1799">
              <w:rPr>
                <w:rFonts w:cs="Arial"/>
                <w:lang w:val="de-DE"/>
              </w:rPr>
              <w:t xml:space="preserve"> Venlo, Niederlande</w:t>
            </w:r>
            <w:r w:rsidR="00944D0A" w:rsidRPr="00AB1799">
              <w:rPr>
                <w:rFonts w:cs="Arial"/>
                <w:lang w:val="de-DE"/>
              </w:rPr>
              <w:t xml:space="preserve"> </w:t>
            </w:r>
            <w:r w:rsidR="00944D0A" w:rsidRPr="00C416F8">
              <w:rPr>
                <w:rFonts w:cs="Arial"/>
                <w:lang w:val="de-DE"/>
              </w:rPr>
              <w:t>(Juni)</w:t>
            </w:r>
          </w:p>
        </w:tc>
        <w:tc>
          <w:tcPr>
            <w:tcW w:w="2617" w:type="dxa"/>
          </w:tcPr>
          <w:p w:rsidR="00944D0A" w:rsidRPr="002539B4" w:rsidRDefault="00AB1799" w:rsidP="001649DC">
            <w:pPr>
              <w:spacing w:before="60" w:after="60"/>
              <w:jc w:val="left"/>
              <w:rPr>
                <w:rFonts w:cs="Arial"/>
              </w:rPr>
            </w:pPr>
            <w:r>
              <w:rPr>
                <w:rFonts w:cs="Arial"/>
              </w:rPr>
              <w:t>Borys, Rivoire, Oertel</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lang w:val="de-DE"/>
              </w:rPr>
            </w:pPr>
            <w:r w:rsidRPr="00944D0A">
              <w:rPr>
                <w:lang w:val="de-DE"/>
              </w:rPr>
              <w:t>Sachverständigentagung zur Überprüfung des Entwurfs eines ARIPO-Rechtsrahmens für den Schutz von Pflanzenzüchtungen</w:t>
            </w:r>
          </w:p>
          <w:p w:rsidR="00944D0A" w:rsidRPr="002539B4" w:rsidRDefault="00944D0A" w:rsidP="004D6731">
            <w:pPr>
              <w:spacing w:before="60" w:after="60"/>
              <w:jc w:val="left"/>
              <w:rPr>
                <w:rFonts w:cs="Arial"/>
              </w:rPr>
            </w:pPr>
            <w:r w:rsidRPr="002539B4">
              <w:rPr>
                <w:rFonts w:cs="Arial"/>
              </w:rPr>
              <w:t>Rechtsberatungssitzung</w:t>
            </w:r>
            <w:r>
              <w:rPr>
                <w:rFonts w:cs="Arial"/>
              </w:rPr>
              <w:t>en</w:t>
            </w:r>
          </w:p>
        </w:tc>
        <w:tc>
          <w:tcPr>
            <w:tcW w:w="3014" w:type="dxa"/>
          </w:tcPr>
          <w:p w:rsidR="00944D0A" w:rsidRPr="002539B4" w:rsidRDefault="00944D0A" w:rsidP="001649DC">
            <w:pPr>
              <w:spacing w:before="60" w:after="60"/>
              <w:jc w:val="left"/>
              <w:rPr>
                <w:rFonts w:cs="Arial"/>
              </w:rPr>
            </w:pPr>
            <w:r w:rsidRPr="00710780">
              <w:t>Harare, Simbabwe</w:t>
            </w:r>
            <w:r w:rsidRPr="002539B4">
              <w:rPr>
                <w:rFonts w:cs="Arial"/>
              </w:rPr>
              <w:t xml:space="preserve"> (Juni)</w:t>
            </w:r>
          </w:p>
        </w:tc>
        <w:tc>
          <w:tcPr>
            <w:tcW w:w="2617" w:type="dxa"/>
          </w:tcPr>
          <w:p w:rsidR="00944D0A" w:rsidRPr="002539B4" w:rsidRDefault="00AB1799" w:rsidP="001649DC">
            <w:pPr>
              <w:spacing w:before="60" w:after="60"/>
              <w:jc w:val="left"/>
              <w:rPr>
                <w:rFonts w:cs="Arial"/>
              </w:rPr>
            </w:pPr>
            <w:r w:rsidRPr="004126C6">
              <w:rPr>
                <w:rFonts w:cs="Arial"/>
              </w:rPr>
              <w:t>Huerta</w:t>
            </w:r>
          </w:p>
        </w:tc>
      </w:tr>
      <w:tr w:rsidR="00944D0A" w:rsidRPr="002539B4" w:rsidTr="001649DC">
        <w:trPr>
          <w:cantSplit/>
          <w:jc w:val="center"/>
        </w:trPr>
        <w:tc>
          <w:tcPr>
            <w:tcW w:w="4216" w:type="dxa"/>
            <w:tcBorders>
              <w:right w:val="nil"/>
            </w:tcBorders>
          </w:tcPr>
          <w:p w:rsidR="00944D0A" w:rsidRPr="00AB1799" w:rsidRDefault="00AB1799" w:rsidP="004D6731">
            <w:pPr>
              <w:spacing w:before="60" w:after="60"/>
              <w:jc w:val="left"/>
              <w:rPr>
                <w:rFonts w:cs="Arial"/>
                <w:lang w:val="de-DE"/>
              </w:rPr>
            </w:pPr>
            <w:r w:rsidRPr="00944D0A">
              <w:rPr>
                <w:rFonts w:cs="Arial"/>
                <w:lang w:val="de-DE"/>
              </w:rPr>
              <w:t>Vorbereitende Arbeitstagung der TW</w:t>
            </w:r>
            <w:r>
              <w:rPr>
                <w:rFonts w:cs="Arial"/>
                <w:lang w:val="de-DE"/>
              </w:rPr>
              <w:t>C</w:t>
            </w:r>
            <w:r w:rsidRPr="00944D0A">
              <w:rPr>
                <w:rFonts w:cs="Arial"/>
                <w:lang w:val="de-DE"/>
              </w:rPr>
              <w:t xml:space="preserve"> und </w:t>
            </w:r>
            <w:r>
              <w:rPr>
                <w:rFonts w:cs="Arial"/>
                <w:lang w:val="de-DE"/>
              </w:rPr>
              <w:t xml:space="preserve">dreißigste </w:t>
            </w:r>
            <w:r w:rsidRPr="00944D0A">
              <w:rPr>
                <w:rFonts w:cs="Arial"/>
                <w:lang w:val="de-DE"/>
              </w:rPr>
              <w:t>Tagung der TW</w:t>
            </w:r>
            <w:r>
              <w:rPr>
                <w:rFonts w:cs="Arial"/>
                <w:lang w:val="de-DE"/>
              </w:rPr>
              <w:t>C</w:t>
            </w:r>
          </w:p>
        </w:tc>
        <w:tc>
          <w:tcPr>
            <w:tcW w:w="3014" w:type="dxa"/>
          </w:tcPr>
          <w:p w:rsidR="00944D0A" w:rsidRPr="002539B4" w:rsidRDefault="00AB1799" w:rsidP="001649DC">
            <w:pPr>
              <w:spacing w:before="60" w:after="60"/>
              <w:jc w:val="left"/>
              <w:rPr>
                <w:rFonts w:cs="Arial"/>
              </w:rPr>
            </w:pPr>
            <w:r>
              <w:rPr>
                <w:rFonts w:cs="Arial"/>
                <w:lang w:val="de-DE"/>
              </w:rPr>
              <w:t>Chisinau, Republik Moldau</w:t>
            </w:r>
            <w:r w:rsidR="00944D0A" w:rsidRPr="00AB1799">
              <w:rPr>
                <w:rFonts w:cs="Arial"/>
                <w:lang w:val="de-DE"/>
              </w:rPr>
              <w:t xml:space="preserve"> </w:t>
            </w:r>
            <w:r w:rsidR="00944D0A" w:rsidRPr="002539B4">
              <w:rPr>
                <w:rFonts w:cs="Arial"/>
              </w:rPr>
              <w:t>(Juni)</w:t>
            </w:r>
          </w:p>
        </w:tc>
        <w:tc>
          <w:tcPr>
            <w:tcW w:w="2617" w:type="dxa"/>
          </w:tcPr>
          <w:p w:rsidR="00944D0A" w:rsidRPr="002539B4" w:rsidRDefault="00AB1799" w:rsidP="001649DC">
            <w:pPr>
              <w:spacing w:before="60" w:after="60"/>
              <w:jc w:val="left"/>
              <w:rPr>
                <w:rFonts w:cs="Arial"/>
              </w:rPr>
            </w:pPr>
            <w:r>
              <w:rPr>
                <w:rFonts w:cs="Arial"/>
              </w:rPr>
              <w:t>Borys, Aihara, Taveira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 xml:space="preserve">Fünfzehnter </w:t>
            </w:r>
            <w:r w:rsidRPr="00944D0A">
              <w:rPr>
                <w:lang w:val="de-DE"/>
              </w:rPr>
              <w:t>Internationaler Lehrgang über Sortenschutz (Naktuinbouw)</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sidRPr="00710780">
              <w:t>Wageningen, Niederlande</w:t>
            </w:r>
            <w:r w:rsidRPr="002539B4">
              <w:rPr>
                <w:rFonts w:cs="Arial"/>
              </w:rPr>
              <w:t xml:space="preserve"> (Juni)</w:t>
            </w:r>
          </w:p>
        </w:tc>
        <w:tc>
          <w:tcPr>
            <w:tcW w:w="2617" w:type="dxa"/>
          </w:tcPr>
          <w:p w:rsidR="00944D0A" w:rsidRPr="002539B4" w:rsidRDefault="00944D0A" w:rsidP="001649DC">
            <w:pPr>
              <w:spacing w:before="60" w:after="60"/>
              <w:jc w:val="left"/>
              <w:rPr>
                <w:rFonts w:cs="Arial"/>
              </w:rPr>
            </w:pPr>
            <w:r>
              <w:rPr>
                <w:rFonts w:cs="Arial"/>
              </w:rPr>
              <w:t>Huerta, Rivoire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WIPO-WTO-Kolloquium für Dozenten im Bereich des geistigen Eigentums</w:t>
            </w:r>
          </w:p>
        </w:tc>
        <w:tc>
          <w:tcPr>
            <w:tcW w:w="3014" w:type="dxa"/>
          </w:tcPr>
          <w:p w:rsidR="00944D0A" w:rsidRPr="002539B4" w:rsidRDefault="00944D0A" w:rsidP="001649DC">
            <w:pPr>
              <w:spacing w:before="60" w:after="60"/>
              <w:jc w:val="left"/>
              <w:rPr>
                <w:rFonts w:cs="Arial"/>
              </w:rPr>
            </w:pPr>
            <w:r>
              <w:rPr>
                <w:rFonts w:cs="Arial"/>
              </w:rPr>
              <w:t>Genf, Schweiz</w:t>
            </w:r>
            <w:r w:rsidRPr="002539B4">
              <w:rPr>
                <w:rFonts w:cs="Arial"/>
              </w:rPr>
              <w:t xml:space="preserve"> (Juni)</w:t>
            </w:r>
          </w:p>
        </w:tc>
        <w:tc>
          <w:tcPr>
            <w:tcW w:w="2617" w:type="dxa"/>
          </w:tcPr>
          <w:p w:rsidR="00944D0A" w:rsidRPr="002539B4" w:rsidRDefault="00944D0A" w:rsidP="001649DC">
            <w:pPr>
              <w:spacing w:before="60" w:after="60"/>
              <w:jc w:val="left"/>
              <w:rPr>
                <w:rFonts w:cs="Arial"/>
              </w:rPr>
            </w:pPr>
            <w:r>
              <w:rPr>
                <w:rFonts w:cs="Arial"/>
              </w:rPr>
              <w:t>Button, Huerta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Interregionales Zwischenseminar der WIPO über gewerbliches Eigentum</w:t>
            </w:r>
          </w:p>
        </w:tc>
        <w:tc>
          <w:tcPr>
            <w:tcW w:w="3014" w:type="dxa"/>
          </w:tcPr>
          <w:p w:rsidR="00944D0A" w:rsidRPr="002539B4" w:rsidRDefault="00944D0A" w:rsidP="001649DC">
            <w:pPr>
              <w:spacing w:before="60" w:after="60"/>
              <w:jc w:val="left"/>
              <w:rPr>
                <w:rFonts w:cs="Arial"/>
              </w:rPr>
            </w:pPr>
            <w:r>
              <w:rPr>
                <w:rFonts w:cs="Arial"/>
              </w:rPr>
              <w:t xml:space="preserve">Genf, Schweiz </w:t>
            </w:r>
            <w:r w:rsidRPr="002539B4">
              <w:rPr>
                <w:rFonts w:cs="Arial"/>
              </w:rPr>
              <w:t>(Juni)</w:t>
            </w:r>
          </w:p>
        </w:tc>
        <w:tc>
          <w:tcPr>
            <w:tcW w:w="2617" w:type="dxa"/>
          </w:tcPr>
          <w:p w:rsidR="00944D0A" w:rsidRPr="002539B4" w:rsidRDefault="00944D0A" w:rsidP="001649DC">
            <w:pPr>
              <w:spacing w:before="60" w:after="60"/>
              <w:jc w:val="left"/>
              <w:rPr>
                <w:rFonts w:cs="Arial"/>
              </w:rPr>
            </w:pPr>
            <w:r>
              <w:rPr>
                <w:rFonts w:cs="Arial"/>
              </w:rPr>
              <w:t>Button, Taveira</w:t>
            </w:r>
          </w:p>
        </w:tc>
      </w:tr>
      <w:tr w:rsidR="00944D0A" w:rsidRPr="002539B4" w:rsidTr="001649DC">
        <w:trPr>
          <w:cantSplit/>
          <w:jc w:val="center"/>
        </w:trPr>
        <w:tc>
          <w:tcPr>
            <w:tcW w:w="4216" w:type="dxa"/>
            <w:tcBorders>
              <w:right w:val="nil"/>
            </w:tcBorders>
          </w:tcPr>
          <w:p w:rsidR="00944D0A" w:rsidRPr="007C2539" w:rsidRDefault="00AB1799" w:rsidP="004D6731">
            <w:pPr>
              <w:spacing w:before="60" w:after="60"/>
              <w:jc w:val="left"/>
              <w:rPr>
                <w:rFonts w:cs="Arial"/>
                <w:lang w:val="de-DE"/>
              </w:rPr>
            </w:pPr>
            <w:r w:rsidRPr="007C2539">
              <w:rPr>
                <w:snapToGrid w:val="0"/>
                <w:lang w:val="de-DE"/>
              </w:rPr>
              <w:t>Welt</w:t>
            </w:r>
            <w:r w:rsidR="007C2539" w:rsidRPr="007C2539">
              <w:rPr>
                <w:snapToGrid w:val="0"/>
                <w:lang w:val="de-DE"/>
              </w:rPr>
              <w:t xml:space="preserve">kongreß </w:t>
            </w:r>
            <w:r w:rsidR="00944D0A" w:rsidRPr="007C2539">
              <w:rPr>
                <w:snapToGrid w:val="0"/>
                <w:lang w:val="de-DE"/>
              </w:rPr>
              <w:t xml:space="preserve">der </w:t>
            </w:r>
            <w:r w:rsidR="00944D0A" w:rsidRPr="007C2539">
              <w:rPr>
                <w:i/>
                <w:snapToGrid w:val="0"/>
                <w:lang w:val="de-DE"/>
              </w:rPr>
              <w:t>International Seed Federation</w:t>
            </w:r>
            <w:r w:rsidR="00944D0A" w:rsidRPr="007C2539">
              <w:rPr>
                <w:snapToGrid w:val="0"/>
                <w:lang w:val="de-DE"/>
              </w:rPr>
              <w:t xml:space="preserve"> (ISF)</w:t>
            </w:r>
          </w:p>
        </w:tc>
        <w:tc>
          <w:tcPr>
            <w:tcW w:w="3014" w:type="dxa"/>
          </w:tcPr>
          <w:p w:rsidR="00944D0A" w:rsidRPr="00944D0A" w:rsidRDefault="00944D0A" w:rsidP="001649DC">
            <w:pPr>
              <w:spacing w:before="60" w:after="60"/>
              <w:jc w:val="left"/>
              <w:rPr>
                <w:rFonts w:cs="Arial"/>
                <w:lang w:val="de-DE"/>
              </w:rPr>
            </w:pPr>
            <w:r w:rsidRPr="00944D0A">
              <w:rPr>
                <w:snapToGrid w:val="0"/>
                <w:lang w:val="de-DE"/>
              </w:rPr>
              <w:t>Rio de Janeiro, Brasilien</w:t>
            </w:r>
            <w:r w:rsidRPr="00944D0A">
              <w:rPr>
                <w:rFonts w:cs="Arial"/>
                <w:lang w:val="de-DE"/>
              </w:rPr>
              <w:t xml:space="preserve"> (Juni)</w:t>
            </w:r>
          </w:p>
        </w:tc>
        <w:tc>
          <w:tcPr>
            <w:tcW w:w="2617" w:type="dxa"/>
          </w:tcPr>
          <w:p w:rsidR="00944D0A" w:rsidRPr="002539B4" w:rsidRDefault="00944D0A" w:rsidP="001649DC">
            <w:pPr>
              <w:spacing w:before="60" w:after="60"/>
              <w:jc w:val="left"/>
              <w:rPr>
                <w:rFonts w:cs="Arial"/>
              </w:rPr>
            </w:pPr>
            <w:r>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snapToGrid w:val="0"/>
                <w:color w:val="000000"/>
                <w:lang w:val="de-DE"/>
              </w:rPr>
              <w:t>Zweite Tagung der Ad</w:t>
            </w:r>
            <w:r w:rsidRPr="00944D0A">
              <w:rPr>
                <w:snapToGrid w:val="0"/>
                <w:color w:val="000000"/>
                <w:lang w:val="de-DE"/>
              </w:rPr>
              <w:noBreakHyphen/>
              <w:t>Hoc</w:t>
            </w:r>
            <w:r w:rsidRPr="00944D0A">
              <w:rPr>
                <w:snapToGrid w:val="0"/>
                <w:color w:val="000000"/>
                <w:lang w:val="de-DE"/>
              </w:rPr>
              <w:noBreakHyphen/>
              <w:t>Arbeitsgruppe ohne Einschränkung der Teilnahme für Zugang zu genetischen Ressourcen und gerechte und ausgewogene Beteiligung an den Vorteilen aus ihrer Nutzung zum Übereinkommen über die biologische Vielfalt (ICNP-2)</w:t>
            </w:r>
          </w:p>
        </w:tc>
        <w:tc>
          <w:tcPr>
            <w:tcW w:w="3014" w:type="dxa"/>
          </w:tcPr>
          <w:p w:rsidR="00944D0A" w:rsidRPr="002539B4" w:rsidRDefault="00944D0A" w:rsidP="001649DC">
            <w:pPr>
              <w:spacing w:before="60" w:after="60"/>
              <w:jc w:val="left"/>
              <w:rPr>
                <w:rFonts w:cs="Arial"/>
              </w:rPr>
            </w:pPr>
            <w:r w:rsidRPr="00710780">
              <w:t>Neu Delhi, Indien</w:t>
            </w:r>
            <w:r w:rsidR="00E34FD9">
              <w:t xml:space="preserve"> </w:t>
            </w:r>
          </w:p>
        </w:tc>
        <w:tc>
          <w:tcPr>
            <w:tcW w:w="2617" w:type="dxa"/>
          </w:tcPr>
          <w:p w:rsidR="00944D0A" w:rsidRPr="002539B4" w:rsidRDefault="00944D0A" w:rsidP="001649DC">
            <w:pPr>
              <w:spacing w:before="60" w:after="60"/>
              <w:jc w:val="left"/>
              <w:rPr>
                <w:rFonts w:cs="Arial"/>
              </w:rPr>
            </w:pPr>
            <w:r>
              <w:rPr>
                <w:rFonts w:cs="Arial"/>
              </w:rPr>
              <w:t>Aihara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„Lehrgang für die Vergabe von Technik-Lizenzen für Entwicklungsländer: Do´s and Don’ts“</w:t>
            </w:r>
          </w:p>
        </w:tc>
        <w:tc>
          <w:tcPr>
            <w:tcW w:w="3014" w:type="dxa"/>
          </w:tcPr>
          <w:p w:rsidR="00944D0A" w:rsidRPr="002539B4" w:rsidRDefault="00944D0A" w:rsidP="001649DC">
            <w:pPr>
              <w:spacing w:before="60" w:after="60"/>
              <w:jc w:val="left"/>
              <w:rPr>
                <w:rFonts w:cs="Arial"/>
              </w:rPr>
            </w:pPr>
            <w:r w:rsidRPr="00710780">
              <w:t>Rom, Italien</w:t>
            </w:r>
            <w:r w:rsidR="00E34FD9">
              <w:t xml:space="preserve"> </w:t>
            </w:r>
            <w:r w:rsidR="00E34FD9">
              <w:rPr>
                <w:rFonts w:cs="Arial"/>
              </w:rPr>
              <w:t>(Juli)</w:t>
            </w:r>
          </w:p>
        </w:tc>
        <w:tc>
          <w:tcPr>
            <w:tcW w:w="2617" w:type="dxa"/>
          </w:tcPr>
          <w:p w:rsidR="00944D0A" w:rsidRPr="002539B4" w:rsidRDefault="00944D0A" w:rsidP="001649DC">
            <w:pPr>
              <w:spacing w:before="60" w:after="60"/>
              <w:jc w:val="left"/>
              <w:rPr>
                <w:rFonts w:cs="Arial"/>
              </w:rPr>
            </w:pPr>
            <w:r w:rsidRPr="002539B4">
              <w:rPr>
                <w:rFonts w:cs="Arial"/>
              </w:rPr>
              <w:t>Button</w:t>
            </w:r>
          </w:p>
        </w:tc>
      </w:tr>
      <w:tr w:rsidR="00944D0A" w:rsidRPr="002539B4" w:rsidTr="001649DC">
        <w:trPr>
          <w:cantSplit/>
          <w:trHeight w:val="524"/>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WIPO</w:t>
            </w:r>
            <w:r w:rsidRPr="00944D0A">
              <w:rPr>
                <w:lang w:val="de-DE"/>
              </w:rPr>
              <w:noBreakHyphen/>
              <w:t>Sommerschule über geistiges Eigentum</w:t>
            </w:r>
          </w:p>
        </w:tc>
        <w:tc>
          <w:tcPr>
            <w:tcW w:w="3014" w:type="dxa"/>
          </w:tcPr>
          <w:p w:rsidR="00944D0A" w:rsidRPr="002539B4" w:rsidRDefault="00944D0A" w:rsidP="001649DC">
            <w:pPr>
              <w:spacing w:before="60" w:after="60"/>
              <w:jc w:val="left"/>
              <w:rPr>
                <w:rFonts w:cs="Arial"/>
              </w:rPr>
            </w:pPr>
            <w:r>
              <w:rPr>
                <w:rFonts w:cs="Arial"/>
              </w:rPr>
              <w:t>Genf, Schweiz (Juli)</w:t>
            </w:r>
          </w:p>
        </w:tc>
        <w:tc>
          <w:tcPr>
            <w:tcW w:w="2617" w:type="dxa"/>
          </w:tcPr>
          <w:p w:rsidR="00944D0A" w:rsidRPr="002539B4" w:rsidRDefault="00944D0A" w:rsidP="001649DC">
            <w:pPr>
              <w:spacing w:before="60" w:after="60"/>
              <w:jc w:val="left"/>
              <w:rPr>
                <w:rFonts w:cs="Arial"/>
              </w:rPr>
            </w:pPr>
            <w:r w:rsidRPr="002539B4">
              <w:rPr>
                <w:rFonts w:cs="Arial"/>
              </w:rPr>
              <w:t>Button</w:t>
            </w:r>
            <w:r w:rsidR="00E34FD9">
              <w:rPr>
                <w:rFonts w:cs="Arial"/>
              </w:rPr>
              <w:t>, Rivoire</w:t>
            </w:r>
          </w:p>
        </w:tc>
      </w:tr>
      <w:tr w:rsidR="00944D0A" w:rsidRPr="002539B4" w:rsidTr="001649DC">
        <w:trPr>
          <w:cantSplit/>
          <w:jc w:val="center"/>
        </w:trPr>
        <w:tc>
          <w:tcPr>
            <w:tcW w:w="4216" w:type="dxa"/>
            <w:tcBorders>
              <w:right w:val="nil"/>
            </w:tcBorders>
          </w:tcPr>
          <w:p w:rsidR="00944D0A" w:rsidRPr="00944D0A" w:rsidRDefault="00E34FD9" w:rsidP="004D6731">
            <w:pPr>
              <w:spacing w:before="60" w:after="60"/>
              <w:jc w:val="left"/>
              <w:rPr>
                <w:rFonts w:cs="Arial"/>
                <w:lang w:val="de-DE"/>
              </w:rPr>
            </w:pPr>
            <w:r>
              <w:rPr>
                <w:lang w:val="de-DE"/>
              </w:rPr>
              <w:t>Z</w:t>
            </w:r>
            <w:r w:rsidR="00944D0A" w:rsidRPr="00944D0A">
              <w:rPr>
                <w:lang w:val="de-DE"/>
              </w:rPr>
              <w:t>weiundzwanzigste Tagung des Zwischenstaatlichen Ausschusses für geistiges Eigentum und genetische Ressourcen sowie traditionelle Kenntnisse und Gebräuche (IGC) der WIPO</w:t>
            </w:r>
          </w:p>
        </w:tc>
        <w:tc>
          <w:tcPr>
            <w:tcW w:w="3014" w:type="dxa"/>
          </w:tcPr>
          <w:p w:rsidR="00944D0A" w:rsidRPr="002539B4" w:rsidRDefault="00944D0A" w:rsidP="001649DC">
            <w:pPr>
              <w:spacing w:before="60" w:after="60"/>
              <w:jc w:val="left"/>
              <w:rPr>
                <w:rFonts w:cs="Arial"/>
              </w:rPr>
            </w:pPr>
            <w:r>
              <w:rPr>
                <w:rFonts w:cs="Arial"/>
              </w:rPr>
              <w:t xml:space="preserve">Genf, Schweiz </w:t>
            </w:r>
            <w:r w:rsidRPr="002539B4">
              <w:rPr>
                <w:rFonts w:cs="Arial"/>
              </w:rPr>
              <w:t>(Juli)</w:t>
            </w:r>
          </w:p>
        </w:tc>
        <w:tc>
          <w:tcPr>
            <w:tcW w:w="2617" w:type="dxa"/>
          </w:tcPr>
          <w:p w:rsidR="00944D0A" w:rsidRPr="002539B4" w:rsidRDefault="00944D0A" w:rsidP="001649DC">
            <w:pPr>
              <w:spacing w:before="60" w:after="60"/>
              <w:jc w:val="left"/>
              <w:rPr>
                <w:rFonts w:cs="Arial"/>
              </w:rPr>
            </w:pPr>
            <w:r>
              <w:rPr>
                <w:rFonts w:cs="Arial"/>
              </w:rPr>
              <w:t>Aihara</w:t>
            </w:r>
          </w:p>
        </w:tc>
      </w:tr>
      <w:tr w:rsidR="00944D0A" w:rsidRPr="002539B4" w:rsidTr="001649DC">
        <w:trPr>
          <w:cantSplit/>
          <w:jc w:val="center"/>
        </w:trPr>
        <w:tc>
          <w:tcPr>
            <w:tcW w:w="4216" w:type="dxa"/>
            <w:tcBorders>
              <w:right w:val="nil"/>
            </w:tcBorders>
          </w:tcPr>
          <w:p w:rsidR="00944D0A" w:rsidRPr="002539B4" w:rsidRDefault="00944D0A" w:rsidP="004D6731">
            <w:pPr>
              <w:spacing w:before="60" w:after="60"/>
              <w:jc w:val="left"/>
              <w:rPr>
                <w:rFonts w:cs="Arial"/>
              </w:rPr>
            </w:pPr>
            <w:r>
              <w:t>T</w:t>
            </w:r>
            <w:r w:rsidRPr="00710780">
              <w:t>agung</w:t>
            </w:r>
            <w:r>
              <w:t>en</w:t>
            </w:r>
            <w:r w:rsidRPr="00710780">
              <w:t xml:space="preserve"> der OECD</w:t>
            </w:r>
            <w:r w:rsidRPr="00710780">
              <w:noBreakHyphen/>
              <w:t>Saatgutschemata</w:t>
            </w:r>
          </w:p>
        </w:tc>
        <w:tc>
          <w:tcPr>
            <w:tcW w:w="3014" w:type="dxa"/>
          </w:tcPr>
          <w:p w:rsidR="00944D0A" w:rsidRPr="002539B4" w:rsidRDefault="00944D0A" w:rsidP="001649DC">
            <w:pPr>
              <w:spacing w:before="60" w:after="60"/>
              <w:jc w:val="left"/>
              <w:rPr>
                <w:rFonts w:cs="Arial"/>
              </w:rPr>
            </w:pPr>
            <w:r w:rsidRPr="00710780">
              <w:t>Helsinki, Finnland</w:t>
            </w:r>
            <w:r w:rsidRPr="002539B4">
              <w:rPr>
                <w:rFonts w:cs="Arial"/>
              </w:rPr>
              <w:t xml:space="preserve"> (Juli)</w:t>
            </w:r>
          </w:p>
        </w:tc>
        <w:tc>
          <w:tcPr>
            <w:tcW w:w="2617" w:type="dxa"/>
          </w:tcPr>
          <w:p w:rsidR="00944D0A" w:rsidRPr="002539B4" w:rsidRDefault="00944D0A" w:rsidP="001649DC">
            <w:pPr>
              <w:spacing w:before="60" w:after="60"/>
              <w:jc w:val="left"/>
              <w:rPr>
                <w:rFonts w:cs="Arial"/>
              </w:rPr>
            </w:pPr>
            <w:r>
              <w:rPr>
                <w:rFonts w:cs="Arial"/>
              </w:rPr>
              <w:t>Borys</w:t>
            </w:r>
          </w:p>
        </w:tc>
      </w:tr>
      <w:tr w:rsidR="00944D0A" w:rsidRPr="00FD641C" w:rsidTr="001649DC">
        <w:trPr>
          <w:cantSplit/>
          <w:jc w:val="center"/>
        </w:trPr>
        <w:tc>
          <w:tcPr>
            <w:tcW w:w="4216" w:type="dxa"/>
            <w:tcBorders>
              <w:right w:val="nil"/>
            </w:tcBorders>
          </w:tcPr>
          <w:p w:rsidR="00944D0A" w:rsidRPr="00944D0A" w:rsidRDefault="00E34FD9" w:rsidP="004D6731">
            <w:pPr>
              <w:spacing w:before="60" w:after="60"/>
              <w:jc w:val="left"/>
              <w:rPr>
                <w:lang w:val="de-DE"/>
              </w:rPr>
            </w:pPr>
            <w:r w:rsidRPr="00944D0A">
              <w:rPr>
                <w:lang w:val="de-DE"/>
              </w:rPr>
              <w:t>KSVS/KOICA</w:t>
            </w:r>
            <w:r>
              <w:rPr>
                <w:lang w:val="de-DE"/>
              </w:rPr>
              <w:t>-</w:t>
            </w:r>
            <w:r w:rsidR="00944D0A" w:rsidRPr="00944D0A">
              <w:rPr>
                <w:lang w:val="de-DE"/>
              </w:rPr>
              <w:t xml:space="preserve">Lehrgang „Sortenschutz und DUS-Prüfung“  </w:t>
            </w:r>
          </w:p>
          <w:p w:rsidR="00944D0A" w:rsidRPr="00944D0A" w:rsidRDefault="00944D0A" w:rsidP="004D6731">
            <w:pPr>
              <w:spacing w:before="60" w:after="60"/>
              <w:jc w:val="left"/>
              <w:rPr>
                <w:lang w:val="de-DE"/>
              </w:rPr>
            </w:pPr>
          </w:p>
          <w:p w:rsidR="00944D0A" w:rsidRPr="002539B4" w:rsidRDefault="00944D0A" w:rsidP="004D6731">
            <w:pPr>
              <w:spacing w:before="60" w:after="60"/>
              <w:jc w:val="left"/>
              <w:rPr>
                <w:rFonts w:cs="Arial"/>
              </w:rPr>
            </w:pPr>
            <w:r w:rsidRPr="002539B4">
              <w:rPr>
                <w:rFonts w:cs="Arial"/>
              </w:rPr>
              <w:t>Rechtsberatungssitzung</w:t>
            </w:r>
          </w:p>
        </w:tc>
        <w:tc>
          <w:tcPr>
            <w:tcW w:w="3014" w:type="dxa"/>
          </w:tcPr>
          <w:p w:rsidR="00944D0A" w:rsidRPr="002539B4" w:rsidRDefault="00944D0A" w:rsidP="001649DC">
            <w:pPr>
              <w:spacing w:before="60" w:after="60"/>
              <w:jc w:val="left"/>
              <w:rPr>
                <w:rFonts w:cs="Arial"/>
                <w:lang w:val="es-ES"/>
              </w:rPr>
            </w:pPr>
            <w:r w:rsidRPr="00944D0A">
              <w:rPr>
                <w:lang w:val="de-DE"/>
              </w:rPr>
              <w:t>Seoul, Republik Korea</w:t>
            </w:r>
            <w:r w:rsidRPr="002539B4">
              <w:rPr>
                <w:rFonts w:cs="Arial"/>
                <w:lang w:val="es-ES"/>
              </w:rPr>
              <w:t xml:space="preserve"> (Juli)</w:t>
            </w:r>
            <w:r w:rsidRPr="002539B4">
              <w:rPr>
                <w:rFonts w:cs="Arial"/>
                <w:lang w:val="es-ES"/>
              </w:rPr>
              <w:br/>
            </w:r>
          </w:p>
          <w:p w:rsidR="00944D0A" w:rsidRDefault="00944D0A" w:rsidP="001649DC">
            <w:pPr>
              <w:spacing w:before="60" w:after="60"/>
              <w:jc w:val="left"/>
              <w:rPr>
                <w:rFonts w:cs="Arial"/>
                <w:lang w:val="es-ES"/>
              </w:rPr>
            </w:pPr>
            <w:r w:rsidRPr="002539B4">
              <w:rPr>
                <w:rFonts w:cs="Arial"/>
                <w:lang w:val="es-ES"/>
              </w:rPr>
              <w:t xml:space="preserve"> </w:t>
            </w:r>
          </w:p>
          <w:p w:rsidR="00944D0A" w:rsidRPr="002539B4" w:rsidRDefault="00944D0A" w:rsidP="001649DC">
            <w:pPr>
              <w:spacing w:before="60" w:after="60"/>
              <w:jc w:val="left"/>
              <w:rPr>
                <w:rFonts w:cs="Arial"/>
                <w:lang w:val="es-ES"/>
              </w:rPr>
            </w:pPr>
            <w:r>
              <w:rPr>
                <w:rFonts w:cs="Arial"/>
                <w:lang w:val="es-ES"/>
              </w:rPr>
              <w:t>Bangkok, Thailand (Juli)</w:t>
            </w:r>
          </w:p>
        </w:tc>
        <w:tc>
          <w:tcPr>
            <w:tcW w:w="2617" w:type="dxa"/>
          </w:tcPr>
          <w:p w:rsidR="00944D0A" w:rsidRDefault="00E34FD9" w:rsidP="001649DC">
            <w:pPr>
              <w:spacing w:before="60" w:after="60"/>
              <w:jc w:val="left"/>
              <w:rPr>
                <w:rFonts w:cs="Arial"/>
              </w:rPr>
            </w:pPr>
            <w:r>
              <w:rPr>
                <w:rFonts w:cs="Arial"/>
                <w:lang w:val="de-DE"/>
              </w:rPr>
              <w:t xml:space="preserve">Huerta, </w:t>
            </w:r>
            <w:r>
              <w:rPr>
                <w:rFonts w:cs="Arial"/>
              </w:rPr>
              <w:t>Rivoire</w:t>
            </w:r>
          </w:p>
          <w:p w:rsidR="00E34FD9" w:rsidRDefault="00E34FD9" w:rsidP="001649DC">
            <w:pPr>
              <w:spacing w:before="60" w:after="60"/>
              <w:jc w:val="left"/>
              <w:rPr>
                <w:rFonts w:cs="Arial"/>
              </w:rPr>
            </w:pPr>
          </w:p>
          <w:p w:rsidR="00E34FD9" w:rsidRDefault="00E34FD9" w:rsidP="001649DC">
            <w:pPr>
              <w:spacing w:before="60" w:after="60"/>
              <w:jc w:val="left"/>
              <w:rPr>
                <w:rFonts w:cs="Arial"/>
              </w:rPr>
            </w:pPr>
          </w:p>
          <w:p w:rsidR="00E34FD9" w:rsidRPr="00944D0A" w:rsidRDefault="00E34FD9" w:rsidP="001649DC">
            <w:pPr>
              <w:spacing w:before="60" w:after="60"/>
              <w:jc w:val="left"/>
              <w:rPr>
                <w:rFonts w:cs="Arial"/>
                <w:lang w:val="de-DE"/>
              </w:rPr>
            </w:pPr>
            <w:r>
              <w:rPr>
                <w:rFonts w:cs="Arial"/>
                <w:lang w:val="de-DE"/>
              </w:rPr>
              <w:t>Huerta</w:t>
            </w:r>
          </w:p>
        </w:tc>
      </w:tr>
      <w:tr w:rsidR="00944D0A" w:rsidRPr="008B0FE9" w:rsidTr="001649DC">
        <w:trPr>
          <w:cantSplit/>
          <w:jc w:val="center"/>
        </w:trPr>
        <w:tc>
          <w:tcPr>
            <w:tcW w:w="4216" w:type="dxa"/>
            <w:tcBorders>
              <w:right w:val="nil"/>
            </w:tcBorders>
          </w:tcPr>
          <w:p w:rsidR="00944D0A" w:rsidRPr="008B0FE9" w:rsidRDefault="00944D0A" w:rsidP="004D6731">
            <w:pPr>
              <w:spacing w:before="60" w:after="60"/>
              <w:jc w:val="left"/>
              <w:rPr>
                <w:rFonts w:cs="Arial"/>
              </w:rPr>
            </w:pPr>
            <w:r w:rsidRPr="008B0FE9">
              <w:rPr>
                <w:i/>
              </w:rPr>
              <w:t>Master Program of Intellectual Property Law</w:t>
            </w:r>
            <w:r w:rsidRPr="008B0FE9">
              <w:t xml:space="preserve"> an der </w:t>
            </w:r>
            <w:r w:rsidRPr="008B0FE9">
              <w:rPr>
                <w:i/>
              </w:rPr>
              <w:t>Queensland University of Technology</w:t>
            </w:r>
            <w:r w:rsidRPr="008B0FE9">
              <w:t xml:space="preserve"> (QUT)</w:t>
            </w:r>
          </w:p>
        </w:tc>
        <w:tc>
          <w:tcPr>
            <w:tcW w:w="3014" w:type="dxa"/>
          </w:tcPr>
          <w:p w:rsidR="00944D0A" w:rsidRPr="008B0FE9" w:rsidRDefault="00944D0A" w:rsidP="001649DC">
            <w:pPr>
              <w:spacing w:before="60" w:after="60"/>
              <w:jc w:val="left"/>
              <w:rPr>
                <w:rFonts w:cs="Arial"/>
              </w:rPr>
            </w:pPr>
            <w:r w:rsidRPr="00710780">
              <w:t>Brisbane, Australien</w:t>
            </w:r>
            <w:r w:rsidR="00E34FD9">
              <w:t xml:space="preserve"> </w:t>
            </w:r>
            <w:r w:rsidR="00E34FD9">
              <w:rPr>
                <w:rFonts w:cs="Arial"/>
                <w:lang w:val="es-ES"/>
              </w:rPr>
              <w:t>(Juli)</w:t>
            </w:r>
          </w:p>
        </w:tc>
        <w:tc>
          <w:tcPr>
            <w:tcW w:w="2617" w:type="dxa"/>
          </w:tcPr>
          <w:p w:rsidR="00944D0A" w:rsidRPr="008B0FE9" w:rsidRDefault="00944D0A" w:rsidP="001649DC">
            <w:pPr>
              <w:spacing w:before="60" w:after="60"/>
              <w:jc w:val="left"/>
              <w:rPr>
                <w:rFonts w:cs="Arial"/>
              </w:rPr>
            </w:pPr>
            <w:r>
              <w:rPr>
                <w:rFonts w:cs="Arial"/>
              </w:rPr>
              <w:t>Waterhouse (AU)</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Vor</w:t>
            </w:r>
            <w:r w:rsidR="00C416F8">
              <w:rPr>
                <w:rFonts w:cs="Arial"/>
                <w:lang w:val="de-DE"/>
              </w:rPr>
              <w:t>bereitende Arbeitstagung der TWF</w:t>
            </w:r>
            <w:r w:rsidRPr="00944D0A">
              <w:rPr>
                <w:rFonts w:cs="Arial"/>
                <w:lang w:val="de-DE"/>
              </w:rPr>
              <w:t xml:space="preserve"> und dreiundvierzigste Tagung der TWF</w:t>
            </w:r>
          </w:p>
        </w:tc>
        <w:tc>
          <w:tcPr>
            <w:tcW w:w="3014" w:type="dxa"/>
          </w:tcPr>
          <w:p w:rsidR="00944D0A" w:rsidRPr="002539B4" w:rsidRDefault="00DD2975" w:rsidP="001649DC">
            <w:pPr>
              <w:spacing w:before="60" w:after="60"/>
              <w:jc w:val="left"/>
              <w:rPr>
                <w:rFonts w:cs="Arial"/>
              </w:rPr>
            </w:pPr>
            <w:r>
              <w:rPr>
                <w:rFonts w:cs="Arial"/>
              </w:rPr>
              <w:t>Beijing</w:t>
            </w:r>
            <w:r w:rsidR="00944D0A">
              <w:rPr>
                <w:rFonts w:cs="Arial"/>
              </w:rPr>
              <w:t>, China</w:t>
            </w:r>
            <w:r w:rsidR="00944D0A" w:rsidRPr="00B731CA">
              <w:rPr>
                <w:rFonts w:cs="Arial"/>
              </w:rPr>
              <w:t xml:space="preserve"> </w:t>
            </w:r>
            <w:r w:rsidR="00944D0A" w:rsidRPr="002539B4">
              <w:rPr>
                <w:rFonts w:cs="Arial"/>
              </w:rPr>
              <w:t>(</w:t>
            </w:r>
            <w:r w:rsidR="00E34FD9">
              <w:rPr>
                <w:rFonts w:cs="Arial"/>
              </w:rPr>
              <w:t>Juli/</w:t>
            </w:r>
            <w:r w:rsidR="00944D0A" w:rsidRPr="002539B4">
              <w:rPr>
                <w:rFonts w:cs="Arial"/>
              </w:rPr>
              <w:t>August)</w:t>
            </w:r>
          </w:p>
        </w:tc>
        <w:tc>
          <w:tcPr>
            <w:tcW w:w="2617" w:type="dxa"/>
          </w:tcPr>
          <w:p w:rsidR="00944D0A" w:rsidRPr="002539B4" w:rsidRDefault="00944D0A" w:rsidP="001649DC">
            <w:pPr>
              <w:spacing w:before="60" w:after="60"/>
              <w:jc w:val="left"/>
              <w:rPr>
                <w:rFonts w:cs="Arial"/>
              </w:rPr>
            </w:pPr>
            <w:r>
              <w:rPr>
                <w:rFonts w:cs="Arial"/>
              </w:rPr>
              <w:t>Borys, Rivoire, Rovere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Vorbereitende Arbeitstagung der TWO und fünfundvierzigste Tagung der TWO</w:t>
            </w:r>
          </w:p>
        </w:tc>
        <w:tc>
          <w:tcPr>
            <w:tcW w:w="3014" w:type="dxa"/>
          </w:tcPr>
          <w:p w:rsidR="00944D0A" w:rsidRPr="002539B4" w:rsidRDefault="00944D0A" w:rsidP="001649DC">
            <w:pPr>
              <w:spacing w:before="60" w:after="60"/>
              <w:jc w:val="left"/>
              <w:rPr>
                <w:rFonts w:cs="Arial"/>
              </w:rPr>
            </w:pPr>
            <w:r w:rsidRPr="00B731CA">
              <w:rPr>
                <w:rFonts w:cs="Arial"/>
              </w:rPr>
              <w:t>Jeju, Republik Korea</w:t>
            </w:r>
            <w:r>
              <w:rPr>
                <w:rFonts w:cs="Arial"/>
              </w:rPr>
              <w:t xml:space="preserve"> (August)</w:t>
            </w:r>
          </w:p>
        </w:tc>
        <w:tc>
          <w:tcPr>
            <w:tcW w:w="2617" w:type="dxa"/>
          </w:tcPr>
          <w:p w:rsidR="00944D0A" w:rsidRPr="002539B4" w:rsidRDefault="00944D0A" w:rsidP="001649DC">
            <w:pPr>
              <w:spacing w:before="60" w:after="60"/>
              <w:jc w:val="left"/>
              <w:rPr>
                <w:rFonts w:cs="Arial"/>
              </w:rPr>
            </w:pPr>
            <w:r>
              <w:rPr>
                <w:rFonts w:cs="Arial"/>
              </w:rPr>
              <w:t>Borys, Taveira, Rovere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snapToGrid w:val="0"/>
                <w:lang w:val="de-DE"/>
              </w:rPr>
              <w:t>Sitzung zur Erörterung der Optionen für die Einrichtung und die beabsichtigten Tätigkeiten einer „Plattform für die Mitentwicklung und den Technologietransfer“ im Rahmen des ITPGRFA</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sidRPr="00710780">
              <w:t>Brasilia, Brasilien</w:t>
            </w:r>
            <w:r w:rsidRPr="002539B4">
              <w:rPr>
                <w:rFonts w:cs="Arial"/>
              </w:rPr>
              <w:t xml:space="preserve"> (</w:t>
            </w:r>
            <w:r>
              <w:rPr>
                <w:rFonts w:cs="Arial"/>
              </w:rPr>
              <w:t>August</w:t>
            </w:r>
            <w:r w:rsidRPr="002539B4">
              <w:rPr>
                <w:rFonts w:cs="Arial"/>
              </w:rPr>
              <w:t>)</w:t>
            </w:r>
          </w:p>
        </w:tc>
        <w:tc>
          <w:tcPr>
            <w:tcW w:w="2617" w:type="dxa"/>
          </w:tcPr>
          <w:p w:rsidR="00944D0A" w:rsidRPr="002539B4" w:rsidRDefault="00944D0A" w:rsidP="001649DC">
            <w:pPr>
              <w:spacing w:before="60" w:after="60"/>
              <w:jc w:val="left"/>
              <w:rPr>
                <w:rFonts w:cs="Arial"/>
              </w:rPr>
            </w:pPr>
            <w:r w:rsidRPr="002539B4">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 xml:space="preserve">Tagung mit </w:t>
            </w:r>
            <w:r w:rsidRPr="00944D0A">
              <w:rPr>
                <w:lang w:val="de-DE"/>
              </w:rPr>
              <w:t>Sachverständigen des CPVO</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sidRPr="00710780">
              <w:rPr>
                <w:snapToGrid w:val="0"/>
              </w:rPr>
              <w:t>Angers, Frankreich</w:t>
            </w:r>
            <w:r w:rsidRPr="002539B4">
              <w:rPr>
                <w:rFonts w:cs="Arial"/>
              </w:rPr>
              <w:t xml:space="preserve"> (</w:t>
            </w:r>
            <w:r>
              <w:rPr>
                <w:rFonts w:cs="Arial"/>
              </w:rPr>
              <w:t>August</w:t>
            </w:r>
            <w:r w:rsidRPr="002539B4">
              <w:rPr>
                <w:rFonts w:cs="Arial"/>
              </w:rPr>
              <w:t>)</w:t>
            </w:r>
          </w:p>
        </w:tc>
        <w:tc>
          <w:tcPr>
            <w:tcW w:w="2617" w:type="dxa"/>
          </w:tcPr>
          <w:p w:rsidR="00944D0A" w:rsidRPr="002539B4" w:rsidRDefault="00944D0A" w:rsidP="001649DC">
            <w:pPr>
              <w:spacing w:before="60" w:after="60"/>
              <w:jc w:val="left"/>
              <w:rPr>
                <w:rFonts w:cs="Arial"/>
              </w:rPr>
            </w:pPr>
            <w:r>
              <w:rPr>
                <w:rFonts w:cs="Arial"/>
              </w:rPr>
              <w:t>Pérez del Castillo (WIPO)</w:t>
            </w:r>
          </w:p>
        </w:tc>
      </w:tr>
      <w:tr w:rsidR="00944D0A" w:rsidRPr="002539B4" w:rsidTr="001649DC">
        <w:trPr>
          <w:cantSplit/>
          <w:jc w:val="center"/>
        </w:trPr>
        <w:tc>
          <w:tcPr>
            <w:tcW w:w="4216" w:type="dxa"/>
            <w:tcBorders>
              <w:right w:val="nil"/>
            </w:tcBorders>
          </w:tcPr>
          <w:p w:rsidR="00944D0A" w:rsidRPr="002539B4" w:rsidRDefault="00944D0A" w:rsidP="004D6731">
            <w:pPr>
              <w:spacing w:before="60" w:after="60"/>
              <w:jc w:val="left"/>
              <w:rPr>
                <w:rFonts w:cs="Arial"/>
              </w:rPr>
            </w:pPr>
            <w:r>
              <w:rPr>
                <w:snapToGrid w:val="0"/>
              </w:rPr>
              <w:t>XXIII. Panamerikanischer</w:t>
            </w:r>
            <w:r w:rsidRPr="00710780">
              <w:rPr>
                <w:snapToGrid w:val="0"/>
              </w:rPr>
              <w:t xml:space="preserve"> Saatgutkongre</w:t>
            </w:r>
            <w:r w:rsidR="007C2539">
              <w:rPr>
                <w:snapToGrid w:val="0"/>
              </w:rPr>
              <w:t>ß</w:t>
            </w:r>
          </w:p>
        </w:tc>
        <w:tc>
          <w:tcPr>
            <w:tcW w:w="3014" w:type="dxa"/>
          </w:tcPr>
          <w:p w:rsidR="00944D0A" w:rsidRPr="002539B4" w:rsidRDefault="00944D0A" w:rsidP="001649DC">
            <w:pPr>
              <w:spacing w:before="60" w:after="60"/>
              <w:jc w:val="left"/>
              <w:rPr>
                <w:rFonts w:cs="Arial"/>
              </w:rPr>
            </w:pPr>
            <w:r w:rsidRPr="00710780">
              <w:t>Santa Cruz de la Sierra, Bolivien (Plurinationaler Staat)</w:t>
            </w:r>
            <w:r w:rsidRPr="002539B4">
              <w:rPr>
                <w:rFonts w:cs="Arial"/>
              </w:rPr>
              <w:t xml:space="preserve"> (</w:t>
            </w:r>
            <w:r>
              <w:rPr>
                <w:rFonts w:cs="Arial"/>
              </w:rPr>
              <w:t>August</w:t>
            </w:r>
            <w:r w:rsidRPr="002539B4">
              <w:rPr>
                <w:rFonts w:cs="Arial"/>
              </w:rPr>
              <w:t>)</w:t>
            </w:r>
          </w:p>
        </w:tc>
        <w:tc>
          <w:tcPr>
            <w:tcW w:w="2617" w:type="dxa"/>
          </w:tcPr>
          <w:p w:rsidR="00944D0A" w:rsidRPr="002539B4" w:rsidRDefault="00944D0A" w:rsidP="001649DC">
            <w:pPr>
              <w:spacing w:before="60" w:after="60"/>
              <w:jc w:val="left"/>
              <w:rPr>
                <w:rFonts w:cs="Arial"/>
              </w:rPr>
            </w:pPr>
            <w:r>
              <w:rPr>
                <w:rFonts w:cs="Arial"/>
              </w:rPr>
              <w:t>Taveira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JICA-Ausbildungslehrgang über „Ein international harmonisiertes Sortenschutzsystem“</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sidRPr="00710780">
              <w:t>Tsukuba, Japan</w:t>
            </w:r>
            <w:r w:rsidRPr="002539B4">
              <w:rPr>
                <w:rFonts w:cs="Arial"/>
              </w:rPr>
              <w:t xml:space="preserve"> (September)</w:t>
            </w:r>
          </w:p>
        </w:tc>
        <w:tc>
          <w:tcPr>
            <w:tcW w:w="2617" w:type="dxa"/>
          </w:tcPr>
          <w:p w:rsidR="00944D0A" w:rsidRPr="002539B4" w:rsidRDefault="00944D0A" w:rsidP="001649DC">
            <w:pPr>
              <w:spacing w:before="60" w:after="60"/>
              <w:jc w:val="left"/>
              <w:rPr>
                <w:rFonts w:cs="Arial"/>
              </w:rPr>
            </w:pPr>
            <w:r>
              <w:rPr>
                <w:rFonts w:cs="Arial"/>
              </w:rPr>
              <w:t>Aihara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snapToGrid w:val="0"/>
                <w:color w:val="000000"/>
                <w:lang w:val="de-DE"/>
              </w:rPr>
            </w:pPr>
            <w:r w:rsidRPr="00944D0A">
              <w:rPr>
                <w:rFonts w:cs="Arial"/>
                <w:snapToGrid w:val="0"/>
                <w:color w:val="000000"/>
                <w:lang w:val="de-DE"/>
              </w:rPr>
              <w:t xml:space="preserve">Tagung des </w:t>
            </w:r>
            <w:r w:rsidRPr="00944D0A">
              <w:rPr>
                <w:lang w:val="de-DE"/>
              </w:rPr>
              <w:t>Lenkungsausschusses des Weltsaatgutprojektes bei der Bill und Melinda Gates-Stiftung</w:t>
            </w:r>
          </w:p>
        </w:tc>
        <w:tc>
          <w:tcPr>
            <w:tcW w:w="3014" w:type="dxa"/>
          </w:tcPr>
          <w:p w:rsidR="00944D0A" w:rsidRPr="00944D0A" w:rsidRDefault="00944D0A" w:rsidP="001649DC">
            <w:pPr>
              <w:spacing w:before="60" w:after="60"/>
              <w:jc w:val="left"/>
              <w:rPr>
                <w:rFonts w:cs="Arial"/>
                <w:lang w:val="de-DE"/>
              </w:rPr>
            </w:pPr>
            <w:r w:rsidRPr="00944D0A">
              <w:rPr>
                <w:lang w:val="de-DE"/>
              </w:rPr>
              <w:t>Seattle, Washington, Vereinigte Staaten von Amerika</w:t>
            </w:r>
            <w:r w:rsidRPr="00944D0A">
              <w:rPr>
                <w:rFonts w:cs="Arial"/>
                <w:lang w:val="de-DE"/>
              </w:rPr>
              <w:t xml:space="preserve"> (September)</w:t>
            </w:r>
          </w:p>
        </w:tc>
        <w:tc>
          <w:tcPr>
            <w:tcW w:w="2617" w:type="dxa"/>
          </w:tcPr>
          <w:p w:rsidR="00944D0A" w:rsidRPr="002539B4" w:rsidRDefault="00944D0A" w:rsidP="001649DC">
            <w:pPr>
              <w:spacing w:before="60" w:after="60"/>
              <w:jc w:val="left"/>
              <w:rPr>
                <w:rFonts w:cs="Arial"/>
              </w:rPr>
            </w:pPr>
            <w:r w:rsidRPr="002539B4">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snapToGrid w:val="0"/>
                <w:color w:val="000000"/>
                <w:lang w:val="de-DE"/>
              </w:rPr>
            </w:pPr>
            <w:r w:rsidRPr="00944D0A">
              <w:rPr>
                <w:lang w:val="de-DE"/>
              </w:rPr>
              <w:t>Feierlichkeiten zum fünfzigsten Jahrestag der Afrikanischen Organisation für geistiges Eigentum (OAPI)</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sidRPr="00710780">
              <w:t>Yaoundé, Kamerun</w:t>
            </w:r>
            <w:r w:rsidRPr="002539B4">
              <w:rPr>
                <w:rFonts w:cs="Arial"/>
              </w:rPr>
              <w:t xml:space="preserve"> (September)</w:t>
            </w:r>
          </w:p>
        </w:tc>
        <w:tc>
          <w:tcPr>
            <w:tcW w:w="2617" w:type="dxa"/>
          </w:tcPr>
          <w:p w:rsidR="00944D0A" w:rsidRPr="002539B4" w:rsidRDefault="00944D0A" w:rsidP="001649DC">
            <w:pPr>
              <w:spacing w:before="60" w:after="60"/>
              <w:jc w:val="left"/>
              <w:rPr>
                <w:rFonts w:cs="Arial"/>
              </w:rPr>
            </w:pPr>
            <w:r>
              <w:rPr>
                <w:rFonts w:cs="Arial"/>
              </w:rPr>
              <w:t>Rivoire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Informationstag „Technologietransfer innerhalb des internationalen Vertrages über pflanzengenetische Ressourcen für Ernährung und Landwirtschaft“</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rPr>
                <w:rFonts w:cs="Arial"/>
              </w:rPr>
              <w:t xml:space="preserve">Genf, Schweiz </w:t>
            </w:r>
            <w:r w:rsidRPr="002539B4">
              <w:rPr>
                <w:rFonts w:cs="Arial"/>
              </w:rPr>
              <w:t>(September)</w:t>
            </w:r>
          </w:p>
        </w:tc>
        <w:tc>
          <w:tcPr>
            <w:tcW w:w="2617" w:type="dxa"/>
          </w:tcPr>
          <w:p w:rsidR="00944D0A" w:rsidRPr="002539B4" w:rsidRDefault="00944D0A" w:rsidP="001649DC">
            <w:pPr>
              <w:spacing w:before="60" w:after="60"/>
              <w:jc w:val="left"/>
              <w:rPr>
                <w:rFonts w:cs="Arial"/>
              </w:rPr>
            </w:pPr>
            <w:r w:rsidRPr="002539B4">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S</w:t>
            </w:r>
            <w:r w:rsidRPr="00944D0A">
              <w:rPr>
                <w:lang w:val="de-DE"/>
              </w:rPr>
              <w:t xml:space="preserve">echste </w:t>
            </w:r>
            <w:r w:rsidR="007C2539">
              <w:rPr>
                <w:lang w:val="de-DE"/>
              </w:rPr>
              <w:t>I</w:t>
            </w:r>
            <w:r w:rsidRPr="00944D0A">
              <w:rPr>
                <w:lang w:val="de-DE"/>
              </w:rPr>
              <w:t>nternationale Konferenz über geistige Eigentumsrechte in der Landwirtschaft</w:t>
            </w:r>
          </w:p>
        </w:tc>
        <w:tc>
          <w:tcPr>
            <w:tcW w:w="3014" w:type="dxa"/>
          </w:tcPr>
          <w:p w:rsidR="00944D0A" w:rsidRPr="008635D3" w:rsidRDefault="00944D0A" w:rsidP="001649DC">
            <w:pPr>
              <w:spacing w:before="60" w:after="60"/>
              <w:jc w:val="left"/>
              <w:rPr>
                <w:rFonts w:cs="Arial"/>
                <w:lang w:val="de-DE"/>
              </w:rPr>
            </w:pPr>
            <w:r w:rsidRPr="008635D3">
              <w:rPr>
                <w:lang w:val="de-DE"/>
              </w:rPr>
              <w:t>Amman, Jordanien</w:t>
            </w:r>
            <w:r w:rsidRPr="008635D3">
              <w:rPr>
                <w:rFonts w:cs="Arial"/>
                <w:lang w:val="de-DE"/>
              </w:rPr>
              <w:t xml:space="preserve"> (September)</w:t>
            </w:r>
          </w:p>
          <w:p w:rsidR="00E34FD9" w:rsidRPr="00E34FD9" w:rsidRDefault="00C416F8" w:rsidP="00204DE5">
            <w:pPr>
              <w:spacing w:before="60" w:after="60"/>
              <w:jc w:val="left"/>
              <w:rPr>
                <w:rFonts w:cs="Arial"/>
                <w:lang w:val="de-DE"/>
              </w:rPr>
            </w:pPr>
            <w:r>
              <w:rPr>
                <w:rFonts w:cs="Arial"/>
                <w:lang w:val="de-DE"/>
              </w:rPr>
              <w:t>(Teilnahme aus</w:t>
            </w:r>
            <w:r w:rsidR="00E34FD9" w:rsidRPr="00E34FD9">
              <w:rPr>
                <w:rFonts w:cs="Arial"/>
                <w:lang w:val="de-DE"/>
              </w:rPr>
              <w:t xml:space="preserve"> Genf </w:t>
            </w:r>
            <w:r w:rsidR="00204DE5">
              <w:rPr>
                <w:rFonts w:cs="Arial"/>
                <w:lang w:val="de-DE"/>
              </w:rPr>
              <w:t>über</w:t>
            </w:r>
            <w:r w:rsidR="00E34FD9" w:rsidRPr="00E34FD9">
              <w:rPr>
                <w:rFonts w:cs="Arial"/>
                <w:lang w:val="de-DE"/>
              </w:rPr>
              <w:t xml:space="preserve"> I</w:t>
            </w:r>
            <w:r w:rsidR="00E34FD9">
              <w:rPr>
                <w:rFonts w:cs="Arial"/>
                <w:lang w:val="de-DE"/>
              </w:rPr>
              <w:t>nternet)</w:t>
            </w:r>
          </w:p>
        </w:tc>
        <w:tc>
          <w:tcPr>
            <w:tcW w:w="2617" w:type="dxa"/>
          </w:tcPr>
          <w:p w:rsidR="00944D0A" w:rsidRPr="002539B4" w:rsidRDefault="00944D0A" w:rsidP="001649DC">
            <w:pPr>
              <w:spacing w:before="60" w:after="60"/>
              <w:jc w:val="left"/>
              <w:rPr>
                <w:rFonts w:cs="Arial"/>
              </w:rPr>
            </w:pPr>
            <w:r>
              <w:rPr>
                <w:rFonts w:cs="Arial"/>
              </w:rPr>
              <w:t>Rivoire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Jährliches Symposium des Landwirtschaftsministeriums von Sri Lanka</w:t>
            </w:r>
          </w:p>
        </w:tc>
        <w:tc>
          <w:tcPr>
            <w:tcW w:w="3014" w:type="dxa"/>
          </w:tcPr>
          <w:p w:rsidR="00944D0A" w:rsidRPr="002539B4" w:rsidRDefault="00944D0A" w:rsidP="001649DC">
            <w:pPr>
              <w:spacing w:before="60" w:after="60"/>
              <w:jc w:val="left"/>
              <w:rPr>
                <w:rFonts w:cs="Arial"/>
              </w:rPr>
            </w:pPr>
            <w:r w:rsidRPr="00710780">
              <w:t>Peradeniya, Sri Lanka</w:t>
            </w:r>
            <w:r w:rsidRPr="002539B4">
              <w:rPr>
                <w:rFonts w:cs="Arial"/>
              </w:rPr>
              <w:t xml:space="preserve"> (September)</w:t>
            </w:r>
          </w:p>
        </w:tc>
        <w:tc>
          <w:tcPr>
            <w:tcW w:w="2617" w:type="dxa"/>
          </w:tcPr>
          <w:p w:rsidR="00944D0A" w:rsidRPr="002539B4" w:rsidRDefault="00944D0A" w:rsidP="001649DC">
            <w:pPr>
              <w:spacing w:before="60" w:after="60"/>
              <w:jc w:val="left"/>
              <w:rPr>
                <w:rFonts w:cs="Arial"/>
              </w:rPr>
            </w:pPr>
            <w:r w:rsidRPr="002539B4">
              <w:rPr>
                <w:rFonts w:cs="Arial"/>
              </w:rPr>
              <w:t>Butto</w:t>
            </w:r>
            <w:r w:rsidR="00E34FD9">
              <w:rPr>
                <w:rFonts w:cs="Arial"/>
              </w:rPr>
              <w:t>n</w:t>
            </w:r>
          </w:p>
        </w:tc>
      </w:tr>
      <w:tr w:rsidR="00944D0A" w:rsidRPr="002539B4" w:rsidTr="001649DC">
        <w:trPr>
          <w:cantSplit/>
          <w:jc w:val="center"/>
        </w:trPr>
        <w:tc>
          <w:tcPr>
            <w:tcW w:w="4216" w:type="dxa"/>
            <w:tcBorders>
              <w:right w:val="nil"/>
            </w:tcBorders>
          </w:tcPr>
          <w:p w:rsidR="00944D0A" w:rsidRPr="00944D0A" w:rsidRDefault="00E34FD9" w:rsidP="004D6731">
            <w:pPr>
              <w:spacing w:before="60" w:after="60"/>
              <w:jc w:val="left"/>
              <w:rPr>
                <w:rFonts w:cs="Arial"/>
                <w:lang w:val="de-DE"/>
              </w:rPr>
            </w:pPr>
            <w:r>
              <w:rPr>
                <w:lang w:val="de-DE"/>
              </w:rPr>
              <w:t>QUNO/IIED-</w:t>
            </w:r>
            <w:r w:rsidR="00944D0A" w:rsidRPr="00944D0A">
              <w:rPr>
                <w:lang w:val="de-DE"/>
              </w:rPr>
              <w:t>Tagung über „Landwirtschaftliche Innovation für das 21. Jahrhundert – Abstimmung des internationalen Rahmens für geistiges Eigentum auf die Bedürfnisse der Landwirte“</w:t>
            </w:r>
          </w:p>
        </w:tc>
        <w:tc>
          <w:tcPr>
            <w:tcW w:w="3014" w:type="dxa"/>
          </w:tcPr>
          <w:p w:rsidR="00944D0A" w:rsidRPr="002539B4" w:rsidRDefault="00944D0A" w:rsidP="001649DC">
            <w:pPr>
              <w:spacing w:before="60" w:after="60"/>
              <w:jc w:val="left"/>
              <w:rPr>
                <w:rFonts w:cs="Arial"/>
              </w:rPr>
            </w:pPr>
            <w:r>
              <w:rPr>
                <w:rFonts w:cs="Arial"/>
              </w:rPr>
              <w:t>Genf, Schweiz</w:t>
            </w:r>
            <w:r w:rsidRPr="002539B4">
              <w:rPr>
                <w:rFonts w:cs="Arial"/>
              </w:rPr>
              <w:t xml:space="preserve"> (September)</w:t>
            </w:r>
          </w:p>
        </w:tc>
        <w:tc>
          <w:tcPr>
            <w:tcW w:w="2617" w:type="dxa"/>
          </w:tcPr>
          <w:p w:rsidR="00944D0A" w:rsidRPr="002539B4" w:rsidRDefault="00E34FD9" w:rsidP="001649DC">
            <w:pPr>
              <w:spacing w:before="60" w:after="60"/>
              <w:jc w:val="left"/>
              <w:rPr>
                <w:rFonts w:cs="Arial"/>
              </w:rPr>
            </w:pPr>
            <w:r w:rsidRPr="002539B4">
              <w:rPr>
                <w:rFonts w:cs="Arial"/>
              </w:rPr>
              <w:t>Button</w:t>
            </w:r>
            <w:r>
              <w:rPr>
                <w:rFonts w:cs="Arial"/>
              </w:rPr>
              <w:t xml:space="preserve">, </w:t>
            </w:r>
            <w:r w:rsidRPr="002539B4">
              <w:rPr>
                <w:rFonts w:cs="Arial"/>
              </w:rPr>
              <w:t>Aihara</w:t>
            </w:r>
            <w:r>
              <w:rPr>
                <w:rFonts w:cs="Arial"/>
              </w:rPr>
              <w:t>, Rivoire, Taveira</w:t>
            </w:r>
          </w:p>
        </w:tc>
      </w:tr>
      <w:tr w:rsidR="00944D0A" w:rsidRPr="002539B4" w:rsidTr="001649DC">
        <w:trPr>
          <w:cantSplit/>
          <w:trHeight w:val="41"/>
          <w:jc w:val="center"/>
        </w:trPr>
        <w:tc>
          <w:tcPr>
            <w:tcW w:w="4216" w:type="dxa"/>
            <w:tcBorders>
              <w:right w:val="nil"/>
            </w:tcBorders>
          </w:tcPr>
          <w:p w:rsidR="00944D0A" w:rsidRPr="00944D0A" w:rsidRDefault="00944D0A" w:rsidP="004D6731">
            <w:pPr>
              <w:spacing w:before="60" w:after="60"/>
              <w:jc w:val="left"/>
              <w:rPr>
                <w:rFonts w:cs="Arial"/>
                <w:snapToGrid w:val="0"/>
                <w:color w:val="000000"/>
                <w:lang w:val="de-DE"/>
              </w:rPr>
            </w:pPr>
            <w:r w:rsidRPr="00944D0A">
              <w:rPr>
                <w:lang w:val="de-DE"/>
              </w:rPr>
              <w:t>Ganztägige Ausbildungssitzung über den Sortenschutz im Rahmen des Ausbildungsprogramms „Genetische Ressourcen und Rechte des geistigen Eigentums“ (GRIP-Lehrgang)</w:t>
            </w:r>
          </w:p>
        </w:tc>
        <w:tc>
          <w:tcPr>
            <w:tcW w:w="3014" w:type="dxa"/>
          </w:tcPr>
          <w:p w:rsidR="00944D0A" w:rsidRPr="002539B4" w:rsidRDefault="00944D0A" w:rsidP="001649DC">
            <w:pPr>
              <w:spacing w:before="60" w:after="60"/>
              <w:jc w:val="left"/>
              <w:rPr>
                <w:rFonts w:cs="Arial"/>
              </w:rPr>
            </w:pPr>
            <w:r w:rsidRPr="00710780">
              <w:t>Uppsala, Schweden</w:t>
            </w:r>
            <w:r w:rsidRPr="002539B4">
              <w:rPr>
                <w:rFonts w:cs="Arial"/>
              </w:rPr>
              <w:t xml:space="preserve"> (September)</w:t>
            </w:r>
          </w:p>
        </w:tc>
        <w:tc>
          <w:tcPr>
            <w:tcW w:w="2617" w:type="dxa"/>
          </w:tcPr>
          <w:p w:rsidR="00944D0A" w:rsidRPr="002539B4" w:rsidRDefault="00944D0A" w:rsidP="001649DC">
            <w:pPr>
              <w:spacing w:before="60" w:after="60"/>
              <w:jc w:val="left"/>
              <w:rPr>
                <w:rFonts w:cs="Arial"/>
              </w:rPr>
            </w:pPr>
            <w:r>
              <w:rPr>
                <w:rFonts w:cs="Arial"/>
              </w:rPr>
              <w:t>Aihara</w:t>
            </w:r>
          </w:p>
        </w:tc>
      </w:tr>
      <w:tr w:rsidR="00944D0A" w:rsidRPr="002539B4" w:rsidTr="001649DC">
        <w:trPr>
          <w:cantSplit/>
          <w:trHeight w:val="38"/>
          <w:jc w:val="center"/>
        </w:trPr>
        <w:tc>
          <w:tcPr>
            <w:tcW w:w="4216" w:type="dxa"/>
            <w:tcBorders>
              <w:right w:val="nil"/>
            </w:tcBorders>
          </w:tcPr>
          <w:p w:rsidR="00944D0A" w:rsidRPr="00944D0A" w:rsidRDefault="00944D0A" w:rsidP="004D6731">
            <w:pPr>
              <w:spacing w:before="60" w:after="60"/>
              <w:jc w:val="left"/>
              <w:rPr>
                <w:rFonts w:cs="Arial"/>
                <w:snapToGrid w:val="0"/>
                <w:color w:val="000000"/>
                <w:lang w:val="de-DE"/>
              </w:rPr>
            </w:pPr>
            <w:r w:rsidRPr="00944D0A">
              <w:rPr>
                <w:rFonts w:cs="Arial"/>
                <w:snapToGrid w:val="0"/>
                <w:color w:val="000000"/>
                <w:lang w:val="de-DE"/>
              </w:rPr>
              <w:t xml:space="preserve">Treffen mit Mitgliedern der </w:t>
            </w:r>
            <w:r w:rsidRPr="00944D0A">
              <w:rPr>
                <w:rFonts w:cs="Arial"/>
                <w:lang w:val="de-DE"/>
              </w:rPr>
              <w:t>IUBS</w:t>
            </w:r>
            <w:r w:rsidRPr="00944D0A">
              <w:rPr>
                <w:rFonts w:ascii="MS Gothic" w:eastAsia="MS Gothic" w:hAnsi="MS Gothic" w:cs="MS Gothic" w:hint="eastAsia"/>
                <w:lang w:val="de-DE"/>
              </w:rPr>
              <w:t>‑</w:t>
            </w:r>
            <w:r w:rsidRPr="00944D0A">
              <w:rPr>
                <w:rFonts w:cs="Arial"/>
                <w:lang w:val="de-DE"/>
              </w:rPr>
              <w:t>Kommission</w:t>
            </w:r>
          </w:p>
        </w:tc>
        <w:tc>
          <w:tcPr>
            <w:tcW w:w="3014" w:type="dxa"/>
          </w:tcPr>
          <w:p w:rsidR="00944D0A" w:rsidRDefault="00944D0A" w:rsidP="001649DC">
            <w:pPr>
              <w:spacing w:before="60" w:after="60"/>
              <w:jc w:val="left"/>
            </w:pPr>
            <w:r>
              <w:t>London, Vereinigtes Königreich</w:t>
            </w:r>
          </w:p>
          <w:p w:rsidR="00944D0A" w:rsidRPr="002539B4" w:rsidRDefault="00944D0A" w:rsidP="001649DC">
            <w:pPr>
              <w:spacing w:before="60" w:after="60"/>
              <w:jc w:val="left"/>
              <w:rPr>
                <w:rFonts w:cs="Arial"/>
              </w:rPr>
            </w:pPr>
            <w:r>
              <w:t>(Oktober)</w:t>
            </w:r>
          </w:p>
        </w:tc>
        <w:tc>
          <w:tcPr>
            <w:tcW w:w="2617" w:type="dxa"/>
          </w:tcPr>
          <w:p w:rsidR="00944D0A" w:rsidRPr="002539B4" w:rsidRDefault="00944D0A" w:rsidP="001649DC">
            <w:pPr>
              <w:spacing w:before="60" w:after="60"/>
              <w:jc w:val="left"/>
              <w:rPr>
                <w:rFonts w:cs="Arial"/>
              </w:rPr>
            </w:pPr>
            <w:r>
              <w:rPr>
                <w:rFonts w:cs="Arial"/>
              </w:rPr>
              <w:t>Button, Huerta</w:t>
            </w:r>
          </w:p>
        </w:tc>
      </w:tr>
      <w:tr w:rsidR="00944D0A" w:rsidRPr="002539B4" w:rsidTr="001649DC">
        <w:trPr>
          <w:cantSplit/>
          <w:trHeight w:val="38"/>
          <w:jc w:val="center"/>
        </w:trPr>
        <w:tc>
          <w:tcPr>
            <w:tcW w:w="4216" w:type="dxa"/>
            <w:tcBorders>
              <w:right w:val="nil"/>
            </w:tcBorders>
          </w:tcPr>
          <w:p w:rsidR="00944D0A" w:rsidRPr="00944D0A" w:rsidRDefault="00944D0A" w:rsidP="004D6731">
            <w:pPr>
              <w:spacing w:before="60" w:after="60"/>
              <w:jc w:val="left"/>
              <w:rPr>
                <w:lang w:val="de-DE"/>
              </w:rPr>
            </w:pPr>
            <w:r w:rsidRPr="00944D0A">
              <w:rPr>
                <w:rFonts w:cs="Arial"/>
                <w:snapToGrid w:val="0"/>
                <w:color w:val="000000"/>
                <w:lang w:val="de-DE"/>
              </w:rPr>
              <w:t xml:space="preserve">Gemeinsames CIOPORA-JATAFF- </w:t>
            </w:r>
            <w:r w:rsidRPr="00944D0A">
              <w:rPr>
                <w:lang w:val="de-DE"/>
              </w:rPr>
              <w:t>Symposium über Sortenschutz in Asien</w:t>
            </w:r>
          </w:p>
          <w:p w:rsidR="00944D0A" w:rsidRPr="00944D0A" w:rsidRDefault="00944D0A" w:rsidP="004D6731">
            <w:pPr>
              <w:spacing w:before="60" w:after="60"/>
              <w:jc w:val="left"/>
              <w:rPr>
                <w:lang w:val="de-DE"/>
              </w:rPr>
            </w:pPr>
          </w:p>
          <w:p w:rsidR="00944D0A" w:rsidRPr="00944D0A" w:rsidRDefault="00944D0A" w:rsidP="004D6731">
            <w:pPr>
              <w:spacing w:before="60" w:after="60"/>
              <w:jc w:val="left"/>
              <w:rPr>
                <w:rFonts w:cs="Arial"/>
                <w:snapToGrid w:val="0"/>
                <w:color w:val="000000"/>
                <w:lang w:val="de-DE"/>
              </w:rPr>
            </w:pPr>
            <w:r w:rsidRPr="00944D0A">
              <w:rPr>
                <w:lang w:val="de-DE"/>
              </w:rPr>
              <w:t>Ausbildungslehrgang über DUS für EAPVP-Sachverständige</w:t>
            </w:r>
          </w:p>
        </w:tc>
        <w:tc>
          <w:tcPr>
            <w:tcW w:w="3014" w:type="dxa"/>
          </w:tcPr>
          <w:p w:rsidR="00944D0A" w:rsidRPr="00944D0A" w:rsidRDefault="00944D0A" w:rsidP="001649DC">
            <w:pPr>
              <w:spacing w:before="60" w:after="60"/>
              <w:jc w:val="left"/>
              <w:rPr>
                <w:lang w:val="de-DE"/>
              </w:rPr>
            </w:pPr>
            <w:r w:rsidRPr="00944D0A">
              <w:rPr>
                <w:lang w:val="de-DE"/>
              </w:rPr>
              <w:t>Tokyo, Japan (Oktober)</w:t>
            </w:r>
          </w:p>
          <w:p w:rsidR="00944D0A" w:rsidRPr="00944D0A" w:rsidRDefault="00944D0A" w:rsidP="001649DC">
            <w:pPr>
              <w:spacing w:before="60" w:after="60"/>
              <w:jc w:val="left"/>
              <w:rPr>
                <w:lang w:val="de-DE"/>
              </w:rPr>
            </w:pPr>
          </w:p>
          <w:p w:rsidR="00944D0A" w:rsidRPr="00944D0A" w:rsidRDefault="00944D0A" w:rsidP="001649DC">
            <w:pPr>
              <w:spacing w:before="60" w:after="60"/>
              <w:jc w:val="left"/>
              <w:rPr>
                <w:lang w:val="de-DE"/>
              </w:rPr>
            </w:pPr>
          </w:p>
          <w:p w:rsidR="00944D0A" w:rsidRPr="00944D0A" w:rsidRDefault="00944D0A" w:rsidP="001649DC">
            <w:pPr>
              <w:spacing w:before="60" w:after="60"/>
              <w:jc w:val="left"/>
              <w:rPr>
                <w:rFonts w:cs="Arial"/>
                <w:lang w:val="de-DE"/>
              </w:rPr>
            </w:pPr>
            <w:r w:rsidRPr="00944D0A">
              <w:rPr>
                <w:lang w:val="de-DE"/>
              </w:rPr>
              <w:t>Kasaoka, Präfektur Okayama, Japan (Oktober)</w:t>
            </w:r>
          </w:p>
        </w:tc>
        <w:tc>
          <w:tcPr>
            <w:tcW w:w="2617" w:type="dxa"/>
          </w:tcPr>
          <w:p w:rsidR="00944D0A" w:rsidRPr="002539B4" w:rsidRDefault="00944D0A" w:rsidP="001649DC">
            <w:pPr>
              <w:spacing w:before="60" w:after="60"/>
              <w:jc w:val="left"/>
              <w:rPr>
                <w:rFonts w:cs="Arial"/>
              </w:rPr>
            </w:pPr>
            <w:r>
              <w:rPr>
                <w:rFonts w:cs="Arial"/>
              </w:rPr>
              <w:t>Aihara</w:t>
            </w:r>
          </w:p>
        </w:tc>
      </w:tr>
      <w:tr w:rsidR="00944D0A" w:rsidRPr="002539B4" w:rsidTr="001649DC">
        <w:trPr>
          <w:cantSplit/>
          <w:trHeight w:val="38"/>
          <w:jc w:val="center"/>
        </w:trPr>
        <w:tc>
          <w:tcPr>
            <w:tcW w:w="4216" w:type="dxa"/>
            <w:tcBorders>
              <w:right w:val="nil"/>
            </w:tcBorders>
          </w:tcPr>
          <w:p w:rsidR="00944D0A" w:rsidRPr="00944D0A" w:rsidRDefault="00944D0A" w:rsidP="004D6731">
            <w:pPr>
              <w:spacing w:before="60" w:after="60"/>
              <w:jc w:val="left"/>
              <w:rPr>
                <w:rFonts w:cs="Arial"/>
                <w:snapToGrid w:val="0"/>
                <w:color w:val="000000"/>
                <w:lang w:val="de-DE"/>
              </w:rPr>
            </w:pPr>
            <w:r w:rsidRPr="00944D0A">
              <w:rPr>
                <w:lang w:val="de-DE"/>
              </w:rPr>
              <w:t xml:space="preserve">Jahrestagung der </w:t>
            </w:r>
            <w:r w:rsidRPr="00C416F8">
              <w:rPr>
                <w:i/>
                <w:iCs/>
                <w:lang w:val="de-DE"/>
              </w:rPr>
              <w:t>European Seed Association</w:t>
            </w:r>
            <w:r w:rsidRPr="00944D0A">
              <w:rPr>
                <w:lang w:val="de-DE"/>
              </w:rPr>
              <w:t xml:space="preserve"> (ESA), einschließlich der Generalversammlung der ESA und eines Abendessens des Vorstands</w:t>
            </w:r>
          </w:p>
        </w:tc>
        <w:tc>
          <w:tcPr>
            <w:tcW w:w="3014" w:type="dxa"/>
          </w:tcPr>
          <w:p w:rsidR="00944D0A" w:rsidRPr="002539B4" w:rsidRDefault="00944D0A" w:rsidP="001649DC">
            <w:pPr>
              <w:spacing w:before="60" w:after="60"/>
              <w:jc w:val="left"/>
              <w:rPr>
                <w:rFonts w:cs="Arial"/>
              </w:rPr>
            </w:pPr>
            <w:r>
              <w:t>Brüssel, Belgien (Oktober)</w:t>
            </w:r>
          </w:p>
        </w:tc>
        <w:tc>
          <w:tcPr>
            <w:tcW w:w="2617" w:type="dxa"/>
          </w:tcPr>
          <w:p w:rsidR="00944D0A" w:rsidRPr="002539B4" w:rsidRDefault="00944D0A" w:rsidP="001649DC">
            <w:pPr>
              <w:spacing w:before="60" w:after="60"/>
              <w:jc w:val="left"/>
              <w:rPr>
                <w:rFonts w:cs="Arial"/>
              </w:rPr>
            </w:pPr>
            <w:r>
              <w:rPr>
                <w:rFonts w:cs="Arial"/>
              </w:rPr>
              <w:t>Huerta</w:t>
            </w:r>
          </w:p>
        </w:tc>
      </w:tr>
      <w:tr w:rsidR="00944D0A" w:rsidRPr="009066D5" w:rsidTr="001649DC">
        <w:trPr>
          <w:cantSplit/>
          <w:trHeight w:val="38"/>
          <w:jc w:val="center"/>
        </w:trPr>
        <w:tc>
          <w:tcPr>
            <w:tcW w:w="4216" w:type="dxa"/>
            <w:tcBorders>
              <w:right w:val="nil"/>
            </w:tcBorders>
          </w:tcPr>
          <w:p w:rsidR="00944D0A" w:rsidRPr="00944D0A" w:rsidRDefault="00C0371D" w:rsidP="004D6731">
            <w:pPr>
              <w:spacing w:before="60" w:after="60"/>
              <w:jc w:val="left"/>
              <w:rPr>
                <w:rFonts w:cs="Arial"/>
                <w:snapToGrid w:val="0"/>
                <w:color w:val="000000"/>
                <w:lang w:val="de-DE"/>
              </w:rPr>
            </w:pPr>
            <w:r>
              <w:rPr>
                <w:lang w:val="de-DE"/>
              </w:rPr>
              <w:t>Sitzung</w:t>
            </w:r>
            <w:r w:rsidR="00944D0A" w:rsidRPr="00944D0A">
              <w:rPr>
                <w:lang w:val="de-DE"/>
              </w:rPr>
              <w:t xml:space="preserve"> über </w:t>
            </w:r>
            <w:r w:rsidR="00204DE5" w:rsidRPr="00204DE5">
              <w:rPr>
                <w:lang w:val="de-DE"/>
              </w:rPr>
              <w:t>elektronische Antragsformblätter</w:t>
            </w:r>
          </w:p>
        </w:tc>
        <w:tc>
          <w:tcPr>
            <w:tcW w:w="3014" w:type="dxa"/>
          </w:tcPr>
          <w:p w:rsidR="00944D0A" w:rsidRPr="002539B4" w:rsidRDefault="00944D0A" w:rsidP="001649DC">
            <w:pPr>
              <w:spacing w:before="60" w:after="60"/>
              <w:jc w:val="left"/>
              <w:rPr>
                <w:rFonts w:cs="Arial"/>
              </w:rPr>
            </w:pPr>
            <w:r>
              <w:rPr>
                <w:rFonts w:cs="Arial"/>
              </w:rPr>
              <w:t>Genf, Schweiz</w:t>
            </w:r>
            <w:r w:rsidRPr="002539B4">
              <w:rPr>
                <w:rFonts w:cs="Arial"/>
              </w:rPr>
              <w:t xml:space="preserve"> </w:t>
            </w:r>
            <w:r>
              <w:t>(Oktober)</w:t>
            </w:r>
          </w:p>
        </w:tc>
        <w:tc>
          <w:tcPr>
            <w:tcW w:w="2617" w:type="dxa"/>
          </w:tcPr>
          <w:p w:rsidR="00944D0A" w:rsidRPr="009B3C7D" w:rsidRDefault="00944D0A" w:rsidP="001649DC">
            <w:pPr>
              <w:spacing w:before="60" w:after="60"/>
              <w:jc w:val="left"/>
              <w:rPr>
                <w:rFonts w:cs="Arial"/>
              </w:rPr>
            </w:pPr>
            <w:r w:rsidRPr="009B3C7D">
              <w:rPr>
                <w:rFonts w:cs="Arial"/>
              </w:rPr>
              <w:t>Button, Huerta, Borys, Aihara, Taveira</w:t>
            </w:r>
            <w:r>
              <w:rPr>
                <w:rFonts w:cs="Arial"/>
              </w:rPr>
              <w:t>, Besse</w:t>
            </w:r>
          </w:p>
        </w:tc>
      </w:tr>
      <w:tr w:rsidR="00944D0A" w:rsidRPr="009B3C7D" w:rsidTr="001649DC">
        <w:trPr>
          <w:cantSplit/>
          <w:trHeight w:val="38"/>
          <w:jc w:val="center"/>
        </w:trPr>
        <w:tc>
          <w:tcPr>
            <w:tcW w:w="4216" w:type="dxa"/>
            <w:tcBorders>
              <w:right w:val="nil"/>
            </w:tcBorders>
          </w:tcPr>
          <w:p w:rsidR="00944D0A" w:rsidRPr="00944D0A" w:rsidRDefault="00944D0A" w:rsidP="004D6731">
            <w:pPr>
              <w:spacing w:before="60" w:after="60"/>
              <w:jc w:val="left"/>
              <w:rPr>
                <w:rFonts w:cs="Arial"/>
                <w:snapToGrid w:val="0"/>
                <w:color w:val="000000"/>
                <w:lang w:val="de-DE"/>
              </w:rPr>
            </w:pPr>
            <w:r w:rsidRPr="00944D0A">
              <w:rPr>
                <w:lang w:val="de-DE"/>
              </w:rPr>
              <w:t xml:space="preserve">Abendessen im Rahmen einer Studienreise für hochrangige Beamte aus </w:t>
            </w:r>
            <w:r w:rsidR="00E34FD9">
              <w:rPr>
                <w:lang w:val="de-DE"/>
              </w:rPr>
              <w:t xml:space="preserve">Indonesien, </w:t>
            </w:r>
            <w:r w:rsidRPr="00944D0A">
              <w:rPr>
                <w:lang w:val="de-DE"/>
              </w:rPr>
              <w:t>Malaysia, den Phillip</w:t>
            </w:r>
            <w:r w:rsidR="00DE5DFD">
              <w:rPr>
                <w:lang w:val="de-DE"/>
              </w:rPr>
              <w:t>p</w:t>
            </w:r>
            <w:r w:rsidRPr="00944D0A">
              <w:rPr>
                <w:lang w:val="de-DE"/>
              </w:rPr>
              <w:t>inen und Thailand</w:t>
            </w:r>
          </w:p>
        </w:tc>
        <w:tc>
          <w:tcPr>
            <w:tcW w:w="3014" w:type="dxa"/>
          </w:tcPr>
          <w:p w:rsidR="00944D0A" w:rsidRPr="009B3C7D" w:rsidRDefault="00944D0A" w:rsidP="001649DC">
            <w:pPr>
              <w:spacing w:before="60" w:after="60"/>
              <w:jc w:val="left"/>
              <w:rPr>
                <w:rFonts w:cs="Arial"/>
              </w:rPr>
            </w:pPr>
            <w:r>
              <w:t>Paris, Frankreich (Oktober)</w:t>
            </w:r>
          </w:p>
        </w:tc>
        <w:tc>
          <w:tcPr>
            <w:tcW w:w="2617" w:type="dxa"/>
          </w:tcPr>
          <w:p w:rsidR="00944D0A" w:rsidRPr="009B3C7D" w:rsidRDefault="00944D0A" w:rsidP="001649DC">
            <w:pPr>
              <w:spacing w:before="60" w:after="60"/>
              <w:jc w:val="left"/>
              <w:rPr>
                <w:rFonts w:cs="Arial"/>
              </w:rPr>
            </w:pPr>
            <w:r>
              <w:rPr>
                <w:rFonts w:cs="Arial"/>
              </w:rPr>
              <w:t>Huerta, Aihara</w:t>
            </w:r>
          </w:p>
        </w:tc>
      </w:tr>
      <w:tr w:rsidR="00944D0A" w:rsidRPr="009B3C7D" w:rsidTr="001649DC">
        <w:trPr>
          <w:cantSplit/>
          <w:trHeight w:val="38"/>
          <w:jc w:val="center"/>
        </w:trPr>
        <w:tc>
          <w:tcPr>
            <w:tcW w:w="4216" w:type="dxa"/>
            <w:tcBorders>
              <w:right w:val="nil"/>
            </w:tcBorders>
          </w:tcPr>
          <w:p w:rsidR="00944D0A" w:rsidRPr="00944D0A" w:rsidRDefault="00944D0A" w:rsidP="004D6731">
            <w:pPr>
              <w:spacing w:before="60" w:after="60"/>
              <w:jc w:val="left"/>
              <w:rPr>
                <w:rFonts w:cs="Arial"/>
                <w:snapToGrid w:val="0"/>
                <w:color w:val="000000"/>
                <w:lang w:val="de-DE"/>
              </w:rPr>
            </w:pPr>
            <w:r w:rsidRPr="00944D0A">
              <w:rPr>
                <w:rFonts w:cs="Arial"/>
                <w:lang w:val="de-DE"/>
              </w:rPr>
              <w:t xml:space="preserve">Nationales Seminar der WIPO über die Auswirkungen des </w:t>
            </w:r>
            <w:r w:rsidRPr="00944D0A">
              <w:rPr>
                <w:lang w:val="de-DE"/>
              </w:rPr>
              <w:t>Vertrags über die internationale Zusammenarbeit auf dem Gebiet des Patentwesens (PCT) auf die Forschung</w:t>
            </w:r>
          </w:p>
        </w:tc>
        <w:tc>
          <w:tcPr>
            <w:tcW w:w="3014" w:type="dxa"/>
          </w:tcPr>
          <w:p w:rsidR="00944D0A" w:rsidRPr="009B3C7D" w:rsidRDefault="00944D0A" w:rsidP="001649DC">
            <w:pPr>
              <w:spacing w:before="60" w:after="60"/>
              <w:jc w:val="left"/>
              <w:rPr>
                <w:rFonts w:cs="Arial"/>
              </w:rPr>
            </w:pPr>
            <w:r>
              <w:rPr>
                <w:rFonts w:cs="Arial"/>
              </w:rPr>
              <w:t>Maputo, Mosambik</w:t>
            </w:r>
            <w:r>
              <w:t xml:space="preserve"> (Oktober)</w:t>
            </w:r>
          </w:p>
        </w:tc>
        <w:tc>
          <w:tcPr>
            <w:tcW w:w="2617" w:type="dxa"/>
          </w:tcPr>
          <w:p w:rsidR="00944D0A" w:rsidRPr="009B3C7D" w:rsidRDefault="00944D0A" w:rsidP="001649DC">
            <w:pPr>
              <w:spacing w:before="60" w:after="60"/>
              <w:jc w:val="left"/>
              <w:rPr>
                <w:rFonts w:cs="Arial"/>
              </w:rPr>
            </w:pPr>
            <w:r>
              <w:rPr>
                <w:rFonts w:cs="Arial"/>
              </w:rPr>
              <w:t>Taveira</w:t>
            </w:r>
          </w:p>
        </w:tc>
      </w:tr>
      <w:tr w:rsidR="00944D0A" w:rsidRPr="009B3C7D" w:rsidTr="001649DC">
        <w:trPr>
          <w:cantSplit/>
          <w:trHeight w:val="38"/>
          <w:jc w:val="center"/>
        </w:trPr>
        <w:tc>
          <w:tcPr>
            <w:tcW w:w="4216" w:type="dxa"/>
            <w:tcBorders>
              <w:right w:val="nil"/>
            </w:tcBorders>
          </w:tcPr>
          <w:p w:rsidR="00E34FD9" w:rsidRDefault="00944D0A" w:rsidP="004D6731">
            <w:pPr>
              <w:spacing w:before="60" w:after="60"/>
              <w:jc w:val="left"/>
              <w:rPr>
                <w:lang w:val="de-DE"/>
              </w:rPr>
            </w:pPr>
            <w:r w:rsidRPr="00944D0A">
              <w:rPr>
                <w:lang w:val="de-DE"/>
              </w:rPr>
              <w:t xml:space="preserve">Sitzung des Rates für TRIPS </w:t>
            </w:r>
          </w:p>
          <w:p w:rsidR="00944D0A" w:rsidRPr="00944D0A" w:rsidRDefault="00944D0A" w:rsidP="004D6731">
            <w:pPr>
              <w:spacing w:before="60" w:after="60"/>
              <w:jc w:val="left"/>
              <w:rPr>
                <w:rFonts w:cs="Arial"/>
                <w:snapToGrid w:val="0"/>
                <w:color w:val="000000"/>
                <w:lang w:val="de-DE"/>
              </w:rPr>
            </w:pPr>
            <w:r w:rsidRPr="00944D0A">
              <w:rPr>
                <w:lang w:val="de-DE"/>
              </w:rPr>
              <w:t>(WTO-Hauptsitz)</w:t>
            </w:r>
          </w:p>
        </w:tc>
        <w:tc>
          <w:tcPr>
            <w:tcW w:w="3014" w:type="dxa"/>
          </w:tcPr>
          <w:p w:rsidR="00944D0A" w:rsidRPr="009B3C7D" w:rsidRDefault="00944D0A" w:rsidP="001649DC">
            <w:pPr>
              <w:spacing w:before="60" w:after="60"/>
              <w:jc w:val="left"/>
              <w:rPr>
                <w:rFonts w:cs="Arial"/>
              </w:rPr>
            </w:pPr>
            <w:r>
              <w:rPr>
                <w:rFonts w:cs="Arial"/>
              </w:rPr>
              <w:t>Genf, Schweiz</w:t>
            </w:r>
            <w:r w:rsidRPr="002539B4">
              <w:rPr>
                <w:rFonts w:cs="Arial"/>
              </w:rPr>
              <w:t xml:space="preserve"> </w:t>
            </w:r>
            <w:r>
              <w:t>(Oktober)</w:t>
            </w:r>
          </w:p>
        </w:tc>
        <w:tc>
          <w:tcPr>
            <w:tcW w:w="2617" w:type="dxa"/>
          </w:tcPr>
          <w:p w:rsidR="00944D0A" w:rsidRPr="009B3C7D" w:rsidRDefault="00944D0A" w:rsidP="001649DC">
            <w:pPr>
              <w:spacing w:before="60" w:after="60"/>
              <w:jc w:val="left"/>
              <w:rPr>
                <w:rFonts w:cs="Arial"/>
              </w:rPr>
            </w:pPr>
            <w:r>
              <w:rPr>
                <w:rFonts w:cs="Arial"/>
              </w:rPr>
              <w:t>Huerta</w:t>
            </w:r>
          </w:p>
        </w:tc>
      </w:tr>
      <w:tr w:rsidR="00944D0A" w:rsidRPr="009B3C7D" w:rsidTr="001649DC">
        <w:trPr>
          <w:cantSplit/>
          <w:trHeight w:val="38"/>
          <w:jc w:val="center"/>
        </w:trPr>
        <w:tc>
          <w:tcPr>
            <w:tcW w:w="4216" w:type="dxa"/>
            <w:tcBorders>
              <w:right w:val="nil"/>
            </w:tcBorders>
          </w:tcPr>
          <w:p w:rsidR="00944D0A" w:rsidRPr="00944D0A" w:rsidRDefault="007C2539" w:rsidP="004D6731">
            <w:pPr>
              <w:spacing w:before="60" w:after="60"/>
              <w:jc w:val="left"/>
              <w:rPr>
                <w:rFonts w:cs="Arial"/>
                <w:snapToGrid w:val="0"/>
                <w:color w:val="000000"/>
                <w:lang w:val="de-DE"/>
              </w:rPr>
            </w:pPr>
            <w:r>
              <w:rPr>
                <w:lang w:val="de-DE"/>
              </w:rPr>
              <w:t xml:space="preserve">Kongreß </w:t>
            </w:r>
            <w:r w:rsidR="00944D0A" w:rsidRPr="00944D0A">
              <w:rPr>
                <w:lang w:val="de-DE"/>
              </w:rPr>
              <w:t>der Saatgutvereinigung für Asien und den Pazifik (APSA)</w:t>
            </w:r>
          </w:p>
        </w:tc>
        <w:tc>
          <w:tcPr>
            <w:tcW w:w="3014" w:type="dxa"/>
          </w:tcPr>
          <w:p w:rsidR="00944D0A" w:rsidRPr="00B134D2" w:rsidRDefault="00944D0A" w:rsidP="001649DC">
            <w:pPr>
              <w:spacing w:before="60" w:after="60"/>
              <w:jc w:val="left"/>
              <w:rPr>
                <w:rFonts w:cs="Arial"/>
              </w:rPr>
            </w:pPr>
            <w:r>
              <w:rPr>
                <w:rFonts w:cs="Arial"/>
              </w:rPr>
              <w:t xml:space="preserve">Bali, </w:t>
            </w:r>
            <w:r w:rsidRPr="004F48E2">
              <w:t>Indonesien</w:t>
            </w:r>
            <w:r>
              <w:t xml:space="preserve"> (November)</w:t>
            </w:r>
          </w:p>
        </w:tc>
        <w:tc>
          <w:tcPr>
            <w:tcW w:w="2617" w:type="dxa"/>
          </w:tcPr>
          <w:p w:rsidR="00944D0A" w:rsidRPr="009B3C7D" w:rsidRDefault="00944D0A" w:rsidP="001649DC">
            <w:pPr>
              <w:spacing w:before="60" w:after="60"/>
              <w:jc w:val="left"/>
              <w:rPr>
                <w:rFonts w:cs="Arial"/>
              </w:rPr>
            </w:pPr>
            <w:r>
              <w:rPr>
                <w:rFonts w:cs="Arial"/>
              </w:rPr>
              <w:t>Aihara</w:t>
            </w:r>
          </w:p>
        </w:tc>
      </w:tr>
      <w:tr w:rsidR="00944D0A" w:rsidRPr="002539B4" w:rsidTr="001649DC">
        <w:trPr>
          <w:cantSplit/>
          <w:jc w:val="center"/>
        </w:trPr>
        <w:tc>
          <w:tcPr>
            <w:tcW w:w="4216" w:type="dxa"/>
            <w:tcBorders>
              <w:right w:val="nil"/>
            </w:tcBorders>
          </w:tcPr>
          <w:p w:rsidR="00E34FD9" w:rsidRDefault="00944D0A" w:rsidP="004D6731">
            <w:pPr>
              <w:spacing w:before="60" w:after="60"/>
              <w:jc w:val="left"/>
              <w:rPr>
                <w:lang w:val="de-DE"/>
              </w:rPr>
            </w:pPr>
            <w:r w:rsidRPr="00944D0A">
              <w:rPr>
                <w:lang w:val="de-DE"/>
              </w:rPr>
              <w:t xml:space="preserve">Fünfte Ministerialtagung über Landwirtschaft </w:t>
            </w:r>
            <w:r w:rsidR="00E34FD9">
              <w:rPr>
                <w:lang w:val="de-DE"/>
              </w:rPr>
              <w:t>und Regionales</w:t>
            </w:r>
            <w:r w:rsidR="00E34FD9" w:rsidRPr="00944D0A">
              <w:rPr>
                <w:lang w:val="de-DE"/>
              </w:rPr>
              <w:t xml:space="preserve"> Programm für Nahrungsmittelsicherung (RPFS)</w:t>
            </w:r>
            <w:r w:rsidRPr="00944D0A">
              <w:rPr>
                <w:lang w:val="de-DE"/>
              </w:rPr>
              <w:t xml:space="preserve"> </w:t>
            </w:r>
            <w:r w:rsidR="00E34FD9" w:rsidRPr="00944D0A">
              <w:rPr>
                <w:lang w:val="de-DE"/>
              </w:rPr>
              <w:t xml:space="preserve">der Organisation für wirtschaftliche Zusammenarbeit (ECO) </w:t>
            </w:r>
            <w:r w:rsidR="00E34FD9">
              <w:rPr>
                <w:lang w:val="de-DE"/>
              </w:rPr>
              <w:t>und</w:t>
            </w:r>
          </w:p>
          <w:p w:rsidR="00944D0A" w:rsidRPr="00944D0A" w:rsidRDefault="00E34FD9" w:rsidP="004D6731">
            <w:pPr>
              <w:spacing w:before="60" w:after="60"/>
              <w:jc w:val="left"/>
              <w:rPr>
                <w:rFonts w:cs="Arial"/>
                <w:lang w:val="de-DE"/>
              </w:rPr>
            </w:pPr>
            <w:r>
              <w:rPr>
                <w:lang w:val="de-DE"/>
              </w:rPr>
              <w:t>Z</w:t>
            </w:r>
            <w:r w:rsidR="00944D0A" w:rsidRPr="00944D0A">
              <w:rPr>
                <w:lang w:val="de-DE"/>
              </w:rPr>
              <w:t xml:space="preserve">weite Spenderkonferenz </w:t>
            </w:r>
          </w:p>
        </w:tc>
        <w:tc>
          <w:tcPr>
            <w:tcW w:w="3014" w:type="dxa"/>
          </w:tcPr>
          <w:p w:rsidR="00944D0A" w:rsidRPr="002539B4" w:rsidRDefault="00944D0A" w:rsidP="001649DC">
            <w:pPr>
              <w:spacing w:before="60" w:after="60"/>
              <w:jc w:val="left"/>
              <w:rPr>
                <w:rFonts w:cs="Arial"/>
              </w:rPr>
            </w:pPr>
            <w:r>
              <w:t>Antalya, Türkei</w:t>
            </w:r>
            <w:r w:rsidRPr="00B134D2">
              <w:rPr>
                <w:rFonts w:cs="Arial"/>
              </w:rPr>
              <w:t xml:space="preserve"> </w:t>
            </w:r>
            <w:r w:rsidRPr="002539B4">
              <w:rPr>
                <w:rFonts w:cs="Arial"/>
              </w:rPr>
              <w:t>(November)</w:t>
            </w:r>
          </w:p>
        </w:tc>
        <w:tc>
          <w:tcPr>
            <w:tcW w:w="2617" w:type="dxa"/>
          </w:tcPr>
          <w:p w:rsidR="00944D0A" w:rsidRPr="002539B4" w:rsidRDefault="00944D0A" w:rsidP="001649DC">
            <w:pPr>
              <w:spacing w:before="60" w:after="60"/>
              <w:jc w:val="left"/>
              <w:rPr>
                <w:rFonts w:cs="Arial"/>
              </w:rPr>
            </w:pPr>
            <w:r>
              <w:rPr>
                <w:rFonts w:cs="Arial"/>
              </w:rPr>
              <w:t>Rivoire</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Sechste Tagung der Zwischenstaatlichen Technischen Arbeitsgruppe für pflanzengenetische Ressourcen für Ernährung und Landwirtschaft (ITWG-PGRFA) der FAO-Kommission für genetische Ressourcen für Ernährung und Landwirtschaft (CGRFA)</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t>Rom, Italien</w:t>
            </w:r>
            <w:r w:rsidRPr="002539B4">
              <w:rPr>
                <w:rFonts w:cs="Arial"/>
              </w:rPr>
              <w:t xml:space="preserve"> (November)</w:t>
            </w:r>
          </w:p>
        </w:tc>
        <w:tc>
          <w:tcPr>
            <w:tcW w:w="2617" w:type="dxa"/>
          </w:tcPr>
          <w:p w:rsidR="00944D0A" w:rsidRPr="002539B4" w:rsidRDefault="00944D0A" w:rsidP="001649DC">
            <w:pPr>
              <w:spacing w:before="60" w:after="60"/>
              <w:jc w:val="left"/>
              <w:rPr>
                <w:rFonts w:cs="Arial"/>
              </w:rPr>
            </w:pPr>
            <w:r>
              <w:rPr>
                <w:rFonts w:cs="Arial"/>
              </w:rPr>
              <w:t>Taveira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rFonts w:cs="Arial"/>
                <w:lang w:val="de-DE"/>
              </w:rPr>
              <w:t xml:space="preserve">Tagung des </w:t>
            </w:r>
            <w:r w:rsidRPr="00944D0A">
              <w:rPr>
                <w:lang w:val="de-DE"/>
              </w:rPr>
              <w:t>GRUR-Fachausschusses für den Schutz von Pflanzenzüchtungen</w:t>
            </w:r>
          </w:p>
        </w:tc>
        <w:tc>
          <w:tcPr>
            <w:tcW w:w="3014" w:type="dxa"/>
          </w:tcPr>
          <w:p w:rsidR="00944D0A" w:rsidRPr="002539B4" w:rsidRDefault="00944D0A" w:rsidP="001649DC">
            <w:pPr>
              <w:spacing w:before="60" w:after="60"/>
              <w:jc w:val="left"/>
              <w:rPr>
                <w:rFonts w:cs="Arial"/>
              </w:rPr>
            </w:pPr>
            <w:r>
              <w:t xml:space="preserve">München, Deutschland </w:t>
            </w:r>
            <w:r w:rsidRPr="002539B4">
              <w:rPr>
                <w:rFonts w:cs="Arial"/>
              </w:rPr>
              <w:t>(November)</w:t>
            </w:r>
          </w:p>
        </w:tc>
        <w:tc>
          <w:tcPr>
            <w:tcW w:w="2617" w:type="dxa"/>
          </w:tcPr>
          <w:p w:rsidR="00944D0A" w:rsidRPr="002539B4" w:rsidRDefault="00944D0A" w:rsidP="001649DC">
            <w:pPr>
              <w:spacing w:before="60" w:after="60"/>
              <w:jc w:val="left"/>
              <w:rPr>
                <w:rFonts w:cs="Arial"/>
              </w:rPr>
            </w:pPr>
            <w:r>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snapToGrid w:val="0"/>
                <w:lang w:val="de-DE"/>
              </w:rPr>
            </w:pPr>
            <w:r w:rsidRPr="00944D0A">
              <w:rPr>
                <w:lang w:val="de-DE"/>
              </w:rPr>
              <w:t>Sechsunddreißigste Tagung des ARIPO-Verwaltungsrats</w:t>
            </w:r>
          </w:p>
        </w:tc>
        <w:tc>
          <w:tcPr>
            <w:tcW w:w="3014" w:type="dxa"/>
          </w:tcPr>
          <w:p w:rsidR="00944D0A" w:rsidRPr="00944D0A" w:rsidRDefault="00944D0A" w:rsidP="001649DC">
            <w:pPr>
              <w:spacing w:before="60" w:after="60"/>
              <w:jc w:val="left"/>
              <w:rPr>
                <w:rFonts w:cs="Arial"/>
                <w:lang w:val="de-DE"/>
              </w:rPr>
            </w:pPr>
            <w:r w:rsidRPr="00944D0A">
              <w:rPr>
                <w:lang w:val="de-DE"/>
              </w:rPr>
              <w:t>Sansibar, Vereinigte Republik Tansania</w:t>
            </w:r>
            <w:r w:rsidRPr="00944D0A">
              <w:rPr>
                <w:rFonts w:cs="Arial"/>
                <w:lang w:val="de-DE"/>
              </w:rPr>
              <w:t xml:space="preserve"> (November)</w:t>
            </w:r>
          </w:p>
        </w:tc>
        <w:tc>
          <w:tcPr>
            <w:tcW w:w="2617" w:type="dxa"/>
          </w:tcPr>
          <w:p w:rsidR="00944D0A" w:rsidRPr="002539B4" w:rsidRDefault="00944D0A" w:rsidP="001649DC">
            <w:pPr>
              <w:spacing w:before="60" w:after="60"/>
              <w:jc w:val="left"/>
              <w:rPr>
                <w:rFonts w:cs="Arial"/>
              </w:rPr>
            </w:pPr>
            <w:r w:rsidRPr="002539B4">
              <w:rPr>
                <w:rFonts w:cs="Arial"/>
              </w:rPr>
              <w:t>Button</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Sechzehnte Jahrestagung zwischen de</w:t>
            </w:r>
            <w:r w:rsidR="00204DE5">
              <w:rPr>
                <w:lang w:val="de-DE"/>
              </w:rPr>
              <w:t>m</w:t>
            </w:r>
            <w:r w:rsidRPr="00944D0A">
              <w:rPr>
                <w:lang w:val="de-DE"/>
              </w:rPr>
              <w:t xml:space="preserve"> CPVO und d</w:t>
            </w:r>
            <w:r w:rsidR="00C416F8">
              <w:rPr>
                <w:lang w:val="de-DE"/>
              </w:rPr>
              <w:t>essen</w:t>
            </w:r>
            <w:r w:rsidRPr="00944D0A">
              <w:rPr>
                <w:lang w:val="de-DE"/>
              </w:rPr>
              <w:t xml:space="preserve"> Prüfungsämtern</w:t>
            </w:r>
          </w:p>
        </w:tc>
        <w:tc>
          <w:tcPr>
            <w:tcW w:w="3014" w:type="dxa"/>
          </w:tcPr>
          <w:p w:rsidR="00944D0A" w:rsidRPr="002539B4" w:rsidRDefault="00944D0A" w:rsidP="001649DC">
            <w:pPr>
              <w:spacing w:before="60" w:after="60"/>
              <w:jc w:val="left"/>
              <w:rPr>
                <w:rFonts w:cs="Arial"/>
              </w:rPr>
            </w:pPr>
            <w:r>
              <w:t>Angers, Frankreich</w:t>
            </w:r>
            <w:r w:rsidRPr="002539B4">
              <w:rPr>
                <w:rFonts w:cs="Arial"/>
              </w:rPr>
              <w:t xml:space="preserve"> (Dezember)</w:t>
            </w:r>
          </w:p>
        </w:tc>
        <w:tc>
          <w:tcPr>
            <w:tcW w:w="2617" w:type="dxa"/>
          </w:tcPr>
          <w:p w:rsidR="00944D0A" w:rsidRPr="002539B4" w:rsidRDefault="00944D0A" w:rsidP="001649DC">
            <w:pPr>
              <w:spacing w:before="60" w:after="60"/>
              <w:jc w:val="left"/>
              <w:rPr>
                <w:rFonts w:cs="Arial"/>
              </w:rPr>
            </w:pPr>
            <w:r w:rsidRPr="002539B4">
              <w:rPr>
                <w:rFonts w:cs="Arial"/>
              </w:rPr>
              <w:t>Borys</w:t>
            </w:r>
            <w:r>
              <w:rPr>
                <w:rFonts w:cs="Arial"/>
              </w:rPr>
              <w:t>, Taveira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XI</w:t>
            </w:r>
            <w:r w:rsidR="00E70B76">
              <w:rPr>
                <w:lang w:val="de-DE"/>
              </w:rPr>
              <w:t>.</w:t>
            </w:r>
            <w:r w:rsidRPr="00944D0A">
              <w:rPr>
                <w:lang w:val="de-DE"/>
              </w:rPr>
              <w:t xml:space="preserve"> Ausbildungslehrgang über den Schutz von Pflanzenzüchtungen für iberoamerikanische Länder</w:t>
            </w:r>
          </w:p>
        </w:tc>
        <w:tc>
          <w:tcPr>
            <w:tcW w:w="3014" w:type="dxa"/>
          </w:tcPr>
          <w:p w:rsidR="00944D0A" w:rsidRPr="002539B4" w:rsidRDefault="00944D0A" w:rsidP="001649DC">
            <w:pPr>
              <w:spacing w:before="60" w:after="60"/>
              <w:jc w:val="left"/>
              <w:rPr>
                <w:rFonts w:cs="Arial"/>
              </w:rPr>
            </w:pPr>
            <w:r w:rsidRPr="00944D0A">
              <w:rPr>
                <w:rFonts w:cs="Arial"/>
                <w:lang w:val="de-DE"/>
              </w:rPr>
              <w:t xml:space="preserve"> </w:t>
            </w:r>
            <w:r>
              <w:t xml:space="preserve">Montevideo, Uruguay </w:t>
            </w:r>
            <w:r w:rsidRPr="002539B4">
              <w:rPr>
                <w:rFonts w:cs="Arial"/>
              </w:rPr>
              <w:t>(Dezember)</w:t>
            </w:r>
          </w:p>
        </w:tc>
        <w:tc>
          <w:tcPr>
            <w:tcW w:w="2617" w:type="dxa"/>
          </w:tcPr>
          <w:p w:rsidR="00944D0A" w:rsidRPr="002539B4" w:rsidRDefault="00944D0A" w:rsidP="001649DC">
            <w:pPr>
              <w:spacing w:before="60" w:after="60"/>
              <w:jc w:val="left"/>
              <w:rPr>
                <w:rFonts w:cs="Arial"/>
              </w:rPr>
            </w:pPr>
            <w:r>
              <w:rPr>
                <w:rFonts w:cs="Arial"/>
              </w:rPr>
              <w:t>Taveira</w:t>
            </w:r>
          </w:p>
        </w:tc>
      </w:tr>
      <w:tr w:rsidR="00944D0A" w:rsidRPr="002539B4" w:rsidTr="001649DC">
        <w:trPr>
          <w:cantSplit/>
          <w:jc w:val="center"/>
        </w:trPr>
        <w:tc>
          <w:tcPr>
            <w:tcW w:w="4216" w:type="dxa"/>
            <w:tcBorders>
              <w:right w:val="nil"/>
            </w:tcBorders>
          </w:tcPr>
          <w:p w:rsidR="00944D0A" w:rsidRPr="00944D0A" w:rsidRDefault="00944D0A" w:rsidP="004D6731">
            <w:pPr>
              <w:spacing w:before="60" w:after="60"/>
              <w:jc w:val="left"/>
              <w:rPr>
                <w:rFonts w:cs="Arial"/>
                <w:lang w:val="de-DE"/>
              </w:rPr>
            </w:pPr>
            <w:r w:rsidRPr="00944D0A">
              <w:rPr>
                <w:lang w:val="de-DE"/>
              </w:rPr>
              <w:t>Seminar zur Sensibilisierung für Sortenschutz</w:t>
            </w:r>
          </w:p>
        </w:tc>
        <w:tc>
          <w:tcPr>
            <w:tcW w:w="3014" w:type="dxa"/>
          </w:tcPr>
          <w:p w:rsidR="00944D0A" w:rsidRPr="00944D0A" w:rsidRDefault="00944D0A" w:rsidP="001649DC">
            <w:pPr>
              <w:spacing w:before="60" w:after="60"/>
              <w:jc w:val="left"/>
              <w:rPr>
                <w:rFonts w:cs="Arial"/>
                <w:lang w:val="de-DE"/>
              </w:rPr>
            </w:pPr>
            <w:r w:rsidRPr="00944D0A">
              <w:rPr>
                <w:lang w:val="de-DE"/>
              </w:rPr>
              <w:t>Nay Pyi Taw, Myanmar</w:t>
            </w:r>
            <w:r w:rsidRPr="00944D0A">
              <w:rPr>
                <w:rFonts w:cs="Arial"/>
                <w:lang w:val="de-DE"/>
              </w:rPr>
              <w:t xml:space="preserve"> (Dezember)</w:t>
            </w:r>
          </w:p>
        </w:tc>
        <w:tc>
          <w:tcPr>
            <w:tcW w:w="2617" w:type="dxa"/>
          </w:tcPr>
          <w:p w:rsidR="00944D0A" w:rsidRPr="002539B4" w:rsidRDefault="00944D0A" w:rsidP="001649DC">
            <w:pPr>
              <w:spacing w:before="60" w:after="60"/>
              <w:jc w:val="left"/>
              <w:rPr>
                <w:rFonts w:cs="Arial"/>
              </w:rPr>
            </w:pPr>
            <w:r>
              <w:rPr>
                <w:rFonts w:cs="Arial"/>
              </w:rPr>
              <w:t>Button, Aihara</w:t>
            </w:r>
          </w:p>
        </w:tc>
      </w:tr>
    </w:tbl>
    <w:p w:rsidR="00944D0A" w:rsidRPr="002539B4" w:rsidRDefault="00944D0A" w:rsidP="00944D0A">
      <w:pPr>
        <w:rPr>
          <w:rFonts w:cs="Arial"/>
        </w:rPr>
      </w:pPr>
    </w:p>
    <w:p w:rsidR="00944D0A" w:rsidRPr="002539B4" w:rsidRDefault="00944D0A" w:rsidP="00944D0A">
      <w:pPr>
        <w:rPr>
          <w:rFonts w:cs="Arial"/>
        </w:rPr>
      </w:pPr>
    </w:p>
    <w:p w:rsidR="00944D0A" w:rsidRPr="002539B4" w:rsidRDefault="00944D0A" w:rsidP="00944D0A">
      <w:pPr>
        <w:rPr>
          <w:rFonts w:cs="Arial"/>
        </w:rPr>
      </w:pPr>
    </w:p>
    <w:p w:rsidR="00C47425" w:rsidRPr="00944D0A" w:rsidRDefault="00944D0A" w:rsidP="00944D0A">
      <w:pPr>
        <w:jc w:val="right"/>
        <w:rPr>
          <w:lang w:val="de-DE"/>
        </w:rPr>
      </w:pPr>
      <w:r w:rsidRPr="00944D0A">
        <w:rPr>
          <w:rFonts w:cs="Arial"/>
          <w:lang w:val="de-DE"/>
        </w:rPr>
        <w:t>[Anlage III folgt</w:t>
      </w:r>
      <w:r w:rsidR="00C47425" w:rsidRPr="00944D0A">
        <w:rPr>
          <w:lang w:val="de-DE"/>
        </w:rPr>
        <w:t>]</w:t>
      </w:r>
    </w:p>
    <w:p w:rsidR="00C74C0E" w:rsidRPr="00944D0A" w:rsidRDefault="00C74C0E" w:rsidP="00C74C0E">
      <w:pPr>
        <w:rPr>
          <w:lang w:val="de-DE"/>
        </w:rPr>
        <w:sectPr w:rsidR="00C74C0E" w:rsidRPr="00944D0A" w:rsidSect="00C74C0E">
          <w:headerReference w:type="default" r:id="rId14"/>
          <w:footerReference w:type="first" r:id="rId15"/>
          <w:pgSz w:w="11907" w:h="16840" w:code="9"/>
          <w:pgMar w:top="510" w:right="1134" w:bottom="1134" w:left="1134" w:header="510" w:footer="680" w:gutter="0"/>
          <w:pgNumType w:start="1"/>
          <w:cols w:space="720"/>
          <w:titlePg/>
        </w:sectPr>
      </w:pPr>
    </w:p>
    <w:p w:rsidR="000A68B4" w:rsidRPr="00944D0A" w:rsidRDefault="00C74C0E" w:rsidP="00C74C0E">
      <w:pPr>
        <w:jc w:val="center"/>
        <w:rPr>
          <w:lang w:val="de-DE"/>
        </w:rPr>
      </w:pPr>
      <w:r w:rsidRPr="00944D0A">
        <w:rPr>
          <w:lang w:val="de-DE"/>
        </w:rPr>
        <w:t>C/47/2</w:t>
      </w:r>
    </w:p>
    <w:p w:rsidR="00C74C0E" w:rsidRPr="00944D0A" w:rsidRDefault="00C74C0E" w:rsidP="00C74C0E">
      <w:pPr>
        <w:jc w:val="center"/>
        <w:rPr>
          <w:lang w:val="de-DE"/>
        </w:rPr>
      </w:pPr>
    </w:p>
    <w:p w:rsidR="00C74C0E" w:rsidRPr="00944D0A" w:rsidRDefault="00BE6871" w:rsidP="00C74C0E">
      <w:pPr>
        <w:jc w:val="center"/>
        <w:rPr>
          <w:lang w:val="de-DE"/>
        </w:rPr>
      </w:pPr>
      <w:r w:rsidRPr="00944D0A">
        <w:rPr>
          <w:lang w:val="de-DE"/>
        </w:rPr>
        <w:t>ANLAGE</w:t>
      </w:r>
      <w:r w:rsidR="00C74C0E" w:rsidRPr="00944D0A">
        <w:rPr>
          <w:lang w:val="de-DE"/>
        </w:rPr>
        <w:t xml:space="preserve"> III</w:t>
      </w:r>
    </w:p>
    <w:p w:rsidR="00C74C0E" w:rsidRPr="00944D0A" w:rsidRDefault="00C74C0E" w:rsidP="00C74C0E">
      <w:pPr>
        <w:jc w:val="center"/>
        <w:rPr>
          <w:lang w:val="de-DE"/>
        </w:rPr>
      </w:pPr>
    </w:p>
    <w:p w:rsidR="00C74C0E" w:rsidRPr="00944D0A" w:rsidRDefault="002A5260" w:rsidP="002A5260">
      <w:pPr>
        <w:jc w:val="center"/>
        <w:rPr>
          <w:lang w:val="de-DE"/>
        </w:rPr>
      </w:pPr>
      <w:r w:rsidRPr="002A5260">
        <w:rPr>
          <w:lang w:val="de-DE"/>
        </w:rPr>
        <w:t>ERGEBNISTABELLE</w:t>
      </w:r>
      <w:r w:rsidR="00C74C0E" w:rsidRPr="00944D0A">
        <w:rPr>
          <w:lang w:val="de-DE"/>
        </w:rPr>
        <w:t xml:space="preserve"> </w:t>
      </w:r>
      <w:r>
        <w:rPr>
          <w:lang w:val="de-DE"/>
        </w:rPr>
        <w:t>FÜR</w:t>
      </w:r>
      <w:r w:rsidR="00C74C0E" w:rsidRPr="00944D0A">
        <w:rPr>
          <w:lang w:val="de-DE"/>
        </w:rPr>
        <w:t xml:space="preserve"> 2012</w:t>
      </w:r>
    </w:p>
    <w:p w:rsidR="00C74C0E" w:rsidRPr="00944D0A" w:rsidRDefault="00C74C0E" w:rsidP="00C74C0E">
      <w:pPr>
        <w:jc w:val="center"/>
        <w:rPr>
          <w:lang w:val="de-DE"/>
        </w:rPr>
      </w:pPr>
    </w:p>
    <w:p w:rsidR="00C74C0E" w:rsidRPr="00944D0A" w:rsidRDefault="002A5260" w:rsidP="00C75626">
      <w:pPr>
        <w:spacing w:after="240"/>
        <w:jc w:val="center"/>
        <w:rPr>
          <w:u w:val="single"/>
          <w:lang w:val="de-DE"/>
        </w:rPr>
      </w:pPr>
      <w:r>
        <w:rPr>
          <w:u w:val="single"/>
          <w:lang w:val="de-DE"/>
        </w:rPr>
        <w:t>Inhaltsverzeichnis</w:t>
      </w:r>
    </w:p>
    <w:p w:rsidR="00C75626" w:rsidRDefault="004A094B">
      <w:pPr>
        <w:pStyle w:val="TOC3"/>
        <w:rPr>
          <w:rFonts w:asciiTheme="minorHAnsi" w:eastAsiaTheme="minorEastAsia" w:hAnsiTheme="minorHAnsi" w:cstheme="minorBidi"/>
          <w:b w:val="0"/>
          <w:noProof/>
          <w:sz w:val="22"/>
          <w:szCs w:val="22"/>
          <w:lang w:val="en-US"/>
        </w:rPr>
      </w:pPr>
      <w:r w:rsidRPr="006054BD">
        <w:rPr>
          <w:caps/>
        </w:rPr>
        <w:fldChar w:fldCharType="begin"/>
      </w:r>
      <w:r w:rsidR="00C74C0E" w:rsidRPr="00A71FDD">
        <w:rPr>
          <w:caps/>
          <w:lang w:val="de-DE"/>
        </w:rPr>
        <w:instrText xml:space="preserve"> TOC \o "3-9" \u </w:instrText>
      </w:r>
      <w:r w:rsidRPr="006054BD">
        <w:rPr>
          <w:caps/>
        </w:rPr>
        <w:fldChar w:fldCharType="separate"/>
      </w:r>
      <w:r w:rsidR="00C75626" w:rsidRPr="00105D7F">
        <w:rPr>
          <w:noProof/>
          <w:lang w:val="de-DE"/>
        </w:rPr>
        <w:t>EINLEITUNG</w:t>
      </w:r>
      <w:r w:rsidR="00C75626">
        <w:rPr>
          <w:noProof/>
        </w:rPr>
        <w:tab/>
      </w:r>
      <w:r w:rsidR="00C75626">
        <w:rPr>
          <w:noProof/>
        </w:rPr>
        <w:fldChar w:fldCharType="begin"/>
      </w:r>
      <w:r w:rsidR="00C75626">
        <w:rPr>
          <w:noProof/>
        </w:rPr>
        <w:instrText xml:space="preserve"> PAGEREF _Toc368400516 \h </w:instrText>
      </w:r>
      <w:r w:rsidR="00C75626">
        <w:rPr>
          <w:noProof/>
        </w:rPr>
      </w:r>
      <w:r w:rsidR="00C75626">
        <w:rPr>
          <w:noProof/>
        </w:rPr>
        <w:fldChar w:fldCharType="separate"/>
      </w:r>
      <w:r w:rsidR="005B3312">
        <w:rPr>
          <w:noProof/>
        </w:rPr>
        <w:t>3</w:t>
      </w:r>
      <w:r w:rsidR="00C75626">
        <w:rPr>
          <w:noProof/>
        </w:rPr>
        <w:fldChar w:fldCharType="end"/>
      </w:r>
    </w:p>
    <w:p w:rsidR="00C75626" w:rsidRDefault="00C75626">
      <w:pPr>
        <w:pStyle w:val="TOC3"/>
        <w:rPr>
          <w:rFonts w:asciiTheme="minorHAnsi" w:eastAsiaTheme="minorEastAsia" w:hAnsiTheme="minorHAnsi" w:cstheme="minorBidi"/>
          <w:b w:val="0"/>
          <w:noProof/>
          <w:sz w:val="22"/>
          <w:szCs w:val="22"/>
          <w:lang w:val="en-US"/>
        </w:rPr>
      </w:pPr>
      <w:r w:rsidRPr="00105D7F">
        <w:rPr>
          <w:rFonts w:cs="Arial"/>
          <w:noProof/>
          <w:lang w:val="de-DE"/>
        </w:rPr>
        <w:t>Unterprogramm</w:t>
      </w:r>
      <w:r w:rsidRPr="00105D7F">
        <w:rPr>
          <w:noProof/>
          <w:lang w:val="de-DE"/>
        </w:rPr>
        <w:t xml:space="preserve"> UV.1:  Allgemeine Sortenschutzpolitik</w:t>
      </w:r>
      <w:r>
        <w:rPr>
          <w:noProof/>
        </w:rPr>
        <w:tab/>
      </w:r>
      <w:r>
        <w:rPr>
          <w:noProof/>
        </w:rPr>
        <w:fldChar w:fldCharType="begin"/>
      </w:r>
      <w:r>
        <w:rPr>
          <w:noProof/>
        </w:rPr>
        <w:instrText xml:space="preserve"> PAGEREF _Toc368400517 \h </w:instrText>
      </w:r>
      <w:r>
        <w:rPr>
          <w:noProof/>
        </w:rPr>
      </w:r>
      <w:r>
        <w:rPr>
          <w:noProof/>
        </w:rPr>
        <w:fldChar w:fldCharType="separate"/>
      </w:r>
      <w:r w:rsidR="005B3312">
        <w:rPr>
          <w:noProof/>
        </w:rPr>
        <w:t>4</w:t>
      </w:r>
      <w:r>
        <w:rPr>
          <w:noProof/>
        </w:rPr>
        <w:fldChar w:fldCharType="end"/>
      </w:r>
    </w:p>
    <w:p w:rsidR="00C75626" w:rsidRDefault="00C75626">
      <w:pPr>
        <w:pStyle w:val="TOC5"/>
        <w:rPr>
          <w:rFonts w:asciiTheme="minorHAnsi" w:eastAsiaTheme="minorEastAsia" w:hAnsiTheme="minorHAnsi" w:cstheme="minorBidi"/>
          <w:sz w:val="22"/>
          <w:szCs w:val="22"/>
          <w:lang w:val="en-US"/>
        </w:rPr>
      </w:pPr>
      <w:r>
        <w:t>Ziele:</w:t>
      </w:r>
      <w:r>
        <w:tab/>
      </w:r>
      <w:r>
        <w:fldChar w:fldCharType="begin"/>
      </w:r>
      <w:r>
        <w:instrText xml:space="preserve"> PAGEREF _Toc368400518 \h </w:instrText>
      </w:r>
      <w:r>
        <w:fldChar w:fldCharType="separate"/>
      </w:r>
      <w:r w:rsidR="005B3312">
        <w:t>4</w:t>
      </w:r>
      <w:r>
        <w:fldChar w:fldCharType="end"/>
      </w:r>
    </w:p>
    <w:p w:rsidR="00C75626" w:rsidRDefault="00C75626">
      <w:pPr>
        <w:pStyle w:val="TOC5"/>
        <w:rPr>
          <w:rFonts w:asciiTheme="minorHAnsi" w:eastAsiaTheme="minorEastAsia" w:hAnsiTheme="minorHAnsi" w:cstheme="minorBidi"/>
          <w:sz w:val="22"/>
          <w:szCs w:val="22"/>
          <w:lang w:val="en-US"/>
        </w:rPr>
      </w:pPr>
      <w:r>
        <w:t>Erwartete Ergebnisse</w:t>
      </w:r>
      <w:r>
        <w:tab/>
      </w:r>
      <w:r>
        <w:fldChar w:fldCharType="begin"/>
      </w:r>
      <w:r>
        <w:instrText xml:space="preserve"> PAGEREF _Toc368400519 \h </w:instrText>
      </w:r>
      <w:r>
        <w:fldChar w:fldCharType="separate"/>
      </w:r>
      <w:r w:rsidR="005B3312">
        <w:t>4</w:t>
      </w:r>
      <w:r>
        <w:fldChar w:fldCharType="end"/>
      </w:r>
    </w:p>
    <w:p w:rsidR="00C75626" w:rsidRDefault="00C75626">
      <w:pPr>
        <w:pStyle w:val="TOC7"/>
        <w:rPr>
          <w:rFonts w:asciiTheme="minorHAnsi" w:eastAsiaTheme="minorEastAsia" w:hAnsiTheme="minorHAnsi" w:cstheme="minorBidi"/>
          <w:i w:val="0"/>
          <w:sz w:val="22"/>
          <w:szCs w:val="22"/>
        </w:rPr>
      </w:pPr>
      <w:r>
        <w:t>Erzielte Ergebnisse:  Ausgewählte Planerfüllungsindikatoren</w:t>
      </w:r>
      <w:r>
        <w:tab/>
      </w:r>
      <w:r>
        <w:fldChar w:fldCharType="begin"/>
      </w:r>
      <w:r>
        <w:instrText xml:space="preserve"> PAGEREF _Toc368400520 \h </w:instrText>
      </w:r>
      <w:r>
        <w:fldChar w:fldCharType="separate"/>
      </w:r>
      <w:r w:rsidR="005B3312">
        <w:t>4</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1.  Organisation der Tagungen des Rates und des Beratenden Ausschusses</w:t>
      </w:r>
      <w:r>
        <w:tab/>
      </w:r>
      <w:r>
        <w:fldChar w:fldCharType="begin"/>
      </w:r>
      <w:r>
        <w:instrText xml:space="preserve"> PAGEREF _Toc368400521 \h </w:instrText>
      </w:r>
      <w:r>
        <w:fldChar w:fldCharType="separate"/>
      </w:r>
      <w:r w:rsidR="005B3312">
        <w:t>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Teilnahme an den Tagungen des Rates und des Beratenden Ausschusses</w:t>
      </w:r>
      <w:r>
        <w:tab/>
      </w:r>
      <w:r>
        <w:fldChar w:fldCharType="begin"/>
      </w:r>
      <w:r>
        <w:instrText xml:space="preserve"> PAGEREF _Toc368400522 \h </w:instrText>
      </w:r>
      <w:r>
        <w:fldChar w:fldCharType="separate"/>
      </w:r>
      <w:r w:rsidR="005B3312">
        <w:t>4</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2.  Koordinierung, Überwachung und Ergebnisbewertung des Programms und Haushaltsplans für die Rechnungsperiode 2012-2013</w:t>
      </w:r>
      <w:r>
        <w:tab/>
      </w:r>
      <w:r>
        <w:fldChar w:fldCharType="begin"/>
      </w:r>
      <w:r>
        <w:instrText xml:space="preserve"> PAGEREF _Toc368400523 \h </w:instrText>
      </w:r>
      <w:r>
        <w:fldChar w:fldCharType="separate"/>
      </w:r>
      <w:r w:rsidR="005B3312">
        <w:t>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Abschluss des Programms im Rahmen des Haushaltsplans für die Rechnungsperiode 2012-2013</w:t>
      </w:r>
      <w:r>
        <w:tab/>
      </w:r>
      <w:r>
        <w:fldChar w:fldCharType="begin"/>
      </w:r>
      <w:r>
        <w:instrText xml:space="preserve"> PAGEREF _Toc368400524 \h </w:instrText>
      </w:r>
      <w:r>
        <w:fldChar w:fldCharType="separate"/>
      </w:r>
      <w:r w:rsidR="005B3312">
        <w:t>4</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3.  Aufstellung und Annahme des Programms und Haushaltsplans für die Rechnungsperiode 2014-2015</w:t>
      </w:r>
      <w:r>
        <w:tab/>
      </w:r>
      <w:r>
        <w:fldChar w:fldCharType="begin"/>
      </w:r>
      <w:r>
        <w:instrText xml:space="preserve"> PAGEREF _Toc368400525 \h </w:instrText>
      </w:r>
      <w:r>
        <w:fldChar w:fldCharType="separate"/>
      </w:r>
      <w:r w:rsidR="005B3312">
        <w:t>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Aufstellung und Annahme des Programms und Haushaltsplans für die Rechnungsperiode 2014-2015 gemäß der „Finanzordnung und ihre Durchführungsbestimmungen der UPOV”</w:t>
      </w:r>
      <w:r>
        <w:tab/>
      </w:r>
      <w:r>
        <w:fldChar w:fldCharType="begin"/>
      </w:r>
      <w:r>
        <w:instrText xml:space="preserve"> PAGEREF _Toc368400526 \h </w:instrText>
      </w:r>
      <w:r>
        <w:fldChar w:fldCharType="separate"/>
      </w:r>
      <w:r w:rsidR="005B3312">
        <w:t>4</w:t>
      </w:r>
      <w:r>
        <w:fldChar w:fldCharType="end"/>
      </w:r>
    </w:p>
    <w:p w:rsidR="00C75626" w:rsidRDefault="00C75626" w:rsidP="00C75626">
      <w:pPr>
        <w:pStyle w:val="TOC6"/>
        <w:rPr>
          <w:rFonts w:asciiTheme="minorHAnsi" w:eastAsiaTheme="minorEastAsia" w:hAnsiTheme="minorHAnsi" w:cstheme="minorBidi"/>
          <w:sz w:val="22"/>
          <w:szCs w:val="22"/>
        </w:rPr>
      </w:pPr>
      <w:r>
        <w:t>4.  Grundsätze des Rates</w:t>
      </w:r>
      <w:r>
        <w:tab/>
      </w:r>
      <w:r>
        <w:fldChar w:fldCharType="begin"/>
      </w:r>
      <w:r>
        <w:instrText xml:space="preserve"> PAGEREF _Toc368400527 \h </w:instrText>
      </w:r>
      <w:r>
        <w:fldChar w:fldCharType="separate"/>
      </w:r>
      <w:r w:rsidR="005B3312">
        <w:t>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Empfehlungen durch den Beratenden Ausschuß</w:t>
      </w:r>
      <w:r>
        <w:tab/>
      </w:r>
      <w:r>
        <w:fldChar w:fldCharType="begin"/>
      </w:r>
      <w:r>
        <w:instrText xml:space="preserve"> PAGEREF _Toc368400528 \h </w:instrText>
      </w:r>
      <w:r>
        <w:fldChar w:fldCharType="separate"/>
      </w:r>
      <w:r w:rsidR="005B3312">
        <w:t>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rFonts w:cs="Arial"/>
          <w:lang w:val="de-DE"/>
        </w:rPr>
        <w:t>(b)  Entscheidungen des Rates</w:t>
      </w:r>
      <w:r>
        <w:tab/>
      </w:r>
      <w:r>
        <w:fldChar w:fldCharType="begin"/>
      </w:r>
      <w:r>
        <w:instrText xml:space="preserve"> PAGEREF _Toc368400529 \h </w:instrText>
      </w:r>
      <w:r>
        <w:fldChar w:fldCharType="separate"/>
      </w:r>
      <w:r w:rsidR="005B3312">
        <w:t>6</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4.  Grundsätze des Rates (Fortsetzung)</w:t>
      </w:r>
      <w:r>
        <w:tab/>
      </w:r>
      <w:r>
        <w:fldChar w:fldCharType="begin"/>
      </w:r>
      <w:r>
        <w:instrText xml:space="preserve"> PAGEREF _Toc368400530 \h </w:instrText>
      </w:r>
      <w:r>
        <w:fldChar w:fldCharType="separate"/>
      </w:r>
      <w:r w:rsidR="005B3312">
        <w:t>7</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(c)  Annahme von Informations- und Positionspapieren durch den Rat</w:t>
      </w:r>
      <w:r>
        <w:tab/>
      </w:r>
      <w:r>
        <w:fldChar w:fldCharType="begin"/>
      </w:r>
      <w:r>
        <w:instrText xml:space="preserve"> PAGEREF _Toc368400531 \h </w:instrText>
      </w:r>
      <w:r>
        <w:fldChar w:fldCharType="separate"/>
      </w:r>
      <w:r w:rsidR="005B3312">
        <w:t>7</w:t>
      </w:r>
      <w:r>
        <w:fldChar w:fldCharType="end"/>
      </w:r>
    </w:p>
    <w:p w:rsidR="00C75626" w:rsidRDefault="00C75626">
      <w:pPr>
        <w:pStyle w:val="TOC3"/>
        <w:rPr>
          <w:rFonts w:asciiTheme="minorHAnsi" w:eastAsiaTheme="minorEastAsia" w:hAnsiTheme="minorHAnsi" w:cstheme="minorBidi"/>
          <w:b w:val="0"/>
          <w:noProof/>
          <w:sz w:val="22"/>
          <w:szCs w:val="22"/>
          <w:lang w:val="en-US"/>
        </w:rPr>
      </w:pPr>
      <w:r w:rsidRPr="00105D7F">
        <w:rPr>
          <w:noProof/>
          <w:lang w:val="de-DE"/>
        </w:rPr>
        <w:t>Unterprogramm UV.2:  Dienstleistungen für den Verband zur Verbesserung der Wirksamkeit des UPOV-Systems</w:t>
      </w:r>
      <w:r>
        <w:rPr>
          <w:noProof/>
        </w:rPr>
        <w:tab/>
      </w:r>
      <w:r>
        <w:rPr>
          <w:noProof/>
        </w:rPr>
        <w:fldChar w:fldCharType="begin"/>
      </w:r>
      <w:r>
        <w:rPr>
          <w:noProof/>
        </w:rPr>
        <w:instrText xml:space="preserve"> PAGEREF _Toc368400532 \h </w:instrText>
      </w:r>
      <w:r>
        <w:rPr>
          <w:noProof/>
        </w:rPr>
      </w:r>
      <w:r>
        <w:rPr>
          <w:noProof/>
        </w:rPr>
        <w:fldChar w:fldCharType="separate"/>
      </w:r>
      <w:r w:rsidR="005B3312">
        <w:rPr>
          <w:noProof/>
        </w:rPr>
        <w:t>8</w:t>
      </w:r>
      <w:r>
        <w:rPr>
          <w:noProof/>
        </w:rPr>
        <w:fldChar w:fldCharType="end"/>
      </w:r>
    </w:p>
    <w:p w:rsidR="00C75626" w:rsidRDefault="00C75626">
      <w:pPr>
        <w:pStyle w:val="TOC5"/>
        <w:rPr>
          <w:rFonts w:asciiTheme="minorHAnsi" w:eastAsiaTheme="minorEastAsia" w:hAnsiTheme="minorHAnsi" w:cstheme="minorBidi"/>
          <w:sz w:val="22"/>
          <w:szCs w:val="22"/>
          <w:lang w:val="en-US"/>
        </w:rPr>
      </w:pPr>
      <w:r>
        <w:t>Ziele:</w:t>
      </w:r>
      <w:r>
        <w:tab/>
      </w:r>
      <w:r>
        <w:fldChar w:fldCharType="begin"/>
      </w:r>
      <w:r>
        <w:instrText xml:space="preserve"> PAGEREF _Toc368400533 \h </w:instrText>
      </w:r>
      <w:r>
        <w:fldChar w:fldCharType="separate"/>
      </w:r>
      <w:r w:rsidR="005B3312">
        <w:t>8</w:t>
      </w:r>
      <w:r>
        <w:fldChar w:fldCharType="end"/>
      </w:r>
    </w:p>
    <w:p w:rsidR="00C75626" w:rsidRDefault="00C75626">
      <w:pPr>
        <w:pStyle w:val="TOC5"/>
        <w:rPr>
          <w:rFonts w:asciiTheme="minorHAnsi" w:eastAsiaTheme="minorEastAsia" w:hAnsiTheme="minorHAnsi" w:cstheme="minorBidi"/>
          <w:sz w:val="22"/>
          <w:szCs w:val="22"/>
          <w:lang w:val="en-US"/>
        </w:rPr>
      </w:pPr>
      <w:r>
        <w:t>Erwartete Ergebnisse</w:t>
      </w:r>
      <w:r>
        <w:tab/>
      </w:r>
      <w:r>
        <w:fldChar w:fldCharType="begin"/>
      </w:r>
      <w:r>
        <w:instrText xml:space="preserve"> PAGEREF _Toc368400534 \h </w:instrText>
      </w:r>
      <w:r>
        <w:fldChar w:fldCharType="separate"/>
      </w:r>
      <w:r w:rsidR="005B3312">
        <w:t>8</w:t>
      </w:r>
      <w:r>
        <w:fldChar w:fldCharType="end"/>
      </w:r>
    </w:p>
    <w:p w:rsidR="00C75626" w:rsidRDefault="00C75626">
      <w:pPr>
        <w:pStyle w:val="TOC7"/>
        <w:rPr>
          <w:rFonts w:asciiTheme="minorHAnsi" w:eastAsiaTheme="minorEastAsia" w:hAnsiTheme="minorHAnsi" w:cstheme="minorBidi"/>
          <w:i w:val="0"/>
          <w:sz w:val="22"/>
          <w:szCs w:val="22"/>
        </w:rPr>
      </w:pPr>
      <w:r>
        <w:t>Erzielte Ergebnisse:  Ausgewählte Planerfüllungsindikatoren</w:t>
      </w:r>
      <w:r>
        <w:tab/>
      </w:r>
      <w:r>
        <w:fldChar w:fldCharType="begin"/>
      </w:r>
      <w:r>
        <w:instrText xml:space="preserve"> PAGEREF _Toc368400535 \h </w:instrText>
      </w:r>
      <w:r>
        <w:fldChar w:fldCharType="separate"/>
      </w:r>
      <w:r w:rsidR="005B3312">
        <w:t>8</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 xml:space="preserve">1.  Anleitung zum </w:t>
      </w:r>
      <w:r w:rsidRPr="00105D7F">
        <w:rPr>
          <w:spacing w:val="-2"/>
          <w:lang w:val="de-DE"/>
        </w:rPr>
        <w:t>UPOV-Übereinkommen</w:t>
      </w:r>
      <w:r w:rsidRPr="00105D7F">
        <w:rPr>
          <w:lang w:val="de-DE"/>
        </w:rPr>
        <w:t xml:space="preserve"> und seiner Umsetzung sowie Informationen zu seiner Anwendung</w:t>
      </w:r>
      <w:r>
        <w:tab/>
      </w:r>
      <w:r>
        <w:fldChar w:fldCharType="begin"/>
      </w:r>
      <w:r>
        <w:instrText xml:space="preserve"> PAGEREF _Toc368400536 \h </w:instrText>
      </w:r>
      <w:r>
        <w:fldChar w:fldCharType="separate"/>
      </w:r>
      <w:r w:rsidR="005B3312">
        <w:t>8</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Annahme von neuem oder überarbeitetem Informationsmaterial zum UPOV</w:t>
      </w:r>
      <w:r w:rsidRPr="00105D7F">
        <w:rPr>
          <w:lang w:val="de-DE"/>
        </w:rPr>
        <w:noBreakHyphen/>
        <w:t>Übereinkommen</w:t>
      </w:r>
      <w:r>
        <w:tab/>
      </w:r>
      <w:r>
        <w:fldChar w:fldCharType="begin"/>
      </w:r>
      <w:r>
        <w:instrText xml:space="preserve"> PAGEREF _Toc368400537 \h </w:instrText>
      </w:r>
      <w:r>
        <w:fldChar w:fldCharType="separate"/>
      </w:r>
      <w:r w:rsidR="005B3312">
        <w:t>8</w:t>
      </w:r>
      <w:r>
        <w:fldChar w:fldCharType="end"/>
      </w:r>
    </w:p>
    <w:p w:rsidR="00C75626" w:rsidRDefault="00C75626" w:rsidP="00C75626">
      <w:pPr>
        <w:pStyle w:val="TOC8"/>
        <w:rPr>
          <w:rFonts w:asciiTheme="minorHAnsi" w:eastAsiaTheme="minorEastAsia" w:hAnsiTheme="minorHAnsi"/>
          <w:sz w:val="22"/>
          <w:szCs w:val="22"/>
        </w:rPr>
      </w:pPr>
      <w:r w:rsidRPr="00105D7F">
        <w:rPr>
          <w:lang w:val="de-DE"/>
        </w:rPr>
        <w:t>(b)  Veröffentlichung der UPOV Gazette and Newsletter</w:t>
      </w:r>
      <w:r>
        <w:tab/>
      </w:r>
      <w:r>
        <w:fldChar w:fldCharType="begin"/>
      </w:r>
      <w:r>
        <w:instrText xml:space="preserve"> PAGEREF _Toc368400538 \h </w:instrText>
      </w:r>
      <w:r>
        <w:fldChar w:fldCharType="separate"/>
      </w:r>
      <w:r w:rsidR="005B3312">
        <w:t>8</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(c)  Aufnahme von Gesetzen der Verbandsmitglieder in die UPOV Lex Datenbank</w:t>
      </w:r>
      <w:r>
        <w:tab/>
      </w:r>
      <w:r>
        <w:fldChar w:fldCharType="begin"/>
      </w:r>
      <w:r>
        <w:instrText xml:space="preserve"> PAGEREF _Toc368400539 \h </w:instrText>
      </w:r>
      <w:r>
        <w:fldChar w:fldCharType="separate"/>
      </w:r>
      <w:r w:rsidR="005B3312">
        <w:t>9</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(d)  Teilnahme an Seminaren und Symposien in Genf in Verbindung mit den Tagungen der UPOV</w:t>
      </w:r>
      <w:r>
        <w:tab/>
      </w:r>
      <w:r>
        <w:fldChar w:fldCharType="begin"/>
      </w:r>
      <w:r>
        <w:instrText xml:space="preserve"> PAGEREF _Toc368400540 \h </w:instrText>
      </w:r>
      <w:r>
        <w:fldChar w:fldCharType="separate"/>
      </w:r>
      <w:r w:rsidR="005B3312">
        <w:t>9</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2.  Anleitung zur Prüfung von Sorten</w:t>
      </w:r>
      <w:r>
        <w:tab/>
      </w:r>
      <w:r>
        <w:fldChar w:fldCharType="begin"/>
      </w:r>
      <w:r>
        <w:instrText xml:space="preserve"> PAGEREF _Toc368400541 \h </w:instrText>
      </w:r>
      <w:r>
        <w:fldChar w:fldCharType="separate"/>
      </w:r>
      <w:r w:rsidR="005B3312">
        <w:t>9</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Annahme von neuen oder überarbeiteten TGP-Dokumenten und Informationsmaterialien</w:t>
      </w:r>
      <w:r>
        <w:tab/>
      </w:r>
      <w:r>
        <w:fldChar w:fldCharType="begin"/>
      </w:r>
      <w:r>
        <w:instrText xml:space="preserve"> PAGEREF _Toc368400542 \h </w:instrText>
      </w:r>
      <w:r>
        <w:fldChar w:fldCharType="separate"/>
      </w:r>
      <w:r w:rsidR="005B3312">
        <w:t>9</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(b)  Annahme von neuen oder überarbeiteten Prüfungsrichtlinien</w:t>
      </w:r>
      <w:r>
        <w:tab/>
      </w:r>
      <w:r>
        <w:fldChar w:fldCharType="begin"/>
      </w:r>
      <w:r>
        <w:instrText xml:space="preserve"> PAGEREF _Toc368400543 \h </w:instrText>
      </w:r>
      <w:r>
        <w:fldChar w:fldCharType="separate"/>
      </w:r>
      <w:r w:rsidR="005B3312">
        <w:t>9</w:t>
      </w:r>
      <w:r>
        <w:fldChar w:fldCharType="end"/>
      </w:r>
    </w:p>
    <w:p w:rsidR="00C75626" w:rsidRDefault="00C75626" w:rsidP="00BC1931">
      <w:pPr>
        <w:pStyle w:val="TOC9"/>
        <w:rPr>
          <w:rFonts w:asciiTheme="minorHAnsi" w:eastAsiaTheme="minorEastAsia" w:hAnsiTheme="minorHAnsi" w:cstheme="minorBidi"/>
          <w:sz w:val="22"/>
          <w:szCs w:val="22"/>
        </w:rPr>
      </w:pPr>
      <w:r>
        <w:t>Abbildung 1.  Annahme von Prüfungsrichtlinien</w:t>
      </w:r>
      <w:r>
        <w:tab/>
      </w:r>
      <w:r>
        <w:fldChar w:fldCharType="begin"/>
      </w:r>
      <w:r>
        <w:instrText xml:space="preserve"> PAGEREF _Toc368400544 \h </w:instrText>
      </w:r>
      <w:r>
        <w:fldChar w:fldCharType="separate"/>
      </w:r>
      <w:r w:rsidR="005B3312">
        <w:t>10</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(c)  Teilnahme an Seminaren und Symposien in Genf in Verbindung mit den Tagungen der UPOV</w:t>
      </w:r>
      <w:r>
        <w:tab/>
      </w:r>
      <w:r>
        <w:fldChar w:fldCharType="begin"/>
      </w:r>
      <w:r>
        <w:instrText xml:space="preserve"> PAGEREF _Toc368400545 \h </w:instrText>
      </w:r>
      <w:r>
        <w:fldChar w:fldCharType="separate"/>
      </w:r>
      <w:r w:rsidR="005B3312">
        <w:t>10</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3.  Zusammenarbeit in der Prüfung auf Erteilung des Züchterrechts</w:t>
      </w:r>
      <w:r>
        <w:tab/>
      </w:r>
      <w:r>
        <w:fldChar w:fldCharType="begin"/>
      </w:r>
      <w:r>
        <w:instrText xml:space="preserve"> PAGEREF _Toc368400546 \h </w:instrText>
      </w:r>
      <w:r>
        <w:fldChar w:fldCharType="separate"/>
      </w:r>
      <w:r w:rsidR="005B3312">
        <w:t>10</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Gattungen und Arten, für die Verbandsmitglieder über praktische Erfahrung verfügen</w:t>
      </w:r>
      <w:r>
        <w:tab/>
      </w:r>
      <w:r>
        <w:fldChar w:fldCharType="begin"/>
      </w:r>
      <w:r>
        <w:instrText xml:space="preserve"> PAGEREF _Toc368400547 \h </w:instrText>
      </w:r>
      <w:r>
        <w:fldChar w:fldCharType="separate"/>
      </w:r>
      <w:r w:rsidR="005B3312">
        <w:t>10</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(b)  Gattungen und Arten, für die Verbandsmitglieder bei der DUS-Prüfung zusammenarbeiten, wie in der GENIE</w:t>
      </w:r>
      <w:r w:rsidRPr="00105D7F">
        <w:rPr>
          <w:lang w:val="de-DE"/>
        </w:rPr>
        <w:noBreakHyphen/>
        <w:t>Datenbank angegeben</w:t>
      </w:r>
      <w:r>
        <w:tab/>
      </w:r>
      <w:r>
        <w:fldChar w:fldCharType="begin"/>
      </w:r>
      <w:r>
        <w:instrText xml:space="preserve"> PAGEREF _Toc368400548 \h </w:instrText>
      </w:r>
      <w:r>
        <w:fldChar w:fldCharType="separate"/>
      </w:r>
      <w:r w:rsidR="005B3312">
        <w:t>11</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Allgemeine Zusammenarbeit</w:t>
      </w:r>
      <w:r>
        <w:tab/>
      </w:r>
      <w:r>
        <w:fldChar w:fldCharType="begin"/>
      </w:r>
      <w:r>
        <w:instrText xml:space="preserve"> PAGEREF _Toc368400549 \h </w:instrText>
      </w:r>
      <w:r>
        <w:fldChar w:fldCharType="separate"/>
      </w:r>
      <w:r w:rsidR="005B3312">
        <w:t>11</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Anzahl spezifischer bilateraler und regionaler Sortenschutzvereinbarungen</w:t>
      </w:r>
      <w:r>
        <w:tab/>
      </w:r>
      <w:r>
        <w:fldChar w:fldCharType="begin"/>
      </w:r>
      <w:r>
        <w:instrText xml:space="preserve"> PAGEREF _Toc368400550 \h </w:instrText>
      </w:r>
      <w:r>
        <w:fldChar w:fldCharType="separate"/>
      </w:r>
      <w:r w:rsidR="005B3312">
        <w:t>11</w:t>
      </w:r>
      <w:r>
        <w:fldChar w:fldCharType="end"/>
      </w:r>
    </w:p>
    <w:p w:rsidR="00C75626" w:rsidRDefault="00C75626" w:rsidP="00BC1931">
      <w:pPr>
        <w:pStyle w:val="TOC9"/>
        <w:rPr>
          <w:rFonts w:asciiTheme="minorHAnsi" w:eastAsiaTheme="minorEastAsia" w:hAnsiTheme="minorHAnsi" w:cstheme="minorBidi"/>
          <w:sz w:val="22"/>
          <w:szCs w:val="22"/>
        </w:rPr>
      </w:pPr>
      <w:r w:rsidRPr="00105D7F">
        <w:rPr>
          <w:lang w:val="de-DE"/>
        </w:rPr>
        <w:t>Abbildung 2.  Pflanzengattungen/-arten mit Zusammenarbeitsvereinbarungen, praktische Erfahrung und Eintragung der Züchterrechte in die Datenbank für Sortenschutz</w:t>
      </w:r>
      <w:r>
        <w:tab/>
      </w:r>
      <w:r>
        <w:fldChar w:fldCharType="begin"/>
      </w:r>
      <w:r>
        <w:instrText xml:space="preserve"> PAGEREF _Toc368400551 \h </w:instrText>
      </w:r>
      <w:r>
        <w:fldChar w:fldCharType="separate"/>
      </w:r>
      <w:r w:rsidR="005B3312">
        <w:t>12</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(c)  Beteiligung an der Erstellung von Prüfungsrichtlinien</w:t>
      </w:r>
      <w:r>
        <w:tab/>
      </w:r>
      <w:r>
        <w:fldChar w:fldCharType="begin"/>
      </w:r>
      <w:r>
        <w:instrText xml:space="preserve"> PAGEREF _Toc368400552 \h </w:instrText>
      </w:r>
      <w:r>
        <w:fldChar w:fldCharType="separate"/>
      </w:r>
      <w:r w:rsidR="005B3312">
        <w:t>12</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(d)  Qualität und Vollständigkeit von Daten in der Datenbank für Pflanzensorten und Qualität der Suchwerkzeuge; Einrichtungen zum Zugang zu anderen einschlägigen Daten</w:t>
      </w:r>
      <w:r>
        <w:tab/>
      </w:r>
      <w:r>
        <w:fldChar w:fldCharType="begin"/>
      </w:r>
      <w:r>
        <w:instrText xml:space="preserve"> PAGEREF _Toc368400553 \h </w:instrText>
      </w:r>
      <w:r>
        <w:fldChar w:fldCharType="separate"/>
      </w:r>
      <w:r w:rsidR="005B3312">
        <w:t>13</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(e)  In Dokument UPOV/INF/16 „Austauschbare Software“ aufgenommene Software</w:t>
      </w:r>
      <w:r>
        <w:tab/>
      </w:r>
      <w:r>
        <w:fldChar w:fldCharType="begin"/>
      </w:r>
      <w:r>
        <w:instrText xml:space="preserve"> PAGEREF _Toc368400554 \h </w:instrText>
      </w:r>
      <w:r>
        <w:fldChar w:fldCharType="separate"/>
      </w:r>
      <w:r w:rsidR="005B3312">
        <w:t>14</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4.  Mitwirkung von Verbandsmitgliedern und Betroffenen an den Tätigkeiten der Organe der UPOV</w:t>
      </w:r>
      <w:r>
        <w:tab/>
      </w:r>
      <w:r>
        <w:fldChar w:fldCharType="begin"/>
      </w:r>
      <w:r>
        <w:instrText xml:space="preserve"> PAGEREF _Toc368400555 \h </w:instrText>
      </w:r>
      <w:r>
        <w:fldChar w:fldCharType="separate"/>
      </w:r>
      <w:r w:rsidR="005B3312">
        <w:t>14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(a)  </w:t>
      </w:r>
      <w:r w:rsidRPr="00105D7F">
        <w:rPr>
          <w:color w:val="000000"/>
          <w:lang w:val="de-DE"/>
        </w:rPr>
        <w:t xml:space="preserve">Teilnahme am </w:t>
      </w:r>
      <w:r w:rsidRPr="00105D7F">
        <w:rPr>
          <w:lang w:val="de-DE"/>
        </w:rPr>
        <w:t>Verwaltungs- und Rechtsausschuß</w:t>
      </w:r>
      <w:r>
        <w:tab/>
      </w:r>
      <w:r>
        <w:fldChar w:fldCharType="begin"/>
      </w:r>
      <w:r>
        <w:instrText xml:space="preserve"> PAGEREF _Toc368400556 \h </w:instrText>
      </w:r>
      <w:r>
        <w:fldChar w:fldCharType="separate"/>
      </w:r>
      <w:r w:rsidR="005B3312">
        <w:t>14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(b)  </w:t>
      </w:r>
      <w:r w:rsidRPr="00105D7F">
        <w:rPr>
          <w:color w:val="000000"/>
          <w:lang w:val="de-DE"/>
        </w:rPr>
        <w:t xml:space="preserve">Teilnahme am </w:t>
      </w:r>
      <w:r w:rsidRPr="00105D7F">
        <w:rPr>
          <w:lang w:val="de-DE"/>
        </w:rPr>
        <w:t>Technischen Ausschuß</w:t>
      </w:r>
      <w:r>
        <w:tab/>
      </w:r>
      <w:r>
        <w:fldChar w:fldCharType="begin"/>
      </w:r>
      <w:r>
        <w:instrText xml:space="preserve"> PAGEREF _Toc368400557 \h </w:instrText>
      </w:r>
      <w:r>
        <w:fldChar w:fldCharType="separate"/>
      </w:r>
      <w:r w:rsidR="005B3312">
        <w:t>14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(c)  Teilnahme an den Tagungen der Technischen Arbeitsgruppen</w:t>
      </w:r>
      <w:r>
        <w:tab/>
      </w:r>
      <w:r>
        <w:fldChar w:fldCharType="begin"/>
      </w:r>
      <w:r>
        <w:instrText xml:space="preserve"> PAGEREF _Toc368400558 \h </w:instrText>
      </w:r>
      <w:r>
        <w:fldChar w:fldCharType="separate"/>
      </w:r>
      <w:r w:rsidR="005B3312">
        <w:t>14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(d)  Teilnahme an vorbereitenden Arbeitstagungen für die Tagungen der Technischen Arbeitsgruppen</w:t>
      </w:r>
      <w:r>
        <w:tab/>
      </w:r>
      <w:r>
        <w:fldChar w:fldCharType="begin"/>
      </w:r>
      <w:r>
        <w:instrText xml:space="preserve"> PAGEREF _Toc368400559 \h </w:instrText>
      </w:r>
      <w:r>
        <w:fldChar w:fldCharType="separate"/>
      </w:r>
      <w:r w:rsidR="005B3312">
        <w:t>14</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5.  UPOV-Dokumente und Materialien in zusätzlichen Sprachen</w:t>
      </w:r>
      <w:r>
        <w:tab/>
      </w:r>
      <w:r>
        <w:fldChar w:fldCharType="begin"/>
      </w:r>
      <w:r>
        <w:instrText xml:space="preserve"> PAGEREF _Toc368400560 \h </w:instrText>
      </w:r>
      <w:r>
        <w:fldChar w:fldCharType="separate"/>
      </w:r>
      <w:r w:rsidR="005B3312">
        <w:t>14</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Verfügbarkeit von UPOV-Dokumenten und Materialien in zusätzlichen Sprachen zu den Sprachen der UPOV (Englisch, Französisch, Deutsch und Spanisch)</w:t>
      </w:r>
      <w:r>
        <w:tab/>
      </w:r>
      <w:r>
        <w:fldChar w:fldCharType="begin"/>
      </w:r>
      <w:r>
        <w:instrText xml:space="preserve"> PAGEREF _Toc368400561 \h </w:instrText>
      </w:r>
      <w:r>
        <w:fldChar w:fldCharType="separate"/>
      </w:r>
      <w:r w:rsidR="005B3312">
        <w:t>14</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6.  Erleichterung der Anträge auf Erteilung von Züchterrechten</w:t>
      </w:r>
      <w:r>
        <w:tab/>
      </w:r>
      <w:r>
        <w:fldChar w:fldCharType="begin"/>
      </w:r>
      <w:r>
        <w:instrText xml:space="preserve"> PAGEREF _Toc368400562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Anzahl Anträge auf Erteilung von Züchterrechten</w:t>
      </w:r>
      <w:r>
        <w:tab/>
      </w:r>
      <w:r>
        <w:fldChar w:fldCharType="begin"/>
      </w:r>
      <w:r>
        <w:instrText xml:space="preserve"> PAGEREF _Toc368400563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(b)  </w:t>
      </w:r>
      <w:r w:rsidRPr="00105D7F">
        <w:rPr>
          <w:color w:val="000000"/>
          <w:lang w:val="de-DE"/>
        </w:rPr>
        <w:t>Anzahl erteilte Schutztitel</w:t>
      </w:r>
      <w:r>
        <w:tab/>
      </w:r>
      <w:r>
        <w:fldChar w:fldCharType="begin"/>
      </w:r>
      <w:r>
        <w:instrText xml:space="preserve"> PAGEREF _Toc368400564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(c)  </w:t>
      </w:r>
      <w:r w:rsidRPr="00105D7F">
        <w:rPr>
          <w:color w:val="000000"/>
          <w:lang w:val="de-DE"/>
        </w:rPr>
        <w:t>Anzahl Schutztitel, die in Kraft sind</w:t>
      </w:r>
      <w:r>
        <w:tab/>
      </w:r>
      <w:r>
        <w:fldChar w:fldCharType="begin"/>
      </w:r>
      <w:r>
        <w:instrText xml:space="preserve"> PAGEREF _Toc368400565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(d)  Anzahl Gattungen/Arten, die von den Verbandsmitgliedern geschützt werden</w:t>
      </w:r>
      <w:r>
        <w:tab/>
      </w:r>
      <w:r>
        <w:fldChar w:fldCharType="begin"/>
      </w:r>
      <w:r>
        <w:instrText xml:space="preserve"> PAGEREF _Toc368400566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(e)  Anzahl Gattungen/Arten, von denen Sorten geschützt wurden</w:t>
      </w:r>
      <w:r>
        <w:tab/>
      </w:r>
      <w:r>
        <w:fldChar w:fldCharType="begin"/>
      </w:r>
      <w:r>
        <w:instrText xml:space="preserve"> PAGEREF _Toc368400567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(f)  Verwendung der Standardverweise der UPOV in Anmeldeformblättern</w:t>
      </w:r>
      <w:r>
        <w:tab/>
      </w:r>
      <w:r>
        <w:fldChar w:fldCharType="begin"/>
      </w:r>
      <w:r>
        <w:instrText xml:space="preserve"> PAGEREF _Toc368400568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(g)  Verwendung von Blankoformblättern entsprechend dem „UPOV-Musterformblatt für die Anmeldung einer Sorte zur Erteilung des Sortenschutzes”</w:t>
      </w:r>
      <w:r>
        <w:tab/>
      </w:r>
      <w:r>
        <w:fldChar w:fldCharType="begin"/>
      </w:r>
      <w:r>
        <w:instrText xml:space="preserve"> PAGEREF _Toc368400569 \h </w:instrText>
      </w:r>
      <w:r>
        <w:fldChar w:fldCharType="separate"/>
      </w:r>
      <w:r w:rsidR="005B3312">
        <w:t>15</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 xml:space="preserve">7.  Erteilung von Auskünften über das </w:t>
      </w:r>
      <w:r w:rsidRPr="00105D7F">
        <w:rPr>
          <w:spacing w:val="-2"/>
          <w:lang w:val="de-DE"/>
        </w:rPr>
        <w:t>UPOV-Übereinkommen</w:t>
      </w:r>
      <w:r w:rsidRPr="00105D7F">
        <w:rPr>
          <w:lang w:val="de-DE"/>
        </w:rPr>
        <w:t xml:space="preserve"> an Interessensvertreter (Züchter, Produzenten, Landwirte, Saatguthändler usw.)</w:t>
      </w:r>
      <w:r>
        <w:tab/>
      </w:r>
      <w:r>
        <w:fldChar w:fldCharType="begin"/>
      </w:r>
      <w:r>
        <w:instrText xml:space="preserve"> PAGEREF _Toc368400570 \h </w:instrText>
      </w:r>
      <w:r>
        <w:fldChar w:fldCharType="separate"/>
      </w:r>
      <w:r w:rsidR="005B3312">
        <w:t>15</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Nutzerorientierte Informationen auf der UPOV-Website</w:t>
      </w:r>
      <w:r>
        <w:tab/>
      </w:r>
      <w:r>
        <w:fldChar w:fldCharType="begin"/>
      </w:r>
      <w:r>
        <w:instrText xml:space="preserve"> PAGEREF _Toc368400571 \h </w:instrText>
      </w:r>
      <w:r>
        <w:fldChar w:fldCharType="separate"/>
      </w:r>
      <w:r w:rsidR="005B3312">
        <w:t>15</w:t>
      </w:r>
      <w:r>
        <w:fldChar w:fldCharType="end"/>
      </w:r>
    </w:p>
    <w:p w:rsidR="00C75626" w:rsidRDefault="00C75626">
      <w:pPr>
        <w:pStyle w:val="TOC3"/>
        <w:rPr>
          <w:rFonts w:asciiTheme="minorHAnsi" w:eastAsiaTheme="minorEastAsia" w:hAnsiTheme="minorHAnsi" w:cstheme="minorBidi"/>
          <w:b w:val="0"/>
          <w:noProof/>
          <w:sz w:val="22"/>
          <w:szCs w:val="22"/>
          <w:lang w:val="en-US"/>
        </w:rPr>
      </w:pPr>
      <w:r w:rsidRPr="00105D7F">
        <w:rPr>
          <w:noProof/>
          <w:lang w:val="de-DE"/>
        </w:rPr>
        <w:t>Unterprogramm UV.3:  Unterstützung bei der Einführung und Umsetzung des UPOV-Systems</w:t>
      </w:r>
      <w:r>
        <w:rPr>
          <w:noProof/>
        </w:rPr>
        <w:tab/>
      </w:r>
      <w:r>
        <w:rPr>
          <w:noProof/>
        </w:rPr>
        <w:fldChar w:fldCharType="begin"/>
      </w:r>
      <w:r>
        <w:rPr>
          <w:noProof/>
        </w:rPr>
        <w:instrText xml:space="preserve"> PAGEREF _Toc368400572 \h </w:instrText>
      </w:r>
      <w:r>
        <w:rPr>
          <w:noProof/>
        </w:rPr>
      </w:r>
      <w:r>
        <w:rPr>
          <w:noProof/>
        </w:rPr>
        <w:fldChar w:fldCharType="separate"/>
      </w:r>
      <w:r w:rsidR="005B3312">
        <w:rPr>
          <w:noProof/>
        </w:rPr>
        <w:t>16</w:t>
      </w:r>
      <w:r>
        <w:rPr>
          <w:noProof/>
        </w:rPr>
        <w:fldChar w:fldCharType="end"/>
      </w:r>
    </w:p>
    <w:p w:rsidR="00C75626" w:rsidRDefault="00C75626">
      <w:pPr>
        <w:pStyle w:val="TOC5"/>
        <w:rPr>
          <w:rFonts w:asciiTheme="minorHAnsi" w:eastAsiaTheme="minorEastAsia" w:hAnsiTheme="minorHAnsi" w:cstheme="minorBidi"/>
          <w:sz w:val="22"/>
          <w:szCs w:val="22"/>
          <w:lang w:val="en-US"/>
        </w:rPr>
      </w:pPr>
      <w:r>
        <w:t>Ziele:</w:t>
      </w:r>
      <w:r>
        <w:tab/>
      </w:r>
      <w:r>
        <w:fldChar w:fldCharType="begin"/>
      </w:r>
      <w:r>
        <w:instrText xml:space="preserve"> PAGEREF _Toc368400573 \h </w:instrText>
      </w:r>
      <w:r>
        <w:fldChar w:fldCharType="separate"/>
      </w:r>
      <w:r w:rsidR="005B3312">
        <w:t>16</w:t>
      </w:r>
      <w:r>
        <w:fldChar w:fldCharType="end"/>
      </w:r>
    </w:p>
    <w:p w:rsidR="00C75626" w:rsidRDefault="00C75626">
      <w:pPr>
        <w:pStyle w:val="TOC5"/>
        <w:rPr>
          <w:rFonts w:asciiTheme="minorHAnsi" w:eastAsiaTheme="minorEastAsia" w:hAnsiTheme="minorHAnsi" w:cstheme="minorBidi"/>
          <w:sz w:val="22"/>
          <w:szCs w:val="22"/>
          <w:lang w:val="en-US"/>
        </w:rPr>
      </w:pPr>
      <w:r>
        <w:t>Erwartete Ergebnisse</w:t>
      </w:r>
      <w:r>
        <w:tab/>
      </w:r>
      <w:r>
        <w:fldChar w:fldCharType="begin"/>
      </w:r>
      <w:r>
        <w:instrText xml:space="preserve"> PAGEREF _Toc368400574 \h </w:instrText>
      </w:r>
      <w:r>
        <w:fldChar w:fldCharType="separate"/>
      </w:r>
      <w:r w:rsidR="005B3312">
        <w:t>16</w:t>
      </w:r>
      <w:r>
        <w:fldChar w:fldCharType="end"/>
      </w:r>
    </w:p>
    <w:p w:rsidR="00C75626" w:rsidRDefault="00C75626">
      <w:pPr>
        <w:pStyle w:val="TOC7"/>
        <w:rPr>
          <w:rFonts w:asciiTheme="minorHAnsi" w:eastAsiaTheme="minorEastAsia" w:hAnsiTheme="minorHAnsi" w:cstheme="minorBidi"/>
          <w:i w:val="0"/>
          <w:sz w:val="22"/>
          <w:szCs w:val="22"/>
        </w:rPr>
      </w:pPr>
      <w:r>
        <w:t>Erzielte Ergebnisse:  Ausgewählte Planerfüllungsindikatoren</w:t>
      </w:r>
      <w:r>
        <w:tab/>
      </w:r>
      <w:r>
        <w:fldChar w:fldCharType="begin"/>
      </w:r>
      <w:r>
        <w:instrText xml:space="preserve"> PAGEREF _Toc368400575 \h </w:instrText>
      </w:r>
      <w:r>
        <w:fldChar w:fldCharType="separate"/>
      </w:r>
      <w:r w:rsidR="005B3312">
        <w:t>16</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1.  Sensibilisierung für die Bedeutung von Sortenschutz gemäß dem UPOV</w:t>
      </w:r>
      <w:r w:rsidRPr="00105D7F">
        <w:rPr>
          <w:lang w:val="de-DE"/>
        </w:rPr>
        <w:noBreakHyphen/>
        <w:t>Übereinkommen</w:t>
      </w:r>
      <w:r>
        <w:tab/>
      </w:r>
      <w:r>
        <w:fldChar w:fldCharType="begin"/>
      </w:r>
      <w:r>
        <w:instrText xml:space="preserve"> PAGEREF _Toc368400576 \h </w:instrText>
      </w:r>
      <w:r>
        <w:fldChar w:fldCharType="separate"/>
      </w:r>
      <w:r w:rsidR="005B3312">
        <w:t>16</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Veröffentlichungen zur Rolle des Sortenschutzsystems, einschließlich Materialien auf der UPOV-Website</w:t>
      </w:r>
      <w:r>
        <w:tab/>
      </w:r>
      <w:r>
        <w:fldChar w:fldCharType="begin"/>
      </w:r>
      <w:r>
        <w:instrText xml:space="preserve"> PAGEREF _Toc368400577 \h </w:instrText>
      </w:r>
      <w:r>
        <w:fldChar w:fldCharType="separate"/>
      </w:r>
      <w:r w:rsidR="005B3312">
        <w:t>16</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(b)  Erteilte Auskünfte an Staaten und Organisationen bei Veranstaltungen der UPOV</w:t>
      </w:r>
      <w:r>
        <w:tab/>
      </w:r>
      <w:r>
        <w:fldChar w:fldCharType="begin"/>
      </w:r>
      <w:r>
        <w:instrText xml:space="preserve"> PAGEREF _Toc368400578 \h </w:instrText>
      </w:r>
      <w:r>
        <w:fldChar w:fldCharType="separate"/>
      </w:r>
      <w:r w:rsidR="005B3312">
        <w:t>16</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(c)  Staaten und Organisationen, die das Verbandsbüro um Unterstützung bei der Ausarbeitung von Rechtsvorschriften zum Sortenschutz ersuchten</w:t>
      </w:r>
      <w:r>
        <w:tab/>
      </w:r>
      <w:r>
        <w:fldChar w:fldCharType="begin"/>
      </w:r>
      <w:r>
        <w:instrText xml:space="preserve"> PAGEREF _Toc368400579 \h </w:instrText>
      </w:r>
      <w:r>
        <w:fldChar w:fldCharType="separate"/>
      </w:r>
      <w:r w:rsidR="005B3312">
        <w:t>16</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(d)  Staaten und Organisationen, die beim Rat der UPOV das Verfahren für den Beitritt zum UPOV-Übereinkommen eingeleitet haben</w:t>
      </w:r>
      <w:r>
        <w:tab/>
      </w:r>
      <w:r>
        <w:fldChar w:fldCharType="begin"/>
      </w:r>
      <w:r>
        <w:instrText xml:space="preserve"> PAGEREF _Toc368400580 \h </w:instrText>
      </w:r>
      <w:r>
        <w:fldChar w:fldCharType="separate"/>
      </w:r>
      <w:r w:rsidR="005B3312">
        <w:t>16</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(e)  Teilnahme an Sensibilisierungsveranstaltungen der UPOV, oder Veranstaltungen mit beteiligtem Personal der UPOV oder UPOV-Ausbildern im Namen von Personal der UPOV</w:t>
      </w:r>
      <w:r>
        <w:tab/>
      </w:r>
      <w:r>
        <w:fldChar w:fldCharType="begin"/>
      </w:r>
      <w:r>
        <w:instrText xml:space="preserve"> PAGEREF _Toc368400581 \h </w:instrText>
      </w:r>
      <w:r>
        <w:fldChar w:fldCharType="separate"/>
      </w:r>
      <w:r w:rsidR="005B3312">
        <w:t>17</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2.  Unterstützung bei der Ausarbeitung von Rechtsvorschriften zum Sortenschutz gemäß der Akte von 1991 des UPOV</w:t>
      </w:r>
      <w:r w:rsidRPr="00105D7F">
        <w:rPr>
          <w:lang w:val="de-DE"/>
        </w:rPr>
        <w:noBreakHyphen/>
        <w:t>Übereinkommens</w:t>
      </w:r>
      <w:r>
        <w:tab/>
      </w:r>
      <w:r>
        <w:fldChar w:fldCharType="begin"/>
      </w:r>
      <w:r>
        <w:instrText xml:space="preserve"> PAGEREF _Toc368400582 \h </w:instrText>
      </w:r>
      <w:r>
        <w:fldChar w:fldCharType="separate"/>
      </w:r>
      <w:r w:rsidR="005B3312">
        <w:t>18</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Staaten und Organisationen, die Kommentare zu Rechtsvorschriften erhalten haben</w:t>
      </w:r>
      <w:r>
        <w:tab/>
      </w:r>
      <w:r>
        <w:fldChar w:fldCharType="begin"/>
      </w:r>
      <w:r>
        <w:instrText xml:space="preserve"> PAGEREF _Toc368400583 \h </w:instrText>
      </w:r>
      <w:r>
        <w:fldChar w:fldCharType="separate"/>
      </w:r>
      <w:r w:rsidR="005B3312">
        <w:t>18</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(b)  Staaten und Organisationen, die eine positive Stellungnahme des Rates der UPOV erwirkt haben</w:t>
      </w:r>
      <w:r>
        <w:tab/>
      </w:r>
      <w:r>
        <w:fldChar w:fldCharType="begin"/>
      </w:r>
      <w:r>
        <w:instrText xml:space="preserve"> PAGEREF _Toc368400584 \h </w:instrText>
      </w:r>
      <w:r>
        <w:fldChar w:fldCharType="separate"/>
      </w:r>
      <w:r w:rsidR="005B3312">
        <w:t>18</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(c)  </w:t>
      </w:r>
      <w:r w:rsidRPr="00105D7F">
        <w:rPr>
          <w:color w:val="000000"/>
          <w:lang w:val="de-DE"/>
        </w:rPr>
        <w:t>Sitzungen mit Regierungsbeamten</w:t>
      </w:r>
      <w:r>
        <w:tab/>
      </w:r>
      <w:r>
        <w:fldChar w:fldCharType="begin"/>
      </w:r>
      <w:r>
        <w:instrText xml:space="preserve"> PAGEREF _Toc368400585 \h </w:instrText>
      </w:r>
      <w:r>
        <w:fldChar w:fldCharType="separate"/>
      </w:r>
      <w:r w:rsidR="005B3312">
        <w:t>18</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3.  Unterstützung von Staaten und Organisationen beim Beitritt zur Akte von 1991 des UPOV-Übereinkommens</w:t>
      </w:r>
      <w:r>
        <w:tab/>
      </w:r>
      <w:r>
        <w:fldChar w:fldCharType="begin"/>
      </w:r>
      <w:r>
        <w:instrText xml:space="preserve"> PAGEREF _Toc368400586 \h </w:instrText>
      </w:r>
      <w:r>
        <w:fldChar w:fldCharType="separate"/>
      </w:r>
      <w:r w:rsidR="005B3312">
        <w:t>18</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Staaten, die zur Akte von 1991 des UPOV-Übereinkommens beigetreten sind oder sie ratifiziert haben</w:t>
      </w:r>
      <w:r>
        <w:tab/>
      </w:r>
      <w:r>
        <w:fldChar w:fldCharType="begin"/>
      </w:r>
      <w:r>
        <w:instrText xml:space="preserve"> PAGEREF _Toc368400587 \h </w:instrText>
      </w:r>
      <w:r>
        <w:fldChar w:fldCharType="separate"/>
      </w:r>
      <w:r w:rsidR="005B3312">
        <w:t>18</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(b)  Staaten und Organisationen, die Verbandsmitglieder geworden sind</w:t>
      </w:r>
      <w:r>
        <w:tab/>
      </w:r>
      <w:r>
        <w:fldChar w:fldCharType="begin"/>
      </w:r>
      <w:r>
        <w:instrText xml:space="preserve"> PAGEREF _Toc368400588 \h </w:instrText>
      </w:r>
      <w:r>
        <w:fldChar w:fldCharType="separate"/>
      </w:r>
      <w:r w:rsidR="005B3312">
        <w:t>18</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4.  Unterstützung bei der Umsetzung wirksamer Sortenschutzsysteme gemäß der Akte von 1991 des UPOV-Übereinkommens</w:t>
      </w:r>
      <w:r>
        <w:tab/>
      </w:r>
      <w:r>
        <w:fldChar w:fldCharType="begin"/>
      </w:r>
      <w:r>
        <w:instrText xml:space="preserve"> PAGEREF _Toc368400589 \h </w:instrText>
      </w:r>
      <w:r>
        <w:fldChar w:fldCharType="separate"/>
      </w:r>
      <w:r w:rsidR="005B3312">
        <w:t>19</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(a)  </w:t>
      </w:r>
      <w:r w:rsidRPr="00105D7F">
        <w:rPr>
          <w:color w:val="000000"/>
          <w:lang w:val="de-DE"/>
        </w:rPr>
        <w:t>Teilnahme an den UPOV-Fernlehrgängen</w:t>
      </w:r>
      <w:r>
        <w:tab/>
      </w:r>
      <w:r>
        <w:fldChar w:fldCharType="begin"/>
      </w:r>
      <w:r>
        <w:instrText xml:space="preserve"> PAGEREF _Toc368400590 \h </w:instrText>
      </w:r>
      <w:r>
        <w:fldChar w:fldCharType="separate"/>
      </w:r>
      <w:r w:rsidR="005B3312">
        <w:t>19</w:t>
      </w:r>
      <w:r>
        <w:fldChar w:fldCharType="end"/>
      </w:r>
    </w:p>
    <w:p w:rsidR="00C75626" w:rsidRDefault="00C75626" w:rsidP="00BC1931">
      <w:pPr>
        <w:pStyle w:val="TOC9"/>
        <w:rPr>
          <w:rFonts w:asciiTheme="minorHAnsi" w:eastAsiaTheme="minorEastAsia" w:hAnsiTheme="minorHAnsi" w:cstheme="minorBidi"/>
          <w:sz w:val="22"/>
          <w:szCs w:val="22"/>
        </w:rPr>
      </w:pPr>
      <w:r w:rsidRPr="00105D7F">
        <w:rPr>
          <w:lang w:val="de-DE"/>
        </w:rPr>
        <w:t>Abbildung 8.  Aufschlüsselung der Teilnehmer an den Hauptsitzungen des DL-205 Lehrgangs nach Anmeldekategorien</w:t>
      </w:r>
      <w:r>
        <w:tab/>
      </w:r>
      <w:r>
        <w:fldChar w:fldCharType="begin"/>
      </w:r>
      <w:r>
        <w:instrText xml:space="preserve"> PAGEREF _Toc368400591 \h </w:instrText>
      </w:r>
      <w:r>
        <w:fldChar w:fldCharType="separate"/>
      </w:r>
      <w:r w:rsidR="005B3312">
        <w:t>20</w:t>
      </w:r>
      <w:r>
        <w:fldChar w:fldCharType="end"/>
      </w:r>
    </w:p>
    <w:p w:rsidR="00C75626" w:rsidRDefault="00C75626" w:rsidP="00BC1931">
      <w:pPr>
        <w:pStyle w:val="TOC9"/>
        <w:rPr>
          <w:rFonts w:asciiTheme="minorHAnsi" w:eastAsiaTheme="minorEastAsia" w:hAnsiTheme="minorHAnsi" w:cstheme="minorBidi"/>
          <w:sz w:val="22"/>
          <w:szCs w:val="22"/>
        </w:rPr>
      </w:pPr>
      <w:r w:rsidRPr="00105D7F">
        <w:rPr>
          <w:lang w:val="de-DE"/>
        </w:rPr>
        <w:t>Abbildung 9.  Aufschlüsselung der Teilnehmer an den Hauptsitzungen des DL-205 Lehrgangs nach Sprachen</w:t>
      </w:r>
      <w:r>
        <w:tab/>
      </w:r>
      <w:r>
        <w:fldChar w:fldCharType="begin"/>
      </w:r>
      <w:r>
        <w:instrText xml:space="preserve"> PAGEREF _Toc368400592 \h </w:instrText>
      </w:r>
      <w:r>
        <w:fldChar w:fldCharType="separate"/>
      </w:r>
      <w:r w:rsidR="005B3312">
        <w:t>20</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(b)  Teilnahme von Beobachterstaaten und -organisationen an CAJ, TC, TWP und den damit verbundenen vorbereitenden Arbeitstagungen</w:t>
      </w:r>
      <w:r>
        <w:tab/>
      </w:r>
      <w:r>
        <w:fldChar w:fldCharType="begin"/>
      </w:r>
      <w:r>
        <w:instrText xml:space="preserve"> PAGEREF _Toc368400593 \h </w:instrText>
      </w:r>
      <w:r>
        <w:fldChar w:fldCharType="separate"/>
      </w:r>
      <w:r w:rsidR="005B3312">
        <w:t>21</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(c)  </w:t>
      </w:r>
      <w:r w:rsidRPr="00105D7F">
        <w:rPr>
          <w:color w:val="000000"/>
          <w:lang w:val="de-DE"/>
        </w:rPr>
        <w:t>Teilnahme an Veranstaltungen der UPOV</w:t>
      </w:r>
      <w:r w:rsidRPr="00105D7F">
        <w:rPr>
          <w:lang w:val="de-DE"/>
        </w:rPr>
        <w:t>;</w:t>
      </w:r>
      <w:r>
        <w:tab/>
      </w:r>
      <w:r>
        <w:fldChar w:fldCharType="begin"/>
      </w:r>
      <w:r>
        <w:instrText xml:space="preserve"> PAGEREF _Toc368400594 \h </w:instrText>
      </w:r>
      <w:r>
        <w:fldChar w:fldCharType="separate"/>
      </w:r>
      <w:r w:rsidR="005B3312">
        <w:t>21</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(d)  Teilnahme an Veranstaltungen mit beteiligtem Personal der UPOV oder UPOV</w:t>
      </w:r>
      <w:r w:rsidRPr="00105D7F">
        <w:rPr>
          <w:lang w:val="de-DE"/>
        </w:rPr>
        <w:noBreakHyphen/>
        <w:t>Ausbildern im Namen von Personal der UPOV; und</w:t>
      </w:r>
      <w:r>
        <w:tab/>
      </w:r>
      <w:r>
        <w:fldChar w:fldCharType="begin"/>
      </w:r>
      <w:r>
        <w:instrText xml:space="preserve"> PAGEREF _Toc368400595 \h </w:instrText>
      </w:r>
      <w:r>
        <w:fldChar w:fldCharType="separate"/>
      </w:r>
      <w:r w:rsidR="005B3312">
        <w:t>21</w:t>
      </w:r>
      <w:r>
        <w:fldChar w:fldCharType="end"/>
      </w:r>
    </w:p>
    <w:p w:rsidR="00C75626" w:rsidRDefault="00C75626" w:rsidP="00C75626">
      <w:pPr>
        <w:pStyle w:val="TOC8"/>
        <w:rPr>
          <w:rFonts w:asciiTheme="minorHAnsi" w:eastAsiaTheme="minorEastAsia" w:hAnsiTheme="minorHAnsi"/>
          <w:sz w:val="22"/>
          <w:szCs w:val="22"/>
        </w:rPr>
      </w:pPr>
      <w:r w:rsidRPr="00105D7F">
        <w:rPr>
          <w:lang w:val="de-DE"/>
        </w:rPr>
        <w:t>(e)  Ausbildung durch UPOV-Ausbilder an Nicht-UPOV-Veranstaltungen</w:t>
      </w:r>
      <w:r>
        <w:tab/>
      </w:r>
      <w:r>
        <w:fldChar w:fldCharType="begin"/>
      </w:r>
      <w:r>
        <w:instrText xml:space="preserve"> PAGEREF _Toc368400596 \h </w:instrText>
      </w:r>
      <w:r>
        <w:fldChar w:fldCharType="separate"/>
      </w:r>
      <w:r w:rsidR="005B3312">
        <w:t>21</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(f)  Durchführung von Projekten mit Partnerorganisationen und Gebern</w:t>
      </w:r>
      <w:r>
        <w:tab/>
      </w:r>
      <w:r>
        <w:fldChar w:fldCharType="begin"/>
      </w:r>
      <w:r>
        <w:instrText xml:space="preserve"> PAGEREF _Toc368400597 \h </w:instrText>
      </w:r>
      <w:r>
        <w:fldChar w:fldCharType="separate"/>
      </w:r>
      <w:r w:rsidR="005B3312">
        <w:t>21</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(g)  Anwendung der Webseite „Unterstützung“ zur Erwirkung von Projektförderung</w:t>
      </w:r>
      <w:r>
        <w:tab/>
      </w:r>
      <w:r>
        <w:fldChar w:fldCharType="begin"/>
      </w:r>
      <w:r>
        <w:instrText xml:space="preserve"> PAGEREF _Toc368400598 \h </w:instrText>
      </w:r>
      <w:r>
        <w:fldChar w:fldCharType="separate"/>
      </w:r>
      <w:r w:rsidR="005B3312">
        <w:t>21</w:t>
      </w:r>
      <w:r>
        <w:fldChar w:fldCharType="end"/>
      </w:r>
    </w:p>
    <w:p w:rsidR="00C75626" w:rsidRDefault="00C75626">
      <w:pPr>
        <w:pStyle w:val="TOC3"/>
        <w:rPr>
          <w:rFonts w:asciiTheme="minorHAnsi" w:eastAsiaTheme="minorEastAsia" w:hAnsiTheme="minorHAnsi" w:cstheme="minorBidi"/>
          <w:b w:val="0"/>
          <w:noProof/>
          <w:sz w:val="22"/>
          <w:szCs w:val="22"/>
          <w:lang w:val="en-US"/>
        </w:rPr>
      </w:pPr>
      <w:r w:rsidRPr="00105D7F">
        <w:rPr>
          <w:noProof/>
          <w:lang w:val="de-DE"/>
        </w:rPr>
        <w:t xml:space="preserve">Unterprogramm UV.4:  Externe </w:t>
      </w:r>
      <w:r w:rsidRPr="00105D7F">
        <w:rPr>
          <w:noProof/>
          <w:lang w:val="de-DE" w:eastAsia="de-DE"/>
        </w:rPr>
        <w:t>Beziehungen</w:t>
      </w:r>
      <w:r>
        <w:rPr>
          <w:noProof/>
        </w:rPr>
        <w:tab/>
      </w:r>
      <w:r>
        <w:rPr>
          <w:noProof/>
        </w:rPr>
        <w:fldChar w:fldCharType="begin"/>
      </w:r>
      <w:r>
        <w:rPr>
          <w:noProof/>
        </w:rPr>
        <w:instrText xml:space="preserve"> PAGEREF _Toc368400599 \h </w:instrText>
      </w:r>
      <w:r>
        <w:rPr>
          <w:noProof/>
        </w:rPr>
      </w:r>
      <w:r>
        <w:rPr>
          <w:noProof/>
        </w:rPr>
        <w:fldChar w:fldCharType="separate"/>
      </w:r>
      <w:r w:rsidR="005B3312">
        <w:rPr>
          <w:noProof/>
        </w:rPr>
        <w:t>22</w:t>
      </w:r>
      <w:r>
        <w:rPr>
          <w:noProof/>
        </w:rPr>
        <w:fldChar w:fldCharType="end"/>
      </w:r>
    </w:p>
    <w:p w:rsidR="00C75626" w:rsidRDefault="00C75626">
      <w:pPr>
        <w:pStyle w:val="TOC5"/>
        <w:rPr>
          <w:rFonts w:asciiTheme="minorHAnsi" w:eastAsiaTheme="minorEastAsia" w:hAnsiTheme="minorHAnsi" w:cstheme="minorBidi"/>
          <w:sz w:val="22"/>
          <w:szCs w:val="22"/>
          <w:lang w:val="en-US"/>
        </w:rPr>
      </w:pPr>
      <w:r>
        <w:t>Ziele:</w:t>
      </w:r>
      <w:r>
        <w:tab/>
      </w:r>
      <w:r>
        <w:fldChar w:fldCharType="begin"/>
      </w:r>
      <w:r>
        <w:instrText xml:space="preserve"> PAGEREF _Toc368400600 \h </w:instrText>
      </w:r>
      <w:r>
        <w:fldChar w:fldCharType="separate"/>
      </w:r>
      <w:r w:rsidR="005B3312">
        <w:t>22</w:t>
      </w:r>
      <w:r>
        <w:fldChar w:fldCharType="end"/>
      </w:r>
    </w:p>
    <w:p w:rsidR="00C75626" w:rsidRDefault="00C75626">
      <w:pPr>
        <w:pStyle w:val="TOC5"/>
        <w:rPr>
          <w:rFonts w:asciiTheme="minorHAnsi" w:eastAsiaTheme="minorEastAsia" w:hAnsiTheme="minorHAnsi" w:cstheme="minorBidi"/>
          <w:sz w:val="22"/>
          <w:szCs w:val="22"/>
          <w:lang w:val="en-US"/>
        </w:rPr>
      </w:pPr>
      <w:r>
        <w:t>Erwartete Ergebnisse</w:t>
      </w:r>
      <w:r>
        <w:tab/>
      </w:r>
      <w:r>
        <w:fldChar w:fldCharType="begin"/>
      </w:r>
      <w:r>
        <w:instrText xml:space="preserve"> PAGEREF _Toc368400601 \h </w:instrText>
      </w:r>
      <w:r>
        <w:fldChar w:fldCharType="separate"/>
      </w:r>
      <w:r w:rsidR="005B3312">
        <w:t>22</w:t>
      </w:r>
      <w:r>
        <w:fldChar w:fldCharType="end"/>
      </w:r>
    </w:p>
    <w:p w:rsidR="00C75626" w:rsidRDefault="00C75626">
      <w:pPr>
        <w:pStyle w:val="TOC7"/>
        <w:rPr>
          <w:rFonts w:asciiTheme="minorHAnsi" w:eastAsiaTheme="minorEastAsia" w:hAnsiTheme="minorHAnsi" w:cstheme="minorBidi"/>
          <w:i w:val="0"/>
          <w:sz w:val="22"/>
          <w:szCs w:val="22"/>
        </w:rPr>
      </w:pPr>
      <w:r>
        <w:t>Erzielte Ergebnisse:  Ausgewählte Planerfüllungsindikatoren</w:t>
      </w:r>
      <w:r>
        <w:tab/>
      </w:r>
      <w:r>
        <w:fldChar w:fldCharType="begin"/>
      </w:r>
      <w:r>
        <w:instrText xml:space="preserve"> PAGEREF _Toc368400602 \h </w:instrText>
      </w:r>
      <w:r>
        <w:fldChar w:fldCharType="separate"/>
      </w:r>
      <w:r w:rsidR="005B3312">
        <w:t>22</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1.  Vertieftes öffentliches Verständnis der Rolle und Tätigkeit der UPOV</w:t>
      </w:r>
      <w:r>
        <w:tab/>
      </w:r>
      <w:r>
        <w:fldChar w:fldCharType="begin"/>
      </w:r>
      <w:r>
        <w:instrText xml:space="preserve"> PAGEREF _Toc368400603 \h </w:instrText>
      </w:r>
      <w:r>
        <w:fldChar w:fldCharType="separate"/>
      </w:r>
      <w:r w:rsidR="005B3312">
        <w:t>22</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Verfügbarkeit öffentlichkeitsorientierter Informationen und Materialen auf der UPOV</w:t>
      </w:r>
      <w:r w:rsidRPr="00105D7F">
        <w:rPr>
          <w:lang w:val="de-DE"/>
        </w:rPr>
        <w:noBreakHyphen/>
        <w:t>Website</w:t>
      </w:r>
      <w:r>
        <w:tab/>
      </w:r>
      <w:r>
        <w:fldChar w:fldCharType="begin"/>
      </w:r>
      <w:r>
        <w:instrText xml:space="preserve"> PAGEREF _Toc368400604 \h </w:instrText>
      </w:r>
      <w:r>
        <w:fldChar w:fldCharType="separate"/>
      </w:r>
      <w:r w:rsidR="005B3312">
        <w:t>22</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 xml:space="preserve">(b)  </w:t>
      </w:r>
      <w:r w:rsidRPr="00105D7F">
        <w:rPr>
          <w:color w:val="000000"/>
          <w:lang w:val="de-DE"/>
        </w:rPr>
        <w:t>Anzahl Besuche der UPOV-Website</w:t>
      </w:r>
      <w:r>
        <w:tab/>
      </w:r>
      <w:r>
        <w:fldChar w:fldCharType="begin"/>
      </w:r>
      <w:r>
        <w:instrText xml:space="preserve"> PAGEREF _Toc368400605 \h </w:instrText>
      </w:r>
      <w:r>
        <w:fldChar w:fldCharType="separate"/>
      </w:r>
      <w:r w:rsidR="005B3312">
        <w:t>22</w:t>
      </w:r>
      <w:r>
        <w:fldChar w:fldCharType="end"/>
      </w:r>
    </w:p>
    <w:p w:rsidR="00C75626" w:rsidRDefault="00C75626" w:rsidP="00C75626">
      <w:pPr>
        <w:pStyle w:val="TOC6"/>
        <w:rPr>
          <w:rFonts w:asciiTheme="minorHAnsi" w:eastAsiaTheme="minorEastAsia" w:hAnsiTheme="minorHAnsi" w:cstheme="minorBidi"/>
          <w:sz w:val="22"/>
          <w:szCs w:val="22"/>
        </w:rPr>
      </w:pPr>
      <w:r w:rsidRPr="00105D7F">
        <w:rPr>
          <w:lang w:val="de-DE"/>
        </w:rPr>
        <w:t>2.  Erteilung von Auskünften an andere Organisationen</w:t>
      </w:r>
      <w:r>
        <w:tab/>
      </w:r>
      <w:r>
        <w:fldChar w:fldCharType="begin"/>
      </w:r>
      <w:r>
        <w:instrText xml:space="preserve"> PAGEREF _Toc368400606 \h </w:instrText>
      </w:r>
      <w:r>
        <w:fldChar w:fldCharType="separate"/>
      </w:r>
      <w:r w:rsidR="005B3312">
        <w:t>23</w:t>
      </w:r>
      <w:r>
        <w:fldChar w:fldCharType="end"/>
      </w:r>
    </w:p>
    <w:p w:rsidR="00C75626" w:rsidRDefault="00C75626" w:rsidP="00C75626">
      <w:pPr>
        <w:pStyle w:val="TOC8"/>
        <w:rPr>
          <w:rFonts w:asciiTheme="minorHAnsi" w:eastAsiaTheme="minorEastAsia" w:hAnsiTheme="minorHAnsi" w:cstheme="minorBidi"/>
          <w:sz w:val="22"/>
          <w:szCs w:val="22"/>
        </w:rPr>
      </w:pPr>
      <w:r w:rsidRPr="00105D7F">
        <w:rPr>
          <w:lang w:val="de-DE"/>
        </w:rPr>
        <w:t>(a)  Teilnahme an Sitzungen von und mit einschlägigen Organisationen</w:t>
      </w:r>
      <w:r>
        <w:tab/>
      </w:r>
      <w:r>
        <w:fldChar w:fldCharType="begin"/>
      </w:r>
      <w:r>
        <w:instrText xml:space="preserve"> PAGEREF _Toc368400607 \h </w:instrText>
      </w:r>
      <w:r>
        <w:fldChar w:fldCharType="separate"/>
      </w:r>
      <w:r w:rsidR="005B3312">
        <w:t>23</w:t>
      </w:r>
      <w:r>
        <w:fldChar w:fldCharType="end"/>
      </w:r>
    </w:p>
    <w:p w:rsidR="00C75626" w:rsidRDefault="00C75626" w:rsidP="00C75626">
      <w:pPr>
        <w:pStyle w:val="TOC8"/>
        <w:rPr>
          <w:rFonts w:asciiTheme="minorHAnsi" w:eastAsiaTheme="minorEastAsia" w:hAnsiTheme="minorHAnsi" w:cstheme="minorBidi"/>
          <w:sz w:val="22"/>
          <w:szCs w:val="22"/>
        </w:rPr>
      </w:pPr>
      <w:r>
        <w:t xml:space="preserve">(b)  </w:t>
      </w:r>
      <w:r w:rsidRPr="00105D7F">
        <w:t>Beiträge für einschlägige Organisationen</w:t>
      </w:r>
      <w:r>
        <w:tab/>
      </w:r>
      <w:r>
        <w:fldChar w:fldCharType="begin"/>
      </w:r>
      <w:r>
        <w:instrText xml:space="preserve"> PAGEREF _Toc368400608 \h </w:instrText>
      </w:r>
      <w:r>
        <w:fldChar w:fldCharType="separate"/>
      </w:r>
      <w:r w:rsidR="005B3312">
        <w:t>23</w:t>
      </w:r>
      <w:r>
        <w:fldChar w:fldCharType="end"/>
      </w:r>
    </w:p>
    <w:p w:rsidR="00C74C0E" w:rsidRPr="00C75626" w:rsidRDefault="004A094B" w:rsidP="00C75626">
      <w:pPr>
        <w:rPr>
          <w:sz w:val="4"/>
          <w:szCs w:val="4"/>
        </w:rPr>
      </w:pPr>
      <w:r w:rsidRPr="006054BD">
        <w:rPr>
          <w:lang w:val="fr-FR"/>
        </w:rPr>
        <w:fldChar w:fldCharType="end"/>
      </w:r>
    </w:p>
    <w:p w:rsidR="00C75626" w:rsidRDefault="00C75626" w:rsidP="00874D39">
      <w:pPr>
        <w:pStyle w:val="Heading3"/>
        <w:rPr>
          <w:lang w:val="de-DE"/>
        </w:rPr>
        <w:sectPr w:rsidR="00C75626" w:rsidSect="00C75626">
          <w:headerReference w:type="default" r:id="rId16"/>
          <w:pgSz w:w="11907" w:h="16840" w:code="9"/>
          <w:pgMar w:top="510" w:right="1134" w:bottom="851" w:left="1134" w:header="510" w:footer="680" w:gutter="0"/>
          <w:pgNumType w:start="1"/>
          <w:cols w:space="720"/>
          <w:titlePg/>
        </w:sectPr>
      </w:pPr>
      <w:bookmarkStart w:id="52" w:name="_Toc368400516"/>
    </w:p>
    <w:p w:rsidR="00C74C0E" w:rsidRPr="00874D39" w:rsidRDefault="00874D39" w:rsidP="00874D39">
      <w:pPr>
        <w:pStyle w:val="Heading3"/>
        <w:rPr>
          <w:lang w:val="de-DE"/>
        </w:rPr>
      </w:pPr>
      <w:r w:rsidRPr="00874D39">
        <w:rPr>
          <w:lang w:val="de-DE"/>
        </w:rPr>
        <w:t>EINLEITUNG</w:t>
      </w:r>
      <w:bookmarkEnd w:id="52"/>
    </w:p>
    <w:p w:rsidR="00C74C0E" w:rsidRPr="00874D39" w:rsidRDefault="00C74C0E" w:rsidP="00C74C0E">
      <w:pPr>
        <w:rPr>
          <w:caps/>
          <w:lang w:val="de-DE"/>
        </w:rPr>
      </w:pPr>
    </w:p>
    <w:p w:rsidR="00874D39" w:rsidRPr="002539B4" w:rsidRDefault="00874D39" w:rsidP="00A71FDD">
      <w:pPr>
        <w:rPr>
          <w:rFonts w:cs="Arial"/>
          <w:lang w:val="de-DE"/>
        </w:rPr>
      </w:pPr>
      <w:r w:rsidRPr="002539B4">
        <w:rPr>
          <w:rFonts w:cs="Arial"/>
          <w:lang w:val="de-DE"/>
        </w:rPr>
        <w:t>1.</w:t>
      </w:r>
      <w:r w:rsidRPr="002539B4">
        <w:rPr>
          <w:rFonts w:cs="Arial"/>
          <w:lang w:val="de-DE"/>
        </w:rPr>
        <w:tab/>
        <w:t>Dieser Bericht faßt die in der Rechnungsperiode 201</w:t>
      </w:r>
      <w:r w:rsidR="00A71FDD">
        <w:rPr>
          <w:rFonts w:cs="Arial"/>
          <w:lang w:val="de-DE"/>
        </w:rPr>
        <w:t>2</w:t>
      </w:r>
      <w:r w:rsidRPr="002539B4">
        <w:rPr>
          <w:rFonts w:cs="Arial"/>
          <w:lang w:val="de-DE"/>
        </w:rPr>
        <w:t xml:space="preserve"> erzielten Ergebnisse zusammen. Der Aufbau des Berichts folgt dem Programm und Haushaltsplan (Dokument C/4</w:t>
      </w:r>
      <w:r w:rsidR="00A71FDD">
        <w:rPr>
          <w:rFonts w:cs="Arial"/>
          <w:lang w:val="de-DE"/>
        </w:rPr>
        <w:t>5</w:t>
      </w:r>
      <w:r w:rsidRPr="002539B4">
        <w:rPr>
          <w:rFonts w:cs="Arial"/>
          <w:lang w:val="de-DE"/>
        </w:rPr>
        <w:t>/</w:t>
      </w:r>
      <w:r w:rsidR="00A71FDD">
        <w:rPr>
          <w:rFonts w:cs="Arial"/>
          <w:lang w:val="de-DE"/>
        </w:rPr>
        <w:t>4</w:t>
      </w:r>
      <w:r w:rsidR="008635D3">
        <w:rPr>
          <w:rFonts w:cs="Arial"/>
          <w:lang w:val="de-DE"/>
        </w:rPr>
        <w:t xml:space="preserve"> Rev. 2</w:t>
      </w:r>
      <w:r w:rsidRPr="002539B4">
        <w:rPr>
          <w:rFonts w:cs="Arial"/>
          <w:lang w:val="de-DE"/>
        </w:rPr>
        <w:t xml:space="preserve">), der vom Rat auf seiner </w:t>
      </w:r>
      <w:r w:rsidR="00A71FDD">
        <w:rPr>
          <w:rFonts w:cs="Arial"/>
          <w:lang w:val="de-DE"/>
        </w:rPr>
        <w:t>fünf</w:t>
      </w:r>
      <w:r w:rsidRPr="002539B4">
        <w:rPr>
          <w:rFonts w:cs="Arial"/>
          <w:lang w:val="de-DE"/>
        </w:rPr>
        <w:t>undvierzigsten ordentlichen Tagung vom 2</w:t>
      </w:r>
      <w:r w:rsidR="00A71FDD">
        <w:rPr>
          <w:rFonts w:cs="Arial"/>
          <w:lang w:val="de-DE"/>
        </w:rPr>
        <w:t>0</w:t>
      </w:r>
      <w:r w:rsidRPr="002539B4">
        <w:rPr>
          <w:rFonts w:cs="Arial"/>
          <w:lang w:val="de-DE"/>
        </w:rPr>
        <w:t>. Oktober 20</w:t>
      </w:r>
      <w:r w:rsidR="00A71FDD">
        <w:rPr>
          <w:rFonts w:cs="Arial"/>
          <w:lang w:val="de-DE"/>
        </w:rPr>
        <w:t>11</w:t>
      </w:r>
      <w:r w:rsidRPr="002539B4">
        <w:rPr>
          <w:rFonts w:cs="Arial"/>
          <w:lang w:val="de-DE"/>
        </w:rPr>
        <w:t xml:space="preserve"> angenommen wurde.</w:t>
      </w:r>
    </w:p>
    <w:p w:rsidR="00874D39" w:rsidRPr="002539B4" w:rsidRDefault="00874D39" w:rsidP="00874D39">
      <w:pPr>
        <w:rPr>
          <w:rFonts w:cs="Arial"/>
          <w:lang w:val="de-DE"/>
        </w:rPr>
      </w:pPr>
    </w:p>
    <w:p w:rsidR="00874D39" w:rsidRPr="002539B4" w:rsidRDefault="00874D39" w:rsidP="005661B5">
      <w:pPr>
        <w:rPr>
          <w:rFonts w:cs="Arial"/>
          <w:lang w:val="de-DE"/>
        </w:rPr>
      </w:pPr>
      <w:r w:rsidRPr="002539B4">
        <w:rPr>
          <w:rFonts w:cs="Arial"/>
          <w:lang w:val="de-DE"/>
        </w:rPr>
        <w:t>2.</w:t>
      </w:r>
      <w:r w:rsidRPr="002539B4">
        <w:rPr>
          <w:rFonts w:cs="Arial"/>
          <w:lang w:val="de-DE"/>
        </w:rPr>
        <w:tab/>
        <w:t xml:space="preserve">Der Wortlaut vermittelt eine kurze Zusammenfassung über die Fortschritte hinsichtlich der Erreichung der Ziele auf der Ebene der Unterprogramme, gefolgt von Ergebnisbewertungstabellen, in denen Informationen zu den Zielen, erwartete Ergebnisse und Planerfüllungsindikatoren zusammengefasst werden. </w:t>
      </w:r>
    </w:p>
    <w:p w:rsidR="00820784" w:rsidRPr="00A71FDD" w:rsidRDefault="00C74C0E" w:rsidP="00874D39">
      <w:pPr>
        <w:pStyle w:val="Heading3"/>
        <w:rPr>
          <w:lang w:val="de-DE"/>
        </w:rPr>
      </w:pPr>
      <w:r w:rsidRPr="00A71FDD">
        <w:rPr>
          <w:lang w:val="de-DE"/>
        </w:rPr>
        <w:br w:type="page"/>
      </w:r>
      <w:bookmarkStart w:id="53" w:name="_Toc368400517"/>
      <w:bookmarkStart w:id="54" w:name="_Toc336331192"/>
      <w:bookmarkStart w:id="55" w:name="_Toc336339182"/>
      <w:r w:rsidR="00874D39" w:rsidRPr="00A71FDD">
        <w:rPr>
          <w:rFonts w:cs="Arial"/>
          <w:szCs w:val="18"/>
          <w:lang w:val="de-DE"/>
        </w:rPr>
        <w:t>Unterprogramm</w:t>
      </w:r>
      <w:r w:rsidR="00874D39" w:rsidRPr="00A71FDD">
        <w:rPr>
          <w:lang w:val="de-DE"/>
        </w:rPr>
        <w:t xml:space="preserve"> </w:t>
      </w:r>
      <w:r w:rsidR="00820784" w:rsidRPr="00A71FDD">
        <w:rPr>
          <w:lang w:val="de-DE"/>
        </w:rPr>
        <w:t>UV.1:  </w:t>
      </w:r>
      <w:r w:rsidR="00874D39" w:rsidRPr="00A71FDD">
        <w:rPr>
          <w:lang w:val="de-DE"/>
        </w:rPr>
        <w:t>Allgemeine Sortenschutzpolitik</w:t>
      </w:r>
      <w:bookmarkEnd w:id="53"/>
    </w:p>
    <w:p w:rsidR="00820784" w:rsidRPr="00A71FDD" w:rsidRDefault="00820784" w:rsidP="00820784">
      <w:pPr>
        <w:rPr>
          <w:sz w:val="18"/>
          <w:szCs w:val="18"/>
          <w:lang w:val="de-DE"/>
        </w:rPr>
      </w:pPr>
    </w:p>
    <w:p w:rsidR="00820784" w:rsidRPr="00A71FDD" w:rsidRDefault="00A71FDD" w:rsidP="00A71FDD">
      <w:pPr>
        <w:rPr>
          <w:sz w:val="18"/>
          <w:szCs w:val="18"/>
          <w:lang w:val="de-DE"/>
        </w:rPr>
      </w:pPr>
      <w:r w:rsidRPr="00A71FDD">
        <w:rPr>
          <w:sz w:val="18"/>
          <w:szCs w:val="18"/>
          <w:lang w:val="de-DE"/>
        </w:rPr>
        <w:t>Die Tagungen</w:t>
      </w:r>
      <w:r w:rsidR="001F52DE" w:rsidRPr="00A71FDD">
        <w:rPr>
          <w:sz w:val="18"/>
          <w:szCs w:val="18"/>
          <w:lang w:val="de-DE"/>
        </w:rPr>
        <w:t xml:space="preserve"> </w:t>
      </w:r>
      <w:r w:rsidRPr="00A71FDD">
        <w:rPr>
          <w:sz w:val="18"/>
          <w:szCs w:val="18"/>
          <w:lang w:val="de-DE"/>
        </w:rPr>
        <w:t>des Rates und des Beratenden Ausschusses bildeten die Grundlage für Beschlußfassung, Verwaltung und Koordinierung aller Tätigkeiten des Hauptprogramms der UPOV</w:t>
      </w:r>
      <w:r w:rsidR="00F40261" w:rsidRPr="00A71FDD">
        <w:rPr>
          <w:sz w:val="18"/>
          <w:szCs w:val="18"/>
          <w:lang w:val="de-DE"/>
        </w:rPr>
        <w:t>.</w:t>
      </w:r>
    </w:p>
    <w:p w:rsidR="00820784" w:rsidRPr="00A71FDD" w:rsidRDefault="00820784" w:rsidP="00820784">
      <w:pPr>
        <w:rPr>
          <w:sz w:val="18"/>
          <w:szCs w:val="18"/>
          <w:lang w:val="de-DE"/>
        </w:rPr>
      </w:pPr>
    </w:p>
    <w:p w:rsidR="00820784" w:rsidRPr="00A71FDD" w:rsidRDefault="00820784" w:rsidP="00820784">
      <w:pPr>
        <w:rPr>
          <w:sz w:val="18"/>
          <w:szCs w:val="18"/>
          <w:lang w:val="de-DE"/>
        </w:rPr>
      </w:pPr>
    </w:p>
    <w:tbl>
      <w:tblPr>
        <w:tblW w:w="9889" w:type="dxa"/>
        <w:tblLayout w:type="fixed"/>
        <w:tblLook w:val="0000" w:firstRow="0" w:lastRow="0" w:firstColumn="0" w:lastColumn="0" w:noHBand="0" w:noVBand="0"/>
      </w:tblPr>
      <w:tblGrid>
        <w:gridCol w:w="2093"/>
        <w:gridCol w:w="7796"/>
      </w:tblGrid>
      <w:tr w:rsidR="00820784" w:rsidRPr="00DE5DFD" w:rsidTr="006E1FFB">
        <w:tc>
          <w:tcPr>
            <w:tcW w:w="2093" w:type="dxa"/>
          </w:tcPr>
          <w:p w:rsidR="00820784" w:rsidRPr="006054BD" w:rsidRDefault="00A71FDD" w:rsidP="000476CE">
            <w:pPr>
              <w:pStyle w:val="Heading5"/>
            </w:pPr>
            <w:bookmarkStart w:id="56" w:name="_Toc368400518"/>
            <w:r>
              <w:t>Ziele</w:t>
            </w:r>
            <w:r w:rsidR="00820784" w:rsidRPr="006054BD">
              <w:t>:</w:t>
            </w:r>
            <w:bookmarkEnd w:id="56"/>
          </w:p>
        </w:tc>
        <w:tc>
          <w:tcPr>
            <w:tcW w:w="7796" w:type="dxa"/>
            <w:vAlign w:val="center"/>
          </w:tcPr>
          <w:p w:rsidR="00820784" w:rsidRPr="006054BD" w:rsidRDefault="00A71FDD" w:rsidP="00820784">
            <w:pPr>
              <w:keepNext/>
              <w:keepLines/>
              <w:widowControl w:val="0"/>
              <w:numPr>
                <w:ilvl w:val="0"/>
                <w:numId w:val="18"/>
              </w:numPr>
              <w:jc w:val="left"/>
              <w:rPr>
                <w:b/>
                <w:i/>
                <w:sz w:val="18"/>
                <w:szCs w:val="18"/>
              </w:rPr>
            </w:pPr>
            <w:r w:rsidRPr="00A71FDD">
              <w:rPr>
                <w:sz w:val="18"/>
                <w:szCs w:val="18"/>
              </w:rPr>
              <w:t>Politische Orientierung und Geschäftsführung</w:t>
            </w:r>
            <w:r>
              <w:rPr>
                <w:sz w:val="18"/>
                <w:szCs w:val="18"/>
              </w:rPr>
              <w:t>.</w:t>
            </w:r>
          </w:p>
          <w:p w:rsidR="00820784" w:rsidRPr="00A71FDD" w:rsidRDefault="00A71FDD" w:rsidP="00820784">
            <w:pPr>
              <w:keepNext/>
              <w:keepLines/>
              <w:widowControl w:val="0"/>
              <w:numPr>
                <w:ilvl w:val="0"/>
                <w:numId w:val="18"/>
              </w:numPr>
              <w:jc w:val="left"/>
              <w:rPr>
                <w:b/>
                <w:sz w:val="18"/>
                <w:szCs w:val="18"/>
                <w:lang w:val="de-DE"/>
              </w:rPr>
            </w:pPr>
            <w:r w:rsidRPr="00A71FDD">
              <w:rPr>
                <w:sz w:val="18"/>
                <w:szCs w:val="18"/>
                <w:lang w:val="de-DE"/>
              </w:rPr>
              <w:t>Planung, Umsetzung und Bewertung des Programms und des Haushaltsplans</w:t>
            </w:r>
            <w:r w:rsidR="00820784" w:rsidRPr="00A71FDD">
              <w:rPr>
                <w:sz w:val="18"/>
                <w:szCs w:val="18"/>
                <w:lang w:val="de-DE"/>
              </w:rPr>
              <w:t>.</w:t>
            </w:r>
          </w:p>
        </w:tc>
      </w:tr>
    </w:tbl>
    <w:p w:rsidR="00820784" w:rsidRPr="00A71FDD" w:rsidRDefault="00820784" w:rsidP="00820784">
      <w:pPr>
        <w:rPr>
          <w:sz w:val="18"/>
          <w:szCs w:val="18"/>
          <w:lang w:val="de-DE"/>
        </w:rPr>
      </w:pPr>
    </w:p>
    <w:p w:rsidR="00820784" w:rsidRPr="00A71FDD" w:rsidRDefault="00820784" w:rsidP="00820784">
      <w:pPr>
        <w:rPr>
          <w:sz w:val="18"/>
          <w:szCs w:val="18"/>
          <w:lang w:val="de-DE"/>
        </w:rPr>
      </w:pPr>
    </w:p>
    <w:tbl>
      <w:tblPr>
        <w:tblW w:w="9889" w:type="dxa"/>
        <w:tblLayout w:type="fixed"/>
        <w:tblLook w:val="0000" w:firstRow="0" w:lastRow="0" w:firstColumn="0" w:lastColumn="0" w:noHBand="0" w:noVBand="0"/>
      </w:tblPr>
      <w:tblGrid>
        <w:gridCol w:w="2093"/>
        <w:gridCol w:w="7796"/>
      </w:tblGrid>
      <w:tr w:rsidR="00820784" w:rsidRPr="006054BD" w:rsidTr="006E1FFB">
        <w:tc>
          <w:tcPr>
            <w:tcW w:w="2093" w:type="dxa"/>
            <w:shd w:val="clear" w:color="auto" w:fill="auto"/>
          </w:tcPr>
          <w:p w:rsidR="00820784" w:rsidRPr="006054BD" w:rsidRDefault="00A71FDD" w:rsidP="000476CE">
            <w:pPr>
              <w:pStyle w:val="Heading5"/>
            </w:pPr>
            <w:bookmarkStart w:id="57" w:name="_Toc368400519"/>
            <w:r>
              <w:t>Erwartete Ergebnisse</w:t>
            </w:r>
            <w:bookmarkEnd w:id="57"/>
          </w:p>
        </w:tc>
        <w:tc>
          <w:tcPr>
            <w:tcW w:w="7796" w:type="dxa"/>
            <w:shd w:val="clear" w:color="auto" w:fill="auto"/>
          </w:tcPr>
          <w:p w:rsidR="00820784" w:rsidRPr="006054BD" w:rsidRDefault="00A71FDD" w:rsidP="00820784">
            <w:pPr>
              <w:pStyle w:val="Heading7"/>
              <w:rPr>
                <w:szCs w:val="18"/>
              </w:rPr>
            </w:pPr>
            <w:bookmarkStart w:id="58" w:name="_Toc368400520"/>
            <w:r>
              <w:rPr>
                <w:szCs w:val="18"/>
              </w:rPr>
              <w:t>Erzielte Ergebnisse</w:t>
            </w:r>
            <w:r w:rsidR="00820784" w:rsidRPr="006054BD">
              <w:rPr>
                <w:szCs w:val="18"/>
              </w:rPr>
              <w:t xml:space="preserve">:  </w:t>
            </w:r>
            <w:r>
              <w:rPr>
                <w:szCs w:val="18"/>
              </w:rPr>
              <w:t>Ausgewählte Planerfüllungsindikatoren</w:t>
            </w:r>
            <w:bookmarkEnd w:id="58"/>
          </w:p>
        </w:tc>
      </w:tr>
      <w:tr w:rsidR="00820784" w:rsidRPr="00DE5DFD" w:rsidTr="006E1FFB">
        <w:tc>
          <w:tcPr>
            <w:tcW w:w="2093" w:type="dxa"/>
            <w:shd w:val="clear" w:color="auto" w:fill="auto"/>
          </w:tcPr>
          <w:p w:rsidR="00820784" w:rsidRPr="003F377D" w:rsidRDefault="00820784" w:rsidP="00114294">
            <w:pPr>
              <w:pStyle w:val="Heading6"/>
              <w:rPr>
                <w:b/>
                <w:lang w:val="de-DE"/>
              </w:rPr>
            </w:pPr>
            <w:bookmarkStart w:id="59" w:name="_Toc368400521"/>
            <w:r w:rsidRPr="003F377D">
              <w:rPr>
                <w:lang w:val="de-DE"/>
              </w:rPr>
              <w:t>1.  </w:t>
            </w:r>
            <w:r w:rsidR="003F377D" w:rsidRPr="003F377D">
              <w:rPr>
                <w:lang w:val="de-DE"/>
              </w:rPr>
              <w:t>Organisation der Tagungen des Rates und des Beratenden Ausschusses</w:t>
            </w:r>
            <w:bookmarkEnd w:id="59"/>
          </w:p>
        </w:tc>
        <w:tc>
          <w:tcPr>
            <w:tcW w:w="7796" w:type="dxa"/>
            <w:shd w:val="clear" w:color="auto" w:fill="auto"/>
          </w:tcPr>
          <w:p w:rsidR="00820784" w:rsidRPr="003F377D" w:rsidRDefault="00E163EA" w:rsidP="009462BE">
            <w:pPr>
              <w:pStyle w:val="Heading8"/>
              <w:rPr>
                <w:szCs w:val="18"/>
                <w:lang w:val="de-DE"/>
              </w:rPr>
            </w:pPr>
            <w:bookmarkStart w:id="60" w:name="_Toc368400522"/>
            <w:r w:rsidRPr="003F377D">
              <w:rPr>
                <w:szCs w:val="18"/>
                <w:lang w:val="de-DE"/>
              </w:rPr>
              <w:t>(a)</w:t>
            </w:r>
            <w:r w:rsidR="00820784" w:rsidRPr="003F377D">
              <w:rPr>
                <w:szCs w:val="18"/>
                <w:lang w:val="de-DE"/>
              </w:rPr>
              <w:t>  </w:t>
            </w:r>
            <w:r w:rsidR="003F377D" w:rsidRPr="003F377D">
              <w:rPr>
                <w:szCs w:val="18"/>
                <w:lang w:val="de-DE"/>
              </w:rPr>
              <w:t>Teilnahme an den Tagungen des Rates und des Beratenden Ausschusses</w:t>
            </w:r>
            <w:bookmarkEnd w:id="60"/>
          </w:p>
          <w:p w:rsidR="00820784" w:rsidRPr="003F377D" w:rsidRDefault="003F377D" w:rsidP="009462BE">
            <w:pPr>
              <w:rPr>
                <w:i/>
                <w:sz w:val="18"/>
                <w:szCs w:val="18"/>
                <w:lang w:val="de-DE"/>
              </w:rPr>
            </w:pPr>
            <w:r w:rsidRPr="003F377D">
              <w:rPr>
                <w:i/>
                <w:sz w:val="18"/>
                <w:szCs w:val="18"/>
                <w:lang w:val="de-DE"/>
              </w:rPr>
              <w:t>Rat</w:t>
            </w:r>
          </w:p>
          <w:p w:rsidR="00820784" w:rsidRPr="003F377D" w:rsidRDefault="00820784" w:rsidP="009462BE">
            <w:pPr>
              <w:rPr>
                <w:sz w:val="18"/>
                <w:szCs w:val="18"/>
                <w:lang w:val="de-DE"/>
              </w:rPr>
            </w:pPr>
          </w:p>
          <w:p w:rsidR="00820784" w:rsidRPr="003F377D" w:rsidRDefault="003F377D" w:rsidP="009462BE">
            <w:pPr>
              <w:rPr>
                <w:i/>
                <w:sz w:val="18"/>
                <w:szCs w:val="18"/>
                <w:lang w:val="de-DE"/>
              </w:rPr>
            </w:pPr>
            <w:r w:rsidRPr="003F377D">
              <w:rPr>
                <w:i/>
                <w:sz w:val="18"/>
                <w:szCs w:val="18"/>
                <w:lang w:val="de-DE"/>
              </w:rPr>
              <w:t>Sechsundvierzigste</w:t>
            </w:r>
            <w:r w:rsidR="00820784" w:rsidRPr="003F377D">
              <w:rPr>
                <w:i/>
                <w:sz w:val="18"/>
                <w:szCs w:val="18"/>
                <w:lang w:val="de-DE"/>
              </w:rPr>
              <w:t xml:space="preserve"> </w:t>
            </w:r>
            <w:r w:rsidRPr="003F377D">
              <w:rPr>
                <w:i/>
                <w:sz w:val="18"/>
                <w:szCs w:val="18"/>
                <w:lang w:val="de-DE"/>
              </w:rPr>
              <w:t>ordentliche</w:t>
            </w:r>
            <w:r w:rsidR="00820784" w:rsidRPr="003F377D">
              <w:rPr>
                <w:i/>
                <w:sz w:val="18"/>
                <w:szCs w:val="18"/>
                <w:lang w:val="de-DE"/>
              </w:rPr>
              <w:t xml:space="preserve"> </w:t>
            </w:r>
            <w:r w:rsidRPr="003F377D">
              <w:rPr>
                <w:i/>
                <w:sz w:val="18"/>
                <w:szCs w:val="18"/>
                <w:lang w:val="de-DE"/>
              </w:rPr>
              <w:t>Tagung</w:t>
            </w:r>
            <w:r w:rsidR="00820784" w:rsidRPr="003F377D">
              <w:rPr>
                <w:i/>
                <w:sz w:val="18"/>
                <w:szCs w:val="18"/>
                <w:lang w:val="de-DE"/>
              </w:rPr>
              <w:t>:</w:t>
            </w:r>
          </w:p>
          <w:p w:rsidR="00820784" w:rsidRPr="003F377D" w:rsidRDefault="00820784" w:rsidP="009462BE">
            <w:pPr>
              <w:rPr>
                <w:sz w:val="18"/>
                <w:szCs w:val="18"/>
                <w:lang w:val="de-DE"/>
              </w:rPr>
            </w:pPr>
          </w:p>
          <w:p w:rsidR="00820784" w:rsidRPr="003F377D" w:rsidRDefault="00216F59" w:rsidP="008635D3">
            <w:pPr>
              <w:jc w:val="left"/>
              <w:rPr>
                <w:sz w:val="18"/>
                <w:szCs w:val="18"/>
                <w:lang w:val="de-DE"/>
              </w:rPr>
            </w:pPr>
            <w:r w:rsidRPr="003F377D">
              <w:rPr>
                <w:sz w:val="18"/>
                <w:szCs w:val="18"/>
                <w:lang w:val="de-DE"/>
              </w:rPr>
              <w:t>123</w:t>
            </w:r>
            <w:r w:rsidR="00820784" w:rsidRPr="003F377D">
              <w:rPr>
                <w:sz w:val="18"/>
                <w:szCs w:val="18"/>
                <w:lang w:val="de-DE"/>
              </w:rPr>
              <w:t xml:space="preserve"> </w:t>
            </w:r>
            <w:r w:rsidR="003F377D" w:rsidRPr="003F377D">
              <w:rPr>
                <w:sz w:val="18"/>
                <w:szCs w:val="18"/>
                <w:lang w:val="de-DE"/>
              </w:rPr>
              <w:t>Teilnehmer aus</w:t>
            </w:r>
            <w:r w:rsidR="00820784" w:rsidRPr="003F377D">
              <w:rPr>
                <w:sz w:val="18"/>
                <w:szCs w:val="18"/>
                <w:lang w:val="de-DE"/>
              </w:rPr>
              <w:t xml:space="preserve"> </w:t>
            </w:r>
            <w:r w:rsidR="001F4502" w:rsidRPr="003F377D">
              <w:rPr>
                <w:sz w:val="18"/>
                <w:szCs w:val="18"/>
                <w:lang w:val="de-DE"/>
              </w:rPr>
              <w:t>47</w:t>
            </w:r>
            <w:r w:rsidR="00820784" w:rsidRPr="003F377D">
              <w:rPr>
                <w:sz w:val="18"/>
                <w:szCs w:val="18"/>
                <w:lang w:val="de-DE"/>
              </w:rPr>
              <w:t xml:space="preserve"> </w:t>
            </w:r>
            <w:r w:rsidR="003F377D" w:rsidRPr="003F377D">
              <w:rPr>
                <w:sz w:val="18"/>
                <w:szCs w:val="18"/>
                <w:lang w:val="de-DE"/>
              </w:rPr>
              <w:t>Verbandsmitglieder</w:t>
            </w:r>
            <w:r w:rsidR="003F377D">
              <w:rPr>
                <w:sz w:val="18"/>
                <w:szCs w:val="18"/>
                <w:lang w:val="de-DE"/>
              </w:rPr>
              <w:t>n</w:t>
            </w:r>
            <w:r w:rsidR="00820784" w:rsidRPr="003F377D">
              <w:rPr>
                <w:sz w:val="18"/>
                <w:szCs w:val="18"/>
                <w:lang w:val="de-DE"/>
              </w:rPr>
              <w:t xml:space="preserve">, </w:t>
            </w:r>
            <w:r w:rsidR="001F4502" w:rsidRPr="003F377D">
              <w:rPr>
                <w:sz w:val="18"/>
                <w:szCs w:val="18"/>
                <w:lang w:val="de-DE"/>
              </w:rPr>
              <w:t>8</w:t>
            </w:r>
            <w:r w:rsidR="00820784" w:rsidRPr="003F377D">
              <w:rPr>
                <w:sz w:val="18"/>
                <w:szCs w:val="18"/>
                <w:lang w:val="de-DE"/>
              </w:rPr>
              <w:t> </w:t>
            </w:r>
            <w:r w:rsidR="003F377D">
              <w:rPr>
                <w:sz w:val="18"/>
                <w:szCs w:val="18"/>
                <w:lang w:val="de-DE"/>
              </w:rPr>
              <w:t xml:space="preserve">Beobachterstaaten und </w:t>
            </w:r>
            <w:r w:rsidR="001F4502" w:rsidRPr="003F377D">
              <w:rPr>
                <w:sz w:val="18"/>
                <w:szCs w:val="18"/>
                <w:lang w:val="de-DE"/>
              </w:rPr>
              <w:t>10</w:t>
            </w:r>
            <w:r w:rsidR="00820784" w:rsidRPr="003F377D">
              <w:rPr>
                <w:sz w:val="18"/>
                <w:szCs w:val="18"/>
                <w:lang w:val="de-DE"/>
              </w:rPr>
              <w:t> </w:t>
            </w:r>
            <w:r w:rsidR="003F377D">
              <w:rPr>
                <w:sz w:val="18"/>
                <w:szCs w:val="18"/>
                <w:lang w:val="de-DE"/>
              </w:rPr>
              <w:t>Beobachterorganisationen</w:t>
            </w:r>
          </w:p>
          <w:p w:rsidR="00820784" w:rsidRPr="003F377D" w:rsidRDefault="00820784" w:rsidP="009462BE">
            <w:pPr>
              <w:rPr>
                <w:sz w:val="18"/>
                <w:szCs w:val="18"/>
                <w:lang w:val="de-DE"/>
              </w:rPr>
            </w:pPr>
          </w:p>
          <w:p w:rsidR="00820784" w:rsidRPr="003F377D" w:rsidRDefault="003F377D" w:rsidP="009462BE">
            <w:pPr>
              <w:rPr>
                <w:i/>
                <w:sz w:val="18"/>
                <w:szCs w:val="18"/>
                <w:lang w:val="de-DE"/>
              </w:rPr>
            </w:pPr>
            <w:r>
              <w:rPr>
                <w:i/>
                <w:sz w:val="18"/>
                <w:szCs w:val="18"/>
                <w:lang w:val="de-DE"/>
              </w:rPr>
              <w:t>Neunundzwanzigste</w:t>
            </w:r>
            <w:r w:rsidR="00820784" w:rsidRPr="003F377D">
              <w:rPr>
                <w:i/>
                <w:sz w:val="18"/>
                <w:szCs w:val="18"/>
                <w:lang w:val="de-DE"/>
              </w:rPr>
              <w:t xml:space="preserve"> </w:t>
            </w:r>
            <w:r>
              <w:rPr>
                <w:i/>
                <w:sz w:val="18"/>
                <w:szCs w:val="18"/>
                <w:lang w:val="de-DE"/>
              </w:rPr>
              <w:t>außerordentlich</w:t>
            </w:r>
            <w:r w:rsidRPr="003F377D">
              <w:rPr>
                <w:i/>
                <w:sz w:val="18"/>
                <w:szCs w:val="18"/>
                <w:lang w:val="de-DE"/>
              </w:rPr>
              <w:t>e</w:t>
            </w:r>
            <w:r w:rsidR="00820784" w:rsidRPr="003F377D">
              <w:rPr>
                <w:i/>
                <w:sz w:val="18"/>
                <w:szCs w:val="18"/>
                <w:lang w:val="de-DE"/>
              </w:rPr>
              <w:t xml:space="preserve"> </w:t>
            </w:r>
            <w:r w:rsidRPr="003F377D">
              <w:rPr>
                <w:i/>
                <w:sz w:val="18"/>
                <w:szCs w:val="18"/>
                <w:lang w:val="de-DE"/>
              </w:rPr>
              <w:t>Tagung</w:t>
            </w:r>
            <w:r w:rsidR="00820784" w:rsidRPr="003F377D">
              <w:rPr>
                <w:i/>
                <w:sz w:val="18"/>
                <w:szCs w:val="18"/>
                <w:lang w:val="de-DE"/>
              </w:rPr>
              <w:t>:</w:t>
            </w:r>
          </w:p>
          <w:p w:rsidR="00820784" w:rsidRPr="003F377D" w:rsidRDefault="00820784" w:rsidP="009462BE">
            <w:pPr>
              <w:rPr>
                <w:sz w:val="18"/>
                <w:szCs w:val="18"/>
                <w:lang w:val="de-DE"/>
              </w:rPr>
            </w:pPr>
          </w:p>
          <w:p w:rsidR="00820784" w:rsidRPr="003F377D" w:rsidRDefault="00216F59" w:rsidP="008635D3">
            <w:pPr>
              <w:jc w:val="left"/>
              <w:rPr>
                <w:sz w:val="18"/>
                <w:szCs w:val="18"/>
                <w:lang w:val="de-DE"/>
              </w:rPr>
            </w:pPr>
            <w:r w:rsidRPr="003F377D">
              <w:rPr>
                <w:sz w:val="18"/>
                <w:szCs w:val="18"/>
                <w:lang w:val="de-DE"/>
              </w:rPr>
              <w:t>80</w:t>
            </w:r>
            <w:r w:rsidR="00820784" w:rsidRPr="003F377D">
              <w:rPr>
                <w:sz w:val="18"/>
                <w:szCs w:val="18"/>
                <w:lang w:val="de-DE"/>
              </w:rPr>
              <w:t xml:space="preserve"> </w:t>
            </w:r>
            <w:r w:rsidR="003F377D" w:rsidRPr="003F377D">
              <w:rPr>
                <w:sz w:val="18"/>
                <w:szCs w:val="18"/>
                <w:lang w:val="de-DE"/>
              </w:rPr>
              <w:t>Teilnehmer aus</w:t>
            </w:r>
            <w:r w:rsidR="00820784" w:rsidRPr="003F377D">
              <w:rPr>
                <w:sz w:val="18"/>
                <w:szCs w:val="18"/>
                <w:lang w:val="de-DE"/>
              </w:rPr>
              <w:t xml:space="preserve"> </w:t>
            </w:r>
            <w:r w:rsidR="001F4502" w:rsidRPr="003F377D">
              <w:rPr>
                <w:sz w:val="18"/>
                <w:szCs w:val="18"/>
                <w:lang w:val="de-DE"/>
              </w:rPr>
              <w:t>36</w:t>
            </w:r>
            <w:r w:rsidR="00820784" w:rsidRPr="003F377D">
              <w:rPr>
                <w:sz w:val="18"/>
                <w:szCs w:val="18"/>
                <w:lang w:val="de-DE"/>
              </w:rPr>
              <w:t xml:space="preserve"> </w:t>
            </w:r>
            <w:r w:rsidR="003F377D" w:rsidRPr="003F377D">
              <w:rPr>
                <w:sz w:val="18"/>
                <w:szCs w:val="18"/>
                <w:lang w:val="de-DE"/>
              </w:rPr>
              <w:t>Verbandsmitglieder</w:t>
            </w:r>
            <w:r w:rsidR="003F377D">
              <w:rPr>
                <w:sz w:val="18"/>
                <w:szCs w:val="18"/>
                <w:lang w:val="de-DE"/>
              </w:rPr>
              <w:t>n</w:t>
            </w:r>
            <w:r w:rsidR="00820784" w:rsidRPr="003F377D">
              <w:rPr>
                <w:sz w:val="18"/>
                <w:szCs w:val="18"/>
                <w:lang w:val="de-DE"/>
              </w:rPr>
              <w:t xml:space="preserve">, </w:t>
            </w:r>
            <w:r w:rsidR="001F4502" w:rsidRPr="003F377D">
              <w:rPr>
                <w:sz w:val="18"/>
                <w:szCs w:val="18"/>
                <w:lang w:val="de-DE"/>
              </w:rPr>
              <w:t>6</w:t>
            </w:r>
            <w:r w:rsidR="00820784" w:rsidRPr="003F377D">
              <w:rPr>
                <w:sz w:val="18"/>
                <w:szCs w:val="18"/>
                <w:lang w:val="de-DE"/>
              </w:rPr>
              <w:t> </w:t>
            </w:r>
            <w:r w:rsidR="003F377D">
              <w:rPr>
                <w:sz w:val="18"/>
                <w:szCs w:val="18"/>
                <w:lang w:val="de-DE"/>
              </w:rPr>
              <w:t xml:space="preserve">Beobachterstaaten und </w:t>
            </w:r>
            <w:r w:rsidR="001F4502" w:rsidRPr="003F377D">
              <w:rPr>
                <w:sz w:val="18"/>
                <w:szCs w:val="18"/>
                <w:lang w:val="de-DE"/>
              </w:rPr>
              <w:t>6</w:t>
            </w:r>
            <w:r w:rsidR="00820784" w:rsidRPr="003F377D">
              <w:rPr>
                <w:sz w:val="18"/>
                <w:szCs w:val="18"/>
                <w:lang w:val="de-DE"/>
              </w:rPr>
              <w:t> </w:t>
            </w:r>
            <w:r w:rsidR="003F377D">
              <w:rPr>
                <w:sz w:val="18"/>
                <w:szCs w:val="18"/>
                <w:lang w:val="de-DE"/>
              </w:rPr>
              <w:t>Beobachterorganisationen</w:t>
            </w:r>
          </w:p>
          <w:p w:rsidR="00820784" w:rsidRPr="003F377D" w:rsidRDefault="00820784" w:rsidP="009462BE">
            <w:pPr>
              <w:rPr>
                <w:sz w:val="18"/>
                <w:szCs w:val="18"/>
                <w:lang w:val="de-DE"/>
              </w:rPr>
            </w:pPr>
          </w:p>
          <w:p w:rsidR="00820784" w:rsidRPr="003F377D" w:rsidRDefault="00820784" w:rsidP="009462BE">
            <w:pPr>
              <w:rPr>
                <w:sz w:val="18"/>
                <w:szCs w:val="18"/>
                <w:lang w:val="de-DE"/>
              </w:rPr>
            </w:pPr>
          </w:p>
          <w:p w:rsidR="00820784" w:rsidRPr="003F377D" w:rsidRDefault="00A71FDD" w:rsidP="009462BE">
            <w:pPr>
              <w:rPr>
                <w:i/>
                <w:sz w:val="18"/>
                <w:szCs w:val="18"/>
                <w:lang w:val="de-DE"/>
              </w:rPr>
            </w:pPr>
            <w:r w:rsidRPr="003F377D">
              <w:rPr>
                <w:i/>
                <w:sz w:val="18"/>
                <w:szCs w:val="18"/>
                <w:lang w:val="de-DE"/>
              </w:rPr>
              <w:t>Beratender Ausschuß</w:t>
            </w:r>
          </w:p>
          <w:p w:rsidR="00820784" w:rsidRPr="003F377D" w:rsidRDefault="00820784" w:rsidP="009462BE">
            <w:pPr>
              <w:rPr>
                <w:sz w:val="18"/>
                <w:szCs w:val="18"/>
                <w:lang w:val="de-DE"/>
              </w:rPr>
            </w:pPr>
          </w:p>
          <w:p w:rsidR="00820784" w:rsidRPr="003F377D" w:rsidRDefault="003F377D" w:rsidP="009462BE">
            <w:pPr>
              <w:rPr>
                <w:i/>
                <w:sz w:val="18"/>
                <w:szCs w:val="18"/>
                <w:lang w:val="de-DE"/>
              </w:rPr>
            </w:pPr>
            <w:r>
              <w:rPr>
                <w:i/>
                <w:sz w:val="18"/>
                <w:szCs w:val="18"/>
                <w:lang w:val="de-DE"/>
              </w:rPr>
              <w:t>Vierundachtzigste</w:t>
            </w:r>
            <w:r w:rsidR="00820784" w:rsidRPr="003F377D">
              <w:rPr>
                <w:i/>
                <w:sz w:val="18"/>
                <w:szCs w:val="18"/>
                <w:lang w:val="de-DE"/>
              </w:rPr>
              <w:t xml:space="preserve"> </w:t>
            </w:r>
            <w:r w:rsidRPr="003F377D">
              <w:rPr>
                <w:i/>
                <w:sz w:val="18"/>
                <w:szCs w:val="18"/>
                <w:lang w:val="de-DE"/>
              </w:rPr>
              <w:t>Tagung</w:t>
            </w:r>
          </w:p>
          <w:p w:rsidR="00820784" w:rsidRPr="003F377D" w:rsidRDefault="00820784" w:rsidP="009462BE">
            <w:pPr>
              <w:rPr>
                <w:sz w:val="18"/>
                <w:szCs w:val="18"/>
                <w:lang w:val="de-DE"/>
              </w:rPr>
            </w:pPr>
          </w:p>
          <w:p w:rsidR="00820784" w:rsidRPr="003F377D" w:rsidRDefault="00216F59" w:rsidP="009462BE">
            <w:pPr>
              <w:rPr>
                <w:sz w:val="18"/>
                <w:szCs w:val="18"/>
                <w:lang w:val="de-DE"/>
              </w:rPr>
            </w:pPr>
            <w:r w:rsidRPr="003F377D">
              <w:rPr>
                <w:sz w:val="18"/>
                <w:szCs w:val="18"/>
                <w:lang w:val="de-DE"/>
              </w:rPr>
              <w:t>83</w:t>
            </w:r>
            <w:r w:rsidR="00820784" w:rsidRPr="003F377D">
              <w:rPr>
                <w:sz w:val="18"/>
                <w:szCs w:val="18"/>
                <w:lang w:val="de-DE"/>
              </w:rPr>
              <w:t xml:space="preserve"> </w:t>
            </w:r>
            <w:r w:rsidR="003F377D" w:rsidRPr="003F377D">
              <w:rPr>
                <w:sz w:val="18"/>
                <w:szCs w:val="18"/>
                <w:lang w:val="de-DE"/>
              </w:rPr>
              <w:t>Teilnehmer aus</w:t>
            </w:r>
            <w:r w:rsidR="00820784" w:rsidRPr="003F377D">
              <w:rPr>
                <w:sz w:val="18"/>
                <w:szCs w:val="18"/>
                <w:lang w:val="de-DE"/>
              </w:rPr>
              <w:t xml:space="preserve"> </w:t>
            </w:r>
            <w:r w:rsidR="001F4502" w:rsidRPr="003F377D">
              <w:rPr>
                <w:sz w:val="18"/>
                <w:szCs w:val="18"/>
                <w:lang w:val="de-DE"/>
              </w:rPr>
              <w:t>44</w:t>
            </w:r>
            <w:r w:rsidR="00820784" w:rsidRPr="003F377D">
              <w:rPr>
                <w:sz w:val="18"/>
                <w:szCs w:val="18"/>
                <w:lang w:val="de-DE"/>
              </w:rPr>
              <w:t xml:space="preserve"> </w:t>
            </w:r>
            <w:r w:rsidR="003F377D" w:rsidRPr="003F377D">
              <w:rPr>
                <w:sz w:val="18"/>
                <w:szCs w:val="18"/>
                <w:lang w:val="de-DE"/>
              </w:rPr>
              <w:t>Verbandsmitglieder</w:t>
            </w:r>
            <w:r w:rsidR="003F377D">
              <w:rPr>
                <w:sz w:val="18"/>
                <w:szCs w:val="18"/>
                <w:lang w:val="de-DE"/>
              </w:rPr>
              <w:t>n</w:t>
            </w:r>
          </w:p>
          <w:p w:rsidR="00820784" w:rsidRPr="003F377D" w:rsidRDefault="00820784" w:rsidP="009462BE">
            <w:pPr>
              <w:rPr>
                <w:sz w:val="18"/>
                <w:szCs w:val="18"/>
                <w:lang w:val="de-DE"/>
              </w:rPr>
            </w:pPr>
          </w:p>
          <w:p w:rsidR="00820784" w:rsidRPr="003F377D" w:rsidRDefault="003F377D" w:rsidP="009462BE">
            <w:pPr>
              <w:rPr>
                <w:i/>
                <w:sz w:val="18"/>
                <w:szCs w:val="18"/>
                <w:lang w:val="de-DE"/>
              </w:rPr>
            </w:pPr>
            <w:r>
              <w:rPr>
                <w:i/>
                <w:sz w:val="18"/>
                <w:szCs w:val="18"/>
                <w:lang w:val="de-DE"/>
              </w:rPr>
              <w:t>Achtunddreißigste</w:t>
            </w:r>
            <w:r w:rsidR="00820784" w:rsidRPr="003F377D">
              <w:rPr>
                <w:i/>
                <w:sz w:val="18"/>
                <w:szCs w:val="18"/>
                <w:lang w:val="de-DE"/>
              </w:rPr>
              <w:t xml:space="preserve"> </w:t>
            </w:r>
            <w:r w:rsidRPr="003F377D">
              <w:rPr>
                <w:i/>
                <w:sz w:val="18"/>
                <w:szCs w:val="18"/>
                <w:lang w:val="de-DE"/>
              </w:rPr>
              <w:t>Tagung</w:t>
            </w:r>
          </w:p>
          <w:p w:rsidR="00820784" w:rsidRPr="003F377D" w:rsidRDefault="00820784" w:rsidP="009462BE">
            <w:pPr>
              <w:rPr>
                <w:sz w:val="18"/>
                <w:szCs w:val="18"/>
                <w:lang w:val="de-DE"/>
              </w:rPr>
            </w:pPr>
          </w:p>
          <w:p w:rsidR="000476CE" w:rsidRPr="003F377D" w:rsidRDefault="00216F59" w:rsidP="009462BE">
            <w:pPr>
              <w:rPr>
                <w:sz w:val="18"/>
                <w:szCs w:val="18"/>
                <w:lang w:val="de-DE"/>
              </w:rPr>
            </w:pPr>
            <w:r w:rsidRPr="003F377D">
              <w:rPr>
                <w:sz w:val="18"/>
                <w:szCs w:val="18"/>
                <w:lang w:val="de-DE"/>
              </w:rPr>
              <w:t>72</w:t>
            </w:r>
            <w:r w:rsidR="00820784" w:rsidRPr="003F377D">
              <w:rPr>
                <w:sz w:val="18"/>
                <w:szCs w:val="18"/>
                <w:lang w:val="de-DE"/>
              </w:rPr>
              <w:t xml:space="preserve"> </w:t>
            </w:r>
            <w:r w:rsidR="003F377D" w:rsidRPr="003F377D">
              <w:rPr>
                <w:sz w:val="18"/>
                <w:szCs w:val="18"/>
                <w:lang w:val="de-DE"/>
              </w:rPr>
              <w:t>Teilnehmer aus</w:t>
            </w:r>
            <w:r w:rsidR="00820784" w:rsidRPr="003F377D">
              <w:rPr>
                <w:sz w:val="18"/>
                <w:szCs w:val="18"/>
                <w:lang w:val="de-DE"/>
              </w:rPr>
              <w:t xml:space="preserve"> </w:t>
            </w:r>
            <w:r w:rsidR="001F4502" w:rsidRPr="003F377D">
              <w:rPr>
                <w:sz w:val="18"/>
                <w:szCs w:val="18"/>
                <w:lang w:val="de-DE"/>
              </w:rPr>
              <w:t>36</w:t>
            </w:r>
            <w:r w:rsidR="00820784" w:rsidRPr="003F377D">
              <w:rPr>
                <w:sz w:val="18"/>
                <w:szCs w:val="18"/>
                <w:lang w:val="de-DE"/>
              </w:rPr>
              <w:t xml:space="preserve"> </w:t>
            </w:r>
            <w:r w:rsidR="003F377D" w:rsidRPr="003F377D">
              <w:rPr>
                <w:sz w:val="18"/>
                <w:szCs w:val="18"/>
                <w:lang w:val="de-DE"/>
              </w:rPr>
              <w:t>Verbandsmitglieder</w:t>
            </w:r>
            <w:r w:rsidR="003F377D">
              <w:rPr>
                <w:sz w:val="18"/>
                <w:szCs w:val="18"/>
                <w:lang w:val="de-DE"/>
              </w:rPr>
              <w:t>n</w:t>
            </w:r>
          </w:p>
        </w:tc>
      </w:tr>
    </w:tbl>
    <w:p w:rsidR="000476CE" w:rsidRPr="003F377D" w:rsidRDefault="000476CE">
      <w:pPr>
        <w:rPr>
          <w:lang w:val="de-DE"/>
        </w:rPr>
      </w:pPr>
    </w:p>
    <w:p w:rsidR="000476CE" w:rsidRPr="003F377D" w:rsidRDefault="000476CE">
      <w:pPr>
        <w:rPr>
          <w:lang w:val="de-DE"/>
        </w:rPr>
      </w:pPr>
    </w:p>
    <w:tbl>
      <w:tblPr>
        <w:tblW w:w="9889" w:type="dxa"/>
        <w:tblLayout w:type="fixed"/>
        <w:tblLook w:val="0000" w:firstRow="0" w:lastRow="0" w:firstColumn="0" w:lastColumn="0" w:noHBand="0" w:noVBand="0"/>
      </w:tblPr>
      <w:tblGrid>
        <w:gridCol w:w="2093"/>
        <w:gridCol w:w="7796"/>
      </w:tblGrid>
      <w:tr w:rsidR="005A272C" w:rsidRPr="006054BD" w:rsidTr="006E1FFB">
        <w:tc>
          <w:tcPr>
            <w:tcW w:w="2093" w:type="dxa"/>
            <w:shd w:val="clear" w:color="auto" w:fill="auto"/>
          </w:tcPr>
          <w:p w:rsidR="008635D3" w:rsidRPr="00110BE8" w:rsidRDefault="008635D3" w:rsidP="008635D3">
            <w:pPr>
              <w:pStyle w:val="Heading6"/>
              <w:rPr>
                <w:lang w:val="de-DE"/>
              </w:rPr>
            </w:pPr>
            <w:bookmarkStart w:id="61" w:name="_Toc366830094"/>
            <w:bookmarkStart w:id="62" w:name="_Toc368400523"/>
            <w:r w:rsidRPr="00110BE8">
              <w:rPr>
                <w:lang w:val="de-DE"/>
              </w:rPr>
              <w:t>2.  </w:t>
            </w:r>
            <w:r w:rsidR="00110BE8" w:rsidRPr="00110BE8">
              <w:rPr>
                <w:lang w:val="de-DE"/>
              </w:rPr>
              <w:t>Koordinierung, Überwachung und Ergebnisbewertung des Programms und Haushaltsplans für die Rechnungsperiode 2012-2013</w:t>
            </w:r>
            <w:bookmarkEnd w:id="61"/>
            <w:bookmarkEnd w:id="62"/>
          </w:p>
          <w:p w:rsidR="00103981" w:rsidRPr="00110BE8" w:rsidRDefault="00103981" w:rsidP="003F377D">
            <w:pPr>
              <w:rPr>
                <w:lang w:val="de-DE"/>
              </w:rPr>
            </w:pPr>
          </w:p>
        </w:tc>
        <w:tc>
          <w:tcPr>
            <w:tcW w:w="7796" w:type="dxa"/>
            <w:shd w:val="clear" w:color="auto" w:fill="auto"/>
          </w:tcPr>
          <w:p w:rsidR="005A272C" w:rsidRPr="003F377D" w:rsidRDefault="00E163EA" w:rsidP="009462BE">
            <w:pPr>
              <w:pStyle w:val="Heading8"/>
              <w:rPr>
                <w:szCs w:val="18"/>
                <w:lang w:val="de-DE"/>
              </w:rPr>
            </w:pPr>
            <w:bookmarkStart w:id="63" w:name="_Toc368400524"/>
            <w:r w:rsidRPr="003F377D">
              <w:rPr>
                <w:szCs w:val="18"/>
                <w:lang w:val="de-DE"/>
              </w:rPr>
              <w:t>(a)</w:t>
            </w:r>
            <w:r w:rsidR="005A272C" w:rsidRPr="003F377D">
              <w:rPr>
                <w:szCs w:val="18"/>
                <w:lang w:val="de-DE"/>
              </w:rPr>
              <w:t xml:space="preserve">  </w:t>
            </w:r>
            <w:r w:rsidR="003F377D" w:rsidRPr="003F377D">
              <w:rPr>
                <w:szCs w:val="18"/>
                <w:lang w:val="de-DE"/>
              </w:rPr>
              <w:t>Abschluss des Programms im Rahmen des Haushaltsplans für die Rechnungsperiode 2012-2013</w:t>
            </w:r>
            <w:bookmarkEnd w:id="63"/>
          </w:p>
          <w:p w:rsidR="005A272C" w:rsidRPr="006054BD" w:rsidRDefault="003F377D" w:rsidP="009462BE">
            <w:pPr>
              <w:rPr>
                <w:sz w:val="18"/>
                <w:szCs w:val="18"/>
              </w:rPr>
            </w:pPr>
            <w:r>
              <w:rPr>
                <w:sz w:val="18"/>
                <w:szCs w:val="18"/>
              </w:rPr>
              <w:t>Ergebnisse noch nicht verfügbar</w:t>
            </w:r>
          </w:p>
        </w:tc>
      </w:tr>
    </w:tbl>
    <w:p w:rsidR="000476CE" w:rsidRPr="006054BD" w:rsidRDefault="000476CE"/>
    <w:p w:rsidR="000476CE" w:rsidRPr="006054BD" w:rsidRDefault="000476CE"/>
    <w:tbl>
      <w:tblPr>
        <w:tblW w:w="9889" w:type="dxa"/>
        <w:tblLayout w:type="fixed"/>
        <w:tblLook w:val="0000" w:firstRow="0" w:lastRow="0" w:firstColumn="0" w:lastColumn="0" w:noHBand="0" w:noVBand="0"/>
      </w:tblPr>
      <w:tblGrid>
        <w:gridCol w:w="2093"/>
        <w:gridCol w:w="7796"/>
      </w:tblGrid>
      <w:tr w:rsidR="00103981" w:rsidRPr="003F377D" w:rsidTr="006E1FFB">
        <w:tc>
          <w:tcPr>
            <w:tcW w:w="2093" w:type="dxa"/>
            <w:shd w:val="clear" w:color="auto" w:fill="auto"/>
          </w:tcPr>
          <w:p w:rsidR="00103981" w:rsidRPr="00A87D67" w:rsidRDefault="00103981" w:rsidP="005661B5">
            <w:pPr>
              <w:pStyle w:val="Heading6"/>
              <w:rPr>
                <w:lang w:val="de-DE"/>
              </w:rPr>
            </w:pPr>
            <w:bookmarkStart w:id="64" w:name="_Toc368400525"/>
            <w:r w:rsidRPr="007B46CC">
              <w:rPr>
                <w:lang w:val="de-DE"/>
              </w:rPr>
              <w:t xml:space="preserve">3.  </w:t>
            </w:r>
            <w:r w:rsidR="00A87D67" w:rsidRPr="00A87D67">
              <w:rPr>
                <w:lang w:val="de-DE"/>
              </w:rPr>
              <w:t>Aufstellung und Annahme des Programms und Haushaltsplans für die Rechnungsperiode 201</w:t>
            </w:r>
            <w:r w:rsidR="005661B5">
              <w:rPr>
                <w:lang w:val="de-DE"/>
              </w:rPr>
              <w:t>4</w:t>
            </w:r>
            <w:r w:rsidR="00A87D67" w:rsidRPr="00A87D67">
              <w:rPr>
                <w:lang w:val="de-DE"/>
              </w:rPr>
              <w:t>-201</w:t>
            </w:r>
            <w:r w:rsidR="005661B5">
              <w:rPr>
                <w:lang w:val="de-DE"/>
              </w:rPr>
              <w:t>5</w:t>
            </w:r>
            <w:bookmarkEnd w:id="64"/>
          </w:p>
          <w:p w:rsidR="00103981" w:rsidRPr="00A87D67" w:rsidRDefault="00103981" w:rsidP="009462BE">
            <w:pPr>
              <w:rPr>
                <w:lang w:val="de-DE"/>
              </w:rPr>
            </w:pPr>
          </w:p>
        </w:tc>
        <w:tc>
          <w:tcPr>
            <w:tcW w:w="7796" w:type="dxa"/>
            <w:shd w:val="clear" w:color="auto" w:fill="auto"/>
          </w:tcPr>
          <w:p w:rsidR="008635D3" w:rsidRPr="00110BE8" w:rsidRDefault="008635D3" w:rsidP="008635D3">
            <w:pPr>
              <w:pStyle w:val="Heading8"/>
              <w:rPr>
                <w:szCs w:val="18"/>
                <w:lang w:val="de-DE"/>
              </w:rPr>
            </w:pPr>
            <w:bookmarkStart w:id="65" w:name="_Toc366830097"/>
            <w:bookmarkStart w:id="66" w:name="_Toc368400526"/>
            <w:r w:rsidRPr="00110BE8">
              <w:rPr>
                <w:szCs w:val="18"/>
                <w:lang w:val="de-DE"/>
              </w:rPr>
              <w:t xml:space="preserve">(a)  </w:t>
            </w:r>
            <w:r w:rsidR="00110BE8" w:rsidRPr="00110BE8">
              <w:rPr>
                <w:color w:val="000000"/>
                <w:lang w:val="de-DE"/>
              </w:rPr>
              <w:t>Aufstellung und Annahme des Programms und Haushaltsplans für die Rechnungsperiode 2014-2015 gemäß der „Finanzordnung und ihre Durchführungsbestimmungen der UPOV</w:t>
            </w:r>
            <w:r w:rsidRPr="00110BE8">
              <w:rPr>
                <w:szCs w:val="18"/>
                <w:lang w:val="de-DE"/>
              </w:rPr>
              <w:t>”</w:t>
            </w:r>
            <w:bookmarkEnd w:id="65"/>
            <w:bookmarkEnd w:id="66"/>
          </w:p>
          <w:p w:rsidR="00103981" w:rsidRPr="003F377D" w:rsidRDefault="003F377D" w:rsidP="009462BE">
            <w:pPr>
              <w:rPr>
                <w:sz w:val="18"/>
                <w:szCs w:val="18"/>
                <w:lang w:val="de-DE"/>
              </w:rPr>
            </w:pPr>
            <w:r>
              <w:rPr>
                <w:sz w:val="18"/>
                <w:szCs w:val="18"/>
                <w:lang w:val="de-DE"/>
              </w:rPr>
              <w:t>Ergebnisse noch nicht verfügbar</w:t>
            </w:r>
          </w:p>
        </w:tc>
      </w:tr>
    </w:tbl>
    <w:p w:rsidR="005628A0" w:rsidRPr="003F377D" w:rsidRDefault="005628A0">
      <w:pPr>
        <w:rPr>
          <w:lang w:val="de-DE"/>
        </w:rPr>
      </w:pPr>
    </w:p>
    <w:p w:rsidR="00114294" w:rsidRPr="003F377D" w:rsidRDefault="00114294">
      <w:pPr>
        <w:rPr>
          <w:lang w:val="de-DE"/>
        </w:rPr>
      </w:pPr>
    </w:p>
    <w:p w:rsidR="00114294" w:rsidRPr="003F377D" w:rsidRDefault="00114294">
      <w:pPr>
        <w:rPr>
          <w:lang w:val="de-DE"/>
        </w:rPr>
      </w:pPr>
      <w:r w:rsidRPr="003F377D">
        <w:rPr>
          <w:lang w:val="de-DE"/>
        </w:rPr>
        <w:br w:type="page"/>
      </w:r>
    </w:p>
    <w:tbl>
      <w:tblPr>
        <w:tblW w:w="9889" w:type="dxa"/>
        <w:tblLayout w:type="fixed"/>
        <w:tblLook w:val="0000" w:firstRow="0" w:lastRow="0" w:firstColumn="0" w:lastColumn="0" w:noHBand="0" w:noVBand="0"/>
      </w:tblPr>
      <w:tblGrid>
        <w:gridCol w:w="2093"/>
        <w:gridCol w:w="7796"/>
      </w:tblGrid>
      <w:tr w:rsidR="005628A0" w:rsidRPr="006054BD" w:rsidTr="006E1FFB">
        <w:trPr>
          <w:tblHeader/>
        </w:trPr>
        <w:tc>
          <w:tcPr>
            <w:tcW w:w="2093" w:type="dxa"/>
            <w:shd w:val="clear" w:color="auto" w:fill="auto"/>
          </w:tcPr>
          <w:p w:rsidR="005628A0" w:rsidRPr="006054BD" w:rsidRDefault="00A71FDD" w:rsidP="005628A0">
            <w:pPr>
              <w:keepNext/>
              <w:spacing w:after="240"/>
              <w:rPr>
                <w:b/>
                <w:sz w:val="18"/>
                <w:szCs w:val="18"/>
              </w:rPr>
            </w:pPr>
            <w:r>
              <w:rPr>
                <w:b/>
                <w:sz w:val="18"/>
                <w:szCs w:val="18"/>
              </w:rPr>
              <w:t>Erwartete Ergebnisse</w:t>
            </w:r>
          </w:p>
        </w:tc>
        <w:tc>
          <w:tcPr>
            <w:tcW w:w="7796" w:type="dxa"/>
            <w:shd w:val="clear" w:color="auto" w:fill="auto"/>
          </w:tcPr>
          <w:p w:rsidR="005628A0" w:rsidRPr="006054BD" w:rsidRDefault="00A71FDD" w:rsidP="005628A0">
            <w:pPr>
              <w:keepNext/>
              <w:spacing w:after="240"/>
              <w:rPr>
                <w:rFonts w:cs="Arial"/>
                <w:b/>
                <w:sz w:val="18"/>
                <w:szCs w:val="18"/>
              </w:rPr>
            </w:pPr>
            <w:r>
              <w:rPr>
                <w:rFonts w:cs="Arial"/>
                <w:b/>
                <w:sz w:val="18"/>
                <w:szCs w:val="18"/>
              </w:rPr>
              <w:t>Erzielte Ergebnisse</w:t>
            </w:r>
            <w:r w:rsidR="005628A0" w:rsidRPr="006054BD">
              <w:rPr>
                <w:rFonts w:cs="Arial"/>
                <w:b/>
                <w:sz w:val="18"/>
                <w:szCs w:val="18"/>
              </w:rPr>
              <w:t xml:space="preserve">:  </w:t>
            </w:r>
            <w:r>
              <w:rPr>
                <w:rFonts w:cs="Arial"/>
                <w:b/>
                <w:sz w:val="18"/>
                <w:szCs w:val="18"/>
              </w:rPr>
              <w:t>Ausgewählte Planerfüllungsindikatoren</w:t>
            </w:r>
          </w:p>
        </w:tc>
      </w:tr>
      <w:tr w:rsidR="00103981" w:rsidRPr="00DE5DFD" w:rsidTr="006E1FFB">
        <w:tc>
          <w:tcPr>
            <w:tcW w:w="2093" w:type="dxa"/>
            <w:shd w:val="clear" w:color="auto" w:fill="auto"/>
          </w:tcPr>
          <w:p w:rsidR="00103981" w:rsidRPr="00B95C40" w:rsidRDefault="00103981" w:rsidP="00114294">
            <w:pPr>
              <w:pStyle w:val="Heading6"/>
              <w:rPr>
                <w:szCs w:val="18"/>
              </w:rPr>
            </w:pPr>
            <w:bookmarkStart w:id="67" w:name="_Toc368400527"/>
            <w:r w:rsidRPr="00B95C40">
              <w:rPr>
                <w:szCs w:val="18"/>
              </w:rPr>
              <w:t xml:space="preserve">4.  </w:t>
            </w:r>
            <w:r w:rsidR="00042C4A" w:rsidRPr="00B95C40">
              <w:rPr>
                <w:szCs w:val="18"/>
              </w:rPr>
              <w:t>Grundsätze des Rates</w:t>
            </w:r>
            <w:bookmarkEnd w:id="67"/>
          </w:p>
        </w:tc>
        <w:tc>
          <w:tcPr>
            <w:tcW w:w="7796" w:type="dxa"/>
            <w:shd w:val="clear" w:color="auto" w:fill="auto"/>
          </w:tcPr>
          <w:p w:rsidR="00103981" w:rsidRPr="00B95C40" w:rsidRDefault="00E163EA" w:rsidP="00103981">
            <w:pPr>
              <w:pStyle w:val="Heading8"/>
              <w:rPr>
                <w:rFonts w:cs="Arial"/>
                <w:szCs w:val="18"/>
                <w:lang w:val="de-DE"/>
              </w:rPr>
            </w:pPr>
            <w:bookmarkStart w:id="68" w:name="_Toc368400528"/>
            <w:r w:rsidRPr="00B95C40">
              <w:rPr>
                <w:rFonts w:cs="Arial"/>
                <w:szCs w:val="18"/>
                <w:lang w:val="de-DE"/>
              </w:rPr>
              <w:t>(a)</w:t>
            </w:r>
            <w:r w:rsidR="00103981" w:rsidRPr="00B95C40">
              <w:rPr>
                <w:rFonts w:cs="Arial"/>
                <w:szCs w:val="18"/>
                <w:lang w:val="de-DE"/>
              </w:rPr>
              <w:t xml:space="preserve">  </w:t>
            </w:r>
            <w:r w:rsidR="00042C4A" w:rsidRPr="00B95C40">
              <w:rPr>
                <w:rFonts w:cs="Arial"/>
                <w:szCs w:val="18"/>
                <w:lang w:val="de-DE"/>
              </w:rPr>
              <w:t>Empfehlungen durch den Beratenden Ausschuß</w:t>
            </w:r>
            <w:bookmarkEnd w:id="68"/>
          </w:p>
          <w:p w:rsidR="00193D37" w:rsidRPr="00B95C40" w:rsidRDefault="00042C4A" w:rsidP="005661B5">
            <w:pPr>
              <w:spacing w:after="120"/>
              <w:rPr>
                <w:rFonts w:cs="Arial"/>
                <w:sz w:val="18"/>
                <w:szCs w:val="18"/>
                <w:lang w:val="de-DE"/>
              </w:rPr>
            </w:pPr>
            <w:r w:rsidRPr="00B95C40">
              <w:rPr>
                <w:rFonts w:cs="Arial"/>
                <w:sz w:val="18"/>
                <w:szCs w:val="18"/>
                <w:lang w:val="de-DE"/>
              </w:rPr>
              <w:t>Der</w:t>
            </w:r>
            <w:r w:rsidR="00193D37" w:rsidRPr="00B95C40">
              <w:rPr>
                <w:rFonts w:cs="Arial"/>
                <w:sz w:val="18"/>
                <w:szCs w:val="18"/>
                <w:lang w:val="de-DE"/>
              </w:rPr>
              <w:t xml:space="preserve"> </w:t>
            </w:r>
            <w:r w:rsidR="00A71FDD" w:rsidRPr="00B95C40">
              <w:rPr>
                <w:rFonts w:cs="Arial"/>
                <w:sz w:val="18"/>
                <w:szCs w:val="18"/>
                <w:lang w:val="de-DE"/>
              </w:rPr>
              <w:t>Beratende Ausschuß</w:t>
            </w:r>
            <w:r w:rsidRPr="00B95C40">
              <w:rPr>
                <w:rFonts w:cs="Arial"/>
                <w:sz w:val="18"/>
                <w:szCs w:val="18"/>
                <w:lang w:val="de-DE"/>
              </w:rPr>
              <w:t xml:space="preserve"> gab auf seiner </w:t>
            </w:r>
            <w:r w:rsidR="005661B5">
              <w:rPr>
                <w:rFonts w:cs="Arial"/>
                <w:sz w:val="18"/>
                <w:szCs w:val="18"/>
                <w:lang w:val="de-DE"/>
              </w:rPr>
              <w:t>dreiundachtzig</w:t>
            </w:r>
            <w:r w:rsidR="003F377D" w:rsidRPr="00B95C40">
              <w:rPr>
                <w:rFonts w:cs="Arial"/>
                <w:sz w:val="18"/>
                <w:szCs w:val="18"/>
                <w:lang w:val="de-DE"/>
              </w:rPr>
              <w:t>ste</w:t>
            </w:r>
            <w:r w:rsidRPr="00B95C40">
              <w:rPr>
                <w:rFonts w:cs="Arial"/>
                <w:sz w:val="18"/>
                <w:szCs w:val="18"/>
                <w:lang w:val="de-DE"/>
              </w:rPr>
              <w:t>n</w:t>
            </w:r>
            <w:r w:rsidR="00193D37" w:rsidRPr="00B95C40">
              <w:rPr>
                <w:rFonts w:cs="Arial"/>
                <w:sz w:val="18"/>
                <w:szCs w:val="18"/>
                <w:lang w:val="de-DE"/>
              </w:rPr>
              <w:t xml:space="preserve"> </w:t>
            </w:r>
            <w:r w:rsidR="003F377D" w:rsidRPr="00B95C40">
              <w:rPr>
                <w:rFonts w:cs="Arial"/>
                <w:sz w:val="18"/>
                <w:szCs w:val="18"/>
                <w:lang w:val="de-DE"/>
              </w:rPr>
              <w:t>Tagung</w:t>
            </w:r>
            <w:r w:rsidR="004571E7" w:rsidRPr="00B95C40">
              <w:rPr>
                <w:rFonts w:cs="Arial"/>
                <w:sz w:val="18"/>
                <w:szCs w:val="18"/>
                <w:lang w:val="de-DE"/>
              </w:rPr>
              <w:t xml:space="preserve"> </w:t>
            </w:r>
            <w:r w:rsidRPr="00B95C40">
              <w:rPr>
                <w:rFonts w:cs="Arial"/>
                <w:sz w:val="18"/>
                <w:szCs w:val="18"/>
                <w:lang w:val="de-DE"/>
              </w:rPr>
              <w:t>in Genf</w:t>
            </w:r>
            <w:r w:rsidR="004571E7" w:rsidRPr="00B95C40">
              <w:rPr>
                <w:rFonts w:cs="Arial"/>
                <w:sz w:val="18"/>
                <w:szCs w:val="18"/>
                <w:lang w:val="de-DE"/>
              </w:rPr>
              <w:t xml:space="preserve"> </w:t>
            </w:r>
            <w:r w:rsidRPr="00B95C40">
              <w:rPr>
                <w:rFonts w:cs="Arial"/>
                <w:sz w:val="18"/>
                <w:szCs w:val="18"/>
                <w:lang w:val="de-DE"/>
              </w:rPr>
              <w:t>am Vormittag vom 30. März</w:t>
            </w:r>
            <w:r w:rsidR="00193D37" w:rsidRPr="00B95C40">
              <w:rPr>
                <w:rFonts w:cs="Arial"/>
                <w:sz w:val="18"/>
                <w:szCs w:val="18"/>
                <w:lang w:val="de-DE"/>
              </w:rPr>
              <w:t xml:space="preserve"> 2012</w:t>
            </w:r>
            <w:r w:rsidRPr="00B95C40">
              <w:rPr>
                <w:rFonts w:cs="Arial"/>
                <w:sz w:val="18"/>
                <w:szCs w:val="18"/>
                <w:lang w:val="de-DE"/>
              </w:rPr>
              <w:t xml:space="preserve"> Empfehlungen</w:t>
            </w:r>
            <w:r w:rsidR="00193D37" w:rsidRPr="00B95C40">
              <w:rPr>
                <w:rFonts w:cs="Arial"/>
                <w:sz w:val="18"/>
                <w:szCs w:val="18"/>
                <w:lang w:val="de-DE"/>
              </w:rPr>
              <w:t xml:space="preserve"> </w:t>
            </w:r>
            <w:r w:rsidRPr="00B95C40">
              <w:rPr>
                <w:rFonts w:cs="Arial"/>
                <w:sz w:val="18"/>
                <w:szCs w:val="18"/>
                <w:lang w:val="de-DE"/>
              </w:rPr>
              <w:t>an den</w:t>
            </w:r>
            <w:r w:rsidR="00193D37" w:rsidRPr="00B95C40">
              <w:rPr>
                <w:rFonts w:cs="Arial"/>
                <w:sz w:val="18"/>
                <w:szCs w:val="18"/>
                <w:lang w:val="de-DE"/>
              </w:rPr>
              <w:t xml:space="preserve"> </w:t>
            </w:r>
            <w:r w:rsidR="003F377D" w:rsidRPr="00B95C40">
              <w:rPr>
                <w:rFonts w:cs="Arial"/>
                <w:sz w:val="18"/>
                <w:szCs w:val="18"/>
                <w:lang w:val="de-DE"/>
              </w:rPr>
              <w:t>Rat</w:t>
            </w:r>
            <w:r w:rsidR="00193D37" w:rsidRPr="00B95C40">
              <w:rPr>
                <w:rFonts w:cs="Arial"/>
                <w:sz w:val="18"/>
                <w:szCs w:val="18"/>
                <w:lang w:val="de-DE"/>
              </w:rPr>
              <w:t xml:space="preserve"> </w:t>
            </w:r>
            <w:r w:rsidRPr="00B95C40">
              <w:rPr>
                <w:rFonts w:cs="Arial"/>
                <w:sz w:val="18"/>
                <w:szCs w:val="18"/>
                <w:lang w:val="de-DE"/>
              </w:rPr>
              <w:t>ab bezüglich</w:t>
            </w:r>
            <w:r w:rsidR="00193D37" w:rsidRPr="00B95C40">
              <w:rPr>
                <w:rFonts w:cs="Arial"/>
                <w:sz w:val="18"/>
                <w:szCs w:val="18"/>
                <w:lang w:val="de-DE"/>
              </w:rPr>
              <w:t>:</w:t>
            </w:r>
          </w:p>
          <w:p w:rsidR="00193D37" w:rsidRPr="00B95C40" w:rsidRDefault="00042C4A" w:rsidP="00FE48AC">
            <w:pPr>
              <w:pStyle w:val="ListParagraph"/>
              <w:numPr>
                <w:ilvl w:val="0"/>
                <w:numId w:val="37"/>
              </w:numPr>
              <w:spacing w:after="60"/>
              <w:ind w:left="714" w:hanging="357"/>
              <w:contextualSpacing w:val="0"/>
              <w:rPr>
                <w:rFonts w:cs="Arial"/>
                <w:sz w:val="18"/>
                <w:szCs w:val="18"/>
              </w:rPr>
            </w:pPr>
            <w:r w:rsidRPr="00B95C40">
              <w:rPr>
                <w:rFonts w:cs="Arial"/>
                <w:sz w:val="18"/>
                <w:szCs w:val="18"/>
              </w:rPr>
              <w:t>der</w:t>
            </w:r>
            <w:r w:rsidR="00193D37" w:rsidRPr="00B95C40">
              <w:rPr>
                <w:rFonts w:cs="Arial"/>
                <w:sz w:val="18"/>
                <w:szCs w:val="18"/>
              </w:rPr>
              <w:t xml:space="preserve"> </w:t>
            </w:r>
            <w:r w:rsidR="00B95C40" w:rsidRPr="008C222D">
              <w:rPr>
                <w:lang w:val="de-DE"/>
              </w:rPr>
              <w:t>„</w:t>
            </w:r>
            <w:r w:rsidRPr="00B95C40">
              <w:rPr>
                <w:rFonts w:cs="Arial"/>
                <w:sz w:val="18"/>
                <w:szCs w:val="18"/>
              </w:rPr>
              <w:t>Annahme von Dokumenten</w:t>
            </w:r>
            <w:r w:rsidR="00193D37" w:rsidRPr="00B95C40">
              <w:rPr>
                <w:rFonts w:cs="Arial"/>
                <w:sz w:val="18"/>
                <w:szCs w:val="18"/>
              </w:rPr>
              <w:t xml:space="preserve">” </w:t>
            </w:r>
          </w:p>
          <w:p w:rsidR="00193D37" w:rsidRPr="00B95C40" w:rsidRDefault="00042C4A" w:rsidP="00042C4A">
            <w:pPr>
              <w:pStyle w:val="ListParagraph"/>
              <w:numPr>
                <w:ilvl w:val="0"/>
                <w:numId w:val="37"/>
              </w:numPr>
              <w:spacing w:after="60"/>
              <w:ind w:left="714" w:hanging="357"/>
              <w:contextualSpacing w:val="0"/>
              <w:rPr>
                <w:rFonts w:cs="Arial"/>
                <w:sz w:val="18"/>
                <w:szCs w:val="18"/>
                <w:lang w:val="de-DE"/>
              </w:rPr>
            </w:pPr>
            <w:r w:rsidRPr="00B95C40">
              <w:rPr>
                <w:rFonts w:cs="Arial"/>
                <w:sz w:val="18"/>
                <w:szCs w:val="18"/>
                <w:lang w:val="de-DE"/>
              </w:rPr>
              <w:t>der</w:t>
            </w:r>
            <w:r w:rsidR="00193D37" w:rsidRPr="00B95C40">
              <w:rPr>
                <w:rFonts w:cs="Arial"/>
                <w:sz w:val="18"/>
                <w:szCs w:val="18"/>
                <w:lang w:val="de-DE"/>
              </w:rPr>
              <w:t xml:space="preserve"> </w:t>
            </w:r>
            <w:r w:rsidR="00B95C40" w:rsidRPr="008C222D">
              <w:rPr>
                <w:lang w:val="de-DE"/>
              </w:rPr>
              <w:t>„</w:t>
            </w:r>
            <w:r w:rsidRPr="00B95C40">
              <w:rPr>
                <w:rFonts w:cs="Arial"/>
                <w:sz w:val="18"/>
                <w:szCs w:val="18"/>
                <w:lang w:val="de-DE"/>
              </w:rPr>
              <w:t>Verlängerung der Ernennung des Stellvertretenden Generalsekretärs</w:t>
            </w:r>
            <w:r w:rsidR="00193D37" w:rsidRPr="00B95C40">
              <w:rPr>
                <w:rFonts w:cs="Arial"/>
                <w:sz w:val="18"/>
                <w:szCs w:val="18"/>
                <w:lang w:val="de-DE"/>
              </w:rPr>
              <w:t>”</w:t>
            </w:r>
          </w:p>
          <w:p w:rsidR="00193D37" w:rsidRPr="00B95C40" w:rsidRDefault="00042C4A" w:rsidP="00FE48AC">
            <w:pPr>
              <w:pStyle w:val="ListParagraph"/>
              <w:numPr>
                <w:ilvl w:val="0"/>
                <w:numId w:val="37"/>
              </w:numPr>
              <w:spacing w:after="60"/>
              <w:ind w:left="714" w:hanging="357"/>
              <w:contextualSpacing w:val="0"/>
              <w:rPr>
                <w:rFonts w:cs="Arial"/>
                <w:sz w:val="18"/>
                <w:szCs w:val="18"/>
              </w:rPr>
            </w:pPr>
            <w:r w:rsidRPr="00B95C40">
              <w:rPr>
                <w:rFonts w:cs="Arial"/>
                <w:sz w:val="18"/>
                <w:szCs w:val="18"/>
              </w:rPr>
              <w:t>einer</w:t>
            </w:r>
            <w:r w:rsidR="00193D37" w:rsidRPr="00B95C40">
              <w:rPr>
                <w:rFonts w:cs="Arial"/>
                <w:sz w:val="18"/>
                <w:szCs w:val="18"/>
              </w:rPr>
              <w:t xml:space="preserve"> </w:t>
            </w:r>
            <w:r w:rsidRPr="00B95C40">
              <w:rPr>
                <w:rFonts w:cs="Arial"/>
                <w:sz w:val="18"/>
                <w:szCs w:val="18"/>
              </w:rPr>
              <w:t>Pressemitteilung</w:t>
            </w:r>
          </w:p>
          <w:p w:rsidR="00B95C40" w:rsidRDefault="00042C4A" w:rsidP="00FE48AC">
            <w:pPr>
              <w:pStyle w:val="ListParagraph"/>
              <w:numPr>
                <w:ilvl w:val="0"/>
                <w:numId w:val="37"/>
              </w:numPr>
              <w:spacing w:after="120"/>
              <w:ind w:left="714" w:hanging="357"/>
              <w:contextualSpacing w:val="0"/>
              <w:rPr>
                <w:rFonts w:cs="Arial"/>
                <w:sz w:val="18"/>
                <w:szCs w:val="18"/>
                <w:lang w:val="de-DE"/>
              </w:rPr>
            </w:pPr>
            <w:r w:rsidRPr="00B95C40">
              <w:rPr>
                <w:rFonts w:cs="Arial"/>
                <w:sz w:val="18"/>
                <w:szCs w:val="18"/>
                <w:lang w:val="de-DE"/>
              </w:rPr>
              <w:t xml:space="preserve">der Überarbeitung der Regeln für die Erteilung des Beobachterstatus an Staaten, zwischenstaatliche Organisationen und internationale Nichtregierungsorganisationen bei UPOV-Organen </w:t>
            </w:r>
          </w:p>
          <w:p w:rsidR="00193D37" w:rsidRPr="00B95C40" w:rsidRDefault="00B95C40" w:rsidP="00B95C40">
            <w:pPr>
              <w:pStyle w:val="ListParagraph"/>
              <w:numPr>
                <w:ilvl w:val="0"/>
                <w:numId w:val="37"/>
              </w:numPr>
              <w:spacing w:after="120"/>
              <w:ind w:left="714" w:hanging="357"/>
              <w:contextualSpacing w:val="0"/>
              <w:rPr>
                <w:rFonts w:cs="Arial"/>
                <w:sz w:val="18"/>
                <w:szCs w:val="18"/>
                <w:lang w:val="de-DE"/>
              </w:rPr>
            </w:pPr>
            <w:r>
              <w:rPr>
                <w:rFonts w:cs="Arial"/>
                <w:sz w:val="18"/>
                <w:szCs w:val="18"/>
                <w:lang w:val="de-DE"/>
              </w:rPr>
              <w:t>der</w:t>
            </w:r>
            <w:r w:rsidR="00193D37" w:rsidRPr="00B95C40">
              <w:rPr>
                <w:rFonts w:cs="Arial"/>
                <w:sz w:val="18"/>
                <w:szCs w:val="18"/>
                <w:lang w:val="de-DE"/>
              </w:rPr>
              <w:t xml:space="preserve"> </w:t>
            </w:r>
            <w:r w:rsidR="00B651B2" w:rsidRPr="00B95C40">
              <w:rPr>
                <w:rFonts w:cs="Arial"/>
                <w:sz w:val="18"/>
                <w:szCs w:val="18"/>
                <w:lang w:val="de-DE"/>
              </w:rPr>
              <w:t>Überarbeitung</w:t>
            </w:r>
            <w:r w:rsidR="00193D37" w:rsidRPr="00B95C40">
              <w:rPr>
                <w:rFonts w:cs="Arial"/>
                <w:sz w:val="18"/>
                <w:szCs w:val="18"/>
                <w:lang w:val="de-DE"/>
              </w:rPr>
              <w:t xml:space="preserve"> </w:t>
            </w:r>
            <w:r>
              <w:rPr>
                <w:rFonts w:cs="Arial"/>
                <w:sz w:val="18"/>
                <w:szCs w:val="18"/>
                <w:lang w:val="de-DE"/>
              </w:rPr>
              <w:t>der</w:t>
            </w:r>
            <w:r w:rsidR="00193D37" w:rsidRPr="00B95C40">
              <w:rPr>
                <w:rFonts w:cs="Arial"/>
                <w:sz w:val="18"/>
                <w:szCs w:val="18"/>
                <w:lang w:val="de-DE"/>
              </w:rPr>
              <w:t xml:space="preserve"> </w:t>
            </w:r>
            <w:r w:rsidR="00B651B2" w:rsidRPr="00B95C40">
              <w:rPr>
                <w:rFonts w:cs="Arial"/>
                <w:sz w:val="18"/>
                <w:szCs w:val="18"/>
                <w:lang w:val="de-DE"/>
              </w:rPr>
              <w:t>Regeln für den Zugang zu UPOV-Dokumenten</w:t>
            </w:r>
          </w:p>
          <w:p w:rsidR="001728FE" w:rsidRPr="00B95C40" w:rsidRDefault="00C34F1F" w:rsidP="00FE48AC">
            <w:pPr>
              <w:spacing w:before="60" w:after="120"/>
              <w:rPr>
                <w:rFonts w:cs="Arial"/>
                <w:sz w:val="18"/>
                <w:szCs w:val="18"/>
              </w:rPr>
            </w:pPr>
            <w:r w:rsidRPr="00B95C40">
              <w:rPr>
                <w:rFonts w:cs="Arial"/>
                <w:sz w:val="18"/>
                <w:szCs w:val="18"/>
              </w:rPr>
              <w:t>und er</w:t>
            </w:r>
            <w:r w:rsidR="001728FE" w:rsidRPr="00B95C40">
              <w:rPr>
                <w:rFonts w:cs="Arial"/>
                <w:sz w:val="18"/>
                <w:szCs w:val="18"/>
              </w:rPr>
              <w:t>:</w:t>
            </w:r>
          </w:p>
          <w:p w:rsidR="00193D37" w:rsidRPr="00B95C40" w:rsidRDefault="00B95C40" w:rsidP="00B95C40">
            <w:pPr>
              <w:pStyle w:val="ListParagraph"/>
              <w:numPr>
                <w:ilvl w:val="0"/>
                <w:numId w:val="37"/>
              </w:numPr>
              <w:spacing w:after="60"/>
              <w:ind w:left="714" w:hanging="357"/>
              <w:contextualSpacing w:val="0"/>
              <w:rPr>
                <w:rFonts w:cs="Arial"/>
                <w:sz w:val="18"/>
                <w:szCs w:val="18"/>
                <w:lang w:val="de-DE"/>
              </w:rPr>
            </w:pPr>
            <w:r>
              <w:rPr>
                <w:rFonts w:cs="Arial"/>
                <w:sz w:val="18"/>
                <w:szCs w:val="18"/>
                <w:lang w:val="de-DE"/>
              </w:rPr>
              <w:t>erteilte den</w:t>
            </w:r>
            <w:r w:rsidR="00C34F1F" w:rsidRPr="00B95C40">
              <w:rPr>
                <w:rFonts w:cs="Arial"/>
                <w:sz w:val="18"/>
                <w:szCs w:val="18"/>
                <w:lang w:val="de-DE"/>
              </w:rPr>
              <w:t xml:space="preserve"> Beobachterstatus</w:t>
            </w:r>
            <w:r w:rsidR="00193D37" w:rsidRPr="00B95C40">
              <w:rPr>
                <w:rFonts w:cs="Arial"/>
                <w:sz w:val="18"/>
                <w:szCs w:val="18"/>
                <w:lang w:val="de-DE"/>
              </w:rPr>
              <w:t xml:space="preserve"> </w:t>
            </w:r>
            <w:r w:rsidR="00C34F1F" w:rsidRPr="00B95C40">
              <w:rPr>
                <w:rFonts w:cs="Arial"/>
                <w:sz w:val="18"/>
                <w:szCs w:val="18"/>
                <w:lang w:val="de-DE"/>
              </w:rPr>
              <w:t>an den Afrikanischen Saatguthandelsverband</w:t>
            </w:r>
            <w:r w:rsidR="00193D37" w:rsidRPr="00B95C40">
              <w:rPr>
                <w:rFonts w:cs="Arial"/>
                <w:sz w:val="18"/>
                <w:szCs w:val="18"/>
                <w:lang w:val="de-DE"/>
              </w:rPr>
              <w:t xml:space="preserve"> (AFSTA) </w:t>
            </w:r>
            <w:r w:rsidR="00C34F1F" w:rsidRPr="00B95C40">
              <w:rPr>
                <w:rFonts w:cs="Arial"/>
                <w:sz w:val="18"/>
                <w:szCs w:val="18"/>
                <w:lang w:val="de-DE"/>
              </w:rPr>
              <w:t>für den</w:t>
            </w:r>
            <w:r w:rsidR="00193D37" w:rsidRPr="00B95C40">
              <w:rPr>
                <w:rFonts w:cs="Arial"/>
                <w:sz w:val="18"/>
                <w:szCs w:val="18"/>
                <w:lang w:val="de-DE"/>
              </w:rPr>
              <w:t xml:space="preserve"> </w:t>
            </w:r>
            <w:r w:rsidR="003F377D" w:rsidRPr="00B95C40">
              <w:rPr>
                <w:rFonts w:cs="Arial"/>
                <w:sz w:val="18"/>
                <w:szCs w:val="18"/>
                <w:lang w:val="de-DE"/>
              </w:rPr>
              <w:t>Rat</w:t>
            </w:r>
            <w:r w:rsidR="00193D37" w:rsidRPr="00B95C40">
              <w:rPr>
                <w:rFonts w:cs="Arial"/>
                <w:sz w:val="18"/>
                <w:szCs w:val="18"/>
                <w:lang w:val="de-DE"/>
              </w:rPr>
              <w:t xml:space="preserve">, </w:t>
            </w:r>
            <w:r w:rsidR="00C34F1F" w:rsidRPr="00B95C40">
              <w:rPr>
                <w:rFonts w:cs="Arial"/>
                <w:sz w:val="18"/>
                <w:szCs w:val="18"/>
                <w:lang w:val="de-DE"/>
              </w:rPr>
              <w:t>den Verwaltungs- und Rechtsausschuß</w:t>
            </w:r>
            <w:r w:rsidR="00193D37" w:rsidRPr="00B95C40">
              <w:rPr>
                <w:rFonts w:cs="Arial"/>
                <w:sz w:val="18"/>
                <w:szCs w:val="18"/>
                <w:lang w:val="de-DE"/>
              </w:rPr>
              <w:t xml:space="preserve"> (CAJ), </w:t>
            </w:r>
            <w:r w:rsidR="00C34F1F" w:rsidRPr="00B95C40">
              <w:rPr>
                <w:rFonts w:cs="Arial"/>
                <w:sz w:val="18"/>
                <w:szCs w:val="18"/>
                <w:lang w:val="de-DE"/>
              </w:rPr>
              <w:t>den</w:t>
            </w:r>
            <w:r w:rsidR="00193D37" w:rsidRPr="00B95C40">
              <w:rPr>
                <w:rFonts w:cs="Arial"/>
                <w:sz w:val="18"/>
                <w:szCs w:val="18"/>
                <w:lang w:val="de-DE"/>
              </w:rPr>
              <w:t xml:space="preserve"> </w:t>
            </w:r>
            <w:r w:rsidR="00C34F1F" w:rsidRPr="00B95C40">
              <w:rPr>
                <w:rFonts w:cs="Arial"/>
                <w:sz w:val="18"/>
                <w:szCs w:val="18"/>
                <w:lang w:val="de-DE"/>
              </w:rPr>
              <w:t>Technischen Ausschuß</w:t>
            </w:r>
            <w:r w:rsidR="00193D37" w:rsidRPr="00B95C40">
              <w:rPr>
                <w:rFonts w:cs="Arial"/>
                <w:sz w:val="18"/>
                <w:szCs w:val="18"/>
                <w:lang w:val="de-DE"/>
              </w:rPr>
              <w:t xml:space="preserve"> (TC)</w:t>
            </w:r>
            <w:r w:rsidR="003F377D" w:rsidRPr="00B95C40">
              <w:rPr>
                <w:rFonts w:cs="Arial"/>
                <w:sz w:val="18"/>
                <w:szCs w:val="18"/>
                <w:lang w:val="de-DE"/>
              </w:rPr>
              <w:t xml:space="preserve"> und</w:t>
            </w:r>
            <w:r w:rsidR="00C34F1F" w:rsidRPr="00B95C40">
              <w:rPr>
                <w:rFonts w:cs="Arial"/>
                <w:sz w:val="18"/>
                <w:szCs w:val="18"/>
                <w:lang w:val="de-DE"/>
              </w:rPr>
              <w:t xml:space="preserve"> die</w:t>
            </w:r>
            <w:r w:rsidR="00193D37" w:rsidRPr="00B95C40">
              <w:rPr>
                <w:rFonts w:cs="Arial"/>
                <w:sz w:val="18"/>
                <w:szCs w:val="18"/>
                <w:lang w:val="de-DE"/>
              </w:rPr>
              <w:t xml:space="preserve"> </w:t>
            </w:r>
            <w:r w:rsidR="00C34F1F" w:rsidRPr="00B95C40">
              <w:rPr>
                <w:rFonts w:cs="Arial"/>
                <w:sz w:val="18"/>
                <w:szCs w:val="18"/>
                <w:lang w:val="de-DE"/>
              </w:rPr>
              <w:t>Technischen Arbeitsgruppen</w:t>
            </w:r>
            <w:r w:rsidR="00193D37" w:rsidRPr="00B95C40">
              <w:rPr>
                <w:rFonts w:cs="Arial"/>
                <w:sz w:val="18"/>
                <w:szCs w:val="18"/>
                <w:lang w:val="de-DE"/>
              </w:rPr>
              <w:t xml:space="preserve"> (TWPs)</w:t>
            </w:r>
          </w:p>
          <w:p w:rsidR="001728FE" w:rsidRPr="00B95C40" w:rsidRDefault="00C34F1F" w:rsidP="00B95C40">
            <w:pPr>
              <w:pStyle w:val="ListParagraph"/>
              <w:numPr>
                <w:ilvl w:val="0"/>
                <w:numId w:val="37"/>
              </w:numPr>
              <w:spacing w:after="60"/>
              <w:ind w:left="714" w:hanging="357"/>
              <w:contextualSpacing w:val="0"/>
              <w:rPr>
                <w:rFonts w:cs="Arial"/>
                <w:sz w:val="18"/>
                <w:szCs w:val="18"/>
                <w:lang w:val="de-DE"/>
              </w:rPr>
            </w:pPr>
            <w:r w:rsidRPr="00B95C40">
              <w:rPr>
                <w:rFonts w:cs="Arial"/>
                <w:sz w:val="18"/>
                <w:szCs w:val="18"/>
                <w:lang w:val="de-DE"/>
              </w:rPr>
              <w:t>vereinbarte</w:t>
            </w:r>
            <w:r w:rsidR="001728FE" w:rsidRPr="00B95C40">
              <w:rPr>
                <w:rFonts w:cs="Arial"/>
                <w:sz w:val="18"/>
                <w:szCs w:val="18"/>
                <w:lang w:val="de-DE"/>
              </w:rPr>
              <w:t xml:space="preserve"> </w:t>
            </w:r>
            <w:r w:rsidRPr="00B95C40">
              <w:rPr>
                <w:rFonts w:cs="Arial"/>
                <w:sz w:val="18"/>
                <w:szCs w:val="18"/>
                <w:lang w:val="de-DE"/>
              </w:rPr>
              <w:t>die folgenden Punkte hinsichtlich</w:t>
            </w:r>
            <w:r w:rsidR="001728FE" w:rsidRPr="00B95C40">
              <w:rPr>
                <w:rFonts w:cs="Arial"/>
                <w:sz w:val="18"/>
                <w:szCs w:val="18"/>
                <w:lang w:val="de-DE"/>
              </w:rPr>
              <w:t xml:space="preserve"> </w:t>
            </w:r>
            <w:r w:rsidRPr="00B95C40">
              <w:rPr>
                <w:rFonts w:cs="Arial"/>
                <w:sz w:val="18"/>
                <w:szCs w:val="18"/>
                <w:lang w:val="de-DE"/>
              </w:rPr>
              <w:t>des</w:t>
            </w:r>
            <w:r w:rsidR="001728FE" w:rsidRPr="00B95C40">
              <w:rPr>
                <w:rFonts w:cs="Arial"/>
                <w:sz w:val="18"/>
                <w:szCs w:val="18"/>
                <w:lang w:val="de-DE"/>
              </w:rPr>
              <w:t xml:space="preserve"> “</w:t>
            </w:r>
            <w:r w:rsidRPr="00B95C40">
              <w:rPr>
                <w:rFonts w:cs="Arial"/>
                <w:sz w:val="18"/>
                <w:szCs w:val="18"/>
                <w:lang w:val="de-DE"/>
              </w:rPr>
              <w:t>Symposium über die Vorteile des Sortenschutzes für Landwirte und Pflanzer</w:t>
            </w:r>
            <w:r w:rsidR="001728FE" w:rsidRPr="00B95C40">
              <w:rPr>
                <w:rFonts w:cs="Arial"/>
                <w:sz w:val="18"/>
                <w:szCs w:val="18"/>
                <w:lang w:val="de-DE"/>
              </w:rPr>
              <w:t>”</w:t>
            </w:r>
            <w:r w:rsidRPr="00B95C40">
              <w:rPr>
                <w:rFonts w:cs="Arial"/>
                <w:sz w:val="18"/>
                <w:szCs w:val="18"/>
                <w:lang w:val="de-DE"/>
              </w:rPr>
              <w:t xml:space="preserve"> </w:t>
            </w:r>
            <w:r w:rsidR="00042C4A" w:rsidRPr="00B95C40">
              <w:rPr>
                <w:rFonts w:cs="Arial"/>
                <w:sz w:val="18"/>
                <w:szCs w:val="18"/>
                <w:lang w:val="de-DE"/>
              </w:rPr>
              <w:t>in Genf</w:t>
            </w:r>
            <w:r w:rsidR="001728FE" w:rsidRPr="00B95C40">
              <w:rPr>
                <w:rFonts w:cs="Arial"/>
                <w:sz w:val="18"/>
                <w:szCs w:val="18"/>
                <w:lang w:val="de-DE"/>
              </w:rPr>
              <w:t xml:space="preserve"> </w:t>
            </w:r>
            <w:r w:rsidRPr="00B95C40">
              <w:rPr>
                <w:rFonts w:cs="Arial"/>
                <w:sz w:val="18"/>
                <w:szCs w:val="18"/>
                <w:lang w:val="de-DE"/>
              </w:rPr>
              <w:t xml:space="preserve">am 2. </w:t>
            </w:r>
            <w:r w:rsidR="001728FE" w:rsidRPr="00B95C40">
              <w:rPr>
                <w:rFonts w:cs="Arial"/>
                <w:sz w:val="18"/>
                <w:szCs w:val="18"/>
                <w:lang w:val="de-DE"/>
              </w:rPr>
              <w:t>November 2012</w:t>
            </w:r>
            <w:r w:rsidR="00B95C40">
              <w:rPr>
                <w:rFonts w:cs="Arial"/>
                <w:sz w:val="18"/>
                <w:szCs w:val="18"/>
                <w:lang w:val="de-DE"/>
              </w:rPr>
              <w:t>:</w:t>
            </w:r>
            <w:r w:rsidR="001728FE" w:rsidRPr="00B95C40">
              <w:rPr>
                <w:rFonts w:cs="Arial"/>
                <w:sz w:val="18"/>
                <w:szCs w:val="18"/>
                <w:lang w:val="de-DE"/>
              </w:rPr>
              <w:t xml:space="preserve"> </w:t>
            </w:r>
          </w:p>
          <w:p w:rsidR="001728FE" w:rsidRPr="00B95C40" w:rsidRDefault="00C34F1F" w:rsidP="001728FE">
            <w:pPr>
              <w:pStyle w:val="ListParagraph"/>
              <w:numPr>
                <w:ilvl w:val="1"/>
                <w:numId w:val="38"/>
              </w:numPr>
              <w:rPr>
                <w:rFonts w:cs="Arial"/>
                <w:sz w:val="18"/>
                <w:szCs w:val="18"/>
                <w:lang w:val="de-DE"/>
              </w:rPr>
            </w:pPr>
            <w:r w:rsidRPr="00B95C40">
              <w:rPr>
                <w:rFonts w:cs="Arial"/>
                <w:sz w:val="18"/>
                <w:szCs w:val="18"/>
                <w:lang w:val="de-DE"/>
              </w:rPr>
              <w:t>daß vorbehaltlich der räumlichen Kapazitäten auch der Öffentlichkeit die Teilnahme an dem „Symposium über die Vorteile des Sortenschutzes für Landwirte und Pflanzer” ermöglicht werde, wobei Teilnehmer aus Verbandsmitgliedern, Beobachterstaaten und Beobachterorganisationen Vorrang haben</w:t>
            </w:r>
            <w:r w:rsidR="001728FE" w:rsidRPr="00B95C40">
              <w:rPr>
                <w:rFonts w:cs="Arial"/>
                <w:sz w:val="18"/>
                <w:szCs w:val="18"/>
                <w:lang w:val="de-DE"/>
              </w:rPr>
              <w:t xml:space="preserve">  </w:t>
            </w:r>
          </w:p>
          <w:p w:rsidR="001728FE" w:rsidRPr="00B95C40" w:rsidRDefault="005661B5" w:rsidP="00234234">
            <w:pPr>
              <w:pStyle w:val="ListParagraph"/>
              <w:numPr>
                <w:ilvl w:val="1"/>
                <w:numId w:val="38"/>
              </w:numPr>
              <w:rPr>
                <w:rFonts w:cs="Arial"/>
                <w:sz w:val="18"/>
                <w:szCs w:val="18"/>
                <w:lang w:val="de-DE"/>
              </w:rPr>
            </w:pPr>
            <w:r>
              <w:rPr>
                <w:rFonts w:cs="Arial"/>
                <w:sz w:val="18"/>
                <w:szCs w:val="18"/>
                <w:lang w:val="de-DE"/>
              </w:rPr>
              <w:t xml:space="preserve">er </w:t>
            </w:r>
            <w:r w:rsidR="00234234" w:rsidRPr="00B95C40">
              <w:rPr>
                <w:rFonts w:cs="Arial"/>
                <w:sz w:val="18"/>
                <w:szCs w:val="18"/>
                <w:lang w:val="de-DE"/>
              </w:rPr>
              <w:t>billigte die Übertragung des Symposiums mittels Webcasting</w:t>
            </w:r>
          </w:p>
          <w:p w:rsidR="001728FE" w:rsidRPr="00B95C40" w:rsidRDefault="005661B5" w:rsidP="00234234">
            <w:pPr>
              <w:pStyle w:val="ListParagraph"/>
              <w:numPr>
                <w:ilvl w:val="1"/>
                <w:numId w:val="38"/>
              </w:numPr>
              <w:rPr>
                <w:rFonts w:cs="Arial"/>
                <w:sz w:val="18"/>
                <w:szCs w:val="18"/>
                <w:lang w:val="de-DE"/>
              </w:rPr>
            </w:pPr>
            <w:r>
              <w:rPr>
                <w:rFonts w:cs="Arial"/>
                <w:sz w:val="18"/>
                <w:szCs w:val="18"/>
                <w:lang w:val="de-DE"/>
              </w:rPr>
              <w:t xml:space="preserve">er </w:t>
            </w:r>
            <w:r w:rsidR="00C34F1F" w:rsidRPr="00B95C40">
              <w:rPr>
                <w:rFonts w:cs="Arial"/>
                <w:sz w:val="18"/>
                <w:szCs w:val="18"/>
                <w:lang w:val="de-DE"/>
              </w:rPr>
              <w:t>vereinbarte</w:t>
            </w:r>
            <w:r w:rsidR="001728FE" w:rsidRPr="00B95C40">
              <w:rPr>
                <w:rFonts w:cs="Arial"/>
                <w:sz w:val="18"/>
                <w:szCs w:val="18"/>
                <w:lang w:val="de-DE"/>
              </w:rPr>
              <w:t xml:space="preserve"> </w:t>
            </w:r>
            <w:r w:rsidR="00234234" w:rsidRPr="00B95C40">
              <w:rPr>
                <w:rFonts w:cs="Arial"/>
                <w:sz w:val="18"/>
                <w:szCs w:val="18"/>
                <w:lang w:val="de-DE"/>
              </w:rPr>
              <w:t>die Erläuterung des Ziels des Symposiums</w:t>
            </w:r>
          </w:p>
          <w:p w:rsidR="001728FE" w:rsidRPr="00B95C40" w:rsidRDefault="005661B5" w:rsidP="00010A48">
            <w:pPr>
              <w:pStyle w:val="ListParagraph"/>
              <w:numPr>
                <w:ilvl w:val="1"/>
                <w:numId w:val="38"/>
              </w:numPr>
              <w:spacing w:after="60"/>
              <w:contextualSpacing w:val="0"/>
              <w:rPr>
                <w:rFonts w:cs="Arial"/>
                <w:sz w:val="18"/>
                <w:szCs w:val="18"/>
                <w:lang w:val="de-DE"/>
              </w:rPr>
            </w:pPr>
            <w:r>
              <w:rPr>
                <w:rFonts w:cs="Arial"/>
                <w:sz w:val="18"/>
                <w:szCs w:val="18"/>
                <w:lang w:val="de-DE"/>
              </w:rPr>
              <w:t xml:space="preserve">er </w:t>
            </w:r>
            <w:r w:rsidR="00234234" w:rsidRPr="00B95C40">
              <w:rPr>
                <w:rFonts w:cs="Arial"/>
                <w:sz w:val="18"/>
                <w:szCs w:val="18"/>
                <w:lang w:val="de-DE"/>
              </w:rPr>
              <w:t>befürwortete die Pläne für den Entwurf eines Programms für das Symposium und vereinbarte</w:t>
            </w:r>
            <w:r>
              <w:rPr>
                <w:rFonts w:cs="Arial"/>
                <w:sz w:val="18"/>
                <w:szCs w:val="18"/>
                <w:lang w:val="de-DE"/>
              </w:rPr>
              <w:t>,</w:t>
            </w:r>
            <w:r w:rsidR="00234234" w:rsidRPr="00B95C40">
              <w:rPr>
                <w:rFonts w:cs="Arial"/>
                <w:sz w:val="18"/>
                <w:szCs w:val="18"/>
                <w:lang w:val="de-DE"/>
              </w:rPr>
              <w:t xml:space="preserve"> einen der von der </w:t>
            </w:r>
            <w:r w:rsidR="00010A48" w:rsidRPr="00010A48">
              <w:rPr>
                <w:rFonts w:cs="Arial"/>
                <w:i/>
                <w:sz w:val="18"/>
                <w:szCs w:val="18"/>
                <w:lang w:val="de-DE"/>
              </w:rPr>
              <w:t>Association for Plant Breeding for the Benefit of Society</w:t>
            </w:r>
            <w:r w:rsidR="00010A48" w:rsidRPr="00010A48">
              <w:rPr>
                <w:rFonts w:cs="Arial"/>
                <w:sz w:val="18"/>
                <w:szCs w:val="18"/>
                <w:lang w:val="de-DE"/>
              </w:rPr>
              <w:t xml:space="preserve"> (APBREBES)</w:t>
            </w:r>
            <w:r w:rsidR="00234234" w:rsidRPr="00B95C40">
              <w:rPr>
                <w:rFonts w:cs="Arial"/>
                <w:sz w:val="18"/>
                <w:szCs w:val="18"/>
                <w:lang w:val="de-DE"/>
              </w:rPr>
              <w:t xml:space="preserve"> empfohlenen Referenten in das Programm aufzunehmen, um in Einklang mit dem Ziel des Symposiums ein Referat zu halten</w:t>
            </w:r>
          </w:p>
          <w:p w:rsidR="001728FE" w:rsidRPr="00B95C40" w:rsidRDefault="0046597E" w:rsidP="0046597E">
            <w:pPr>
              <w:pStyle w:val="ListParagraph"/>
              <w:numPr>
                <w:ilvl w:val="0"/>
                <w:numId w:val="37"/>
              </w:numPr>
              <w:spacing w:after="60"/>
              <w:ind w:left="714" w:hanging="357"/>
              <w:contextualSpacing w:val="0"/>
              <w:rPr>
                <w:rFonts w:cs="Arial"/>
                <w:sz w:val="18"/>
                <w:szCs w:val="18"/>
                <w:lang w:val="de-DE"/>
              </w:rPr>
            </w:pPr>
            <w:r w:rsidRPr="00B95C40">
              <w:rPr>
                <w:rFonts w:cs="Arial"/>
                <w:sz w:val="18"/>
                <w:szCs w:val="18"/>
                <w:lang w:val="de-DE"/>
              </w:rPr>
              <w:t>billigte</w:t>
            </w:r>
            <w:r w:rsidR="00B95C40">
              <w:rPr>
                <w:rFonts w:cs="Arial"/>
                <w:sz w:val="18"/>
                <w:szCs w:val="18"/>
                <w:lang w:val="de-DE"/>
              </w:rPr>
              <w:t xml:space="preserve"> die</w:t>
            </w:r>
            <w:r w:rsidRPr="00B95C40">
              <w:rPr>
                <w:rFonts w:cs="Arial"/>
                <w:sz w:val="18"/>
                <w:szCs w:val="18"/>
                <w:lang w:val="de-DE"/>
              </w:rPr>
              <w:t xml:space="preserve"> Teilnahme des Verbandsbüros am Rahmen für die Gestaltung entwicklungsförderlicher nationaler Strategien für geistiges Eigentum der Weltorganisation für geistiges Eigentum (WIPO) </w:t>
            </w:r>
          </w:p>
          <w:p w:rsidR="001728FE" w:rsidRPr="00B95C40" w:rsidRDefault="0046597E" w:rsidP="00894944">
            <w:pPr>
              <w:pStyle w:val="ListParagraph"/>
              <w:numPr>
                <w:ilvl w:val="0"/>
                <w:numId w:val="37"/>
              </w:numPr>
              <w:spacing w:after="120"/>
              <w:ind w:left="714" w:hanging="357"/>
              <w:contextualSpacing w:val="0"/>
              <w:rPr>
                <w:rFonts w:cs="Arial"/>
                <w:sz w:val="18"/>
                <w:szCs w:val="18"/>
                <w:lang w:val="de-DE"/>
              </w:rPr>
            </w:pPr>
            <w:r w:rsidRPr="00B95C40">
              <w:rPr>
                <w:rFonts w:cs="Arial"/>
                <w:sz w:val="18"/>
                <w:szCs w:val="18"/>
                <w:lang w:val="de-DE"/>
              </w:rPr>
              <w:t>billigte</w:t>
            </w:r>
            <w:r w:rsidR="001728FE" w:rsidRPr="00B95C40">
              <w:rPr>
                <w:rFonts w:cs="Arial"/>
                <w:sz w:val="18"/>
                <w:szCs w:val="18"/>
                <w:lang w:val="de-DE"/>
              </w:rPr>
              <w:t xml:space="preserve"> </w:t>
            </w:r>
            <w:r w:rsidRPr="00B95C40">
              <w:rPr>
                <w:rFonts w:cs="Arial"/>
                <w:sz w:val="18"/>
                <w:szCs w:val="18"/>
                <w:lang w:val="de-DE"/>
              </w:rPr>
              <w:t>den Beitrag des Verbandsbüros zur Ausarbeitung des WIPO</w:t>
            </w:r>
            <w:r w:rsidRPr="00B95C40">
              <w:rPr>
                <w:rFonts w:ascii="MS Gothic" w:eastAsia="MS Gothic" w:hAnsi="MS Gothic" w:cs="MS Gothic" w:hint="eastAsia"/>
                <w:sz w:val="18"/>
                <w:szCs w:val="18"/>
                <w:lang w:val="de-DE"/>
              </w:rPr>
              <w:t>‑</w:t>
            </w:r>
            <w:r w:rsidRPr="00B95C40">
              <w:rPr>
                <w:rFonts w:cs="Arial"/>
                <w:sz w:val="18"/>
                <w:szCs w:val="18"/>
                <w:lang w:val="de-DE"/>
              </w:rPr>
              <w:t>Fragebogens „zur Einschätzung des aktuellen Standes der nationalen Systeme des geistigen Eigentums sowie der strategischen Ziele und Bedürfnisse nach Maßgabe der nationalen Entwicklungsprioritäten.</w:t>
            </w:r>
          </w:p>
          <w:p w:rsidR="001728FE" w:rsidRPr="00B95C40" w:rsidRDefault="007B46CC" w:rsidP="00B95C40">
            <w:pPr>
              <w:spacing w:before="60" w:after="120"/>
              <w:rPr>
                <w:rFonts w:cs="Arial"/>
                <w:sz w:val="18"/>
                <w:szCs w:val="18"/>
                <w:lang w:val="de-DE"/>
              </w:rPr>
            </w:pPr>
            <w:r w:rsidRPr="00B95C40">
              <w:rPr>
                <w:rFonts w:cs="Arial"/>
                <w:sz w:val="18"/>
                <w:szCs w:val="18"/>
                <w:lang w:val="de-DE"/>
              </w:rPr>
              <w:t xml:space="preserve">Der </w:t>
            </w:r>
            <w:r w:rsidR="00A71FDD" w:rsidRPr="00B95C40">
              <w:rPr>
                <w:rFonts w:cs="Arial"/>
                <w:sz w:val="18"/>
                <w:szCs w:val="18"/>
                <w:lang w:val="de-DE"/>
              </w:rPr>
              <w:t>Beratende Ausschuß</w:t>
            </w:r>
            <w:r w:rsidRPr="00B95C40">
              <w:rPr>
                <w:rFonts w:cs="Arial"/>
                <w:sz w:val="18"/>
                <w:szCs w:val="18"/>
                <w:lang w:val="de-DE"/>
              </w:rPr>
              <w:t xml:space="preserve"> gab auf seiner</w:t>
            </w:r>
            <w:r w:rsidR="001728FE" w:rsidRPr="00B95C40">
              <w:rPr>
                <w:rFonts w:cs="Arial"/>
                <w:sz w:val="18"/>
                <w:szCs w:val="18"/>
                <w:lang w:val="de-DE"/>
              </w:rPr>
              <w:t xml:space="preserve"> </w:t>
            </w:r>
            <w:r w:rsidR="003F377D" w:rsidRPr="00B95C40">
              <w:rPr>
                <w:rFonts w:cs="Arial"/>
                <w:sz w:val="18"/>
                <w:szCs w:val="18"/>
                <w:lang w:val="de-DE"/>
              </w:rPr>
              <w:t>vierundachtzigste</w:t>
            </w:r>
            <w:r w:rsidRPr="00B95C40">
              <w:rPr>
                <w:rFonts w:cs="Arial"/>
                <w:sz w:val="18"/>
                <w:szCs w:val="18"/>
                <w:lang w:val="de-DE"/>
              </w:rPr>
              <w:t>n</w:t>
            </w:r>
            <w:r w:rsidR="001728FE" w:rsidRPr="00B95C40">
              <w:rPr>
                <w:rFonts w:cs="Arial"/>
                <w:sz w:val="18"/>
                <w:szCs w:val="18"/>
                <w:lang w:val="de-DE"/>
              </w:rPr>
              <w:t xml:space="preserve"> </w:t>
            </w:r>
            <w:r w:rsidR="003F377D" w:rsidRPr="00B95C40">
              <w:rPr>
                <w:rFonts w:cs="Arial"/>
                <w:sz w:val="18"/>
                <w:szCs w:val="18"/>
                <w:lang w:val="de-DE"/>
              </w:rPr>
              <w:t>Tagung</w:t>
            </w:r>
            <w:r w:rsidR="001728FE" w:rsidRPr="00B95C40">
              <w:rPr>
                <w:rFonts w:cs="Arial"/>
                <w:sz w:val="18"/>
                <w:szCs w:val="18"/>
                <w:lang w:val="de-DE"/>
              </w:rPr>
              <w:t xml:space="preserve"> </w:t>
            </w:r>
            <w:r w:rsidR="00042C4A" w:rsidRPr="00B95C40">
              <w:rPr>
                <w:rFonts w:cs="Arial"/>
                <w:sz w:val="18"/>
                <w:szCs w:val="18"/>
                <w:lang w:val="de-DE"/>
              </w:rPr>
              <w:t>in Genf</w:t>
            </w:r>
            <w:r w:rsidR="001728FE" w:rsidRPr="00B95C40">
              <w:rPr>
                <w:rFonts w:cs="Arial"/>
                <w:sz w:val="18"/>
                <w:szCs w:val="18"/>
                <w:lang w:val="de-DE"/>
              </w:rPr>
              <w:t xml:space="preserve"> </w:t>
            </w:r>
            <w:r w:rsidRPr="00B95C40">
              <w:rPr>
                <w:rFonts w:cs="Arial"/>
                <w:sz w:val="18"/>
                <w:szCs w:val="18"/>
                <w:lang w:val="de-DE"/>
              </w:rPr>
              <w:t>am 31.</w:t>
            </w:r>
            <w:r w:rsidR="001728FE" w:rsidRPr="00B95C40">
              <w:rPr>
                <w:rFonts w:cs="Arial"/>
                <w:sz w:val="18"/>
                <w:szCs w:val="18"/>
                <w:lang w:val="de-DE"/>
              </w:rPr>
              <w:t xml:space="preserve"> </w:t>
            </w:r>
            <w:r w:rsidRPr="00B95C40">
              <w:rPr>
                <w:rFonts w:cs="Arial"/>
                <w:sz w:val="18"/>
                <w:szCs w:val="18"/>
                <w:lang w:val="de-DE"/>
              </w:rPr>
              <w:t>Oktober</w:t>
            </w:r>
            <w:r w:rsidR="001728FE" w:rsidRPr="00B95C40">
              <w:rPr>
                <w:rFonts w:cs="Arial"/>
                <w:sz w:val="18"/>
                <w:szCs w:val="18"/>
                <w:lang w:val="de-DE"/>
              </w:rPr>
              <w:t xml:space="preserve">  2012 </w:t>
            </w:r>
            <w:r w:rsidR="00042C4A" w:rsidRPr="00B95C40">
              <w:rPr>
                <w:rFonts w:cs="Arial"/>
                <w:sz w:val="18"/>
                <w:szCs w:val="18"/>
                <w:lang w:val="de-DE"/>
              </w:rPr>
              <w:t>Empfehlungen</w:t>
            </w:r>
            <w:r w:rsidR="001728FE" w:rsidRPr="00B95C40">
              <w:rPr>
                <w:rFonts w:cs="Arial"/>
                <w:sz w:val="18"/>
                <w:szCs w:val="18"/>
                <w:lang w:val="de-DE"/>
              </w:rPr>
              <w:t xml:space="preserve"> </w:t>
            </w:r>
            <w:r w:rsidRPr="00B95C40">
              <w:rPr>
                <w:rFonts w:cs="Arial"/>
                <w:sz w:val="18"/>
                <w:szCs w:val="18"/>
                <w:lang w:val="de-DE"/>
              </w:rPr>
              <w:t>zu folgenden Punkten ab</w:t>
            </w:r>
            <w:r w:rsidR="001728FE" w:rsidRPr="00B95C40">
              <w:rPr>
                <w:rFonts w:cs="Arial"/>
                <w:sz w:val="18"/>
                <w:szCs w:val="18"/>
                <w:lang w:val="de-DE"/>
              </w:rPr>
              <w:t>:</w:t>
            </w:r>
          </w:p>
          <w:p w:rsidR="001728FE" w:rsidRPr="00B95C40" w:rsidRDefault="007B46CC" w:rsidP="007B46CC">
            <w:pPr>
              <w:pStyle w:val="ListParagraph"/>
              <w:numPr>
                <w:ilvl w:val="0"/>
                <w:numId w:val="39"/>
              </w:numPr>
              <w:spacing w:after="60"/>
              <w:contextualSpacing w:val="0"/>
              <w:rPr>
                <w:rFonts w:cs="Arial"/>
                <w:sz w:val="18"/>
                <w:szCs w:val="18"/>
                <w:lang w:val="de-DE"/>
              </w:rPr>
            </w:pPr>
            <w:r w:rsidRPr="00B95C40">
              <w:rPr>
                <w:rFonts w:cs="Arial"/>
                <w:sz w:val="18"/>
                <w:szCs w:val="18"/>
                <w:lang w:val="de-DE"/>
              </w:rPr>
              <w:t>Prüfung der Vereinbarkeit des Gesetzentwurfs Ghanas über Pflanzenzüchter mit der Akte von 1991 des UPOV</w:t>
            </w:r>
            <w:r w:rsidRPr="00B95C40">
              <w:rPr>
                <w:rFonts w:ascii="MS Gothic" w:eastAsia="MS Gothic" w:hAnsi="MS Gothic" w:cs="MS Gothic" w:hint="eastAsia"/>
                <w:sz w:val="18"/>
                <w:szCs w:val="18"/>
                <w:lang w:val="de-DE"/>
              </w:rPr>
              <w:t>‑</w:t>
            </w:r>
            <w:r w:rsidRPr="00B95C40">
              <w:rPr>
                <w:rFonts w:cs="Arial"/>
                <w:sz w:val="18"/>
                <w:szCs w:val="18"/>
                <w:lang w:val="de-DE"/>
              </w:rPr>
              <w:t>Übereinkommens</w:t>
            </w:r>
          </w:p>
          <w:p w:rsidR="001728FE" w:rsidRPr="00B95C40" w:rsidRDefault="007B46CC" w:rsidP="007B46CC">
            <w:pPr>
              <w:pStyle w:val="ListParagraph"/>
              <w:numPr>
                <w:ilvl w:val="0"/>
                <w:numId w:val="39"/>
              </w:numPr>
              <w:spacing w:after="60"/>
              <w:contextualSpacing w:val="0"/>
              <w:rPr>
                <w:rFonts w:cs="Arial"/>
                <w:sz w:val="18"/>
                <w:szCs w:val="18"/>
                <w:lang w:val="de-DE"/>
              </w:rPr>
            </w:pPr>
            <w:r w:rsidRPr="00B95C40">
              <w:rPr>
                <w:rFonts w:cs="Arial"/>
                <w:sz w:val="18"/>
                <w:szCs w:val="18"/>
                <w:lang w:val="de-DE"/>
              </w:rPr>
              <w:t>Vereinbarkeit des Gesetzentwurfs Kontinentaltansanias über Pflanzenzüchter</w:t>
            </w:r>
            <w:r w:rsidR="005661B5">
              <w:rPr>
                <w:rFonts w:cs="Arial"/>
                <w:sz w:val="18"/>
                <w:szCs w:val="18"/>
                <w:lang w:val="de-DE"/>
              </w:rPr>
              <w:t>rechte</w:t>
            </w:r>
            <w:r w:rsidRPr="00B95C40">
              <w:rPr>
                <w:rFonts w:cs="Arial"/>
                <w:sz w:val="18"/>
                <w:szCs w:val="18"/>
                <w:lang w:val="de-DE"/>
              </w:rPr>
              <w:t xml:space="preserve"> mit der Akte von 1991 des UPOV</w:t>
            </w:r>
            <w:r w:rsidRPr="00B95C40">
              <w:rPr>
                <w:rFonts w:ascii="MS Gothic" w:eastAsia="MS Gothic" w:hAnsi="MS Gothic" w:cs="MS Gothic" w:hint="eastAsia"/>
                <w:sz w:val="18"/>
                <w:szCs w:val="18"/>
                <w:lang w:val="de-DE"/>
              </w:rPr>
              <w:t>‑</w:t>
            </w:r>
            <w:r w:rsidRPr="00B95C40">
              <w:rPr>
                <w:rFonts w:cs="Arial"/>
                <w:sz w:val="18"/>
                <w:szCs w:val="18"/>
                <w:lang w:val="de-DE"/>
              </w:rPr>
              <w:t>Übereinkommens</w:t>
            </w:r>
          </w:p>
          <w:p w:rsidR="001728FE" w:rsidRPr="00B95C40" w:rsidRDefault="00042C4A" w:rsidP="007B46CC">
            <w:pPr>
              <w:pStyle w:val="ListParagraph"/>
              <w:numPr>
                <w:ilvl w:val="0"/>
                <w:numId w:val="39"/>
              </w:numPr>
              <w:spacing w:after="60"/>
              <w:contextualSpacing w:val="0"/>
              <w:rPr>
                <w:rFonts w:cs="Arial"/>
                <w:sz w:val="18"/>
                <w:szCs w:val="18"/>
                <w:lang w:val="fr-CH"/>
              </w:rPr>
            </w:pPr>
            <w:r w:rsidRPr="00B95C40">
              <w:rPr>
                <w:rFonts w:cs="Arial"/>
                <w:sz w:val="18"/>
                <w:szCs w:val="18"/>
                <w:lang w:val="fr-CH"/>
              </w:rPr>
              <w:t>Annahme von</w:t>
            </w:r>
            <w:r w:rsidR="007B46CC" w:rsidRPr="00B95C40">
              <w:rPr>
                <w:rFonts w:cs="Arial"/>
                <w:sz w:val="18"/>
                <w:szCs w:val="18"/>
                <w:lang w:val="fr-CH"/>
              </w:rPr>
              <w:t xml:space="preserve"> </w:t>
            </w:r>
            <w:r w:rsidRPr="00B95C40">
              <w:rPr>
                <w:rFonts w:cs="Arial"/>
                <w:sz w:val="18"/>
                <w:szCs w:val="18"/>
                <w:lang w:val="fr-CH"/>
              </w:rPr>
              <w:t>Dokumente</w:t>
            </w:r>
            <w:r w:rsidR="007B46CC" w:rsidRPr="00B95C40">
              <w:rPr>
                <w:rFonts w:cs="Arial"/>
                <w:sz w:val="18"/>
                <w:szCs w:val="18"/>
                <w:lang w:val="fr-CH"/>
              </w:rPr>
              <w:t>n</w:t>
            </w:r>
          </w:p>
          <w:p w:rsidR="001728FE" w:rsidRPr="00B95C40" w:rsidRDefault="007B46CC" w:rsidP="007B46CC">
            <w:pPr>
              <w:pStyle w:val="ListParagraph"/>
              <w:numPr>
                <w:ilvl w:val="0"/>
                <w:numId w:val="39"/>
              </w:numPr>
              <w:spacing w:after="60"/>
              <w:contextualSpacing w:val="0"/>
              <w:rPr>
                <w:rFonts w:cs="Arial"/>
                <w:sz w:val="18"/>
                <w:szCs w:val="18"/>
                <w:lang w:val="de-DE"/>
              </w:rPr>
            </w:pPr>
            <w:r w:rsidRPr="00B95C40">
              <w:rPr>
                <w:rFonts w:cs="Arial"/>
                <w:sz w:val="18"/>
                <w:szCs w:val="18"/>
                <w:lang w:val="de-DE"/>
              </w:rPr>
              <w:t>Finanzlage des Internationalen Verbandes zum Schutz von Pflanzenzüchtungen zum</w:t>
            </w:r>
            <w:r w:rsidR="001728FE" w:rsidRPr="00B95C40">
              <w:rPr>
                <w:rFonts w:cs="Arial"/>
                <w:sz w:val="18"/>
                <w:szCs w:val="18"/>
                <w:lang w:val="de-DE"/>
              </w:rPr>
              <w:t xml:space="preserve"> 31</w:t>
            </w:r>
            <w:r w:rsidRPr="00B95C40">
              <w:rPr>
                <w:rFonts w:cs="Arial"/>
                <w:sz w:val="18"/>
                <w:szCs w:val="18"/>
                <w:lang w:val="de-DE"/>
              </w:rPr>
              <w:t>. Dezember</w:t>
            </w:r>
            <w:r w:rsidR="001728FE" w:rsidRPr="00B95C40">
              <w:rPr>
                <w:rFonts w:cs="Arial"/>
                <w:sz w:val="18"/>
                <w:szCs w:val="18"/>
                <w:lang w:val="de-DE"/>
              </w:rPr>
              <w:t xml:space="preserve"> 2011</w:t>
            </w:r>
          </w:p>
          <w:p w:rsidR="001728FE" w:rsidRPr="00B95C40" w:rsidRDefault="00B95C40" w:rsidP="007B46CC">
            <w:pPr>
              <w:pStyle w:val="ListParagraph"/>
              <w:numPr>
                <w:ilvl w:val="0"/>
                <w:numId w:val="39"/>
              </w:numPr>
              <w:spacing w:after="60"/>
              <w:contextualSpacing w:val="0"/>
              <w:rPr>
                <w:rFonts w:cs="Arial"/>
                <w:sz w:val="18"/>
                <w:szCs w:val="18"/>
                <w:lang w:val="de-DE"/>
              </w:rPr>
            </w:pPr>
            <w:r>
              <w:rPr>
                <w:rFonts w:cs="Arial"/>
                <w:sz w:val="18"/>
                <w:szCs w:val="18"/>
                <w:lang w:val="de-DE"/>
              </w:rPr>
              <w:t>r</w:t>
            </w:r>
            <w:r w:rsidR="007B46CC" w:rsidRPr="00B95C40">
              <w:rPr>
                <w:rFonts w:cs="Arial"/>
                <w:sz w:val="18"/>
                <w:szCs w:val="18"/>
                <w:lang w:val="de-DE"/>
              </w:rPr>
              <w:t>ückständige Beitragszahlungen zum 30.</w:t>
            </w:r>
            <w:r w:rsidR="001728FE" w:rsidRPr="00B95C40">
              <w:rPr>
                <w:rFonts w:cs="Arial"/>
                <w:sz w:val="18"/>
                <w:szCs w:val="18"/>
                <w:lang w:val="de-DE"/>
              </w:rPr>
              <w:t xml:space="preserve"> September 2012</w:t>
            </w:r>
          </w:p>
          <w:p w:rsidR="001728FE" w:rsidRPr="00B95C40" w:rsidRDefault="007B46CC" w:rsidP="007B46CC">
            <w:pPr>
              <w:pStyle w:val="ListParagraph"/>
              <w:numPr>
                <w:ilvl w:val="0"/>
                <w:numId w:val="39"/>
              </w:numPr>
              <w:spacing w:after="60"/>
              <w:contextualSpacing w:val="0"/>
              <w:rPr>
                <w:rFonts w:cs="Arial"/>
                <w:sz w:val="18"/>
                <w:szCs w:val="18"/>
              </w:rPr>
            </w:pPr>
            <w:r w:rsidRPr="00B95C40">
              <w:rPr>
                <w:rFonts w:cs="Arial"/>
                <w:sz w:val="18"/>
                <w:szCs w:val="18"/>
              </w:rPr>
              <w:t xml:space="preserve">Tagungskalender für das Jahr </w:t>
            </w:r>
            <w:r w:rsidR="001728FE" w:rsidRPr="00B95C40">
              <w:rPr>
                <w:rFonts w:cs="Arial"/>
                <w:sz w:val="18"/>
                <w:szCs w:val="18"/>
              </w:rPr>
              <w:t>2013</w:t>
            </w:r>
          </w:p>
          <w:p w:rsidR="001728FE" w:rsidRPr="00B95C40" w:rsidRDefault="007B46CC" w:rsidP="00FE48AC">
            <w:pPr>
              <w:pStyle w:val="ListParagraph"/>
              <w:numPr>
                <w:ilvl w:val="0"/>
                <w:numId w:val="39"/>
              </w:numPr>
              <w:spacing w:after="60"/>
              <w:contextualSpacing w:val="0"/>
              <w:rPr>
                <w:rFonts w:cs="Arial"/>
                <w:sz w:val="18"/>
                <w:szCs w:val="18"/>
              </w:rPr>
            </w:pPr>
            <w:r w:rsidRPr="00B95C40">
              <w:rPr>
                <w:rFonts w:cs="Arial"/>
                <w:sz w:val="18"/>
                <w:szCs w:val="18"/>
              </w:rPr>
              <w:t>eine</w:t>
            </w:r>
            <w:r w:rsidR="001728FE" w:rsidRPr="00B95C40">
              <w:rPr>
                <w:rFonts w:cs="Arial"/>
                <w:sz w:val="18"/>
                <w:szCs w:val="18"/>
              </w:rPr>
              <w:t xml:space="preserve"> </w:t>
            </w:r>
            <w:r w:rsidR="00042C4A" w:rsidRPr="00B95C40">
              <w:rPr>
                <w:rFonts w:cs="Arial"/>
                <w:sz w:val="18"/>
                <w:szCs w:val="18"/>
              </w:rPr>
              <w:t>Pressemitteilung</w:t>
            </w:r>
          </w:p>
          <w:p w:rsidR="00282FAB" w:rsidRPr="00B95C40" w:rsidRDefault="007B46CC" w:rsidP="007B46CC">
            <w:pPr>
              <w:pStyle w:val="ListParagraph"/>
              <w:numPr>
                <w:ilvl w:val="0"/>
                <w:numId w:val="39"/>
              </w:numPr>
              <w:spacing w:after="120"/>
              <w:ind w:left="714" w:hanging="357"/>
              <w:contextualSpacing w:val="0"/>
              <w:rPr>
                <w:rFonts w:cs="Arial"/>
                <w:sz w:val="18"/>
                <w:szCs w:val="18"/>
                <w:lang w:val="de-DE"/>
              </w:rPr>
            </w:pPr>
            <w:r w:rsidRPr="00B95C40">
              <w:rPr>
                <w:rFonts w:cs="Arial"/>
                <w:sz w:val="18"/>
                <w:szCs w:val="18"/>
                <w:lang w:val="de-DE"/>
              </w:rPr>
              <w:t xml:space="preserve">Rechnungsabschluss für die Rechnungsperiode 2010-2011 </w:t>
            </w:r>
          </w:p>
          <w:p w:rsidR="00282FAB" w:rsidRPr="00B95C40" w:rsidRDefault="007B46CC" w:rsidP="007B46CC">
            <w:pPr>
              <w:spacing w:before="60" w:after="120"/>
              <w:rPr>
                <w:rFonts w:cs="Arial"/>
                <w:sz w:val="18"/>
                <w:szCs w:val="18"/>
              </w:rPr>
            </w:pPr>
            <w:r w:rsidRPr="00B95C40">
              <w:rPr>
                <w:rFonts w:cs="Arial"/>
                <w:sz w:val="18"/>
                <w:szCs w:val="18"/>
              </w:rPr>
              <w:t>u</w:t>
            </w:r>
            <w:r w:rsidR="00282FAB" w:rsidRPr="00B95C40">
              <w:rPr>
                <w:rFonts w:cs="Arial"/>
                <w:sz w:val="18"/>
                <w:szCs w:val="18"/>
              </w:rPr>
              <w:t xml:space="preserve">nd </w:t>
            </w:r>
            <w:r w:rsidRPr="00B95C40">
              <w:rPr>
                <w:rFonts w:cs="Arial"/>
                <w:sz w:val="18"/>
                <w:szCs w:val="18"/>
              </w:rPr>
              <w:t>er</w:t>
            </w:r>
            <w:r w:rsidR="00282FAB" w:rsidRPr="00B95C40">
              <w:rPr>
                <w:rFonts w:cs="Arial"/>
                <w:sz w:val="18"/>
                <w:szCs w:val="18"/>
              </w:rPr>
              <w:t>:</w:t>
            </w:r>
          </w:p>
          <w:p w:rsidR="00282FAB" w:rsidRPr="00B95C40" w:rsidRDefault="007B46CC" w:rsidP="00B95C40">
            <w:pPr>
              <w:pStyle w:val="ListParagraph"/>
              <w:numPr>
                <w:ilvl w:val="0"/>
                <w:numId w:val="40"/>
              </w:numPr>
              <w:spacing w:after="60"/>
              <w:contextualSpacing w:val="0"/>
              <w:rPr>
                <w:rFonts w:cs="Arial"/>
                <w:sz w:val="18"/>
                <w:szCs w:val="18"/>
                <w:lang w:val="de-DE"/>
              </w:rPr>
            </w:pPr>
            <w:r w:rsidRPr="00B95C40">
              <w:rPr>
                <w:rFonts w:cs="Arial"/>
                <w:sz w:val="18"/>
                <w:szCs w:val="18"/>
                <w:lang w:val="de-DE"/>
              </w:rPr>
              <w:t>billigte</w:t>
            </w:r>
            <w:r w:rsidR="00282FAB" w:rsidRPr="00B95C40">
              <w:rPr>
                <w:rFonts w:cs="Arial"/>
                <w:sz w:val="18"/>
                <w:szCs w:val="18"/>
                <w:lang w:val="de-DE"/>
              </w:rPr>
              <w:t xml:space="preserve"> </w:t>
            </w:r>
            <w:r w:rsidRPr="00B95C40">
              <w:rPr>
                <w:rFonts w:cs="Arial"/>
                <w:sz w:val="18"/>
                <w:szCs w:val="18"/>
                <w:lang w:val="de-DE"/>
              </w:rPr>
              <w:t>den</w:t>
            </w:r>
            <w:r w:rsidR="00282FAB" w:rsidRPr="00B95C40">
              <w:rPr>
                <w:rFonts w:cs="Arial"/>
                <w:sz w:val="18"/>
                <w:szCs w:val="18"/>
                <w:lang w:val="de-DE"/>
              </w:rPr>
              <w:t xml:space="preserve"> </w:t>
            </w:r>
            <w:r w:rsidRPr="00B95C40">
              <w:rPr>
                <w:rFonts w:cs="Arial"/>
                <w:sz w:val="18"/>
                <w:szCs w:val="18"/>
                <w:lang w:val="de-DE"/>
              </w:rPr>
              <w:t>Einsatz von Webkonferenzen durch UPOV-Organe, sofern vom betreffenden UPOV-Organ als zweckmäßig erachtet, um Verbandsmitgliedern und Beobachtern im Einklang mit bestehenden Verfahren die Teilnahme an Sitzungen zu erleichtern</w:t>
            </w:r>
          </w:p>
          <w:p w:rsidR="00282FAB" w:rsidRPr="00B95C40" w:rsidRDefault="00282FAB" w:rsidP="006E1FFB">
            <w:pPr>
              <w:pStyle w:val="ListParagraph"/>
              <w:spacing w:after="60"/>
              <w:contextualSpacing w:val="0"/>
              <w:rPr>
                <w:rFonts w:cs="Arial"/>
                <w:sz w:val="18"/>
                <w:szCs w:val="18"/>
                <w:lang w:val="de-DE"/>
              </w:rPr>
            </w:pPr>
          </w:p>
        </w:tc>
      </w:tr>
    </w:tbl>
    <w:p w:rsidR="006E1FFB" w:rsidRDefault="006E1FFB"/>
    <w:tbl>
      <w:tblPr>
        <w:tblW w:w="9889" w:type="dxa"/>
        <w:tblLayout w:type="fixed"/>
        <w:tblLook w:val="0000" w:firstRow="0" w:lastRow="0" w:firstColumn="0" w:lastColumn="0" w:noHBand="0" w:noVBand="0"/>
      </w:tblPr>
      <w:tblGrid>
        <w:gridCol w:w="2093"/>
        <w:gridCol w:w="7796"/>
      </w:tblGrid>
      <w:tr w:rsidR="006E1FFB" w:rsidRPr="006054BD" w:rsidTr="00062A4B">
        <w:tc>
          <w:tcPr>
            <w:tcW w:w="2093" w:type="dxa"/>
            <w:shd w:val="clear" w:color="auto" w:fill="auto"/>
          </w:tcPr>
          <w:p w:rsidR="006E1FFB" w:rsidRPr="006054BD" w:rsidRDefault="006E1FFB" w:rsidP="00062A4B">
            <w:pPr>
              <w:keepNext/>
              <w:spacing w:after="240"/>
              <w:rPr>
                <w:b/>
                <w:sz w:val="18"/>
                <w:szCs w:val="18"/>
              </w:rPr>
            </w:pPr>
            <w:r>
              <w:rPr>
                <w:b/>
                <w:sz w:val="18"/>
                <w:szCs w:val="18"/>
              </w:rPr>
              <w:t>Erwartete Ergebnisse</w:t>
            </w:r>
          </w:p>
        </w:tc>
        <w:tc>
          <w:tcPr>
            <w:tcW w:w="7796" w:type="dxa"/>
            <w:shd w:val="clear" w:color="auto" w:fill="auto"/>
          </w:tcPr>
          <w:p w:rsidR="006E1FFB" w:rsidRPr="006054BD" w:rsidRDefault="006E1FFB" w:rsidP="00062A4B">
            <w:pPr>
              <w:keepNext/>
              <w:spacing w:after="240"/>
              <w:rPr>
                <w:b/>
                <w:sz w:val="18"/>
                <w:szCs w:val="18"/>
              </w:rPr>
            </w:pPr>
            <w:r>
              <w:rPr>
                <w:b/>
                <w:sz w:val="18"/>
                <w:szCs w:val="18"/>
              </w:rPr>
              <w:t>Erzielte Ergebnisse</w:t>
            </w:r>
            <w:r w:rsidRPr="006054BD">
              <w:rPr>
                <w:b/>
                <w:sz w:val="18"/>
                <w:szCs w:val="18"/>
              </w:rPr>
              <w:t xml:space="preserve">:  </w:t>
            </w:r>
            <w:r>
              <w:rPr>
                <w:b/>
                <w:sz w:val="18"/>
                <w:szCs w:val="18"/>
              </w:rPr>
              <w:t>Ausgewählte Planerfüllungsindikatoren</w:t>
            </w:r>
          </w:p>
        </w:tc>
      </w:tr>
      <w:tr w:rsidR="00175A57" w:rsidRPr="00DE5DFD" w:rsidTr="006E1FFB">
        <w:tc>
          <w:tcPr>
            <w:tcW w:w="2093" w:type="dxa"/>
            <w:shd w:val="clear" w:color="auto" w:fill="auto"/>
          </w:tcPr>
          <w:p w:rsidR="00175A57" w:rsidRPr="000E131D" w:rsidRDefault="006E1FFB" w:rsidP="005661B5">
            <w:pPr>
              <w:jc w:val="left"/>
              <w:rPr>
                <w:sz w:val="18"/>
                <w:szCs w:val="18"/>
                <w:lang w:val="de-DE"/>
              </w:rPr>
            </w:pPr>
            <w:r w:rsidRPr="006E1FFB">
              <w:rPr>
                <w:i/>
                <w:sz w:val="18"/>
                <w:szCs w:val="18"/>
                <w:lang w:val="de-DE"/>
              </w:rPr>
              <w:t>4.  Grundsätze des Rates</w:t>
            </w:r>
            <w:r>
              <w:rPr>
                <w:sz w:val="18"/>
                <w:szCs w:val="18"/>
                <w:lang w:val="de-DE"/>
              </w:rPr>
              <w:t xml:space="preserve"> (Fortsetzung)</w:t>
            </w:r>
          </w:p>
        </w:tc>
        <w:tc>
          <w:tcPr>
            <w:tcW w:w="7796" w:type="dxa"/>
            <w:shd w:val="clear" w:color="auto" w:fill="auto"/>
          </w:tcPr>
          <w:p w:rsidR="006E1FFB" w:rsidRPr="00B95C40" w:rsidRDefault="006E1FFB" w:rsidP="006E1FFB">
            <w:pPr>
              <w:pStyle w:val="ListParagraph"/>
              <w:numPr>
                <w:ilvl w:val="0"/>
                <w:numId w:val="40"/>
              </w:numPr>
              <w:spacing w:after="60"/>
              <w:contextualSpacing w:val="0"/>
              <w:rPr>
                <w:rFonts w:cs="Arial"/>
                <w:sz w:val="18"/>
                <w:szCs w:val="18"/>
                <w:lang w:val="de-DE"/>
              </w:rPr>
            </w:pPr>
            <w:r w:rsidRPr="00B95C40">
              <w:rPr>
                <w:rFonts w:cs="Arial"/>
                <w:sz w:val="18"/>
                <w:szCs w:val="18"/>
                <w:lang w:val="de-DE"/>
              </w:rPr>
              <w:t>billigte die Nutzung von Webkonferenzen durch das Verbandsbüro, um die Teilnahme der zu seinen Sitzungen eingeladenen Teilnehmer zu erleichtern, sofern vom Verbandsbüro als zweckmäßig erachtet</w:t>
            </w:r>
          </w:p>
          <w:p w:rsidR="006E1FFB" w:rsidRDefault="006E1FFB" w:rsidP="006E1FFB">
            <w:pPr>
              <w:pStyle w:val="ListParagraph"/>
              <w:numPr>
                <w:ilvl w:val="0"/>
                <w:numId w:val="40"/>
              </w:numPr>
              <w:spacing w:after="60"/>
              <w:contextualSpacing w:val="0"/>
              <w:rPr>
                <w:rFonts w:cs="Arial"/>
                <w:sz w:val="18"/>
                <w:szCs w:val="18"/>
                <w:lang w:val="de-DE"/>
              </w:rPr>
            </w:pPr>
            <w:r w:rsidRPr="00B95C40">
              <w:rPr>
                <w:rFonts w:cs="Arial"/>
                <w:sz w:val="18"/>
                <w:szCs w:val="18"/>
                <w:lang w:val="de-DE"/>
              </w:rPr>
              <w:t>billigte</w:t>
            </w:r>
            <w:r w:rsidRPr="00B95C40">
              <w:rPr>
                <w:sz w:val="18"/>
                <w:szCs w:val="18"/>
                <w:lang w:val="de-DE"/>
              </w:rPr>
              <w:t xml:space="preserve"> </w:t>
            </w:r>
            <w:r w:rsidRPr="00B95C40">
              <w:rPr>
                <w:rFonts w:cs="Arial"/>
                <w:sz w:val="18"/>
                <w:szCs w:val="18"/>
                <w:lang w:val="de-DE"/>
              </w:rPr>
              <w:t>die Nutzung von Webcastings der Tagungen der UPOV-Organe, die in Einklang mit bestehenden Verfahren nur von Verbandsmitgliedern und Beobachtern angesehen werden dürfen, sofern vom betreffenden UPOV-Organ als zweckmäßig erachtet</w:t>
            </w:r>
            <w:r>
              <w:rPr>
                <w:rFonts w:cs="Arial"/>
                <w:sz w:val="18"/>
                <w:szCs w:val="18"/>
                <w:lang w:val="de-DE"/>
              </w:rPr>
              <w:t>,</w:t>
            </w:r>
            <w:r w:rsidRPr="00B95C40">
              <w:rPr>
                <w:rFonts w:cs="Arial"/>
                <w:sz w:val="18"/>
                <w:szCs w:val="18"/>
                <w:lang w:val="de-DE"/>
              </w:rPr>
              <w:t xml:space="preserve"> und vereinbarte, daß in allen anderen Fällen von Webcasting der Beratende Ausschuß darum ersucht werden solle, alle Vorkehrungen für ein mögliches Webcasting zu billigen </w:t>
            </w:r>
          </w:p>
          <w:p w:rsidR="00175A57" w:rsidRPr="008D0062" w:rsidRDefault="008D0062" w:rsidP="006E1FFB">
            <w:pPr>
              <w:pStyle w:val="ListParagraph"/>
              <w:numPr>
                <w:ilvl w:val="0"/>
                <w:numId w:val="40"/>
              </w:numPr>
              <w:spacing w:after="60"/>
              <w:contextualSpacing w:val="0"/>
              <w:rPr>
                <w:rFonts w:cs="Arial"/>
                <w:sz w:val="18"/>
                <w:szCs w:val="18"/>
                <w:lang w:val="de-DE"/>
              </w:rPr>
            </w:pPr>
            <w:r w:rsidRPr="008D0062">
              <w:rPr>
                <w:rFonts w:cs="Arial"/>
                <w:sz w:val="18"/>
                <w:szCs w:val="18"/>
                <w:lang w:val="de-DE"/>
              </w:rPr>
              <w:t>vereinbarte, daß das Webcasting des „Symposiums über die Vorteile des Sortenschutzes für Landwirte und Pflanzer“ am 2.</w:t>
            </w:r>
            <w:r>
              <w:rPr>
                <w:rFonts w:cs="Arial"/>
                <w:sz w:val="18"/>
                <w:szCs w:val="18"/>
                <w:lang w:val="de-DE"/>
              </w:rPr>
              <w:t xml:space="preserve"> </w:t>
            </w:r>
            <w:r w:rsidRPr="008D0062">
              <w:rPr>
                <w:rFonts w:cs="Arial"/>
                <w:sz w:val="18"/>
                <w:szCs w:val="18"/>
                <w:lang w:val="de-DE"/>
              </w:rPr>
              <w:t xml:space="preserve">November 2012 in Genf nach entsprechender Übertragungsverzögerung auf der UPOV-Website zur Verfügung gestellt werden solle </w:t>
            </w:r>
          </w:p>
          <w:p w:rsidR="00175A57" w:rsidRPr="008D0062" w:rsidRDefault="007B46CC" w:rsidP="008D0062">
            <w:pPr>
              <w:pStyle w:val="ListParagraph"/>
              <w:numPr>
                <w:ilvl w:val="0"/>
                <w:numId w:val="40"/>
              </w:numPr>
              <w:spacing w:after="60"/>
              <w:contextualSpacing w:val="0"/>
              <w:rPr>
                <w:rFonts w:cs="Arial"/>
                <w:sz w:val="18"/>
                <w:szCs w:val="18"/>
                <w:lang w:val="de-DE"/>
              </w:rPr>
            </w:pPr>
            <w:r w:rsidRPr="008D0062">
              <w:rPr>
                <w:rFonts w:cs="Arial"/>
                <w:sz w:val="18"/>
                <w:szCs w:val="18"/>
                <w:lang w:val="de-DE"/>
              </w:rPr>
              <w:t>billigte</w:t>
            </w:r>
            <w:r w:rsidR="00175A57" w:rsidRPr="008D0062">
              <w:rPr>
                <w:rFonts w:cs="Arial"/>
                <w:sz w:val="18"/>
                <w:szCs w:val="18"/>
                <w:lang w:val="de-DE"/>
              </w:rPr>
              <w:t xml:space="preserve"> </w:t>
            </w:r>
            <w:r w:rsidR="008D0062" w:rsidRPr="008D0062">
              <w:rPr>
                <w:rFonts w:cs="Arial"/>
                <w:sz w:val="18"/>
                <w:szCs w:val="18"/>
                <w:lang w:val="de-DE"/>
              </w:rPr>
              <w:t xml:space="preserve">die Lancierung der Webseite „Unterstützung” auf der Grundlage des Prototyps in einem Bereich der UPOV-Website, der über den eingeschränkten Bereich und über einen gesonderten Link sowie ein Paßwort, das jedem Vertreter und Stellvertreter jedes Verbandsmitglieds im Rat erteilt werde, zugänglich sein werde </w:t>
            </w:r>
          </w:p>
          <w:p w:rsidR="00175A57" w:rsidRPr="008D0062" w:rsidRDefault="007B46CC" w:rsidP="00894944">
            <w:pPr>
              <w:pStyle w:val="ListParagraph"/>
              <w:numPr>
                <w:ilvl w:val="0"/>
                <w:numId w:val="40"/>
              </w:numPr>
              <w:spacing w:after="60"/>
              <w:contextualSpacing w:val="0"/>
              <w:rPr>
                <w:rFonts w:cs="Arial"/>
                <w:sz w:val="18"/>
                <w:szCs w:val="18"/>
                <w:lang w:val="de-DE"/>
              </w:rPr>
            </w:pPr>
            <w:r w:rsidRPr="008D0062">
              <w:rPr>
                <w:rFonts w:cs="Arial"/>
                <w:sz w:val="18"/>
                <w:szCs w:val="18"/>
                <w:lang w:val="de-DE"/>
              </w:rPr>
              <w:t>billigte</w:t>
            </w:r>
            <w:r w:rsidR="00175A57" w:rsidRPr="008D0062">
              <w:rPr>
                <w:rFonts w:cs="Arial"/>
                <w:sz w:val="18"/>
                <w:szCs w:val="18"/>
                <w:lang w:val="de-DE"/>
              </w:rPr>
              <w:t xml:space="preserve"> </w:t>
            </w:r>
            <w:r w:rsidR="008D0062">
              <w:rPr>
                <w:rFonts w:cs="Arial"/>
                <w:sz w:val="18"/>
                <w:szCs w:val="18"/>
                <w:lang w:val="de-DE"/>
              </w:rPr>
              <w:t xml:space="preserve">die </w:t>
            </w:r>
            <w:r w:rsidR="008D0062" w:rsidRPr="008D0062">
              <w:rPr>
                <w:rFonts w:cs="Arial"/>
                <w:sz w:val="18"/>
                <w:szCs w:val="18"/>
                <w:lang w:val="de-DE"/>
              </w:rPr>
              <w:t>Veröffentlichung eines Dokuments mit der Liste von UPOV-Mitgliedern, der Liste von Staaten und zwischenstaatlichen Organisationen, die das Verfahren für den Beitritt zum UPOV</w:t>
            </w:r>
            <w:r w:rsidR="008D0062" w:rsidRPr="008D0062">
              <w:rPr>
                <w:rFonts w:ascii="MS Gothic" w:eastAsia="MS Gothic" w:hAnsi="MS Gothic" w:cs="MS Gothic" w:hint="eastAsia"/>
                <w:sz w:val="18"/>
                <w:szCs w:val="18"/>
                <w:lang w:val="de-DE"/>
              </w:rPr>
              <w:t>‑</w:t>
            </w:r>
            <w:r w:rsidR="008D0062" w:rsidRPr="008D0062">
              <w:rPr>
                <w:rFonts w:cs="Arial"/>
                <w:sz w:val="18"/>
                <w:szCs w:val="18"/>
                <w:lang w:val="de-DE"/>
              </w:rPr>
              <w:t xml:space="preserve">Übereinkommen eingeleitet haben, und der Liste von Staaten und zwischenstaatlichen Organisationen, die im Hinblick auf Unterstützung bei der Ausarbeitung von Rechtsvorschriften aufgrund des UPOV Übereinkommens mit dem Verbandsbüro in Verbindung standen, auf der UPOV-Website </w:t>
            </w:r>
          </w:p>
          <w:p w:rsidR="00175A57" w:rsidRPr="00444961" w:rsidRDefault="007B46CC" w:rsidP="00B95C40">
            <w:pPr>
              <w:pStyle w:val="ListParagraph"/>
              <w:numPr>
                <w:ilvl w:val="0"/>
                <w:numId w:val="40"/>
              </w:numPr>
              <w:spacing w:after="60"/>
              <w:rPr>
                <w:rFonts w:cs="Arial"/>
                <w:sz w:val="18"/>
                <w:szCs w:val="18"/>
                <w:lang w:val="de-DE"/>
              </w:rPr>
            </w:pPr>
            <w:r w:rsidRPr="008D0062">
              <w:rPr>
                <w:rFonts w:cs="Arial"/>
                <w:sz w:val="18"/>
                <w:szCs w:val="18"/>
                <w:lang w:val="de-DE"/>
              </w:rPr>
              <w:t>billigte</w:t>
            </w:r>
            <w:r w:rsidR="00175A57" w:rsidRPr="008D0062">
              <w:rPr>
                <w:rFonts w:cs="Arial"/>
                <w:sz w:val="18"/>
                <w:szCs w:val="18"/>
                <w:lang w:val="de-DE"/>
              </w:rPr>
              <w:t xml:space="preserve"> </w:t>
            </w:r>
            <w:r w:rsidR="008D0062" w:rsidRPr="008D0062">
              <w:rPr>
                <w:rFonts w:cs="Arial"/>
                <w:sz w:val="18"/>
                <w:szCs w:val="18"/>
                <w:lang w:val="de-DE"/>
              </w:rPr>
              <w:t>die Ausstellung einer Einladung an Georgien, auf der sechsundachtzigsten Tagung des Beratenden Ausschusses im Oktober 2013 Bericht zu erstatten</w:t>
            </w:r>
          </w:p>
          <w:p w:rsidR="008D0062" w:rsidRPr="00444961" w:rsidRDefault="008D0062" w:rsidP="008D0062">
            <w:pPr>
              <w:pStyle w:val="ListParagraph"/>
              <w:spacing w:after="60"/>
              <w:rPr>
                <w:rFonts w:cs="Arial"/>
                <w:sz w:val="18"/>
                <w:szCs w:val="18"/>
                <w:lang w:val="de-DE"/>
              </w:rPr>
            </w:pPr>
          </w:p>
          <w:p w:rsidR="00175A57" w:rsidRPr="008D0062" w:rsidRDefault="007B46CC" w:rsidP="008D0062">
            <w:pPr>
              <w:pStyle w:val="ListParagraph"/>
              <w:numPr>
                <w:ilvl w:val="0"/>
                <w:numId w:val="40"/>
              </w:numPr>
              <w:spacing w:after="60"/>
              <w:contextualSpacing w:val="0"/>
              <w:rPr>
                <w:rFonts w:cs="Arial"/>
                <w:sz w:val="18"/>
                <w:szCs w:val="18"/>
                <w:lang w:val="de-DE"/>
              </w:rPr>
            </w:pPr>
            <w:r w:rsidRPr="008D0062">
              <w:rPr>
                <w:rFonts w:cs="Arial"/>
                <w:sz w:val="18"/>
                <w:szCs w:val="18"/>
                <w:lang w:val="de-DE"/>
              </w:rPr>
              <w:t>billigte</w:t>
            </w:r>
            <w:r w:rsidR="00175A57" w:rsidRPr="008D0062">
              <w:rPr>
                <w:rFonts w:cs="Arial"/>
                <w:sz w:val="18"/>
                <w:szCs w:val="18"/>
                <w:lang w:val="de-DE"/>
              </w:rPr>
              <w:t xml:space="preserve"> </w:t>
            </w:r>
            <w:r w:rsidR="00894944">
              <w:rPr>
                <w:rFonts w:cs="Arial"/>
                <w:sz w:val="18"/>
                <w:szCs w:val="18"/>
                <w:lang w:val="de-DE"/>
              </w:rPr>
              <w:t xml:space="preserve">die </w:t>
            </w:r>
            <w:r w:rsidR="008D0062" w:rsidRPr="008D0062">
              <w:rPr>
                <w:rFonts w:cs="Arial"/>
                <w:sz w:val="18"/>
                <w:szCs w:val="18"/>
                <w:lang w:val="de-DE"/>
              </w:rPr>
              <w:t xml:space="preserve">Teilnahme des Verbandbüros an der Plattform für die gemeinsame Entwicklung und den Transfer von Technologien des Internationalen Vertrags über pflanzengenetische Ressourcen für Ernährung und Landwirtschaft (ITPGRFA) </w:t>
            </w:r>
          </w:p>
          <w:p w:rsidR="00175A57" w:rsidRPr="008D0062" w:rsidRDefault="008D0062" w:rsidP="008D0062">
            <w:pPr>
              <w:pStyle w:val="ListParagraph"/>
              <w:numPr>
                <w:ilvl w:val="0"/>
                <w:numId w:val="40"/>
              </w:numPr>
              <w:spacing w:after="60"/>
              <w:contextualSpacing w:val="0"/>
              <w:rPr>
                <w:rFonts w:cs="Arial"/>
                <w:sz w:val="18"/>
                <w:szCs w:val="18"/>
                <w:lang w:val="de-DE"/>
              </w:rPr>
            </w:pPr>
            <w:r w:rsidRPr="008D0062">
              <w:rPr>
                <w:rFonts w:cs="Arial"/>
                <w:sz w:val="18"/>
                <w:szCs w:val="18"/>
                <w:lang w:val="de-DE"/>
              </w:rPr>
              <w:t xml:space="preserve">nahm den Bericht des Verbandsbüros über die sechste Tagung der Zwischenstaatlichen Technischen Arbeitsgruppe für pflanzengenetische Ressourcen für Ernährung und Landwirtschaft der Kommission für genetische Ressourcen für Ernährung und Landwirtschaft (CGRFA) zur Kenntnis und billigte die Vorlage ähnlicher Berichte auf künftigen Tagungen, die sich auf alle Akte des UPOV-Übereinkommens beziehen </w:t>
            </w:r>
          </w:p>
          <w:p w:rsidR="00175A57" w:rsidRPr="008D0062" w:rsidRDefault="007B46CC" w:rsidP="00A22E5E">
            <w:pPr>
              <w:pStyle w:val="ListParagraph"/>
              <w:numPr>
                <w:ilvl w:val="0"/>
                <w:numId w:val="40"/>
              </w:numPr>
              <w:spacing w:after="60"/>
              <w:contextualSpacing w:val="0"/>
              <w:rPr>
                <w:rFonts w:cs="Arial"/>
                <w:sz w:val="18"/>
                <w:szCs w:val="18"/>
                <w:lang w:val="de-DE"/>
              </w:rPr>
            </w:pPr>
            <w:r w:rsidRPr="008D0062">
              <w:rPr>
                <w:rFonts w:cs="Arial"/>
                <w:sz w:val="18"/>
                <w:szCs w:val="18"/>
                <w:lang w:val="de-DE"/>
              </w:rPr>
              <w:t>billigte</w:t>
            </w:r>
            <w:r w:rsidR="00175A57" w:rsidRPr="008D0062">
              <w:rPr>
                <w:rFonts w:cs="Arial"/>
                <w:sz w:val="18"/>
                <w:szCs w:val="18"/>
                <w:lang w:val="de-DE"/>
              </w:rPr>
              <w:t xml:space="preserve"> </w:t>
            </w:r>
            <w:r w:rsidR="008D0062" w:rsidRPr="008D0062">
              <w:rPr>
                <w:rFonts w:cs="Arial"/>
                <w:sz w:val="18"/>
                <w:szCs w:val="18"/>
                <w:lang w:val="de-DE"/>
              </w:rPr>
              <w:t>die Teilnahme der UPOV an der WIPO-Initiative für nachhaltige Weizenerzeugung in der Vereinigten Republik Tansania</w:t>
            </w:r>
          </w:p>
          <w:p w:rsidR="00175A57" w:rsidRPr="008D0062" w:rsidRDefault="00175A57" w:rsidP="003205AA">
            <w:pPr>
              <w:pStyle w:val="Heading8"/>
              <w:spacing w:after="0"/>
              <w:rPr>
                <w:rFonts w:cs="Arial"/>
                <w:szCs w:val="18"/>
                <w:lang w:val="de-DE"/>
              </w:rPr>
            </w:pPr>
          </w:p>
        </w:tc>
      </w:tr>
      <w:tr w:rsidR="00103981" w:rsidRPr="006054BD" w:rsidTr="006E1FFB">
        <w:tc>
          <w:tcPr>
            <w:tcW w:w="2093" w:type="dxa"/>
            <w:shd w:val="clear" w:color="auto" w:fill="auto"/>
          </w:tcPr>
          <w:p w:rsidR="00103981" w:rsidRPr="008D0062" w:rsidRDefault="00103981" w:rsidP="00114294">
            <w:pPr>
              <w:pStyle w:val="Heading6"/>
              <w:rPr>
                <w:lang w:val="de-DE"/>
              </w:rPr>
            </w:pPr>
          </w:p>
        </w:tc>
        <w:tc>
          <w:tcPr>
            <w:tcW w:w="7796" w:type="dxa"/>
            <w:shd w:val="clear" w:color="auto" w:fill="auto"/>
          </w:tcPr>
          <w:p w:rsidR="00103981" w:rsidRPr="00EE3569" w:rsidRDefault="00E163EA" w:rsidP="00EE3569">
            <w:pPr>
              <w:pStyle w:val="Heading8"/>
              <w:rPr>
                <w:rFonts w:cs="Arial"/>
                <w:szCs w:val="18"/>
                <w:lang w:val="de-DE"/>
              </w:rPr>
            </w:pPr>
            <w:bookmarkStart w:id="69" w:name="_Toc368400529"/>
            <w:r w:rsidRPr="00EE3569">
              <w:rPr>
                <w:rFonts w:cs="Arial"/>
                <w:szCs w:val="18"/>
                <w:lang w:val="de-DE"/>
              </w:rPr>
              <w:t>(b)</w:t>
            </w:r>
            <w:r w:rsidR="00103981" w:rsidRPr="00EE3569">
              <w:rPr>
                <w:rFonts w:cs="Arial"/>
                <w:szCs w:val="18"/>
                <w:lang w:val="de-DE"/>
              </w:rPr>
              <w:t xml:space="preserve">  </w:t>
            </w:r>
            <w:r w:rsidR="00EE3569" w:rsidRPr="00EE3569">
              <w:rPr>
                <w:rFonts w:cs="Arial"/>
                <w:szCs w:val="18"/>
                <w:lang w:val="de-DE"/>
              </w:rPr>
              <w:t>Entscheidungen</w:t>
            </w:r>
            <w:r w:rsidR="00103981" w:rsidRPr="00EE3569">
              <w:rPr>
                <w:rFonts w:cs="Arial"/>
                <w:szCs w:val="18"/>
                <w:lang w:val="de-DE"/>
              </w:rPr>
              <w:t xml:space="preserve"> </w:t>
            </w:r>
            <w:r w:rsidR="00EE3569">
              <w:rPr>
                <w:rFonts w:cs="Arial"/>
                <w:szCs w:val="18"/>
                <w:lang w:val="de-DE"/>
              </w:rPr>
              <w:t>des</w:t>
            </w:r>
            <w:r w:rsidR="00103981" w:rsidRPr="00EE3569">
              <w:rPr>
                <w:rFonts w:cs="Arial"/>
                <w:szCs w:val="18"/>
                <w:lang w:val="de-DE"/>
              </w:rPr>
              <w:t xml:space="preserve"> </w:t>
            </w:r>
            <w:r w:rsidR="003F377D" w:rsidRPr="00EE3569">
              <w:rPr>
                <w:rFonts w:cs="Arial"/>
                <w:szCs w:val="18"/>
                <w:lang w:val="de-DE"/>
              </w:rPr>
              <w:t>Rat</w:t>
            </w:r>
            <w:r w:rsidR="00EE3569">
              <w:rPr>
                <w:rFonts w:cs="Arial"/>
                <w:szCs w:val="18"/>
                <w:lang w:val="de-DE"/>
              </w:rPr>
              <w:t>es</w:t>
            </w:r>
            <w:bookmarkEnd w:id="69"/>
          </w:p>
          <w:p w:rsidR="004571E7" w:rsidRPr="00042C4A" w:rsidRDefault="00EE3569" w:rsidP="00EE3569">
            <w:pPr>
              <w:spacing w:after="120"/>
              <w:rPr>
                <w:rFonts w:cs="Arial"/>
                <w:sz w:val="18"/>
                <w:szCs w:val="18"/>
                <w:lang w:val="de-DE"/>
              </w:rPr>
            </w:pPr>
            <w:r>
              <w:rPr>
                <w:rFonts w:cs="Arial"/>
                <w:sz w:val="18"/>
                <w:szCs w:val="18"/>
                <w:lang w:val="de-DE"/>
              </w:rPr>
              <w:t>Der</w:t>
            </w:r>
            <w:r w:rsidR="004571E7" w:rsidRPr="00042C4A">
              <w:rPr>
                <w:rFonts w:cs="Arial"/>
                <w:sz w:val="18"/>
                <w:szCs w:val="18"/>
                <w:lang w:val="de-DE"/>
              </w:rPr>
              <w:t xml:space="preserve"> </w:t>
            </w:r>
            <w:r w:rsidR="003F377D" w:rsidRPr="00042C4A">
              <w:rPr>
                <w:rFonts w:cs="Arial"/>
                <w:sz w:val="18"/>
                <w:szCs w:val="18"/>
                <w:lang w:val="de-DE"/>
              </w:rPr>
              <w:t>Rat</w:t>
            </w:r>
            <w:r>
              <w:rPr>
                <w:rFonts w:cs="Arial"/>
                <w:sz w:val="18"/>
                <w:szCs w:val="18"/>
                <w:lang w:val="de-DE"/>
              </w:rPr>
              <w:t xml:space="preserve"> befaßte sich auf seiner </w:t>
            </w:r>
            <w:r w:rsidR="003F377D" w:rsidRPr="00042C4A">
              <w:rPr>
                <w:rFonts w:cs="Arial"/>
                <w:sz w:val="18"/>
                <w:szCs w:val="18"/>
                <w:lang w:val="de-DE"/>
              </w:rPr>
              <w:t>neunundzwanzigste</w:t>
            </w:r>
            <w:r>
              <w:rPr>
                <w:rFonts w:cs="Arial"/>
                <w:sz w:val="18"/>
                <w:szCs w:val="18"/>
                <w:lang w:val="de-DE"/>
              </w:rPr>
              <w:t>n</w:t>
            </w:r>
            <w:r w:rsidR="004571E7" w:rsidRPr="00042C4A">
              <w:rPr>
                <w:rFonts w:cs="Arial"/>
                <w:sz w:val="18"/>
                <w:szCs w:val="18"/>
                <w:lang w:val="de-DE"/>
              </w:rPr>
              <w:t xml:space="preserve"> </w:t>
            </w:r>
            <w:r w:rsidR="003F377D" w:rsidRPr="00042C4A">
              <w:rPr>
                <w:rFonts w:cs="Arial"/>
                <w:sz w:val="18"/>
                <w:szCs w:val="18"/>
                <w:lang w:val="de-DE"/>
              </w:rPr>
              <w:t>außerordentliche</w:t>
            </w:r>
            <w:r>
              <w:rPr>
                <w:rFonts w:cs="Arial"/>
                <w:sz w:val="18"/>
                <w:szCs w:val="18"/>
                <w:lang w:val="de-DE"/>
              </w:rPr>
              <w:t>n</w:t>
            </w:r>
            <w:r w:rsidR="004571E7" w:rsidRPr="00042C4A">
              <w:rPr>
                <w:rFonts w:cs="Arial"/>
                <w:sz w:val="18"/>
                <w:szCs w:val="18"/>
                <w:lang w:val="de-DE"/>
              </w:rPr>
              <w:t xml:space="preserve"> </w:t>
            </w:r>
            <w:r w:rsidR="003F377D" w:rsidRPr="00042C4A">
              <w:rPr>
                <w:rFonts w:cs="Arial"/>
                <w:sz w:val="18"/>
                <w:szCs w:val="18"/>
                <w:lang w:val="de-DE"/>
              </w:rPr>
              <w:t>Tagung</w:t>
            </w:r>
            <w:r w:rsidR="004571E7" w:rsidRPr="00042C4A">
              <w:rPr>
                <w:rFonts w:cs="Arial"/>
                <w:sz w:val="18"/>
                <w:szCs w:val="18"/>
                <w:lang w:val="de-DE"/>
              </w:rPr>
              <w:t xml:space="preserve"> </w:t>
            </w:r>
            <w:r w:rsidR="00042C4A" w:rsidRPr="00042C4A">
              <w:rPr>
                <w:rFonts w:cs="Arial"/>
                <w:sz w:val="18"/>
                <w:szCs w:val="18"/>
                <w:lang w:val="de-DE"/>
              </w:rPr>
              <w:t>in Genf</w:t>
            </w:r>
            <w:r w:rsidR="004571E7" w:rsidRPr="00042C4A">
              <w:rPr>
                <w:rFonts w:cs="Arial"/>
                <w:sz w:val="18"/>
                <w:szCs w:val="18"/>
                <w:lang w:val="de-DE"/>
              </w:rPr>
              <w:t xml:space="preserve"> </w:t>
            </w:r>
            <w:r>
              <w:rPr>
                <w:rFonts w:cs="Arial"/>
                <w:sz w:val="18"/>
                <w:szCs w:val="18"/>
                <w:lang w:val="de-DE"/>
              </w:rPr>
              <w:t>am 30. März</w:t>
            </w:r>
            <w:r w:rsidR="004571E7" w:rsidRPr="00042C4A">
              <w:rPr>
                <w:rFonts w:cs="Arial"/>
                <w:sz w:val="18"/>
                <w:szCs w:val="18"/>
                <w:lang w:val="de-DE"/>
              </w:rPr>
              <w:t xml:space="preserve"> 2012</w:t>
            </w:r>
            <w:r>
              <w:rPr>
                <w:rFonts w:cs="Arial"/>
                <w:sz w:val="18"/>
                <w:szCs w:val="18"/>
                <w:lang w:val="de-DE"/>
              </w:rPr>
              <w:t xml:space="preserve"> </w:t>
            </w:r>
            <w:r w:rsidR="00894944">
              <w:rPr>
                <w:rFonts w:cs="Arial"/>
                <w:sz w:val="18"/>
                <w:szCs w:val="18"/>
                <w:lang w:val="de-DE"/>
              </w:rPr>
              <w:t>mit den folgenden Angelegenheiten</w:t>
            </w:r>
            <w:r w:rsidR="004571E7" w:rsidRPr="00042C4A">
              <w:rPr>
                <w:rFonts w:cs="Arial"/>
                <w:sz w:val="18"/>
                <w:szCs w:val="18"/>
                <w:lang w:val="de-DE"/>
              </w:rPr>
              <w:t>:</w:t>
            </w:r>
          </w:p>
          <w:p w:rsidR="004571E7" w:rsidRPr="004E0892" w:rsidRDefault="00EE3569" w:rsidP="004E0892">
            <w:pPr>
              <w:pStyle w:val="ListParagraph"/>
              <w:numPr>
                <w:ilvl w:val="0"/>
                <w:numId w:val="37"/>
              </w:numPr>
              <w:spacing w:after="60"/>
              <w:ind w:left="714" w:hanging="357"/>
              <w:contextualSpacing w:val="0"/>
              <w:rPr>
                <w:rFonts w:cs="Arial"/>
                <w:sz w:val="18"/>
                <w:szCs w:val="18"/>
                <w:lang w:val="de-DE"/>
              </w:rPr>
            </w:pPr>
            <w:r w:rsidRPr="004E0892">
              <w:rPr>
                <w:rFonts w:cs="Arial"/>
                <w:sz w:val="18"/>
                <w:szCs w:val="18"/>
                <w:lang w:val="de-DE"/>
              </w:rPr>
              <w:t xml:space="preserve">er </w:t>
            </w:r>
            <w:r w:rsidR="004E0892" w:rsidRPr="004E0892">
              <w:rPr>
                <w:rFonts w:cs="Arial"/>
                <w:sz w:val="18"/>
                <w:szCs w:val="18"/>
                <w:lang w:val="de-DE"/>
              </w:rPr>
              <w:t>verlängerte die Ernennung des</w:t>
            </w:r>
            <w:r w:rsidR="004571E7" w:rsidRPr="004E0892">
              <w:rPr>
                <w:rFonts w:cs="Arial"/>
                <w:sz w:val="18"/>
                <w:szCs w:val="18"/>
                <w:lang w:val="de-DE"/>
              </w:rPr>
              <w:t xml:space="preserve"> </w:t>
            </w:r>
            <w:r w:rsidR="004E0892" w:rsidRPr="004E0892">
              <w:rPr>
                <w:rFonts w:cs="Arial"/>
                <w:sz w:val="18"/>
                <w:szCs w:val="18"/>
                <w:lang w:val="de-DE"/>
              </w:rPr>
              <w:t>Stellvertretenden Generalsekretär</w:t>
            </w:r>
            <w:r w:rsidR="004E0892">
              <w:rPr>
                <w:rFonts w:cs="Arial"/>
                <w:sz w:val="18"/>
                <w:szCs w:val="18"/>
                <w:lang w:val="de-DE"/>
              </w:rPr>
              <w:t xml:space="preserve">s vom </w:t>
            </w:r>
            <w:r w:rsidR="002F0F26">
              <w:rPr>
                <w:rFonts w:cs="Arial"/>
                <w:sz w:val="18"/>
                <w:szCs w:val="18"/>
                <w:lang w:val="de-DE"/>
              </w:rPr>
              <w:br/>
            </w:r>
            <w:r w:rsidR="004E0892">
              <w:rPr>
                <w:rFonts w:cs="Arial"/>
                <w:sz w:val="18"/>
                <w:szCs w:val="18"/>
                <w:lang w:val="de-DE"/>
              </w:rPr>
              <w:t>1. Dezember</w:t>
            </w:r>
            <w:r w:rsidR="004571E7" w:rsidRPr="004E0892">
              <w:rPr>
                <w:rFonts w:cs="Arial"/>
                <w:sz w:val="18"/>
                <w:szCs w:val="18"/>
                <w:lang w:val="de-DE"/>
              </w:rPr>
              <w:t xml:space="preserve">  2012</w:t>
            </w:r>
            <w:r w:rsidR="004E0892">
              <w:rPr>
                <w:rFonts w:cs="Arial"/>
                <w:sz w:val="18"/>
                <w:szCs w:val="18"/>
                <w:lang w:val="de-DE"/>
              </w:rPr>
              <w:t xml:space="preserve"> bis zum 20. </w:t>
            </w:r>
            <w:r w:rsidR="004571E7" w:rsidRPr="004E0892">
              <w:rPr>
                <w:rFonts w:cs="Arial"/>
                <w:sz w:val="18"/>
                <w:szCs w:val="18"/>
                <w:lang w:val="de-DE"/>
              </w:rPr>
              <w:t>November 2015</w:t>
            </w:r>
          </w:p>
          <w:p w:rsidR="004571E7" w:rsidRPr="006054BD" w:rsidRDefault="00B95C40" w:rsidP="004E0892">
            <w:pPr>
              <w:pStyle w:val="ListParagraph"/>
              <w:numPr>
                <w:ilvl w:val="0"/>
                <w:numId w:val="37"/>
              </w:numPr>
              <w:spacing w:after="120"/>
              <w:ind w:left="714" w:hanging="357"/>
              <w:contextualSpacing w:val="0"/>
              <w:rPr>
                <w:rFonts w:cs="Arial"/>
                <w:sz w:val="18"/>
                <w:szCs w:val="18"/>
              </w:rPr>
            </w:pPr>
            <w:r>
              <w:rPr>
                <w:rFonts w:cs="Arial"/>
                <w:sz w:val="18"/>
                <w:szCs w:val="18"/>
              </w:rPr>
              <w:t xml:space="preserve">er </w:t>
            </w:r>
            <w:r w:rsidR="007B46CC">
              <w:rPr>
                <w:rFonts w:cs="Arial"/>
                <w:sz w:val="18"/>
                <w:szCs w:val="18"/>
              </w:rPr>
              <w:t>billigte</w:t>
            </w:r>
            <w:r w:rsidR="004571E7" w:rsidRPr="006054BD">
              <w:rPr>
                <w:rFonts w:cs="Arial"/>
                <w:sz w:val="18"/>
                <w:szCs w:val="18"/>
              </w:rPr>
              <w:t xml:space="preserve"> </w:t>
            </w:r>
            <w:r w:rsidR="004E0892">
              <w:rPr>
                <w:rFonts w:cs="Arial"/>
                <w:sz w:val="18"/>
                <w:szCs w:val="18"/>
              </w:rPr>
              <w:t>eine</w:t>
            </w:r>
            <w:r w:rsidR="004571E7" w:rsidRPr="006054BD">
              <w:rPr>
                <w:rFonts w:cs="Arial"/>
                <w:sz w:val="18"/>
                <w:szCs w:val="18"/>
              </w:rPr>
              <w:t xml:space="preserve"> </w:t>
            </w:r>
            <w:r w:rsidR="00042C4A">
              <w:rPr>
                <w:rFonts w:cs="Arial"/>
                <w:sz w:val="18"/>
                <w:szCs w:val="18"/>
              </w:rPr>
              <w:t>Pressemitteilung</w:t>
            </w:r>
          </w:p>
          <w:p w:rsidR="004571E7" w:rsidRPr="000106C3" w:rsidRDefault="000106C3" w:rsidP="000106C3">
            <w:pPr>
              <w:spacing w:after="120"/>
              <w:rPr>
                <w:rFonts w:cs="Arial"/>
                <w:sz w:val="18"/>
                <w:szCs w:val="18"/>
                <w:lang w:val="de-DE"/>
              </w:rPr>
            </w:pPr>
            <w:r>
              <w:rPr>
                <w:rFonts w:cs="Arial"/>
                <w:sz w:val="18"/>
                <w:szCs w:val="18"/>
                <w:lang w:val="de-DE"/>
              </w:rPr>
              <w:t>Der</w:t>
            </w:r>
            <w:r w:rsidRPr="00042C4A">
              <w:rPr>
                <w:rFonts w:cs="Arial"/>
                <w:sz w:val="18"/>
                <w:szCs w:val="18"/>
                <w:lang w:val="de-DE"/>
              </w:rPr>
              <w:t xml:space="preserve"> Rat</w:t>
            </w:r>
            <w:r>
              <w:rPr>
                <w:rFonts w:cs="Arial"/>
                <w:sz w:val="18"/>
                <w:szCs w:val="18"/>
                <w:lang w:val="de-DE"/>
              </w:rPr>
              <w:t xml:space="preserve"> befaßte sich auf seiner </w:t>
            </w:r>
            <w:r w:rsidR="003F377D" w:rsidRPr="000106C3">
              <w:rPr>
                <w:rFonts w:cs="Arial"/>
                <w:sz w:val="18"/>
                <w:szCs w:val="18"/>
                <w:lang w:val="de-DE"/>
              </w:rPr>
              <w:t>sechsundvierzigste</w:t>
            </w:r>
            <w:r w:rsidRPr="000106C3">
              <w:rPr>
                <w:rFonts w:cs="Arial"/>
                <w:sz w:val="18"/>
                <w:szCs w:val="18"/>
                <w:lang w:val="de-DE"/>
              </w:rPr>
              <w:t>n</w:t>
            </w:r>
            <w:r w:rsidR="004571E7" w:rsidRPr="000106C3">
              <w:rPr>
                <w:rFonts w:cs="Arial"/>
                <w:sz w:val="18"/>
                <w:szCs w:val="18"/>
                <w:lang w:val="de-DE"/>
              </w:rPr>
              <w:t xml:space="preserve"> </w:t>
            </w:r>
            <w:r w:rsidR="003F377D" w:rsidRPr="000106C3">
              <w:rPr>
                <w:rFonts w:cs="Arial"/>
                <w:sz w:val="18"/>
                <w:szCs w:val="18"/>
                <w:lang w:val="de-DE"/>
              </w:rPr>
              <w:t>ordentliche</w:t>
            </w:r>
            <w:r>
              <w:rPr>
                <w:rFonts w:cs="Arial"/>
                <w:sz w:val="18"/>
                <w:szCs w:val="18"/>
                <w:lang w:val="de-DE"/>
              </w:rPr>
              <w:t>n</w:t>
            </w:r>
            <w:r w:rsidR="004571E7" w:rsidRPr="000106C3">
              <w:rPr>
                <w:rFonts w:cs="Arial"/>
                <w:sz w:val="18"/>
                <w:szCs w:val="18"/>
                <w:lang w:val="de-DE"/>
              </w:rPr>
              <w:t xml:space="preserve"> </w:t>
            </w:r>
            <w:r w:rsidR="003F377D" w:rsidRPr="000106C3">
              <w:rPr>
                <w:rFonts w:cs="Arial"/>
                <w:sz w:val="18"/>
                <w:szCs w:val="18"/>
                <w:lang w:val="de-DE"/>
              </w:rPr>
              <w:t>Tagung</w:t>
            </w:r>
            <w:r w:rsidR="004571E7" w:rsidRPr="000106C3">
              <w:rPr>
                <w:rFonts w:cs="Arial"/>
                <w:sz w:val="18"/>
                <w:szCs w:val="18"/>
                <w:lang w:val="de-DE"/>
              </w:rPr>
              <w:t xml:space="preserve"> </w:t>
            </w:r>
            <w:r w:rsidR="00042C4A" w:rsidRPr="000106C3">
              <w:rPr>
                <w:rFonts w:cs="Arial"/>
                <w:sz w:val="18"/>
                <w:szCs w:val="18"/>
                <w:lang w:val="de-DE"/>
              </w:rPr>
              <w:t>in Genf</w:t>
            </w:r>
            <w:r w:rsidR="004571E7" w:rsidRPr="000106C3">
              <w:rPr>
                <w:rFonts w:cs="Arial"/>
                <w:sz w:val="18"/>
                <w:szCs w:val="18"/>
                <w:lang w:val="de-DE"/>
              </w:rPr>
              <w:t xml:space="preserve"> </w:t>
            </w:r>
            <w:r>
              <w:rPr>
                <w:rFonts w:cs="Arial"/>
                <w:sz w:val="18"/>
                <w:szCs w:val="18"/>
                <w:lang w:val="de-DE"/>
              </w:rPr>
              <w:t xml:space="preserve">am </w:t>
            </w:r>
            <w:r w:rsidR="002F0F26">
              <w:rPr>
                <w:rFonts w:cs="Arial"/>
                <w:sz w:val="18"/>
                <w:szCs w:val="18"/>
                <w:lang w:val="de-DE"/>
              </w:rPr>
              <w:br/>
            </w:r>
            <w:r>
              <w:rPr>
                <w:rFonts w:cs="Arial"/>
                <w:sz w:val="18"/>
                <w:szCs w:val="18"/>
                <w:lang w:val="de-DE"/>
              </w:rPr>
              <w:t>1.</w:t>
            </w:r>
            <w:r w:rsidR="004571E7" w:rsidRPr="000106C3">
              <w:rPr>
                <w:rFonts w:cs="Arial"/>
                <w:sz w:val="18"/>
                <w:szCs w:val="18"/>
                <w:lang w:val="de-DE"/>
              </w:rPr>
              <w:t xml:space="preserve"> November 2012</w:t>
            </w:r>
            <w:r>
              <w:rPr>
                <w:rFonts w:cs="Arial"/>
                <w:sz w:val="18"/>
                <w:szCs w:val="18"/>
                <w:lang w:val="de-DE"/>
              </w:rPr>
              <w:t xml:space="preserve"> </w:t>
            </w:r>
            <w:r w:rsidR="00894944">
              <w:rPr>
                <w:rFonts w:cs="Arial"/>
                <w:sz w:val="18"/>
                <w:szCs w:val="18"/>
                <w:lang w:val="de-DE"/>
              </w:rPr>
              <w:t>mit den folgenden Angelegenheiten</w:t>
            </w:r>
            <w:r w:rsidR="004571E7" w:rsidRPr="000106C3">
              <w:rPr>
                <w:rFonts w:cs="Arial"/>
                <w:sz w:val="18"/>
                <w:szCs w:val="18"/>
                <w:lang w:val="de-DE"/>
              </w:rPr>
              <w:t>:</w:t>
            </w:r>
          </w:p>
          <w:p w:rsidR="004571E7" w:rsidRPr="000106C3" w:rsidRDefault="000106C3" w:rsidP="006607E5">
            <w:pPr>
              <w:pStyle w:val="ListParagraph"/>
              <w:numPr>
                <w:ilvl w:val="0"/>
                <w:numId w:val="37"/>
              </w:numPr>
              <w:spacing w:after="60"/>
              <w:ind w:left="714" w:hanging="357"/>
              <w:contextualSpacing w:val="0"/>
              <w:rPr>
                <w:rFonts w:cs="Arial"/>
                <w:sz w:val="18"/>
                <w:szCs w:val="18"/>
                <w:lang w:val="de-DE"/>
              </w:rPr>
            </w:pPr>
            <w:r>
              <w:rPr>
                <w:rFonts w:cs="Arial"/>
                <w:snapToGrid w:val="0"/>
                <w:sz w:val="18"/>
                <w:szCs w:val="18"/>
                <w:lang w:val="de-DE"/>
              </w:rPr>
              <w:t xml:space="preserve">er entschied, </w:t>
            </w:r>
            <w:r w:rsidRPr="000106C3">
              <w:rPr>
                <w:rFonts w:cs="Arial"/>
                <w:snapToGrid w:val="0"/>
                <w:sz w:val="18"/>
                <w:szCs w:val="18"/>
                <w:lang w:val="de-DE"/>
              </w:rPr>
              <w:t xml:space="preserve">eine positive Entscheidung im Hinblick auf die Vereinbarkeit des Gesetzentwurfs </w:t>
            </w:r>
            <w:r>
              <w:rPr>
                <w:rFonts w:cs="Arial"/>
                <w:snapToGrid w:val="0"/>
                <w:sz w:val="18"/>
                <w:szCs w:val="18"/>
                <w:lang w:val="de-DE"/>
              </w:rPr>
              <w:t>Ghanas</w:t>
            </w:r>
            <w:r w:rsidRPr="000106C3">
              <w:rPr>
                <w:rFonts w:cs="Arial"/>
                <w:snapToGrid w:val="0"/>
                <w:sz w:val="18"/>
                <w:szCs w:val="18"/>
                <w:lang w:val="de-DE"/>
              </w:rPr>
              <w:t xml:space="preserve"> über Pflanzenzüchter mit den Bestimmungen der Akte von 1991 des Internationalen Übereinkommens zum Schutz von Pflanzenzüchtungen zu treffen </w:t>
            </w:r>
          </w:p>
          <w:p w:rsidR="00DB3682" w:rsidRPr="000106C3" w:rsidRDefault="000106C3" w:rsidP="006607E5">
            <w:pPr>
              <w:pStyle w:val="ListParagraph"/>
              <w:numPr>
                <w:ilvl w:val="0"/>
                <w:numId w:val="37"/>
              </w:numPr>
              <w:spacing w:after="60"/>
              <w:ind w:left="714" w:hanging="357"/>
              <w:contextualSpacing w:val="0"/>
              <w:rPr>
                <w:rFonts w:cs="Arial"/>
                <w:sz w:val="18"/>
                <w:szCs w:val="18"/>
                <w:lang w:val="de-DE"/>
              </w:rPr>
            </w:pPr>
            <w:r w:rsidRPr="000106C3">
              <w:rPr>
                <w:rFonts w:cs="Arial"/>
                <w:sz w:val="18"/>
                <w:szCs w:val="18"/>
                <w:lang w:val="de-DE"/>
              </w:rPr>
              <w:t>er entschied</w:t>
            </w:r>
            <w:r w:rsidR="00C74154" w:rsidRPr="000106C3">
              <w:rPr>
                <w:rFonts w:cs="Arial"/>
                <w:sz w:val="18"/>
                <w:szCs w:val="18"/>
                <w:lang w:val="de-DE"/>
              </w:rPr>
              <w:t>,</w:t>
            </w:r>
            <w:r w:rsidR="00DB3682" w:rsidRPr="000106C3">
              <w:rPr>
                <w:rFonts w:cs="Arial"/>
                <w:sz w:val="18"/>
                <w:szCs w:val="18"/>
                <w:lang w:val="de-DE"/>
              </w:rPr>
              <w:t xml:space="preserve"> </w:t>
            </w:r>
            <w:r w:rsidRPr="000106C3">
              <w:rPr>
                <w:rFonts w:cs="Arial"/>
                <w:sz w:val="18"/>
                <w:szCs w:val="18"/>
                <w:lang w:val="de-DE"/>
              </w:rPr>
              <w:t xml:space="preserve">vorbehaltlich der Aufnahme der Änderungen </w:t>
            </w:r>
            <w:r>
              <w:rPr>
                <w:rFonts w:cs="Arial"/>
                <w:sz w:val="18"/>
                <w:szCs w:val="18"/>
                <w:lang w:val="de-DE"/>
              </w:rPr>
              <w:t xml:space="preserve">des Ministers </w:t>
            </w:r>
            <w:r w:rsidR="00B95C40" w:rsidRPr="000106C3">
              <w:rPr>
                <w:rFonts w:cs="Arial"/>
                <w:sz w:val="18"/>
                <w:szCs w:val="18"/>
                <w:lang w:val="de-DE"/>
              </w:rPr>
              <w:t xml:space="preserve">in den Gesetzentwurf </w:t>
            </w:r>
            <w:r w:rsidR="00B95C40">
              <w:rPr>
                <w:rFonts w:cs="Arial"/>
                <w:sz w:val="18"/>
                <w:szCs w:val="18"/>
                <w:lang w:val="de-DE"/>
              </w:rPr>
              <w:t xml:space="preserve">Kontinentaltansanias </w:t>
            </w:r>
            <w:r>
              <w:rPr>
                <w:rFonts w:cs="Arial"/>
                <w:sz w:val="18"/>
                <w:szCs w:val="18"/>
                <w:lang w:val="de-DE"/>
              </w:rPr>
              <w:t xml:space="preserve">und der </w:t>
            </w:r>
            <w:r w:rsidRPr="000106C3">
              <w:rPr>
                <w:rFonts w:cs="Arial"/>
                <w:sz w:val="18"/>
                <w:szCs w:val="18"/>
                <w:lang w:val="de-DE"/>
              </w:rPr>
              <w:t>mit der Delegation der Vereinigten Republik Tansania vereinbarten Vorschläge und ohne zusätzliche Änderungen</w:t>
            </w:r>
            <w:r w:rsidR="00B95C40">
              <w:rPr>
                <w:rFonts w:cs="Arial"/>
                <w:sz w:val="18"/>
                <w:szCs w:val="18"/>
                <w:lang w:val="de-DE"/>
              </w:rPr>
              <w:t>,</w:t>
            </w:r>
            <w:r w:rsidRPr="000106C3">
              <w:rPr>
                <w:rFonts w:cs="Arial"/>
                <w:sz w:val="18"/>
                <w:szCs w:val="18"/>
                <w:lang w:val="de-DE"/>
              </w:rPr>
              <w:t xml:space="preserve"> eine positive Entscheidung über die Vereinbarkeit des Gesetzentwurfs</w:t>
            </w:r>
            <w:r w:rsidR="00B95C40">
              <w:rPr>
                <w:rFonts w:cs="Arial"/>
                <w:sz w:val="18"/>
                <w:szCs w:val="18"/>
                <w:lang w:val="de-DE"/>
              </w:rPr>
              <w:t xml:space="preserve"> </w:t>
            </w:r>
            <w:r w:rsidR="006607E5">
              <w:rPr>
                <w:rFonts w:cs="Arial"/>
                <w:sz w:val="18"/>
                <w:szCs w:val="18"/>
                <w:lang w:val="de-DE"/>
              </w:rPr>
              <w:t>Kontinentaltansanias</w:t>
            </w:r>
            <w:r w:rsidRPr="000106C3">
              <w:rPr>
                <w:rFonts w:cs="Arial"/>
                <w:sz w:val="18"/>
                <w:szCs w:val="18"/>
                <w:lang w:val="de-DE"/>
              </w:rPr>
              <w:t xml:space="preserve"> über Pflanzenzüchterrechte mit den Bestimmungen der Akte von 1991 des Internationalen Übereinkommens zum Schutz von Pflanzenzüchtungen zu treffen</w:t>
            </w:r>
          </w:p>
          <w:p w:rsidR="00176279" w:rsidRPr="00A22E5E" w:rsidRDefault="006607E5" w:rsidP="00A22E5E">
            <w:pPr>
              <w:pStyle w:val="ListParagraph"/>
              <w:numPr>
                <w:ilvl w:val="0"/>
                <w:numId w:val="37"/>
              </w:numPr>
              <w:spacing w:after="60"/>
              <w:ind w:left="714" w:hanging="357"/>
              <w:contextualSpacing w:val="0"/>
              <w:rPr>
                <w:rFonts w:cs="Arial"/>
                <w:sz w:val="18"/>
                <w:szCs w:val="18"/>
                <w:lang w:val="de-DE"/>
              </w:rPr>
            </w:pPr>
            <w:r>
              <w:rPr>
                <w:rFonts w:cs="Arial"/>
                <w:sz w:val="18"/>
                <w:szCs w:val="18"/>
                <w:lang w:val="de-DE"/>
              </w:rPr>
              <w:t xml:space="preserve">er </w:t>
            </w:r>
            <w:r w:rsidR="007B46CC" w:rsidRPr="00A22E5E">
              <w:rPr>
                <w:rFonts w:cs="Arial"/>
                <w:sz w:val="18"/>
                <w:szCs w:val="18"/>
                <w:lang w:val="de-DE"/>
              </w:rPr>
              <w:t>billigte</w:t>
            </w:r>
            <w:r w:rsidR="00DB3682" w:rsidRPr="00A22E5E">
              <w:rPr>
                <w:rFonts w:cs="Arial"/>
                <w:sz w:val="18"/>
                <w:szCs w:val="18"/>
                <w:lang w:val="de-DE"/>
              </w:rPr>
              <w:t xml:space="preserve"> </w:t>
            </w:r>
            <w:r w:rsidR="00B95C40">
              <w:rPr>
                <w:rFonts w:cs="Arial"/>
                <w:sz w:val="18"/>
                <w:szCs w:val="18"/>
                <w:lang w:val="de-DE"/>
              </w:rPr>
              <w:t xml:space="preserve">den </w:t>
            </w:r>
            <w:r w:rsidR="00A22E5E" w:rsidRPr="007B46CC">
              <w:rPr>
                <w:rFonts w:cs="Arial"/>
                <w:sz w:val="18"/>
                <w:szCs w:val="18"/>
                <w:lang w:val="de-DE"/>
              </w:rPr>
              <w:t>Rechnungsabschluss für die Rechnungsperiode 2010-</w:t>
            </w:r>
            <w:r w:rsidR="00DB3682" w:rsidRPr="00A22E5E">
              <w:rPr>
                <w:rFonts w:cs="Arial"/>
                <w:sz w:val="18"/>
                <w:szCs w:val="18"/>
                <w:lang w:val="de-DE"/>
              </w:rPr>
              <w:t xml:space="preserve">2011 </w:t>
            </w:r>
          </w:p>
          <w:p w:rsidR="00282FAB" w:rsidRPr="006E1FFB" w:rsidRDefault="006607E5" w:rsidP="006E1FFB">
            <w:pPr>
              <w:pStyle w:val="ListParagraph"/>
              <w:numPr>
                <w:ilvl w:val="0"/>
                <w:numId w:val="37"/>
              </w:numPr>
              <w:spacing w:after="60"/>
              <w:ind w:left="714" w:hanging="357"/>
              <w:contextualSpacing w:val="0"/>
              <w:rPr>
                <w:rFonts w:cs="Arial"/>
                <w:sz w:val="18"/>
                <w:szCs w:val="18"/>
                <w:lang w:val="de-DE"/>
              </w:rPr>
            </w:pPr>
            <w:r>
              <w:rPr>
                <w:rFonts w:cs="Arial"/>
                <w:sz w:val="18"/>
                <w:szCs w:val="18"/>
                <w:lang w:val="de-DE"/>
              </w:rPr>
              <w:t xml:space="preserve">er </w:t>
            </w:r>
            <w:r w:rsidR="007B46CC" w:rsidRPr="00A22E5E">
              <w:rPr>
                <w:rFonts w:cs="Arial"/>
                <w:sz w:val="18"/>
                <w:szCs w:val="18"/>
                <w:lang w:val="de-DE"/>
              </w:rPr>
              <w:t>billigte</w:t>
            </w:r>
            <w:r w:rsidR="00DB3682" w:rsidRPr="00A22E5E">
              <w:rPr>
                <w:rFonts w:cs="Arial"/>
                <w:sz w:val="18"/>
                <w:szCs w:val="18"/>
                <w:lang w:val="de-DE"/>
              </w:rPr>
              <w:t xml:space="preserve"> </w:t>
            </w:r>
            <w:r w:rsidR="00A22E5E" w:rsidRPr="00A22E5E">
              <w:rPr>
                <w:rFonts w:cs="Arial"/>
                <w:sz w:val="18"/>
                <w:szCs w:val="18"/>
                <w:lang w:val="de-DE"/>
              </w:rPr>
              <w:t>das</w:t>
            </w:r>
            <w:r w:rsidR="00DB3682" w:rsidRPr="00A22E5E">
              <w:rPr>
                <w:rFonts w:cs="Arial"/>
                <w:sz w:val="18"/>
                <w:szCs w:val="18"/>
                <w:lang w:val="de-DE"/>
              </w:rPr>
              <w:t xml:space="preserve"> </w:t>
            </w:r>
            <w:r w:rsidR="00A22E5E" w:rsidRPr="00A22E5E">
              <w:rPr>
                <w:rFonts w:cs="Arial"/>
                <w:sz w:val="18"/>
                <w:szCs w:val="18"/>
                <w:lang w:val="de-DE"/>
              </w:rPr>
              <w:t xml:space="preserve">Arbeitsprogramm für die </w:t>
            </w:r>
            <w:r w:rsidR="00A22E5E">
              <w:rPr>
                <w:rFonts w:cs="Arial"/>
                <w:sz w:val="18"/>
                <w:szCs w:val="18"/>
                <w:lang w:val="de-DE"/>
              </w:rPr>
              <w:t>siebenundsechzigste</w:t>
            </w:r>
            <w:r w:rsidR="00DB3682" w:rsidRPr="00A22E5E">
              <w:rPr>
                <w:rFonts w:cs="Arial"/>
                <w:sz w:val="18"/>
                <w:szCs w:val="18"/>
                <w:lang w:val="de-DE"/>
              </w:rPr>
              <w:t xml:space="preserve"> </w:t>
            </w:r>
            <w:r w:rsidR="003F377D" w:rsidRPr="00A22E5E">
              <w:rPr>
                <w:rFonts w:cs="Arial"/>
                <w:sz w:val="18"/>
                <w:szCs w:val="18"/>
                <w:lang w:val="de-DE"/>
              </w:rPr>
              <w:t>Tagung</w:t>
            </w:r>
            <w:r w:rsidR="00DB3682" w:rsidRPr="00A22E5E">
              <w:rPr>
                <w:rFonts w:cs="Arial"/>
                <w:sz w:val="18"/>
                <w:szCs w:val="18"/>
                <w:lang w:val="de-DE"/>
              </w:rPr>
              <w:t xml:space="preserve"> </w:t>
            </w:r>
            <w:r w:rsidR="00A22E5E">
              <w:rPr>
                <w:rFonts w:cs="Arial"/>
                <w:sz w:val="18"/>
                <w:szCs w:val="18"/>
                <w:lang w:val="de-DE"/>
              </w:rPr>
              <w:t>des</w:t>
            </w:r>
            <w:r w:rsidR="00DB3682" w:rsidRPr="00A22E5E">
              <w:rPr>
                <w:rFonts w:cs="Arial"/>
                <w:sz w:val="18"/>
                <w:szCs w:val="18"/>
                <w:lang w:val="de-DE"/>
              </w:rPr>
              <w:t xml:space="preserve"> CAJ</w:t>
            </w:r>
          </w:p>
        </w:tc>
      </w:tr>
    </w:tbl>
    <w:p w:rsidR="006E1FFB" w:rsidRDefault="006E1FFB"/>
    <w:tbl>
      <w:tblPr>
        <w:tblW w:w="9889" w:type="dxa"/>
        <w:tblLayout w:type="fixed"/>
        <w:tblLook w:val="0000" w:firstRow="0" w:lastRow="0" w:firstColumn="0" w:lastColumn="0" w:noHBand="0" w:noVBand="0"/>
      </w:tblPr>
      <w:tblGrid>
        <w:gridCol w:w="2093"/>
        <w:gridCol w:w="7796"/>
      </w:tblGrid>
      <w:tr w:rsidR="006E1FFB" w:rsidRPr="006054BD" w:rsidTr="00062A4B">
        <w:tc>
          <w:tcPr>
            <w:tcW w:w="2093" w:type="dxa"/>
            <w:shd w:val="clear" w:color="auto" w:fill="auto"/>
          </w:tcPr>
          <w:p w:rsidR="006E1FFB" w:rsidRPr="006054BD" w:rsidRDefault="006E1FFB" w:rsidP="00062A4B">
            <w:pPr>
              <w:keepNext/>
              <w:spacing w:after="240"/>
              <w:rPr>
                <w:b/>
                <w:sz w:val="18"/>
                <w:szCs w:val="18"/>
              </w:rPr>
            </w:pPr>
            <w:r>
              <w:rPr>
                <w:b/>
                <w:sz w:val="18"/>
                <w:szCs w:val="18"/>
              </w:rPr>
              <w:t>Erwartete Ergebnisse</w:t>
            </w:r>
          </w:p>
        </w:tc>
        <w:tc>
          <w:tcPr>
            <w:tcW w:w="7796" w:type="dxa"/>
            <w:shd w:val="clear" w:color="auto" w:fill="auto"/>
          </w:tcPr>
          <w:p w:rsidR="006E1FFB" w:rsidRPr="006054BD" w:rsidRDefault="006E1FFB" w:rsidP="00062A4B">
            <w:pPr>
              <w:keepNext/>
              <w:spacing w:after="240"/>
              <w:rPr>
                <w:b/>
                <w:sz w:val="18"/>
                <w:szCs w:val="18"/>
              </w:rPr>
            </w:pPr>
            <w:r>
              <w:rPr>
                <w:b/>
                <w:sz w:val="18"/>
                <w:szCs w:val="18"/>
              </w:rPr>
              <w:t>Erzielte Ergebnisse</w:t>
            </w:r>
            <w:r w:rsidRPr="006054BD">
              <w:rPr>
                <w:b/>
                <w:sz w:val="18"/>
                <w:szCs w:val="18"/>
              </w:rPr>
              <w:t xml:space="preserve">:  </w:t>
            </w:r>
            <w:r>
              <w:rPr>
                <w:b/>
                <w:sz w:val="18"/>
                <w:szCs w:val="18"/>
              </w:rPr>
              <w:t>Ausgewählte Planerfüllungsindikatoren</w:t>
            </w:r>
          </w:p>
        </w:tc>
      </w:tr>
      <w:tr w:rsidR="00103981" w:rsidRPr="00DE5DFD" w:rsidTr="006E1FFB">
        <w:tc>
          <w:tcPr>
            <w:tcW w:w="2093" w:type="dxa"/>
            <w:shd w:val="clear" w:color="auto" w:fill="auto"/>
          </w:tcPr>
          <w:p w:rsidR="00103981" w:rsidRPr="006054BD" w:rsidRDefault="006E1FFB" w:rsidP="00114294">
            <w:pPr>
              <w:pStyle w:val="Heading6"/>
            </w:pPr>
            <w:bookmarkStart w:id="70" w:name="_Toc368400530"/>
            <w:r w:rsidRPr="006E1FFB">
              <w:rPr>
                <w:i w:val="0"/>
                <w:szCs w:val="18"/>
                <w:lang w:val="de-DE"/>
              </w:rPr>
              <w:t>4.  Grundsätze des Rates</w:t>
            </w:r>
            <w:r>
              <w:rPr>
                <w:szCs w:val="18"/>
                <w:lang w:val="de-DE"/>
              </w:rPr>
              <w:t xml:space="preserve"> (Fortsetzung)</w:t>
            </w:r>
            <w:bookmarkEnd w:id="70"/>
          </w:p>
        </w:tc>
        <w:tc>
          <w:tcPr>
            <w:tcW w:w="7796" w:type="dxa"/>
            <w:shd w:val="clear" w:color="auto" w:fill="auto"/>
          </w:tcPr>
          <w:p w:rsidR="006E1FFB" w:rsidRPr="00A22E5E" w:rsidRDefault="006E1FFB" w:rsidP="006E1FFB">
            <w:pPr>
              <w:pStyle w:val="ListParagraph"/>
              <w:numPr>
                <w:ilvl w:val="0"/>
                <w:numId w:val="37"/>
              </w:numPr>
              <w:spacing w:after="60"/>
              <w:ind w:left="714" w:hanging="357"/>
              <w:contextualSpacing w:val="0"/>
              <w:rPr>
                <w:rFonts w:cs="Arial"/>
                <w:sz w:val="18"/>
                <w:szCs w:val="18"/>
                <w:lang w:val="de-DE"/>
              </w:rPr>
            </w:pPr>
            <w:r>
              <w:rPr>
                <w:rFonts w:cs="Arial"/>
                <w:sz w:val="18"/>
                <w:szCs w:val="18"/>
                <w:lang w:val="de-DE"/>
              </w:rPr>
              <w:t xml:space="preserve">er </w:t>
            </w:r>
            <w:r w:rsidRPr="00A22E5E">
              <w:rPr>
                <w:rFonts w:cs="Arial"/>
                <w:sz w:val="18"/>
                <w:szCs w:val="18"/>
                <w:lang w:val="de-DE"/>
              </w:rPr>
              <w:t>billigte</w:t>
            </w:r>
            <w:r>
              <w:rPr>
                <w:rFonts w:cs="Arial"/>
                <w:sz w:val="18"/>
                <w:szCs w:val="18"/>
                <w:lang w:val="de-DE"/>
              </w:rPr>
              <w:t xml:space="preserve"> die</w:t>
            </w:r>
            <w:r w:rsidRPr="00A22E5E">
              <w:rPr>
                <w:rFonts w:cs="Arial"/>
                <w:sz w:val="18"/>
                <w:szCs w:val="18"/>
                <w:lang w:val="de-DE"/>
              </w:rPr>
              <w:t xml:space="preserve"> Arbeit</w:t>
            </w:r>
            <w:r>
              <w:rPr>
                <w:rFonts w:cs="Arial"/>
                <w:sz w:val="18"/>
                <w:szCs w:val="18"/>
                <w:lang w:val="de-DE"/>
              </w:rPr>
              <w:t>sprogramme</w:t>
            </w:r>
            <w:r w:rsidRPr="00A22E5E">
              <w:rPr>
                <w:rFonts w:cs="Arial"/>
                <w:sz w:val="18"/>
                <w:szCs w:val="18"/>
                <w:lang w:val="de-DE"/>
              </w:rPr>
              <w:t xml:space="preserve"> des Technischen Ausschusses, der Technischen Arbeitsgruppen und der Arbeitsgruppe für biochemische und molekulare Verfahren und insbesondere für DNS-Profilierungsverfahren</w:t>
            </w:r>
          </w:p>
          <w:p w:rsidR="006E1FFB" w:rsidRPr="006607E5" w:rsidRDefault="006E1FFB" w:rsidP="006E1FFB">
            <w:pPr>
              <w:pStyle w:val="ListParagraph"/>
              <w:numPr>
                <w:ilvl w:val="0"/>
                <w:numId w:val="37"/>
              </w:numPr>
              <w:spacing w:after="60"/>
              <w:ind w:left="714" w:hanging="357"/>
              <w:contextualSpacing w:val="0"/>
              <w:rPr>
                <w:rFonts w:cs="Arial"/>
                <w:sz w:val="18"/>
                <w:szCs w:val="18"/>
                <w:lang w:val="de-DE"/>
              </w:rPr>
            </w:pPr>
            <w:r>
              <w:rPr>
                <w:rFonts w:cs="Arial"/>
                <w:sz w:val="18"/>
                <w:szCs w:val="18"/>
                <w:lang w:val="de-DE"/>
              </w:rPr>
              <w:t xml:space="preserve">er </w:t>
            </w:r>
            <w:r w:rsidRPr="006607E5">
              <w:rPr>
                <w:rFonts w:cs="Arial"/>
                <w:sz w:val="18"/>
                <w:szCs w:val="18"/>
                <w:lang w:val="de-DE"/>
              </w:rPr>
              <w:t>billigte den “Tagungskalender für 2013”</w:t>
            </w:r>
          </w:p>
          <w:p w:rsidR="006E1FFB" w:rsidRPr="00A22E5E" w:rsidRDefault="006E1FFB" w:rsidP="006E1FFB">
            <w:pPr>
              <w:pStyle w:val="ListParagraph"/>
              <w:numPr>
                <w:ilvl w:val="0"/>
                <w:numId w:val="37"/>
              </w:numPr>
              <w:spacing w:after="60"/>
              <w:ind w:left="714" w:hanging="357"/>
              <w:contextualSpacing w:val="0"/>
              <w:rPr>
                <w:rFonts w:cs="Arial"/>
                <w:sz w:val="18"/>
                <w:szCs w:val="18"/>
                <w:lang w:val="de-DE"/>
              </w:rPr>
            </w:pPr>
            <w:r>
              <w:rPr>
                <w:rFonts w:cs="Arial"/>
                <w:sz w:val="18"/>
                <w:szCs w:val="18"/>
                <w:lang w:val="de-DE"/>
              </w:rPr>
              <w:t xml:space="preserve">er </w:t>
            </w:r>
            <w:r w:rsidRPr="00A22E5E">
              <w:rPr>
                <w:rFonts w:cs="Arial"/>
                <w:sz w:val="18"/>
                <w:szCs w:val="18"/>
                <w:lang w:val="de-DE"/>
              </w:rPr>
              <w:t xml:space="preserve">wählte, jeweils für eine Amtszeit von drei Jahren, die mit der </w:t>
            </w:r>
            <w:r>
              <w:rPr>
                <w:rFonts w:cs="Arial"/>
                <w:sz w:val="18"/>
                <w:szCs w:val="18"/>
                <w:lang w:val="de-DE"/>
              </w:rPr>
              <w:t>neunundvierzigsten</w:t>
            </w:r>
            <w:r w:rsidRPr="00A22E5E">
              <w:rPr>
                <w:rFonts w:cs="Arial"/>
                <w:sz w:val="18"/>
                <w:szCs w:val="18"/>
                <w:lang w:val="de-DE"/>
              </w:rPr>
              <w:t xml:space="preserve"> ordentlichen Tagung des Rates im Jahre 20</w:t>
            </w:r>
            <w:r>
              <w:rPr>
                <w:rFonts w:cs="Arial"/>
                <w:sz w:val="18"/>
                <w:szCs w:val="18"/>
                <w:lang w:val="de-DE"/>
              </w:rPr>
              <w:t>15</w:t>
            </w:r>
            <w:r w:rsidRPr="00A22E5E">
              <w:rPr>
                <w:rFonts w:cs="Arial"/>
                <w:sz w:val="18"/>
                <w:szCs w:val="18"/>
                <w:lang w:val="de-DE"/>
              </w:rPr>
              <w:t xml:space="preserve"> enden wird:</w:t>
            </w:r>
          </w:p>
          <w:p w:rsidR="006E1FFB" w:rsidRPr="00202242" w:rsidRDefault="006E1FFB" w:rsidP="006E1FFB">
            <w:pPr>
              <w:ind w:left="743"/>
              <w:rPr>
                <w:rFonts w:cs="Arial"/>
                <w:sz w:val="18"/>
                <w:szCs w:val="18"/>
                <w:lang w:val="de-DE"/>
              </w:rPr>
            </w:pPr>
            <w:r w:rsidRPr="00202242">
              <w:rPr>
                <w:rFonts w:cs="Arial"/>
                <w:sz w:val="18"/>
                <w:szCs w:val="18"/>
                <w:lang w:val="de-DE"/>
              </w:rPr>
              <w:t>–</w:t>
            </w:r>
            <w:r w:rsidRPr="00202242">
              <w:rPr>
                <w:rFonts w:cs="Arial"/>
                <w:sz w:val="18"/>
                <w:szCs w:val="18"/>
                <w:lang w:val="de-DE"/>
              </w:rPr>
              <w:tab/>
              <w:t>Frau Kitisri Sukhapinda (Vereinigte Staaten von Amerika), Präsidentin des Rates</w:t>
            </w:r>
          </w:p>
          <w:p w:rsidR="006E1FFB" w:rsidRPr="00202242" w:rsidRDefault="006E1FFB" w:rsidP="006E1FFB">
            <w:pPr>
              <w:spacing w:after="60"/>
              <w:ind w:left="743"/>
              <w:rPr>
                <w:rFonts w:cs="Arial"/>
                <w:sz w:val="18"/>
                <w:szCs w:val="18"/>
                <w:lang w:val="de-DE"/>
              </w:rPr>
            </w:pPr>
            <w:r w:rsidRPr="00202242">
              <w:rPr>
                <w:rFonts w:cs="Arial"/>
                <w:sz w:val="18"/>
                <w:szCs w:val="18"/>
                <w:lang w:val="de-DE"/>
              </w:rPr>
              <w:t>–</w:t>
            </w:r>
            <w:r w:rsidRPr="00202242">
              <w:rPr>
                <w:rFonts w:cs="Arial"/>
                <w:sz w:val="18"/>
                <w:szCs w:val="18"/>
                <w:lang w:val="de-DE"/>
              </w:rPr>
              <w:tab/>
              <w:t>Herr</w:t>
            </w:r>
            <w:r>
              <w:rPr>
                <w:rFonts w:cs="Arial"/>
                <w:sz w:val="18"/>
                <w:szCs w:val="18"/>
                <w:lang w:val="de-DE"/>
              </w:rPr>
              <w:t>n</w:t>
            </w:r>
            <w:r w:rsidRPr="00202242">
              <w:rPr>
                <w:rFonts w:cs="Arial"/>
                <w:sz w:val="18"/>
                <w:szCs w:val="18"/>
                <w:lang w:val="de-DE"/>
              </w:rPr>
              <w:t xml:space="preserve"> Luis Salaices (Spanien), Vizepräsident des Rates</w:t>
            </w:r>
          </w:p>
          <w:p w:rsidR="006E1FFB" w:rsidRPr="006054BD" w:rsidRDefault="006E1FFB" w:rsidP="006E1FFB">
            <w:pPr>
              <w:pStyle w:val="ListParagraph"/>
              <w:numPr>
                <w:ilvl w:val="0"/>
                <w:numId w:val="37"/>
              </w:numPr>
              <w:spacing w:after="60"/>
              <w:ind w:left="714" w:hanging="357"/>
              <w:contextualSpacing w:val="0"/>
              <w:rPr>
                <w:rFonts w:cs="Arial"/>
                <w:sz w:val="18"/>
                <w:szCs w:val="18"/>
              </w:rPr>
            </w:pPr>
            <w:r>
              <w:rPr>
                <w:rFonts w:cs="Arial"/>
                <w:sz w:val="18"/>
                <w:szCs w:val="18"/>
              </w:rPr>
              <w:t>er billigte</w:t>
            </w:r>
            <w:r w:rsidRPr="006054BD">
              <w:rPr>
                <w:rFonts w:cs="Arial"/>
                <w:sz w:val="18"/>
                <w:szCs w:val="18"/>
              </w:rPr>
              <w:t xml:space="preserve"> </w:t>
            </w:r>
            <w:r>
              <w:rPr>
                <w:rFonts w:cs="Arial"/>
                <w:sz w:val="18"/>
                <w:szCs w:val="18"/>
              </w:rPr>
              <w:t>eine</w:t>
            </w:r>
            <w:r w:rsidRPr="006054BD">
              <w:rPr>
                <w:rFonts w:cs="Arial"/>
                <w:sz w:val="18"/>
                <w:szCs w:val="18"/>
              </w:rPr>
              <w:t xml:space="preserve"> </w:t>
            </w:r>
            <w:r>
              <w:rPr>
                <w:rFonts w:cs="Arial"/>
                <w:sz w:val="18"/>
                <w:szCs w:val="18"/>
              </w:rPr>
              <w:t>Pressemitteilung</w:t>
            </w:r>
          </w:p>
          <w:p w:rsidR="006E1FFB" w:rsidRDefault="006E1FFB" w:rsidP="006E1FFB">
            <w:pPr>
              <w:rPr>
                <w:sz w:val="18"/>
                <w:szCs w:val="18"/>
                <w:lang w:val="de-DE"/>
              </w:rPr>
            </w:pPr>
          </w:p>
          <w:p w:rsidR="006E1FFB" w:rsidRPr="006E1FFB" w:rsidRDefault="006E1FFB" w:rsidP="006E1FFB">
            <w:pPr>
              <w:rPr>
                <w:sz w:val="18"/>
                <w:szCs w:val="18"/>
                <w:lang w:val="de-DE"/>
              </w:rPr>
            </w:pPr>
          </w:p>
          <w:p w:rsidR="00103981" w:rsidRPr="00202242" w:rsidRDefault="00E163EA" w:rsidP="00202242">
            <w:pPr>
              <w:pStyle w:val="Heading8"/>
              <w:keepNext/>
              <w:rPr>
                <w:rFonts w:cs="Arial"/>
                <w:szCs w:val="18"/>
                <w:lang w:val="de-DE"/>
              </w:rPr>
            </w:pPr>
            <w:bookmarkStart w:id="71" w:name="_Toc368400531"/>
            <w:r w:rsidRPr="00202242">
              <w:rPr>
                <w:rFonts w:cs="Arial"/>
                <w:szCs w:val="18"/>
                <w:lang w:val="de-DE"/>
              </w:rPr>
              <w:t>(c)</w:t>
            </w:r>
            <w:r w:rsidR="00103981" w:rsidRPr="00202242">
              <w:rPr>
                <w:rFonts w:cs="Arial"/>
                <w:szCs w:val="18"/>
                <w:lang w:val="de-DE"/>
              </w:rPr>
              <w:t xml:space="preserve">  </w:t>
            </w:r>
            <w:r w:rsidR="00042C4A" w:rsidRPr="00202242">
              <w:rPr>
                <w:rFonts w:cs="Arial"/>
                <w:szCs w:val="18"/>
                <w:lang w:val="de-DE"/>
              </w:rPr>
              <w:t>Annahme von</w:t>
            </w:r>
            <w:r w:rsidR="00202242" w:rsidRPr="00202242">
              <w:rPr>
                <w:rFonts w:cs="Arial"/>
                <w:szCs w:val="18"/>
                <w:lang w:val="de-DE"/>
              </w:rPr>
              <w:t xml:space="preserve"> Informations- und Positionspapieren durch den Rat</w:t>
            </w:r>
            <w:bookmarkEnd w:id="71"/>
          </w:p>
          <w:p w:rsidR="001C7C40" w:rsidRPr="00202242" w:rsidRDefault="00202242" w:rsidP="00202242">
            <w:pPr>
              <w:keepNext/>
              <w:rPr>
                <w:rFonts w:cs="Arial"/>
                <w:sz w:val="18"/>
                <w:szCs w:val="18"/>
                <w:lang w:val="de-DE"/>
              </w:rPr>
            </w:pPr>
            <w:r>
              <w:rPr>
                <w:rFonts w:cs="Arial"/>
                <w:sz w:val="18"/>
                <w:szCs w:val="18"/>
                <w:lang w:val="de-DE"/>
              </w:rPr>
              <w:t>Über d</w:t>
            </w:r>
            <w:r w:rsidRPr="00202242">
              <w:rPr>
                <w:rFonts w:cs="Arial"/>
                <w:sz w:val="18"/>
                <w:szCs w:val="18"/>
                <w:lang w:val="de-DE"/>
              </w:rPr>
              <w:t xml:space="preserve">ie </w:t>
            </w:r>
            <w:r w:rsidR="00042C4A" w:rsidRPr="00202242">
              <w:rPr>
                <w:rFonts w:cs="Arial"/>
                <w:sz w:val="18"/>
                <w:szCs w:val="18"/>
                <w:lang w:val="de-DE"/>
              </w:rPr>
              <w:t>Annahme von</w:t>
            </w:r>
            <w:r w:rsidRPr="00202242">
              <w:rPr>
                <w:rFonts w:cs="Arial"/>
                <w:sz w:val="18"/>
                <w:szCs w:val="18"/>
                <w:lang w:val="de-DE"/>
              </w:rPr>
              <w:t xml:space="preserve"> Informations- und Positionspapieren durch den Rat </w:t>
            </w:r>
            <w:r>
              <w:rPr>
                <w:rFonts w:cs="Arial"/>
                <w:sz w:val="18"/>
                <w:szCs w:val="18"/>
                <w:lang w:val="de-DE"/>
              </w:rPr>
              <w:t>wird</w:t>
            </w:r>
            <w:r w:rsidR="001C7C40" w:rsidRPr="00202242">
              <w:rPr>
                <w:rFonts w:cs="Arial"/>
                <w:sz w:val="18"/>
                <w:szCs w:val="18"/>
                <w:lang w:val="de-DE"/>
              </w:rPr>
              <w:t xml:space="preserve"> in </w:t>
            </w:r>
            <w:r>
              <w:rPr>
                <w:rFonts w:cs="Arial"/>
                <w:sz w:val="18"/>
                <w:szCs w:val="18"/>
                <w:lang w:val="de-DE"/>
              </w:rPr>
              <w:t>Unterprogramm</w:t>
            </w:r>
            <w:r w:rsidR="00C74154" w:rsidRPr="00202242">
              <w:rPr>
                <w:rFonts w:cs="Arial"/>
                <w:sz w:val="18"/>
                <w:szCs w:val="18"/>
                <w:lang w:val="de-DE"/>
              </w:rPr>
              <w:t xml:space="preserve"> </w:t>
            </w:r>
            <w:r w:rsidR="001C7C40" w:rsidRPr="00202242">
              <w:rPr>
                <w:rFonts w:cs="Arial"/>
                <w:sz w:val="18"/>
                <w:szCs w:val="18"/>
                <w:lang w:val="de-DE"/>
              </w:rPr>
              <w:t>UV.2</w:t>
            </w:r>
            <w:r>
              <w:rPr>
                <w:rFonts w:cs="Arial"/>
                <w:sz w:val="18"/>
                <w:szCs w:val="18"/>
                <w:lang w:val="de-DE"/>
              </w:rPr>
              <w:t xml:space="preserve"> berichtet</w:t>
            </w:r>
            <w:r w:rsidR="004571E7" w:rsidRPr="00202242">
              <w:rPr>
                <w:rFonts w:cs="Arial"/>
                <w:sz w:val="18"/>
                <w:szCs w:val="18"/>
                <w:lang w:val="de-DE"/>
              </w:rPr>
              <w:t>.</w:t>
            </w:r>
          </w:p>
          <w:p w:rsidR="00103981" w:rsidRPr="00202242" w:rsidRDefault="00103981" w:rsidP="003207CB">
            <w:pPr>
              <w:keepNext/>
              <w:rPr>
                <w:rFonts w:cs="Arial"/>
                <w:sz w:val="18"/>
                <w:szCs w:val="18"/>
                <w:lang w:val="de-DE"/>
              </w:rPr>
            </w:pPr>
          </w:p>
        </w:tc>
      </w:tr>
    </w:tbl>
    <w:p w:rsidR="00820784" w:rsidRPr="00202242" w:rsidRDefault="00820784" w:rsidP="00820784">
      <w:pPr>
        <w:rPr>
          <w:sz w:val="18"/>
          <w:szCs w:val="18"/>
          <w:lang w:val="de-DE"/>
        </w:rPr>
      </w:pPr>
    </w:p>
    <w:p w:rsidR="00820784" w:rsidRPr="00202242" w:rsidRDefault="00820784">
      <w:pPr>
        <w:jc w:val="left"/>
        <w:rPr>
          <w:b/>
          <w:caps/>
          <w:sz w:val="18"/>
          <w:lang w:val="de-DE"/>
        </w:rPr>
      </w:pPr>
      <w:r w:rsidRPr="00202242">
        <w:rPr>
          <w:lang w:val="de-DE"/>
        </w:rPr>
        <w:br w:type="page"/>
      </w:r>
    </w:p>
    <w:p w:rsidR="00C74C0E" w:rsidRPr="006F4F04" w:rsidRDefault="00202242" w:rsidP="006F4F04">
      <w:pPr>
        <w:pStyle w:val="Heading3"/>
        <w:rPr>
          <w:lang w:val="de-DE"/>
        </w:rPr>
      </w:pPr>
      <w:bookmarkStart w:id="72" w:name="_Toc368400532"/>
      <w:r w:rsidRPr="006F4F04">
        <w:rPr>
          <w:lang w:val="de-DE"/>
        </w:rPr>
        <w:t>Unterprogramm</w:t>
      </w:r>
      <w:r w:rsidR="00C74C0E" w:rsidRPr="006F4F04">
        <w:rPr>
          <w:lang w:val="de-DE"/>
        </w:rPr>
        <w:t xml:space="preserve"> UV.2:  </w:t>
      </w:r>
      <w:bookmarkEnd w:id="54"/>
      <w:bookmarkEnd w:id="55"/>
      <w:r w:rsidR="006F4F04" w:rsidRPr="006F4F04">
        <w:rPr>
          <w:lang w:val="de-DE"/>
        </w:rPr>
        <w:t>Dienstleistungen für den Verband zur Verbesserung der Wirksamkeit des UPOV-Systems</w:t>
      </w:r>
      <w:bookmarkEnd w:id="72"/>
    </w:p>
    <w:p w:rsidR="00C74C0E" w:rsidRPr="006F4F04" w:rsidRDefault="00C74C0E" w:rsidP="00C74C0E">
      <w:pPr>
        <w:rPr>
          <w:sz w:val="18"/>
          <w:szCs w:val="18"/>
          <w:lang w:val="de-DE"/>
        </w:rPr>
      </w:pPr>
    </w:p>
    <w:p w:rsidR="00687036" w:rsidRPr="006F4F04" w:rsidRDefault="006F4F04" w:rsidP="006607E5">
      <w:pPr>
        <w:tabs>
          <w:tab w:val="left" w:pos="2410"/>
          <w:tab w:val="left" w:pos="4536"/>
          <w:tab w:val="left" w:pos="9072"/>
        </w:tabs>
        <w:rPr>
          <w:sz w:val="18"/>
          <w:szCs w:val="18"/>
          <w:lang w:val="de-DE"/>
        </w:rPr>
      </w:pPr>
      <w:r w:rsidRPr="002539B4">
        <w:rPr>
          <w:rFonts w:cs="Arial"/>
          <w:sz w:val="18"/>
          <w:szCs w:val="18"/>
          <w:lang w:val="de-DE"/>
        </w:rPr>
        <w:t>Die UPOV nahm</w:t>
      </w:r>
      <w:r>
        <w:rPr>
          <w:rFonts w:cs="Arial"/>
          <w:sz w:val="18"/>
          <w:szCs w:val="18"/>
          <w:lang w:val="de-DE"/>
        </w:rPr>
        <w:t xml:space="preserve"> weiterhin</w:t>
      </w:r>
      <w:r w:rsidRPr="002539B4">
        <w:rPr>
          <w:rFonts w:cs="Arial"/>
          <w:sz w:val="18"/>
          <w:szCs w:val="18"/>
          <w:lang w:val="de-DE"/>
        </w:rPr>
        <w:t xml:space="preserve"> eine beträchtliche Anzahl von Informations- und Anleitungsdokumenten an, die das Verständnis und die Umsetzung der Bestimmungen des Übereinkommens in international harmonisierter und wirksamer Weise verstärken und dadurch die Qualität des Schutzes weiter verbessern und dessen Kosten auf nationaler oder regionaler Ebene reduzieren. </w:t>
      </w:r>
      <w:r w:rsidRPr="002539B4">
        <w:rPr>
          <w:rFonts w:cs="Arial"/>
          <w:color w:val="000000"/>
          <w:sz w:val="18"/>
          <w:szCs w:val="18"/>
          <w:lang w:val="de-DE"/>
        </w:rPr>
        <w:t>201</w:t>
      </w:r>
      <w:r>
        <w:rPr>
          <w:rFonts w:cs="Arial"/>
          <w:color w:val="000000"/>
          <w:sz w:val="18"/>
          <w:szCs w:val="18"/>
          <w:lang w:val="de-DE"/>
        </w:rPr>
        <w:t>2</w:t>
      </w:r>
      <w:r w:rsidRPr="002539B4">
        <w:rPr>
          <w:rFonts w:cs="Arial"/>
          <w:color w:val="000000"/>
          <w:sz w:val="18"/>
          <w:szCs w:val="18"/>
          <w:lang w:val="de-DE"/>
        </w:rPr>
        <w:t xml:space="preserve"> erfa</w:t>
      </w:r>
      <w:r w:rsidR="006607E5">
        <w:rPr>
          <w:rFonts w:cs="Arial"/>
          <w:color w:val="000000"/>
          <w:sz w:val="18"/>
          <w:szCs w:val="18"/>
          <w:lang w:val="de-DE"/>
        </w:rPr>
        <w:t>ß</w:t>
      </w:r>
      <w:r w:rsidRPr="002539B4">
        <w:rPr>
          <w:rFonts w:cs="Arial"/>
          <w:color w:val="000000"/>
          <w:sz w:val="18"/>
          <w:szCs w:val="18"/>
          <w:lang w:val="de-DE"/>
        </w:rPr>
        <w:t xml:space="preserve">ten die angenommen </w:t>
      </w:r>
      <w:r w:rsidRPr="002539B4">
        <w:rPr>
          <w:rFonts w:cs="Arial"/>
          <w:color w:val="000000"/>
          <w:sz w:val="18"/>
          <w:szCs w:val="18"/>
          <w:lang w:val="de-DE" w:eastAsia="de-DE"/>
        </w:rPr>
        <w:t>Prüfungsrichtlinien</w:t>
      </w:r>
      <w:r>
        <w:rPr>
          <w:rFonts w:cs="Arial"/>
          <w:color w:val="000000"/>
          <w:sz w:val="18"/>
          <w:szCs w:val="18"/>
          <w:lang w:val="de-DE" w:eastAsia="de-DE"/>
        </w:rPr>
        <w:t xml:space="preserve"> weiterhin</w:t>
      </w:r>
      <w:r w:rsidRPr="002539B4">
        <w:rPr>
          <w:rFonts w:cs="Arial"/>
          <w:color w:val="000000"/>
          <w:sz w:val="18"/>
          <w:szCs w:val="18"/>
          <w:lang w:val="de-DE" w:eastAsia="de-DE"/>
        </w:rPr>
        <w:t xml:space="preserve"> 90% aller Einträge bezüglich Züchterrechten in die </w:t>
      </w:r>
      <w:r w:rsidRPr="002539B4">
        <w:rPr>
          <w:rFonts w:cs="Arial"/>
          <w:sz w:val="18"/>
          <w:szCs w:val="18"/>
          <w:lang w:val="de-DE"/>
        </w:rPr>
        <w:t xml:space="preserve">Datenbank für Pflanzensorten. </w:t>
      </w:r>
      <w:r w:rsidR="00701E43">
        <w:rPr>
          <w:rFonts w:cs="Arial"/>
          <w:sz w:val="18"/>
          <w:szCs w:val="18"/>
          <w:lang w:val="de-DE"/>
        </w:rPr>
        <w:t>U</w:t>
      </w:r>
      <w:r w:rsidRPr="002539B4">
        <w:rPr>
          <w:rFonts w:cs="Arial"/>
          <w:sz w:val="18"/>
          <w:szCs w:val="18"/>
          <w:lang w:val="de-DE"/>
        </w:rPr>
        <w:t xml:space="preserve">m die Zusammenarbeit zwischen Verbandsmitgliedern </w:t>
      </w:r>
      <w:r w:rsidR="00701E43">
        <w:rPr>
          <w:rFonts w:cs="Arial"/>
          <w:sz w:val="18"/>
          <w:szCs w:val="18"/>
          <w:lang w:val="de-DE"/>
        </w:rPr>
        <w:t xml:space="preserve">zu verbessern, wurde die Information der GENIE-Datenbank, der </w:t>
      </w:r>
      <w:r w:rsidRPr="002539B4">
        <w:rPr>
          <w:rFonts w:cs="Arial"/>
          <w:sz w:val="18"/>
          <w:szCs w:val="18"/>
          <w:lang w:val="de-DE"/>
        </w:rPr>
        <w:t xml:space="preserve">Datenbank für Pflanzensorten </w:t>
      </w:r>
      <w:r w:rsidR="00701E43">
        <w:rPr>
          <w:rFonts w:cs="Arial"/>
          <w:sz w:val="18"/>
          <w:szCs w:val="18"/>
          <w:lang w:val="de-DE"/>
        </w:rPr>
        <w:t>(PLUTO-</w:t>
      </w:r>
      <w:r w:rsidRPr="002539B4">
        <w:rPr>
          <w:rFonts w:cs="Arial"/>
          <w:sz w:val="18"/>
          <w:szCs w:val="18"/>
          <w:lang w:val="de-DE"/>
        </w:rPr>
        <w:t>Datenbank</w:t>
      </w:r>
      <w:r w:rsidR="00701E43">
        <w:rPr>
          <w:rFonts w:cs="Arial"/>
          <w:sz w:val="18"/>
          <w:szCs w:val="18"/>
          <w:lang w:val="de-DE"/>
        </w:rPr>
        <w:t>) und der</w:t>
      </w:r>
      <w:r w:rsidR="006607E5">
        <w:rPr>
          <w:rFonts w:cs="Arial"/>
          <w:sz w:val="18"/>
          <w:szCs w:val="18"/>
          <w:lang w:val="de-DE"/>
        </w:rPr>
        <w:t xml:space="preserve"> </w:t>
      </w:r>
      <w:r w:rsidR="00701E43" w:rsidRPr="00701E43">
        <w:rPr>
          <w:rFonts w:cs="Arial"/>
          <w:sz w:val="18"/>
          <w:szCs w:val="18"/>
          <w:lang w:val="de-DE"/>
        </w:rPr>
        <w:t xml:space="preserve">Datenbank für Gesetze von Verbandsmitgliedern </w:t>
      </w:r>
      <w:r w:rsidR="006607E5">
        <w:rPr>
          <w:rFonts w:cs="Arial"/>
          <w:sz w:val="18"/>
          <w:szCs w:val="18"/>
          <w:lang w:val="de-DE"/>
        </w:rPr>
        <w:t>(</w:t>
      </w:r>
      <w:r w:rsidR="00701E43" w:rsidRPr="00701E43">
        <w:rPr>
          <w:rFonts w:cs="Arial"/>
          <w:sz w:val="18"/>
          <w:szCs w:val="18"/>
          <w:lang w:val="de-DE"/>
        </w:rPr>
        <w:t>UPOV Lex</w:t>
      </w:r>
      <w:r w:rsidR="006607E5">
        <w:rPr>
          <w:rFonts w:cs="Arial"/>
          <w:sz w:val="18"/>
          <w:szCs w:val="18"/>
          <w:lang w:val="de-DE"/>
        </w:rPr>
        <w:t>)</w:t>
      </w:r>
      <w:r w:rsidR="00701E43">
        <w:rPr>
          <w:rFonts w:cs="Arial"/>
          <w:sz w:val="18"/>
          <w:szCs w:val="18"/>
          <w:lang w:val="de-DE"/>
        </w:rPr>
        <w:t xml:space="preserve"> mit</w:t>
      </w:r>
      <w:r w:rsidR="00894944">
        <w:rPr>
          <w:rFonts w:cs="Arial"/>
          <w:sz w:val="18"/>
          <w:szCs w:val="18"/>
          <w:lang w:val="de-DE"/>
        </w:rPr>
        <w:t>tels</w:t>
      </w:r>
      <w:r w:rsidR="00701E43">
        <w:rPr>
          <w:rFonts w:cs="Arial"/>
          <w:sz w:val="18"/>
          <w:szCs w:val="18"/>
          <w:lang w:val="de-DE"/>
        </w:rPr>
        <w:t xml:space="preserve"> einer Reihe von Maßnahmen</w:t>
      </w:r>
      <w:r w:rsidR="00E44D1A">
        <w:rPr>
          <w:rFonts w:cs="Arial"/>
          <w:sz w:val="18"/>
          <w:szCs w:val="18"/>
          <w:lang w:val="de-DE"/>
        </w:rPr>
        <w:t xml:space="preserve"> verbessert</w:t>
      </w:r>
      <w:r w:rsidR="00701E43">
        <w:rPr>
          <w:rFonts w:cs="Arial"/>
          <w:sz w:val="18"/>
          <w:szCs w:val="18"/>
          <w:lang w:val="de-DE"/>
        </w:rPr>
        <w:t xml:space="preserve">, die </w:t>
      </w:r>
      <w:r w:rsidR="00C50803">
        <w:rPr>
          <w:rFonts w:cs="Arial"/>
          <w:sz w:val="18"/>
          <w:szCs w:val="18"/>
          <w:lang w:val="de-DE"/>
        </w:rPr>
        <w:t xml:space="preserve">in Bezug auf </w:t>
      </w:r>
      <w:r w:rsidR="00211BBF">
        <w:rPr>
          <w:rFonts w:cs="Arial"/>
          <w:sz w:val="18"/>
          <w:szCs w:val="18"/>
          <w:lang w:val="de-DE"/>
        </w:rPr>
        <w:t>das Programm für Verbesserungen der PLUTO-</w:t>
      </w:r>
      <w:r w:rsidR="00211BBF" w:rsidRPr="002539B4">
        <w:rPr>
          <w:rFonts w:cs="Arial"/>
          <w:sz w:val="18"/>
          <w:szCs w:val="18"/>
          <w:lang w:val="de-DE"/>
        </w:rPr>
        <w:t>Datenbank</w:t>
      </w:r>
      <w:r w:rsidR="00E44D1A">
        <w:rPr>
          <w:rFonts w:cs="Arial"/>
          <w:sz w:val="18"/>
          <w:szCs w:val="18"/>
          <w:lang w:val="de-DE"/>
        </w:rPr>
        <w:t xml:space="preserve"> ergriffen wurden</w:t>
      </w:r>
      <w:r w:rsidR="00211BBF">
        <w:rPr>
          <w:rFonts w:cs="Arial"/>
          <w:sz w:val="18"/>
          <w:szCs w:val="18"/>
          <w:lang w:val="de-DE"/>
        </w:rPr>
        <w:t xml:space="preserve">. In einer neuen Initiative </w:t>
      </w:r>
      <w:r w:rsidR="00E44D1A">
        <w:rPr>
          <w:rFonts w:cs="Arial"/>
          <w:sz w:val="18"/>
          <w:szCs w:val="18"/>
          <w:lang w:val="de-DE"/>
        </w:rPr>
        <w:t xml:space="preserve">befürwortete der CAJ die </w:t>
      </w:r>
      <w:r w:rsidR="00967DBA" w:rsidRPr="00967DBA">
        <w:rPr>
          <w:rFonts w:cs="Arial"/>
          <w:sz w:val="18"/>
          <w:szCs w:val="18"/>
          <w:lang w:val="de-DE"/>
        </w:rPr>
        <w:t xml:space="preserve">Ausarbeitung eines Prototyps eines elektronischen Formblatts </w:t>
      </w:r>
      <w:r w:rsidR="00E44D1A">
        <w:rPr>
          <w:rFonts w:cs="Arial"/>
          <w:sz w:val="18"/>
          <w:szCs w:val="18"/>
          <w:lang w:val="de-DE"/>
        </w:rPr>
        <w:t>für interessierte Verbandsmitglieder.</w:t>
      </w:r>
      <w:r w:rsidR="00C50803">
        <w:rPr>
          <w:rFonts w:cs="Arial"/>
          <w:sz w:val="18"/>
          <w:szCs w:val="18"/>
          <w:lang w:val="de-DE"/>
        </w:rPr>
        <w:t xml:space="preserve"> </w:t>
      </w:r>
      <w:r>
        <w:rPr>
          <w:color w:val="000000"/>
          <w:sz w:val="18"/>
          <w:szCs w:val="18"/>
          <w:lang w:val="de-DE"/>
        </w:rPr>
        <w:t xml:space="preserve"> </w:t>
      </w:r>
    </w:p>
    <w:p w:rsidR="00687036" w:rsidRPr="006F4F04" w:rsidRDefault="00687036" w:rsidP="00052419">
      <w:pPr>
        <w:tabs>
          <w:tab w:val="left" w:pos="2410"/>
          <w:tab w:val="left" w:pos="4536"/>
          <w:tab w:val="left" w:pos="9072"/>
        </w:tabs>
        <w:rPr>
          <w:sz w:val="18"/>
          <w:szCs w:val="18"/>
          <w:lang w:val="de-DE"/>
        </w:rPr>
      </w:pPr>
    </w:p>
    <w:p w:rsidR="0099183A" w:rsidRPr="006F4F04" w:rsidRDefault="0099183A" w:rsidP="00052419">
      <w:pPr>
        <w:tabs>
          <w:tab w:val="left" w:pos="2410"/>
          <w:tab w:val="left" w:pos="4536"/>
          <w:tab w:val="left" w:pos="9072"/>
        </w:tabs>
        <w:rPr>
          <w:sz w:val="18"/>
          <w:szCs w:val="18"/>
          <w:lang w:val="de-DE"/>
        </w:rPr>
      </w:pPr>
    </w:p>
    <w:tbl>
      <w:tblPr>
        <w:tblW w:w="9889" w:type="dxa"/>
        <w:tblLayout w:type="fixed"/>
        <w:tblLook w:val="0000" w:firstRow="0" w:lastRow="0" w:firstColumn="0" w:lastColumn="0" w:noHBand="0" w:noVBand="0"/>
      </w:tblPr>
      <w:tblGrid>
        <w:gridCol w:w="2093"/>
        <w:gridCol w:w="7796"/>
      </w:tblGrid>
      <w:tr w:rsidR="00C74C0E" w:rsidRPr="00DE5DFD" w:rsidTr="002874C7">
        <w:tc>
          <w:tcPr>
            <w:tcW w:w="2093" w:type="dxa"/>
          </w:tcPr>
          <w:p w:rsidR="00C74C0E" w:rsidRPr="006054BD" w:rsidRDefault="00A71FDD" w:rsidP="000476CE">
            <w:pPr>
              <w:pStyle w:val="Heading5"/>
            </w:pPr>
            <w:bookmarkStart w:id="73" w:name="_Toc336331193"/>
            <w:bookmarkStart w:id="74" w:name="_Toc336339183"/>
            <w:bookmarkStart w:id="75" w:name="_Toc368400533"/>
            <w:r>
              <w:t>Ziele</w:t>
            </w:r>
            <w:r w:rsidR="00C74C0E" w:rsidRPr="006054BD">
              <w:t>:</w:t>
            </w:r>
            <w:bookmarkEnd w:id="73"/>
            <w:bookmarkEnd w:id="74"/>
            <w:bookmarkEnd w:id="75"/>
          </w:p>
        </w:tc>
        <w:tc>
          <w:tcPr>
            <w:tcW w:w="7796" w:type="dxa"/>
            <w:vAlign w:val="center"/>
          </w:tcPr>
          <w:p w:rsidR="00444961" w:rsidRPr="00444961" w:rsidRDefault="00444961" w:rsidP="00444961">
            <w:pPr>
              <w:keepNext/>
              <w:keepLines/>
              <w:widowControl w:val="0"/>
              <w:numPr>
                <w:ilvl w:val="0"/>
                <w:numId w:val="18"/>
              </w:numPr>
              <w:jc w:val="left"/>
              <w:rPr>
                <w:sz w:val="18"/>
                <w:szCs w:val="18"/>
                <w:lang w:val="de-DE"/>
              </w:rPr>
            </w:pPr>
            <w:r w:rsidRPr="00444961">
              <w:rPr>
                <w:sz w:val="18"/>
                <w:szCs w:val="18"/>
                <w:lang w:val="de-DE"/>
              </w:rPr>
              <w:t>Wahrung und Verbesserung der Wirksamkeit des UPOV-Systems.</w:t>
            </w:r>
          </w:p>
          <w:p w:rsidR="00C74C0E" w:rsidRPr="00444961" w:rsidRDefault="00444961" w:rsidP="00444961">
            <w:pPr>
              <w:keepNext/>
              <w:keepLines/>
              <w:widowControl w:val="0"/>
              <w:numPr>
                <w:ilvl w:val="0"/>
                <w:numId w:val="18"/>
              </w:numPr>
              <w:jc w:val="left"/>
              <w:rPr>
                <w:b/>
                <w:i/>
                <w:sz w:val="18"/>
                <w:szCs w:val="18"/>
                <w:lang w:val="de-DE"/>
              </w:rPr>
            </w:pPr>
            <w:r w:rsidRPr="00444961">
              <w:rPr>
                <w:sz w:val="18"/>
                <w:szCs w:val="18"/>
                <w:lang w:val="de-DE"/>
              </w:rPr>
              <w:t>Bereitstellung und Entwicklung der rechtlichen</w:t>
            </w:r>
            <w:r w:rsidR="00885F53">
              <w:rPr>
                <w:sz w:val="18"/>
                <w:szCs w:val="18"/>
                <w:lang w:val="de-DE"/>
              </w:rPr>
              <w:t>, administrativen</w:t>
            </w:r>
            <w:r w:rsidRPr="00444961">
              <w:rPr>
                <w:sz w:val="18"/>
                <w:szCs w:val="18"/>
                <w:lang w:val="de-DE"/>
              </w:rPr>
              <w:t xml:space="preserve"> und technischen Grundlage für die internationale Zusammenarbeit auf dem Gebiet des Sortenschutzes nach dem UPOV</w:t>
            </w:r>
            <w:r w:rsidRPr="00444961">
              <w:rPr>
                <w:rFonts w:ascii="MS Gothic" w:eastAsia="MS Gothic" w:hAnsi="MS Gothic" w:cs="MS Gothic" w:hint="eastAsia"/>
                <w:sz w:val="18"/>
                <w:szCs w:val="18"/>
                <w:lang w:val="de-DE"/>
              </w:rPr>
              <w:t>‑</w:t>
            </w:r>
            <w:r w:rsidRPr="00444961">
              <w:rPr>
                <w:rFonts w:cs="Arial"/>
                <w:sz w:val="18"/>
                <w:szCs w:val="18"/>
                <w:lang w:val="de-DE"/>
              </w:rPr>
              <w:t>Übereinkommen</w:t>
            </w:r>
            <w:r w:rsidR="00C74C0E" w:rsidRPr="00444961">
              <w:rPr>
                <w:sz w:val="18"/>
                <w:szCs w:val="18"/>
                <w:lang w:val="de-DE"/>
              </w:rPr>
              <w:t>.</w:t>
            </w:r>
          </w:p>
        </w:tc>
      </w:tr>
    </w:tbl>
    <w:p w:rsidR="00C74C0E" w:rsidRPr="00444961" w:rsidRDefault="00C74C0E" w:rsidP="00C74C0E">
      <w:pPr>
        <w:rPr>
          <w:sz w:val="18"/>
          <w:szCs w:val="18"/>
          <w:lang w:val="de-DE"/>
        </w:rPr>
      </w:pPr>
    </w:p>
    <w:p w:rsidR="0099183A" w:rsidRPr="00444961" w:rsidRDefault="0099183A" w:rsidP="00C74C0E">
      <w:pPr>
        <w:rPr>
          <w:sz w:val="18"/>
          <w:szCs w:val="18"/>
          <w:lang w:val="de-DE"/>
        </w:rPr>
      </w:pPr>
    </w:p>
    <w:tbl>
      <w:tblPr>
        <w:tblW w:w="9889" w:type="dxa"/>
        <w:tblLayout w:type="fixed"/>
        <w:tblLook w:val="0000" w:firstRow="0" w:lastRow="0" w:firstColumn="0" w:lastColumn="0" w:noHBand="0" w:noVBand="0"/>
      </w:tblPr>
      <w:tblGrid>
        <w:gridCol w:w="2093"/>
        <w:gridCol w:w="7796"/>
      </w:tblGrid>
      <w:tr w:rsidR="00C74C0E" w:rsidRPr="006054BD" w:rsidTr="002874C7">
        <w:tc>
          <w:tcPr>
            <w:tcW w:w="2093" w:type="dxa"/>
            <w:shd w:val="clear" w:color="auto" w:fill="auto"/>
          </w:tcPr>
          <w:p w:rsidR="00C74C0E" w:rsidRPr="006054BD" w:rsidRDefault="00A71FDD" w:rsidP="000476CE">
            <w:pPr>
              <w:pStyle w:val="Heading5"/>
            </w:pPr>
            <w:bookmarkStart w:id="76" w:name="_Toc368400534"/>
            <w:r>
              <w:t>Erwartete Ergebnisse</w:t>
            </w:r>
            <w:bookmarkEnd w:id="76"/>
          </w:p>
        </w:tc>
        <w:tc>
          <w:tcPr>
            <w:tcW w:w="7796" w:type="dxa"/>
            <w:shd w:val="clear" w:color="auto" w:fill="auto"/>
          </w:tcPr>
          <w:p w:rsidR="00C74C0E" w:rsidRPr="006054BD" w:rsidRDefault="00A71FDD" w:rsidP="00C74C0E">
            <w:pPr>
              <w:pStyle w:val="Heading7"/>
            </w:pPr>
            <w:bookmarkStart w:id="77" w:name="_Toc336331195"/>
            <w:bookmarkStart w:id="78" w:name="_Toc336339185"/>
            <w:bookmarkStart w:id="79" w:name="_Toc368400535"/>
            <w:r>
              <w:t>Erzielte Ergebnisse</w:t>
            </w:r>
            <w:r w:rsidR="00C74C0E" w:rsidRPr="006054BD">
              <w:t xml:space="preserve">:  </w:t>
            </w:r>
            <w:r>
              <w:t>Ausgewählte Planerfüllungsindikatoren</w:t>
            </w:r>
            <w:bookmarkEnd w:id="77"/>
            <w:bookmarkEnd w:id="78"/>
            <w:bookmarkEnd w:id="79"/>
          </w:p>
        </w:tc>
      </w:tr>
      <w:tr w:rsidR="00C74C0E" w:rsidRPr="00DE5DFD" w:rsidTr="002874C7">
        <w:tc>
          <w:tcPr>
            <w:tcW w:w="2093" w:type="dxa"/>
            <w:shd w:val="clear" w:color="auto" w:fill="auto"/>
          </w:tcPr>
          <w:p w:rsidR="00C74C0E" w:rsidRPr="00444961" w:rsidRDefault="00C74C0E" w:rsidP="00114294">
            <w:pPr>
              <w:pStyle w:val="Heading6"/>
              <w:rPr>
                <w:b/>
                <w:lang w:val="de-DE"/>
              </w:rPr>
            </w:pPr>
            <w:bookmarkStart w:id="80" w:name="_Toc336331196"/>
            <w:bookmarkStart w:id="81" w:name="_Toc336339186"/>
            <w:bookmarkStart w:id="82" w:name="_Toc368400536"/>
            <w:r w:rsidRPr="00126859">
              <w:rPr>
                <w:lang w:val="de-DE"/>
              </w:rPr>
              <w:t>1.  </w:t>
            </w:r>
            <w:r w:rsidR="00444961" w:rsidRPr="00444961">
              <w:rPr>
                <w:lang w:val="de-DE"/>
              </w:rPr>
              <w:t xml:space="preserve">Anleitung zum </w:t>
            </w:r>
            <w:r w:rsidR="00444961" w:rsidRPr="002874C7">
              <w:rPr>
                <w:spacing w:val="-2"/>
                <w:lang w:val="de-DE"/>
              </w:rPr>
              <w:t>UPOV-Übereinkommen</w:t>
            </w:r>
            <w:r w:rsidR="00444961" w:rsidRPr="00444961">
              <w:rPr>
                <w:lang w:val="de-DE"/>
              </w:rPr>
              <w:t xml:space="preserve"> und seiner Umsetzung sowie Informationen zu seiner Anwendung</w:t>
            </w:r>
            <w:bookmarkEnd w:id="80"/>
            <w:bookmarkEnd w:id="81"/>
            <w:bookmarkEnd w:id="82"/>
          </w:p>
        </w:tc>
        <w:tc>
          <w:tcPr>
            <w:tcW w:w="7796" w:type="dxa"/>
            <w:shd w:val="clear" w:color="auto" w:fill="auto"/>
          </w:tcPr>
          <w:p w:rsidR="00C74C0E" w:rsidRPr="006607E5" w:rsidRDefault="00E163EA" w:rsidP="00885F53">
            <w:pPr>
              <w:pStyle w:val="Heading8"/>
              <w:rPr>
                <w:szCs w:val="18"/>
                <w:lang w:val="de-DE"/>
              </w:rPr>
            </w:pPr>
            <w:bookmarkStart w:id="83" w:name="_Toc336331197"/>
            <w:bookmarkStart w:id="84" w:name="_Toc336339187"/>
            <w:bookmarkStart w:id="85" w:name="_Toc368400537"/>
            <w:r w:rsidRPr="006607E5">
              <w:rPr>
                <w:szCs w:val="18"/>
                <w:lang w:val="de-DE"/>
              </w:rPr>
              <w:t>(a)</w:t>
            </w:r>
            <w:r w:rsidR="00C74C0E" w:rsidRPr="006607E5">
              <w:rPr>
                <w:szCs w:val="18"/>
                <w:lang w:val="de-DE"/>
              </w:rPr>
              <w:t>  </w:t>
            </w:r>
            <w:r w:rsidR="00967DBA" w:rsidRPr="006607E5">
              <w:rPr>
                <w:color w:val="000000"/>
                <w:szCs w:val="18"/>
                <w:lang w:val="de-DE"/>
              </w:rPr>
              <w:t>Annahme von neuem oder überarbeitetem Informationsmaterial zum UPOV</w:t>
            </w:r>
            <w:r w:rsidR="00967DBA" w:rsidRPr="006607E5">
              <w:rPr>
                <w:color w:val="000000"/>
                <w:szCs w:val="18"/>
                <w:lang w:val="de-DE"/>
              </w:rPr>
              <w:noBreakHyphen/>
              <w:t>Übereinkommen</w:t>
            </w:r>
            <w:bookmarkEnd w:id="83"/>
            <w:bookmarkEnd w:id="84"/>
            <w:bookmarkEnd w:id="85"/>
          </w:p>
          <w:p w:rsidR="00C74C0E" w:rsidRPr="006607E5" w:rsidRDefault="00444961" w:rsidP="00444961">
            <w:pPr>
              <w:keepNext/>
              <w:keepLines/>
              <w:numPr>
                <w:ilvl w:val="0"/>
                <w:numId w:val="19"/>
              </w:numPr>
              <w:spacing w:after="120"/>
              <w:ind w:left="357" w:right="176" w:hanging="357"/>
              <w:jc w:val="left"/>
              <w:rPr>
                <w:color w:val="000000"/>
                <w:sz w:val="18"/>
                <w:szCs w:val="18"/>
                <w:lang w:val="de-DE"/>
              </w:rPr>
            </w:pPr>
            <w:r w:rsidRPr="006607E5">
              <w:rPr>
                <w:color w:val="000000"/>
                <w:sz w:val="18"/>
                <w:szCs w:val="18"/>
                <w:lang w:val="de-DE"/>
              </w:rPr>
              <w:t>Vom Rat im Jahr 2012 angenommene Informationsmaterialien</w:t>
            </w:r>
            <w:r w:rsidR="00C74C0E" w:rsidRPr="006607E5">
              <w:rPr>
                <w:color w:val="000000"/>
                <w:sz w:val="18"/>
                <w:szCs w:val="18"/>
                <w:lang w:val="de-DE"/>
              </w:rPr>
              <w:t xml:space="preserve"> </w:t>
            </w:r>
            <w:r w:rsidRPr="006607E5">
              <w:rPr>
                <w:color w:val="000000"/>
                <w:sz w:val="18"/>
                <w:szCs w:val="18"/>
                <w:lang w:val="de-DE"/>
              </w:rPr>
              <w:t>betreffend</w:t>
            </w:r>
            <w:r w:rsidR="00C74C0E" w:rsidRPr="006607E5">
              <w:rPr>
                <w:color w:val="000000"/>
                <w:sz w:val="18"/>
                <w:szCs w:val="18"/>
                <w:lang w:val="de-DE"/>
              </w:rPr>
              <w:t xml:space="preserve"> </w:t>
            </w:r>
            <w:r w:rsidRPr="006607E5">
              <w:rPr>
                <w:color w:val="000000"/>
                <w:sz w:val="18"/>
                <w:szCs w:val="18"/>
                <w:lang w:val="de-DE"/>
              </w:rPr>
              <w:t>das</w:t>
            </w:r>
            <w:r w:rsidR="00C74C0E" w:rsidRPr="006607E5">
              <w:rPr>
                <w:color w:val="000000"/>
                <w:sz w:val="18"/>
                <w:szCs w:val="18"/>
                <w:lang w:val="de-DE"/>
              </w:rPr>
              <w:t xml:space="preserve"> </w:t>
            </w:r>
            <w:r w:rsidRPr="006607E5">
              <w:rPr>
                <w:color w:val="000000"/>
                <w:sz w:val="18"/>
                <w:szCs w:val="18"/>
                <w:lang w:val="de-DE"/>
              </w:rPr>
              <w:t>UPOV-Übereinkommen</w:t>
            </w:r>
          </w:p>
          <w:p w:rsidR="004639D2" w:rsidRPr="006607E5" w:rsidRDefault="004639D2" w:rsidP="004639D2">
            <w:pPr>
              <w:tabs>
                <w:tab w:val="num" w:pos="2160"/>
              </w:tabs>
              <w:spacing w:after="120"/>
              <w:ind w:left="2160" w:hanging="1593"/>
              <w:jc w:val="left"/>
              <w:rPr>
                <w:sz w:val="18"/>
                <w:szCs w:val="18"/>
                <w:lang w:val="de-DE"/>
              </w:rPr>
            </w:pPr>
            <w:r w:rsidRPr="006607E5">
              <w:rPr>
                <w:sz w:val="18"/>
                <w:szCs w:val="18"/>
                <w:lang w:val="de-DE"/>
              </w:rPr>
              <w:t>UPOV/INF/4/2</w:t>
            </w:r>
            <w:r w:rsidRPr="006607E5">
              <w:rPr>
                <w:sz w:val="18"/>
                <w:szCs w:val="18"/>
                <w:lang w:val="de-DE"/>
              </w:rPr>
              <w:tab/>
            </w:r>
            <w:r w:rsidR="00B651B2" w:rsidRPr="006607E5">
              <w:rPr>
                <w:sz w:val="18"/>
                <w:szCs w:val="18"/>
                <w:lang w:val="de-DE"/>
              </w:rPr>
              <w:t>Finanzordnung und ihre Durchführungsbestimmungen der UPOV</w:t>
            </w:r>
            <w:r w:rsidRPr="006607E5">
              <w:rPr>
                <w:sz w:val="18"/>
                <w:szCs w:val="18"/>
                <w:lang w:val="de-DE"/>
              </w:rPr>
              <w:t xml:space="preserve"> (</w:t>
            </w:r>
            <w:r w:rsidR="00B651B2" w:rsidRPr="006607E5">
              <w:rPr>
                <w:sz w:val="18"/>
                <w:szCs w:val="18"/>
                <w:lang w:val="de-DE"/>
              </w:rPr>
              <w:t>Überarbeitung</w:t>
            </w:r>
            <w:r w:rsidRPr="006607E5">
              <w:rPr>
                <w:sz w:val="18"/>
                <w:szCs w:val="18"/>
                <w:lang w:val="de-DE"/>
              </w:rPr>
              <w:t xml:space="preserve">) </w:t>
            </w:r>
          </w:p>
          <w:p w:rsidR="004639D2" w:rsidRPr="006607E5" w:rsidRDefault="004639D2" w:rsidP="004639D2">
            <w:pPr>
              <w:tabs>
                <w:tab w:val="num" w:pos="2160"/>
              </w:tabs>
              <w:spacing w:after="120"/>
              <w:ind w:left="2160" w:hanging="1593"/>
              <w:jc w:val="left"/>
              <w:rPr>
                <w:sz w:val="18"/>
                <w:szCs w:val="18"/>
                <w:lang w:val="de-DE"/>
              </w:rPr>
            </w:pPr>
            <w:r w:rsidRPr="006607E5">
              <w:rPr>
                <w:sz w:val="18"/>
                <w:szCs w:val="18"/>
                <w:lang w:val="de-DE"/>
              </w:rPr>
              <w:t>UPOV/INF/12/4</w:t>
            </w:r>
            <w:r w:rsidRPr="006607E5">
              <w:rPr>
                <w:sz w:val="18"/>
                <w:szCs w:val="18"/>
                <w:lang w:val="de-DE"/>
              </w:rPr>
              <w:tab/>
            </w:r>
            <w:r w:rsidR="00B651B2" w:rsidRPr="006607E5">
              <w:rPr>
                <w:sz w:val="18"/>
                <w:szCs w:val="18"/>
                <w:lang w:val="de-DE"/>
              </w:rPr>
              <w:t>Erläuterungen zu Sortenbezeichnungen nach dem UPOV-Übereinkommen</w:t>
            </w:r>
            <w:r w:rsidRPr="006607E5">
              <w:rPr>
                <w:sz w:val="18"/>
                <w:szCs w:val="18"/>
                <w:lang w:val="de-DE"/>
              </w:rPr>
              <w:t xml:space="preserve"> (</w:t>
            </w:r>
            <w:r w:rsidR="00B651B2" w:rsidRPr="006607E5">
              <w:rPr>
                <w:sz w:val="18"/>
                <w:szCs w:val="18"/>
                <w:lang w:val="de-DE"/>
              </w:rPr>
              <w:t>Überarbeitung</w:t>
            </w:r>
            <w:r w:rsidRPr="006607E5">
              <w:rPr>
                <w:sz w:val="18"/>
                <w:szCs w:val="18"/>
                <w:lang w:val="de-DE"/>
              </w:rPr>
              <w:t>)</w:t>
            </w:r>
          </w:p>
          <w:p w:rsidR="004639D2" w:rsidRPr="006607E5" w:rsidRDefault="004639D2" w:rsidP="004639D2">
            <w:pPr>
              <w:tabs>
                <w:tab w:val="num" w:pos="2160"/>
              </w:tabs>
              <w:spacing w:after="120"/>
              <w:ind w:left="2160" w:hanging="1593"/>
              <w:jc w:val="left"/>
              <w:rPr>
                <w:sz w:val="18"/>
                <w:szCs w:val="18"/>
                <w:lang w:val="de-DE"/>
              </w:rPr>
            </w:pPr>
            <w:r w:rsidRPr="006607E5">
              <w:rPr>
                <w:sz w:val="18"/>
                <w:szCs w:val="18"/>
                <w:lang w:val="de-DE"/>
              </w:rPr>
              <w:t>UPOV/INF/19/1</w:t>
            </w:r>
            <w:r w:rsidRPr="006607E5">
              <w:rPr>
                <w:sz w:val="18"/>
                <w:szCs w:val="18"/>
                <w:lang w:val="de-DE"/>
              </w:rPr>
              <w:tab/>
            </w:r>
            <w:r w:rsidR="00B651B2" w:rsidRPr="006607E5">
              <w:rPr>
                <w:sz w:val="18"/>
                <w:szCs w:val="18"/>
                <w:lang w:val="de-DE"/>
              </w:rPr>
              <w:t>Regeln für die Erteilung des Beobachterstatus an Staaten, zwischenstaatliche Organisationen und internationale Nichtregierungsorganisationen bei UPOV-Organen</w:t>
            </w:r>
            <w:r w:rsidR="006607E5" w:rsidRPr="006607E5">
              <w:rPr>
                <w:sz w:val="18"/>
                <w:szCs w:val="18"/>
                <w:lang w:val="de-DE"/>
              </w:rPr>
              <w:t xml:space="preserve"> </w:t>
            </w:r>
            <w:r w:rsidRPr="006607E5">
              <w:rPr>
                <w:sz w:val="18"/>
                <w:szCs w:val="18"/>
                <w:lang w:val="de-DE"/>
              </w:rPr>
              <w:t>(</w:t>
            </w:r>
            <w:r w:rsidR="00B651B2" w:rsidRPr="006607E5">
              <w:rPr>
                <w:sz w:val="18"/>
                <w:szCs w:val="18"/>
                <w:lang w:val="de-DE"/>
              </w:rPr>
              <w:t>Überarbeitung</w:t>
            </w:r>
            <w:r w:rsidRPr="006607E5">
              <w:rPr>
                <w:sz w:val="18"/>
                <w:szCs w:val="18"/>
                <w:lang w:val="de-DE"/>
              </w:rPr>
              <w:t>)</w:t>
            </w:r>
          </w:p>
          <w:p w:rsidR="004639D2" w:rsidRPr="006607E5" w:rsidRDefault="004639D2" w:rsidP="004639D2">
            <w:pPr>
              <w:tabs>
                <w:tab w:val="num" w:pos="2160"/>
              </w:tabs>
              <w:spacing w:after="120"/>
              <w:ind w:left="2160" w:hanging="1593"/>
              <w:jc w:val="left"/>
              <w:rPr>
                <w:sz w:val="18"/>
                <w:szCs w:val="18"/>
                <w:lang w:val="de-DE"/>
              </w:rPr>
            </w:pPr>
            <w:r w:rsidRPr="006607E5">
              <w:rPr>
                <w:sz w:val="18"/>
                <w:szCs w:val="18"/>
                <w:lang w:val="de-DE"/>
              </w:rPr>
              <w:t>UPOV/INF/20/1</w:t>
            </w:r>
            <w:r w:rsidRPr="006607E5">
              <w:rPr>
                <w:sz w:val="18"/>
                <w:szCs w:val="18"/>
                <w:lang w:val="de-DE"/>
              </w:rPr>
              <w:tab/>
            </w:r>
            <w:r w:rsidR="00B651B2" w:rsidRPr="006607E5">
              <w:rPr>
                <w:sz w:val="18"/>
                <w:szCs w:val="18"/>
                <w:lang w:val="de-DE"/>
              </w:rPr>
              <w:t>Regeln für den Zugang zu UPOV-Dokumenten</w:t>
            </w:r>
            <w:r w:rsidRPr="006607E5">
              <w:rPr>
                <w:sz w:val="18"/>
                <w:szCs w:val="18"/>
                <w:lang w:val="de-DE"/>
              </w:rPr>
              <w:t xml:space="preserve"> (</w:t>
            </w:r>
            <w:r w:rsidR="00B651B2" w:rsidRPr="006607E5">
              <w:rPr>
                <w:sz w:val="18"/>
                <w:szCs w:val="18"/>
                <w:lang w:val="de-DE"/>
              </w:rPr>
              <w:t>Überarbeitung</w:t>
            </w:r>
            <w:r w:rsidRPr="006607E5">
              <w:rPr>
                <w:sz w:val="18"/>
                <w:szCs w:val="18"/>
                <w:lang w:val="de-DE"/>
              </w:rPr>
              <w:t>)</w:t>
            </w:r>
          </w:p>
          <w:p w:rsidR="004639D2" w:rsidRPr="006607E5" w:rsidRDefault="004639D2" w:rsidP="004639D2">
            <w:pPr>
              <w:tabs>
                <w:tab w:val="num" w:pos="2160"/>
              </w:tabs>
              <w:spacing w:after="120"/>
              <w:ind w:left="2160" w:hanging="1593"/>
              <w:jc w:val="left"/>
              <w:rPr>
                <w:sz w:val="18"/>
                <w:szCs w:val="18"/>
                <w:lang w:val="de-DE"/>
              </w:rPr>
            </w:pPr>
            <w:r w:rsidRPr="006607E5">
              <w:rPr>
                <w:sz w:val="18"/>
                <w:szCs w:val="18"/>
                <w:lang w:val="de-DE"/>
              </w:rPr>
              <w:t>UPOV/INF/21/1</w:t>
            </w:r>
            <w:r w:rsidRPr="006607E5">
              <w:rPr>
                <w:sz w:val="18"/>
                <w:szCs w:val="18"/>
                <w:lang w:val="de-DE"/>
              </w:rPr>
              <w:tab/>
            </w:r>
            <w:r w:rsidR="00B651B2" w:rsidRPr="006607E5">
              <w:rPr>
                <w:sz w:val="18"/>
                <w:szCs w:val="18"/>
                <w:lang w:val="de-DE"/>
              </w:rPr>
              <w:t>Alternative Mechanismen zur Streitbeilegung</w:t>
            </w:r>
          </w:p>
          <w:p w:rsidR="004639D2" w:rsidRPr="006607E5" w:rsidRDefault="004639D2" w:rsidP="004639D2">
            <w:pPr>
              <w:tabs>
                <w:tab w:val="num" w:pos="2160"/>
              </w:tabs>
              <w:spacing w:after="120"/>
              <w:ind w:left="2160" w:hanging="1593"/>
              <w:jc w:val="left"/>
              <w:rPr>
                <w:sz w:val="18"/>
                <w:szCs w:val="18"/>
                <w:lang w:val="de-DE"/>
              </w:rPr>
            </w:pPr>
            <w:r w:rsidRPr="006607E5">
              <w:rPr>
                <w:sz w:val="18"/>
                <w:szCs w:val="18"/>
                <w:lang w:val="de-DE"/>
              </w:rPr>
              <w:t>UPOV/INF-EXN/2</w:t>
            </w:r>
            <w:r w:rsidRPr="006607E5">
              <w:rPr>
                <w:sz w:val="18"/>
                <w:szCs w:val="18"/>
                <w:lang w:val="de-DE"/>
              </w:rPr>
              <w:tab/>
            </w:r>
            <w:r w:rsidR="00B651B2" w:rsidRPr="006607E5">
              <w:rPr>
                <w:sz w:val="18"/>
                <w:szCs w:val="18"/>
                <w:lang w:val="de-DE"/>
              </w:rPr>
              <w:t>Liste der UPOV/INF-EXN-Dokumente und Datum der jüngsten Ausgabe</w:t>
            </w:r>
            <w:r w:rsidRPr="006607E5">
              <w:rPr>
                <w:sz w:val="18"/>
                <w:szCs w:val="18"/>
                <w:lang w:val="de-DE"/>
              </w:rPr>
              <w:t xml:space="preserve"> (</w:t>
            </w:r>
            <w:r w:rsidR="00B651B2" w:rsidRPr="006607E5">
              <w:rPr>
                <w:sz w:val="18"/>
                <w:szCs w:val="18"/>
                <w:lang w:val="de-DE"/>
              </w:rPr>
              <w:t>Überarbeitung</w:t>
            </w:r>
            <w:r w:rsidRPr="006607E5">
              <w:rPr>
                <w:sz w:val="18"/>
                <w:szCs w:val="18"/>
                <w:lang w:val="de-DE"/>
              </w:rPr>
              <w:t xml:space="preserve">) </w:t>
            </w:r>
          </w:p>
          <w:p w:rsidR="004639D2" w:rsidRPr="006607E5" w:rsidRDefault="004639D2" w:rsidP="004639D2">
            <w:pPr>
              <w:tabs>
                <w:tab w:val="num" w:pos="2160"/>
              </w:tabs>
              <w:spacing w:after="120"/>
              <w:ind w:left="2160" w:hanging="1593"/>
              <w:jc w:val="left"/>
              <w:rPr>
                <w:sz w:val="18"/>
                <w:szCs w:val="18"/>
                <w:lang w:val="de-DE"/>
              </w:rPr>
            </w:pPr>
            <w:r w:rsidRPr="006607E5">
              <w:rPr>
                <w:sz w:val="18"/>
                <w:szCs w:val="18"/>
                <w:lang w:val="de-DE"/>
              </w:rPr>
              <w:t>UPOV/INF-EXN/3</w:t>
            </w:r>
            <w:r w:rsidRPr="006607E5">
              <w:rPr>
                <w:sz w:val="18"/>
                <w:szCs w:val="18"/>
                <w:lang w:val="de-DE"/>
              </w:rPr>
              <w:tab/>
            </w:r>
            <w:r w:rsidR="00B651B2" w:rsidRPr="006607E5">
              <w:rPr>
                <w:sz w:val="18"/>
                <w:szCs w:val="18"/>
                <w:lang w:val="de-DE"/>
              </w:rPr>
              <w:t>Liste der UPOV/INF-EXN-Dokumente und Datum der jüngsten Ausgabe</w:t>
            </w:r>
            <w:r w:rsidRPr="006607E5">
              <w:rPr>
                <w:sz w:val="18"/>
                <w:szCs w:val="18"/>
                <w:lang w:val="de-DE"/>
              </w:rPr>
              <w:t xml:space="preserve"> (</w:t>
            </w:r>
            <w:r w:rsidR="00B651B2" w:rsidRPr="006607E5">
              <w:rPr>
                <w:sz w:val="18"/>
                <w:szCs w:val="18"/>
                <w:lang w:val="de-DE"/>
              </w:rPr>
              <w:t>Überarbeitung</w:t>
            </w:r>
            <w:r w:rsidRPr="006607E5">
              <w:rPr>
                <w:sz w:val="18"/>
                <w:szCs w:val="18"/>
                <w:lang w:val="de-DE"/>
              </w:rPr>
              <w:t>)</w:t>
            </w:r>
          </w:p>
          <w:p w:rsidR="00C74C0E" w:rsidRPr="006607E5" w:rsidRDefault="00B651B2" w:rsidP="006607E5">
            <w:pPr>
              <w:keepNext/>
              <w:keepLines/>
              <w:numPr>
                <w:ilvl w:val="0"/>
                <w:numId w:val="19"/>
              </w:numPr>
              <w:spacing w:before="120" w:after="120"/>
              <w:ind w:left="357" w:right="176" w:hanging="357"/>
              <w:jc w:val="left"/>
              <w:rPr>
                <w:color w:val="000000"/>
                <w:sz w:val="18"/>
                <w:szCs w:val="18"/>
                <w:lang w:val="de-DE"/>
              </w:rPr>
            </w:pPr>
            <w:r w:rsidRPr="006607E5">
              <w:rPr>
                <w:color w:val="000000"/>
                <w:sz w:val="18"/>
                <w:szCs w:val="18"/>
                <w:lang w:val="de-DE"/>
              </w:rPr>
              <w:t>Folgende Dokumente wurden im Jahr 2012 vo</w:t>
            </w:r>
            <w:r w:rsidR="006607E5" w:rsidRPr="006607E5">
              <w:rPr>
                <w:color w:val="000000"/>
                <w:sz w:val="18"/>
                <w:szCs w:val="18"/>
                <w:lang w:val="de-DE"/>
              </w:rPr>
              <w:t>n der</w:t>
            </w:r>
            <w:r w:rsidR="00C74C0E" w:rsidRPr="006607E5">
              <w:rPr>
                <w:color w:val="000000"/>
                <w:sz w:val="18"/>
                <w:szCs w:val="18"/>
                <w:lang w:val="de-DE"/>
              </w:rPr>
              <w:t xml:space="preserve"> CAJ</w:t>
            </w:r>
            <w:r w:rsidR="006607E5" w:rsidRPr="006607E5">
              <w:rPr>
                <w:color w:val="000000"/>
                <w:sz w:val="18"/>
                <w:szCs w:val="18"/>
                <w:lang w:val="de-DE"/>
              </w:rPr>
              <w:t>-AG</w:t>
            </w:r>
            <w:r w:rsidR="00C74C0E" w:rsidRPr="006607E5">
              <w:rPr>
                <w:color w:val="000000"/>
                <w:sz w:val="18"/>
                <w:szCs w:val="18"/>
                <w:lang w:val="de-DE"/>
              </w:rPr>
              <w:t xml:space="preserve"> </w:t>
            </w:r>
            <w:r w:rsidRPr="006607E5">
              <w:rPr>
                <w:color w:val="000000"/>
                <w:sz w:val="18"/>
                <w:szCs w:val="18"/>
                <w:lang w:val="de-DE"/>
              </w:rPr>
              <w:t>geprüft</w:t>
            </w:r>
            <w:r w:rsidR="00C74C0E" w:rsidRPr="006607E5">
              <w:rPr>
                <w:color w:val="000000"/>
                <w:sz w:val="18"/>
                <w:szCs w:val="18"/>
                <w:lang w:val="de-DE"/>
              </w:rPr>
              <w:t>:</w:t>
            </w:r>
          </w:p>
          <w:p w:rsidR="00F72329" w:rsidRPr="006607E5" w:rsidRDefault="00F72329" w:rsidP="00C74C0E">
            <w:pPr>
              <w:tabs>
                <w:tab w:val="num" w:pos="2160"/>
              </w:tabs>
              <w:spacing w:after="120"/>
              <w:ind w:left="2160" w:hanging="1593"/>
              <w:jc w:val="left"/>
              <w:rPr>
                <w:sz w:val="18"/>
                <w:szCs w:val="18"/>
                <w:lang w:val="de-DE"/>
              </w:rPr>
            </w:pPr>
            <w:r w:rsidRPr="006607E5">
              <w:rPr>
                <w:sz w:val="18"/>
                <w:szCs w:val="18"/>
                <w:lang w:val="de-DE"/>
              </w:rPr>
              <w:t>UPOV/INF/15</w:t>
            </w:r>
            <w:r w:rsidRPr="006607E5">
              <w:rPr>
                <w:sz w:val="18"/>
                <w:szCs w:val="18"/>
                <w:lang w:val="de-DE"/>
              </w:rPr>
              <w:tab/>
            </w:r>
            <w:r w:rsidR="00B651B2" w:rsidRPr="006607E5">
              <w:rPr>
                <w:sz w:val="18"/>
                <w:szCs w:val="18"/>
                <w:lang w:val="de-DE"/>
              </w:rPr>
              <w:t>Anleitung über die laufenden Verpflichtungen der Verbandsmitglieder und die damit verbundenen Notifizierungen und über die Erteilung von Auskünften zur Erleichterung der Zusammenarbeit</w:t>
            </w:r>
          </w:p>
          <w:p w:rsidR="00F72329" w:rsidRPr="006607E5" w:rsidRDefault="004639D2" w:rsidP="00C74C0E">
            <w:pPr>
              <w:tabs>
                <w:tab w:val="num" w:pos="2160"/>
              </w:tabs>
              <w:spacing w:after="120"/>
              <w:ind w:left="2160" w:hanging="1593"/>
              <w:jc w:val="left"/>
              <w:rPr>
                <w:sz w:val="18"/>
                <w:szCs w:val="18"/>
                <w:lang w:val="de-DE"/>
              </w:rPr>
            </w:pPr>
            <w:r w:rsidRPr="006607E5">
              <w:rPr>
                <w:sz w:val="18"/>
                <w:szCs w:val="18"/>
                <w:lang w:val="de-DE"/>
              </w:rPr>
              <w:t>UPOV/INF/ADS</w:t>
            </w:r>
            <w:r w:rsidRPr="006607E5">
              <w:rPr>
                <w:sz w:val="18"/>
                <w:szCs w:val="18"/>
                <w:lang w:val="de-DE"/>
              </w:rPr>
              <w:tab/>
            </w:r>
            <w:r w:rsidR="00B651B2" w:rsidRPr="006607E5">
              <w:rPr>
                <w:sz w:val="18"/>
                <w:szCs w:val="18"/>
                <w:lang w:val="de-DE"/>
              </w:rPr>
              <w:t>Alternative Mechanismen zur Streitbeilegung</w:t>
            </w:r>
          </w:p>
          <w:p w:rsidR="00446FF0" w:rsidRPr="006607E5" w:rsidRDefault="00B651B2" w:rsidP="00446FF0">
            <w:pPr>
              <w:keepNext/>
              <w:keepLines/>
              <w:numPr>
                <w:ilvl w:val="0"/>
                <w:numId w:val="19"/>
              </w:numPr>
              <w:spacing w:after="120"/>
              <w:ind w:left="357" w:right="176" w:hanging="357"/>
              <w:jc w:val="left"/>
              <w:rPr>
                <w:color w:val="000000"/>
                <w:sz w:val="18"/>
                <w:szCs w:val="18"/>
                <w:lang w:val="de-DE"/>
              </w:rPr>
            </w:pPr>
            <w:r w:rsidRPr="006607E5">
              <w:rPr>
                <w:color w:val="000000"/>
                <w:sz w:val="18"/>
                <w:szCs w:val="18"/>
                <w:lang w:val="de-DE"/>
              </w:rPr>
              <w:t>Folgende Dokumente wurden im Jahr 2012 vom CAJ geprüft</w:t>
            </w:r>
            <w:r w:rsidR="00446FF0" w:rsidRPr="006607E5">
              <w:rPr>
                <w:color w:val="000000"/>
                <w:sz w:val="18"/>
                <w:szCs w:val="18"/>
                <w:lang w:val="de-DE"/>
              </w:rPr>
              <w:t xml:space="preserve">: </w:t>
            </w:r>
          </w:p>
          <w:p w:rsidR="00446FF0" w:rsidRPr="006607E5" w:rsidRDefault="00446FF0" w:rsidP="00446FF0">
            <w:pPr>
              <w:tabs>
                <w:tab w:val="num" w:pos="2302"/>
              </w:tabs>
              <w:spacing w:after="120"/>
              <w:ind w:left="2302" w:hanging="1735"/>
              <w:jc w:val="left"/>
              <w:rPr>
                <w:iCs/>
                <w:sz w:val="18"/>
                <w:szCs w:val="18"/>
                <w:lang w:val="de-DE"/>
              </w:rPr>
            </w:pPr>
            <w:r w:rsidRPr="006607E5">
              <w:rPr>
                <w:iCs/>
                <w:sz w:val="18"/>
                <w:szCs w:val="18"/>
                <w:lang w:val="de-DE"/>
              </w:rPr>
              <w:t>UPOV/EXN/BRD</w:t>
            </w:r>
            <w:r w:rsidRPr="006607E5">
              <w:rPr>
                <w:iCs/>
                <w:sz w:val="18"/>
                <w:szCs w:val="18"/>
                <w:lang w:val="de-DE"/>
              </w:rPr>
              <w:tab/>
            </w:r>
            <w:r w:rsidR="00B651B2" w:rsidRPr="006607E5">
              <w:rPr>
                <w:sz w:val="18"/>
                <w:szCs w:val="18"/>
                <w:lang w:val="de-DE"/>
              </w:rPr>
              <w:t>Erläuterungen zur Begriffsbestimmung des Züchters nach der Akte von 1991 des UPOV</w:t>
            </w:r>
            <w:r w:rsidR="00B651B2" w:rsidRPr="006607E5">
              <w:rPr>
                <w:rFonts w:ascii="MS Gothic" w:eastAsia="MS Gothic" w:hAnsi="MS Gothic" w:cs="MS Gothic" w:hint="eastAsia"/>
                <w:sz w:val="18"/>
                <w:szCs w:val="18"/>
                <w:lang w:val="de-DE"/>
              </w:rPr>
              <w:t>‑</w:t>
            </w:r>
            <w:r w:rsidR="00B651B2" w:rsidRPr="006607E5">
              <w:rPr>
                <w:rFonts w:cs="Arial"/>
                <w:sz w:val="18"/>
                <w:szCs w:val="18"/>
                <w:lang w:val="de-DE"/>
              </w:rPr>
              <w:t>Übereinkommens</w:t>
            </w:r>
            <w:r w:rsidRPr="006607E5">
              <w:rPr>
                <w:iCs/>
                <w:sz w:val="18"/>
                <w:szCs w:val="18"/>
                <w:lang w:val="de-DE"/>
              </w:rPr>
              <w:t xml:space="preserve"> </w:t>
            </w:r>
          </w:p>
          <w:p w:rsidR="00446FF0" w:rsidRPr="006607E5" w:rsidRDefault="00446FF0" w:rsidP="00446FF0">
            <w:pPr>
              <w:tabs>
                <w:tab w:val="num" w:pos="2302"/>
              </w:tabs>
              <w:spacing w:after="120"/>
              <w:ind w:left="2302" w:hanging="1735"/>
              <w:jc w:val="left"/>
              <w:rPr>
                <w:iCs/>
                <w:sz w:val="18"/>
                <w:szCs w:val="18"/>
                <w:lang w:val="de-DE"/>
              </w:rPr>
            </w:pPr>
            <w:r w:rsidRPr="006607E5">
              <w:rPr>
                <w:iCs/>
                <w:sz w:val="18"/>
                <w:szCs w:val="18"/>
                <w:lang w:val="de-DE"/>
              </w:rPr>
              <w:t>UPOV/EXN/EDV</w:t>
            </w:r>
            <w:r w:rsidRPr="006607E5">
              <w:rPr>
                <w:iCs/>
                <w:sz w:val="18"/>
                <w:szCs w:val="18"/>
                <w:lang w:val="de-DE"/>
              </w:rPr>
              <w:tab/>
            </w:r>
            <w:r w:rsidR="00B651B2" w:rsidRPr="006607E5">
              <w:rPr>
                <w:iCs/>
                <w:sz w:val="18"/>
                <w:szCs w:val="18"/>
                <w:lang w:val="de-DE"/>
              </w:rPr>
              <w:t>Erläuterungen zu den im wesentlichen abgeleiteten Sorten nach dem UPOV</w:t>
            </w:r>
            <w:r w:rsidR="00B651B2" w:rsidRPr="006607E5">
              <w:rPr>
                <w:rFonts w:ascii="MS Gothic" w:eastAsia="MS Gothic" w:hAnsi="MS Gothic" w:cs="MS Gothic" w:hint="eastAsia"/>
                <w:iCs/>
                <w:sz w:val="18"/>
                <w:szCs w:val="18"/>
                <w:lang w:val="de-DE"/>
              </w:rPr>
              <w:t>‑</w:t>
            </w:r>
            <w:r w:rsidR="00B651B2" w:rsidRPr="006607E5">
              <w:rPr>
                <w:rFonts w:cs="Arial"/>
                <w:iCs/>
                <w:sz w:val="18"/>
                <w:szCs w:val="18"/>
                <w:lang w:val="de-DE"/>
              </w:rPr>
              <w:t>Übereinkommen</w:t>
            </w:r>
            <w:r w:rsidRPr="006607E5">
              <w:rPr>
                <w:iCs/>
                <w:sz w:val="18"/>
                <w:szCs w:val="18"/>
                <w:lang w:val="de-DE"/>
              </w:rPr>
              <w:t xml:space="preserve"> (</w:t>
            </w:r>
            <w:r w:rsidR="00B651B2" w:rsidRPr="006607E5">
              <w:rPr>
                <w:iCs/>
                <w:sz w:val="18"/>
                <w:szCs w:val="18"/>
                <w:lang w:val="de-DE"/>
              </w:rPr>
              <w:t>Überarbeitung</w:t>
            </w:r>
            <w:r w:rsidRPr="006607E5">
              <w:rPr>
                <w:iCs/>
                <w:sz w:val="18"/>
                <w:szCs w:val="18"/>
                <w:lang w:val="de-DE"/>
              </w:rPr>
              <w:t xml:space="preserve">) </w:t>
            </w:r>
          </w:p>
          <w:p w:rsidR="00114294" w:rsidRPr="006607E5" w:rsidRDefault="00446FF0" w:rsidP="002874C7">
            <w:pPr>
              <w:tabs>
                <w:tab w:val="num" w:pos="2302"/>
              </w:tabs>
              <w:spacing w:after="120"/>
              <w:ind w:left="2302" w:hanging="1735"/>
              <w:jc w:val="left"/>
              <w:rPr>
                <w:iCs/>
                <w:sz w:val="18"/>
                <w:szCs w:val="18"/>
                <w:lang w:val="de-DE"/>
              </w:rPr>
            </w:pPr>
            <w:r w:rsidRPr="006607E5">
              <w:rPr>
                <w:iCs/>
                <w:sz w:val="18"/>
                <w:szCs w:val="18"/>
                <w:lang w:val="de-DE"/>
              </w:rPr>
              <w:t>UPOV/EXN/HRV</w:t>
            </w:r>
            <w:r w:rsidRPr="006607E5">
              <w:rPr>
                <w:iCs/>
                <w:sz w:val="18"/>
                <w:szCs w:val="18"/>
                <w:lang w:val="de-DE"/>
              </w:rPr>
              <w:tab/>
            </w:r>
            <w:r w:rsidR="00B651B2" w:rsidRPr="006607E5">
              <w:rPr>
                <w:iCs/>
                <w:sz w:val="18"/>
                <w:szCs w:val="18"/>
                <w:lang w:val="de-DE"/>
              </w:rPr>
              <w:t>Erläuterungen zu Handlungen in bezug auf Erntegut nach dem UPOV</w:t>
            </w:r>
            <w:r w:rsidR="00B651B2" w:rsidRPr="006607E5">
              <w:rPr>
                <w:rFonts w:ascii="MS Gothic" w:eastAsia="MS Gothic" w:hAnsi="MS Gothic" w:cs="MS Gothic" w:hint="eastAsia"/>
                <w:iCs/>
                <w:sz w:val="18"/>
                <w:szCs w:val="18"/>
                <w:lang w:val="de-DE"/>
              </w:rPr>
              <w:t>‑</w:t>
            </w:r>
            <w:r w:rsidR="00B651B2" w:rsidRPr="006607E5">
              <w:rPr>
                <w:rFonts w:cs="Arial"/>
                <w:iCs/>
                <w:sz w:val="18"/>
                <w:szCs w:val="18"/>
                <w:lang w:val="de-DE"/>
              </w:rPr>
              <w:t>Übereinkommen</w:t>
            </w:r>
          </w:p>
        </w:tc>
      </w:tr>
      <w:tr w:rsidR="00E96460" w:rsidRPr="00DE5DFD" w:rsidTr="002874C7">
        <w:tc>
          <w:tcPr>
            <w:tcW w:w="2093" w:type="dxa"/>
            <w:shd w:val="clear" w:color="auto" w:fill="auto"/>
          </w:tcPr>
          <w:p w:rsidR="00E96460" w:rsidRPr="00B651B2" w:rsidRDefault="00E96460" w:rsidP="00114294">
            <w:pPr>
              <w:pStyle w:val="Heading6"/>
              <w:rPr>
                <w:lang w:val="de-DE"/>
              </w:rPr>
            </w:pPr>
          </w:p>
        </w:tc>
        <w:tc>
          <w:tcPr>
            <w:tcW w:w="7796" w:type="dxa"/>
            <w:shd w:val="clear" w:color="auto" w:fill="auto"/>
          </w:tcPr>
          <w:p w:rsidR="00894944" w:rsidRPr="00894944" w:rsidRDefault="00894944" w:rsidP="00894944">
            <w:pPr>
              <w:pStyle w:val="Heading8"/>
              <w:rPr>
                <w:lang w:val="de-DE"/>
              </w:rPr>
            </w:pPr>
            <w:bookmarkStart w:id="86" w:name="_Toc366830108"/>
            <w:bookmarkStart w:id="87" w:name="_Toc368400538"/>
            <w:r>
              <w:rPr>
                <w:lang w:val="de-DE"/>
              </w:rPr>
              <w:t xml:space="preserve">(b)  </w:t>
            </w:r>
            <w:r w:rsidRPr="00894944">
              <w:rPr>
                <w:rFonts w:asciiTheme="minorBidi" w:hAnsiTheme="minorBidi" w:cstheme="minorBidi"/>
                <w:color w:val="000000"/>
                <w:szCs w:val="18"/>
                <w:lang w:val="de-DE"/>
              </w:rPr>
              <w:t>Veröffentlichung de</w:t>
            </w:r>
            <w:r w:rsidR="005E4558">
              <w:rPr>
                <w:rFonts w:asciiTheme="minorBidi" w:hAnsiTheme="minorBidi" w:cstheme="minorBidi"/>
                <w:color w:val="000000"/>
                <w:szCs w:val="18"/>
                <w:lang w:val="de-DE"/>
              </w:rPr>
              <w:t>r</w:t>
            </w:r>
            <w:r w:rsidRPr="00894944">
              <w:rPr>
                <w:rFonts w:asciiTheme="minorBidi" w:hAnsiTheme="minorBidi" w:cstheme="minorBidi"/>
                <w:color w:val="000000"/>
                <w:szCs w:val="18"/>
                <w:lang w:val="de-DE"/>
              </w:rPr>
              <w:t xml:space="preserve"> </w:t>
            </w:r>
            <w:r w:rsidRPr="005E4558">
              <w:rPr>
                <w:rFonts w:asciiTheme="minorBidi" w:hAnsiTheme="minorBidi" w:cstheme="minorBidi"/>
                <w:i w:val="0"/>
                <w:color w:val="000000"/>
                <w:szCs w:val="18"/>
                <w:lang w:val="de-DE"/>
              </w:rPr>
              <w:t>UPOV</w:t>
            </w:r>
            <w:bookmarkEnd w:id="86"/>
            <w:r w:rsidR="005E4558" w:rsidRPr="005E4558">
              <w:rPr>
                <w:rFonts w:asciiTheme="minorBidi" w:hAnsiTheme="minorBidi" w:cstheme="minorBidi"/>
                <w:i w:val="0"/>
                <w:color w:val="000000"/>
                <w:szCs w:val="18"/>
                <w:lang w:val="de-DE"/>
              </w:rPr>
              <w:t xml:space="preserve"> Gazette and Newsletter</w:t>
            </w:r>
            <w:bookmarkEnd w:id="87"/>
          </w:p>
          <w:p w:rsidR="00052419" w:rsidRPr="006607E5" w:rsidRDefault="00E96460" w:rsidP="00114294">
            <w:pPr>
              <w:numPr>
                <w:ilvl w:val="0"/>
                <w:numId w:val="19"/>
              </w:numPr>
              <w:spacing w:after="120"/>
              <w:ind w:right="176"/>
              <w:jc w:val="left"/>
              <w:rPr>
                <w:color w:val="000000"/>
                <w:sz w:val="18"/>
                <w:szCs w:val="18"/>
                <w:lang w:val="de-DE"/>
              </w:rPr>
            </w:pPr>
            <w:r w:rsidRPr="006607E5">
              <w:rPr>
                <w:color w:val="000000"/>
                <w:sz w:val="18"/>
                <w:szCs w:val="18"/>
                <w:lang w:val="de-DE"/>
              </w:rPr>
              <w:t xml:space="preserve">UPOV </w:t>
            </w:r>
            <w:r w:rsidR="00B651B2" w:rsidRPr="006607E5">
              <w:rPr>
                <w:color w:val="000000"/>
                <w:sz w:val="18"/>
                <w:szCs w:val="18"/>
                <w:lang w:val="de-DE"/>
              </w:rPr>
              <w:t>Veröffentlichungsnummer</w:t>
            </w:r>
            <w:r w:rsidR="001A07EF" w:rsidRPr="006607E5">
              <w:rPr>
                <w:color w:val="000000"/>
                <w:sz w:val="18"/>
                <w:szCs w:val="18"/>
                <w:lang w:val="de-DE"/>
              </w:rPr>
              <w:t xml:space="preserve"> 438 (E), </w:t>
            </w:r>
            <w:r w:rsidR="00180DB8" w:rsidRPr="006607E5">
              <w:rPr>
                <w:color w:val="000000"/>
                <w:sz w:val="18"/>
                <w:szCs w:val="18"/>
                <w:lang w:val="de-DE"/>
              </w:rPr>
              <w:t>Ausgabe Nr.</w:t>
            </w:r>
            <w:r w:rsidR="001A07EF" w:rsidRPr="006607E5">
              <w:rPr>
                <w:color w:val="000000"/>
                <w:sz w:val="18"/>
                <w:szCs w:val="18"/>
                <w:lang w:val="de-DE"/>
              </w:rPr>
              <w:t xml:space="preserve"> 105,</w:t>
            </w:r>
            <w:r w:rsidR="00180DB8" w:rsidRPr="006607E5">
              <w:rPr>
                <w:color w:val="000000"/>
                <w:sz w:val="18"/>
                <w:szCs w:val="18"/>
                <w:lang w:val="de-DE"/>
              </w:rPr>
              <w:t xml:space="preserve"> </w:t>
            </w:r>
            <w:r w:rsidR="001A07EF" w:rsidRPr="006607E5">
              <w:rPr>
                <w:color w:val="000000"/>
                <w:sz w:val="18"/>
                <w:szCs w:val="18"/>
                <w:lang w:val="de-DE"/>
              </w:rPr>
              <w:t xml:space="preserve"> August </w:t>
            </w:r>
            <w:r w:rsidRPr="006607E5">
              <w:rPr>
                <w:color w:val="000000"/>
                <w:sz w:val="18"/>
                <w:szCs w:val="18"/>
                <w:lang w:val="de-DE"/>
              </w:rPr>
              <w:t>2012</w:t>
            </w:r>
          </w:p>
        </w:tc>
      </w:tr>
    </w:tbl>
    <w:p w:rsidR="00193F42" w:rsidRPr="00B651B2" w:rsidRDefault="00193F42" w:rsidP="00193F42">
      <w:pPr>
        <w:rPr>
          <w:sz w:val="18"/>
          <w:szCs w:val="18"/>
          <w:lang w:val="de-DE"/>
        </w:rPr>
      </w:pPr>
    </w:p>
    <w:p w:rsidR="00FD7070" w:rsidRPr="00B651B2" w:rsidRDefault="00FD7070">
      <w:pPr>
        <w:rPr>
          <w:lang w:val="de-DE"/>
        </w:rPr>
      </w:pPr>
      <w:r w:rsidRPr="00B651B2">
        <w:rPr>
          <w:lang w:val="de-DE"/>
        </w:rPr>
        <w:br w:type="page"/>
      </w:r>
    </w:p>
    <w:tbl>
      <w:tblPr>
        <w:tblW w:w="9889" w:type="dxa"/>
        <w:tblLayout w:type="fixed"/>
        <w:tblLook w:val="0000" w:firstRow="0" w:lastRow="0" w:firstColumn="0" w:lastColumn="0" w:noHBand="0" w:noVBand="0"/>
      </w:tblPr>
      <w:tblGrid>
        <w:gridCol w:w="2093"/>
        <w:gridCol w:w="7796"/>
      </w:tblGrid>
      <w:tr w:rsidR="00193F42" w:rsidRPr="006054BD" w:rsidTr="006E1FFB">
        <w:tc>
          <w:tcPr>
            <w:tcW w:w="2093" w:type="dxa"/>
            <w:shd w:val="clear" w:color="auto" w:fill="auto"/>
          </w:tcPr>
          <w:p w:rsidR="00193F42" w:rsidRPr="006054BD" w:rsidRDefault="00A71FDD" w:rsidP="000E4306">
            <w:pPr>
              <w:keepNext/>
              <w:spacing w:after="240"/>
              <w:rPr>
                <w:b/>
                <w:sz w:val="18"/>
                <w:szCs w:val="18"/>
              </w:rPr>
            </w:pPr>
            <w:r>
              <w:rPr>
                <w:b/>
                <w:sz w:val="18"/>
                <w:szCs w:val="18"/>
              </w:rPr>
              <w:t>Erwartete Ergebnisse</w:t>
            </w:r>
          </w:p>
        </w:tc>
        <w:tc>
          <w:tcPr>
            <w:tcW w:w="7796" w:type="dxa"/>
            <w:shd w:val="clear" w:color="auto" w:fill="auto"/>
          </w:tcPr>
          <w:p w:rsidR="00193F42" w:rsidRPr="006054BD" w:rsidRDefault="00A71FDD" w:rsidP="000E4306">
            <w:pPr>
              <w:keepNext/>
              <w:spacing w:after="240"/>
              <w:rPr>
                <w:b/>
                <w:sz w:val="18"/>
                <w:szCs w:val="18"/>
              </w:rPr>
            </w:pPr>
            <w:r>
              <w:rPr>
                <w:b/>
                <w:sz w:val="18"/>
                <w:szCs w:val="18"/>
              </w:rPr>
              <w:t>Erzielte Ergebnisse</w:t>
            </w:r>
            <w:r w:rsidR="00193F42" w:rsidRPr="006054BD">
              <w:rPr>
                <w:b/>
                <w:sz w:val="18"/>
                <w:szCs w:val="18"/>
              </w:rPr>
              <w:t xml:space="preserve">:  </w:t>
            </w:r>
            <w:r>
              <w:rPr>
                <w:b/>
                <w:sz w:val="18"/>
                <w:szCs w:val="18"/>
              </w:rPr>
              <w:t>Ausgewählte Planerfüllungsindikatoren</w:t>
            </w:r>
          </w:p>
        </w:tc>
      </w:tr>
      <w:tr w:rsidR="00E96460" w:rsidRPr="006054BD" w:rsidTr="006E1FFB">
        <w:tc>
          <w:tcPr>
            <w:tcW w:w="2093" w:type="dxa"/>
            <w:shd w:val="clear" w:color="auto" w:fill="auto"/>
          </w:tcPr>
          <w:p w:rsidR="00E96460" w:rsidRPr="00180DB8" w:rsidRDefault="00193F42" w:rsidP="008334C6">
            <w:pPr>
              <w:jc w:val="left"/>
              <w:rPr>
                <w:i/>
                <w:sz w:val="18"/>
                <w:szCs w:val="18"/>
                <w:lang w:val="de-DE"/>
              </w:rPr>
            </w:pPr>
            <w:r w:rsidRPr="00126859">
              <w:rPr>
                <w:i/>
                <w:sz w:val="18"/>
                <w:szCs w:val="18"/>
                <w:lang w:val="de-DE"/>
              </w:rPr>
              <w:t>1.  </w:t>
            </w:r>
            <w:r w:rsidR="00180DB8" w:rsidRPr="00180DB8">
              <w:rPr>
                <w:i/>
                <w:sz w:val="18"/>
                <w:szCs w:val="18"/>
                <w:lang w:val="de-DE"/>
              </w:rPr>
              <w:t xml:space="preserve">Anleitung zum </w:t>
            </w:r>
            <w:r w:rsidR="00180DB8" w:rsidRPr="002874C7">
              <w:rPr>
                <w:i/>
                <w:spacing w:val="-2"/>
                <w:sz w:val="18"/>
                <w:szCs w:val="18"/>
                <w:lang w:val="de-DE"/>
              </w:rPr>
              <w:t>UPOV-Übereinkommen</w:t>
            </w:r>
            <w:r w:rsidR="00180DB8" w:rsidRPr="00180DB8">
              <w:rPr>
                <w:i/>
                <w:sz w:val="18"/>
                <w:szCs w:val="18"/>
                <w:lang w:val="de-DE"/>
              </w:rPr>
              <w:t xml:space="preserve"> und seiner Umsetzung sowie Informationen zu seiner Anwendung</w:t>
            </w:r>
            <w:r w:rsidRPr="00180DB8">
              <w:rPr>
                <w:i/>
                <w:sz w:val="18"/>
                <w:szCs w:val="18"/>
                <w:lang w:val="de-DE"/>
              </w:rPr>
              <w:t xml:space="preserve"> </w:t>
            </w:r>
            <w:r w:rsidRPr="00180DB8">
              <w:rPr>
                <w:sz w:val="18"/>
                <w:szCs w:val="18"/>
                <w:lang w:val="de-DE"/>
              </w:rPr>
              <w:t>(</w:t>
            </w:r>
            <w:r w:rsidR="005017B4" w:rsidRPr="00180DB8">
              <w:rPr>
                <w:sz w:val="18"/>
                <w:szCs w:val="18"/>
                <w:lang w:val="de-DE"/>
              </w:rPr>
              <w:t>Fortsetzung</w:t>
            </w:r>
            <w:r w:rsidRPr="00180DB8">
              <w:rPr>
                <w:sz w:val="18"/>
                <w:szCs w:val="18"/>
                <w:lang w:val="de-DE"/>
              </w:rPr>
              <w:t>)</w:t>
            </w:r>
          </w:p>
        </w:tc>
        <w:tc>
          <w:tcPr>
            <w:tcW w:w="7796" w:type="dxa"/>
            <w:shd w:val="clear" w:color="auto" w:fill="auto"/>
          </w:tcPr>
          <w:p w:rsidR="00E96460" w:rsidRPr="00180DB8" w:rsidRDefault="00E163EA" w:rsidP="00025AE9">
            <w:pPr>
              <w:pStyle w:val="Heading8"/>
              <w:rPr>
                <w:szCs w:val="18"/>
                <w:lang w:val="de-DE"/>
              </w:rPr>
            </w:pPr>
            <w:bookmarkStart w:id="88" w:name="_Toc368400539"/>
            <w:r w:rsidRPr="00180DB8">
              <w:rPr>
                <w:szCs w:val="18"/>
                <w:lang w:val="de-DE"/>
              </w:rPr>
              <w:t>(c)</w:t>
            </w:r>
            <w:r w:rsidR="00E96460" w:rsidRPr="00180DB8">
              <w:rPr>
                <w:szCs w:val="18"/>
                <w:lang w:val="de-DE"/>
              </w:rPr>
              <w:t xml:space="preserve">  </w:t>
            </w:r>
            <w:r w:rsidR="00180DB8" w:rsidRPr="00180DB8">
              <w:rPr>
                <w:szCs w:val="18"/>
                <w:lang w:val="de-DE"/>
              </w:rPr>
              <w:t xml:space="preserve">Aufnahme von Gesetzen der Verbandsmitglieder in die </w:t>
            </w:r>
            <w:r w:rsidR="00025AE9">
              <w:rPr>
                <w:szCs w:val="18"/>
                <w:lang w:val="de-DE"/>
              </w:rPr>
              <w:t xml:space="preserve">UPOV Lex </w:t>
            </w:r>
            <w:r w:rsidR="00180DB8" w:rsidRPr="00180DB8">
              <w:rPr>
                <w:szCs w:val="18"/>
                <w:lang w:val="de-DE"/>
              </w:rPr>
              <w:t>Datenbank</w:t>
            </w:r>
            <w:bookmarkEnd w:id="88"/>
          </w:p>
          <w:p w:rsidR="001A2126" w:rsidRPr="006054BD" w:rsidRDefault="00180DB8" w:rsidP="001A2126">
            <w:pPr>
              <w:keepNext/>
              <w:keepLines/>
              <w:numPr>
                <w:ilvl w:val="0"/>
                <w:numId w:val="19"/>
              </w:numPr>
              <w:spacing w:after="120"/>
              <w:ind w:right="176"/>
              <w:jc w:val="left"/>
              <w:rPr>
                <w:sz w:val="18"/>
                <w:szCs w:val="18"/>
              </w:rPr>
            </w:pPr>
            <w:r>
              <w:rPr>
                <w:sz w:val="18"/>
                <w:szCs w:val="18"/>
              </w:rPr>
              <w:t>Kroatien</w:t>
            </w:r>
          </w:p>
          <w:p w:rsidR="00E96460" w:rsidRPr="006054BD" w:rsidRDefault="00180DB8" w:rsidP="00E96460">
            <w:pPr>
              <w:keepNext/>
              <w:keepLines/>
              <w:numPr>
                <w:ilvl w:val="0"/>
                <w:numId w:val="19"/>
              </w:numPr>
              <w:spacing w:after="120"/>
              <w:ind w:right="176"/>
              <w:jc w:val="left"/>
              <w:rPr>
                <w:sz w:val="18"/>
                <w:szCs w:val="18"/>
              </w:rPr>
            </w:pPr>
            <w:r>
              <w:rPr>
                <w:sz w:val="18"/>
                <w:szCs w:val="18"/>
              </w:rPr>
              <w:t>Frankreich</w:t>
            </w:r>
          </w:p>
          <w:p w:rsidR="00ED0371" w:rsidRPr="006054BD" w:rsidRDefault="00180DB8" w:rsidP="001A07EF">
            <w:pPr>
              <w:keepNext/>
              <w:keepLines/>
              <w:numPr>
                <w:ilvl w:val="0"/>
                <w:numId w:val="19"/>
              </w:numPr>
              <w:spacing w:after="120"/>
              <w:ind w:right="176"/>
              <w:jc w:val="left"/>
              <w:rPr>
                <w:sz w:val="18"/>
                <w:szCs w:val="18"/>
              </w:rPr>
            </w:pPr>
            <w:r>
              <w:rPr>
                <w:sz w:val="18"/>
                <w:szCs w:val="18"/>
              </w:rPr>
              <w:t>Irland</w:t>
            </w:r>
          </w:p>
          <w:p w:rsidR="00745418" w:rsidRPr="006054BD" w:rsidRDefault="00202242" w:rsidP="001A07EF">
            <w:pPr>
              <w:keepNext/>
              <w:keepLines/>
              <w:numPr>
                <w:ilvl w:val="0"/>
                <w:numId w:val="19"/>
              </w:numPr>
              <w:spacing w:after="120"/>
              <w:ind w:right="176"/>
              <w:jc w:val="left"/>
              <w:rPr>
                <w:sz w:val="18"/>
                <w:szCs w:val="18"/>
              </w:rPr>
            </w:pPr>
            <w:r>
              <w:rPr>
                <w:sz w:val="18"/>
                <w:szCs w:val="18"/>
              </w:rPr>
              <w:t>Vereinigte Staaten von Amerika</w:t>
            </w:r>
          </w:p>
          <w:p w:rsidR="00745418" w:rsidRPr="006054BD" w:rsidRDefault="00745418" w:rsidP="00180DB8">
            <w:pPr>
              <w:keepNext/>
              <w:keepLines/>
              <w:numPr>
                <w:ilvl w:val="0"/>
                <w:numId w:val="19"/>
              </w:numPr>
              <w:spacing w:after="120"/>
              <w:ind w:right="176"/>
              <w:jc w:val="left"/>
              <w:rPr>
                <w:sz w:val="18"/>
                <w:szCs w:val="18"/>
              </w:rPr>
            </w:pPr>
            <w:r w:rsidRPr="006054BD">
              <w:rPr>
                <w:sz w:val="18"/>
                <w:szCs w:val="18"/>
              </w:rPr>
              <w:t>Viet</w:t>
            </w:r>
            <w:r w:rsidR="00180DB8">
              <w:rPr>
                <w:sz w:val="18"/>
                <w:szCs w:val="18"/>
              </w:rPr>
              <w:t>n</w:t>
            </w:r>
            <w:r w:rsidRPr="006054BD">
              <w:rPr>
                <w:sz w:val="18"/>
                <w:szCs w:val="18"/>
              </w:rPr>
              <w:t>am</w:t>
            </w:r>
          </w:p>
        </w:tc>
      </w:tr>
    </w:tbl>
    <w:p w:rsidR="00FD7070" w:rsidRPr="006054BD" w:rsidRDefault="00FD7070"/>
    <w:tbl>
      <w:tblPr>
        <w:tblW w:w="9889" w:type="dxa"/>
        <w:tblLayout w:type="fixed"/>
        <w:tblLook w:val="0000" w:firstRow="0" w:lastRow="0" w:firstColumn="0" w:lastColumn="0" w:noHBand="0" w:noVBand="0"/>
      </w:tblPr>
      <w:tblGrid>
        <w:gridCol w:w="2093"/>
        <w:gridCol w:w="7796"/>
      </w:tblGrid>
      <w:tr w:rsidR="00346204" w:rsidRPr="00DE5DFD" w:rsidTr="002874C7">
        <w:tc>
          <w:tcPr>
            <w:tcW w:w="2093" w:type="dxa"/>
            <w:shd w:val="clear" w:color="auto" w:fill="auto"/>
          </w:tcPr>
          <w:p w:rsidR="00346204" w:rsidRPr="006054BD" w:rsidRDefault="00346204" w:rsidP="00114294">
            <w:pPr>
              <w:pStyle w:val="Heading6"/>
            </w:pPr>
          </w:p>
        </w:tc>
        <w:tc>
          <w:tcPr>
            <w:tcW w:w="7796" w:type="dxa"/>
            <w:shd w:val="clear" w:color="auto" w:fill="auto"/>
          </w:tcPr>
          <w:p w:rsidR="00346204" w:rsidRPr="00180DB8" w:rsidRDefault="00E163EA" w:rsidP="008334C6">
            <w:pPr>
              <w:pStyle w:val="Heading8"/>
              <w:rPr>
                <w:i w:val="0"/>
                <w:szCs w:val="18"/>
                <w:lang w:val="de-DE"/>
              </w:rPr>
            </w:pPr>
            <w:bookmarkStart w:id="89" w:name="_Toc368400540"/>
            <w:r w:rsidRPr="00180DB8">
              <w:rPr>
                <w:szCs w:val="18"/>
                <w:lang w:val="de-DE"/>
              </w:rPr>
              <w:t>(d)</w:t>
            </w:r>
            <w:r w:rsidR="00346204" w:rsidRPr="00180DB8">
              <w:rPr>
                <w:szCs w:val="18"/>
                <w:lang w:val="de-DE"/>
              </w:rPr>
              <w:t xml:space="preserve">  </w:t>
            </w:r>
            <w:r w:rsidR="00180DB8" w:rsidRPr="00180DB8">
              <w:rPr>
                <w:szCs w:val="18"/>
                <w:lang w:val="de-DE"/>
              </w:rPr>
              <w:t>Teilnahme an Seminaren und Symposien in Genf in Verbindung mit den Tagungen der UPOV</w:t>
            </w:r>
            <w:bookmarkEnd w:id="89"/>
          </w:p>
          <w:p w:rsidR="00346204" w:rsidRPr="00C34F1F" w:rsidRDefault="00C34F1F" w:rsidP="00025AE9">
            <w:pPr>
              <w:keepNext/>
              <w:keepLines/>
              <w:numPr>
                <w:ilvl w:val="0"/>
                <w:numId w:val="19"/>
              </w:numPr>
              <w:spacing w:after="120"/>
              <w:ind w:right="176"/>
              <w:jc w:val="left"/>
              <w:rPr>
                <w:sz w:val="18"/>
                <w:szCs w:val="18"/>
                <w:lang w:val="de-DE"/>
              </w:rPr>
            </w:pPr>
            <w:r w:rsidRPr="00C34F1F">
              <w:rPr>
                <w:sz w:val="18"/>
                <w:szCs w:val="18"/>
                <w:lang w:val="de-DE"/>
              </w:rPr>
              <w:t>Symposium über die Vorteile des Sortenschutzes für Landwirte und Pflanzer</w:t>
            </w:r>
            <w:r w:rsidR="00E53414" w:rsidRPr="00C34F1F">
              <w:rPr>
                <w:sz w:val="18"/>
                <w:szCs w:val="18"/>
                <w:lang w:val="de-DE"/>
              </w:rPr>
              <w:t xml:space="preserve">, </w:t>
            </w:r>
            <w:r w:rsidR="00025AE9">
              <w:rPr>
                <w:sz w:val="18"/>
                <w:szCs w:val="18"/>
                <w:lang w:val="de-DE"/>
              </w:rPr>
              <w:t xml:space="preserve">2. </w:t>
            </w:r>
            <w:r w:rsidR="00E53414" w:rsidRPr="00C34F1F">
              <w:rPr>
                <w:sz w:val="18"/>
                <w:szCs w:val="18"/>
                <w:lang w:val="de-DE"/>
              </w:rPr>
              <w:t>November 2012</w:t>
            </w:r>
          </w:p>
          <w:p w:rsidR="00346204" w:rsidRPr="003F377D" w:rsidRDefault="00346204" w:rsidP="00FD7070">
            <w:pPr>
              <w:ind w:left="360"/>
              <w:jc w:val="left"/>
              <w:rPr>
                <w:lang w:val="de-DE"/>
              </w:rPr>
            </w:pPr>
            <w:r w:rsidRPr="003F377D">
              <w:rPr>
                <w:sz w:val="18"/>
                <w:szCs w:val="18"/>
                <w:lang w:val="de-DE"/>
              </w:rPr>
              <w:t xml:space="preserve">118 </w:t>
            </w:r>
            <w:r w:rsidR="003F377D" w:rsidRPr="003F377D">
              <w:rPr>
                <w:sz w:val="18"/>
                <w:szCs w:val="18"/>
                <w:lang w:val="de-DE"/>
              </w:rPr>
              <w:t>Teilnehmer aus</w:t>
            </w:r>
            <w:r w:rsidRPr="003F377D">
              <w:rPr>
                <w:sz w:val="18"/>
                <w:szCs w:val="18"/>
                <w:lang w:val="de-DE"/>
              </w:rPr>
              <w:t xml:space="preserve"> 36 </w:t>
            </w:r>
            <w:r w:rsidR="003F377D" w:rsidRPr="003F377D">
              <w:rPr>
                <w:sz w:val="18"/>
                <w:szCs w:val="18"/>
                <w:lang w:val="de-DE"/>
              </w:rPr>
              <w:t>Verbandsmitglieder</w:t>
            </w:r>
            <w:r w:rsidR="00180DB8">
              <w:rPr>
                <w:sz w:val="18"/>
                <w:szCs w:val="18"/>
                <w:lang w:val="de-DE"/>
              </w:rPr>
              <w:t>n</w:t>
            </w:r>
            <w:r w:rsidRPr="003F377D">
              <w:rPr>
                <w:sz w:val="18"/>
                <w:szCs w:val="18"/>
                <w:lang w:val="de-DE"/>
              </w:rPr>
              <w:t xml:space="preserve">, 6 </w:t>
            </w:r>
            <w:r w:rsidR="003F377D">
              <w:rPr>
                <w:sz w:val="18"/>
                <w:szCs w:val="18"/>
                <w:lang w:val="de-DE"/>
              </w:rPr>
              <w:t>Beobachterstaaten</w:t>
            </w:r>
            <w:r w:rsidRPr="003F377D">
              <w:rPr>
                <w:sz w:val="18"/>
                <w:szCs w:val="18"/>
                <w:lang w:val="de-DE"/>
              </w:rPr>
              <w:t xml:space="preserve">, </w:t>
            </w:r>
            <w:r w:rsidRPr="003F377D">
              <w:rPr>
                <w:sz w:val="18"/>
                <w:szCs w:val="18"/>
                <w:lang w:val="de-DE"/>
              </w:rPr>
              <w:br/>
              <w:t>8 </w:t>
            </w:r>
            <w:r w:rsidR="003F377D">
              <w:rPr>
                <w:sz w:val="18"/>
                <w:szCs w:val="18"/>
                <w:lang w:val="de-DE"/>
              </w:rPr>
              <w:t>Beobachterorganisationen</w:t>
            </w:r>
            <w:r w:rsidRPr="003F377D">
              <w:rPr>
                <w:sz w:val="18"/>
                <w:szCs w:val="18"/>
                <w:lang w:val="de-DE"/>
              </w:rPr>
              <w:t xml:space="preserve">, 6 </w:t>
            </w:r>
            <w:r w:rsidR="00180DB8">
              <w:rPr>
                <w:sz w:val="18"/>
                <w:szCs w:val="18"/>
                <w:lang w:val="de-DE"/>
              </w:rPr>
              <w:t>sonstige Teilnehmer</w:t>
            </w:r>
            <w:r w:rsidR="003F377D">
              <w:rPr>
                <w:sz w:val="18"/>
                <w:szCs w:val="18"/>
                <w:lang w:val="de-DE"/>
              </w:rPr>
              <w:t xml:space="preserve"> und </w:t>
            </w:r>
            <w:r w:rsidRPr="003F377D">
              <w:rPr>
                <w:sz w:val="18"/>
                <w:szCs w:val="18"/>
                <w:lang w:val="de-DE"/>
              </w:rPr>
              <w:t xml:space="preserve">10 </w:t>
            </w:r>
            <w:r w:rsidR="00180DB8">
              <w:rPr>
                <w:sz w:val="18"/>
                <w:szCs w:val="18"/>
                <w:lang w:val="de-DE"/>
              </w:rPr>
              <w:t>externe</w:t>
            </w:r>
            <w:r w:rsidRPr="003F377D">
              <w:rPr>
                <w:sz w:val="18"/>
                <w:szCs w:val="18"/>
                <w:lang w:val="de-DE"/>
              </w:rPr>
              <w:t xml:space="preserve"> </w:t>
            </w:r>
            <w:r w:rsidR="00180DB8">
              <w:rPr>
                <w:sz w:val="18"/>
                <w:szCs w:val="18"/>
                <w:lang w:val="de-DE"/>
              </w:rPr>
              <w:t>Referenten</w:t>
            </w:r>
          </w:p>
        </w:tc>
      </w:tr>
    </w:tbl>
    <w:p w:rsidR="00FD7070" w:rsidRPr="003F377D" w:rsidRDefault="00FD7070">
      <w:pPr>
        <w:rPr>
          <w:lang w:val="de-DE"/>
        </w:rPr>
      </w:pPr>
    </w:p>
    <w:p w:rsidR="00FD7070" w:rsidRPr="003F377D" w:rsidRDefault="00FD7070">
      <w:pPr>
        <w:rPr>
          <w:lang w:val="de-DE"/>
        </w:rPr>
      </w:pPr>
    </w:p>
    <w:tbl>
      <w:tblPr>
        <w:tblW w:w="9889" w:type="dxa"/>
        <w:tblLayout w:type="fixed"/>
        <w:tblLook w:val="0000" w:firstRow="0" w:lastRow="0" w:firstColumn="0" w:lastColumn="0" w:noHBand="0" w:noVBand="0"/>
      </w:tblPr>
      <w:tblGrid>
        <w:gridCol w:w="2093"/>
        <w:gridCol w:w="7796"/>
      </w:tblGrid>
      <w:tr w:rsidR="00C74C0E" w:rsidRPr="00DE5DFD" w:rsidTr="002874C7">
        <w:tc>
          <w:tcPr>
            <w:tcW w:w="2093" w:type="dxa"/>
            <w:shd w:val="clear" w:color="auto" w:fill="auto"/>
          </w:tcPr>
          <w:p w:rsidR="00C74C0E" w:rsidRPr="00BF4074" w:rsidRDefault="00C74C0E" w:rsidP="00114294">
            <w:pPr>
              <w:pStyle w:val="Heading6"/>
              <w:rPr>
                <w:lang w:val="de-DE"/>
              </w:rPr>
            </w:pPr>
            <w:bookmarkStart w:id="90" w:name="OLE_LINK1"/>
            <w:bookmarkStart w:id="91" w:name="OLE_LINK2"/>
            <w:bookmarkStart w:id="92" w:name="_Toc336331199"/>
            <w:bookmarkStart w:id="93" w:name="_Toc336339190"/>
            <w:bookmarkStart w:id="94" w:name="_Toc368400541"/>
            <w:r w:rsidRPr="00126859">
              <w:rPr>
                <w:lang w:val="de-DE"/>
              </w:rPr>
              <w:t>2.  </w:t>
            </w:r>
            <w:r w:rsidR="00BF4074" w:rsidRPr="00BF4074">
              <w:rPr>
                <w:lang w:val="de-DE"/>
              </w:rPr>
              <w:t>Anleitung zur Prüfung von Sorten</w:t>
            </w:r>
            <w:bookmarkEnd w:id="90"/>
            <w:bookmarkEnd w:id="91"/>
            <w:bookmarkEnd w:id="92"/>
            <w:bookmarkEnd w:id="93"/>
            <w:bookmarkEnd w:id="94"/>
          </w:p>
        </w:tc>
        <w:tc>
          <w:tcPr>
            <w:tcW w:w="7796" w:type="dxa"/>
            <w:shd w:val="clear" w:color="auto" w:fill="auto"/>
          </w:tcPr>
          <w:p w:rsidR="00C74C0E" w:rsidRPr="00180DB8" w:rsidRDefault="00E163EA" w:rsidP="00C74C0E">
            <w:pPr>
              <w:pStyle w:val="Heading8"/>
              <w:rPr>
                <w:lang w:val="de-DE"/>
              </w:rPr>
            </w:pPr>
            <w:bookmarkStart w:id="95" w:name="_Toc336331200"/>
            <w:bookmarkStart w:id="96" w:name="_Toc336339191"/>
            <w:bookmarkStart w:id="97" w:name="_Toc368400542"/>
            <w:r w:rsidRPr="00444961">
              <w:rPr>
                <w:lang w:val="de-DE"/>
              </w:rPr>
              <w:t>(a)</w:t>
            </w:r>
            <w:r w:rsidR="00C74C0E" w:rsidRPr="00444961">
              <w:rPr>
                <w:lang w:val="de-DE"/>
              </w:rPr>
              <w:t>  </w:t>
            </w:r>
            <w:r w:rsidR="00180DB8" w:rsidRPr="00180DB8">
              <w:rPr>
                <w:color w:val="000000"/>
                <w:lang w:val="de-DE"/>
              </w:rPr>
              <w:t>Annahme von neuen oder überarbeiteten TGP-Dokumenten und Informationsmaterialien</w:t>
            </w:r>
            <w:bookmarkEnd w:id="95"/>
            <w:bookmarkEnd w:id="96"/>
            <w:bookmarkEnd w:id="97"/>
          </w:p>
          <w:p w:rsidR="003902CB" w:rsidRPr="002E63AE" w:rsidRDefault="002E63AE" w:rsidP="006607E5">
            <w:pPr>
              <w:keepNext/>
              <w:keepLines/>
              <w:numPr>
                <w:ilvl w:val="0"/>
                <w:numId w:val="19"/>
              </w:numPr>
              <w:spacing w:after="120"/>
              <w:ind w:left="357" w:right="176" w:hanging="357"/>
              <w:jc w:val="left"/>
              <w:rPr>
                <w:i/>
                <w:color w:val="000000"/>
                <w:sz w:val="18"/>
                <w:szCs w:val="18"/>
                <w:lang w:val="de-DE"/>
              </w:rPr>
            </w:pPr>
            <w:r w:rsidRPr="002E63AE">
              <w:rPr>
                <w:color w:val="000000"/>
                <w:sz w:val="18"/>
                <w:szCs w:val="18"/>
                <w:lang w:val="de-DE"/>
              </w:rPr>
              <w:t xml:space="preserve">Im Jahr 2012 angenommene und auf der UPOV-Website veröffentlichte </w:t>
            </w:r>
            <w:r w:rsidR="00A478D4">
              <w:rPr>
                <w:color w:val="000000"/>
                <w:sz w:val="18"/>
                <w:szCs w:val="18"/>
                <w:lang w:val="de-DE"/>
              </w:rPr>
              <w:t>TGP</w:t>
            </w:r>
            <w:r w:rsidR="00A478D4">
              <w:rPr>
                <w:color w:val="000000"/>
                <w:sz w:val="18"/>
                <w:szCs w:val="18"/>
                <w:lang w:val="de-DE"/>
              </w:rPr>
              <w:noBreakHyphen/>
            </w:r>
            <w:r w:rsidRPr="002E63AE">
              <w:rPr>
                <w:color w:val="000000"/>
                <w:sz w:val="18"/>
                <w:szCs w:val="18"/>
                <w:lang w:val="de-DE"/>
              </w:rPr>
              <w:t>Dokumente</w:t>
            </w:r>
            <w:r w:rsidR="00C74C0E" w:rsidRPr="002E63AE">
              <w:rPr>
                <w:color w:val="000000"/>
                <w:sz w:val="18"/>
                <w:szCs w:val="18"/>
                <w:lang w:val="de-DE"/>
              </w:rPr>
              <w:t>:</w:t>
            </w:r>
          </w:p>
          <w:p w:rsidR="002B1E33" w:rsidRPr="002E63AE" w:rsidRDefault="002B1E33" w:rsidP="002B1E33">
            <w:pPr>
              <w:tabs>
                <w:tab w:val="num" w:pos="2160"/>
              </w:tabs>
              <w:spacing w:after="120"/>
              <w:ind w:left="2160" w:hanging="1593"/>
              <w:jc w:val="left"/>
              <w:rPr>
                <w:sz w:val="18"/>
                <w:szCs w:val="18"/>
                <w:lang w:val="de-DE"/>
              </w:rPr>
            </w:pPr>
            <w:r w:rsidRPr="002E63AE">
              <w:rPr>
                <w:sz w:val="18"/>
                <w:szCs w:val="18"/>
                <w:lang w:val="de-DE"/>
              </w:rPr>
              <w:t>TGP/12/2</w:t>
            </w:r>
            <w:r w:rsidRPr="002E63AE">
              <w:rPr>
                <w:sz w:val="18"/>
                <w:szCs w:val="18"/>
                <w:lang w:val="de-DE"/>
              </w:rPr>
              <w:tab/>
            </w:r>
            <w:r w:rsidR="002E63AE" w:rsidRPr="002E63AE">
              <w:rPr>
                <w:sz w:val="18"/>
                <w:szCs w:val="18"/>
                <w:lang w:val="de-DE"/>
              </w:rPr>
              <w:t>Anleitung zu bestimmten physiologischen Merkmalen</w:t>
            </w:r>
            <w:r w:rsidRPr="002E63AE">
              <w:rPr>
                <w:sz w:val="18"/>
                <w:szCs w:val="18"/>
                <w:lang w:val="de-DE"/>
              </w:rPr>
              <w:t xml:space="preserve"> (</w:t>
            </w:r>
            <w:r w:rsidR="00B651B2" w:rsidRPr="002E63AE">
              <w:rPr>
                <w:sz w:val="18"/>
                <w:szCs w:val="18"/>
                <w:lang w:val="de-DE"/>
              </w:rPr>
              <w:t>Überarbeitung</w:t>
            </w:r>
            <w:r w:rsidRPr="002E63AE">
              <w:rPr>
                <w:sz w:val="18"/>
                <w:szCs w:val="18"/>
                <w:lang w:val="de-DE"/>
              </w:rPr>
              <w:t>)</w:t>
            </w:r>
          </w:p>
          <w:p w:rsidR="002B1E33" w:rsidRPr="00B651B2" w:rsidRDefault="002B1E33" w:rsidP="002B1E33">
            <w:pPr>
              <w:tabs>
                <w:tab w:val="num" w:pos="2160"/>
              </w:tabs>
              <w:spacing w:after="120"/>
              <w:ind w:left="2160" w:hanging="1593"/>
              <w:jc w:val="left"/>
              <w:rPr>
                <w:sz w:val="18"/>
                <w:szCs w:val="18"/>
                <w:lang w:val="de-DE"/>
              </w:rPr>
            </w:pPr>
            <w:r w:rsidRPr="00B651B2">
              <w:rPr>
                <w:sz w:val="18"/>
                <w:szCs w:val="18"/>
                <w:lang w:val="de-DE"/>
              </w:rPr>
              <w:t>TGP/0/5</w:t>
            </w:r>
            <w:r w:rsidRPr="00B651B2">
              <w:rPr>
                <w:sz w:val="18"/>
                <w:szCs w:val="18"/>
                <w:lang w:val="de-DE"/>
              </w:rPr>
              <w:tab/>
            </w:r>
            <w:r w:rsidR="002E63AE">
              <w:rPr>
                <w:sz w:val="18"/>
                <w:szCs w:val="18"/>
                <w:lang w:val="de-DE"/>
              </w:rPr>
              <w:t>Liste der TGP-Dokumente und Datum der jüngsten Ausgabe</w:t>
            </w:r>
            <w:r w:rsidRPr="00B651B2">
              <w:rPr>
                <w:sz w:val="18"/>
                <w:szCs w:val="18"/>
                <w:lang w:val="de-DE"/>
              </w:rPr>
              <w:t xml:space="preserve"> (</w:t>
            </w:r>
            <w:r w:rsidR="00B651B2" w:rsidRPr="00B651B2">
              <w:rPr>
                <w:sz w:val="18"/>
                <w:szCs w:val="18"/>
                <w:lang w:val="de-DE"/>
              </w:rPr>
              <w:t>Überarbeitung</w:t>
            </w:r>
            <w:r w:rsidRPr="00B651B2">
              <w:rPr>
                <w:sz w:val="18"/>
                <w:szCs w:val="18"/>
                <w:lang w:val="de-DE"/>
              </w:rPr>
              <w:t>)</w:t>
            </w:r>
          </w:p>
          <w:p w:rsidR="00C74C0E" w:rsidRPr="002E63AE" w:rsidRDefault="002E63AE" w:rsidP="00025AE9">
            <w:pPr>
              <w:keepNext/>
              <w:keepLines/>
              <w:numPr>
                <w:ilvl w:val="0"/>
                <w:numId w:val="19"/>
              </w:numPr>
              <w:spacing w:before="120" w:after="120"/>
              <w:ind w:left="357" w:right="176" w:hanging="357"/>
              <w:jc w:val="left"/>
              <w:rPr>
                <w:i/>
                <w:color w:val="000000"/>
                <w:sz w:val="18"/>
                <w:szCs w:val="18"/>
                <w:lang w:val="de-DE"/>
              </w:rPr>
            </w:pPr>
            <w:r w:rsidRPr="002E63AE">
              <w:rPr>
                <w:color w:val="000000"/>
                <w:sz w:val="18"/>
                <w:szCs w:val="18"/>
                <w:lang w:val="de-DE"/>
              </w:rPr>
              <w:t>Entwürfe folgender TGP</w:t>
            </w:r>
            <w:r w:rsidRPr="002E63AE">
              <w:rPr>
                <w:rFonts w:ascii="MS Gothic" w:eastAsia="MS Gothic" w:hAnsi="MS Gothic" w:cs="MS Gothic" w:hint="eastAsia"/>
                <w:color w:val="000000"/>
                <w:sz w:val="18"/>
                <w:szCs w:val="18"/>
                <w:lang w:val="de-DE"/>
              </w:rPr>
              <w:t>‑</w:t>
            </w:r>
            <w:r w:rsidRPr="002E63AE">
              <w:rPr>
                <w:rFonts w:cs="Arial"/>
                <w:color w:val="000000"/>
                <w:sz w:val="18"/>
                <w:szCs w:val="18"/>
                <w:lang w:val="de-DE"/>
              </w:rPr>
              <w:t>Dokumente wurden</w:t>
            </w:r>
            <w:r>
              <w:rPr>
                <w:rFonts w:cs="Arial"/>
                <w:color w:val="000000"/>
                <w:sz w:val="18"/>
                <w:szCs w:val="18"/>
                <w:lang w:val="de-DE"/>
              </w:rPr>
              <w:t xml:space="preserve"> im Jahr 2012</w:t>
            </w:r>
            <w:r w:rsidRPr="002E63AE">
              <w:rPr>
                <w:rFonts w:cs="Arial"/>
                <w:color w:val="000000"/>
                <w:sz w:val="18"/>
                <w:szCs w:val="18"/>
                <w:lang w:val="de-DE"/>
              </w:rPr>
              <w:t xml:space="preserve"> im CAJ, im TC und/oder in den Technischen Arbeitsgruppen weitergeführt</w:t>
            </w:r>
            <w:r w:rsidR="00C74C0E" w:rsidRPr="002E63AE">
              <w:rPr>
                <w:color w:val="000000"/>
                <w:sz w:val="18"/>
                <w:szCs w:val="18"/>
                <w:lang w:val="de-DE"/>
              </w:rPr>
              <w:t>:</w:t>
            </w:r>
          </w:p>
          <w:p w:rsidR="00B247C0" w:rsidRPr="008751A4" w:rsidRDefault="00B247C0" w:rsidP="00B247C0">
            <w:pPr>
              <w:tabs>
                <w:tab w:val="num" w:pos="2160"/>
              </w:tabs>
              <w:spacing w:after="120"/>
              <w:ind w:left="2160" w:hanging="1593"/>
              <w:jc w:val="left"/>
              <w:rPr>
                <w:sz w:val="18"/>
                <w:szCs w:val="18"/>
                <w:lang w:val="de-DE"/>
              </w:rPr>
            </w:pPr>
            <w:r w:rsidRPr="008751A4">
              <w:rPr>
                <w:sz w:val="18"/>
                <w:szCs w:val="18"/>
                <w:lang w:val="de-DE"/>
              </w:rPr>
              <w:t>TGP/7</w:t>
            </w:r>
            <w:r w:rsidRPr="008751A4">
              <w:rPr>
                <w:sz w:val="18"/>
                <w:szCs w:val="18"/>
                <w:lang w:val="de-DE"/>
              </w:rPr>
              <w:tab/>
            </w:r>
            <w:r w:rsidR="008751A4" w:rsidRPr="008751A4">
              <w:rPr>
                <w:sz w:val="18"/>
                <w:szCs w:val="18"/>
                <w:lang w:val="de-DE"/>
              </w:rPr>
              <w:t>Erstellung von Prüfungsrichtlinien</w:t>
            </w:r>
            <w:r w:rsidR="005100FC" w:rsidRPr="008751A4">
              <w:rPr>
                <w:sz w:val="18"/>
                <w:szCs w:val="18"/>
                <w:lang w:val="de-DE"/>
              </w:rPr>
              <w:t xml:space="preserve"> (</w:t>
            </w:r>
            <w:r w:rsidR="008751A4" w:rsidRPr="008751A4">
              <w:rPr>
                <w:sz w:val="18"/>
                <w:szCs w:val="18"/>
                <w:lang w:val="de-DE"/>
              </w:rPr>
              <w:t>Ü</w:t>
            </w:r>
            <w:r w:rsidR="00B651B2" w:rsidRPr="008751A4">
              <w:rPr>
                <w:sz w:val="18"/>
                <w:szCs w:val="18"/>
                <w:lang w:val="de-DE"/>
              </w:rPr>
              <w:t>berarbeitung</w:t>
            </w:r>
            <w:r w:rsidR="005100FC" w:rsidRPr="008751A4">
              <w:rPr>
                <w:sz w:val="18"/>
                <w:szCs w:val="18"/>
                <w:lang w:val="de-DE"/>
              </w:rPr>
              <w:t>)</w:t>
            </w:r>
          </w:p>
          <w:p w:rsidR="00B247C0" w:rsidRPr="008751A4" w:rsidRDefault="00B247C0" w:rsidP="00B247C0">
            <w:pPr>
              <w:tabs>
                <w:tab w:val="num" w:pos="2160"/>
              </w:tabs>
              <w:spacing w:after="120"/>
              <w:ind w:left="2160" w:hanging="1593"/>
              <w:jc w:val="left"/>
              <w:rPr>
                <w:sz w:val="18"/>
                <w:szCs w:val="18"/>
                <w:lang w:val="de-DE"/>
              </w:rPr>
            </w:pPr>
            <w:r w:rsidRPr="008751A4">
              <w:rPr>
                <w:sz w:val="18"/>
                <w:szCs w:val="18"/>
                <w:lang w:val="de-DE"/>
              </w:rPr>
              <w:t>TGP/</w:t>
            </w:r>
            <w:r w:rsidR="002B1E33" w:rsidRPr="008751A4">
              <w:rPr>
                <w:sz w:val="18"/>
                <w:szCs w:val="18"/>
                <w:lang w:val="de-DE"/>
              </w:rPr>
              <w:t>8</w:t>
            </w:r>
            <w:r w:rsidRPr="008751A4">
              <w:rPr>
                <w:sz w:val="18"/>
                <w:szCs w:val="18"/>
                <w:lang w:val="de-DE"/>
              </w:rPr>
              <w:tab/>
            </w:r>
            <w:r w:rsidR="00A478D4">
              <w:rPr>
                <w:sz w:val="18"/>
                <w:szCs w:val="18"/>
                <w:lang w:val="de-DE"/>
              </w:rPr>
              <w:t>Pr</w:t>
            </w:r>
            <w:r w:rsidR="008751A4" w:rsidRPr="008751A4">
              <w:rPr>
                <w:sz w:val="18"/>
                <w:szCs w:val="18"/>
                <w:lang w:val="de-DE"/>
              </w:rPr>
              <w:t>üfungsanlage und Verfahren für die Prüfung der Unterscheidbarkeit, der Homogenität und der Beständigkeit</w:t>
            </w:r>
            <w:r w:rsidR="005100FC" w:rsidRPr="008751A4">
              <w:rPr>
                <w:sz w:val="18"/>
                <w:szCs w:val="18"/>
                <w:lang w:val="de-DE"/>
              </w:rPr>
              <w:t xml:space="preserve"> (</w:t>
            </w:r>
            <w:r w:rsidR="00B651B2" w:rsidRPr="008751A4">
              <w:rPr>
                <w:sz w:val="18"/>
                <w:szCs w:val="18"/>
                <w:lang w:val="de-DE"/>
              </w:rPr>
              <w:t>Überarbeitung</w:t>
            </w:r>
            <w:r w:rsidR="005100FC" w:rsidRPr="008751A4">
              <w:rPr>
                <w:sz w:val="18"/>
                <w:szCs w:val="18"/>
                <w:lang w:val="de-DE"/>
              </w:rPr>
              <w:t>)</w:t>
            </w:r>
          </w:p>
          <w:p w:rsidR="002B1E33" w:rsidRPr="008751A4" w:rsidRDefault="002B1E33" w:rsidP="00B247C0">
            <w:pPr>
              <w:tabs>
                <w:tab w:val="num" w:pos="2160"/>
              </w:tabs>
              <w:spacing w:after="120"/>
              <w:ind w:left="2160" w:hanging="1593"/>
              <w:jc w:val="left"/>
              <w:rPr>
                <w:sz w:val="18"/>
                <w:szCs w:val="18"/>
                <w:lang w:val="de-DE"/>
              </w:rPr>
            </w:pPr>
            <w:r w:rsidRPr="008751A4">
              <w:rPr>
                <w:sz w:val="18"/>
                <w:szCs w:val="18"/>
                <w:lang w:val="de-DE"/>
              </w:rPr>
              <w:t>TGP/14</w:t>
            </w:r>
            <w:r w:rsidRPr="008751A4">
              <w:rPr>
                <w:sz w:val="18"/>
                <w:szCs w:val="18"/>
                <w:lang w:val="de-DE"/>
              </w:rPr>
              <w:tab/>
            </w:r>
            <w:r w:rsidR="008751A4" w:rsidRPr="008751A4">
              <w:rPr>
                <w:sz w:val="18"/>
                <w:szCs w:val="18"/>
                <w:lang w:val="de-DE"/>
              </w:rPr>
              <w:t>Glossar der in den UPOV-Dokumenten verwendeten Begriffe</w:t>
            </w:r>
            <w:r w:rsidR="005100FC" w:rsidRPr="008751A4">
              <w:rPr>
                <w:sz w:val="18"/>
                <w:szCs w:val="18"/>
                <w:lang w:val="de-DE"/>
              </w:rPr>
              <w:t xml:space="preserve"> (</w:t>
            </w:r>
            <w:r w:rsidR="00B651B2" w:rsidRPr="008751A4">
              <w:rPr>
                <w:sz w:val="18"/>
                <w:szCs w:val="18"/>
                <w:lang w:val="de-DE"/>
              </w:rPr>
              <w:t>Überarbeitung</w:t>
            </w:r>
            <w:r w:rsidR="005100FC" w:rsidRPr="008751A4">
              <w:rPr>
                <w:sz w:val="18"/>
                <w:szCs w:val="18"/>
                <w:lang w:val="de-DE"/>
              </w:rPr>
              <w:t>)</w:t>
            </w:r>
          </w:p>
          <w:p w:rsidR="00966F8D" w:rsidRPr="008751A4" w:rsidRDefault="00B247C0" w:rsidP="008751A4">
            <w:pPr>
              <w:tabs>
                <w:tab w:val="num" w:pos="2160"/>
              </w:tabs>
              <w:ind w:left="2160" w:hanging="1593"/>
              <w:jc w:val="left"/>
              <w:rPr>
                <w:sz w:val="18"/>
                <w:szCs w:val="18"/>
                <w:lang w:val="de-DE"/>
              </w:rPr>
            </w:pPr>
            <w:r w:rsidRPr="008751A4">
              <w:rPr>
                <w:sz w:val="18"/>
                <w:szCs w:val="18"/>
                <w:lang w:val="de-DE"/>
              </w:rPr>
              <w:t>TGP/15</w:t>
            </w:r>
            <w:r w:rsidRPr="008751A4">
              <w:rPr>
                <w:sz w:val="18"/>
                <w:szCs w:val="18"/>
                <w:lang w:val="de-DE"/>
              </w:rPr>
              <w:tab/>
            </w:r>
            <w:r w:rsidRPr="008751A4">
              <w:rPr>
                <w:strike/>
                <w:sz w:val="18"/>
                <w:szCs w:val="18"/>
                <w:lang w:val="de-DE"/>
              </w:rPr>
              <w:t>[</w:t>
            </w:r>
            <w:r w:rsidR="008751A4" w:rsidRPr="008751A4">
              <w:rPr>
                <w:strike/>
                <w:sz w:val="18"/>
                <w:szCs w:val="18"/>
                <w:lang w:val="de-DE"/>
              </w:rPr>
              <w:t>Neue Merkmalstypen</w:t>
            </w:r>
            <w:r w:rsidR="008751A4" w:rsidRPr="008751A4">
              <w:rPr>
                <w:sz w:val="18"/>
                <w:szCs w:val="18"/>
                <w:lang w:val="de-DE"/>
              </w:rPr>
              <w:t>] [Anleitung zur Verwendung biochemischer und molekularer Marker bei der Prüfung der Unterscheidbarkeit, Homogenität und Beständigkeit (DUS)</w:t>
            </w:r>
            <w:r w:rsidR="00E96460" w:rsidRPr="008751A4">
              <w:rPr>
                <w:sz w:val="18"/>
                <w:szCs w:val="18"/>
                <w:lang w:val="de-DE"/>
              </w:rPr>
              <w:t>]</w:t>
            </w:r>
          </w:p>
          <w:p w:rsidR="00C74C0E" w:rsidRPr="002E63AE" w:rsidRDefault="002E63AE" w:rsidP="006607E5">
            <w:pPr>
              <w:keepNext/>
              <w:keepLines/>
              <w:numPr>
                <w:ilvl w:val="0"/>
                <w:numId w:val="19"/>
              </w:numPr>
              <w:tabs>
                <w:tab w:val="num" w:pos="2160"/>
              </w:tabs>
              <w:spacing w:before="120" w:after="120"/>
              <w:ind w:left="357" w:right="176" w:hanging="357"/>
              <w:jc w:val="left"/>
              <w:rPr>
                <w:i/>
                <w:color w:val="000000"/>
                <w:sz w:val="18"/>
                <w:szCs w:val="18"/>
                <w:lang w:val="de-DE"/>
              </w:rPr>
            </w:pPr>
            <w:r w:rsidRPr="002E63AE">
              <w:rPr>
                <w:color w:val="000000"/>
                <w:sz w:val="18"/>
                <w:szCs w:val="18"/>
                <w:lang w:val="de-DE"/>
              </w:rPr>
              <w:t xml:space="preserve">Entwürfe folgender </w:t>
            </w:r>
            <w:r w:rsidR="00025AE9">
              <w:rPr>
                <w:color w:val="000000"/>
                <w:sz w:val="18"/>
                <w:szCs w:val="18"/>
                <w:lang w:val="de-DE"/>
              </w:rPr>
              <w:t>Informationsmaterialien wurden</w:t>
            </w:r>
            <w:r>
              <w:rPr>
                <w:rFonts w:cs="Arial"/>
                <w:color w:val="000000"/>
                <w:sz w:val="18"/>
                <w:szCs w:val="18"/>
                <w:lang w:val="de-DE"/>
              </w:rPr>
              <w:t xml:space="preserve"> im Jahr 2012 </w:t>
            </w:r>
            <w:r w:rsidRPr="002E63AE">
              <w:rPr>
                <w:rFonts w:cs="Arial"/>
                <w:color w:val="000000"/>
                <w:sz w:val="18"/>
                <w:szCs w:val="18"/>
                <w:lang w:val="de-DE"/>
              </w:rPr>
              <w:t>im CAJ, im TC und/oder in den Technischen Arbeitsgruppen weitergeführt</w:t>
            </w:r>
            <w:r w:rsidR="00E53414" w:rsidRPr="002E63AE">
              <w:rPr>
                <w:color w:val="000000"/>
                <w:sz w:val="18"/>
                <w:szCs w:val="18"/>
                <w:lang w:val="de-DE"/>
              </w:rPr>
              <w:t>:</w:t>
            </w:r>
          </w:p>
          <w:p w:rsidR="002B1E33" w:rsidRPr="00B651B2" w:rsidRDefault="002B1E33" w:rsidP="00E53414">
            <w:pPr>
              <w:tabs>
                <w:tab w:val="num" w:pos="2160"/>
              </w:tabs>
              <w:spacing w:after="120"/>
              <w:ind w:left="2160" w:hanging="1593"/>
              <w:jc w:val="left"/>
              <w:rPr>
                <w:color w:val="000000"/>
                <w:sz w:val="18"/>
                <w:szCs w:val="18"/>
                <w:lang w:val="de-DE"/>
              </w:rPr>
            </w:pPr>
            <w:r w:rsidRPr="00B651B2">
              <w:rPr>
                <w:color w:val="000000"/>
                <w:sz w:val="18"/>
                <w:szCs w:val="18"/>
                <w:lang w:val="de-DE"/>
              </w:rPr>
              <w:t>UPOV/INF/12</w:t>
            </w:r>
            <w:r w:rsidRPr="00B651B2">
              <w:rPr>
                <w:color w:val="000000"/>
                <w:sz w:val="18"/>
                <w:szCs w:val="18"/>
                <w:lang w:val="de-DE"/>
              </w:rPr>
              <w:tab/>
            </w:r>
            <w:r w:rsidR="00B651B2" w:rsidRPr="00B651B2">
              <w:rPr>
                <w:color w:val="000000"/>
                <w:sz w:val="18"/>
                <w:szCs w:val="18"/>
                <w:lang w:val="de-DE"/>
              </w:rPr>
              <w:t>Erläuterungen zu Sortenbezeichnungen nach dem UPOV-Übereinkommen</w:t>
            </w:r>
            <w:r w:rsidR="005100FC" w:rsidRPr="00B651B2">
              <w:rPr>
                <w:color w:val="000000"/>
                <w:sz w:val="18"/>
                <w:szCs w:val="18"/>
                <w:lang w:val="de-DE"/>
              </w:rPr>
              <w:t xml:space="preserve"> </w:t>
            </w:r>
            <w:r w:rsidR="005100FC" w:rsidRPr="00B651B2">
              <w:rPr>
                <w:sz w:val="18"/>
                <w:szCs w:val="18"/>
                <w:lang w:val="de-DE"/>
              </w:rPr>
              <w:t>(</w:t>
            </w:r>
            <w:r w:rsidR="00B651B2" w:rsidRPr="00B651B2">
              <w:rPr>
                <w:sz w:val="18"/>
                <w:szCs w:val="18"/>
                <w:lang w:val="de-DE"/>
              </w:rPr>
              <w:t>Überarbeitung</w:t>
            </w:r>
            <w:r w:rsidR="005100FC" w:rsidRPr="00B651B2">
              <w:rPr>
                <w:sz w:val="18"/>
                <w:szCs w:val="18"/>
                <w:lang w:val="de-DE"/>
              </w:rPr>
              <w:t>)</w:t>
            </w:r>
          </w:p>
          <w:p w:rsidR="00E53414" w:rsidRPr="00B651B2" w:rsidRDefault="00E53414" w:rsidP="00FD7070">
            <w:pPr>
              <w:tabs>
                <w:tab w:val="num" w:pos="2160"/>
              </w:tabs>
              <w:spacing w:after="120"/>
              <w:ind w:left="2160" w:hanging="1593"/>
              <w:jc w:val="left"/>
              <w:rPr>
                <w:color w:val="000000"/>
                <w:sz w:val="18"/>
                <w:szCs w:val="18"/>
                <w:lang w:val="de-DE"/>
              </w:rPr>
            </w:pPr>
            <w:r w:rsidRPr="00B651B2">
              <w:rPr>
                <w:color w:val="000000"/>
                <w:sz w:val="18"/>
                <w:szCs w:val="18"/>
                <w:lang w:val="de-DE"/>
              </w:rPr>
              <w:t>UPOV/INF/16</w:t>
            </w:r>
            <w:r w:rsidRPr="00B651B2">
              <w:rPr>
                <w:color w:val="000000"/>
                <w:sz w:val="18"/>
                <w:szCs w:val="18"/>
                <w:lang w:val="de-DE"/>
              </w:rPr>
              <w:tab/>
            </w:r>
            <w:r w:rsidR="008751A4">
              <w:rPr>
                <w:color w:val="000000"/>
                <w:sz w:val="18"/>
                <w:szCs w:val="18"/>
                <w:lang w:val="de-DE"/>
              </w:rPr>
              <w:t>Austauschbare Software</w:t>
            </w:r>
            <w:r w:rsidR="005100FC" w:rsidRPr="00B651B2">
              <w:rPr>
                <w:color w:val="000000"/>
                <w:sz w:val="18"/>
                <w:szCs w:val="18"/>
                <w:lang w:val="de-DE"/>
              </w:rPr>
              <w:t xml:space="preserve"> </w:t>
            </w:r>
            <w:r w:rsidR="005100FC" w:rsidRPr="00B651B2">
              <w:rPr>
                <w:sz w:val="18"/>
                <w:szCs w:val="18"/>
                <w:lang w:val="de-DE"/>
              </w:rPr>
              <w:t>(</w:t>
            </w:r>
            <w:r w:rsidR="00B651B2" w:rsidRPr="00B651B2">
              <w:rPr>
                <w:sz w:val="18"/>
                <w:szCs w:val="18"/>
                <w:lang w:val="de-DE"/>
              </w:rPr>
              <w:t>Überarbeitung</w:t>
            </w:r>
            <w:r w:rsidR="005100FC" w:rsidRPr="00B651B2">
              <w:rPr>
                <w:sz w:val="18"/>
                <w:szCs w:val="18"/>
                <w:lang w:val="de-DE"/>
              </w:rPr>
              <w:t>)</w:t>
            </w:r>
          </w:p>
        </w:tc>
      </w:tr>
    </w:tbl>
    <w:p w:rsidR="00FD7070" w:rsidRPr="00B651B2" w:rsidRDefault="00FD7070">
      <w:pPr>
        <w:rPr>
          <w:lang w:val="de-DE"/>
        </w:rPr>
      </w:pPr>
    </w:p>
    <w:tbl>
      <w:tblPr>
        <w:tblW w:w="9889" w:type="dxa"/>
        <w:tblLayout w:type="fixed"/>
        <w:tblLook w:val="0000" w:firstRow="0" w:lastRow="0" w:firstColumn="0" w:lastColumn="0" w:noHBand="0" w:noVBand="0"/>
      </w:tblPr>
      <w:tblGrid>
        <w:gridCol w:w="2093"/>
        <w:gridCol w:w="7796"/>
      </w:tblGrid>
      <w:tr w:rsidR="0072229D" w:rsidRPr="00DE5DFD" w:rsidTr="002874C7">
        <w:tc>
          <w:tcPr>
            <w:tcW w:w="2093" w:type="dxa"/>
            <w:shd w:val="clear" w:color="auto" w:fill="auto"/>
          </w:tcPr>
          <w:p w:rsidR="0072229D" w:rsidRPr="00B651B2" w:rsidRDefault="0072229D" w:rsidP="00114294">
            <w:pPr>
              <w:pStyle w:val="Heading6"/>
              <w:rPr>
                <w:lang w:val="de-DE"/>
              </w:rPr>
            </w:pPr>
          </w:p>
        </w:tc>
        <w:tc>
          <w:tcPr>
            <w:tcW w:w="7796" w:type="dxa"/>
            <w:shd w:val="clear" w:color="auto" w:fill="auto"/>
          </w:tcPr>
          <w:p w:rsidR="0072229D" w:rsidRPr="00180DB8" w:rsidRDefault="00E163EA" w:rsidP="0072229D">
            <w:pPr>
              <w:pStyle w:val="Heading8"/>
              <w:rPr>
                <w:lang w:val="de-DE"/>
              </w:rPr>
            </w:pPr>
            <w:bookmarkStart w:id="98" w:name="_Toc368400543"/>
            <w:r w:rsidRPr="00444961">
              <w:rPr>
                <w:lang w:val="de-DE"/>
              </w:rPr>
              <w:t>(b)</w:t>
            </w:r>
            <w:r w:rsidR="0072229D" w:rsidRPr="00444961">
              <w:rPr>
                <w:lang w:val="de-DE"/>
              </w:rPr>
              <w:t xml:space="preserve">  </w:t>
            </w:r>
            <w:r w:rsidR="00180DB8" w:rsidRPr="00180DB8">
              <w:rPr>
                <w:color w:val="000000"/>
                <w:lang w:val="de-DE"/>
              </w:rPr>
              <w:t>Annahme von neuen oder überarbeiteten Prüfungsrichtlinien</w:t>
            </w:r>
            <w:bookmarkEnd w:id="98"/>
          </w:p>
          <w:p w:rsidR="0072229D" w:rsidRPr="00126859" w:rsidRDefault="0072229D" w:rsidP="008751A4">
            <w:pPr>
              <w:keepNext/>
              <w:keepLines/>
              <w:spacing w:after="120"/>
              <w:jc w:val="left"/>
              <w:rPr>
                <w:i/>
                <w:sz w:val="18"/>
                <w:szCs w:val="18"/>
                <w:lang w:val="de-DE"/>
              </w:rPr>
            </w:pPr>
            <w:r w:rsidRPr="00126859">
              <w:rPr>
                <w:i/>
                <w:sz w:val="18"/>
                <w:szCs w:val="18"/>
                <w:lang w:val="de-DE"/>
              </w:rPr>
              <w:t>A</w:t>
            </w:r>
            <w:r w:rsidR="008751A4" w:rsidRPr="00126859">
              <w:rPr>
                <w:i/>
                <w:sz w:val="18"/>
                <w:szCs w:val="18"/>
                <w:lang w:val="de-DE"/>
              </w:rPr>
              <w:t>ngenommene Prüfungsrichtlinien</w:t>
            </w:r>
          </w:p>
          <w:p w:rsidR="0072229D" w:rsidRPr="002E0794" w:rsidRDefault="0072229D" w:rsidP="00894944">
            <w:pPr>
              <w:keepNext/>
              <w:keepLines/>
              <w:spacing w:after="120"/>
              <w:jc w:val="left"/>
              <w:rPr>
                <w:sz w:val="18"/>
                <w:szCs w:val="18"/>
                <w:lang w:val="de-DE"/>
              </w:rPr>
            </w:pPr>
            <w:r w:rsidRPr="002E0794">
              <w:rPr>
                <w:sz w:val="18"/>
                <w:szCs w:val="18"/>
                <w:lang w:val="de-DE"/>
              </w:rPr>
              <w:t>I</w:t>
            </w:r>
            <w:r w:rsidR="008751A4" w:rsidRPr="002E0794">
              <w:rPr>
                <w:sz w:val="18"/>
                <w:szCs w:val="18"/>
                <w:lang w:val="de-DE"/>
              </w:rPr>
              <w:t>m Jahr</w:t>
            </w:r>
            <w:r w:rsidRPr="002E0794">
              <w:rPr>
                <w:sz w:val="18"/>
                <w:szCs w:val="18"/>
                <w:lang w:val="de-DE"/>
              </w:rPr>
              <w:t xml:space="preserve"> 2012</w:t>
            </w:r>
            <w:r w:rsidR="008751A4" w:rsidRPr="002E0794">
              <w:rPr>
                <w:sz w:val="18"/>
                <w:szCs w:val="18"/>
                <w:lang w:val="de-DE"/>
              </w:rPr>
              <w:t xml:space="preserve"> </w:t>
            </w:r>
            <w:r w:rsidR="00967DBA">
              <w:rPr>
                <w:sz w:val="18"/>
                <w:szCs w:val="18"/>
                <w:lang w:val="de-DE"/>
              </w:rPr>
              <w:t>erfaß</w:t>
            </w:r>
            <w:r w:rsidR="00025AE9">
              <w:rPr>
                <w:sz w:val="18"/>
                <w:szCs w:val="18"/>
                <w:lang w:val="de-DE"/>
              </w:rPr>
              <w:t>ten</w:t>
            </w:r>
            <w:r w:rsidR="008751A4" w:rsidRPr="002E0794">
              <w:rPr>
                <w:sz w:val="18"/>
                <w:szCs w:val="18"/>
                <w:lang w:val="de-DE"/>
              </w:rPr>
              <w:t xml:space="preserve"> die </w:t>
            </w:r>
            <w:r w:rsidR="002E0794" w:rsidRPr="002E0794">
              <w:rPr>
                <w:sz w:val="18"/>
                <w:szCs w:val="18"/>
                <w:lang w:val="de-DE"/>
              </w:rPr>
              <w:t>angenommenen Prüfungsrichtlinien</w:t>
            </w:r>
            <w:r w:rsidRPr="002E0794">
              <w:rPr>
                <w:sz w:val="18"/>
                <w:szCs w:val="18"/>
                <w:lang w:val="de-DE"/>
              </w:rPr>
              <w:t xml:space="preserve"> </w:t>
            </w:r>
            <w:r w:rsidR="002348D4" w:rsidRPr="002E0794">
              <w:rPr>
                <w:sz w:val="18"/>
                <w:szCs w:val="18"/>
                <w:lang w:val="de-DE"/>
              </w:rPr>
              <w:t>90</w:t>
            </w:r>
            <w:r w:rsidRPr="002E0794">
              <w:rPr>
                <w:sz w:val="18"/>
                <w:szCs w:val="18"/>
                <w:lang w:val="de-DE"/>
              </w:rPr>
              <w:t>% all</w:t>
            </w:r>
            <w:r w:rsidR="002E0794" w:rsidRPr="002E0794">
              <w:rPr>
                <w:sz w:val="18"/>
                <w:szCs w:val="18"/>
                <w:lang w:val="de-DE"/>
              </w:rPr>
              <w:t>e</w:t>
            </w:r>
            <w:r w:rsidR="002E0794">
              <w:rPr>
                <w:sz w:val="18"/>
                <w:szCs w:val="18"/>
                <w:lang w:val="de-DE"/>
              </w:rPr>
              <w:t>r</w:t>
            </w:r>
            <w:r w:rsidRPr="002E0794">
              <w:rPr>
                <w:sz w:val="18"/>
                <w:szCs w:val="18"/>
                <w:lang w:val="de-DE"/>
              </w:rPr>
              <w:t xml:space="preserve"> </w:t>
            </w:r>
            <w:r w:rsidR="00894944">
              <w:rPr>
                <w:sz w:val="18"/>
                <w:szCs w:val="18"/>
                <w:lang w:val="de-DE"/>
              </w:rPr>
              <w:t>Einträge bezüglich Züchterrechten</w:t>
            </w:r>
            <w:r w:rsidR="002E0794">
              <w:rPr>
                <w:sz w:val="18"/>
                <w:szCs w:val="18"/>
                <w:lang w:val="de-DE"/>
              </w:rPr>
              <w:t xml:space="preserve"> </w:t>
            </w:r>
            <w:r w:rsidRPr="002E0794">
              <w:rPr>
                <w:sz w:val="18"/>
                <w:szCs w:val="18"/>
                <w:lang w:val="de-DE"/>
              </w:rPr>
              <w:t xml:space="preserve">in </w:t>
            </w:r>
            <w:r w:rsidR="002E0794">
              <w:rPr>
                <w:sz w:val="18"/>
                <w:szCs w:val="18"/>
                <w:lang w:val="de-DE"/>
              </w:rPr>
              <w:t>die Datenbank für Pflanzensorten</w:t>
            </w:r>
            <w:r w:rsidRPr="002E0794">
              <w:rPr>
                <w:sz w:val="18"/>
                <w:szCs w:val="18"/>
                <w:lang w:val="de-DE"/>
              </w:rPr>
              <w:t xml:space="preserve"> (20</w:t>
            </w:r>
            <w:r w:rsidR="00F22DF1" w:rsidRPr="002E0794">
              <w:rPr>
                <w:sz w:val="18"/>
                <w:szCs w:val="18"/>
                <w:lang w:val="de-DE"/>
              </w:rPr>
              <w:t>7</w:t>
            </w:r>
            <w:r w:rsidR="00025AE9">
              <w:rPr>
                <w:sz w:val="18"/>
                <w:szCs w:val="18"/>
                <w:lang w:val="de-DE"/>
              </w:rPr>
              <w:t xml:space="preserve"> </w:t>
            </w:r>
            <w:r w:rsidR="00F22DF1" w:rsidRPr="002E0794">
              <w:rPr>
                <w:sz w:val="18"/>
                <w:szCs w:val="18"/>
                <w:lang w:val="de-DE"/>
              </w:rPr>
              <w:t>235</w:t>
            </w:r>
            <w:r w:rsidRPr="002E0794">
              <w:rPr>
                <w:sz w:val="18"/>
                <w:szCs w:val="18"/>
                <w:lang w:val="de-DE"/>
              </w:rPr>
              <w:t xml:space="preserve"> </w:t>
            </w:r>
            <w:r w:rsidR="002E0794">
              <w:rPr>
                <w:sz w:val="18"/>
                <w:szCs w:val="18"/>
                <w:lang w:val="de-DE"/>
              </w:rPr>
              <w:t>von</w:t>
            </w:r>
            <w:r w:rsidRPr="002E0794">
              <w:rPr>
                <w:sz w:val="18"/>
                <w:szCs w:val="18"/>
                <w:lang w:val="de-DE"/>
              </w:rPr>
              <w:t xml:space="preserve"> 2</w:t>
            </w:r>
            <w:r w:rsidR="00F22DF1" w:rsidRPr="002E0794">
              <w:rPr>
                <w:sz w:val="18"/>
                <w:szCs w:val="18"/>
                <w:lang w:val="de-DE"/>
              </w:rPr>
              <w:t>36</w:t>
            </w:r>
            <w:r w:rsidR="00025AE9">
              <w:rPr>
                <w:sz w:val="18"/>
                <w:szCs w:val="18"/>
                <w:lang w:val="de-DE"/>
              </w:rPr>
              <w:t xml:space="preserve"> </w:t>
            </w:r>
            <w:r w:rsidRPr="002E0794">
              <w:rPr>
                <w:sz w:val="18"/>
                <w:szCs w:val="18"/>
                <w:lang w:val="de-DE"/>
              </w:rPr>
              <w:t>1</w:t>
            </w:r>
            <w:r w:rsidR="00F22DF1" w:rsidRPr="002E0794">
              <w:rPr>
                <w:sz w:val="18"/>
                <w:szCs w:val="18"/>
                <w:lang w:val="de-DE"/>
              </w:rPr>
              <w:t>07</w:t>
            </w:r>
            <w:r w:rsidRPr="002E0794">
              <w:rPr>
                <w:sz w:val="18"/>
                <w:szCs w:val="18"/>
                <w:lang w:val="de-DE"/>
              </w:rPr>
              <w:t>)</w:t>
            </w:r>
          </w:p>
          <w:p w:rsidR="0072229D" w:rsidRPr="002E0794" w:rsidRDefault="002E0794" w:rsidP="002E0794">
            <w:pPr>
              <w:keepNext/>
              <w:keepLines/>
              <w:numPr>
                <w:ilvl w:val="0"/>
                <w:numId w:val="21"/>
              </w:numPr>
              <w:tabs>
                <w:tab w:val="num" w:pos="318"/>
              </w:tabs>
              <w:spacing w:after="120"/>
              <w:ind w:left="357" w:hanging="357"/>
              <w:jc w:val="left"/>
              <w:rPr>
                <w:i/>
                <w:color w:val="000000"/>
                <w:sz w:val="18"/>
                <w:szCs w:val="18"/>
                <w:lang w:val="de-DE"/>
              </w:rPr>
            </w:pPr>
            <w:r w:rsidRPr="002E0794">
              <w:rPr>
                <w:color w:val="000000"/>
                <w:sz w:val="18"/>
                <w:szCs w:val="18"/>
                <w:lang w:val="de-DE"/>
              </w:rPr>
              <w:t xml:space="preserve">Der TC nahm </w:t>
            </w:r>
            <w:r w:rsidR="005F6C41" w:rsidRPr="002E0794">
              <w:rPr>
                <w:color w:val="000000"/>
                <w:sz w:val="18"/>
                <w:szCs w:val="18"/>
                <w:lang w:val="de-DE"/>
              </w:rPr>
              <w:t>16</w:t>
            </w:r>
            <w:r w:rsidR="0072229D" w:rsidRPr="002E0794">
              <w:rPr>
                <w:color w:val="000000"/>
                <w:sz w:val="18"/>
                <w:szCs w:val="18"/>
                <w:lang w:val="de-DE"/>
              </w:rPr>
              <w:t xml:space="preserve"> </w:t>
            </w:r>
            <w:r w:rsidRPr="002E0794">
              <w:rPr>
                <w:color w:val="000000"/>
                <w:sz w:val="18"/>
                <w:szCs w:val="18"/>
                <w:lang w:val="de-DE"/>
              </w:rPr>
              <w:t>Prüfungsrichtlinien</w:t>
            </w:r>
            <w:r w:rsidR="0072229D" w:rsidRPr="002E0794">
              <w:rPr>
                <w:color w:val="000000"/>
                <w:sz w:val="18"/>
                <w:szCs w:val="18"/>
                <w:lang w:val="de-DE"/>
              </w:rPr>
              <w:t xml:space="preserve"> </w:t>
            </w:r>
            <w:r w:rsidRPr="002E0794">
              <w:rPr>
                <w:color w:val="000000"/>
                <w:sz w:val="18"/>
                <w:szCs w:val="18"/>
                <w:lang w:val="de-DE"/>
              </w:rPr>
              <w:t>an</w:t>
            </w:r>
            <w:r w:rsidR="00BF4074">
              <w:rPr>
                <w:color w:val="000000"/>
                <w:sz w:val="18"/>
                <w:szCs w:val="18"/>
                <w:lang w:val="de-DE"/>
              </w:rPr>
              <w:t>, darunter</w:t>
            </w:r>
            <w:r w:rsidR="0072229D" w:rsidRPr="002E0794">
              <w:rPr>
                <w:color w:val="000000"/>
                <w:sz w:val="18"/>
                <w:szCs w:val="18"/>
                <w:lang w:val="de-DE"/>
              </w:rPr>
              <w:t xml:space="preserve">: </w:t>
            </w:r>
          </w:p>
          <w:p w:rsidR="0072229D" w:rsidRPr="002E0794" w:rsidRDefault="0072229D" w:rsidP="002E0794">
            <w:pPr>
              <w:spacing w:after="60"/>
              <w:ind w:left="743" w:hanging="386"/>
              <w:jc w:val="left"/>
              <w:rPr>
                <w:i/>
                <w:color w:val="000000"/>
                <w:sz w:val="18"/>
                <w:szCs w:val="18"/>
                <w:lang w:val="de-DE"/>
              </w:rPr>
            </w:pPr>
            <w:r w:rsidRPr="002E0794">
              <w:rPr>
                <w:color w:val="000000"/>
                <w:sz w:val="18"/>
                <w:szCs w:val="18"/>
                <w:lang w:val="de-DE"/>
              </w:rPr>
              <w:t>–</w:t>
            </w:r>
            <w:r w:rsidRPr="002E0794">
              <w:rPr>
                <w:color w:val="000000"/>
                <w:sz w:val="18"/>
                <w:szCs w:val="18"/>
                <w:lang w:val="de-DE"/>
              </w:rPr>
              <w:tab/>
            </w:r>
            <w:r w:rsidR="00CD73E4" w:rsidRPr="002E0794">
              <w:rPr>
                <w:color w:val="000000"/>
                <w:sz w:val="18"/>
                <w:szCs w:val="18"/>
                <w:lang w:val="de-DE"/>
              </w:rPr>
              <w:t>8</w:t>
            </w:r>
            <w:r w:rsidR="002E0794" w:rsidRPr="002E0794">
              <w:rPr>
                <w:color w:val="000000"/>
                <w:sz w:val="18"/>
                <w:szCs w:val="18"/>
                <w:lang w:val="de-DE"/>
              </w:rPr>
              <w:t xml:space="preserve"> neue Prüfungsrichtlinien</w:t>
            </w:r>
            <w:r w:rsidRPr="002E0794">
              <w:rPr>
                <w:color w:val="000000"/>
                <w:sz w:val="18"/>
                <w:szCs w:val="18"/>
                <w:lang w:val="de-DE"/>
              </w:rPr>
              <w:t>: TWA (</w:t>
            </w:r>
            <w:r w:rsidR="005F6C41" w:rsidRPr="002E0794">
              <w:rPr>
                <w:color w:val="000000"/>
                <w:sz w:val="18"/>
                <w:szCs w:val="18"/>
                <w:lang w:val="de-DE"/>
              </w:rPr>
              <w:t>2</w:t>
            </w:r>
            <w:r w:rsidRPr="002E0794">
              <w:rPr>
                <w:color w:val="000000"/>
                <w:sz w:val="18"/>
                <w:szCs w:val="18"/>
                <w:lang w:val="de-DE"/>
              </w:rPr>
              <w:t>),  TWF (</w:t>
            </w:r>
            <w:r w:rsidR="005F6C41" w:rsidRPr="002E0794">
              <w:rPr>
                <w:color w:val="000000"/>
                <w:sz w:val="18"/>
                <w:szCs w:val="18"/>
                <w:lang w:val="de-DE"/>
              </w:rPr>
              <w:t>1</w:t>
            </w:r>
            <w:r w:rsidRPr="002E0794">
              <w:rPr>
                <w:color w:val="000000"/>
                <w:sz w:val="18"/>
                <w:szCs w:val="18"/>
                <w:lang w:val="de-DE"/>
              </w:rPr>
              <w:t>), TWO (</w:t>
            </w:r>
            <w:r w:rsidR="005F6C41" w:rsidRPr="002E0794">
              <w:rPr>
                <w:color w:val="000000"/>
                <w:sz w:val="18"/>
                <w:szCs w:val="18"/>
                <w:lang w:val="de-DE"/>
              </w:rPr>
              <w:t>3</w:t>
            </w:r>
            <w:r w:rsidRPr="002E0794">
              <w:rPr>
                <w:color w:val="000000"/>
                <w:sz w:val="18"/>
                <w:szCs w:val="18"/>
                <w:lang w:val="de-DE"/>
              </w:rPr>
              <w:t>),</w:t>
            </w:r>
            <w:r w:rsidR="005F6C41" w:rsidRPr="002E0794">
              <w:rPr>
                <w:color w:val="000000"/>
                <w:sz w:val="18"/>
                <w:szCs w:val="18"/>
                <w:lang w:val="de-DE"/>
              </w:rPr>
              <w:t xml:space="preserve"> TWO/TWV (1),</w:t>
            </w:r>
            <w:r w:rsidRPr="002E0794">
              <w:rPr>
                <w:color w:val="000000"/>
                <w:sz w:val="18"/>
                <w:szCs w:val="18"/>
                <w:lang w:val="de-DE"/>
              </w:rPr>
              <w:t xml:space="preserve"> TWV (</w:t>
            </w:r>
            <w:r w:rsidR="005F6C41" w:rsidRPr="002E0794">
              <w:rPr>
                <w:color w:val="000000"/>
                <w:sz w:val="18"/>
                <w:szCs w:val="18"/>
                <w:lang w:val="de-DE"/>
              </w:rPr>
              <w:t>1</w:t>
            </w:r>
            <w:r w:rsidRPr="002E0794">
              <w:rPr>
                <w:color w:val="000000"/>
                <w:sz w:val="18"/>
                <w:szCs w:val="18"/>
                <w:lang w:val="de-DE"/>
              </w:rPr>
              <w:t>)</w:t>
            </w:r>
            <w:r w:rsidRPr="002E0794">
              <w:rPr>
                <w:color w:val="000000"/>
                <w:sz w:val="18"/>
                <w:szCs w:val="18"/>
                <w:lang w:val="de-DE"/>
              </w:rPr>
              <w:br/>
            </w:r>
            <w:r w:rsidR="002E0794" w:rsidRPr="002E0794">
              <w:rPr>
                <w:color w:val="000000"/>
                <w:sz w:val="18"/>
                <w:szCs w:val="18"/>
                <w:lang w:val="de-DE"/>
              </w:rPr>
              <w:t>ausgearbeitet von</w:t>
            </w:r>
            <w:r w:rsidR="002E0794">
              <w:rPr>
                <w:color w:val="000000"/>
                <w:sz w:val="18"/>
                <w:szCs w:val="18"/>
                <w:lang w:val="de-DE"/>
              </w:rPr>
              <w:t xml:space="preserve"> führenden Sachverständigen aus</w:t>
            </w:r>
            <w:r w:rsidRPr="002E0794">
              <w:rPr>
                <w:color w:val="000000"/>
                <w:sz w:val="18"/>
                <w:szCs w:val="18"/>
                <w:lang w:val="de-DE"/>
              </w:rPr>
              <w:t>:</w:t>
            </w:r>
            <w:r w:rsidR="0066743C" w:rsidRPr="002E0794">
              <w:rPr>
                <w:color w:val="000000"/>
                <w:sz w:val="18"/>
                <w:szCs w:val="18"/>
                <w:lang w:val="de-DE"/>
              </w:rPr>
              <w:t xml:space="preserve"> DE (1), FR (1), GB (1), GB/PL (1), JP(3), NL (1)</w:t>
            </w:r>
          </w:p>
          <w:p w:rsidR="0072229D" w:rsidRPr="002E0794" w:rsidRDefault="0072229D" w:rsidP="0072229D">
            <w:pPr>
              <w:spacing w:after="120"/>
              <w:ind w:left="743" w:hanging="386"/>
              <w:jc w:val="left"/>
              <w:rPr>
                <w:color w:val="000000"/>
                <w:sz w:val="18"/>
                <w:szCs w:val="18"/>
                <w:lang w:val="de-DE"/>
              </w:rPr>
            </w:pPr>
            <w:r w:rsidRPr="002E0794">
              <w:rPr>
                <w:color w:val="000000"/>
                <w:sz w:val="18"/>
                <w:szCs w:val="18"/>
                <w:lang w:val="de-DE"/>
              </w:rPr>
              <w:t>–</w:t>
            </w:r>
            <w:r w:rsidRPr="002E0794">
              <w:rPr>
                <w:color w:val="000000"/>
                <w:sz w:val="18"/>
                <w:szCs w:val="18"/>
                <w:lang w:val="de-DE"/>
              </w:rPr>
              <w:tab/>
            </w:r>
            <w:r w:rsidR="005F6C41" w:rsidRPr="002E0794">
              <w:rPr>
                <w:color w:val="000000"/>
                <w:sz w:val="18"/>
                <w:szCs w:val="18"/>
                <w:lang w:val="de-DE"/>
              </w:rPr>
              <w:t>4</w:t>
            </w:r>
            <w:r w:rsidRPr="002E0794">
              <w:rPr>
                <w:color w:val="000000"/>
                <w:sz w:val="18"/>
                <w:szCs w:val="18"/>
                <w:lang w:val="de-DE"/>
              </w:rPr>
              <w:t xml:space="preserve"> </w:t>
            </w:r>
            <w:r w:rsidR="00444961" w:rsidRPr="002E0794">
              <w:rPr>
                <w:color w:val="000000"/>
                <w:sz w:val="18"/>
                <w:szCs w:val="18"/>
                <w:lang w:val="de-DE"/>
              </w:rPr>
              <w:t>überarbeitete</w:t>
            </w:r>
            <w:r w:rsidRPr="002E0794">
              <w:rPr>
                <w:color w:val="000000"/>
                <w:sz w:val="18"/>
                <w:szCs w:val="18"/>
                <w:lang w:val="de-DE"/>
              </w:rPr>
              <w:t xml:space="preserve"> </w:t>
            </w:r>
            <w:r w:rsidR="002E0794" w:rsidRPr="002E0794">
              <w:rPr>
                <w:color w:val="000000"/>
                <w:sz w:val="18"/>
                <w:szCs w:val="18"/>
                <w:lang w:val="de-DE"/>
              </w:rPr>
              <w:t>Prüfungsrichtlinien</w:t>
            </w:r>
            <w:r w:rsidRPr="002E0794">
              <w:rPr>
                <w:color w:val="000000"/>
                <w:sz w:val="18"/>
                <w:szCs w:val="18"/>
                <w:lang w:val="de-DE"/>
              </w:rPr>
              <w:t>:  TWA (1), TWF (</w:t>
            </w:r>
            <w:r w:rsidR="005F6C41" w:rsidRPr="002E0794">
              <w:rPr>
                <w:color w:val="000000"/>
                <w:sz w:val="18"/>
                <w:szCs w:val="18"/>
                <w:lang w:val="de-DE"/>
              </w:rPr>
              <w:t>1</w:t>
            </w:r>
            <w:r w:rsidRPr="002E0794">
              <w:rPr>
                <w:color w:val="000000"/>
                <w:sz w:val="18"/>
                <w:szCs w:val="18"/>
                <w:lang w:val="de-DE"/>
              </w:rPr>
              <w:t>), TWV (2)</w:t>
            </w:r>
          </w:p>
          <w:p w:rsidR="00346204" w:rsidRPr="002E0794" w:rsidRDefault="005F6C41" w:rsidP="002874C7">
            <w:pPr>
              <w:spacing w:after="120"/>
              <w:ind w:left="743" w:hanging="386"/>
              <w:jc w:val="left"/>
              <w:rPr>
                <w:color w:val="000000"/>
                <w:sz w:val="18"/>
                <w:szCs w:val="18"/>
                <w:lang w:val="de-DE"/>
              </w:rPr>
            </w:pPr>
            <w:r w:rsidRPr="002E0794">
              <w:rPr>
                <w:color w:val="000000"/>
                <w:sz w:val="18"/>
                <w:szCs w:val="18"/>
                <w:lang w:val="de-DE"/>
              </w:rPr>
              <w:t>–</w:t>
            </w:r>
            <w:r w:rsidRPr="002E0794">
              <w:rPr>
                <w:color w:val="000000"/>
                <w:sz w:val="18"/>
                <w:szCs w:val="18"/>
                <w:lang w:val="de-DE"/>
              </w:rPr>
              <w:tab/>
              <w:t xml:space="preserve">4 </w:t>
            </w:r>
            <w:r w:rsidR="002E0794">
              <w:rPr>
                <w:color w:val="000000"/>
                <w:sz w:val="18"/>
                <w:szCs w:val="18"/>
                <w:lang w:val="de-DE"/>
              </w:rPr>
              <w:t>teilweise</w:t>
            </w:r>
            <w:r w:rsidRPr="002E0794">
              <w:rPr>
                <w:color w:val="000000"/>
                <w:sz w:val="18"/>
                <w:szCs w:val="18"/>
                <w:lang w:val="de-DE"/>
              </w:rPr>
              <w:t xml:space="preserve"> </w:t>
            </w:r>
            <w:r w:rsidR="00444961" w:rsidRPr="002E0794">
              <w:rPr>
                <w:color w:val="000000"/>
                <w:sz w:val="18"/>
                <w:szCs w:val="18"/>
                <w:lang w:val="de-DE"/>
              </w:rPr>
              <w:t>überarbeitete</w:t>
            </w:r>
            <w:r w:rsidRPr="002E0794">
              <w:rPr>
                <w:color w:val="000000"/>
                <w:sz w:val="18"/>
                <w:szCs w:val="18"/>
                <w:lang w:val="de-DE"/>
              </w:rPr>
              <w:t xml:space="preserve"> </w:t>
            </w:r>
            <w:r w:rsidR="002E0794" w:rsidRPr="002E0794">
              <w:rPr>
                <w:color w:val="000000"/>
                <w:sz w:val="18"/>
                <w:szCs w:val="18"/>
                <w:lang w:val="de-DE"/>
              </w:rPr>
              <w:t>Prüfungsrichtlinien</w:t>
            </w:r>
            <w:r w:rsidRPr="002E0794">
              <w:rPr>
                <w:color w:val="000000"/>
                <w:sz w:val="18"/>
                <w:szCs w:val="18"/>
                <w:lang w:val="de-DE"/>
              </w:rPr>
              <w:t>:  TWF (1), TWO (2), TWV/TWA (1)</w:t>
            </w:r>
          </w:p>
        </w:tc>
      </w:tr>
    </w:tbl>
    <w:p w:rsidR="00397659" w:rsidRDefault="00BF4074" w:rsidP="00397659">
      <w:pPr>
        <w:pStyle w:val="Heading9"/>
      </w:pPr>
      <w:bookmarkStart w:id="99" w:name="_Toc336331201"/>
      <w:bookmarkStart w:id="100" w:name="_Toc336339192"/>
      <w:bookmarkStart w:id="101" w:name="_Toc368400544"/>
      <w:proofErr w:type="gramStart"/>
      <w:r>
        <w:t xml:space="preserve">Abbildung </w:t>
      </w:r>
      <w:r w:rsidR="00397659" w:rsidRPr="006054BD">
        <w:t>1.</w:t>
      </w:r>
      <w:proofErr w:type="gramEnd"/>
      <w:r w:rsidR="00397659" w:rsidRPr="006054BD">
        <w:t xml:space="preserve">  </w:t>
      </w:r>
      <w:r>
        <w:t>Annahme von Prüfungsrichtlinien</w:t>
      </w:r>
      <w:bookmarkEnd w:id="99"/>
      <w:bookmarkEnd w:id="100"/>
      <w:bookmarkEnd w:id="101"/>
    </w:p>
    <w:p w:rsidR="00397659" w:rsidRPr="006054BD" w:rsidRDefault="005B3312" w:rsidP="00397659">
      <w:pPr>
        <w:jc w:val="center"/>
        <w:rPr>
          <w:sz w:val="18"/>
          <w:szCs w:val="18"/>
        </w:rPr>
      </w:pPr>
      <w:bookmarkStart w:id="102" w:name="_MON_1410072216"/>
      <w:bookmarkStart w:id="103" w:name="_MON_1410072320"/>
      <w:bookmarkStart w:id="104" w:name="_MON_1408286331"/>
      <w:bookmarkStart w:id="105" w:name="_MON_1408286359"/>
      <w:bookmarkStart w:id="106" w:name="_MON_1408286405"/>
      <w:bookmarkStart w:id="107" w:name="_MON_1408340787"/>
      <w:bookmarkStart w:id="108" w:name="_MON_1408340820"/>
      <w:bookmarkStart w:id="109" w:name="_MON_1433249895"/>
      <w:bookmarkStart w:id="110" w:name="_MON_1408341730"/>
      <w:bookmarkStart w:id="111" w:name="_MON_1408341808"/>
      <w:bookmarkStart w:id="112" w:name="_MON_1408341824"/>
      <w:bookmarkStart w:id="113" w:name="_MON_1408341843"/>
      <w:bookmarkEnd w:id="102"/>
      <w:bookmarkEnd w:id="103"/>
      <w:bookmarkEnd w:id="104"/>
      <w:bookmarkEnd w:id="105"/>
      <w:bookmarkEnd w:id="106"/>
      <w:bookmarkEnd w:id="107"/>
      <w:bookmarkEnd w:id="108"/>
      <w:bookmarkEnd w:id="109"/>
      <w:bookmarkEnd w:id="110"/>
      <w:bookmarkEnd w:id="111"/>
      <w:bookmarkEnd w:id="112"/>
      <w:bookmarkEnd w:id="113"/>
      <w:r>
        <w:rPr>
          <w:noProof/>
        </w:rPr>
        <w:pict>
          <v:shapetype id="_x0000_t202" coordsize="21600,21600" o:spt="202" path="m,l,21600r21600,l21600,xe">
            <v:stroke joinstyle="miter"/>
            <v:path gradientshapeok="t" o:connecttype="rect"/>
          </v:shapetype>
          <v:shape id="_x0000_s1039" type="#_x0000_t202" style="position:absolute;left:0;text-align:left;margin-left:10.8pt;margin-top:36.9pt;width:17.25pt;height:194.25pt;z-index:251666432;mso-width-relative:margin;mso-height-relative:margin" strokecolor="white [3212]">
            <v:textbox style="layout-flow:vertical;mso-layout-flow-alt:bottom-to-top;mso-next-textbox:#_x0000_s1039" inset=".5mm,.3mm,.5mm,.3mm">
              <w:txbxContent>
                <w:p w:rsidR="009D24DE" w:rsidRDefault="009D24DE" w:rsidP="00285B43">
                  <w:r>
                    <w:rPr>
                      <w:b/>
                      <w:bCs/>
                      <w:sz w:val="18"/>
                      <w:szCs w:val="18"/>
                    </w:rPr>
                    <w:t>Anzahl angenommene Prüfungsrichtlinien</w:t>
                  </w:r>
                </w:p>
              </w:txbxContent>
            </v:textbox>
          </v:shape>
        </w:pict>
      </w:r>
      <w:r>
        <w:rPr>
          <w:noProof/>
          <w:lang w:val="de-DE" w:eastAsia="de-DE" w:bidi="he-IL"/>
        </w:rPr>
        <w:pict>
          <v:shape id="_x0000_s1029" type="#_x0000_t202" style="position:absolute;left:0;text-align:left;margin-left:403.8pt;margin-top:107.9pt;width:66pt;height:41.4pt;z-index:251658240;mso-width-relative:margin;mso-height-relative:margin" fillcolor="white [3212]" strokecolor="white [3212]">
            <v:textbox style="mso-next-textbox:#_x0000_s1029" inset="0,0,0,0">
              <w:txbxContent>
                <w:p w:rsidR="00DE5DFD" w:rsidRPr="00545B55" w:rsidRDefault="00DE5DFD" w:rsidP="00545B55">
                  <w:pPr>
                    <w:spacing w:line="480" w:lineRule="auto"/>
                    <w:rPr>
                      <w:sz w:val="14"/>
                      <w:szCs w:val="14"/>
                    </w:rPr>
                  </w:pPr>
                  <w:r w:rsidRPr="00545B55">
                    <w:rPr>
                      <w:sz w:val="14"/>
                      <w:szCs w:val="14"/>
                    </w:rPr>
                    <w:t>Teilüberarbeitungen</w:t>
                  </w:r>
                </w:p>
                <w:p w:rsidR="00DE5DFD" w:rsidRPr="00545B55" w:rsidRDefault="00DE5DFD" w:rsidP="00545B55">
                  <w:pPr>
                    <w:spacing w:line="480" w:lineRule="auto"/>
                    <w:rPr>
                      <w:sz w:val="14"/>
                      <w:szCs w:val="14"/>
                    </w:rPr>
                  </w:pPr>
                  <w:r w:rsidRPr="00545B55">
                    <w:rPr>
                      <w:sz w:val="14"/>
                      <w:szCs w:val="14"/>
                    </w:rPr>
                    <w:t>Überarbeitungen</w:t>
                  </w:r>
                </w:p>
                <w:p w:rsidR="00DE5DFD" w:rsidRPr="00545B55" w:rsidRDefault="00DE5DFD" w:rsidP="00545B55">
                  <w:pPr>
                    <w:spacing w:line="480" w:lineRule="auto"/>
                    <w:rPr>
                      <w:sz w:val="14"/>
                      <w:szCs w:val="14"/>
                    </w:rPr>
                  </w:pPr>
                  <w:r w:rsidRPr="00545B55">
                    <w:rPr>
                      <w:sz w:val="14"/>
                      <w:szCs w:val="14"/>
                    </w:rPr>
                    <w:t>Neu</w:t>
                  </w:r>
                </w:p>
              </w:txbxContent>
            </v:textbox>
          </v:shape>
        </w:pict>
      </w:r>
      <w:r>
        <w:rPr>
          <w:noProof/>
          <w:lang w:val="de-DE" w:eastAsia="de-DE" w:bidi="he-IL"/>
        </w:rPr>
        <w:pict>
          <v:shape id="_x0000_s1030" type="#_x0000_t202" style="position:absolute;left:0;text-align:left;margin-left:205.8pt;margin-top:269.4pt;width:87pt;height:15.75pt;z-index:251659264;mso-width-relative:margin;mso-height-relative:margin" strokecolor="white [3212]">
            <v:textbox style="mso-next-textbox:#_x0000_s1030" inset=".5mm,.3mm,.5mm,.3mm">
              <w:txbxContent>
                <w:p w:rsidR="00DE5DFD" w:rsidRPr="00285B43" w:rsidRDefault="00DE5DFD" w:rsidP="00285B43">
                  <w:pPr>
                    <w:rPr>
                      <w:b/>
                      <w:bCs/>
                      <w:sz w:val="18"/>
                      <w:szCs w:val="18"/>
                    </w:rPr>
                  </w:pPr>
                  <w:r w:rsidRPr="00285B43">
                    <w:rPr>
                      <w:b/>
                      <w:bCs/>
                      <w:sz w:val="18"/>
                      <w:szCs w:val="18"/>
                    </w:rPr>
                    <w:t>Jahr</w:t>
                  </w:r>
                </w:p>
                <w:p w:rsidR="00DE5DFD" w:rsidRDefault="00DE5DFD" w:rsidP="00285B43"/>
              </w:txbxContent>
            </v:textbox>
          </v:shape>
        </w:pict>
      </w:r>
      <w:bookmarkStart w:id="114" w:name="_MON_1408343081"/>
      <w:bookmarkEnd w:id="114"/>
      <w:r w:rsidR="001C407C" w:rsidRPr="006054BD">
        <w:rPr>
          <w:sz w:val="18"/>
          <w:szCs w:val="18"/>
        </w:rPr>
        <w:object w:dxaOrig="9390" w:dyaOrig="5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89.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8" ShapeID="_x0000_i1025" DrawAspect="Content" ObjectID="_1442149783" r:id="rId18">
            <o:FieldCodes>\s</o:FieldCodes>
          </o:OLEObject>
        </w:object>
      </w:r>
    </w:p>
    <w:p w:rsidR="00397659" w:rsidRPr="006054BD" w:rsidRDefault="00397659" w:rsidP="0058157E"/>
    <w:p w:rsidR="00397659" w:rsidRPr="006054BD" w:rsidRDefault="00397659" w:rsidP="0058157E"/>
    <w:tbl>
      <w:tblPr>
        <w:tblW w:w="9889" w:type="dxa"/>
        <w:tblLayout w:type="fixed"/>
        <w:tblLook w:val="0000" w:firstRow="0" w:lastRow="0" w:firstColumn="0" w:lastColumn="0" w:noHBand="0" w:noVBand="0"/>
      </w:tblPr>
      <w:tblGrid>
        <w:gridCol w:w="2093"/>
        <w:gridCol w:w="7796"/>
      </w:tblGrid>
      <w:tr w:rsidR="00346204" w:rsidRPr="006054BD" w:rsidTr="002874C7">
        <w:tc>
          <w:tcPr>
            <w:tcW w:w="2093" w:type="dxa"/>
            <w:shd w:val="clear" w:color="auto" w:fill="auto"/>
          </w:tcPr>
          <w:p w:rsidR="00346204" w:rsidRPr="006054BD" w:rsidRDefault="00A71FDD" w:rsidP="000E4306">
            <w:pPr>
              <w:spacing w:after="240"/>
              <w:rPr>
                <w:b/>
                <w:sz w:val="18"/>
                <w:szCs w:val="18"/>
              </w:rPr>
            </w:pPr>
            <w:r>
              <w:rPr>
                <w:b/>
                <w:sz w:val="18"/>
                <w:szCs w:val="18"/>
              </w:rPr>
              <w:t>Erwartete Ergebnisse</w:t>
            </w:r>
          </w:p>
        </w:tc>
        <w:tc>
          <w:tcPr>
            <w:tcW w:w="7796" w:type="dxa"/>
            <w:shd w:val="clear" w:color="auto" w:fill="auto"/>
          </w:tcPr>
          <w:p w:rsidR="00346204" w:rsidRPr="006054BD" w:rsidRDefault="00A71FDD" w:rsidP="000E4306">
            <w:pPr>
              <w:spacing w:after="240"/>
              <w:rPr>
                <w:b/>
                <w:sz w:val="18"/>
                <w:szCs w:val="18"/>
              </w:rPr>
            </w:pPr>
            <w:r>
              <w:rPr>
                <w:b/>
                <w:sz w:val="18"/>
                <w:szCs w:val="18"/>
              </w:rPr>
              <w:t>Erzielte Ergebnisse</w:t>
            </w:r>
            <w:r w:rsidR="00346204" w:rsidRPr="006054BD">
              <w:rPr>
                <w:b/>
                <w:sz w:val="18"/>
                <w:szCs w:val="18"/>
              </w:rPr>
              <w:t xml:space="preserve">:  </w:t>
            </w:r>
            <w:r>
              <w:rPr>
                <w:b/>
                <w:sz w:val="18"/>
                <w:szCs w:val="18"/>
              </w:rPr>
              <w:t>Ausgewählte Planerfüllungsindikatoren</w:t>
            </w:r>
          </w:p>
        </w:tc>
      </w:tr>
      <w:tr w:rsidR="00346204" w:rsidRPr="00B651B2" w:rsidTr="002874C7">
        <w:tc>
          <w:tcPr>
            <w:tcW w:w="2093" w:type="dxa"/>
            <w:shd w:val="clear" w:color="auto" w:fill="auto"/>
          </w:tcPr>
          <w:p w:rsidR="00346204" w:rsidRPr="00BF4074" w:rsidRDefault="00346204" w:rsidP="008334C6">
            <w:pPr>
              <w:jc w:val="left"/>
              <w:rPr>
                <w:i/>
                <w:lang w:val="de-DE"/>
              </w:rPr>
            </w:pPr>
            <w:r w:rsidRPr="00126859">
              <w:rPr>
                <w:i/>
                <w:sz w:val="18"/>
                <w:szCs w:val="18"/>
                <w:lang w:val="de-DE"/>
              </w:rPr>
              <w:t>2.  </w:t>
            </w:r>
            <w:r w:rsidR="00BF4074" w:rsidRPr="00BF4074">
              <w:rPr>
                <w:i/>
                <w:sz w:val="18"/>
                <w:szCs w:val="18"/>
                <w:lang w:val="de-DE"/>
              </w:rPr>
              <w:t>Anleitung zur Prüfung von Sorten</w:t>
            </w:r>
            <w:r w:rsidRPr="00BF4074">
              <w:rPr>
                <w:i/>
                <w:sz w:val="18"/>
                <w:szCs w:val="18"/>
                <w:lang w:val="de-DE"/>
              </w:rPr>
              <w:t xml:space="preserve"> </w:t>
            </w:r>
            <w:r w:rsidRPr="00BF4074">
              <w:rPr>
                <w:sz w:val="18"/>
                <w:szCs w:val="18"/>
                <w:lang w:val="de-DE"/>
              </w:rPr>
              <w:t>(</w:t>
            </w:r>
            <w:r w:rsidR="005017B4" w:rsidRPr="00BF4074">
              <w:rPr>
                <w:sz w:val="18"/>
                <w:szCs w:val="18"/>
                <w:lang w:val="de-DE"/>
              </w:rPr>
              <w:t>Fortsetzung</w:t>
            </w:r>
            <w:r w:rsidRPr="00BF4074">
              <w:rPr>
                <w:sz w:val="18"/>
                <w:szCs w:val="18"/>
                <w:lang w:val="de-DE"/>
              </w:rPr>
              <w:t>)</w:t>
            </w:r>
          </w:p>
        </w:tc>
        <w:tc>
          <w:tcPr>
            <w:tcW w:w="7796" w:type="dxa"/>
            <w:shd w:val="clear" w:color="auto" w:fill="auto"/>
          </w:tcPr>
          <w:p w:rsidR="00346204" w:rsidRPr="002E0794" w:rsidRDefault="00BF4074" w:rsidP="00346204">
            <w:pPr>
              <w:spacing w:after="120"/>
              <w:jc w:val="left"/>
              <w:rPr>
                <w:i/>
                <w:color w:val="000000"/>
                <w:sz w:val="18"/>
                <w:szCs w:val="18"/>
                <w:lang w:val="de-DE"/>
              </w:rPr>
            </w:pPr>
            <w:r>
              <w:rPr>
                <w:i/>
                <w:color w:val="000000"/>
                <w:sz w:val="18"/>
                <w:szCs w:val="18"/>
                <w:lang w:val="de-DE"/>
              </w:rPr>
              <w:t>Von den Technischen Arbeitsgruppen weitergeführte Prüfungsrichtlinien</w:t>
            </w:r>
          </w:p>
          <w:p w:rsidR="00346204" w:rsidRPr="002E0794" w:rsidRDefault="00346204" w:rsidP="00346204">
            <w:pPr>
              <w:keepNext/>
              <w:keepLines/>
              <w:numPr>
                <w:ilvl w:val="0"/>
                <w:numId w:val="21"/>
              </w:numPr>
              <w:tabs>
                <w:tab w:val="num" w:pos="318"/>
              </w:tabs>
              <w:spacing w:after="120"/>
              <w:ind w:left="357" w:hanging="357"/>
              <w:jc w:val="left"/>
              <w:rPr>
                <w:i/>
                <w:color w:val="000000"/>
                <w:sz w:val="18"/>
                <w:szCs w:val="18"/>
                <w:lang w:val="de-DE"/>
              </w:rPr>
            </w:pPr>
            <w:r w:rsidRPr="002E0794">
              <w:rPr>
                <w:color w:val="000000"/>
                <w:sz w:val="18"/>
                <w:szCs w:val="18"/>
                <w:lang w:val="de-DE"/>
              </w:rPr>
              <w:t>5</w:t>
            </w:r>
            <w:r w:rsidR="00F111CB" w:rsidRPr="002E0794">
              <w:rPr>
                <w:color w:val="000000"/>
                <w:sz w:val="18"/>
                <w:szCs w:val="18"/>
                <w:lang w:val="de-DE"/>
              </w:rPr>
              <w:t>9</w:t>
            </w:r>
            <w:r w:rsidRPr="002E0794">
              <w:rPr>
                <w:color w:val="000000"/>
                <w:sz w:val="18"/>
                <w:szCs w:val="18"/>
                <w:lang w:val="de-DE"/>
              </w:rPr>
              <w:t xml:space="preserve"> </w:t>
            </w:r>
            <w:r w:rsidR="00BF4074" w:rsidRPr="00BF4074">
              <w:rPr>
                <w:color w:val="000000"/>
                <w:sz w:val="18"/>
                <w:szCs w:val="18"/>
                <w:lang w:val="de-DE"/>
              </w:rPr>
              <w:t>von den Technischen Arbeitsgruppen weitergeführte Entwürfe von Prüfungsrichtlinien, darunter</w:t>
            </w:r>
          </w:p>
          <w:p w:rsidR="00346204" w:rsidRPr="002E0794" w:rsidRDefault="00346204" w:rsidP="00346204">
            <w:pPr>
              <w:spacing w:after="60"/>
              <w:ind w:left="743" w:hanging="386"/>
              <w:jc w:val="left"/>
              <w:rPr>
                <w:i/>
                <w:color w:val="000000"/>
                <w:sz w:val="18"/>
                <w:szCs w:val="18"/>
                <w:lang w:val="de-DE"/>
              </w:rPr>
            </w:pPr>
            <w:r w:rsidRPr="002E0794">
              <w:rPr>
                <w:color w:val="000000"/>
                <w:sz w:val="18"/>
                <w:szCs w:val="18"/>
                <w:lang w:val="de-DE"/>
              </w:rPr>
              <w:t>–</w:t>
            </w:r>
            <w:r w:rsidRPr="002E0794">
              <w:rPr>
                <w:color w:val="000000"/>
                <w:sz w:val="18"/>
                <w:szCs w:val="18"/>
                <w:lang w:val="de-DE"/>
              </w:rPr>
              <w:tab/>
            </w:r>
            <w:r w:rsidR="005734C5" w:rsidRPr="002E0794">
              <w:rPr>
                <w:color w:val="000000"/>
                <w:sz w:val="18"/>
                <w:szCs w:val="18"/>
                <w:lang w:val="de-DE"/>
              </w:rPr>
              <w:t>36</w:t>
            </w:r>
            <w:r w:rsidR="002E0794">
              <w:rPr>
                <w:color w:val="000000"/>
                <w:sz w:val="18"/>
                <w:szCs w:val="18"/>
                <w:lang w:val="de-DE"/>
              </w:rPr>
              <w:t xml:space="preserve"> neue </w:t>
            </w:r>
            <w:r w:rsidR="002E0794" w:rsidRPr="002E0794">
              <w:rPr>
                <w:color w:val="000000"/>
                <w:sz w:val="18"/>
                <w:szCs w:val="18"/>
                <w:lang w:val="de-DE"/>
              </w:rPr>
              <w:t>Prüfungsrichtlinien</w:t>
            </w:r>
            <w:r w:rsidRPr="002E0794">
              <w:rPr>
                <w:color w:val="000000"/>
                <w:sz w:val="18"/>
                <w:szCs w:val="18"/>
                <w:lang w:val="de-DE"/>
              </w:rPr>
              <w:t>:  TWA (</w:t>
            </w:r>
            <w:r w:rsidR="00ED58CB" w:rsidRPr="002E0794">
              <w:rPr>
                <w:color w:val="000000"/>
                <w:sz w:val="18"/>
                <w:szCs w:val="18"/>
                <w:lang w:val="de-DE"/>
              </w:rPr>
              <w:t>8</w:t>
            </w:r>
            <w:r w:rsidRPr="002E0794">
              <w:rPr>
                <w:color w:val="000000"/>
                <w:sz w:val="18"/>
                <w:szCs w:val="18"/>
                <w:lang w:val="de-DE"/>
              </w:rPr>
              <w:t xml:space="preserve">), </w:t>
            </w:r>
            <w:r w:rsidR="00ED58CB" w:rsidRPr="002E0794">
              <w:rPr>
                <w:color w:val="000000"/>
                <w:sz w:val="18"/>
                <w:szCs w:val="18"/>
                <w:lang w:val="de-DE"/>
              </w:rPr>
              <w:t>TWA/TWV (1), TWF (</w:t>
            </w:r>
            <w:r w:rsidR="005734C5" w:rsidRPr="002E0794">
              <w:rPr>
                <w:color w:val="000000"/>
                <w:sz w:val="18"/>
                <w:szCs w:val="18"/>
                <w:lang w:val="de-DE"/>
              </w:rPr>
              <w:t>8</w:t>
            </w:r>
            <w:r w:rsidRPr="002E0794">
              <w:rPr>
                <w:color w:val="000000"/>
                <w:sz w:val="18"/>
                <w:szCs w:val="18"/>
                <w:lang w:val="de-DE"/>
              </w:rPr>
              <w:t>), TWO (1</w:t>
            </w:r>
            <w:r w:rsidR="00ED58CB" w:rsidRPr="002E0794">
              <w:rPr>
                <w:color w:val="000000"/>
                <w:sz w:val="18"/>
                <w:szCs w:val="18"/>
                <w:lang w:val="de-DE"/>
              </w:rPr>
              <w:t>5</w:t>
            </w:r>
            <w:r w:rsidRPr="002E0794">
              <w:rPr>
                <w:color w:val="000000"/>
                <w:sz w:val="18"/>
                <w:szCs w:val="18"/>
                <w:lang w:val="de-DE"/>
              </w:rPr>
              <w:t>), TWV (</w:t>
            </w:r>
            <w:r w:rsidR="005734C5" w:rsidRPr="002E0794">
              <w:rPr>
                <w:color w:val="000000"/>
                <w:sz w:val="18"/>
                <w:szCs w:val="18"/>
                <w:lang w:val="de-DE"/>
              </w:rPr>
              <w:t>4</w:t>
            </w:r>
            <w:r w:rsidRPr="002E0794">
              <w:rPr>
                <w:color w:val="000000"/>
                <w:sz w:val="18"/>
                <w:szCs w:val="18"/>
                <w:lang w:val="de-DE"/>
              </w:rPr>
              <w:t>)</w:t>
            </w:r>
          </w:p>
          <w:p w:rsidR="00346204" w:rsidRPr="00B651B2" w:rsidRDefault="00346204" w:rsidP="005100FC">
            <w:pPr>
              <w:tabs>
                <w:tab w:val="left" w:pos="756"/>
                <w:tab w:val="left" w:pos="2444"/>
              </w:tabs>
              <w:spacing w:after="60"/>
              <w:ind w:left="2444" w:hanging="2087"/>
              <w:jc w:val="left"/>
              <w:rPr>
                <w:color w:val="000000"/>
                <w:sz w:val="18"/>
                <w:szCs w:val="18"/>
                <w:lang w:val="de-DE"/>
              </w:rPr>
            </w:pPr>
            <w:r w:rsidRPr="00B651B2">
              <w:rPr>
                <w:color w:val="000000"/>
                <w:sz w:val="18"/>
                <w:szCs w:val="18"/>
                <w:lang w:val="de-DE"/>
              </w:rPr>
              <w:t>–</w:t>
            </w:r>
            <w:r w:rsidRPr="00B651B2">
              <w:rPr>
                <w:color w:val="000000"/>
                <w:sz w:val="18"/>
                <w:szCs w:val="18"/>
                <w:lang w:val="de-DE"/>
              </w:rPr>
              <w:tab/>
              <w:t>1</w:t>
            </w:r>
            <w:r w:rsidR="00362357" w:rsidRPr="00B651B2">
              <w:rPr>
                <w:color w:val="000000"/>
                <w:sz w:val="18"/>
                <w:szCs w:val="18"/>
                <w:lang w:val="de-DE"/>
              </w:rPr>
              <w:t>6</w:t>
            </w:r>
            <w:r w:rsidR="005734C5" w:rsidRPr="00B651B2">
              <w:rPr>
                <w:color w:val="000000"/>
                <w:sz w:val="18"/>
                <w:szCs w:val="18"/>
                <w:lang w:val="de-DE"/>
              </w:rPr>
              <w:t xml:space="preserve"> </w:t>
            </w:r>
            <w:r w:rsidR="00BF4074">
              <w:rPr>
                <w:color w:val="000000"/>
                <w:sz w:val="18"/>
                <w:szCs w:val="18"/>
                <w:lang w:val="de-DE"/>
              </w:rPr>
              <w:t>Überarbeitungen</w:t>
            </w:r>
            <w:r w:rsidRPr="00B651B2">
              <w:rPr>
                <w:color w:val="000000"/>
                <w:sz w:val="18"/>
                <w:szCs w:val="18"/>
                <w:lang w:val="de-DE"/>
              </w:rPr>
              <w:t>:  TWA (</w:t>
            </w:r>
            <w:r w:rsidR="00CD37DB" w:rsidRPr="00B651B2">
              <w:rPr>
                <w:color w:val="000000"/>
                <w:sz w:val="18"/>
                <w:szCs w:val="18"/>
                <w:lang w:val="de-DE"/>
              </w:rPr>
              <w:t>5</w:t>
            </w:r>
            <w:r w:rsidRPr="00B651B2">
              <w:rPr>
                <w:color w:val="000000"/>
                <w:sz w:val="18"/>
                <w:szCs w:val="18"/>
                <w:lang w:val="de-DE"/>
              </w:rPr>
              <w:t>), TWF (</w:t>
            </w:r>
            <w:r w:rsidR="00362357" w:rsidRPr="00B651B2">
              <w:rPr>
                <w:color w:val="000000"/>
                <w:sz w:val="18"/>
                <w:szCs w:val="18"/>
                <w:lang w:val="de-DE"/>
              </w:rPr>
              <w:t>2</w:t>
            </w:r>
            <w:r w:rsidRPr="00B651B2">
              <w:rPr>
                <w:color w:val="000000"/>
                <w:sz w:val="18"/>
                <w:szCs w:val="18"/>
                <w:lang w:val="de-DE"/>
              </w:rPr>
              <w:t>), TWO (</w:t>
            </w:r>
            <w:r w:rsidR="00CD37DB" w:rsidRPr="00B651B2">
              <w:rPr>
                <w:color w:val="000000"/>
                <w:sz w:val="18"/>
                <w:szCs w:val="18"/>
                <w:lang w:val="de-DE"/>
              </w:rPr>
              <w:t>4</w:t>
            </w:r>
            <w:r w:rsidRPr="00B651B2">
              <w:rPr>
                <w:color w:val="000000"/>
                <w:sz w:val="18"/>
                <w:szCs w:val="18"/>
                <w:lang w:val="de-DE"/>
              </w:rPr>
              <w:t>), TWV (</w:t>
            </w:r>
            <w:r w:rsidR="00CD37DB" w:rsidRPr="00B651B2">
              <w:rPr>
                <w:color w:val="000000"/>
                <w:sz w:val="18"/>
                <w:szCs w:val="18"/>
                <w:lang w:val="de-DE"/>
              </w:rPr>
              <w:t>5</w:t>
            </w:r>
            <w:r w:rsidRPr="00B651B2">
              <w:rPr>
                <w:color w:val="000000"/>
                <w:sz w:val="18"/>
                <w:szCs w:val="18"/>
                <w:lang w:val="de-DE"/>
              </w:rPr>
              <w:t>)</w:t>
            </w:r>
          </w:p>
          <w:p w:rsidR="00EA1B6B" w:rsidRPr="00B651B2" w:rsidRDefault="00346204" w:rsidP="005350C6">
            <w:pPr>
              <w:tabs>
                <w:tab w:val="left" w:pos="756"/>
                <w:tab w:val="left" w:pos="2444"/>
              </w:tabs>
              <w:spacing w:after="120"/>
              <w:ind w:left="2444" w:hanging="2087"/>
              <w:jc w:val="left"/>
              <w:rPr>
                <w:color w:val="000000"/>
                <w:sz w:val="18"/>
                <w:szCs w:val="18"/>
                <w:lang w:val="de-DE"/>
              </w:rPr>
            </w:pPr>
            <w:r w:rsidRPr="00B651B2">
              <w:rPr>
                <w:color w:val="000000"/>
                <w:sz w:val="18"/>
                <w:szCs w:val="18"/>
                <w:lang w:val="de-DE"/>
              </w:rPr>
              <w:t>–</w:t>
            </w:r>
            <w:r w:rsidRPr="00B651B2">
              <w:rPr>
                <w:color w:val="000000"/>
                <w:sz w:val="18"/>
                <w:szCs w:val="18"/>
                <w:lang w:val="de-DE"/>
              </w:rPr>
              <w:tab/>
            </w:r>
            <w:r w:rsidR="005350C6" w:rsidRPr="00B651B2">
              <w:rPr>
                <w:color w:val="000000"/>
                <w:sz w:val="18"/>
                <w:szCs w:val="18"/>
                <w:lang w:val="de-DE"/>
              </w:rPr>
              <w:t xml:space="preserve">  7</w:t>
            </w:r>
            <w:r w:rsidRPr="00B651B2">
              <w:rPr>
                <w:color w:val="000000"/>
                <w:sz w:val="18"/>
                <w:szCs w:val="18"/>
                <w:lang w:val="de-DE"/>
              </w:rPr>
              <w:t xml:space="preserve"> </w:t>
            </w:r>
            <w:r w:rsidR="00BF4074">
              <w:rPr>
                <w:color w:val="000000"/>
                <w:sz w:val="18"/>
                <w:szCs w:val="18"/>
                <w:lang w:val="de-DE"/>
              </w:rPr>
              <w:t>Teilüberarbeitungen</w:t>
            </w:r>
            <w:r w:rsidRPr="00B651B2">
              <w:rPr>
                <w:color w:val="000000"/>
                <w:sz w:val="18"/>
                <w:szCs w:val="18"/>
                <w:lang w:val="de-DE"/>
              </w:rPr>
              <w:t>:  TWF (</w:t>
            </w:r>
            <w:r w:rsidR="005350C6" w:rsidRPr="00B651B2">
              <w:rPr>
                <w:color w:val="000000"/>
                <w:sz w:val="18"/>
                <w:szCs w:val="18"/>
                <w:lang w:val="de-DE"/>
              </w:rPr>
              <w:t>3</w:t>
            </w:r>
            <w:r w:rsidR="00CD37DB" w:rsidRPr="00B651B2">
              <w:rPr>
                <w:color w:val="000000"/>
                <w:sz w:val="18"/>
                <w:szCs w:val="18"/>
                <w:lang w:val="de-DE"/>
              </w:rPr>
              <w:t>), TWO (1</w:t>
            </w:r>
            <w:r w:rsidRPr="00B651B2">
              <w:rPr>
                <w:color w:val="000000"/>
                <w:sz w:val="18"/>
                <w:szCs w:val="18"/>
                <w:lang w:val="de-DE"/>
              </w:rPr>
              <w:t xml:space="preserve">), TWV (3) </w:t>
            </w:r>
          </w:p>
        </w:tc>
      </w:tr>
      <w:tr w:rsidR="00346204" w:rsidRPr="00DE5DFD" w:rsidTr="002874C7">
        <w:trPr>
          <w:cantSplit/>
        </w:trPr>
        <w:tc>
          <w:tcPr>
            <w:tcW w:w="2093" w:type="dxa"/>
            <w:shd w:val="clear" w:color="auto" w:fill="auto"/>
          </w:tcPr>
          <w:p w:rsidR="00346204" w:rsidRPr="00B651B2" w:rsidRDefault="00346204" w:rsidP="00114294">
            <w:pPr>
              <w:pStyle w:val="Heading6"/>
              <w:rPr>
                <w:lang w:val="de-DE"/>
              </w:rPr>
            </w:pPr>
          </w:p>
        </w:tc>
        <w:tc>
          <w:tcPr>
            <w:tcW w:w="7796" w:type="dxa"/>
            <w:shd w:val="clear" w:color="auto" w:fill="auto"/>
          </w:tcPr>
          <w:p w:rsidR="00346204" w:rsidRPr="00180DB8" w:rsidRDefault="00E163EA" w:rsidP="008334C6">
            <w:pPr>
              <w:pStyle w:val="Heading8"/>
              <w:rPr>
                <w:i w:val="0"/>
                <w:szCs w:val="18"/>
                <w:lang w:val="de-DE"/>
              </w:rPr>
            </w:pPr>
            <w:bookmarkStart w:id="115" w:name="_Toc368400545"/>
            <w:r w:rsidRPr="00180DB8">
              <w:rPr>
                <w:szCs w:val="18"/>
                <w:lang w:val="de-DE"/>
              </w:rPr>
              <w:t>(c)</w:t>
            </w:r>
            <w:r w:rsidR="00346204" w:rsidRPr="00180DB8">
              <w:rPr>
                <w:szCs w:val="18"/>
                <w:lang w:val="de-DE"/>
              </w:rPr>
              <w:t xml:space="preserve">  </w:t>
            </w:r>
            <w:r w:rsidR="00180DB8" w:rsidRPr="00180DB8">
              <w:rPr>
                <w:szCs w:val="18"/>
                <w:lang w:val="de-DE"/>
              </w:rPr>
              <w:t>Teilnahme an Seminaren und Symposien in Genf in Verbindung mit den Tagungen der UPOV</w:t>
            </w:r>
            <w:bookmarkEnd w:id="115"/>
          </w:p>
          <w:p w:rsidR="00346204" w:rsidRPr="00BF4074" w:rsidRDefault="00BF4074" w:rsidP="002A163F">
            <w:pPr>
              <w:keepNext/>
              <w:keepLines/>
              <w:numPr>
                <w:ilvl w:val="0"/>
                <w:numId w:val="19"/>
              </w:numPr>
              <w:spacing w:after="120"/>
              <w:ind w:right="176"/>
              <w:jc w:val="left"/>
              <w:rPr>
                <w:sz w:val="18"/>
                <w:szCs w:val="18"/>
                <w:lang w:val="de-DE"/>
              </w:rPr>
            </w:pPr>
            <w:r w:rsidRPr="00BF4074">
              <w:rPr>
                <w:sz w:val="18"/>
                <w:szCs w:val="18"/>
                <w:lang w:val="de-DE"/>
              </w:rPr>
              <w:t>Erörterung über</w:t>
            </w:r>
            <w:r w:rsidR="0019714D" w:rsidRPr="00BF4074">
              <w:rPr>
                <w:sz w:val="18"/>
                <w:szCs w:val="18"/>
                <w:lang w:val="de-DE"/>
              </w:rPr>
              <w:t xml:space="preserve"> </w:t>
            </w:r>
            <w:r w:rsidRPr="00BF4074">
              <w:rPr>
                <w:sz w:val="18"/>
                <w:szCs w:val="18"/>
                <w:lang w:val="de-DE"/>
              </w:rPr>
              <w:t>Erfahrungen der</w:t>
            </w:r>
            <w:r w:rsidR="0019714D" w:rsidRPr="00BF4074">
              <w:rPr>
                <w:sz w:val="18"/>
                <w:szCs w:val="18"/>
                <w:lang w:val="de-DE"/>
              </w:rPr>
              <w:t xml:space="preserve"> </w:t>
            </w:r>
            <w:r w:rsidR="003F377D" w:rsidRPr="00BF4074">
              <w:rPr>
                <w:sz w:val="18"/>
                <w:szCs w:val="18"/>
                <w:lang w:val="de-DE"/>
              </w:rPr>
              <w:t>Verbandsmitglieder</w:t>
            </w:r>
            <w:r w:rsidR="0019714D" w:rsidRPr="00BF4074">
              <w:rPr>
                <w:sz w:val="18"/>
                <w:szCs w:val="18"/>
                <w:lang w:val="de-DE"/>
              </w:rPr>
              <w:t xml:space="preserve"> </w:t>
            </w:r>
            <w:r w:rsidRPr="00BF4074">
              <w:rPr>
                <w:sz w:val="18"/>
                <w:szCs w:val="18"/>
                <w:lang w:val="de-DE"/>
              </w:rPr>
              <w:t>bezüglich der Ma</w:t>
            </w:r>
            <w:r>
              <w:rPr>
                <w:sz w:val="18"/>
                <w:szCs w:val="18"/>
                <w:lang w:val="de-DE"/>
              </w:rPr>
              <w:t xml:space="preserve">ßnahmen zur Verbesserung der </w:t>
            </w:r>
            <w:r w:rsidR="00FE2376" w:rsidRPr="00FE2376">
              <w:rPr>
                <w:sz w:val="18"/>
                <w:szCs w:val="18"/>
                <w:lang w:val="de-DE"/>
              </w:rPr>
              <w:t>Effizienz</w:t>
            </w:r>
            <w:r w:rsidR="00FE2376">
              <w:rPr>
                <w:sz w:val="18"/>
                <w:szCs w:val="18"/>
                <w:lang w:val="de-DE"/>
              </w:rPr>
              <w:t xml:space="preserve"> und </w:t>
            </w:r>
            <w:r w:rsidR="00FE2376" w:rsidRPr="00FE2376">
              <w:rPr>
                <w:sz w:val="18"/>
                <w:szCs w:val="18"/>
                <w:lang w:val="de-DE"/>
              </w:rPr>
              <w:t xml:space="preserve">Effektivität </w:t>
            </w:r>
            <w:r w:rsidR="00FE2376">
              <w:rPr>
                <w:sz w:val="18"/>
                <w:szCs w:val="18"/>
                <w:lang w:val="de-DE"/>
              </w:rPr>
              <w:t xml:space="preserve">der </w:t>
            </w:r>
            <w:r w:rsidR="0019714D" w:rsidRPr="00BF4074">
              <w:rPr>
                <w:sz w:val="18"/>
                <w:szCs w:val="18"/>
                <w:lang w:val="de-DE"/>
              </w:rPr>
              <w:t>DUS</w:t>
            </w:r>
            <w:r w:rsidR="00FE2376">
              <w:rPr>
                <w:sz w:val="18"/>
                <w:szCs w:val="18"/>
                <w:lang w:val="de-DE"/>
              </w:rPr>
              <w:t>-Prüfung</w:t>
            </w:r>
          </w:p>
          <w:p w:rsidR="008334C6" w:rsidRPr="003F377D" w:rsidRDefault="005F4702" w:rsidP="002A163F">
            <w:pPr>
              <w:ind w:left="360"/>
              <w:jc w:val="left"/>
              <w:rPr>
                <w:sz w:val="18"/>
                <w:szCs w:val="18"/>
                <w:lang w:val="de-DE"/>
              </w:rPr>
            </w:pPr>
            <w:r w:rsidRPr="003F377D">
              <w:rPr>
                <w:sz w:val="18"/>
                <w:szCs w:val="18"/>
                <w:lang w:val="de-DE"/>
              </w:rPr>
              <w:t xml:space="preserve">89 </w:t>
            </w:r>
            <w:r w:rsidR="003F377D" w:rsidRPr="003F377D">
              <w:rPr>
                <w:sz w:val="18"/>
                <w:szCs w:val="18"/>
                <w:lang w:val="de-DE"/>
              </w:rPr>
              <w:t>Teilnehmer aus</w:t>
            </w:r>
            <w:r w:rsidR="0019714D" w:rsidRPr="003F377D">
              <w:rPr>
                <w:sz w:val="18"/>
                <w:szCs w:val="18"/>
                <w:lang w:val="de-DE"/>
              </w:rPr>
              <w:t xml:space="preserve"> </w:t>
            </w:r>
            <w:r w:rsidRPr="003F377D">
              <w:rPr>
                <w:sz w:val="18"/>
                <w:szCs w:val="18"/>
                <w:lang w:val="de-DE"/>
              </w:rPr>
              <w:t>42</w:t>
            </w:r>
            <w:r w:rsidR="0019714D" w:rsidRPr="003F377D">
              <w:rPr>
                <w:sz w:val="18"/>
                <w:szCs w:val="18"/>
                <w:lang w:val="de-DE"/>
              </w:rPr>
              <w:t xml:space="preserve"> </w:t>
            </w:r>
            <w:r w:rsidR="003F377D" w:rsidRPr="003F377D">
              <w:rPr>
                <w:sz w:val="18"/>
                <w:szCs w:val="18"/>
                <w:lang w:val="de-DE"/>
              </w:rPr>
              <w:t>Verbandsmitglieder</w:t>
            </w:r>
            <w:r w:rsidR="006607E5">
              <w:rPr>
                <w:sz w:val="18"/>
                <w:szCs w:val="18"/>
                <w:lang w:val="de-DE"/>
              </w:rPr>
              <w:t>n</w:t>
            </w:r>
            <w:r w:rsidR="0019714D" w:rsidRPr="003F377D">
              <w:rPr>
                <w:sz w:val="18"/>
                <w:szCs w:val="18"/>
                <w:lang w:val="de-DE"/>
              </w:rPr>
              <w:t xml:space="preserve">, </w:t>
            </w:r>
            <w:r w:rsidRPr="003F377D">
              <w:rPr>
                <w:sz w:val="18"/>
                <w:szCs w:val="18"/>
                <w:lang w:val="de-DE"/>
              </w:rPr>
              <w:t>4</w:t>
            </w:r>
            <w:r w:rsidR="0019714D" w:rsidRPr="003F377D">
              <w:rPr>
                <w:sz w:val="18"/>
                <w:szCs w:val="18"/>
                <w:lang w:val="de-DE"/>
              </w:rPr>
              <w:t xml:space="preserve"> </w:t>
            </w:r>
            <w:r w:rsidR="003F377D">
              <w:rPr>
                <w:sz w:val="18"/>
                <w:szCs w:val="18"/>
                <w:lang w:val="de-DE"/>
              </w:rPr>
              <w:t xml:space="preserve">Beobachterstaaten und </w:t>
            </w:r>
            <w:r w:rsidR="0019714D" w:rsidRPr="003F377D">
              <w:rPr>
                <w:sz w:val="18"/>
                <w:szCs w:val="18"/>
                <w:lang w:val="de-DE"/>
              </w:rPr>
              <w:br/>
            </w:r>
            <w:r w:rsidRPr="003F377D">
              <w:rPr>
                <w:sz w:val="18"/>
                <w:szCs w:val="18"/>
                <w:lang w:val="de-DE"/>
              </w:rPr>
              <w:t>5</w:t>
            </w:r>
            <w:r w:rsidR="0019714D" w:rsidRPr="003F377D">
              <w:rPr>
                <w:sz w:val="18"/>
                <w:szCs w:val="18"/>
                <w:lang w:val="de-DE"/>
              </w:rPr>
              <w:t> </w:t>
            </w:r>
            <w:r w:rsidR="003F377D">
              <w:rPr>
                <w:sz w:val="18"/>
                <w:szCs w:val="18"/>
                <w:lang w:val="de-DE"/>
              </w:rPr>
              <w:t>Beobachterorganisationen</w:t>
            </w:r>
          </w:p>
          <w:p w:rsidR="00870C32" w:rsidRPr="003F377D" w:rsidRDefault="00870C32" w:rsidP="0019714D">
            <w:pPr>
              <w:ind w:left="360"/>
              <w:jc w:val="left"/>
              <w:rPr>
                <w:sz w:val="18"/>
                <w:szCs w:val="18"/>
                <w:lang w:val="de-DE"/>
              </w:rPr>
            </w:pPr>
          </w:p>
        </w:tc>
      </w:tr>
    </w:tbl>
    <w:p w:rsidR="00DC145E" w:rsidRPr="003F377D" w:rsidRDefault="00DC145E">
      <w:pPr>
        <w:rPr>
          <w:lang w:val="de-DE"/>
        </w:rPr>
      </w:pPr>
    </w:p>
    <w:p w:rsidR="007F55CF" w:rsidRPr="003F377D" w:rsidRDefault="007F55CF">
      <w:pPr>
        <w:rPr>
          <w:lang w:val="de-DE"/>
        </w:rPr>
      </w:pPr>
    </w:p>
    <w:tbl>
      <w:tblPr>
        <w:tblW w:w="9889" w:type="dxa"/>
        <w:tblLayout w:type="fixed"/>
        <w:tblLook w:val="0000" w:firstRow="0" w:lastRow="0" w:firstColumn="0" w:lastColumn="0" w:noHBand="0" w:noVBand="0"/>
      </w:tblPr>
      <w:tblGrid>
        <w:gridCol w:w="2093"/>
        <w:gridCol w:w="7796"/>
      </w:tblGrid>
      <w:tr w:rsidR="00346204" w:rsidRPr="00DE5DFD" w:rsidTr="002874C7">
        <w:tc>
          <w:tcPr>
            <w:tcW w:w="2093" w:type="dxa"/>
            <w:shd w:val="clear" w:color="auto" w:fill="auto"/>
          </w:tcPr>
          <w:p w:rsidR="00346204" w:rsidRPr="00BF4074" w:rsidRDefault="00346204" w:rsidP="00114294">
            <w:pPr>
              <w:pStyle w:val="Heading6"/>
              <w:rPr>
                <w:lang w:val="de-DE"/>
              </w:rPr>
            </w:pPr>
            <w:bookmarkStart w:id="116" w:name="_Toc368400546"/>
            <w:r w:rsidRPr="00126859">
              <w:rPr>
                <w:lang w:val="de-DE"/>
              </w:rPr>
              <w:t xml:space="preserve">3.  </w:t>
            </w:r>
            <w:r w:rsidR="00BF4074" w:rsidRPr="00BF4074">
              <w:rPr>
                <w:color w:val="000000"/>
                <w:lang w:val="de-DE"/>
              </w:rPr>
              <w:t>Zusammenarbeit in der Prüfung auf Erteilung des Züchterrechts</w:t>
            </w:r>
            <w:bookmarkEnd w:id="116"/>
          </w:p>
        </w:tc>
        <w:tc>
          <w:tcPr>
            <w:tcW w:w="7796" w:type="dxa"/>
            <w:shd w:val="clear" w:color="auto" w:fill="auto"/>
          </w:tcPr>
          <w:p w:rsidR="00346204" w:rsidRPr="00FE2376" w:rsidRDefault="00E163EA" w:rsidP="008334C6">
            <w:pPr>
              <w:pStyle w:val="Heading8"/>
              <w:rPr>
                <w:lang w:val="de-DE"/>
              </w:rPr>
            </w:pPr>
            <w:bookmarkStart w:id="117" w:name="_Toc368400547"/>
            <w:r w:rsidRPr="00FE2376">
              <w:rPr>
                <w:lang w:val="de-DE"/>
              </w:rPr>
              <w:t>(a)</w:t>
            </w:r>
            <w:r w:rsidR="00346204" w:rsidRPr="00FE2376">
              <w:rPr>
                <w:lang w:val="de-DE"/>
              </w:rPr>
              <w:t>  </w:t>
            </w:r>
            <w:r w:rsidR="00FE2376" w:rsidRPr="00FE2376">
              <w:rPr>
                <w:color w:val="000000"/>
                <w:lang w:val="de-DE"/>
              </w:rPr>
              <w:t>Gattungen und Arten, für die Verbandsmitglieder über praktische Erfahrung verfügen</w:t>
            </w:r>
            <w:bookmarkEnd w:id="117"/>
          </w:p>
          <w:p w:rsidR="004A4A55" w:rsidRPr="00FE2376" w:rsidRDefault="00FE2376" w:rsidP="006607E5">
            <w:pPr>
              <w:jc w:val="left"/>
              <w:rPr>
                <w:sz w:val="18"/>
                <w:szCs w:val="18"/>
                <w:lang w:val="de-DE"/>
              </w:rPr>
            </w:pPr>
            <w:r w:rsidRPr="00FE2376">
              <w:rPr>
                <w:sz w:val="18"/>
                <w:szCs w:val="18"/>
                <w:lang w:val="de-DE"/>
              </w:rPr>
              <w:t>Praktische Erfahrungen mit der DUS-Prüfung wurden</w:t>
            </w:r>
            <w:r>
              <w:rPr>
                <w:sz w:val="18"/>
                <w:szCs w:val="18"/>
                <w:lang w:val="de-DE"/>
              </w:rPr>
              <w:t xml:space="preserve"> im Jahr 2012</w:t>
            </w:r>
            <w:r w:rsidR="006607E5">
              <w:rPr>
                <w:sz w:val="18"/>
                <w:szCs w:val="18"/>
                <w:lang w:val="de-DE"/>
              </w:rPr>
              <w:t xml:space="preserve"> </w:t>
            </w:r>
            <w:r w:rsidRPr="00FE2376">
              <w:rPr>
                <w:sz w:val="18"/>
                <w:szCs w:val="18"/>
                <w:lang w:val="de-DE"/>
              </w:rPr>
              <w:t xml:space="preserve"> für rund 2</w:t>
            </w:r>
            <w:r w:rsidR="006607E5">
              <w:rPr>
                <w:sz w:val="18"/>
                <w:szCs w:val="18"/>
                <w:lang w:val="de-DE"/>
              </w:rPr>
              <w:t xml:space="preserve"> </w:t>
            </w:r>
            <w:r>
              <w:rPr>
                <w:sz w:val="18"/>
                <w:szCs w:val="18"/>
                <w:lang w:val="de-DE"/>
              </w:rPr>
              <w:t>726</w:t>
            </w:r>
            <w:r w:rsidRPr="00FE2376">
              <w:rPr>
                <w:sz w:val="18"/>
                <w:szCs w:val="18"/>
                <w:lang w:val="de-DE"/>
              </w:rPr>
              <w:t xml:space="preserve"> Gattungen oder Arten mitgeteilt </w:t>
            </w:r>
            <w:r>
              <w:rPr>
                <w:sz w:val="18"/>
                <w:szCs w:val="18"/>
                <w:lang w:val="de-DE"/>
              </w:rPr>
              <w:t xml:space="preserve"> (2</w:t>
            </w:r>
            <w:r w:rsidR="002A163F">
              <w:rPr>
                <w:sz w:val="18"/>
                <w:szCs w:val="18"/>
                <w:lang w:val="de-DE"/>
              </w:rPr>
              <w:t xml:space="preserve"> </w:t>
            </w:r>
            <w:r>
              <w:rPr>
                <w:sz w:val="18"/>
                <w:szCs w:val="18"/>
                <w:lang w:val="de-DE"/>
              </w:rPr>
              <w:t>679 im Jahr 2011;  2</w:t>
            </w:r>
            <w:r w:rsidR="002A163F">
              <w:rPr>
                <w:sz w:val="18"/>
                <w:szCs w:val="18"/>
                <w:lang w:val="de-DE"/>
              </w:rPr>
              <w:t xml:space="preserve"> </w:t>
            </w:r>
            <w:r>
              <w:rPr>
                <w:sz w:val="18"/>
                <w:szCs w:val="18"/>
                <w:lang w:val="de-DE"/>
              </w:rPr>
              <w:t>254 im Jahr</w:t>
            </w:r>
            <w:r w:rsidR="004A4A55" w:rsidRPr="00FE2376">
              <w:rPr>
                <w:sz w:val="18"/>
                <w:szCs w:val="18"/>
                <w:lang w:val="de-DE"/>
              </w:rPr>
              <w:t xml:space="preserve"> 2010) - </w:t>
            </w:r>
            <w:r>
              <w:rPr>
                <w:sz w:val="18"/>
                <w:szCs w:val="18"/>
                <w:lang w:val="de-DE"/>
              </w:rPr>
              <w:t>vergleiche Dokument</w:t>
            </w:r>
            <w:r w:rsidR="004A4A55" w:rsidRPr="00FE2376">
              <w:rPr>
                <w:sz w:val="18"/>
                <w:szCs w:val="18"/>
                <w:lang w:val="de-DE"/>
              </w:rPr>
              <w:t xml:space="preserve"> TC/48/4</w:t>
            </w:r>
          </w:p>
          <w:p w:rsidR="00870C32" w:rsidRPr="00FE2376" w:rsidRDefault="00870C32" w:rsidP="004A4A55">
            <w:pPr>
              <w:jc w:val="left"/>
              <w:rPr>
                <w:sz w:val="18"/>
                <w:szCs w:val="18"/>
                <w:lang w:val="de-DE"/>
              </w:rPr>
            </w:pPr>
          </w:p>
        </w:tc>
      </w:tr>
    </w:tbl>
    <w:p w:rsidR="00F530C4" w:rsidRPr="00FE2376" w:rsidRDefault="00F530C4">
      <w:pPr>
        <w:rPr>
          <w:lang w:val="de-DE"/>
        </w:rPr>
      </w:pPr>
    </w:p>
    <w:tbl>
      <w:tblPr>
        <w:tblW w:w="9889" w:type="dxa"/>
        <w:tblLayout w:type="fixed"/>
        <w:tblLook w:val="0000" w:firstRow="0" w:lastRow="0" w:firstColumn="0" w:lastColumn="0" w:noHBand="0" w:noVBand="0"/>
      </w:tblPr>
      <w:tblGrid>
        <w:gridCol w:w="2093"/>
        <w:gridCol w:w="7796"/>
      </w:tblGrid>
      <w:tr w:rsidR="00F530C4" w:rsidRPr="006054BD" w:rsidTr="002874C7">
        <w:tc>
          <w:tcPr>
            <w:tcW w:w="2093" w:type="dxa"/>
            <w:shd w:val="clear" w:color="auto" w:fill="auto"/>
          </w:tcPr>
          <w:p w:rsidR="00F530C4" w:rsidRPr="006054BD" w:rsidRDefault="00A71FDD" w:rsidP="001C407C">
            <w:pPr>
              <w:keepNext/>
              <w:jc w:val="left"/>
              <w:rPr>
                <w:sz w:val="18"/>
                <w:szCs w:val="18"/>
              </w:rPr>
            </w:pPr>
            <w:bookmarkStart w:id="118" w:name="OLE_LINK6"/>
            <w:bookmarkStart w:id="119" w:name="OLE_LINK7"/>
            <w:r>
              <w:rPr>
                <w:b/>
                <w:sz w:val="18"/>
                <w:szCs w:val="18"/>
              </w:rPr>
              <w:t>Erwartete Ergebnisse</w:t>
            </w:r>
          </w:p>
        </w:tc>
        <w:tc>
          <w:tcPr>
            <w:tcW w:w="7796" w:type="dxa"/>
            <w:shd w:val="clear" w:color="auto" w:fill="auto"/>
          </w:tcPr>
          <w:p w:rsidR="00F530C4" w:rsidRPr="006054BD" w:rsidRDefault="00A71FDD" w:rsidP="001C407C">
            <w:pPr>
              <w:keepNext/>
              <w:jc w:val="left"/>
              <w:rPr>
                <w:b/>
                <w:sz w:val="18"/>
                <w:szCs w:val="18"/>
              </w:rPr>
            </w:pPr>
            <w:r>
              <w:rPr>
                <w:b/>
                <w:sz w:val="18"/>
                <w:szCs w:val="18"/>
              </w:rPr>
              <w:t>Erzielte Ergebnisse</w:t>
            </w:r>
            <w:r w:rsidR="00F530C4" w:rsidRPr="006054BD">
              <w:rPr>
                <w:b/>
                <w:sz w:val="18"/>
                <w:szCs w:val="18"/>
              </w:rPr>
              <w:t xml:space="preserve">:  </w:t>
            </w:r>
            <w:r>
              <w:rPr>
                <w:b/>
                <w:sz w:val="18"/>
                <w:szCs w:val="18"/>
              </w:rPr>
              <w:t>Ausgewählte Planerfüllungsindikatoren</w:t>
            </w:r>
          </w:p>
          <w:p w:rsidR="00F530C4" w:rsidRPr="006054BD" w:rsidRDefault="00F530C4" w:rsidP="001C407C">
            <w:pPr>
              <w:keepNext/>
              <w:jc w:val="left"/>
              <w:rPr>
                <w:b/>
                <w:sz w:val="18"/>
                <w:szCs w:val="18"/>
              </w:rPr>
            </w:pPr>
          </w:p>
        </w:tc>
      </w:tr>
      <w:bookmarkEnd w:id="118"/>
      <w:bookmarkEnd w:id="119"/>
      <w:tr w:rsidR="00703AC7" w:rsidRPr="00DE5DFD" w:rsidTr="002874C7">
        <w:trPr>
          <w:cantSplit/>
        </w:trPr>
        <w:tc>
          <w:tcPr>
            <w:tcW w:w="2093" w:type="dxa"/>
            <w:shd w:val="clear" w:color="auto" w:fill="auto"/>
          </w:tcPr>
          <w:p w:rsidR="00703AC7" w:rsidRPr="005E1F1F" w:rsidRDefault="000F5AB7" w:rsidP="000F5AB7">
            <w:pPr>
              <w:jc w:val="left"/>
              <w:rPr>
                <w:sz w:val="18"/>
                <w:szCs w:val="18"/>
                <w:lang w:val="de-DE"/>
              </w:rPr>
            </w:pPr>
            <w:r w:rsidRPr="00126859">
              <w:rPr>
                <w:i/>
                <w:sz w:val="18"/>
                <w:szCs w:val="18"/>
                <w:lang w:val="de-DE"/>
              </w:rPr>
              <w:t xml:space="preserve">3.  </w:t>
            </w:r>
            <w:r w:rsidR="005E1F1F" w:rsidRPr="005E1F1F">
              <w:rPr>
                <w:i/>
                <w:sz w:val="18"/>
                <w:szCs w:val="18"/>
                <w:lang w:val="de-DE"/>
              </w:rPr>
              <w:t>Zusammenarbeit in der Prüfung auf Erteilung des Züchterrechts</w:t>
            </w:r>
            <w:r w:rsidRPr="005E1F1F">
              <w:rPr>
                <w:sz w:val="18"/>
                <w:szCs w:val="18"/>
                <w:lang w:val="de-DE"/>
              </w:rPr>
              <w:t xml:space="preserve"> (</w:t>
            </w:r>
            <w:r w:rsidR="005017B4" w:rsidRPr="005E1F1F">
              <w:rPr>
                <w:sz w:val="18"/>
                <w:szCs w:val="18"/>
                <w:lang w:val="de-DE"/>
              </w:rPr>
              <w:t>Fortsetzung</w:t>
            </w:r>
            <w:r w:rsidRPr="005E1F1F">
              <w:rPr>
                <w:sz w:val="18"/>
                <w:szCs w:val="18"/>
                <w:lang w:val="de-DE"/>
              </w:rPr>
              <w:t>)</w:t>
            </w:r>
          </w:p>
        </w:tc>
        <w:tc>
          <w:tcPr>
            <w:tcW w:w="7796" w:type="dxa"/>
            <w:shd w:val="clear" w:color="auto" w:fill="auto"/>
          </w:tcPr>
          <w:p w:rsidR="00703AC7" w:rsidRPr="005E1F1F" w:rsidRDefault="00E163EA" w:rsidP="008334C6">
            <w:pPr>
              <w:pStyle w:val="Heading8"/>
              <w:rPr>
                <w:lang w:val="de-DE"/>
              </w:rPr>
            </w:pPr>
            <w:bookmarkStart w:id="120" w:name="_Toc368400548"/>
            <w:r w:rsidRPr="005E1F1F">
              <w:rPr>
                <w:lang w:val="de-DE"/>
              </w:rPr>
              <w:t>(b)</w:t>
            </w:r>
            <w:r w:rsidR="00703AC7" w:rsidRPr="005E1F1F">
              <w:rPr>
                <w:lang w:val="de-DE"/>
              </w:rPr>
              <w:t xml:space="preserve">  </w:t>
            </w:r>
            <w:r w:rsidR="005E1F1F" w:rsidRPr="005E1F1F">
              <w:rPr>
                <w:color w:val="000000"/>
                <w:lang w:val="de-DE"/>
              </w:rPr>
              <w:t>Gattungen und Arten, für die Verbandsmitglieder bei der DUS-Prüfung zusammenarbeiten, wie in der GENIE</w:t>
            </w:r>
            <w:r w:rsidR="005E1F1F" w:rsidRPr="005E1F1F">
              <w:rPr>
                <w:color w:val="000000"/>
                <w:lang w:val="de-DE"/>
              </w:rPr>
              <w:noBreakHyphen/>
              <w:t>Datenbank angegeben</w:t>
            </w:r>
            <w:bookmarkEnd w:id="120"/>
          </w:p>
          <w:p w:rsidR="00A82F8A" w:rsidRPr="00480ADC" w:rsidRDefault="001017EF" w:rsidP="00A82F8A">
            <w:pPr>
              <w:pStyle w:val="Heading8"/>
              <w:rPr>
                <w:lang w:val="de-DE"/>
              </w:rPr>
            </w:pPr>
            <w:bookmarkStart w:id="121" w:name="_Toc336339236"/>
            <w:bookmarkStart w:id="122" w:name="_Toc336613838"/>
            <w:bookmarkStart w:id="123" w:name="_Toc368400549"/>
            <w:r w:rsidRPr="00480ADC">
              <w:rPr>
                <w:lang w:val="de-DE"/>
              </w:rPr>
              <w:t xml:space="preserve">-  </w:t>
            </w:r>
            <w:r w:rsidR="00480ADC" w:rsidRPr="00480ADC">
              <w:rPr>
                <w:lang w:val="de-DE"/>
              </w:rPr>
              <w:t>Allgemeine Zusammenarbeit</w:t>
            </w:r>
            <w:bookmarkEnd w:id="121"/>
            <w:bookmarkEnd w:id="122"/>
            <w:bookmarkEnd w:id="123"/>
            <w:r w:rsidR="00A82F8A" w:rsidRPr="00480ADC">
              <w:rPr>
                <w:lang w:val="de-DE"/>
              </w:rPr>
              <w:t xml:space="preserve"> </w:t>
            </w:r>
          </w:p>
          <w:p w:rsidR="00A82F8A" w:rsidRPr="00480ADC" w:rsidRDefault="00480ADC" w:rsidP="00A82F8A">
            <w:pPr>
              <w:keepNext/>
              <w:spacing w:after="120"/>
              <w:jc w:val="left"/>
              <w:rPr>
                <w:color w:val="000000"/>
                <w:sz w:val="18"/>
                <w:szCs w:val="18"/>
                <w:lang w:val="de-DE"/>
              </w:rPr>
            </w:pPr>
            <w:r w:rsidRPr="00480ADC">
              <w:rPr>
                <w:color w:val="000000"/>
                <w:sz w:val="18"/>
                <w:szCs w:val="18"/>
                <w:lang w:val="de-DE"/>
              </w:rPr>
              <w:t>Behörden, die allen Verbandsmitgliedern bestehende DUS-Berichte überlassen werden</w:t>
            </w:r>
            <w:r w:rsidR="00A82F8A" w:rsidRPr="00480ADC">
              <w:rPr>
                <w:color w:val="000000"/>
                <w:sz w:val="18"/>
                <w:szCs w:val="18"/>
                <w:lang w:val="de-DE"/>
              </w:rPr>
              <w:t>:</w:t>
            </w:r>
          </w:p>
          <w:p w:rsidR="00A82F8A" w:rsidRPr="000B0A39" w:rsidRDefault="00A82F8A" w:rsidP="00480ADC">
            <w:pPr>
              <w:keepNext/>
              <w:jc w:val="left"/>
              <w:rPr>
                <w:color w:val="000000"/>
                <w:sz w:val="18"/>
                <w:szCs w:val="18"/>
                <w:lang w:val="de-DE"/>
              </w:rPr>
            </w:pPr>
            <w:r w:rsidRPr="00480ADC">
              <w:rPr>
                <w:color w:val="000000"/>
                <w:sz w:val="18"/>
                <w:szCs w:val="18"/>
                <w:lang w:val="de-DE"/>
              </w:rPr>
              <w:tab/>
            </w:r>
            <w:r w:rsidRPr="000B0A39">
              <w:rPr>
                <w:color w:val="000000"/>
                <w:sz w:val="18"/>
                <w:szCs w:val="18"/>
                <w:lang w:val="de-DE"/>
              </w:rPr>
              <w:t>Australi</w:t>
            </w:r>
            <w:r w:rsidR="00480ADC" w:rsidRPr="000B0A39">
              <w:rPr>
                <w:color w:val="000000"/>
                <w:sz w:val="18"/>
                <w:szCs w:val="18"/>
                <w:lang w:val="de-DE"/>
              </w:rPr>
              <w:t>en</w:t>
            </w:r>
          </w:p>
          <w:p w:rsidR="00A82F8A" w:rsidRPr="000B0A39" w:rsidRDefault="00A82F8A" w:rsidP="00A82F8A">
            <w:pPr>
              <w:keepNext/>
              <w:jc w:val="left"/>
              <w:rPr>
                <w:color w:val="000000"/>
                <w:sz w:val="18"/>
                <w:szCs w:val="18"/>
                <w:lang w:val="de-DE"/>
              </w:rPr>
            </w:pPr>
          </w:p>
          <w:p w:rsidR="00A82F8A" w:rsidRPr="000B0A39" w:rsidRDefault="000B0A39" w:rsidP="002A163F">
            <w:pPr>
              <w:keepNext/>
              <w:spacing w:after="120"/>
              <w:jc w:val="left"/>
              <w:rPr>
                <w:color w:val="000000"/>
                <w:sz w:val="18"/>
                <w:szCs w:val="18"/>
                <w:lang w:val="de-DE"/>
              </w:rPr>
            </w:pPr>
            <w:r w:rsidRPr="000B0A39">
              <w:rPr>
                <w:color w:val="000000"/>
                <w:sz w:val="18"/>
                <w:szCs w:val="18"/>
                <w:lang w:val="de-DE"/>
              </w:rPr>
              <w:t>Behörden, die allen Verbandsmitgliedern bestehende DUS-Berichte für alle Arten überlassen werden, für die sie über praktische Erfahrung bei der DUS-Prüfung verfügen</w:t>
            </w:r>
            <w:r w:rsidR="00A82F8A" w:rsidRPr="000B0A39">
              <w:rPr>
                <w:color w:val="000000"/>
                <w:sz w:val="18"/>
                <w:szCs w:val="18"/>
                <w:lang w:val="de-DE"/>
              </w:rPr>
              <w:t xml:space="preserve">:  </w:t>
            </w:r>
          </w:p>
          <w:p w:rsidR="00A82F8A" w:rsidRPr="000B0A39" w:rsidRDefault="00A82F8A" w:rsidP="000B0A39">
            <w:pPr>
              <w:keepNext/>
              <w:jc w:val="left"/>
              <w:rPr>
                <w:color w:val="000000"/>
                <w:sz w:val="18"/>
                <w:szCs w:val="18"/>
                <w:lang w:val="de-DE"/>
              </w:rPr>
            </w:pPr>
            <w:r w:rsidRPr="000B0A39">
              <w:rPr>
                <w:color w:val="000000"/>
                <w:sz w:val="18"/>
                <w:szCs w:val="18"/>
                <w:lang w:val="de-DE"/>
              </w:rPr>
              <w:tab/>
            </w:r>
            <w:r w:rsidR="000B0A39" w:rsidRPr="000B0A39">
              <w:rPr>
                <w:color w:val="000000"/>
                <w:sz w:val="18"/>
                <w:szCs w:val="18"/>
                <w:lang w:val="de-DE"/>
              </w:rPr>
              <w:t>Deutsch</w:t>
            </w:r>
            <w:r w:rsidR="000B0A39">
              <w:rPr>
                <w:color w:val="000000"/>
                <w:sz w:val="18"/>
                <w:szCs w:val="18"/>
                <w:lang w:val="de-DE"/>
              </w:rPr>
              <w:t>land</w:t>
            </w:r>
            <w:r w:rsidRPr="000B0A39">
              <w:rPr>
                <w:color w:val="000000"/>
                <w:sz w:val="18"/>
                <w:szCs w:val="18"/>
                <w:lang w:val="de-DE"/>
              </w:rPr>
              <w:t>,</w:t>
            </w:r>
            <w:r w:rsidR="002E0794" w:rsidRPr="000B0A39">
              <w:rPr>
                <w:color w:val="000000"/>
                <w:sz w:val="18"/>
                <w:szCs w:val="18"/>
                <w:lang w:val="de-DE"/>
              </w:rPr>
              <w:t xml:space="preserve"> </w:t>
            </w:r>
            <w:r w:rsidR="000B0A39" w:rsidRPr="000B0A39">
              <w:rPr>
                <w:color w:val="000000"/>
                <w:sz w:val="18"/>
                <w:szCs w:val="18"/>
                <w:lang w:val="de-DE"/>
              </w:rPr>
              <w:t>Europäische Union</w:t>
            </w:r>
            <w:r w:rsidR="000B0A39">
              <w:rPr>
                <w:color w:val="000000"/>
                <w:sz w:val="18"/>
                <w:szCs w:val="18"/>
                <w:lang w:val="de-DE"/>
              </w:rPr>
              <w:t>, K</w:t>
            </w:r>
            <w:r w:rsidR="000B0A39" w:rsidRPr="000B0A39">
              <w:rPr>
                <w:color w:val="000000"/>
                <w:sz w:val="18"/>
                <w:szCs w:val="18"/>
                <w:lang w:val="de-DE"/>
              </w:rPr>
              <w:t xml:space="preserve">anada, </w:t>
            </w:r>
            <w:r w:rsidR="000B0A39">
              <w:rPr>
                <w:color w:val="000000"/>
                <w:sz w:val="18"/>
                <w:szCs w:val="18"/>
                <w:lang w:val="de-DE"/>
              </w:rPr>
              <w:t>N</w:t>
            </w:r>
            <w:r w:rsidR="002E0794" w:rsidRPr="000B0A39">
              <w:rPr>
                <w:color w:val="000000"/>
                <w:sz w:val="18"/>
                <w:szCs w:val="18"/>
                <w:lang w:val="de-DE"/>
              </w:rPr>
              <w:t>eu</w:t>
            </w:r>
            <w:r w:rsidR="000B0A39">
              <w:rPr>
                <w:color w:val="000000"/>
                <w:sz w:val="18"/>
                <w:szCs w:val="18"/>
                <w:lang w:val="de-DE"/>
              </w:rPr>
              <w:t>seeland</w:t>
            </w:r>
            <w:r w:rsidRPr="000B0A39">
              <w:rPr>
                <w:color w:val="000000"/>
                <w:sz w:val="18"/>
                <w:szCs w:val="18"/>
                <w:lang w:val="de-DE"/>
              </w:rPr>
              <w:t>, Uruguay</w:t>
            </w:r>
          </w:p>
          <w:p w:rsidR="00A82F8A" w:rsidRPr="000B0A39" w:rsidRDefault="00A82F8A" w:rsidP="00A82F8A">
            <w:pPr>
              <w:keepNext/>
              <w:jc w:val="left"/>
              <w:rPr>
                <w:color w:val="000000"/>
                <w:sz w:val="18"/>
                <w:szCs w:val="18"/>
                <w:lang w:val="de-DE"/>
              </w:rPr>
            </w:pPr>
          </w:p>
          <w:p w:rsidR="00A82F8A" w:rsidRPr="000B0A39" w:rsidRDefault="000B0A39" w:rsidP="00A82F8A">
            <w:pPr>
              <w:keepNext/>
              <w:spacing w:after="120"/>
              <w:jc w:val="left"/>
              <w:rPr>
                <w:color w:val="000000"/>
                <w:sz w:val="18"/>
                <w:szCs w:val="18"/>
                <w:lang w:val="de-DE"/>
              </w:rPr>
            </w:pPr>
            <w:r w:rsidRPr="000B0A39">
              <w:rPr>
                <w:color w:val="000000"/>
                <w:sz w:val="18"/>
                <w:szCs w:val="18"/>
                <w:lang w:val="de-DE"/>
              </w:rPr>
              <w:t>Behörden, die DUS-Berichte von allen anderen Verbandsmitgliedern übernehmen werden</w:t>
            </w:r>
            <w:r w:rsidR="00A82F8A" w:rsidRPr="000B0A39">
              <w:rPr>
                <w:color w:val="000000"/>
                <w:sz w:val="18"/>
                <w:szCs w:val="18"/>
                <w:lang w:val="de-DE"/>
              </w:rPr>
              <w:t xml:space="preserve">: </w:t>
            </w:r>
          </w:p>
          <w:p w:rsidR="00A82F8A" w:rsidRPr="006054BD" w:rsidRDefault="00A82F8A" w:rsidP="000B0A39">
            <w:pPr>
              <w:keepNext/>
              <w:jc w:val="left"/>
              <w:rPr>
                <w:color w:val="000000"/>
                <w:sz w:val="18"/>
                <w:szCs w:val="18"/>
                <w:lang w:val="pt-BR"/>
              </w:rPr>
            </w:pPr>
            <w:r w:rsidRPr="000B0A39">
              <w:rPr>
                <w:color w:val="000000"/>
                <w:sz w:val="18"/>
                <w:szCs w:val="18"/>
                <w:lang w:val="de-DE"/>
              </w:rPr>
              <w:tab/>
            </w:r>
            <w:r w:rsidR="000B0A39">
              <w:rPr>
                <w:color w:val="000000"/>
                <w:sz w:val="18"/>
                <w:szCs w:val="18"/>
                <w:lang w:val="pt-BR"/>
              </w:rPr>
              <w:t>Australien</w:t>
            </w:r>
            <w:r w:rsidRPr="006054BD">
              <w:rPr>
                <w:color w:val="000000"/>
                <w:sz w:val="18"/>
                <w:szCs w:val="18"/>
                <w:lang w:val="pt-BR"/>
              </w:rPr>
              <w:t xml:space="preserve"> (</w:t>
            </w:r>
            <w:r w:rsidR="000B0A39">
              <w:rPr>
                <w:color w:val="000000"/>
                <w:sz w:val="18"/>
                <w:szCs w:val="18"/>
                <w:lang w:val="pt-BR"/>
              </w:rPr>
              <w:t>außer</w:t>
            </w:r>
            <w:r w:rsidRPr="006054BD">
              <w:rPr>
                <w:color w:val="000000"/>
                <w:sz w:val="18"/>
                <w:szCs w:val="18"/>
                <w:lang w:val="pt-BR"/>
              </w:rPr>
              <w:t xml:space="preserve"> </w:t>
            </w:r>
            <w:r w:rsidRPr="006054BD">
              <w:rPr>
                <w:i/>
                <w:color w:val="000000"/>
                <w:sz w:val="18"/>
                <w:szCs w:val="18"/>
                <w:lang w:val="pt-BR"/>
              </w:rPr>
              <w:t xml:space="preserve">Solanum tuberosum </w:t>
            </w:r>
            <w:r w:rsidRPr="006054BD">
              <w:rPr>
                <w:color w:val="000000"/>
                <w:sz w:val="18"/>
                <w:szCs w:val="18"/>
                <w:lang w:val="pt-BR"/>
              </w:rPr>
              <w:t xml:space="preserve">L.) </w:t>
            </w:r>
          </w:p>
          <w:p w:rsidR="00A82F8A" w:rsidRPr="006054BD" w:rsidRDefault="00A82F8A" w:rsidP="00A82F8A">
            <w:pPr>
              <w:keepNext/>
              <w:jc w:val="left"/>
              <w:rPr>
                <w:color w:val="000000"/>
                <w:sz w:val="18"/>
                <w:szCs w:val="18"/>
                <w:lang w:val="pt-BR"/>
              </w:rPr>
            </w:pPr>
          </w:p>
          <w:p w:rsidR="000B0A39" w:rsidRPr="000B0A39" w:rsidRDefault="000B0A39" w:rsidP="000B0A39">
            <w:pPr>
              <w:keepNext/>
              <w:jc w:val="left"/>
              <w:rPr>
                <w:color w:val="000000"/>
                <w:sz w:val="18"/>
                <w:szCs w:val="18"/>
                <w:lang w:val="de-DE"/>
              </w:rPr>
            </w:pPr>
            <w:r>
              <w:rPr>
                <w:color w:val="000000"/>
                <w:sz w:val="18"/>
                <w:szCs w:val="18"/>
                <w:lang w:val="de-DE"/>
              </w:rPr>
              <w:t>D</w:t>
            </w:r>
            <w:r w:rsidRPr="000B0A39">
              <w:rPr>
                <w:color w:val="000000"/>
                <w:sz w:val="18"/>
                <w:szCs w:val="18"/>
                <w:lang w:val="de-DE"/>
              </w:rPr>
              <w:t>ie Schweiz wird in der Regel bestehende DUS-Berichte von Verbandsmitgliedern verwenden.</w:t>
            </w:r>
          </w:p>
          <w:p w:rsidR="000B0A39" w:rsidRPr="000B0A39" w:rsidRDefault="000B0A39" w:rsidP="000B0A39">
            <w:pPr>
              <w:keepNext/>
              <w:jc w:val="left"/>
              <w:rPr>
                <w:color w:val="000000"/>
                <w:sz w:val="18"/>
                <w:szCs w:val="18"/>
                <w:lang w:val="de-DE"/>
              </w:rPr>
            </w:pPr>
            <w:r w:rsidRPr="000B0A39">
              <w:rPr>
                <w:color w:val="000000"/>
                <w:sz w:val="18"/>
                <w:szCs w:val="18"/>
                <w:lang w:val="de-DE"/>
              </w:rPr>
              <w:t>In der Schweiz werden keine DUS-Prüfungen durchgeführt.</w:t>
            </w:r>
          </w:p>
          <w:p w:rsidR="00A82F8A" w:rsidRPr="000B0A39" w:rsidRDefault="000B0A39" w:rsidP="000B0A39">
            <w:pPr>
              <w:keepNext/>
              <w:jc w:val="left"/>
              <w:rPr>
                <w:color w:val="000000"/>
                <w:sz w:val="18"/>
                <w:szCs w:val="18"/>
                <w:lang w:val="de-DE"/>
              </w:rPr>
            </w:pPr>
            <w:r w:rsidRPr="000B0A39">
              <w:rPr>
                <w:color w:val="000000"/>
                <w:sz w:val="18"/>
                <w:szCs w:val="18"/>
                <w:lang w:val="de-DE"/>
              </w:rPr>
              <w:t>In Fällen, in denen kein DUS-Prüfungsbericht von einem Verbandsmitglied erhältlich ist, wird das Pflanzenschutzamt eine zutreffende Behörde oder Prüfungsstation eines Verbandsmitglieds anfragen, eine Prüfung in seinem Namen durchzuführen</w:t>
            </w:r>
            <w:r w:rsidR="00A82F8A" w:rsidRPr="000B0A39">
              <w:rPr>
                <w:color w:val="000000"/>
                <w:sz w:val="18"/>
                <w:szCs w:val="18"/>
                <w:lang w:val="de-DE"/>
              </w:rPr>
              <w:t xml:space="preserve">. </w:t>
            </w:r>
          </w:p>
          <w:p w:rsidR="00A82F8A" w:rsidRPr="000B0A39" w:rsidRDefault="00A82F8A" w:rsidP="00A82F8A">
            <w:pPr>
              <w:keepNext/>
              <w:jc w:val="left"/>
              <w:rPr>
                <w:color w:val="000000"/>
                <w:sz w:val="18"/>
                <w:szCs w:val="18"/>
                <w:lang w:val="de-DE"/>
              </w:rPr>
            </w:pPr>
          </w:p>
          <w:p w:rsidR="00A82F8A" w:rsidRPr="000B0A39" w:rsidRDefault="000B0A39" w:rsidP="002A163F">
            <w:pPr>
              <w:keepNext/>
              <w:jc w:val="left"/>
              <w:rPr>
                <w:color w:val="000000"/>
                <w:sz w:val="18"/>
                <w:szCs w:val="18"/>
                <w:lang w:val="de-DE"/>
              </w:rPr>
            </w:pPr>
            <w:r w:rsidRPr="000B0A39">
              <w:rPr>
                <w:color w:val="000000"/>
                <w:sz w:val="18"/>
                <w:szCs w:val="18"/>
                <w:lang w:val="de-DE"/>
              </w:rPr>
              <w:t>Kanada nimmt in der Regel bestehende DUS-Berichte von anderen Verbandsmitgliedern für Sorten aller Taxone an, die vegetativ ver</w:t>
            </w:r>
            <w:r w:rsidR="002A163F">
              <w:rPr>
                <w:color w:val="000000"/>
                <w:sz w:val="18"/>
                <w:szCs w:val="18"/>
                <w:lang w:val="de-DE"/>
              </w:rPr>
              <w:t>mehrt</w:t>
            </w:r>
            <w:r w:rsidRPr="000B0A39">
              <w:rPr>
                <w:color w:val="000000"/>
                <w:sz w:val="18"/>
                <w:szCs w:val="18"/>
                <w:lang w:val="de-DE"/>
              </w:rPr>
              <w:t xml:space="preserve"> wurden und für welche die DUS-Prüfungen in einem Gewächshaus in kontrollierter Umgebung durchgeführt wurden</w:t>
            </w:r>
            <w:r w:rsidR="00A82F8A" w:rsidRPr="000B0A39">
              <w:rPr>
                <w:color w:val="000000"/>
                <w:sz w:val="18"/>
                <w:szCs w:val="18"/>
                <w:lang w:val="de-DE"/>
              </w:rPr>
              <w:t>.</w:t>
            </w:r>
          </w:p>
          <w:p w:rsidR="000F5AB7" w:rsidRPr="000B0A39" w:rsidRDefault="000F5AB7" w:rsidP="00A82F8A">
            <w:pPr>
              <w:keepNext/>
              <w:jc w:val="left"/>
              <w:rPr>
                <w:color w:val="000000"/>
                <w:sz w:val="18"/>
                <w:szCs w:val="18"/>
                <w:lang w:val="de-DE"/>
              </w:rPr>
            </w:pPr>
          </w:p>
          <w:p w:rsidR="00A82F8A" w:rsidRPr="000B0A39" w:rsidRDefault="001017EF" w:rsidP="00A82F8A">
            <w:pPr>
              <w:pStyle w:val="Heading8"/>
              <w:rPr>
                <w:lang w:val="de-DE"/>
              </w:rPr>
            </w:pPr>
            <w:bookmarkStart w:id="124" w:name="_Toc336339237"/>
            <w:bookmarkStart w:id="125" w:name="_Toc336613839"/>
            <w:bookmarkStart w:id="126" w:name="_Toc368400550"/>
            <w:r w:rsidRPr="000B0A39">
              <w:rPr>
                <w:lang w:val="de-DE"/>
              </w:rPr>
              <w:t xml:space="preserve">-  </w:t>
            </w:r>
            <w:r w:rsidR="000B0A39">
              <w:rPr>
                <w:lang w:val="de-DE"/>
              </w:rPr>
              <w:t>A</w:t>
            </w:r>
            <w:r w:rsidR="000B0A39" w:rsidRPr="000B0A39">
              <w:rPr>
                <w:lang w:val="de-DE"/>
              </w:rPr>
              <w:t>nzahl spezifischer bilateraler und regionaler Sortenschutzvereinbarungen</w:t>
            </w:r>
            <w:bookmarkEnd w:id="124"/>
            <w:bookmarkEnd w:id="125"/>
            <w:bookmarkEnd w:id="126"/>
          </w:p>
          <w:p w:rsidR="00A82F8A" w:rsidRPr="000B0A39" w:rsidRDefault="000B0A39" w:rsidP="00894944">
            <w:pPr>
              <w:keepNext/>
              <w:jc w:val="left"/>
              <w:rPr>
                <w:color w:val="000000"/>
                <w:sz w:val="18"/>
                <w:szCs w:val="18"/>
                <w:lang w:val="de-DE"/>
              </w:rPr>
            </w:pPr>
            <w:r w:rsidRPr="000B0A39">
              <w:rPr>
                <w:color w:val="000000"/>
                <w:sz w:val="18"/>
                <w:szCs w:val="18"/>
                <w:lang w:val="de-DE"/>
              </w:rPr>
              <w:t xml:space="preserve">Die Vereinbarung für die Zusammenarbeit bei der Sortenprüfung erstreckt sich auf rund </w:t>
            </w:r>
            <w:r w:rsidR="000B3096">
              <w:rPr>
                <w:color w:val="000000"/>
                <w:sz w:val="18"/>
                <w:szCs w:val="18"/>
                <w:lang w:val="de-DE"/>
              </w:rPr>
              <w:br/>
            </w:r>
            <w:r w:rsidRPr="000B0A39">
              <w:rPr>
                <w:color w:val="000000"/>
                <w:sz w:val="18"/>
                <w:szCs w:val="18"/>
                <w:lang w:val="de-DE"/>
              </w:rPr>
              <w:t xml:space="preserve">1 </w:t>
            </w:r>
            <w:r>
              <w:rPr>
                <w:color w:val="000000"/>
                <w:sz w:val="18"/>
                <w:szCs w:val="18"/>
                <w:lang w:val="de-DE"/>
              </w:rPr>
              <w:t>991</w:t>
            </w:r>
            <w:r w:rsidRPr="000B0A39">
              <w:rPr>
                <w:color w:val="000000"/>
                <w:sz w:val="18"/>
                <w:szCs w:val="18"/>
                <w:lang w:val="de-DE"/>
              </w:rPr>
              <w:t xml:space="preserve"> Gattungen oder Arten </w:t>
            </w:r>
            <w:r>
              <w:rPr>
                <w:color w:val="000000"/>
                <w:sz w:val="18"/>
                <w:szCs w:val="18"/>
                <w:lang w:val="de-DE"/>
              </w:rPr>
              <w:t xml:space="preserve">(1 990 im Jahr 2011; 1 417 im Jahr 2010) </w:t>
            </w:r>
            <w:r w:rsidRPr="000B0A39">
              <w:rPr>
                <w:color w:val="000000"/>
                <w:sz w:val="18"/>
                <w:szCs w:val="18"/>
                <w:lang w:val="de-DE"/>
              </w:rPr>
              <w:t>– ohne die allgemeine Zusammenarbeit (vergleiche</w:t>
            </w:r>
            <w:r>
              <w:rPr>
                <w:color w:val="000000"/>
                <w:sz w:val="18"/>
                <w:szCs w:val="18"/>
                <w:lang w:val="de-DE"/>
              </w:rPr>
              <w:t xml:space="preserve"> oben und </w:t>
            </w:r>
            <w:r w:rsidRPr="000B0A39">
              <w:rPr>
                <w:color w:val="000000"/>
                <w:sz w:val="18"/>
                <w:szCs w:val="18"/>
                <w:lang w:val="de-DE"/>
              </w:rPr>
              <w:t>Dokument C/4</w:t>
            </w:r>
            <w:r>
              <w:rPr>
                <w:color w:val="000000"/>
                <w:sz w:val="18"/>
                <w:szCs w:val="18"/>
                <w:lang w:val="de-DE"/>
              </w:rPr>
              <w:t>6</w:t>
            </w:r>
            <w:r w:rsidRPr="000B0A39">
              <w:rPr>
                <w:color w:val="000000"/>
                <w:sz w:val="18"/>
                <w:szCs w:val="18"/>
                <w:lang w:val="de-DE"/>
              </w:rPr>
              <w:t>/5)</w:t>
            </w:r>
            <w:r w:rsidR="004A4E84">
              <w:rPr>
                <w:color w:val="000000"/>
                <w:sz w:val="18"/>
                <w:szCs w:val="18"/>
                <w:lang w:val="de-DE"/>
              </w:rPr>
              <w:t>.</w:t>
            </w:r>
          </w:p>
          <w:p w:rsidR="00A82F8A" w:rsidRPr="000B0A39" w:rsidRDefault="00A82F8A" w:rsidP="00870C32">
            <w:pPr>
              <w:jc w:val="left"/>
              <w:rPr>
                <w:i/>
                <w:sz w:val="18"/>
                <w:szCs w:val="18"/>
                <w:lang w:val="de-DE"/>
              </w:rPr>
            </w:pPr>
          </w:p>
        </w:tc>
      </w:tr>
    </w:tbl>
    <w:p w:rsidR="002E25B5" w:rsidRPr="00701471" w:rsidRDefault="00C0793E" w:rsidP="002A163F">
      <w:pPr>
        <w:pStyle w:val="Heading9"/>
        <w:spacing w:before="120" w:after="120"/>
        <w:rPr>
          <w:lang w:val="de-DE"/>
        </w:rPr>
      </w:pPr>
      <w:bookmarkStart w:id="127" w:name="_Toc368400551"/>
      <w:r>
        <w:rPr>
          <w:lang w:val="de-DE"/>
        </w:rPr>
        <w:t>A</w:t>
      </w:r>
      <w:r w:rsidR="00BF4074" w:rsidRPr="00701471">
        <w:rPr>
          <w:lang w:val="de-DE"/>
        </w:rPr>
        <w:t xml:space="preserve">bbildung </w:t>
      </w:r>
      <w:r w:rsidR="00A82F8A" w:rsidRPr="00701471">
        <w:rPr>
          <w:lang w:val="de-DE"/>
        </w:rPr>
        <w:t xml:space="preserve">2.  </w:t>
      </w:r>
      <w:r w:rsidR="002A163F" w:rsidRPr="002539B4">
        <w:rPr>
          <w:lang w:val="de-DE"/>
        </w:rPr>
        <w:t>Pflanzengattungen/-arten mit Zusammenarbeitsvereinbarungen, praktische Erfahrung</w:t>
      </w:r>
      <w:r w:rsidR="002A163F" w:rsidRPr="002539B4">
        <w:rPr>
          <w:lang w:val="de-DE"/>
        </w:rPr>
        <w:br/>
        <w:t>und Eintragung der Züchterrechte in die Datenbank für Sortenschutz</w:t>
      </w:r>
      <w:bookmarkEnd w:id="127"/>
    </w:p>
    <w:p w:rsidR="00A82F8A" w:rsidRDefault="00C44D84" w:rsidP="00A82F8A">
      <w:pPr>
        <w:jc w:val="center"/>
      </w:pPr>
      <w:r>
        <w:rPr>
          <w:noProof/>
        </w:rPr>
        <w:drawing>
          <wp:inline distT="0" distB="0" distL="0" distR="0" wp14:anchorId="57433C99" wp14:editId="4978AB79">
            <wp:extent cx="5819775" cy="4248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5260" w:rsidRDefault="002A5260" w:rsidP="00A82F8A">
      <w:pPr>
        <w:jc w:val="center"/>
      </w:pPr>
    </w:p>
    <w:tbl>
      <w:tblPr>
        <w:tblW w:w="9889" w:type="dxa"/>
        <w:tblLayout w:type="fixed"/>
        <w:tblLook w:val="0000" w:firstRow="0" w:lastRow="0" w:firstColumn="0" w:lastColumn="0" w:noHBand="0" w:noVBand="0"/>
      </w:tblPr>
      <w:tblGrid>
        <w:gridCol w:w="2093"/>
        <w:gridCol w:w="7796"/>
      </w:tblGrid>
      <w:tr w:rsidR="00983543" w:rsidRPr="006054BD" w:rsidTr="002874C7">
        <w:tc>
          <w:tcPr>
            <w:tcW w:w="2093" w:type="dxa"/>
            <w:shd w:val="clear" w:color="auto" w:fill="auto"/>
          </w:tcPr>
          <w:p w:rsidR="00983543" w:rsidRPr="00C44D84" w:rsidRDefault="00A71FDD" w:rsidP="005D2399">
            <w:pPr>
              <w:keepNext/>
              <w:spacing w:after="240"/>
              <w:rPr>
                <w:b/>
                <w:sz w:val="18"/>
                <w:szCs w:val="18"/>
              </w:rPr>
            </w:pPr>
            <w:r w:rsidRPr="00C44D84">
              <w:rPr>
                <w:b/>
                <w:sz w:val="18"/>
                <w:szCs w:val="18"/>
              </w:rPr>
              <w:t>Erwartete Ergebnisse</w:t>
            </w:r>
          </w:p>
        </w:tc>
        <w:tc>
          <w:tcPr>
            <w:tcW w:w="7796" w:type="dxa"/>
            <w:shd w:val="clear" w:color="auto" w:fill="auto"/>
          </w:tcPr>
          <w:p w:rsidR="00983543" w:rsidRPr="006054BD" w:rsidRDefault="00A71FDD" w:rsidP="005D2399">
            <w:pPr>
              <w:keepNext/>
              <w:spacing w:after="240"/>
              <w:rPr>
                <w:b/>
                <w:i/>
                <w:sz w:val="18"/>
                <w:szCs w:val="18"/>
              </w:rPr>
            </w:pPr>
            <w:r>
              <w:rPr>
                <w:b/>
                <w:sz w:val="18"/>
                <w:szCs w:val="18"/>
              </w:rPr>
              <w:t>Erzielte Ergebnisse</w:t>
            </w:r>
            <w:r w:rsidR="00983543" w:rsidRPr="006054BD">
              <w:rPr>
                <w:b/>
                <w:sz w:val="18"/>
                <w:szCs w:val="18"/>
              </w:rPr>
              <w:t xml:space="preserve">:  </w:t>
            </w:r>
            <w:r>
              <w:rPr>
                <w:b/>
                <w:sz w:val="18"/>
                <w:szCs w:val="18"/>
              </w:rPr>
              <w:t>Ausgewählte Planerfüllungsindikatoren</w:t>
            </w:r>
          </w:p>
        </w:tc>
      </w:tr>
      <w:tr w:rsidR="00703AC7" w:rsidRPr="00DE5DFD" w:rsidTr="002874C7">
        <w:tc>
          <w:tcPr>
            <w:tcW w:w="2093" w:type="dxa"/>
            <w:shd w:val="clear" w:color="auto" w:fill="auto"/>
          </w:tcPr>
          <w:p w:rsidR="00703AC7" w:rsidRPr="005E1F1F" w:rsidRDefault="00A82F8A" w:rsidP="00A82F8A">
            <w:pPr>
              <w:jc w:val="left"/>
              <w:rPr>
                <w:sz w:val="18"/>
                <w:szCs w:val="18"/>
                <w:lang w:val="de-DE"/>
              </w:rPr>
            </w:pPr>
            <w:r w:rsidRPr="00126859">
              <w:rPr>
                <w:i/>
                <w:sz w:val="18"/>
                <w:szCs w:val="18"/>
                <w:lang w:val="de-DE"/>
              </w:rPr>
              <w:t xml:space="preserve">3.  </w:t>
            </w:r>
            <w:r w:rsidR="005E1F1F" w:rsidRPr="005E1F1F">
              <w:rPr>
                <w:i/>
                <w:sz w:val="18"/>
                <w:szCs w:val="18"/>
                <w:lang w:val="de-DE"/>
              </w:rPr>
              <w:t>Zusammenarbeit in der Prüfung auf Erteilung des Züchterrechts</w:t>
            </w:r>
            <w:r w:rsidRPr="005E1F1F">
              <w:rPr>
                <w:sz w:val="18"/>
                <w:szCs w:val="18"/>
                <w:lang w:val="de-DE"/>
              </w:rPr>
              <w:t xml:space="preserve"> (</w:t>
            </w:r>
            <w:r w:rsidR="005017B4" w:rsidRPr="005E1F1F">
              <w:rPr>
                <w:sz w:val="18"/>
                <w:szCs w:val="18"/>
                <w:lang w:val="de-DE"/>
              </w:rPr>
              <w:t>Fortsetzung</w:t>
            </w:r>
            <w:r w:rsidRPr="005E1F1F">
              <w:rPr>
                <w:sz w:val="18"/>
                <w:szCs w:val="18"/>
                <w:lang w:val="de-DE"/>
              </w:rPr>
              <w:t>)</w:t>
            </w:r>
          </w:p>
        </w:tc>
        <w:tc>
          <w:tcPr>
            <w:tcW w:w="7796" w:type="dxa"/>
            <w:shd w:val="clear" w:color="auto" w:fill="auto"/>
          </w:tcPr>
          <w:p w:rsidR="00703AC7" w:rsidRPr="005E1F1F" w:rsidRDefault="00E163EA" w:rsidP="008334C6">
            <w:pPr>
              <w:pStyle w:val="Heading8"/>
              <w:rPr>
                <w:szCs w:val="18"/>
                <w:lang w:val="de-DE"/>
              </w:rPr>
            </w:pPr>
            <w:bookmarkStart w:id="128" w:name="_Toc368400552"/>
            <w:r w:rsidRPr="008751A4">
              <w:rPr>
                <w:szCs w:val="18"/>
                <w:lang w:val="de-DE"/>
              </w:rPr>
              <w:t>(c)</w:t>
            </w:r>
            <w:r w:rsidR="00703AC7" w:rsidRPr="008751A4">
              <w:rPr>
                <w:szCs w:val="18"/>
                <w:lang w:val="de-DE"/>
              </w:rPr>
              <w:t xml:space="preserve">  </w:t>
            </w:r>
            <w:r w:rsidR="005E1F1F" w:rsidRPr="005E1F1F">
              <w:rPr>
                <w:color w:val="000000"/>
                <w:lang w:val="de-DE"/>
              </w:rPr>
              <w:t>Beteiligung an der Erstellung von Prüfungsrichtlinien</w:t>
            </w:r>
            <w:bookmarkEnd w:id="128"/>
          </w:p>
          <w:p w:rsidR="008E6152" w:rsidRPr="00701471" w:rsidRDefault="00701471" w:rsidP="00701471">
            <w:pPr>
              <w:rPr>
                <w:sz w:val="18"/>
                <w:szCs w:val="18"/>
                <w:lang w:val="de-DE"/>
              </w:rPr>
            </w:pPr>
            <w:r w:rsidRPr="00701471">
              <w:rPr>
                <w:sz w:val="18"/>
                <w:szCs w:val="18"/>
                <w:lang w:val="de-DE"/>
              </w:rPr>
              <w:t xml:space="preserve">Im Jahr 2012 angenommene </w:t>
            </w:r>
            <w:r w:rsidR="002E0794" w:rsidRPr="00701471">
              <w:rPr>
                <w:sz w:val="18"/>
                <w:szCs w:val="18"/>
                <w:lang w:val="de-DE"/>
              </w:rPr>
              <w:t>Prüfungsrichtlinien</w:t>
            </w:r>
            <w:r w:rsidR="007F55CF" w:rsidRPr="00701471">
              <w:rPr>
                <w:sz w:val="18"/>
                <w:szCs w:val="18"/>
                <w:lang w:val="de-DE"/>
              </w:rPr>
              <w:t>:</w:t>
            </w:r>
          </w:p>
          <w:p w:rsidR="007F55CF" w:rsidRPr="00701471" w:rsidRDefault="007F55CF" w:rsidP="008E6152">
            <w:pPr>
              <w:rPr>
                <w:sz w:val="18"/>
                <w:szCs w:val="18"/>
                <w:lang w:val="de-DE"/>
              </w:rPr>
            </w:pPr>
          </w:p>
          <w:p w:rsidR="00AC44FD" w:rsidRPr="002E0794" w:rsidRDefault="00AC44FD" w:rsidP="00701471">
            <w:pPr>
              <w:spacing w:after="60"/>
              <w:ind w:left="743" w:hanging="386"/>
              <w:jc w:val="left"/>
              <w:rPr>
                <w:i/>
                <w:color w:val="000000"/>
                <w:sz w:val="18"/>
                <w:szCs w:val="18"/>
                <w:lang w:val="de-DE"/>
              </w:rPr>
            </w:pPr>
            <w:r w:rsidRPr="002E0794">
              <w:rPr>
                <w:color w:val="000000"/>
                <w:sz w:val="18"/>
                <w:szCs w:val="18"/>
                <w:lang w:val="de-DE"/>
              </w:rPr>
              <w:t>–</w:t>
            </w:r>
            <w:r w:rsidRPr="002E0794">
              <w:rPr>
                <w:color w:val="000000"/>
                <w:sz w:val="18"/>
                <w:szCs w:val="18"/>
                <w:lang w:val="de-DE"/>
              </w:rPr>
              <w:tab/>
              <w:t>8</w:t>
            </w:r>
            <w:r w:rsidR="002E0794" w:rsidRPr="002E0794">
              <w:rPr>
                <w:color w:val="000000"/>
                <w:sz w:val="18"/>
                <w:szCs w:val="18"/>
                <w:lang w:val="de-DE"/>
              </w:rPr>
              <w:t xml:space="preserve"> neue Prüfungsrichtlinien</w:t>
            </w:r>
            <w:r w:rsidRPr="002E0794">
              <w:rPr>
                <w:color w:val="000000"/>
                <w:sz w:val="18"/>
                <w:szCs w:val="18"/>
                <w:lang w:val="de-DE"/>
              </w:rPr>
              <w:t xml:space="preserve">: </w:t>
            </w:r>
            <w:r w:rsidR="00B4374D" w:rsidRPr="002E0794">
              <w:rPr>
                <w:color w:val="000000"/>
                <w:sz w:val="18"/>
                <w:szCs w:val="18"/>
                <w:lang w:val="de-DE"/>
              </w:rPr>
              <w:t xml:space="preserve"> </w:t>
            </w:r>
            <w:r w:rsidRPr="002E0794">
              <w:rPr>
                <w:color w:val="000000"/>
                <w:sz w:val="18"/>
                <w:szCs w:val="18"/>
                <w:lang w:val="de-DE"/>
              </w:rPr>
              <w:t>TWA (2),  TWF (1), TWO (3), TWO/TWV (1), TWV (1)</w:t>
            </w:r>
            <w:r w:rsidRPr="002E0794">
              <w:rPr>
                <w:color w:val="000000"/>
                <w:sz w:val="18"/>
                <w:szCs w:val="18"/>
                <w:lang w:val="de-DE"/>
              </w:rPr>
              <w:br/>
            </w:r>
            <w:r w:rsidR="002E0794" w:rsidRPr="002E0794">
              <w:rPr>
                <w:color w:val="000000"/>
                <w:sz w:val="18"/>
                <w:szCs w:val="18"/>
                <w:lang w:val="de-DE"/>
              </w:rPr>
              <w:t xml:space="preserve">ausgearbeitet </w:t>
            </w:r>
            <w:r w:rsidR="00701471">
              <w:rPr>
                <w:color w:val="000000"/>
                <w:sz w:val="18"/>
                <w:szCs w:val="18"/>
                <w:lang w:val="de-DE"/>
              </w:rPr>
              <w:t>von führenden Sachverständigen</w:t>
            </w:r>
            <w:r w:rsidRPr="002E0794">
              <w:rPr>
                <w:color w:val="000000"/>
                <w:sz w:val="18"/>
                <w:szCs w:val="18"/>
                <w:lang w:val="de-DE"/>
              </w:rPr>
              <w:t xml:space="preserve"> </w:t>
            </w:r>
            <w:r w:rsidR="00701471">
              <w:rPr>
                <w:color w:val="000000"/>
                <w:sz w:val="18"/>
                <w:szCs w:val="18"/>
                <w:lang w:val="de-DE"/>
              </w:rPr>
              <w:t>aus</w:t>
            </w:r>
            <w:r w:rsidRPr="002E0794">
              <w:rPr>
                <w:color w:val="000000"/>
                <w:sz w:val="18"/>
                <w:szCs w:val="18"/>
                <w:lang w:val="de-DE"/>
              </w:rPr>
              <w:t>:</w:t>
            </w:r>
          </w:p>
          <w:p w:rsidR="00AC44FD" w:rsidRPr="00701471" w:rsidRDefault="00701471" w:rsidP="00701471">
            <w:pPr>
              <w:keepNext/>
              <w:keepLines/>
              <w:ind w:left="3861" w:hanging="2694"/>
              <w:jc w:val="left"/>
              <w:rPr>
                <w:color w:val="000000"/>
                <w:sz w:val="18"/>
                <w:szCs w:val="18"/>
                <w:lang w:val="de-DE"/>
              </w:rPr>
            </w:pPr>
            <w:r w:rsidRPr="00701471">
              <w:rPr>
                <w:color w:val="000000"/>
                <w:sz w:val="18"/>
                <w:szCs w:val="18"/>
                <w:lang w:val="de-DE"/>
              </w:rPr>
              <w:t>Asien</w:t>
            </w:r>
            <w:r w:rsidR="00AC44FD" w:rsidRPr="00701471">
              <w:rPr>
                <w:color w:val="000000"/>
                <w:sz w:val="18"/>
                <w:szCs w:val="18"/>
                <w:lang w:val="de-DE"/>
              </w:rPr>
              <w:t>/</w:t>
            </w:r>
            <w:r w:rsidRPr="00701471">
              <w:rPr>
                <w:color w:val="000000"/>
                <w:sz w:val="18"/>
                <w:szCs w:val="18"/>
                <w:lang w:val="de-DE"/>
              </w:rPr>
              <w:t>Pazifik</w:t>
            </w:r>
            <w:r w:rsidR="00AC44FD" w:rsidRPr="00701471">
              <w:rPr>
                <w:color w:val="000000"/>
                <w:sz w:val="18"/>
                <w:szCs w:val="18"/>
                <w:lang w:val="de-DE"/>
              </w:rPr>
              <w:t xml:space="preserve">:  </w:t>
            </w:r>
            <w:r w:rsidR="00AC44FD" w:rsidRPr="00701471">
              <w:rPr>
                <w:color w:val="000000"/>
                <w:sz w:val="18"/>
                <w:szCs w:val="18"/>
                <w:lang w:val="de-DE"/>
              </w:rPr>
              <w:tab/>
              <w:t>JP (3)</w:t>
            </w:r>
          </w:p>
          <w:p w:rsidR="00AC44FD" w:rsidRPr="00701471" w:rsidRDefault="00701471" w:rsidP="00AC44FD">
            <w:pPr>
              <w:keepNext/>
              <w:keepLines/>
              <w:ind w:left="3861" w:hanging="2694"/>
              <w:jc w:val="left"/>
              <w:rPr>
                <w:color w:val="000000"/>
                <w:sz w:val="18"/>
                <w:szCs w:val="18"/>
                <w:lang w:val="de-DE"/>
              </w:rPr>
            </w:pPr>
            <w:r w:rsidRPr="00701471">
              <w:rPr>
                <w:color w:val="000000"/>
                <w:sz w:val="18"/>
                <w:szCs w:val="18"/>
                <w:lang w:val="de-DE"/>
              </w:rPr>
              <w:t>Europa</w:t>
            </w:r>
            <w:r w:rsidR="00AC44FD" w:rsidRPr="00701471">
              <w:rPr>
                <w:color w:val="000000"/>
                <w:sz w:val="18"/>
                <w:szCs w:val="18"/>
                <w:lang w:val="de-DE"/>
              </w:rPr>
              <w:t xml:space="preserve">:  </w:t>
            </w:r>
            <w:r w:rsidR="00AC44FD" w:rsidRPr="00701471">
              <w:rPr>
                <w:color w:val="000000"/>
                <w:sz w:val="18"/>
                <w:szCs w:val="18"/>
                <w:lang w:val="de-DE"/>
              </w:rPr>
              <w:tab/>
              <w:t>DE(1), GB(1), FR (1), PL/GB (1), NL (1)</w:t>
            </w:r>
          </w:p>
          <w:p w:rsidR="00AC44FD" w:rsidRPr="00701471" w:rsidRDefault="00AC44FD" w:rsidP="00AC44FD">
            <w:pPr>
              <w:keepNext/>
              <w:keepLines/>
              <w:tabs>
                <w:tab w:val="left" w:pos="601"/>
              </w:tabs>
              <w:jc w:val="left"/>
              <w:rPr>
                <w:color w:val="000000"/>
                <w:sz w:val="18"/>
                <w:szCs w:val="18"/>
                <w:lang w:val="de-DE"/>
              </w:rPr>
            </w:pPr>
          </w:p>
          <w:p w:rsidR="00AC44FD" w:rsidRPr="002E0794" w:rsidRDefault="00AC44FD" w:rsidP="00AC44FD">
            <w:pPr>
              <w:spacing w:after="120"/>
              <w:ind w:left="743" w:hanging="386"/>
              <w:jc w:val="left"/>
              <w:rPr>
                <w:color w:val="000000"/>
                <w:sz w:val="18"/>
                <w:szCs w:val="18"/>
                <w:lang w:val="de-DE"/>
              </w:rPr>
            </w:pPr>
            <w:r w:rsidRPr="002E0794">
              <w:rPr>
                <w:color w:val="000000"/>
                <w:sz w:val="18"/>
                <w:szCs w:val="18"/>
                <w:lang w:val="de-DE"/>
              </w:rPr>
              <w:t>–</w:t>
            </w:r>
            <w:r w:rsidRPr="002E0794">
              <w:rPr>
                <w:color w:val="000000"/>
                <w:sz w:val="18"/>
                <w:szCs w:val="18"/>
                <w:lang w:val="de-DE"/>
              </w:rPr>
              <w:tab/>
              <w:t xml:space="preserve">4 </w:t>
            </w:r>
            <w:r w:rsidR="00444961" w:rsidRPr="002E0794">
              <w:rPr>
                <w:color w:val="000000"/>
                <w:sz w:val="18"/>
                <w:szCs w:val="18"/>
                <w:lang w:val="de-DE"/>
              </w:rPr>
              <w:t>überarbeitete</w:t>
            </w:r>
            <w:r w:rsidRPr="002E0794">
              <w:rPr>
                <w:color w:val="000000"/>
                <w:sz w:val="18"/>
                <w:szCs w:val="18"/>
                <w:lang w:val="de-DE"/>
              </w:rPr>
              <w:t xml:space="preserve"> </w:t>
            </w:r>
            <w:r w:rsidR="002E0794" w:rsidRPr="002E0794">
              <w:rPr>
                <w:color w:val="000000"/>
                <w:sz w:val="18"/>
                <w:szCs w:val="18"/>
                <w:lang w:val="de-DE"/>
              </w:rPr>
              <w:t>Prüfungsrichtlinien</w:t>
            </w:r>
            <w:r w:rsidRPr="002E0794">
              <w:rPr>
                <w:color w:val="000000"/>
                <w:sz w:val="18"/>
                <w:szCs w:val="18"/>
                <w:lang w:val="de-DE"/>
              </w:rPr>
              <w:t>:  TWA (1), TWF (1), TWV (2)</w:t>
            </w:r>
          </w:p>
          <w:p w:rsidR="00AC44FD" w:rsidRPr="00701471" w:rsidRDefault="00701471" w:rsidP="00AC44FD">
            <w:pPr>
              <w:keepNext/>
              <w:keepLines/>
              <w:ind w:left="3861" w:hanging="2694"/>
              <w:jc w:val="left"/>
              <w:rPr>
                <w:color w:val="000000"/>
                <w:sz w:val="18"/>
                <w:szCs w:val="18"/>
                <w:lang w:val="de-DE"/>
              </w:rPr>
            </w:pPr>
            <w:r w:rsidRPr="00701471">
              <w:rPr>
                <w:color w:val="000000"/>
                <w:sz w:val="18"/>
                <w:szCs w:val="18"/>
                <w:lang w:val="de-DE"/>
              </w:rPr>
              <w:t>Asien</w:t>
            </w:r>
            <w:r w:rsidR="00AC44FD" w:rsidRPr="00701471">
              <w:rPr>
                <w:color w:val="000000"/>
                <w:sz w:val="18"/>
                <w:szCs w:val="18"/>
                <w:lang w:val="de-DE"/>
              </w:rPr>
              <w:t>/</w:t>
            </w:r>
            <w:r>
              <w:rPr>
                <w:color w:val="000000"/>
                <w:sz w:val="18"/>
                <w:szCs w:val="18"/>
                <w:lang w:val="de-DE"/>
              </w:rPr>
              <w:t>Pazifik</w:t>
            </w:r>
            <w:r w:rsidR="00AC44FD" w:rsidRPr="00701471">
              <w:rPr>
                <w:color w:val="000000"/>
                <w:sz w:val="18"/>
                <w:szCs w:val="18"/>
                <w:lang w:val="de-DE"/>
              </w:rPr>
              <w:t xml:space="preserve">:  </w:t>
            </w:r>
            <w:r w:rsidR="00AC44FD" w:rsidRPr="00701471">
              <w:rPr>
                <w:color w:val="000000"/>
                <w:sz w:val="18"/>
                <w:szCs w:val="18"/>
                <w:lang w:val="de-DE"/>
              </w:rPr>
              <w:tab/>
              <w:t>NZ (1)</w:t>
            </w:r>
          </w:p>
          <w:p w:rsidR="00AC44FD" w:rsidRPr="00701471" w:rsidRDefault="00701471" w:rsidP="00AC44FD">
            <w:pPr>
              <w:keepNext/>
              <w:keepLines/>
              <w:ind w:left="3861" w:hanging="2694"/>
              <w:jc w:val="left"/>
              <w:rPr>
                <w:color w:val="000000"/>
                <w:sz w:val="18"/>
                <w:szCs w:val="18"/>
                <w:lang w:val="de-DE"/>
              </w:rPr>
            </w:pPr>
            <w:r w:rsidRPr="00701471">
              <w:rPr>
                <w:color w:val="000000"/>
                <w:sz w:val="18"/>
                <w:szCs w:val="18"/>
                <w:lang w:val="de-DE"/>
              </w:rPr>
              <w:t>Asien</w:t>
            </w:r>
            <w:r w:rsidR="00AC44FD" w:rsidRPr="00701471">
              <w:rPr>
                <w:color w:val="000000"/>
                <w:sz w:val="18"/>
                <w:szCs w:val="18"/>
                <w:lang w:val="de-DE"/>
              </w:rPr>
              <w:t>/</w:t>
            </w:r>
            <w:r>
              <w:rPr>
                <w:color w:val="000000"/>
                <w:sz w:val="18"/>
                <w:szCs w:val="18"/>
                <w:lang w:val="de-DE"/>
              </w:rPr>
              <w:t>Pazifik</w:t>
            </w:r>
            <w:r w:rsidR="00AC44FD" w:rsidRPr="00701471">
              <w:rPr>
                <w:color w:val="000000"/>
                <w:sz w:val="18"/>
                <w:szCs w:val="18"/>
                <w:lang w:val="de-DE"/>
              </w:rPr>
              <w:t xml:space="preserve"> - </w:t>
            </w:r>
            <w:r>
              <w:rPr>
                <w:color w:val="000000"/>
                <w:sz w:val="18"/>
                <w:szCs w:val="18"/>
                <w:lang w:val="de-DE"/>
              </w:rPr>
              <w:t>Europa</w:t>
            </w:r>
            <w:r w:rsidR="00AC44FD" w:rsidRPr="00701471">
              <w:rPr>
                <w:color w:val="000000"/>
                <w:sz w:val="18"/>
                <w:szCs w:val="18"/>
                <w:lang w:val="de-DE"/>
              </w:rPr>
              <w:t>:</w:t>
            </w:r>
            <w:r w:rsidR="00AC44FD" w:rsidRPr="00701471">
              <w:rPr>
                <w:color w:val="000000"/>
                <w:sz w:val="18"/>
                <w:szCs w:val="18"/>
                <w:lang w:val="de-DE"/>
              </w:rPr>
              <w:tab/>
              <w:t>AU/ES (1)</w:t>
            </w:r>
          </w:p>
          <w:p w:rsidR="00AC44FD" w:rsidRPr="00126859" w:rsidRDefault="00701471" w:rsidP="00AC44FD">
            <w:pPr>
              <w:keepNext/>
              <w:keepLines/>
              <w:ind w:left="3861" w:hanging="2694"/>
              <w:jc w:val="left"/>
              <w:rPr>
                <w:color w:val="000000"/>
                <w:sz w:val="18"/>
                <w:szCs w:val="18"/>
                <w:lang w:val="de-DE"/>
              </w:rPr>
            </w:pPr>
            <w:r w:rsidRPr="00126859">
              <w:rPr>
                <w:color w:val="000000"/>
                <w:sz w:val="18"/>
                <w:szCs w:val="18"/>
                <w:lang w:val="de-DE"/>
              </w:rPr>
              <w:t>Europa</w:t>
            </w:r>
            <w:r w:rsidR="00AC44FD" w:rsidRPr="00126859">
              <w:rPr>
                <w:color w:val="000000"/>
                <w:sz w:val="18"/>
                <w:szCs w:val="18"/>
                <w:lang w:val="de-DE"/>
              </w:rPr>
              <w:t xml:space="preserve">:  </w:t>
            </w:r>
            <w:r w:rsidR="00AC44FD" w:rsidRPr="00126859">
              <w:rPr>
                <w:color w:val="000000"/>
                <w:sz w:val="18"/>
                <w:szCs w:val="18"/>
                <w:lang w:val="de-DE"/>
              </w:rPr>
              <w:tab/>
              <w:t>D</w:t>
            </w:r>
            <w:r w:rsidR="00AC44FD" w:rsidRPr="00126859">
              <w:rPr>
                <w:sz w:val="18"/>
                <w:szCs w:val="18"/>
                <w:lang w:val="de-DE"/>
              </w:rPr>
              <w:t>E</w:t>
            </w:r>
            <w:r w:rsidR="00AC44FD" w:rsidRPr="00126859">
              <w:rPr>
                <w:color w:val="000000"/>
                <w:sz w:val="18"/>
                <w:szCs w:val="18"/>
                <w:lang w:val="de-DE"/>
              </w:rPr>
              <w:t xml:space="preserve"> (1), GB (1)</w:t>
            </w:r>
          </w:p>
          <w:p w:rsidR="00AC44FD" w:rsidRPr="00126859" w:rsidRDefault="00AC44FD" w:rsidP="00AC44FD">
            <w:pPr>
              <w:keepNext/>
              <w:keepLines/>
              <w:tabs>
                <w:tab w:val="left" w:pos="601"/>
              </w:tabs>
              <w:jc w:val="left"/>
              <w:rPr>
                <w:color w:val="000000"/>
                <w:sz w:val="18"/>
                <w:szCs w:val="18"/>
                <w:lang w:val="de-DE"/>
              </w:rPr>
            </w:pPr>
          </w:p>
          <w:p w:rsidR="00AC44FD" w:rsidRPr="002E0794" w:rsidRDefault="00AC44FD" w:rsidP="00AC44FD">
            <w:pPr>
              <w:spacing w:after="120"/>
              <w:ind w:left="743" w:hanging="386"/>
              <w:jc w:val="left"/>
              <w:rPr>
                <w:color w:val="000000"/>
                <w:sz w:val="18"/>
                <w:szCs w:val="18"/>
                <w:lang w:val="de-DE"/>
              </w:rPr>
            </w:pPr>
            <w:r w:rsidRPr="002E0794">
              <w:rPr>
                <w:color w:val="000000"/>
                <w:sz w:val="18"/>
                <w:szCs w:val="18"/>
                <w:lang w:val="de-DE"/>
              </w:rPr>
              <w:t>–</w:t>
            </w:r>
            <w:r w:rsidRPr="002E0794">
              <w:rPr>
                <w:color w:val="000000"/>
                <w:sz w:val="18"/>
                <w:szCs w:val="18"/>
                <w:lang w:val="de-DE"/>
              </w:rPr>
              <w:tab/>
              <w:t xml:space="preserve">4 </w:t>
            </w:r>
            <w:r w:rsidR="002E0794">
              <w:rPr>
                <w:color w:val="000000"/>
                <w:sz w:val="18"/>
                <w:szCs w:val="18"/>
                <w:lang w:val="de-DE"/>
              </w:rPr>
              <w:t>teilweise</w:t>
            </w:r>
            <w:r w:rsidRPr="002E0794">
              <w:rPr>
                <w:color w:val="000000"/>
                <w:sz w:val="18"/>
                <w:szCs w:val="18"/>
                <w:lang w:val="de-DE"/>
              </w:rPr>
              <w:t xml:space="preserve"> </w:t>
            </w:r>
            <w:r w:rsidR="00444961" w:rsidRPr="002E0794">
              <w:rPr>
                <w:color w:val="000000"/>
                <w:sz w:val="18"/>
                <w:szCs w:val="18"/>
                <w:lang w:val="de-DE"/>
              </w:rPr>
              <w:t>überarbeitete</w:t>
            </w:r>
            <w:r w:rsidRPr="002E0794">
              <w:rPr>
                <w:color w:val="000000"/>
                <w:sz w:val="18"/>
                <w:szCs w:val="18"/>
                <w:lang w:val="de-DE"/>
              </w:rPr>
              <w:t xml:space="preserve"> </w:t>
            </w:r>
            <w:r w:rsidR="002E0794" w:rsidRPr="002E0794">
              <w:rPr>
                <w:color w:val="000000"/>
                <w:sz w:val="18"/>
                <w:szCs w:val="18"/>
                <w:lang w:val="de-DE"/>
              </w:rPr>
              <w:t>Prüfungsrichtlinien</w:t>
            </w:r>
            <w:r w:rsidRPr="002E0794">
              <w:rPr>
                <w:color w:val="000000"/>
                <w:sz w:val="18"/>
                <w:szCs w:val="18"/>
                <w:lang w:val="de-DE"/>
              </w:rPr>
              <w:t>:  TWF (1), TWO (2), TWV/TWA (1)</w:t>
            </w:r>
          </w:p>
          <w:p w:rsidR="00AC44FD" w:rsidRPr="00701471" w:rsidRDefault="00701471" w:rsidP="00AC44FD">
            <w:pPr>
              <w:keepNext/>
              <w:keepLines/>
              <w:ind w:left="3861" w:hanging="2694"/>
              <w:jc w:val="left"/>
              <w:rPr>
                <w:color w:val="000000"/>
                <w:sz w:val="18"/>
                <w:szCs w:val="18"/>
                <w:lang w:val="de-DE"/>
              </w:rPr>
            </w:pPr>
            <w:r w:rsidRPr="00701471">
              <w:rPr>
                <w:color w:val="000000"/>
                <w:sz w:val="18"/>
                <w:szCs w:val="18"/>
                <w:lang w:val="de-DE"/>
              </w:rPr>
              <w:t>Europa</w:t>
            </w:r>
            <w:r w:rsidR="00AC44FD" w:rsidRPr="00701471">
              <w:rPr>
                <w:color w:val="000000"/>
                <w:sz w:val="18"/>
                <w:szCs w:val="18"/>
                <w:lang w:val="de-DE"/>
              </w:rPr>
              <w:t xml:space="preserve">:  </w:t>
            </w:r>
            <w:r w:rsidR="00AC44FD" w:rsidRPr="00701471">
              <w:rPr>
                <w:color w:val="000000"/>
                <w:sz w:val="18"/>
                <w:szCs w:val="18"/>
                <w:lang w:val="de-DE"/>
              </w:rPr>
              <w:tab/>
              <w:t>FR (1), DE (3)</w:t>
            </w:r>
          </w:p>
          <w:p w:rsidR="008E13BE" w:rsidRPr="00701471" w:rsidRDefault="008E13BE" w:rsidP="00703AC7">
            <w:pPr>
              <w:rPr>
                <w:sz w:val="18"/>
                <w:szCs w:val="18"/>
                <w:lang w:val="de-DE"/>
              </w:rPr>
            </w:pPr>
          </w:p>
          <w:p w:rsidR="007F55CF" w:rsidRPr="00701471" w:rsidRDefault="00D40ACE" w:rsidP="000C25AF">
            <w:pPr>
              <w:rPr>
                <w:sz w:val="18"/>
                <w:lang w:val="de-DE"/>
              </w:rPr>
            </w:pPr>
            <w:r>
              <w:rPr>
                <w:sz w:val="18"/>
                <w:lang w:val="de-DE"/>
              </w:rPr>
              <w:t xml:space="preserve">Im Jahr 2012 in </w:t>
            </w:r>
            <w:r w:rsidR="000C25AF">
              <w:rPr>
                <w:sz w:val="18"/>
                <w:lang w:val="de-DE"/>
              </w:rPr>
              <w:t>Erstellung begriffene</w:t>
            </w:r>
            <w:r>
              <w:rPr>
                <w:sz w:val="18"/>
                <w:lang w:val="de-DE"/>
              </w:rPr>
              <w:t xml:space="preserve"> </w:t>
            </w:r>
            <w:r w:rsidR="002E0794" w:rsidRPr="00701471">
              <w:rPr>
                <w:sz w:val="18"/>
                <w:lang w:val="de-DE"/>
              </w:rPr>
              <w:t>Prüfungsrichtlinien</w:t>
            </w:r>
            <w:r w:rsidR="007F55CF" w:rsidRPr="00701471">
              <w:rPr>
                <w:sz w:val="18"/>
                <w:lang w:val="de-DE"/>
              </w:rPr>
              <w:t>:</w:t>
            </w:r>
          </w:p>
          <w:p w:rsidR="007F55CF" w:rsidRPr="00701471" w:rsidRDefault="007F55CF" w:rsidP="007F55CF">
            <w:pPr>
              <w:rPr>
                <w:sz w:val="18"/>
                <w:lang w:val="de-DE"/>
              </w:rPr>
            </w:pPr>
          </w:p>
          <w:p w:rsidR="007F55CF" w:rsidRPr="002E0794" w:rsidRDefault="007F55CF" w:rsidP="00D40ACE">
            <w:pPr>
              <w:spacing w:after="60"/>
              <w:ind w:left="743" w:hanging="386"/>
              <w:jc w:val="left"/>
              <w:rPr>
                <w:i/>
                <w:color w:val="000000"/>
                <w:sz w:val="18"/>
                <w:szCs w:val="18"/>
                <w:lang w:val="de-DE"/>
              </w:rPr>
            </w:pPr>
            <w:r w:rsidRPr="002E0794">
              <w:rPr>
                <w:color w:val="000000"/>
                <w:sz w:val="18"/>
                <w:szCs w:val="18"/>
                <w:lang w:val="de-DE"/>
              </w:rPr>
              <w:t>–</w:t>
            </w:r>
            <w:r w:rsidRPr="002E0794">
              <w:rPr>
                <w:color w:val="000000"/>
                <w:sz w:val="18"/>
                <w:szCs w:val="18"/>
                <w:lang w:val="de-DE"/>
              </w:rPr>
              <w:tab/>
              <w:t>36</w:t>
            </w:r>
            <w:r w:rsidR="002E0794" w:rsidRPr="002E0794">
              <w:rPr>
                <w:color w:val="000000"/>
                <w:sz w:val="18"/>
                <w:szCs w:val="18"/>
                <w:lang w:val="de-DE"/>
              </w:rPr>
              <w:t xml:space="preserve"> neue Prüfungsrichtlinien</w:t>
            </w:r>
            <w:r w:rsidRPr="002E0794">
              <w:rPr>
                <w:color w:val="000000"/>
                <w:sz w:val="18"/>
                <w:szCs w:val="18"/>
                <w:lang w:val="de-DE"/>
              </w:rPr>
              <w:t>:  TWA (8), TWA/TWV (1), TWF (8), TWO (15), TWV (4)</w:t>
            </w:r>
            <w:r w:rsidRPr="002E0794">
              <w:rPr>
                <w:color w:val="000000"/>
                <w:sz w:val="18"/>
                <w:szCs w:val="18"/>
                <w:lang w:val="de-DE"/>
              </w:rPr>
              <w:br/>
            </w:r>
            <w:r w:rsidR="002E0794" w:rsidRPr="002E0794">
              <w:rPr>
                <w:color w:val="000000"/>
                <w:sz w:val="18"/>
                <w:szCs w:val="18"/>
                <w:lang w:val="de-DE"/>
              </w:rPr>
              <w:t xml:space="preserve">ausgearbeitet </w:t>
            </w:r>
            <w:r w:rsidR="00701471">
              <w:rPr>
                <w:color w:val="000000"/>
                <w:sz w:val="18"/>
                <w:szCs w:val="18"/>
                <w:lang w:val="de-DE"/>
              </w:rPr>
              <w:t>von führenden Sachverständigen</w:t>
            </w:r>
            <w:r w:rsidR="00D40ACE">
              <w:rPr>
                <w:color w:val="000000"/>
                <w:sz w:val="18"/>
                <w:szCs w:val="18"/>
                <w:lang w:val="de-DE"/>
              </w:rPr>
              <w:t xml:space="preserve"> aus</w:t>
            </w:r>
            <w:r w:rsidRPr="002E0794">
              <w:rPr>
                <w:color w:val="000000"/>
                <w:sz w:val="18"/>
                <w:szCs w:val="18"/>
                <w:lang w:val="de-DE"/>
              </w:rPr>
              <w:t>:</w:t>
            </w:r>
          </w:p>
          <w:p w:rsidR="007F55CF" w:rsidRPr="006054BD" w:rsidRDefault="00D40ACE" w:rsidP="007F55CF">
            <w:pPr>
              <w:keepNext/>
              <w:keepLines/>
              <w:ind w:left="3861" w:hanging="2694"/>
              <w:jc w:val="left"/>
              <w:rPr>
                <w:color w:val="000000"/>
                <w:sz w:val="18"/>
                <w:szCs w:val="18"/>
                <w:lang w:val="es-ES"/>
              </w:rPr>
            </w:pPr>
            <w:r>
              <w:rPr>
                <w:color w:val="000000"/>
                <w:sz w:val="18"/>
                <w:szCs w:val="18"/>
                <w:lang w:val="es-ES"/>
              </w:rPr>
              <w:t>Afrika</w:t>
            </w:r>
            <w:r w:rsidR="007F55CF" w:rsidRPr="006054BD">
              <w:rPr>
                <w:color w:val="000000"/>
                <w:sz w:val="18"/>
                <w:szCs w:val="18"/>
                <w:lang w:val="es-ES"/>
              </w:rPr>
              <w:t>/</w:t>
            </w:r>
            <w:r>
              <w:rPr>
                <w:color w:val="000000"/>
                <w:sz w:val="18"/>
                <w:szCs w:val="18"/>
                <w:lang w:val="es-ES"/>
              </w:rPr>
              <w:t>Amerikas</w:t>
            </w:r>
            <w:r w:rsidR="007F55CF" w:rsidRPr="006054BD">
              <w:rPr>
                <w:color w:val="000000"/>
                <w:sz w:val="18"/>
                <w:szCs w:val="18"/>
                <w:lang w:val="es-ES"/>
              </w:rPr>
              <w:t xml:space="preserve">:  </w:t>
            </w:r>
            <w:r w:rsidR="007F55CF" w:rsidRPr="006054BD">
              <w:rPr>
                <w:color w:val="000000"/>
                <w:sz w:val="18"/>
                <w:szCs w:val="18"/>
                <w:lang w:val="es-ES"/>
              </w:rPr>
              <w:tab/>
              <w:t>KE/BR (1)</w:t>
            </w:r>
          </w:p>
          <w:p w:rsidR="007F55CF" w:rsidRPr="006054BD" w:rsidRDefault="00D40ACE" w:rsidP="007F55CF">
            <w:pPr>
              <w:keepNext/>
              <w:keepLines/>
              <w:ind w:left="3861" w:hanging="2694"/>
              <w:jc w:val="left"/>
              <w:rPr>
                <w:color w:val="000000"/>
                <w:sz w:val="18"/>
                <w:szCs w:val="18"/>
                <w:lang w:val="es-ES"/>
              </w:rPr>
            </w:pPr>
            <w:r>
              <w:rPr>
                <w:color w:val="000000"/>
                <w:sz w:val="18"/>
                <w:szCs w:val="18"/>
                <w:lang w:val="es-ES"/>
              </w:rPr>
              <w:t>Amerikas</w:t>
            </w:r>
            <w:r w:rsidR="007F55CF" w:rsidRPr="006054BD">
              <w:rPr>
                <w:color w:val="000000"/>
                <w:sz w:val="18"/>
                <w:szCs w:val="18"/>
                <w:lang w:val="es-ES"/>
              </w:rPr>
              <w:t xml:space="preserve">:  </w:t>
            </w:r>
            <w:r w:rsidR="007F55CF" w:rsidRPr="006054BD">
              <w:rPr>
                <w:color w:val="000000"/>
                <w:sz w:val="18"/>
                <w:szCs w:val="18"/>
                <w:lang w:val="es-ES"/>
              </w:rPr>
              <w:tab/>
              <w:t>AR (1), BR (3), CA (1), MX (3)</w:t>
            </w:r>
          </w:p>
          <w:p w:rsidR="007F55CF" w:rsidRPr="00701471" w:rsidRDefault="00D40ACE" w:rsidP="007F55CF">
            <w:pPr>
              <w:keepNext/>
              <w:keepLines/>
              <w:ind w:left="3861" w:hanging="2694"/>
              <w:jc w:val="left"/>
              <w:rPr>
                <w:color w:val="000000"/>
                <w:sz w:val="18"/>
                <w:szCs w:val="18"/>
                <w:lang w:val="de-DE"/>
              </w:rPr>
            </w:pPr>
            <w:r>
              <w:rPr>
                <w:color w:val="000000"/>
                <w:sz w:val="18"/>
                <w:szCs w:val="18"/>
                <w:lang w:val="de-DE"/>
              </w:rPr>
              <w:t>Amerikas</w:t>
            </w:r>
            <w:r w:rsidR="007F55CF" w:rsidRPr="00701471">
              <w:rPr>
                <w:color w:val="000000"/>
                <w:sz w:val="18"/>
                <w:szCs w:val="18"/>
                <w:lang w:val="de-DE"/>
              </w:rPr>
              <w:t xml:space="preserve"> - </w:t>
            </w:r>
            <w:r w:rsidR="00701471" w:rsidRPr="00701471">
              <w:rPr>
                <w:color w:val="000000"/>
                <w:sz w:val="18"/>
                <w:szCs w:val="18"/>
                <w:lang w:val="de-DE"/>
              </w:rPr>
              <w:t>Asien</w:t>
            </w:r>
            <w:r w:rsidR="007F55CF" w:rsidRPr="00701471">
              <w:rPr>
                <w:color w:val="000000"/>
                <w:sz w:val="18"/>
                <w:szCs w:val="18"/>
                <w:lang w:val="de-DE"/>
              </w:rPr>
              <w:t>/</w:t>
            </w:r>
            <w:r w:rsidR="00701471" w:rsidRPr="00701471">
              <w:rPr>
                <w:color w:val="000000"/>
                <w:sz w:val="18"/>
                <w:szCs w:val="18"/>
                <w:lang w:val="de-DE"/>
              </w:rPr>
              <w:t>Pazifik</w:t>
            </w:r>
            <w:r w:rsidR="007F55CF" w:rsidRPr="00701471">
              <w:rPr>
                <w:color w:val="000000"/>
                <w:sz w:val="18"/>
                <w:szCs w:val="18"/>
                <w:lang w:val="de-DE"/>
              </w:rPr>
              <w:t>:</w:t>
            </w:r>
            <w:r w:rsidR="007F55CF" w:rsidRPr="00701471">
              <w:rPr>
                <w:color w:val="000000"/>
                <w:sz w:val="18"/>
                <w:szCs w:val="18"/>
                <w:lang w:val="de-DE"/>
              </w:rPr>
              <w:tab/>
              <w:t>BR/CN (1)</w:t>
            </w:r>
          </w:p>
          <w:p w:rsidR="007F55CF" w:rsidRPr="00701471" w:rsidRDefault="00701471" w:rsidP="007F55CF">
            <w:pPr>
              <w:keepNext/>
              <w:keepLines/>
              <w:ind w:left="3861" w:hanging="2694"/>
              <w:jc w:val="left"/>
              <w:rPr>
                <w:color w:val="000000"/>
                <w:sz w:val="18"/>
                <w:szCs w:val="18"/>
                <w:lang w:val="de-DE"/>
              </w:rPr>
            </w:pPr>
            <w:r w:rsidRPr="00701471">
              <w:rPr>
                <w:color w:val="000000"/>
                <w:sz w:val="18"/>
                <w:szCs w:val="18"/>
                <w:lang w:val="de-DE"/>
              </w:rPr>
              <w:t>Asien</w:t>
            </w:r>
            <w:r w:rsidR="007F55CF" w:rsidRPr="00701471">
              <w:rPr>
                <w:color w:val="000000"/>
                <w:sz w:val="18"/>
                <w:szCs w:val="18"/>
                <w:lang w:val="de-DE"/>
              </w:rPr>
              <w:t>/</w:t>
            </w:r>
            <w:r w:rsidRPr="00701471">
              <w:rPr>
                <w:color w:val="000000"/>
                <w:sz w:val="18"/>
                <w:szCs w:val="18"/>
                <w:lang w:val="de-DE"/>
              </w:rPr>
              <w:t>Pazifik</w:t>
            </w:r>
            <w:r w:rsidR="007F55CF" w:rsidRPr="00701471">
              <w:rPr>
                <w:color w:val="000000"/>
                <w:sz w:val="18"/>
                <w:szCs w:val="18"/>
                <w:lang w:val="de-DE"/>
              </w:rPr>
              <w:t xml:space="preserve">:  </w:t>
            </w:r>
            <w:r w:rsidR="007F55CF" w:rsidRPr="00701471">
              <w:rPr>
                <w:color w:val="000000"/>
                <w:sz w:val="18"/>
                <w:szCs w:val="18"/>
                <w:lang w:val="de-DE"/>
              </w:rPr>
              <w:tab/>
              <w:t>AU (3), CN (5), JP (6), KR (1), NZ (2)</w:t>
            </w:r>
          </w:p>
          <w:p w:rsidR="007F55CF" w:rsidRPr="006054BD" w:rsidRDefault="00701471" w:rsidP="007F55CF">
            <w:pPr>
              <w:keepNext/>
              <w:keepLines/>
              <w:ind w:left="3861" w:hanging="2694"/>
              <w:jc w:val="left"/>
              <w:rPr>
                <w:color w:val="000000"/>
                <w:sz w:val="18"/>
                <w:szCs w:val="18"/>
                <w:lang w:val="es-ES"/>
              </w:rPr>
            </w:pPr>
            <w:r>
              <w:rPr>
                <w:color w:val="000000"/>
                <w:sz w:val="18"/>
                <w:szCs w:val="18"/>
                <w:lang w:val="es-ES"/>
              </w:rPr>
              <w:t>Europa</w:t>
            </w:r>
            <w:r w:rsidR="007F55CF" w:rsidRPr="006054BD">
              <w:rPr>
                <w:color w:val="000000"/>
                <w:sz w:val="18"/>
                <w:szCs w:val="18"/>
                <w:lang w:val="es-ES"/>
              </w:rPr>
              <w:t xml:space="preserve">:  </w:t>
            </w:r>
            <w:r w:rsidR="007F55CF" w:rsidRPr="006054BD">
              <w:rPr>
                <w:color w:val="000000"/>
                <w:sz w:val="18"/>
                <w:szCs w:val="18"/>
                <w:lang w:val="es-ES"/>
              </w:rPr>
              <w:tab/>
              <w:t>ES (1), FR (2), GB (1), NL (3), PL (1)</w:t>
            </w:r>
          </w:p>
          <w:p w:rsidR="007F55CF" w:rsidRPr="00D40ACE" w:rsidRDefault="00D40ACE" w:rsidP="00C44D84">
            <w:pPr>
              <w:keepNext/>
              <w:keepLines/>
              <w:ind w:left="3861" w:hanging="2694"/>
              <w:jc w:val="left"/>
              <w:rPr>
                <w:color w:val="000000"/>
                <w:sz w:val="18"/>
                <w:szCs w:val="18"/>
                <w:lang w:val="de-DE"/>
              </w:rPr>
            </w:pPr>
            <w:r w:rsidRPr="00D40ACE">
              <w:rPr>
                <w:color w:val="000000"/>
                <w:sz w:val="18"/>
                <w:szCs w:val="18"/>
                <w:lang w:val="de-DE"/>
              </w:rPr>
              <w:t xml:space="preserve">Naher/Mittlerer Osten </w:t>
            </w:r>
            <w:r w:rsidR="007F55CF" w:rsidRPr="00D40ACE">
              <w:rPr>
                <w:color w:val="000000"/>
                <w:sz w:val="18"/>
                <w:szCs w:val="18"/>
                <w:lang w:val="de-DE"/>
              </w:rPr>
              <w:t xml:space="preserve">– </w:t>
            </w:r>
            <w:r w:rsidR="00701471" w:rsidRPr="00D40ACE">
              <w:rPr>
                <w:color w:val="000000"/>
                <w:sz w:val="18"/>
                <w:szCs w:val="18"/>
                <w:lang w:val="de-DE"/>
              </w:rPr>
              <w:t>Asien</w:t>
            </w:r>
            <w:r w:rsidR="007F55CF" w:rsidRPr="00D40ACE">
              <w:rPr>
                <w:color w:val="000000"/>
                <w:sz w:val="18"/>
                <w:szCs w:val="18"/>
                <w:lang w:val="de-DE"/>
              </w:rPr>
              <w:t>/</w:t>
            </w:r>
            <w:r w:rsidR="00701471" w:rsidRPr="00D40ACE">
              <w:rPr>
                <w:color w:val="000000"/>
                <w:sz w:val="18"/>
                <w:szCs w:val="18"/>
                <w:lang w:val="de-DE"/>
              </w:rPr>
              <w:t>Pazifik</w:t>
            </w:r>
            <w:r w:rsidR="007F55CF" w:rsidRPr="00D40ACE">
              <w:rPr>
                <w:color w:val="000000"/>
                <w:sz w:val="18"/>
                <w:szCs w:val="18"/>
                <w:lang w:val="de-DE"/>
              </w:rPr>
              <w:t>:</w:t>
            </w:r>
            <w:r w:rsidR="007F55CF" w:rsidRPr="00D40ACE">
              <w:rPr>
                <w:color w:val="000000"/>
                <w:sz w:val="18"/>
                <w:szCs w:val="18"/>
                <w:lang w:val="de-DE"/>
              </w:rPr>
              <w:tab/>
              <w:t>IL/KR (1)</w:t>
            </w:r>
          </w:p>
          <w:p w:rsidR="007F55CF" w:rsidRPr="003F377D" w:rsidRDefault="007F55CF" w:rsidP="00703AC7">
            <w:pPr>
              <w:rPr>
                <w:sz w:val="18"/>
                <w:szCs w:val="18"/>
                <w:lang w:val="es-ES"/>
              </w:rPr>
            </w:pPr>
          </w:p>
        </w:tc>
      </w:tr>
    </w:tbl>
    <w:p w:rsidR="00C44D84" w:rsidRDefault="00C44D84"/>
    <w:tbl>
      <w:tblPr>
        <w:tblW w:w="9889" w:type="dxa"/>
        <w:tblLayout w:type="fixed"/>
        <w:tblLook w:val="0000" w:firstRow="0" w:lastRow="0" w:firstColumn="0" w:lastColumn="0" w:noHBand="0" w:noVBand="0"/>
      </w:tblPr>
      <w:tblGrid>
        <w:gridCol w:w="2093"/>
        <w:gridCol w:w="7796"/>
      </w:tblGrid>
      <w:tr w:rsidR="00C44D84" w:rsidRPr="006054BD" w:rsidTr="00062A4B">
        <w:tc>
          <w:tcPr>
            <w:tcW w:w="2093" w:type="dxa"/>
            <w:shd w:val="clear" w:color="auto" w:fill="auto"/>
          </w:tcPr>
          <w:p w:rsidR="00C44D84" w:rsidRPr="00C44D84" w:rsidRDefault="00C44D84" w:rsidP="00062A4B">
            <w:pPr>
              <w:keepNext/>
              <w:spacing w:after="240"/>
              <w:rPr>
                <w:b/>
                <w:sz w:val="18"/>
                <w:szCs w:val="18"/>
              </w:rPr>
            </w:pPr>
            <w:r w:rsidRPr="00C44D84">
              <w:rPr>
                <w:b/>
                <w:sz w:val="18"/>
                <w:szCs w:val="18"/>
              </w:rPr>
              <w:t>Erwartete Ergebnisse</w:t>
            </w:r>
          </w:p>
        </w:tc>
        <w:tc>
          <w:tcPr>
            <w:tcW w:w="7796" w:type="dxa"/>
            <w:shd w:val="clear" w:color="auto" w:fill="auto"/>
          </w:tcPr>
          <w:p w:rsidR="00C44D84" w:rsidRPr="006054BD" w:rsidRDefault="00C44D84" w:rsidP="00062A4B">
            <w:pPr>
              <w:keepNext/>
              <w:spacing w:after="240"/>
              <w:rPr>
                <w:b/>
                <w:i/>
                <w:sz w:val="18"/>
                <w:szCs w:val="18"/>
              </w:rPr>
            </w:pPr>
            <w:r>
              <w:rPr>
                <w:b/>
                <w:sz w:val="18"/>
                <w:szCs w:val="18"/>
              </w:rPr>
              <w:t>Erzielte Ergebnisse</w:t>
            </w:r>
            <w:r w:rsidRPr="006054BD">
              <w:rPr>
                <w:b/>
                <w:sz w:val="18"/>
                <w:szCs w:val="18"/>
              </w:rPr>
              <w:t xml:space="preserve">:  </w:t>
            </w:r>
            <w:r>
              <w:rPr>
                <w:b/>
                <w:sz w:val="18"/>
                <w:szCs w:val="18"/>
              </w:rPr>
              <w:t>Ausgewählte Planerfüllungsindikatoren</w:t>
            </w:r>
          </w:p>
        </w:tc>
      </w:tr>
      <w:tr w:rsidR="00C44D84" w:rsidRPr="00DE5DFD" w:rsidTr="002874C7">
        <w:tc>
          <w:tcPr>
            <w:tcW w:w="2093" w:type="dxa"/>
            <w:shd w:val="clear" w:color="auto" w:fill="auto"/>
          </w:tcPr>
          <w:p w:rsidR="00C44D84" w:rsidRPr="00126859" w:rsidRDefault="00C44D84" w:rsidP="00A82F8A">
            <w:pPr>
              <w:jc w:val="left"/>
              <w:rPr>
                <w:i/>
                <w:sz w:val="18"/>
                <w:szCs w:val="18"/>
                <w:lang w:val="de-DE"/>
              </w:rPr>
            </w:pPr>
            <w:r w:rsidRPr="00126859">
              <w:rPr>
                <w:i/>
                <w:sz w:val="18"/>
                <w:szCs w:val="18"/>
                <w:lang w:val="de-DE"/>
              </w:rPr>
              <w:t xml:space="preserve">3.  </w:t>
            </w:r>
            <w:r w:rsidRPr="005E1F1F">
              <w:rPr>
                <w:i/>
                <w:sz w:val="18"/>
                <w:szCs w:val="18"/>
                <w:lang w:val="de-DE"/>
              </w:rPr>
              <w:t>Zusammenarbeit in der Prüfung auf Erteilung des Züchterrechts</w:t>
            </w:r>
            <w:r w:rsidRPr="005E1F1F">
              <w:rPr>
                <w:sz w:val="18"/>
                <w:szCs w:val="18"/>
                <w:lang w:val="de-DE"/>
              </w:rPr>
              <w:t xml:space="preserve"> (Fortsetzung)</w:t>
            </w:r>
          </w:p>
        </w:tc>
        <w:tc>
          <w:tcPr>
            <w:tcW w:w="7796" w:type="dxa"/>
            <w:shd w:val="clear" w:color="auto" w:fill="auto"/>
          </w:tcPr>
          <w:p w:rsidR="00C44D84" w:rsidRPr="00B651B2" w:rsidRDefault="00C44D84" w:rsidP="00C44D84">
            <w:pPr>
              <w:tabs>
                <w:tab w:val="left" w:pos="756"/>
                <w:tab w:val="left" w:pos="2444"/>
              </w:tabs>
              <w:spacing w:after="120"/>
              <w:ind w:left="2444" w:hanging="2087"/>
              <w:jc w:val="left"/>
              <w:rPr>
                <w:color w:val="000000"/>
                <w:sz w:val="18"/>
                <w:szCs w:val="18"/>
                <w:lang w:val="de-DE"/>
              </w:rPr>
            </w:pPr>
            <w:r w:rsidRPr="00B651B2">
              <w:rPr>
                <w:color w:val="000000"/>
                <w:sz w:val="18"/>
                <w:szCs w:val="18"/>
                <w:lang w:val="de-DE"/>
              </w:rPr>
              <w:t>–</w:t>
            </w:r>
            <w:r w:rsidRPr="00B651B2">
              <w:rPr>
                <w:color w:val="000000"/>
                <w:sz w:val="18"/>
                <w:szCs w:val="18"/>
                <w:lang w:val="de-DE"/>
              </w:rPr>
              <w:tab/>
              <w:t xml:space="preserve">16 </w:t>
            </w:r>
            <w:r>
              <w:rPr>
                <w:color w:val="000000"/>
                <w:sz w:val="18"/>
                <w:szCs w:val="18"/>
                <w:lang w:val="de-DE"/>
              </w:rPr>
              <w:t>Überarbeitungen</w:t>
            </w:r>
            <w:r w:rsidRPr="00B651B2">
              <w:rPr>
                <w:color w:val="000000"/>
                <w:sz w:val="18"/>
                <w:szCs w:val="18"/>
                <w:lang w:val="de-DE"/>
              </w:rPr>
              <w:t>:  TWA (5), TWF (2), TWO (4), TWV (5)</w:t>
            </w:r>
          </w:p>
          <w:p w:rsidR="00C44D84" w:rsidRPr="006054BD" w:rsidRDefault="00C44D84" w:rsidP="00C44D84">
            <w:pPr>
              <w:keepNext/>
              <w:keepLines/>
              <w:ind w:left="3861" w:hanging="2694"/>
              <w:jc w:val="left"/>
              <w:rPr>
                <w:color w:val="000000"/>
                <w:sz w:val="18"/>
                <w:szCs w:val="18"/>
                <w:lang w:val="es-ES"/>
              </w:rPr>
            </w:pPr>
            <w:r>
              <w:rPr>
                <w:color w:val="000000"/>
                <w:sz w:val="18"/>
                <w:szCs w:val="18"/>
                <w:lang w:val="es-ES"/>
              </w:rPr>
              <w:t>Afrika</w:t>
            </w:r>
            <w:r w:rsidRPr="006054BD">
              <w:rPr>
                <w:color w:val="000000"/>
                <w:sz w:val="18"/>
                <w:szCs w:val="18"/>
                <w:lang w:val="es-ES"/>
              </w:rPr>
              <w:t xml:space="preserve">:  </w:t>
            </w:r>
            <w:r w:rsidRPr="006054BD">
              <w:rPr>
                <w:color w:val="000000"/>
                <w:sz w:val="18"/>
                <w:szCs w:val="18"/>
                <w:lang w:val="es-ES"/>
              </w:rPr>
              <w:tab/>
              <w:t>ZA (1)</w:t>
            </w:r>
          </w:p>
          <w:p w:rsidR="00C44D84" w:rsidRPr="006054BD" w:rsidRDefault="00C44D84" w:rsidP="00C44D84">
            <w:pPr>
              <w:keepNext/>
              <w:keepLines/>
              <w:ind w:left="3861" w:hanging="2694"/>
              <w:jc w:val="left"/>
              <w:rPr>
                <w:color w:val="000000"/>
                <w:sz w:val="18"/>
                <w:szCs w:val="18"/>
                <w:lang w:val="es-ES"/>
              </w:rPr>
            </w:pPr>
            <w:r>
              <w:rPr>
                <w:color w:val="000000"/>
                <w:sz w:val="18"/>
                <w:szCs w:val="18"/>
                <w:lang w:val="es-ES"/>
              </w:rPr>
              <w:t>Europa</w:t>
            </w:r>
            <w:r w:rsidRPr="006054BD">
              <w:rPr>
                <w:color w:val="000000"/>
                <w:sz w:val="18"/>
                <w:szCs w:val="18"/>
                <w:lang w:val="es-ES"/>
              </w:rPr>
              <w:t xml:space="preserve">:  </w:t>
            </w:r>
            <w:r w:rsidRPr="006054BD">
              <w:rPr>
                <w:color w:val="000000"/>
                <w:sz w:val="18"/>
                <w:szCs w:val="18"/>
                <w:lang w:val="es-ES"/>
              </w:rPr>
              <w:tab/>
              <w:t>DE (3), ES (2), FR (2), GB (1), HU (1), NL (6)</w:t>
            </w:r>
          </w:p>
          <w:p w:rsidR="00C44D84" w:rsidRPr="006054BD" w:rsidRDefault="00C44D84" w:rsidP="00C44D84">
            <w:pPr>
              <w:keepNext/>
              <w:keepLines/>
              <w:tabs>
                <w:tab w:val="left" w:pos="601"/>
              </w:tabs>
              <w:jc w:val="left"/>
              <w:rPr>
                <w:color w:val="000000"/>
                <w:sz w:val="18"/>
                <w:szCs w:val="18"/>
                <w:lang w:val="es-ES"/>
              </w:rPr>
            </w:pPr>
          </w:p>
          <w:p w:rsidR="00C44D84" w:rsidRPr="00B651B2" w:rsidRDefault="00C44D84" w:rsidP="00C44D84">
            <w:pPr>
              <w:tabs>
                <w:tab w:val="left" w:pos="756"/>
                <w:tab w:val="left" w:pos="2444"/>
              </w:tabs>
              <w:spacing w:after="120"/>
              <w:ind w:left="2444" w:hanging="2087"/>
              <w:jc w:val="left"/>
              <w:rPr>
                <w:color w:val="000000"/>
                <w:sz w:val="18"/>
                <w:szCs w:val="18"/>
                <w:lang w:val="de-DE"/>
              </w:rPr>
            </w:pPr>
            <w:r w:rsidRPr="00B651B2">
              <w:rPr>
                <w:color w:val="000000"/>
                <w:sz w:val="18"/>
                <w:szCs w:val="18"/>
                <w:lang w:val="de-DE"/>
              </w:rPr>
              <w:t>–</w:t>
            </w:r>
            <w:r w:rsidRPr="00B651B2">
              <w:rPr>
                <w:color w:val="000000"/>
                <w:sz w:val="18"/>
                <w:szCs w:val="18"/>
                <w:lang w:val="de-DE"/>
              </w:rPr>
              <w:tab/>
              <w:t xml:space="preserve">7 </w:t>
            </w:r>
            <w:r>
              <w:rPr>
                <w:color w:val="000000"/>
                <w:sz w:val="18"/>
                <w:szCs w:val="18"/>
                <w:lang w:val="de-DE"/>
              </w:rPr>
              <w:t>Teilüberarbeitungen</w:t>
            </w:r>
            <w:r w:rsidRPr="00B651B2">
              <w:rPr>
                <w:color w:val="000000"/>
                <w:sz w:val="18"/>
                <w:szCs w:val="18"/>
                <w:lang w:val="de-DE"/>
              </w:rPr>
              <w:t xml:space="preserve">:  TWF (3), TWO (1), TWV (3) </w:t>
            </w:r>
          </w:p>
          <w:p w:rsidR="00C44D84" w:rsidRPr="006054BD" w:rsidRDefault="00C44D84" w:rsidP="00C44D84">
            <w:pPr>
              <w:keepNext/>
              <w:keepLines/>
              <w:ind w:left="3861" w:hanging="2694"/>
              <w:jc w:val="left"/>
              <w:rPr>
                <w:color w:val="000000"/>
                <w:sz w:val="18"/>
                <w:szCs w:val="18"/>
                <w:lang w:val="es-ES"/>
              </w:rPr>
            </w:pPr>
            <w:r>
              <w:rPr>
                <w:color w:val="000000"/>
                <w:sz w:val="18"/>
                <w:szCs w:val="18"/>
                <w:lang w:val="es-ES"/>
              </w:rPr>
              <w:t>Afrika</w:t>
            </w:r>
            <w:r w:rsidRPr="006054BD">
              <w:rPr>
                <w:color w:val="000000"/>
                <w:sz w:val="18"/>
                <w:szCs w:val="18"/>
                <w:lang w:val="es-ES"/>
              </w:rPr>
              <w:t xml:space="preserve">:  </w:t>
            </w:r>
            <w:r w:rsidRPr="006054BD">
              <w:rPr>
                <w:color w:val="000000"/>
                <w:sz w:val="18"/>
                <w:szCs w:val="18"/>
                <w:lang w:val="es-ES"/>
              </w:rPr>
              <w:tab/>
              <w:t>ZA (1)</w:t>
            </w:r>
          </w:p>
          <w:p w:rsidR="00C44D84" w:rsidRPr="006054BD" w:rsidRDefault="00C44D84" w:rsidP="00C44D84">
            <w:pPr>
              <w:keepNext/>
              <w:keepLines/>
              <w:ind w:left="3861" w:hanging="2694"/>
              <w:jc w:val="left"/>
              <w:rPr>
                <w:color w:val="000000"/>
                <w:sz w:val="18"/>
                <w:szCs w:val="18"/>
                <w:lang w:val="es-ES"/>
              </w:rPr>
            </w:pPr>
            <w:r>
              <w:rPr>
                <w:color w:val="000000"/>
                <w:sz w:val="18"/>
                <w:szCs w:val="18"/>
                <w:lang w:val="es-ES"/>
              </w:rPr>
              <w:t>Amerikas</w:t>
            </w:r>
            <w:r w:rsidRPr="006054BD">
              <w:rPr>
                <w:color w:val="000000"/>
                <w:sz w:val="18"/>
                <w:szCs w:val="18"/>
                <w:lang w:val="es-ES"/>
              </w:rPr>
              <w:t xml:space="preserve">:  </w:t>
            </w:r>
            <w:r w:rsidRPr="006054BD">
              <w:rPr>
                <w:color w:val="000000"/>
                <w:sz w:val="18"/>
                <w:szCs w:val="18"/>
                <w:lang w:val="es-ES"/>
              </w:rPr>
              <w:tab/>
              <w:t>MX (1)</w:t>
            </w:r>
          </w:p>
          <w:p w:rsidR="00C44D84" w:rsidRPr="006054BD" w:rsidRDefault="00C44D84" w:rsidP="00C44D84">
            <w:pPr>
              <w:keepNext/>
              <w:keepLines/>
              <w:ind w:left="3861" w:hanging="2694"/>
              <w:jc w:val="left"/>
              <w:rPr>
                <w:color w:val="000000"/>
                <w:sz w:val="18"/>
                <w:szCs w:val="18"/>
                <w:lang w:val="es-ES"/>
              </w:rPr>
            </w:pPr>
            <w:r>
              <w:rPr>
                <w:color w:val="000000"/>
                <w:sz w:val="18"/>
                <w:szCs w:val="18"/>
                <w:lang w:val="es-ES"/>
              </w:rPr>
              <w:t>Europa</w:t>
            </w:r>
            <w:r w:rsidRPr="006054BD">
              <w:rPr>
                <w:color w:val="000000"/>
                <w:sz w:val="18"/>
                <w:szCs w:val="18"/>
                <w:lang w:val="es-ES"/>
              </w:rPr>
              <w:t xml:space="preserve">:  </w:t>
            </w:r>
            <w:r w:rsidRPr="006054BD">
              <w:rPr>
                <w:color w:val="000000"/>
                <w:sz w:val="18"/>
                <w:szCs w:val="18"/>
                <w:lang w:val="es-ES"/>
              </w:rPr>
              <w:tab/>
              <w:t xml:space="preserve">ES (1), FR (1), FR/NL (1), NL (1), QZ (1) </w:t>
            </w:r>
          </w:p>
          <w:p w:rsidR="00C44D84" w:rsidRPr="006054BD" w:rsidRDefault="00C44D84" w:rsidP="00C44D84">
            <w:pPr>
              <w:keepNext/>
              <w:keepLines/>
              <w:ind w:left="3861" w:hanging="2694"/>
              <w:jc w:val="left"/>
              <w:rPr>
                <w:color w:val="000000"/>
                <w:sz w:val="18"/>
                <w:szCs w:val="18"/>
                <w:lang w:val="es-ES"/>
              </w:rPr>
            </w:pPr>
          </w:p>
          <w:p w:rsidR="00C44D84" w:rsidRPr="00C44D84" w:rsidRDefault="00C44D84" w:rsidP="00C44D84">
            <w:pPr>
              <w:rPr>
                <w:sz w:val="18"/>
                <w:szCs w:val="18"/>
                <w:lang w:val="de-DE"/>
              </w:rPr>
            </w:pPr>
            <w:r w:rsidRPr="00C44D84">
              <w:rPr>
                <w:sz w:val="18"/>
                <w:szCs w:val="18"/>
                <w:lang w:val="es-ES"/>
              </w:rPr>
              <w:t xml:space="preserve">Insgesamt nahmen 19 Verbandsmitglieder an der Erstellung von Prüfungsrichtlinien teil </w:t>
            </w:r>
            <w:r>
              <w:rPr>
                <w:sz w:val="18"/>
                <w:szCs w:val="18"/>
                <w:lang w:val="es-ES"/>
              </w:rPr>
              <w:br/>
            </w:r>
            <w:r w:rsidRPr="00C44D84">
              <w:rPr>
                <w:sz w:val="18"/>
                <w:szCs w:val="18"/>
                <w:lang w:val="es-ES"/>
              </w:rPr>
              <w:t>(AR, AU, BR, CA, CN, DE, ES, FR, GB, IL, JP, KE, KR, MX, NL, NZ, PL, QZ, ZA).</w:t>
            </w:r>
          </w:p>
        </w:tc>
      </w:tr>
    </w:tbl>
    <w:p w:rsidR="00271F8D" w:rsidRDefault="00271F8D">
      <w:pPr>
        <w:rPr>
          <w:lang w:val="es-ES"/>
        </w:rPr>
      </w:pPr>
    </w:p>
    <w:p w:rsidR="00C44D84" w:rsidRPr="003F377D" w:rsidRDefault="00C44D84">
      <w:pPr>
        <w:rPr>
          <w:lang w:val="es-ES"/>
        </w:rPr>
      </w:pPr>
    </w:p>
    <w:tbl>
      <w:tblPr>
        <w:tblW w:w="9889" w:type="dxa"/>
        <w:tblLayout w:type="fixed"/>
        <w:tblLook w:val="0000" w:firstRow="0" w:lastRow="0" w:firstColumn="0" w:lastColumn="0" w:noHBand="0" w:noVBand="0"/>
      </w:tblPr>
      <w:tblGrid>
        <w:gridCol w:w="2093"/>
        <w:gridCol w:w="7796"/>
      </w:tblGrid>
      <w:tr w:rsidR="00703AC7" w:rsidRPr="00DE5DFD" w:rsidTr="002874C7">
        <w:tc>
          <w:tcPr>
            <w:tcW w:w="2093" w:type="dxa"/>
            <w:shd w:val="clear" w:color="auto" w:fill="auto"/>
          </w:tcPr>
          <w:p w:rsidR="00703AC7" w:rsidRPr="003F377D" w:rsidRDefault="00703AC7" w:rsidP="00114294">
            <w:pPr>
              <w:pStyle w:val="Heading6"/>
              <w:rPr>
                <w:lang w:val="es-ES"/>
              </w:rPr>
            </w:pPr>
          </w:p>
        </w:tc>
        <w:tc>
          <w:tcPr>
            <w:tcW w:w="7796" w:type="dxa"/>
            <w:shd w:val="clear" w:color="auto" w:fill="auto"/>
          </w:tcPr>
          <w:p w:rsidR="00703AC7" w:rsidRPr="005E1F1F" w:rsidRDefault="00E163EA" w:rsidP="00A563A0">
            <w:pPr>
              <w:pStyle w:val="Heading8"/>
              <w:rPr>
                <w:lang w:val="de-DE"/>
              </w:rPr>
            </w:pPr>
            <w:bookmarkStart w:id="129" w:name="_Toc368400553"/>
            <w:r w:rsidRPr="005E1F1F">
              <w:rPr>
                <w:lang w:val="de-DE"/>
              </w:rPr>
              <w:t>(d)</w:t>
            </w:r>
            <w:r w:rsidR="00703AC7" w:rsidRPr="005E1F1F">
              <w:rPr>
                <w:lang w:val="de-DE"/>
              </w:rPr>
              <w:t xml:space="preserve">  </w:t>
            </w:r>
            <w:r w:rsidR="005E1F1F" w:rsidRPr="005E1F1F">
              <w:rPr>
                <w:color w:val="000000"/>
                <w:lang w:val="de-DE"/>
              </w:rPr>
              <w:t>Qualität und Vollständigkeit von Daten in der Datenbank für Pflanzensorten und Qualität der Suchwerkzeuge; Einrichtungen zum Zugang zu anderen einschlägigen Daten</w:t>
            </w:r>
            <w:bookmarkEnd w:id="129"/>
          </w:p>
          <w:p w:rsidR="0018756E" w:rsidRPr="00D40ACE" w:rsidRDefault="0018756E" w:rsidP="000C25AF">
            <w:pPr>
              <w:tabs>
                <w:tab w:val="left" w:pos="176"/>
                <w:tab w:val="left" w:pos="2302"/>
              </w:tabs>
              <w:spacing w:after="120"/>
              <w:ind w:left="459" w:hanging="459"/>
              <w:jc w:val="left"/>
              <w:rPr>
                <w:sz w:val="18"/>
                <w:szCs w:val="18"/>
                <w:lang w:val="de-DE"/>
              </w:rPr>
            </w:pPr>
            <w:r w:rsidRPr="00D40ACE">
              <w:rPr>
                <w:sz w:val="18"/>
                <w:szCs w:val="18"/>
                <w:lang w:val="de-DE"/>
              </w:rPr>
              <w:t xml:space="preserve">- </w:t>
            </w:r>
            <w:r w:rsidR="00117F00" w:rsidRPr="00D40ACE">
              <w:rPr>
                <w:sz w:val="18"/>
                <w:szCs w:val="18"/>
                <w:lang w:val="de-DE"/>
              </w:rPr>
              <w:tab/>
            </w:r>
            <w:r w:rsidR="00D40ACE" w:rsidRPr="00D40ACE">
              <w:rPr>
                <w:sz w:val="18"/>
                <w:szCs w:val="18"/>
                <w:lang w:val="de-DE"/>
              </w:rPr>
              <w:t xml:space="preserve">Gesamtanzahl </w:t>
            </w:r>
            <w:r w:rsidR="000C25AF" w:rsidRPr="00D40ACE">
              <w:rPr>
                <w:sz w:val="18"/>
                <w:szCs w:val="18"/>
                <w:lang w:val="de-DE"/>
              </w:rPr>
              <w:t>Einträge</w:t>
            </w:r>
            <w:r w:rsidR="000C25AF">
              <w:rPr>
                <w:sz w:val="18"/>
                <w:szCs w:val="18"/>
                <w:lang w:val="de-DE"/>
              </w:rPr>
              <w:t xml:space="preserve"> </w:t>
            </w:r>
            <w:r w:rsidR="000C25AF" w:rsidRPr="00D40ACE">
              <w:rPr>
                <w:sz w:val="18"/>
                <w:szCs w:val="18"/>
                <w:lang w:val="de-DE"/>
              </w:rPr>
              <w:t>in d</w:t>
            </w:r>
            <w:r w:rsidR="000C25AF">
              <w:rPr>
                <w:sz w:val="18"/>
                <w:szCs w:val="18"/>
                <w:lang w:val="de-DE"/>
              </w:rPr>
              <w:t>er</w:t>
            </w:r>
            <w:r w:rsidR="000C25AF" w:rsidRPr="00D40ACE">
              <w:rPr>
                <w:sz w:val="18"/>
                <w:szCs w:val="18"/>
                <w:lang w:val="de-DE"/>
              </w:rPr>
              <w:t xml:space="preserve"> </w:t>
            </w:r>
            <w:r w:rsidR="000C25AF">
              <w:rPr>
                <w:sz w:val="18"/>
                <w:szCs w:val="18"/>
                <w:lang w:val="de-DE"/>
              </w:rPr>
              <w:t>PLUTO-Datenbank</w:t>
            </w:r>
            <w:r w:rsidR="000C25AF" w:rsidRPr="00D40ACE">
              <w:rPr>
                <w:sz w:val="18"/>
                <w:szCs w:val="18"/>
                <w:lang w:val="de-DE"/>
              </w:rPr>
              <w:t xml:space="preserve"> </w:t>
            </w:r>
            <w:r w:rsidR="00F123B8">
              <w:rPr>
                <w:sz w:val="18"/>
                <w:szCs w:val="18"/>
                <w:lang w:val="de-DE"/>
              </w:rPr>
              <w:t xml:space="preserve">Ende </w:t>
            </w:r>
            <w:r w:rsidR="00F123B8" w:rsidRPr="00D40ACE">
              <w:rPr>
                <w:sz w:val="18"/>
                <w:szCs w:val="18"/>
                <w:lang w:val="de-DE"/>
              </w:rPr>
              <w:t>2012</w:t>
            </w:r>
            <w:r w:rsidR="00117F00" w:rsidRPr="00D40ACE">
              <w:rPr>
                <w:sz w:val="18"/>
                <w:szCs w:val="18"/>
                <w:lang w:val="de-DE"/>
              </w:rPr>
              <w:t>:</w:t>
            </w:r>
            <w:r w:rsidR="00117F00" w:rsidRPr="00D40ACE">
              <w:rPr>
                <w:sz w:val="18"/>
                <w:szCs w:val="18"/>
                <w:lang w:val="de-DE"/>
              </w:rPr>
              <w:br/>
              <w:t>620</w:t>
            </w:r>
            <w:r w:rsidR="00F123B8">
              <w:rPr>
                <w:sz w:val="18"/>
                <w:szCs w:val="18"/>
                <w:lang w:val="de-DE"/>
              </w:rPr>
              <w:t xml:space="preserve"> </w:t>
            </w:r>
            <w:r w:rsidR="00117F00" w:rsidRPr="00D40ACE">
              <w:rPr>
                <w:sz w:val="18"/>
                <w:szCs w:val="18"/>
                <w:lang w:val="de-DE"/>
              </w:rPr>
              <w:t>517   (575</w:t>
            </w:r>
            <w:r w:rsidR="00F123B8">
              <w:rPr>
                <w:sz w:val="18"/>
                <w:szCs w:val="18"/>
                <w:lang w:val="de-DE"/>
              </w:rPr>
              <w:t xml:space="preserve"> 378 im Jahr</w:t>
            </w:r>
            <w:r w:rsidR="00117F00" w:rsidRPr="00D40ACE">
              <w:rPr>
                <w:sz w:val="18"/>
                <w:szCs w:val="18"/>
                <w:lang w:val="de-DE"/>
              </w:rPr>
              <w:t xml:space="preserve"> 2011)</w:t>
            </w:r>
          </w:p>
          <w:p w:rsidR="00117F00" w:rsidRPr="00F123B8" w:rsidRDefault="00117F00" w:rsidP="00894944">
            <w:pPr>
              <w:tabs>
                <w:tab w:val="left" w:pos="176"/>
              </w:tabs>
              <w:ind w:left="176" w:hanging="176"/>
              <w:jc w:val="left"/>
              <w:rPr>
                <w:sz w:val="18"/>
                <w:szCs w:val="18"/>
                <w:lang w:val="de-DE"/>
              </w:rPr>
            </w:pPr>
            <w:r w:rsidRPr="00F123B8">
              <w:rPr>
                <w:sz w:val="18"/>
                <w:szCs w:val="18"/>
                <w:lang w:val="de-DE"/>
              </w:rPr>
              <w:t xml:space="preserve">- </w:t>
            </w:r>
            <w:r w:rsidRPr="00F123B8">
              <w:rPr>
                <w:sz w:val="18"/>
                <w:szCs w:val="18"/>
                <w:lang w:val="de-DE"/>
              </w:rPr>
              <w:tab/>
            </w:r>
            <w:r w:rsidR="00F123B8" w:rsidRPr="00F123B8">
              <w:rPr>
                <w:sz w:val="18"/>
                <w:szCs w:val="18"/>
                <w:lang w:val="de-DE"/>
              </w:rPr>
              <w:t>Anzahl Beiträge von neuen Daten</w:t>
            </w:r>
            <w:r w:rsidRPr="00F123B8">
              <w:rPr>
                <w:sz w:val="18"/>
                <w:szCs w:val="18"/>
                <w:lang w:val="de-DE"/>
              </w:rPr>
              <w:t xml:space="preserve"> </w:t>
            </w:r>
            <w:r w:rsidR="00F123B8">
              <w:rPr>
                <w:sz w:val="18"/>
                <w:szCs w:val="18"/>
                <w:lang w:val="de-DE"/>
              </w:rPr>
              <w:t>im Jahr 2012</w:t>
            </w:r>
            <w:r w:rsidRPr="00F123B8">
              <w:rPr>
                <w:sz w:val="18"/>
                <w:szCs w:val="18"/>
                <w:lang w:val="de-DE"/>
              </w:rPr>
              <w:t xml:space="preserve"> (</w:t>
            </w:r>
            <w:r w:rsidR="00D42197">
              <w:rPr>
                <w:sz w:val="18"/>
                <w:szCs w:val="18"/>
                <w:lang w:val="de-DE"/>
              </w:rPr>
              <w:t xml:space="preserve">jeder </w:t>
            </w:r>
            <w:r w:rsidR="00D42197" w:rsidRPr="00C82180">
              <w:rPr>
                <w:sz w:val="18"/>
                <w:szCs w:val="18"/>
                <w:lang w:val="de-DE"/>
              </w:rPr>
              <w:t>Beitragsleistende</w:t>
            </w:r>
            <w:r w:rsidR="00D42197">
              <w:rPr>
                <w:sz w:val="18"/>
                <w:szCs w:val="18"/>
                <w:lang w:val="de-DE"/>
              </w:rPr>
              <w:t xml:space="preserve"> wurde ersucht, </w:t>
            </w:r>
            <w:r w:rsidR="00D42197" w:rsidRPr="00F123B8">
              <w:rPr>
                <w:sz w:val="18"/>
                <w:szCs w:val="18"/>
                <w:lang w:val="de-DE"/>
              </w:rPr>
              <w:t>6 Beiträge</w:t>
            </w:r>
            <w:r w:rsidR="00D42197">
              <w:rPr>
                <w:sz w:val="18"/>
                <w:szCs w:val="18"/>
                <w:lang w:val="de-DE"/>
              </w:rPr>
              <w:t xml:space="preserve"> </w:t>
            </w:r>
            <w:r w:rsidR="00894944">
              <w:rPr>
                <w:sz w:val="18"/>
                <w:szCs w:val="18"/>
                <w:lang w:val="de-DE"/>
              </w:rPr>
              <w:t xml:space="preserve">im Jahr 2012 </w:t>
            </w:r>
            <w:r w:rsidR="00D42197">
              <w:rPr>
                <w:sz w:val="18"/>
                <w:szCs w:val="18"/>
                <w:lang w:val="de-DE"/>
              </w:rPr>
              <w:t>zu leisten</w:t>
            </w:r>
            <w:r w:rsidRPr="00F123B8">
              <w:rPr>
                <w:sz w:val="18"/>
                <w:szCs w:val="18"/>
                <w:lang w:val="de-DE"/>
              </w:rPr>
              <w:t>):</w:t>
            </w:r>
          </w:p>
          <w:p w:rsidR="00117F00" w:rsidRPr="00C82180" w:rsidRDefault="00117F00" w:rsidP="00FB724F">
            <w:pPr>
              <w:spacing w:after="120"/>
              <w:ind w:left="459" w:hanging="459"/>
              <w:jc w:val="left"/>
              <w:rPr>
                <w:sz w:val="18"/>
                <w:szCs w:val="18"/>
                <w:lang w:val="de-DE"/>
              </w:rPr>
            </w:pPr>
            <w:r w:rsidRPr="00F123B8">
              <w:rPr>
                <w:sz w:val="18"/>
                <w:szCs w:val="18"/>
                <w:lang w:val="de-DE"/>
              </w:rPr>
              <w:tab/>
            </w:r>
            <w:r w:rsidRPr="00C82180">
              <w:rPr>
                <w:sz w:val="18"/>
                <w:szCs w:val="18"/>
                <w:lang w:val="de-DE"/>
              </w:rPr>
              <w:t xml:space="preserve">167   (164 </w:t>
            </w:r>
            <w:r w:rsidR="00C82180" w:rsidRPr="00C82180">
              <w:rPr>
                <w:sz w:val="18"/>
                <w:szCs w:val="18"/>
                <w:lang w:val="de-DE"/>
              </w:rPr>
              <w:t>im Jahr 2011</w:t>
            </w:r>
            <w:r w:rsidRPr="00C82180">
              <w:rPr>
                <w:sz w:val="18"/>
                <w:szCs w:val="18"/>
                <w:lang w:val="de-DE"/>
              </w:rPr>
              <w:t>)</w:t>
            </w:r>
          </w:p>
          <w:p w:rsidR="0018756E" w:rsidRPr="00C82180" w:rsidRDefault="0018756E" w:rsidP="00C0793E">
            <w:pPr>
              <w:tabs>
                <w:tab w:val="left" w:pos="176"/>
              </w:tabs>
              <w:spacing w:after="120"/>
              <w:ind w:left="459" w:hanging="459"/>
              <w:jc w:val="left"/>
              <w:rPr>
                <w:sz w:val="18"/>
                <w:szCs w:val="18"/>
                <w:lang w:val="de-DE"/>
              </w:rPr>
            </w:pPr>
            <w:r w:rsidRPr="00C82180">
              <w:rPr>
                <w:sz w:val="18"/>
                <w:szCs w:val="18"/>
                <w:lang w:val="de-DE"/>
              </w:rPr>
              <w:t xml:space="preserve">- </w:t>
            </w:r>
            <w:r w:rsidR="00FB724F" w:rsidRPr="00C82180">
              <w:rPr>
                <w:sz w:val="18"/>
                <w:szCs w:val="18"/>
                <w:lang w:val="de-DE"/>
              </w:rPr>
              <w:tab/>
            </w:r>
            <w:r w:rsidR="00F123B8" w:rsidRPr="00C82180">
              <w:rPr>
                <w:sz w:val="18"/>
                <w:szCs w:val="18"/>
                <w:lang w:val="de-DE"/>
              </w:rPr>
              <w:t xml:space="preserve">Anzahl </w:t>
            </w:r>
            <w:r w:rsidR="000C25AF" w:rsidRPr="00C82180">
              <w:rPr>
                <w:sz w:val="18"/>
                <w:szCs w:val="18"/>
                <w:lang w:val="de-DE"/>
              </w:rPr>
              <w:t xml:space="preserve">Beitragsleistende </w:t>
            </w:r>
            <w:r w:rsidR="00C0793E">
              <w:rPr>
                <w:sz w:val="18"/>
                <w:szCs w:val="18"/>
                <w:lang w:val="de-DE"/>
              </w:rPr>
              <w:t>zur</w:t>
            </w:r>
            <w:r w:rsidR="00C82180">
              <w:rPr>
                <w:sz w:val="18"/>
                <w:szCs w:val="18"/>
                <w:lang w:val="de-DE"/>
              </w:rPr>
              <w:t xml:space="preserve"> </w:t>
            </w:r>
            <w:r w:rsidR="00C82180" w:rsidRPr="00C82180">
              <w:rPr>
                <w:sz w:val="18"/>
                <w:szCs w:val="18"/>
                <w:lang w:val="de-DE"/>
              </w:rPr>
              <w:t xml:space="preserve">PLUTO-Datenbank </w:t>
            </w:r>
            <w:r w:rsidR="000C25AF" w:rsidRPr="00C82180">
              <w:rPr>
                <w:sz w:val="18"/>
                <w:szCs w:val="18"/>
                <w:lang w:val="de-DE"/>
              </w:rPr>
              <w:t>Ende 2012</w:t>
            </w:r>
            <w:r w:rsidRPr="00C82180">
              <w:rPr>
                <w:sz w:val="18"/>
                <w:szCs w:val="18"/>
                <w:lang w:val="de-DE"/>
              </w:rPr>
              <w:t>:</w:t>
            </w:r>
            <w:r w:rsidRPr="00C82180">
              <w:rPr>
                <w:sz w:val="18"/>
                <w:szCs w:val="18"/>
                <w:lang w:val="de-DE"/>
              </w:rPr>
              <w:br/>
              <w:t xml:space="preserve">52   </w:t>
            </w:r>
            <w:r w:rsidR="00117F00" w:rsidRPr="00C82180">
              <w:rPr>
                <w:sz w:val="18"/>
                <w:szCs w:val="18"/>
                <w:lang w:val="de-DE"/>
              </w:rPr>
              <w:t>(</w:t>
            </w:r>
            <w:r w:rsidRPr="00C82180">
              <w:rPr>
                <w:sz w:val="18"/>
                <w:szCs w:val="18"/>
                <w:lang w:val="de-DE"/>
              </w:rPr>
              <w:t xml:space="preserve">48 </w:t>
            </w:r>
            <w:r w:rsidR="00C82180">
              <w:rPr>
                <w:sz w:val="18"/>
                <w:szCs w:val="18"/>
                <w:lang w:val="de-DE"/>
              </w:rPr>
              <w:t>im Jahr 2011</w:t>
            </w:r>
            <w:r w:rsidR="00117F00" w:rsidRPr="00C82180">
              <w:rPr>
                <w:sz w:val="18"/>
                <w:szCs w:val="18"/>
                <w:lang w:val="de-DE"/>
              </w:rPr>
              <w:t>)</w:t>
            </w:r>
          </w:p>
          <w:p w:rsidR="00126C40" w:rsidRPr="00F123B8" w:rsidRDefault="00A803B6" w:rsidP="00D42197">
            <w:pPr>
              <w:tabs>
                <w:tab w:val="left" w:pos="176"/>
                <w:tab w:val="left" w:pos="2302"/>
              </w:tabs>
              <w:spacing w:after="120"/>
              <w:ind w:left="459" w:hanging="459"/>
              <w:jc w:val="left"/>
              <w:rPr>
                <w:sz w:val="18"/>
                <w:szCs w:val="18"/>
                <w:lang w:val="de-DE"/>
              </w:rPr>
            </w:pPr>
            <w:r w:rsidRPr="00F123B8">
              <w:rPr>
                <w:sz w:val="18"/>
                <w:szCs w:val="18"/>
                <w:lang w:val="de-DE"/>
              </w:rPr>
              <w:t xml:space="preserve">- </w:t>
            </w:r>
            <w:r w:rsidR="00FB724F" w:rsidRPr="00F123B8">
              <w:rPr>
                <w:sz w:val="18"/>
                <w:szCs w:val="18"/>
                <w:lang w:val="de-DE"/>
              </w:rPr>
              <w:tab/>
            </w:r>
            <w:r w:rsidR="00F123B8" w:rsidRPr="00F123B8">
              <w:rPr>
                <w:sz w:val="18"/>
                <w:szCs w:val="18"/>
                <w:lang w:val="de-DE"/>
              </w:rPr>
              <w:t xml:space="preserve">Anzahl </w:t>
            </w:r>
            <w:r w:rsidR="003F377D" w:rsidRPr="00F123B8">
              <w:rPr>
                <w:sz w:val="18"/>
                <w:szCs w:val="18"/>
                <w:lang w:val="de-DE"/>
              </w:rPr>
              <w:t>Verbandsmitglieder</w:t>
            </w:r>
            <w:r w:rsidR="00C82180">
              <w:rPr>
                <w:sz w:val="18"/>
                <w:szCs w:val="18"/>
                <w:lang w:val="de-DE"/>
              </w:rPr>
              <w:t xml:space="preserve">, die </w:t>
            </w:r>
            <w:r w:rsidR="00F123B8" w:rsidRPr="00F123B8">
              <w:rPr>
                <w:sz w:val="18"/>
                <w:szCs w:val="18"/>
                <w:lang w:val="de-DE"/>
              </w:rPr>
              <w:t>im Jahr 2012</w:t>
            </w:r>
            <w:r w:rsidR="00C82180">
              <w:rPr>
                <w:sz w:val="18"/>
                <w:szCs w:val="18"/>
                <w:lang w:val="de-DE"/>
              </w:rPr>
              <w:t xml:space="preserve"> </w:t>
            </w:r>
            <w:r w:rsidR="00D42197">
              <w:rPr>
                <w:sz w:val="18"/>
                <w:szCs w:val="18"/>
                <w:lang w:val="de-DE"/>
              </w:rPr>
              <w:t>Daten beigetragen</w:t>
            </w:r>
            <w:r w:rsidR="00C82180">
              <w:rPr>
                <w:sz w:val="18"/>
                <w:szCs w:val="18"/>
                <w:lang w:val="de-DE"/>
              </w:rPr>
              <w:t xml:space="preserve"> haben</w:t>
            </w:r>
            <w:r w:rsidR="00A563A0" w:rsidRPr="00F123B8">
              <w:rPr>
                <w:sz w:val="18"/>
                <w:szCs w:val="18"/>
                <w:lang w:val="de-DE"/>
              </w:rPr>
              <w:t>:</w:t>
            </w:r>
            <w:r w:rsidR="00A563A0" w:rsidRPr="00F123B8">
              <w:rPr>
                <w:sz w:val="18"/>
                <w:szCs w:val="18"/>
                <w:lang w:val="de-DE"/>
              </w:rPr>
              <w:br/>
              <w:t xml:space="preserve">45   </w:t>
            </w:r>
            <w:r w:rsidR="00117F00" w:rsidRPr="00F123B8">
              <w:rPr>
                <w:sz w:val="18"/>
                <w:szCs w:val="18"/>
                <w:lang w:val="de-DE"/>
              </w:rPr>
              <w:t>(</w:t>
            </w:r>
            <w:r w:rsidR="00A563A0" w:rsidRPr="00F123B8">
              <w:rPr>
                <w:sz w:val="18"/>
                <w:szCs w:val="18"/>
                <w:lang w:val="de-DE"/>
              </w:rPr>
              <w:t xml:space="preserve">41 </w:t>
            </w:r>
            <w:r w:rsidR="00C82180">
              <w:rPr>
                <w:sz w:val="18"/>
                <w:szCs w:val="18"/>
                <w:lang w:val="de-DE"/>
              </w:rPr>
              <w:t>im Jahr 2011</w:t>
            </w:r>
            <w:r w:rsidR="00117F00" w:rsidRPr="00F123B8">
              <w:rPr>
                <w:sz w:val="18"/>
                <w:szCs w:val="18"/>
                <w:lang w:val="de-DE"/>
              </w:rPr>
              <w:t>)</w:t>
            </w:r>
          </w:p>
          <w:p w:rsidR="00117F00" w:rsidRPr="00C82180" w:rsidRDefault="00117F00" w:rsidP="00D42197">
            <w:pPr>
              <w:tabs>
                <w:tab w:val="left" w:pos="176"/>
              </w:tabs>
              <w:spacing w:after="120"/>
              <w:ind w:left="459" w:hanging="459"/>
              <w:jc w:val="left"/>
              <w:rPr>
                <w:sz w:val="18"/>
                <w:szCs w:val="18"/>
                <w:lang w:val="de-DE"/>
              </w:rPr>
            </w:pPr>
            <w:r w:rsidRPr="00C82180">
              <w:rPr>
                <w:sz w:val="18"/>
                <w:szCs w:val="18"/>
                <w:lang w:val="de-DE"/>
              </w:rPr>
              <w:t xml:space="preserve">- </w:t>
            </w:r>
            <w:r w:rsidR="00FB724F" w:rsidRPr="00C82180">
              <w:rPr>
                <w:sz w:val="18"/>
                <w:szCs w:val="18"/>
                <w:lang w:val="de-DE"/>
              </w:rPr>
              <w:tab/>
            </w:r>
            <w:r w:rsidR="00F123B8" w:rsidRPr="00C82180">
              <w:rPr>
                <w:sz w:val="18"/>
                <w:szCs w:val="18"/>
                <w:lang w:val="de-DE"/>
              </w:rPr>
              <w:t xml:space="preserve">Anzahl </w:t>
            </w:r>
            <w:r w:rsidR="003F377D" w:rsidRPr="00C82180">
              <w:rPr>
                <w:sz w:val="18"/>
                <w:szCs w:val="18"/>
                <w:lang w:val="de-DE"/>
              </w:rPr>
              <w:t>Verbandsmitglieder</w:t>
            </w:r>
            <w:r w:rsidR="00D42197">
              <w:rPr>
                <w:sz w:val="18"/>
                <w:szCs w:val="18"/>
                <w:lang w:val="de-DE"/>
              </w:rPr>
              <w:t>,</w:t>
            </w:r>
            <w:r w:rsidR="00C82180">
              <w:rPr>
                <w:sz w:val="18"/>
                <w:szCs w:val="18"/>
                <w:lang w:val="de-DE"/>
              </w:rPr>
              <w:t xml:space="preserve"> die </w:t>
            </w:r>
            <w:r w:rsidR="00F123B8" w:rsidRPr="00C82180">
              <w:rPr>
                <w:sz w:val="18"/>
                <w:szCs w:val="18"/>
                <w:lang w:val="de-DE"/>
              </w:rPr>
              <w:t>im Jahr 2012</w:t>
            </w:r>
            <w:r w:rsidR="00C82180">
              <w:rPr>
                <w:sz w:val="18"/>
                <w:szCs w:val="18"/>
                <w:lang w:val="de-DE"/>
              </w:rPr>
              <w:t xml:space="preserve"> erstmals Daten beigetragen haben</w:t>
            </w:r>
            <w:r w:rsidRPr="00C82180">
              <w:rPr>
                <w:sz w:val="18"/>
                <w:szCs w:val="18"/>
                <w:lang w:val="de-DE"/>
              </w:rPr>
              <w:t>:</w:t>
            </w:r>
            <w:r w:rsidRPr="00C82180">
              <w:rPr>
                <w:sz w:val="18"/>
                <w:szCs w:val="18"/>
                <w:lang w:val="de-DE"/>
              </w:rPr>
              <w:br/>
              <w:t xml:space="preserve">4 (BY, CN, MA, MX)   (3 </w:t>
            </w:r>
            <w:r w:rsidR="00C82180" w:rsidRPr="00C82180">
              <w:rPr>
                <w:sz w:val="18"/>
                <w:szCs w:val="18"/>
                <w:lang w:val="de-DE"/>
              </w:rPr>
              <w:t>im Jahr 2011</w:t>
            </w:r>
            <w:r w:rsidRPr="00C82180">
              <w:rPr>
                <w:sz w:val="18"/>
                <w:szCs w:val="18"/>
                <w:lang w:val="de-DE"/>
              </w:rPr>
              <w:t xml:space="preserve"> (HR, IL, IS))</w:t>
            </w:r>
          </w:p>
          <w:p w:rsidR="00BB5F95" w:rsidRPr="00C82180" w:rsidRDefault="00A803B6" w:rsidP="00D42197">
            <w:pPr>
              <w:tabs>
                <w:tab w:val="left" w:pos="176"/>
              </w:tabs>
              <w:spacing w:after="120"/>
              <w:ind w:left="459" w:hanging="459"/>
              <w:jc w:val="left"/>
              <w:rPr>
                <w:sz w:val="18"/>
                <w:szCs w:val="18"/>
                <w:lang w:val="de-DE"/>
              </w:rPr>
            </w:pPr>
            <w:r w:rsidRPr="00C82180">
              <w:rPr>
                <w:sz w:val="18"/>
                <w:szCs w:val="18"/>
                <w:lang w:val="de-DE"/>
              </w:rPr>
              <w:t xml:space="preserve">- </w:t>
            </w:r>
            <w:r w:rsidR="00FB724F" w:rsidRPr="00C82180">
              <w:rPr>
                <w:sz w:val="18"/>
                <w:szCs w:val="18"/>
                <w:lang w:val="de-DE"/>
              </w:rPr>
              <w:tab/>
            </w:r>
            <w:r w:rsidR="00F123B8" w:rsidRPr="00C82180">
              <w:rPr>
                <w:sz w:val="18"/>
                <w:szCs w:val="18"/>
                <w:lang w:val="de-DE"/>
              </w:rPr>
              <w:t xml:space="preserve">Anzahl </w:t>
            </w:r>
            <w:r w:rsidR="00C82180">
              <w:rPr>
                <w:sz w:val="18"/>
                <w:szCs w:val="18"/>
                <w:lang w:val="de-DE"/>
              </w:rPr>
              <w:t xml:space="preserve">sonstige </w:t>
            </w:r>
            <w:r w:rsidR="00C82180" w:rsidRPr="00C82180">
              <w:rPr>
                <w:sz w:val="18"/>
                <w:szCs w:val="18"/>
                <w:lang w:val="de-DE"/>
              </w:rPr>
              <w:t>Beitragsleistende</w:t>
            </w:r>
            <w:r w:rsidR="00A563A0" w:rsidRPr="00C82180">
              <w:rPr>
                <w:sz w:val="18"/>
                <w:szCs w:val="18"/>
                <w:lang w:val="de-DE"/>
              </w:rPr>
              <w:t xml:space="preserve"> </w:t>
            </w:r>
            <w:r w:rsidR="00C82180">
              <w:rPr>
                <w:sz w:val="18"/>
                <w:szCs w:val="18"/>
                <w:lang w:val="de-DE"/>
              </w:rPr>
              <w:t>von Daten</w:t>
            </w:r>
            <w:r w:rsidR="00A563A0" w:rsidRPr="00C82180">
              <w:rPr>
                <w:sz w:val="18"/>
                <w:szCs w:val="18"/>
                <w:lang w:val="de-DE"/>
              </w:rPr>
              <w:t xml:space="preserve"> </w:t>
            </w:r>
            <w:r w:rsidR="00F123B8" w:rsidRPr="00C82180">
              <w:rPr>
                <w:sz w:val="18"/>
                <w:szCs w:val="18"/>
                <w:lang w:val="de-DE"/>
              </w:rPr>
              <w:t>im Jahr 2012</w:t>
            </w:r>
            <w:r w:rsidR="00A563A0" w:rsidRPr="00C82180">
              <w:rPr>
                <w:sz w:val="18"/>
                <w:szCs w:val="18"/>
                <w:lang w:val="de-DE"/>
              </w:rPr>
              <w:t>:</w:t>
            </w:r>
            <w:r w:rsidR="00A563A0" w:rsidRPr="00C82180">
              <w:rPr>
                <w:sz w:val="18"/>
                <w:szCs w:val="18"/>
                <w:lang w:val="de-DE"/>
              </w:rPr>
              <w:br/>
              <w:t>1 (OECD)</w:t>
            </w:r>
            <w:r w:rsidR="00126C40" w:rsidRPr="00C82180">
              <w:rPr>
                <w:sz w:val="18"/>
                <w:szCs w:val="18"/>
                <w:lang w:val="de-DE"/>
              </w:rPr>
              <w:t xml:space="preserve"> </w:t>
            </w:r>
            <w:r w:rsidR="00A563A0" w:rsidRPr="00C82180">
              <w:rPr>
                <w:sz w:val="18"/>
                <w:szCs w:val="18"/>
                <w:lang w:val="de-DE"/>
              </w:rPr>
              <w:t xml:space="preserve">  </w:t>
            </w:r>
            <w:r w:rsidR="00117F00" w:rsidRPr="00C82180">
              <w:rPr>
                <w:sz w:val="18"/>
                <w:szCs w:val="18"/>
                <w:lang w:val="de-DE"/>
              </w:rPr>
              <w:t>(</w:t>
            </w:r>
            <w:r w:rsidR="00A563A0" w:rsidRPr="00C82180">
              <w:rPr>
                <w:sz w:val="18"/>
                <w:szCs w:val="18"/>
                <w:lang w:val="de-DE"/>
              </w:rPr>
              <w:t xml:space="preserve">1 </w:t>
            </w:r>
            <w:r w:rsidR="00C82180">
              <w:rPr>
                <w:sz w:val="18"/>
                <w:szCs w:val="18"/>
                <w:lang w:val="de-DE"/>
              </w:rPr>
              <w:t>im Jahr 2011</w:t>
            </w:r>
            <w:r w:rsidRPr="00C82180">
              <w:rPr>
                <w:sz w:val="18"/>
                <w:szCs w:val="18"/>
                <w:lang w:val="de-DE"/>
              </w:rPr>
              <w:t xml:space="preserve"> (OECD)</w:t>
            </w:r>
            <w:r w:rsidR="00117F00" w:rsidRPr="00C82180">
              <w:rPr>
                <w:sz w:val="18"/>
                <w:szCs w:val="18"/>
                <w:lang w:val="de-DE"/>
              </w:rPr>
              <w:t>)</w:t>
            </w:r>
          </w:p>
        </w:tc>
      </w:tr>
      <w:tr w:rsidR="00486E6F" w:rsidRPr="00DE5DFD" w:rsidTr="002874C7">
        <w:tc>
          <w:tcPr>
            <w:tcW w:w="2093" w:type="dxa"/>
            <w:shd w:val="clear" w:color="auto" w:fill="auto"/>
          </w:tcPr>
          <w:p w:rsidR="00486E6F" w:rsidRPr="005E1F1F" w:rsidRDefault="00486E6F" w:rsidP="00114294">
            <w:pPr>
              <w:pStyle w:val="Heading6"/>
              <w:rPr>
                <w:lang w:val="de-DE"/>
              </w:rPr>
            </w:pPr>
          </w:p>
        </w:tc>
        <w:tc>
          <w:tcPr>
            <w:tcW w:w="7796" w:type="dxa"/>
            <w:shd w:val="clear" w:color="auto" w:fill="auto"/>
          </w:tcPr>
          <w:p w:rsidR="00463F18" w:rsidRDefault="00463F18" w:rsidP="00D42197">
            <w:pPr>
              <w:jc w:val="left"/>
              <w:rPr>
                <w:sz w:val="18"/>
                <w:szCs w:val="18"/>
                <w:lang w:val="de-DE"/>
              </w:rPr>
            </w:pPr>
          </w:p>
          <w:p w:rsidR="00486E6F" w:rsidRPr="00C621DA" w:rsidRDefault="00C621DA" w:rsidP="00D42197">
            <w:pPr>
              <w:jc w:val="left"/>
              <w:rPr>
                <w:sz w:val="18"/>
                <w:szCs w:val="18"/>
                <w:lang w:val="de-DE"/>
              </w:rPr>
            </w:pPr>
            <w:r w:rsidRPr="00C621DA">
              <w:rPr>
                <w:sz w:val="18"/>
                <w:szCs w:val="18"/>
                <w:lang w:val="de-DE"/>
              </w:rPr>
              <w:t>Verbesserungen</w:t>
            </w:r>
            <w:r>
              <w:rPr>
                <w:sz w:val="18"/>
                <w:szCs w:val="18"/>
                <w:lang w:val="de-DE"/>
              </w:rPr>
              <w:t xml:space="preserve"> </w:t>
            </w:r>
            <w:r w:rsidR="00D42197">
              <w:rPr>
                <w:sz w:val="18"/>
                <w:szCs w:val="18"/>
                <w:lang w:val="de-DE"/>
              </w:rPr>
              <w:t>betreffend die</w:t>
            </w:r>
            <w:r>
              <w:rPr>
                <w:sz w:val="18"/>
                <w:szCs w:val="18"/>
                <w:lang w:val="de-DE"/>
              </w:rPr>
              <w:t xml:space="preserve"> </w:t>
            </w:r>
            <w:r w:rsidR="002E0794" w:rsidRPr="00C621DA">
              <w:rPr>
                <w:color w:val="000000"/>
                <w:sz w:val="18"/>
                <w:szCs w:val="18"/>
                <w:lang w:val="de-DE"/>
              </w:rPr>
              <w:t>Datenbank für Pflanzensorten</w:t>
            </w:r>
            <w:r w:rsidR="00486E6F" w:rsidRPr="00C621DA">
              <w:rPr>
                <w:sz w:val="18"/>
                <w:szCs w:val="18"/>
                <w:lang w:val="de-DE"/>
              </w:rPr>
              <w:t xml:space="preserve"> (</w:t>
            </w:r>
            <w:r w:rsidR="00D40ACE" w:rsidRPr="00C621DA">
              <w:rPr>
                <w:sz w:val="18"/>
                <w:szCs w:val="18"/>
                <w:lang w:val="de-DE"/>
              </w:rPr>
              <w:t>PLUTO-Datenbank</w:t>
            </w:r>
            <w:r w:rsidR="00486E6F" w:rsidRPr="00C621DA">
              <w:rPr>
                <w:sz w:val="18"/>
                <w:szCs w:val="18"/>
                <w:lang w:val="de-DE"/>
              </w:rPr>
              <w:t xml:space="preserve">) </w:t>
            </w:r>
            <w:r>
              <w:rPr>
                <w:sz w:val="18"/>
                <w:szCs w:val="18"/>
                <w:lang w:val="de-DE"/>
              </w:rPr>
              <w:t>umfaßten</w:t>
            </w:r>
            <w:r w:rsidR="00486E6F" w:rsidRPr="00C621DA">
              <w:rPr>
                <w:sz w:val="18"/>
                <w:szCs w:val="18"/>
                <w:lang w:val="de-DE"/>
              </w:rPr>
              <w:t>:</w:t>
            </w:r>
          </w:p>
          <w:p w:rsidR="00486E6F" w:rsidRPr="00C621DA" w:rsidRDefault="00486E6F" w:rsidP="00486E6F">
            <w:pPr>
              <w:jc w:val="left"/>
              <w:rPr>
                <w:sz w:val="18"/>
                <w:szCs w:val="18"/>
                <w:lang w:val="de-DE"/>
              </w:rPr>
            </w:pPr>
          </w:p>
          <w:p w:rsidR="00486E6F" w:rsidRPr="006054BD" w:rsidRDefault="00C621DA" w:rsidP="00486E6F">
            <w:pPr>
              <w:pStyle w:val="ListParagraph"/>
              <w:numPr>
                <w:ilvl w:val="0"/>
                <w:numId w:val="21"/>
              </w:numPr>
              <w:jc w:val="left"/>
              <w:rPr>
                <w:sz w:val="18"/>
                <w:szCs w:val="18"/>
              </w:rPr>
            </w:pPr>
            <w:r>
              <w:rPr>
                <w:sz w:val="18"/>
                <w:szCs w:val="18"/>
              </w:rPr>
              <w:t>Neue Funktionen</w:t>
            </w:r>
            <w:r w:rsidR="00486E6F" w:rsidRPr="006054BD">
              <w:rPr>
                <w:sz w:val="18"/>
                <w:szCs w:val="18"/>
              </w:rPr>
              <w:t>:</w:t>
            </w:r>
          </w:p>
          <w:p w:rsidR="00486E6F" w:rsidRPr="006054BD" w:rsidRDefault="00486E6F" w:rsidP="00486E6F">
            <w:pPr>
              <w:jc w:val="left"/>
              <w:rPr>
                <w:sz w:val="18"/>
                <w:szCs w:val="18"/>
              </w:rPr>
            </w:pPr>
          </w:p>
          <w:p w:rsidR="00486E6F" w:rsidRPr="00C621DA" w:rsidRDefault="00C621DA" w:rsidP="00C621DA">
            <w:pPr>
              <w:pStyle w:val="ListParagraph"/>
              <w:numPr>
                <w:ilvl w:val="0"/>
                <w:numId w:val="42"/>
              </w:numPr>
              <w:spacing w:after="60"/>
              <w:ind w:left="1162" w:hanging="357"/>
              <w:contextualSpacing w:val="0"/>
              <w:jc w:val="left"/>
              <w:rPr>
                <w:sz w:val="18"/>
                <w:szCs w:val="18"/>
                <w:lang w:val="de-DE"/>
              </w:rPr>
            </w:pPr>
            <w:r w:rsidRPr="00C621DA">
              <w:rPr>
                <w:sz w:val="18"/>
                <w:szCs w:val="18"/>
                <w:lang w:val="de-DE"/>
              </w:rPr>
              <w:t>Seite zum Suchen von Sortenbezeichnungen</w:t>
            </w:r>
            <w:r w:rsidR="00486E6F" w:rsidRPr="00C621DA">
              <w:rPr>
                <w:sz w:val="18"/>
                <w:szCs w:val="18"/>
                <w:lang w:val="de-DE"/>
              </w:rPr>
              <w:t>;</w:t>
            </w:r>
          </w:p>
          <w:p w:rsidR="00486E6F" w:rsidRPr="00C621DA" w:rsidRDefault="00486E6F" w:rsidP="00C621DA">
            <w:pPr>
              <w:pStyle w:val="ListParagraph"/>
              <w:numPr>
                <w:ilvl w:val="0"/>
                <w:numId w:val="42"/>
              </w:numPr>
              <w:spacing w:after="60"/>
              <w:ind w:left="1162" w:hanging="357"/>
              <w:contextualSpacing w:val="0"/>
              <w:jc w:val="left"/>
              <w:rPr>
                <w:sz w:val="18"/>
                <w:szCs w:val="18"/>
                <w:lang w:val="de-DE"/>
              </w:rPr>
            </w:pPr>
            <w:r w:rsidRPr="00C621DA">
              <w:rPr>
                <w:sz w:val="18"/>
                <w:szCs w:val="18"/>
                <w:lang w:val="de-DE"/>
              </w:rPr>
              <w:t>Option</w:t>
            </w:r>
            <w:r w:rsidR="00C621DA" w:rsidRPr="00C621DA">
              <w:rPr>
                <w:sz w:val="18"/>
                <w:szCs w:val="18"/>
                <w:lang w:val="de-DE"/>
              </w:rPr>
              <w:t>en zum Speichern der Sucheinstellungen</w:t>
            </w:r>
            <w:r w:rsidR="00C621DA">
              <w:rPr>
                <w:sz w:val="18"/>
                <w:szCs w:val="18"/>
                <w:lang w:val="de-DE"/>
              </w:rPr>
              <w:t xml:space="preserve"> für die</w:t>
            </w:r>
            <w:r w:rsidRPr="00C621DA">
              <w:rPr>
                <w:sz w:val="18"/>
                <w:szCs w:val="18"/>
                <w:lang w:val="de-DE"/>
              </w:rPr>
              <w:t xml:space="preserve"> </w:t>
            </w:r>
            <w:r w:rsidR="00D40ACE" w:rsidRPr="00C621DA">
              <w:rPr>
                <w:sz w:val="18"/>
                <w:szCs w:val="18"/>
                <w:lang w:val="de-DE"/>
              </w:rPr>
              <w:t>PLUTO-Datenbank</w:t>
            </w:r>
            <w:r w:rsidRPr="00C621DA">
              <w:rPr>
                <w:sz w:val="18"/>
                <w:szCs w:val="18"/>
                <w:lang w:val="de-DE"/>
              </w:rPr>
              <w:t>;</w:t>
            </w:r>
          </w:p>
          <w:p w:rsidR="00486E6F" w:rsidRPr="00C621DA" w:rsidRDefault="00C621DA" w:rsidP="00D42197">
            <w:pPr>
              <w:pStyle w:val="ListParagraph"/>
              <w:numPr>
                <w:ilvl w:val="0"/>
                <w:numId w:val="42"/>
              </w:numPr>
              <w:spacing w:after="60"/>
              <w:ind w:left="1162" w:hanging="357"/>
              <w:contextualSpacing w:val="0"/>
              <w:jc w:val="left"/>
              <w:rPr>
                <w:sz w:val="18"/>
                <w:szCs w:val="18"/>
                <w:lang w:val="de-DE"/>
              </w:rPr>
            </w:pPr>
            <w:r w:rsidRPr="00C621DA">
              <w:rPr>
                <w:sz w:val="18"/>
                <w:szCs w:val="18"/>
                <w:lang w:val="de-DE"/>
              </w:rPr>
              <w:t>Anforderung an die Nutzer, sich zu registrieren, um die PLUTO-Datenbank nutzen zu können</w:t>
            </w:r>
            <w:r>
              <w:rPr>
                <w:sz w:val="18"/>
                <w:szCs w:val="18"/>
                <w:lang w:val="de-DE"/>
              </w:rPr>
              <w:t xml:space="preserve">, </w:t>
            </w:r>
            <w:r w:rsidR="00D42197">
              <w:rPr>
                <w:sz w:val="18"/>
                <w:szCs w:val="18"/>
                <w:lang w:val="de-DE"/>
              </w:rPr>
              <w:t>um</w:t>
            </w:r>
            <w:r w:rsidRPr="00C621DA">
              <w:rPr>
                <w:sz w:val="18"/>
                <w:szCs w:val="18"/>
                <w:lang w:val="de-DE"/>
              </w:rPr>
              <w:t xml:space="preserve"> die daraus gewonnenen Erkenntnisse für künftige Verbesserungen heranziehen zu können</w:t>
            </w:r>
            <w:r w:rsidR="00486E6F" w:rsidRPr="00C621DA">
              <w:rPr>
                <w:sz w:val="18"/>
                <w:szCs w:val="18"/>
                <w:lang w:val="de-DE"/>
              </w:rPr>
              <w:t xml:space="preserve">; </w:t>
            </w:r>
          </w:p>
          <w:p w:rsidR="00486E6F" w:rsidRPr="00BD767B" w:rsidRDefault="00606DB0" w:rsidP="001B7644">
            <w:pPr>
              <w:pStyle w:val="ListParagraph"/>
              <w:numPr>
                <w:ilvl w:val="0"/>
                <w:numId w:val="42"/>
              </w:numPr>
              <w:spacing w:after="60"/>
              <w:ind w:left="1162" w:hanging="357"/>
              <w:contextualSpacing w:val="0"/>
              <w:jc w:val="left"/>
              <w:rPr>
                <w:sz w:val="18"/>
                <w:szCs w:val="18"/>
                <w:lang w:val="de-DE"/>
              </w:rPr>
            </w:pPr>
            <w:r w:rsidRPr="00BD767B">
              <w:rPr>
                <w:sz w:val="18"/>
                <w:szCs w:val="18"/>
                <w:lang w:val="de-DE"/>
              </w:rPr>
              <w:t xml:space="preserve">Einführung </w:t>
            </w:r>
            <w:r w:rsidR="001B7644">
              <w:rPr>
                <w:sz w:val="18"/>
                <w:szCs w:val="18"/>
                <w:lang w:val="de-DE"/>
              </w:rPr>
              <w:t>der</w:t>
            </w:r>
            <w:r w:rsidR="00486E6F" w:rsidRPr="00BD767B">
              <w:rPr>
                <w:sz w:val="18"/>
                <w:szCs w:val="18"/>
                <w:lang w:val="de-DE"/>
              </w:rPr>
              <w:t xml:space="preserve"> </w:t>
            </w:r>
            <w:r w:rsidR="00BD767B" w:rsidRPr="00BD767B">
              <w:rPr>
                <w:sz w:val="18"/>
                <w:szCs w:val="18"/>
                <w:lang w:val="de-DE"/>
              </w:rPr>
              <w:t>Möglichkeit</w:t>
            </w:r>
            <w:r w:rsidR="001B7644">
              <w:rPr>
                <w:sz w:val="18"/>
                <w:szCs w:val="18"/>
                <w:lang w:val="de-DE"/>
              </w:rPr>
              <w:t xml:space="preserve"> der </w:t>
            </w:r>
            <w:r w:rsidR="00D42197">
              <w:rPr>
                <w:sz w:val="18"/>
                <w:szCs w:val="18"/>
                <w:lang w:val="de-DE"/>
              </w:rPr>
              <w:t>Einstellung</w:t>
            </w:r>
            <w:r w:rsidR="00BD767B">
              <w:rPr>
                <w:sz w:val="18"/>
                <w:szCs w:val="18"/>
                <w:lang w:val="de-DE"/>
              </w:rPr>
              <w:t xml:space="preserve"> von Daten im ursprünglichen</w:t>
            </w:r>
            <w:r w:rsidR="00486E6F" w:rsidRPr="00BD767B">
              <w:rPr>
                <w:sz w:val="18"/>
                <w:szCs w:val="18"/>
                <w:lang w:val="de-DE"/>
              </w:rPr>
              <w:t xml:space="preserve"> </w:t>
            </w:r>
            <w:r w:rsidR="00BD767B">
              <w:rPr>
                <w:sz w:val="18"/>
                <w:szCs w:val="18"/>
                <w:lang w:val="de-DE"/>
              </w:rPr>
              <w:t>A</w:t>
            </w:r>
            <w:r w:rsidR="00486E6F" w:rsidRPr="00BD767B">
              <w:rPr>
                <w:sz w:val="18"/>
                <w:szCs w:val="18"/>
                <w:lang w:val="de-DE"/>
              </w:rPr>
              <w:t>lphabet</w:t>
            </w:r>
            <w:r w:rsidR="00BD767B">
              <w:rPr>
                <w:sz w:val="18"/>
                <w:szCs w:val="18"/>
                <w:lang w:val="de-DE"/>
              </w:rPr>
              <w:t xml:space="preserve"> zusätzlich zur Bereitstellung im</w:t>
            </w:r>
            <w:r w:rsidR="00486E6F" w:rsidRPr="00BD767B">
              <w:rPr>
                <w:sz w:val="18"/>
                <w:szCs w:val="18"/>
                <w:lang w:val="de-DE"/>
              </w:rPr>
              <w:t xml:space="preserve"> </w:t>
            </w:r>
            <w:r w:rsidR="00BD767B">
              <w:rPr>
                <w:sz w:val="18"/>
                <w:szCs w:val="18"/>
                <w:lang w:val="de-DE"/>
              </w:rPr>
              <w:t>lateinischen A</w:t>
            </w:r>
            <w:r w:rsidR="00894944">
              <w:rPr>
                <w:sz w:val="18"/>
                <w:szCs w:val="18"/>
                <w:lang w:val="de-DE"/>
              </w:rPr>
              <w:t>lphabet;  u</w:t>
            </w:r>
            <w:r w:rsidR="00486E6F" w:rsidRPr="00BD767B">
              <w:rPr>
                <w:sz w:val="18"/>
                <w:szCs w:val="18"/>
                <w:lang w:val="de-DE"/>
              </w:rPr>
              <w:t>nd</w:t>
            </w:r>
          </w:p>
          <w:p w:rsidR="00486E6F" w:rsidRPr="00C621DA" w:rsidRDefault="00606DB0" w:rsidP="00D42197">
            <w:pPr>
              <w:pStyle w:val="ListParagraph"/>
              <w:numPr>
                <w:ilvl w:val="0"/>
                <w:numId w:val="42"/>
              </w:numPr>
              <w:ind w:left="1168"/>
              <w:jc w:val="left"/>
              <w:rPr>
                <w:sz w:val="18"/>
                <w:szCs w:val="18"/>
                <w:lang w:val="de-DE"/>
              </w:rPr>
            </w:pPr>
            <w:r>
              <w:rPr>
                <w:sz w:val="18"/>
                <w:szCs w:val="18"/>
                <w:lang w:val="de-DE"/>
              </w:rPr>
              <w:t xml:space="preserve">Einführung </w:t>
            </w:r>
            <w:r w:rsidR="00BD767B">
              <w:rPr>
                <w:sz w:val="18"/>
                <w:szCs w:val="18"/>
                <w:lang w:val="de-DE"/>
              </w:rPr>
              <w:t>der Möglichkeit fü</w:t>
            </w:r>
            <w:r w:rsidR="00486E6F" w:rsidRPr="00C621DA">
              <w:rPr>
                <w:sz w:val="18"/>
                <w:szCs w:val="18"/>
                <w:lang w:val="de-DE"/>
              </w:rPr>
              <w:t xml:space="preserve">r </w:t>
            </w:r>
            <w:r w:rsidR="00C82180" w:rsidRPr="00C621DA">
              <w:rPr>
                <w:sz w:val="18"/>
                <w:szCs w:val="18"/>
                <w:lang w:val="de-DE"/>
              </w:rPr>
              <w:t>Beitragsleistende</w:t>
            </w:r>
            <w:r w:rsidR="00BD767B">
              <w:rPr>
                <w:sz w:val="18"/>
                <w:szCs w:val="18"/>
                <w:lang w:val="de-DE"/>
              </w:rPr>
              <w:t xml:space="preserve"> der </w:t>
            </w:r>
            <w:r w:rsidR="00D42197">
              <w:rPr>
                <w:sz w:val="18"/>
                <w:szCs w:val="18"/>
                <w:lang w:val="de-DE"/>
              </w:rPr>
              <w:t>PLUTO-D</w:t>
            </w:r>
            <w:r w:rsidR="00C621DA" w:rsidRPr="00C621DA">
              <w:rPr>
                <w:rFonts w:cs="Arial"/>
                <w:sz w:val="18"/>
                <w:szCs w:val="18"/>
                <w:lang w:val="de-DE"/>
              </w:rPr>
              <w:t xml:space="preserve">atenbank, die Informationen über die Zeitpunkte angeben, zu denen eine Sorte erstmals im Hoheitsgebiet des Antrags und in </w:t>
            </w:r>
            <w:r w:rsidR="00C621DA" w:rsidRPr="00C621DA">
              <w:rPr>
                <w:sz w:val="18"/>
                <w:szCs w:val="18"/>
                <w:lang w:val="de-DE"/>
              </w:rPr>
              <w:t>anderen Hoheitsgebieten gewerbsmäßig vertrieben</w:t>
            </w:r>
            <w:r w:rsidR="00D42197">
              <w:rPr>
                <w:sz w:val="18"/>
                <w:szCs w:val="18"/>
                <w:lang w:val="de-DE"/>
              </w:rPr>
              <w:t xml:space="preserve"> wurde</w:t>
            </w:r>
            <w:r w:rsidR="00BD767B">
              <w:rPr>
                <w:sz w:val="18"/>
                <w:szCs w:val="18"/>
                <w:lang w:val="de-DE"/>
              </w:rPr>
              <w:t>.</w:t>
            </w:r>
          </w:p>
          <w:p w:rsidR="00486E6F" w:rsidRPr="00C621DA" w:rsidRDefault="00486E6F" w:rsidP="00F22A01">
            <w:pPr>
              <w:jc w:val="left"/>
              <w:rPr>
                <w:sz w:val="18"/>
                <w:szCs w:val="18"/>
                <w:lang w:val="de-DE"/>
              </w:rPr>
            </w:pPr>
          </w:p>
          <w:p w:rsidR="00486E6F" w:rsidRPr="00606DB0" w:rsidRDefault="00606DB0" w:rsidP="00D42197">
            <w:pPr>
              <w:pStyle w:val="ListParagraph"/>
              <w:numPr>
                <w:ilvl w:val="0"/>
                <w:numId w:val="21"/>
              </w:numPr>
              <w:jc w:val="left"/>
              <w:rPr>
                <w:sz w:val="18"/>
                <w:szCs w:val="18"/>
                <w:lang w:val="de-DE"/>
              </w:rPr>
            </w:pPr>
            <w:r w:rsidRPr="00606DB0">
              <w:rPr>
                <w:sz w:val="18"/>
                <w:szCs w:val="18"/>
                <w:lang w:val="de-DE"/>
              </w:rPr>
              <w:t>Lösungen</w:t>
            </w:r>
            <w:r w:rsidR="00D42197">
              <w:rPr>
                <w:sz w:val="18"/>
                <w:szCs w:val="18"/>
                <w:lang w:val="de-DE"/>
              </w:rPr>
              <w:t xml:space="preserve">, die den </w:t>
            </w:r>
            <w:r w:rsidRPr="00606DB0">
              <w:rPr>
                <w:sz w:val="18"/>
                <w:szCs w:val="18"/>
                <w:lang w:val="de-DE"/>
              </w:rPr>
              <w:t>B</w:t>
            </w:r>
            <w:r>
              <w:rPr>
                <w:sz w:val="18"/>
                <w:szCs w:val="18"/>
                <w:lang w:val="de-DE"/>
              </w:rPr>
              <w:t>e</w:t>
            </w:r>
            <w:r w:rsidR="00D42197">
              <w:rPr>
                <w:sz w:val="18"/>
                <w:szCs w:val="18"/>
                <w:lang w:val="de-DE"/>
              </w:rPr>
              <w:t>i</w:t>
            </w:r>
            <w:r>
              <w:rPr>
                <w:sz w:val="18"/>
                <w:szCs w:val="18"/>
                <w:lang w:val="de-DE"/>
              </w:rPr>
              <w:t>trag von Daten</w:t>
            </w:r>
            <w:r w:rsidR="00486E6F" w:rsidRPr="00606DB0">
              <w:rPr>
                <w:sz w:val="18"/>
                <w:szCs w:val="18"/>
                <w:lang w:val="de-DE"/>
              </w:rPr>
              <w:t xml:space="preserve"> </w:t>
            </w:r>
            <w:r>
              <w:rPr>
                <w:sz w:val="18"/>
                <w:szCs w:val="18"/>
                <w:lang w:val="de-DE"/>
              </w:rPr>
              <w:t>in einem Nicht</w:t>
            </w:r>
            <w:r w:rsidR="00486E6F" w:rsidRPr="00606DB0">
              <w:rPr>
                <w:sz w:val="18"/>
                <w:szCs w:val="18"/>
                <w:lang w:val="de-DE"/>
              </w:rPr>
              <w:t>-TAG</w:t>
            </w:r>
            <w:r>
              <w:rPr>
                <w:sz w:val="18"/>
                <w:szCs w:val="18"/>
                <w:lang w:val="de-DE"/>
              </w:rPr>
              <w:t>-F</w:t>
            </w:r>
            <w:r w:rsidR="00486E6F" w:rsidRPr="00606DB0">
              <w:rPr>
                <w:sz w:val="18"/>
                <w:szCs w:val="18"/>
                <w:lang w:val="de-DE"/>
              </w:rPr>
              <w:t xml:space="preserve">ormat </w:t>
            </w:r>
            <w:r>
              <w:rPr>
                <w:sz w:val="18"/>
                <w:szCs w:val="18"/>
                <w:lang w:val="de-DE"/>
              </w:rPr>
              <w:t>für</w:t>
            </w:r>
            <w:r w:rsidR="00486E6F" w:rsidRPr="00606DB0">
              <w:rPr>
                <w:sz w:val="18"/>
                <w:szCs w:val="18"/>
                <w:lang w:val="de-DE"/>
              </w:rPr>
              <w:t xml:space="preserve"> Ke</w:t>
            </w:r>
            <w:r>
              <w:rPr>
                <w:sz w:val="18"/>
                <w:szCs w:val="18"/>
                <w:lang w:val="de-DE"/>
              </w:rPr>
              <w:t>ni</w:t>
            </w:r>
            <w:r w:rsidR="00486E6F" w:rsidRPr="00606DB0">
              <w:rPr>
                <w:sz w:val="18"/>
                <w:szCs w:val="18"/>
                <w:lang w:val="de-DE"/>
              </w:rPr>
              <w:t>a</w:t>
            </w:r>
            <w:r w:rsidR="003F377D" w:rsidRPr="00606DB0">
              <w:rPr>
                <w:sz w:val="18"/>
                <w:szCs w:val="18"/>
                <w:lang w:val="de-DE"/>
              </w:rPr>
              <w:t xml:space="preserve"> und </w:t>
            </w:r>
            <w:r w:rsidR="00486E6F" w:rsidRPr="00606DB0">
              <w:rPr>
                <w:sz w:val="18"/>
                <w:szCs w:val="18"/>
                <w:lang w:val="de-DE"/>
              </w:rPr>
              <w:t>S</w:t>
            </w:r>
            <w:r>
              <w:rPr>
                <w:sz w:val="18"/>
                <w:szCs w:val="18"/>
                <w:lang w:val="de-DE"/>
              </w:rPr>
              <w:t>üda</w:t>
            </w:r>
            <w:r w:rsidR="00D40ACE" w:rsidRPr="00606DB0">
              <w:rPr>
                <w:sz w:val="18"/>
                <w:szCs w:val="18"/>
                <w:lang w:val="de-DE"/>
              </w:rPr>
              <w:t>frika</w:t>
            </w:r>
            <w:r w:rsidR="00D42197">
              <w:rPr>
                <w:sz w:val="18"/>
                <w:szCs w:val="18"/>
                <w:lang w:val="de-DE"/>
              </w:rPr>
              <w:t xml:space="preserve"> ermöglichen</w:t>
            </w:r>
            <w:r w:rsidR="00486E6F" w:rsidRPr="00606DB0">
              <w:rPr>
                <w:sz w:val="18"/>
                <w:szCs w:val="18"/>
                <w:lang w:val="de-DE"/>
              </w:rPr>
              <w:t>.</w:t>
            </w:r>
          </w:p>
          <w:p w:rsidR="00486E6F" w:rsidRPr="00606DB0" w:rsidRDefault="00486E6F" w:rsidP="00486E6F">
            <w:pPr>
              <w:jc w:val="left"/>
              <w:rPr>
                <w:sz w:val="18"/>
                <w:szCs w:val="18"/>
                <w:lang w:val="de-DE"/>
              </w:rPr>
            </w:pPr>
          </w:p>
          <w:p w:rsidR="00486E6F" w:rsidRPr="00606DB0" w:rsidRDefault="00C621DA" w:rsidP="00894944">
            <w:pPr>
              <w:pStyle w:val="ListParagraph"/>
              <w:numPr>
                <w:ilvl w:val="0"/>
                <w:numId w:val="21"/>
              </w:numPr>
              <w:jc w:val="left"/>
              <w:rPr>
                <w:sz w:val="18"/>
                <w:szCs w:val="18"/>
                <w:lang w:val="de-DE"/>
              </w:rPr>
            </w:pPr>
            <w:r w:rsidRPr="00606DB0">
              <w:rPr>
                <w:sz w:val="18"/>
                <w:szCs w:val="18"/>
                <w:lang w:val="de-DE"/>
              </w:rPr>
              <w:t>Methode zur Erstellung fehlender UPOV-Codes für Daten, die für die Datenbank für Pflanzensorten eingereicht werden, entwickelt</w:t>
            </w:r>
            <w:r w:rsidR="00606DB0" w:rsidRPr="00606DB0">
              <w:rPr>
                <w:sz w:val="18"/>
                <w:szCs w:val="18"/>
                <w:lang w:val="de-DE"/>
              </w:rPr>
              <w:t xml:space="preserve"> von der WIPO-Abteilung </w:t>
            </w:r>
            <w:r w:rsidR="00894944">
              <w:rPr>
                <w:lang w:val="de-DE"/>
              </w:rPr>
              <w:t>„</w:t>
            </w:r>
            <w:r w:rsidR="00894944">
              <w:rPr>
                <w:sz w:val="18"/>
                <w:szCs w:val="18"/>
                <w:lang w:val="de-DE"/>
              </w:rPr>
              <w:t>Brand Database</w:t>
            </w:r>
            <w:r w:rsidR="00894944" w:rsidRPr="005E1F1F">
              <w:rPr>
                <w:color w:val="000000"/>
                <w:lang w:val="de-DE"/>
              </w:rPr>
              <w:t>“</w:t>
            </w:r>
            <w:r w:rsidRPr="00606DB0">
              <w:rPr>
                <w:sz w:val="18"/>
                <w:szCs w:val="18"/>
                <w:lang w:val="de-DE"/>
              </w:rPr>
              <w:t>.</w:t>
            </w:r>
            <w:r w:rsidR="00606DB0">
              <w:rPr>
                <w:sz w:val="18"/>
                <w:szCs w:val="18"/>
                <w:lang w:val="de-DE"/>
              </w:rPr>
              <w:t xml:space="preserve"> Auf dieser Grundlage wurden</w:t>
            </w:r>
            <w:r w:rsidRPr="00606DB0">
              <w:rPr>
                <w:sz w:val="18"/>
                <w:szCs w:val="18"/>
                <w:lang w:val="de-DE"/>
              </w:rPr>
              <w:t xml:space="preserve"> </w:t>
            </w:r>
            <w:r w:rsidR="00606DB0">
              <w:rPr>
                <w:sz w:val="18"/>
                <w:szCs w:val="18"/>
                <w:lang w:val="de-DE"/>
              </w:rPr>
              <w:t>praktisch alle</w:t>
            </w:r>
            <w:r w:rsidR="00D42197">
              <w:rPr>
                <w:sz w:val="18"/>
                <w:szCs w:val="18"/>
                <w:lang w:val="de-DE"/>
              </w:rPr>
              <w:t>n</w:t>
            </w:r>
            <w:r w:rsidR="00606DB0">
              <w:rPr>
                <w:sz w:val="18"/>
                <w:szCs w:val="18"/>
                <w:lang w:val="de-DE"/>
              </w:rPr>
              <w:t xml:space="preserve"> Einträge</w:t>
            </w:r>
            <w:r w:rsidR="00D42197">
              <w:rPr>
                <w:sz w:val="18"/>
                <w:szCs w:val="18"/>
                <w:lang w:val="de-DE"/>
              </w:rPr>
              <w:t>n</w:t>
            </w:r>
            <w:r w:rsidR="00606DB0">
              <w:rPr>
                <w:sz w:val="18"/>
                <w:szCs w:val="18"/>
                <w:lang w:val="de-DE"/>
              </w:rPr>
              <w:t xml:space="preserve"> in die</w:t>
            </w:r>
            <w:r w:rsidR="00486E6F" w:rsidRPr="00606DB0">
              <w:rPr>
                <w:sz w:val="18"/>
                <w:szCs w:val="18"/>
                <w:lang w:val="de-DE"/>
              </w:rPr>
              <w:t xml:space="preserve"> </w:t>
            </w:r>
            <w:r w:rsidR="002E0794" w:rsidRPr="00606DB0">
              <w:rPr>
                <w:sz w:val="18"/>
                <w:szCs w:val="18"/>
                <w:lang w:val="de-DE"/>
              </w:rPr>
              <w:t>Datenbank für Pflanzensorten</w:t>
            </w:r>
            <w:r w:rsidR="00606DB0">
              <w:rPr>
                <w:sz w:val="18"/>
                <w:szCs w:val="18"/>
                <w:lang w:val="de-DE"/>
              </w:rPr>
              <w:t xml:space="preserve"> </w:t>
            </w:r>
            <w:r w:rsidR="00D42197" w:rsidRPr="00606DB0">
              <w:rPr>
                <w:sz w:val="18"/>
                <w:szCs w:val="18"/>
                <w:lang w:val="de-DE"/>
              </w:rPr>
              <w:t xml:space="preserve">UPOV-Codes </w:t>
            </w:r>
            <w:r w:rsidR="00606DB0">
              <w:rPr>
                <w:sz w:val="18"/>
                <w:szCs w:val="18"/>
                <w:lang w:val="de-DE"/>
              </w:rPr>
              <w:t>zugeordnet</w:t>
            </w:r>
            <w:r w:rsidR="00486E6F" w:rsidRPr="00606DB0">
              <w:rPr>
                <w:sz w:val="18"/>
                <w:szCs w:val="18"/>
                <w:lang w:val="de-DE"/>
              </w:rPr>
              <w:t xml:space="preserve">.     </w:t>
            </w:r>
          </w:p>
          <w:p w:rsidR="00486E6F" w:rsidRPr="00C621DA" w:rsidRDefault="00486E6F" w:rsidP="00486E6F">
            <w:pPr>
              <w:jc w:val="left"/>
              <w:rPr>
                <w:sz w:val="18"/>
                <w:szCs w:val="18"/>
                <w:lang w:val="de-DE"/>
              </w:rPr>
            </w:pPr>
          </w:p>
          <w:p w:rsidR="00486E6F" w:rsidRPr="00606DB0" w:rsidRDefault="00606DB0" w:rsidP="00D42197">
            <w:pPr>
              <w:pStyle w:val="ListParagraph"/>
              <w:numPr>
                <w:ilvl w:val="0"/>
                <w:numId w:val="21"/>
              </w:numPr>
              <w:jc w:val="left"/>
              <w:rPr>
                <w:sz w:val="18"/>
                <w:szCs w:val="18"/>
                <w:lang w:val="de-DE"/>
              </w:rPr>
            </w:pPr>
            <w:r w:rsidRPr="00606DB0">
              <w:rPr>
                <w:sz w:val="18"/>
                <w:szCs w:val="18"/>
                <w:lang w:val="de-DE"/>
              </w:rPr>
              <w:t xml:space="preserve">Entwicklung </w:t>
            </w:r>
            <w:r w:rsidR="00486E6F" w:rsidRPr="00606DB0">
              <w:rPr>
                <w:sz w:val="18"/>
                <w:szCs w:val="18"/>
                <w:lang w:val="de-DE"/>
              </w:rPr>
              <w:t>UPOV</w:t>
            </w:r>
            <w:r w:rsidR="00D42197">
              <w:rPr>
                <w:sz w:val="18"/>
                <w:szCs w:val="18"/>
                <w:lang w:val="de-DE"/>
              </w:rPr>
              <w:t xml:space="preserve">s </w:t>
            </w:r>
            <w:r w:rsidRPr="00606DB0">
              <w:rPr>
                <w:sz w:val="18"/>
                <w:szCs w:val="18"/>
                <w:lang w:val="de-DE"/>
              </w:rPr>
              <w:t>eigene</w:t>
            </w:r>
            <w:r w:rsidR="00D42197">
              <w:rPr>
                <w:sz w:val="18"/>
                <w:szCs w:val="18"/>
                <w:lang w:val="de-DE"/>
              </w:rPr>
              <w:t>r</w:t>
            </w:r>
            <w:r w:rsidRPr="00606DB0">
              <w:rPr>
                <w:sz w:val="18"/>
                <w:szCs w:val="18"/>
                <w:lang w:val="de-DE"/>
              </w:rPr>
              <w:t xml:space="preserve"> V</w:t>
            </w:r>
            <w:r w:rsidR="00486E6F" w:rsidRPr="00606DB0">
              <w:rPr>
                <w:sz w:val="18"/>
                <w:szCs w:val="18"/>
                <w:lang w:val="de-DE"/>
              </w:rPr>
              <w:t xml:space="preserve">ersion </w:t>
            </w:r>
            <w:r w:rsidRPr="00606DB0">
              <w:rPr>
                <w:sz w:val="18"/>
                <w:szCs w:val="18"/>
                <w:lang w:val="de-DE"/>
              </w:rPr>
              <w:t>der</w:t>
            </w:r>
            <w:r w:rsidR="00486E6F" w:rsidRPr="00606DB0">
              <w:rPr>
                <w:sz w:val="18"/>
                <w:szCs w:val="18"/>
                <w:lang w:val="de-DE"/>
              </w:rPr>
              <w:t xml:space="preserve"> UPOV-ROM.  </w:t>
            </w:r>
          </w:p>
        </w:tc>
      </w:tr>
    </w:tbl>
    <w:p w:rsidR="00486E6F" w:rsidRPr="00606DB0" w:rsidRDefault="00486E6F">
      <w:pPr>
        <w:rPr>
          <w:lang w:val="de-DE"/>
        </w:rPr>
      </w:pPr>
    </w:p>
    <w:p w:rsidR="00F66181" w:rsidRPr="00606DB0" w:rsidRDefault="00F66181">
      <w:pPr>
        <w:rPr>
          <w:lang w:val="de-DE"/>
        </w:rPr>
      </w:pPr>
    </w:p>
    <w:tbl>
      <w:tblPr>
        <w:tblW w:w="9889" w:type="dxa"/>
        <w:tblLayout w:type="fixed"/>
        <w:tblLook w:val="0000" w:firstRow="0" w:lastRow="0" w:firstColumn="0" w:lastColumn="0" w:noHBand="0" w:noVBand="0"/>
      </w:tblPr>
      <w:tblGrid>
        <w:gridCol w:w="2093"/>
        <w:gridCol w:w="7796"/>
      </w:tblGrid>
      <w:tr w:rsidR="00463F18" w:rsidRPr="006054BD" w:rsidTr="00062A4B">
        <w:tc>
          <w:tcPr>
            <w:tcW w:w="2093" w:type="dxa"/>
            <w:shd w:val="clear" w:color="auto" w:fill="auto"/>
          </w:tcPr>
          <w:p w:rsidR="00463F18" w:rsidRPr="00C44D84" w:rsidRDefault="00463F18" w:rsidP="00062A4B">
            <w:pPr>
              <w:keepNext/>
              <w:spacing w:after="240"/>
              <w:rPr>
                <w:b/>
                <w:sz w:val="18"/>
                <w:szCs w:val="18"/>
              </w:rPr>
            </w:pPr>
            <w:r w:rsidRPr="00C44D84">
              <w:rPr>
                <w:b/>
                <w:sz w:val="18"/>
                <w:szCs w:val="18"/>
              </w:rPr>
              <w:t>Erwartete Ergebnisse</w:t>
            </w:r>
          </w:p>
        </w:tc>
        <w:tc>
          <w:tcPr>
            <w:tcW w:w="7796" w:type="dxa"/>
            <w:shd w:val="clear" w:color="auto" w:fill="auto"/>
          </w:tcPr>
          <w:p w:rsidR="00463F18" w:rsidRPr="006054BD" w:rsidRDefault="00463F18" w:rsidP="00062A4B">
            <w:pPr>
              <w:keepNext/>
              <w:spacing w:after="240"/>
              <w:rPr>
                <w:b/>
                <w:i/>
                <w:sz w:val="18"/>
                <w:szCs w:val="18"/>
              </w:rPr>
            </w:pPr>
            <w:r>
              <w:rPr>
                <w:b/>
                <w:sz w:val="18"/>
                <w:szCs w:val="18"/>
              </w:rPr>
              <w:t>Erzielte Ergebnisse</w:t>
            </w:r>
            <w:r w:rsidRPr="006054BD">
              <w:rPr>
                <w:b/>
                <w:sz w:val="18"/>
                <w:szCs w:val="18"/>
              </w:rPr>
              <w:t xml:space="preserve">:  </w:t>
            </w:r>
            <w:r>
              <w:rPr>
                <w:b/>
                <w:sz w:val="18"/>
                <w:szCs w:val="18"/>
              </w:rPr>
              <w:t>Ausgewählte Planerfüllungsindikatoren</w:t>
            </w:r>
          </w:p>
        </w:tc>
      </w:tr>
      <w:tr w:rsidR="00703AC7" w:rsidRPr="006054BD" w:rsidTr="002874C7">
        <w:trPr>
          <w:cantSplit/>
        </w:trPr>
        <w:tc>
          <w:tcPr>
            <w:tcW w:w="2093" w:type="dxa"/>
            <w:shd w:val="clear" w:color="auto" w:fill="auto"/>
          </w:tcPr>
          <w:p w:rsidR="00703AC7" w:rsidRPr="00553121" w:rsidRDefault="00553121" w:rsidP="00553121">
            <w:pPr>
              <w:jc w:val="left"/>
              <w:rPr>
                <w:sz w:val="18"/>
                <w:szCs w:val="18"/>
              </w:rPr>
            </w:pPr>
            <w:r w:rsidRPr="00553121">
              <w:rPr>
                <w:i/>
                <w:sz w:val="18"/>
                <w:szCs w:val="18"/>
              </w:rPr>
              <w:t xml:space="preserve">3.  Zusammenarbeit in der Prüfung auf Erteilung des Züchterrechts </w:t>
            </w:r>
            <w:r w:rsidRPr="00553121">
              <w:rPr>
                <w:sz w:val="18"/>
                <w:szCs w:val="18"/>
              </w:rPr>
              <w:t>(Fortsetzung)</w:t>
            </w:r>
          </w:p>
        </w:tc>
        <w:tc>
          <w:tcPr>
            <w:tcW w:w="7796" w:type="dxa"/>
            <w:shd w:val="clear" w:color="auto" w:fill="auto"/>
          </w:tcPr>
          <w:p w:rsidR="00703AC7" w:rsidRPr="008751A4" w:rsidRDefault="00E163EA" w:rsidP="005E1F1F">
            <w:pPr>
              <w:pStyle w:val="Heading8"/>
              <w:rPr>
                <w:lang w:val="de-DE"/>
              </w:rPr>
            </w:pPr>
            <w:bookmarkStart w:id="130" w:name="_Toc368400554"/>
            <w:r w:rsidRPr="008751A4">
              <w:rPr>
                <w:lang w:val="de-DE"/>
              </w:rPr>
              <w:t>(e)</w:t>
            </w:r>
            <w:r w:rsidR="00703AC7" w:rsidRPr="008751A4">
              <w:rPr>
                <w:lang w:val="de-DE"/>
              </w:rPr>
              <w:t xml:space="preserve">  </w:t>
            </w:r>
            <w:r w:rsidR="005E1F1F" w:rsidRPr="005E1F1F">
              <w:rPr>
                <w:color w:val="000000"/>
                <w:lang w:val="de-DE"/>
              </w:rPr>
              <w:t>In Dokument UPOV/INF/16 „Austauschbare Software“ aufgenommene Software</w:t>
            </w:r>
            <w:bookmarkEnd w:id="130"/>
          </w:p>
          <w:p w:rsidR="00424441" w:rsidRPr="008E0FB0" w:rsidRDefault="008E0FB0" w:rsidP="00D42197">
            <w:pPr>
              <w:rPr>
                <w:sz w:val="18"/>
                <w:szCs w:val="18"/>
                <w:lang w:val="de-DE"/>
              </w:rPr>
            </w:pPr>
            <w:r w:rsidRPr="008E0FB0">
              <w:rPr>
                <w:sz w:val="18"/>
                <w:szCs w:val="18"/>
                <w:lang w:val="de-DE"/>
              </w:rPr>
              <w:t>Die Aufnahme</w:t>
            </w:r>
            <w:r w:rsidR="00424441" w:rsidRPr="008E0FB0">
              <w:rPr>
                <w:sz w:val="18"/>
                <w:szCs w:val="18"/>
                <w:lang w:val="de-DE"/>
              </w:rPr>
              <w:t xml:space="preserve"> </w:t>
            </w:r>
            <w:r w:rsidRPr="008E0FB0">
              <w:rPr>
                <w:sz w:val="18"/>
                <w:szCs w:val="18"/>
                <w:lang w:val="de-DE"/>
              </w:rPr>
              <w:t xml:space="preserve">der </w:t>
            </w:r>
            <w:r w:rsidR="00C34F1F" w:rsidRPr="008E0FB0">
              <w:rPr>
                <w:sz w:val="18"/>
                <w:szCs w:val="18"/>
                <w:lang w:val="de-DE"/>
              </w:rPr>
              <w:t>folgende</w:t>
            </w:r>
            <w:r w:rsidRPr="008E0FB0">
              <w:rPr>
                <w:sz w:val="18"/>
                <w:szCs w:val="18"/>
                <w:lang w:val="de-DE"/>
              </w:rPr>
              <w:t>n z</w:t>
            </w:r>
            <w:r>
              <w:rPr>
                <w:sz w:val="18"/>
                <w:szCs w:val="18"/>
                <w:lang w:val="de-DE"/>
              </w:rPr>
              <w:t>wei S</w:t>
            </w:r>
            <w:r w:rsidR="00424441" w:rsidRPr="008E0FB0">
              <w:rPr>
                <w:sz w:val="18"/>
                <w:szCs w:val="18"/>
                <w:lang w:val="de-DE"/>
              </w:rPr>
              <w:t>oftware</w:t>
            </w:r>
            <w:r>
              <w:rPr>
                <w:sz w:val="18"/>
                <w:szCs w:val="18"/>
                <w:lang w:val="de-DE"/>
              </w:rPr>
              <w:t>s</w:t>
            </w:r>
            <w:r w:rsidR="00424441" w:rsidRPr="008E0FB0">
              <w:rPr>
                <w:sz w:val="18"/>
                <w:szCs w:val="18"/>
                <w:lang w:val="de-DE"/>
              </w:rPr>
              <w:t xml:space="preserve"> </w:t>
            </w:r>
            <w:r>
              <w:rPr>
                <w:sz w:val="18"/>
                <w:szCs w:val="18"/>
                <w:lang w:val="de-DE"/>
              </w:rPr>
              <w:t xml:space="preserve">wurde </w:t>
            </w:r>
            <w:r w:rsidR="00D42197" w:rsidRPr="008E0FB0">
              <w:rPr>
                <w:sz w:val="18"/>
                <w:szCs w:val="18"/>
                <w:lang w:val="de-DE"/>
              </w:rPr>
              <w:t>im Jahr 2012</w:t>
            </w:r>
            <w:r w:rsidR="00D42197">
              <w:rPr>
                <w:sz w:val="18"/>
                <w:szCs w:val="18"/>
                <w:lang w:val="de-DE"/>
              </w:rPr>
              <w:t xml:space="preserve"> zur</w:t>
            </w:r>
            <w:r>
              <w:rPr>
                <w:sz w:val="18"/>
                <w:szCs w:val="18"/>
                <w:lang w:val="de-DE"/>
              </w:rPr>
              <w:t xml:space="preserve"> Aufnahme in</w:t>
            </w:r>
            <w:r w:rsidR="00424441" w:rsidRPr="008E0FB0">
              <w:rPr>
                <w:sz w:val="18"/>
                <w:szCs w:val="18"/>
                <w:lang w:val="de-DE"/>
              </w:rPr>
              <w:t xml:space="preserve"> </w:t>
            </w:r>
            <w:r>
              <w:rPr>
                <w:sz w:val="18"/>
                <w:szCs w:val="18"/>
                <w:lang w:val="de-DE"/>
              </w:rPr>
              <w:t>Dokument</w:t>
            </w:r>
            <w:r w:rsidR="00424441" w:rsidRPr="008E0FB0">
              <w:rPr>
                <w:sz w:val="18"/>
                <w:szCs w:val="18"/>
                <w:lang w:val="de-DE"/>
              </w:rPr>
              <w:t xml:space="preserve"> UPOV/INF/16 </w:t>
            </w:r>
            <w:r>
              <w:rPr>
                <w:sz w:val="18"/>
                <w:szCs w:val="18"/>
                <w:lang w:val="de-DE"/>
              </w:rPr>
              <w:t>vorgeschlagen</w:t>
            </w:r>
            <w:r w:rsidR="00424441" w:rsidRPr="008E0FB0">
              <w:rPr>
                <w:sz w:val="18"/>
                <w:szCs w:val="18"/>
                <w:lang w:val="de-DE"/>
              </w:rPr>
              <w:t xml:space="preserve">: </w:t>
            </w:r>
          </w:p>
          <w:p w:rsidR="00424441" w:rsidRPr="008E0FB0" w:rsidRDefault="00424441" w:rsidP="00424441">
            <w:pPr>
              <w:rPr>
                <w:sz w:val="18"/>
                <w:szCs w:val="1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3360"/>
              <w:gridCol w:w="2617"/>
            </w:tblGrid>
            <w:tr w:rsidR="00424441" w:rsidRPr="008E0FB0" w:rsidTr="0010128B">
              <w:tc>
                <w:tcPr>
                  <w:tcW w:w="1872" w:type="dxa"/>
                </w:tcPr>
                <w:p w:rsidR="00424441" w:rsidRPr="006054BD" w:rsidRDefault="008E0FB0" w:rsidP="0010128B">
                  <w:pPr>
                    <w:spacing w:after="120"/>
                    <w:rPr>
                      <w:sz w:val="18"/>
                      <w:szCs w:val="18"/>
                      <w:u w:val="single"/>
                    </w:rPr>
                  </w:pPr>
                  <w:r>
                    <w:rPr>
                      <w:sz w:val="18"/>
                      <w:szCs w:val="18"/>
                      <w:u w:val="single"/>
                    </w:rPr>
                    <w:t>Programm</w:t>
                  </w:r>
                  <w:r w:rsidR="00424441" w:rsidRPr="006054BD">
                    <w:rPr>
                      <w:sz w:val="18"/>
                      <w:szCs w:val="18"/>
                      <w:u w:val="single"/>
                    </w:rPr>
                    <w:t>name</w:t>
                  </w:r>
                </w:p>
              </w:tc>
              <w:tc>
                <w:tcPr>
                  <w:tcW w:w="3360" w:type="dxa"/>
                </w:tcPr>
                <w:p w:rsidR="00424441" w:rsidRPr="006054BD" w:rsidRDefault="008E0FB0" w:rsidP="0010128B">
                  <w:pPr>
                    <w:spacing w:after="120"/>
                    <w:rPr>
                      <w:sz w:val="18"/>
                      <w:szCs w:val="18"/>
                      <w:u w:val="single"/>
                    </w:rPr>
                  </w:pPr>
                  <w:r>
                    <w:rPr>
                      <w:sz w:val="18"/>
                      <w:szCs w:val="18"/>
                      <w:u w:val="single"/>
                    </w:rPr>
                    <w:t>Kategorie</w:t>
                  </w:r>
                </w:p>
              </w:tc>
              <w:tc>
                <w:tcPr>
                  <w:tcW w:w="2617" w:type="dxa"/>
                </w:tcPr>
                <w:p w:rsidR="00424441" w:rsidRPr="008E0FB0" w:rsidRDefault="008E0FB0" w:rsidP="0010128B">
                  <w:pPr>
                    <w:spacing w:after="120"/>
                    <w:rPr>
                      <w:sz w:val="18"/>
                      <w:szCs w:val="18"/>
                      <w:u w:val="single"/>
                      <w:lang w:val="de-DE"/>
                    </w:rPr>
                  </w:pPr>
                  <w:r>
                    <w:rPr>
                      <w:sz w:val="18"/>
                      <w:szCs w:val="18"/>
                      <w:u w:val="single"/>
                    </w:rPr>
                    <w:t>Vorschlagendes Land</w:t>
                  </w:r>
                </w:p>
              </w:tc>
            </w:tr>
            <w:tr w:rsidR="00424441" w:rsidRPr="006054BD" w:rsidTr="0010128B">
              <w:tc>
                <w:tcPr>
                  <w:tcW w:w="1872" w:type="dxa"/>
                </w:tcPr>
                <w:p w:rsidR="00424441" w:rsidRPr="006054BD" w:rsidRDefault="00424441" w:rsidP="002534CA">
                  <w:pPr>
                    <w:rPr>
                      <w:sz w:val="18"/>
                      <w:szCs w:val="18"/>
                    </w:rPr>
                  </w:pPr>
                  <w:r w:rsidRPr="006054BD">
                    <w:rPr>
                      <w:sz w:val="18"/>
                      <w:szCs w:val="18"/>
                    </w:rPr>
                    <w:t>ZAJVKA</w:t>
                  </w:r>
                </w:p>
              </w:tc>
              <w:tc>
                <w:tcPr>
                  <w:tcW w:w="3360" w:type="dxa"/>
                </w:tcPr>
                <w:p w:rsidR="00424441" w:rsidRPr="006054BD" w:rsidRDefault="008E0FB0" w:rsidP="002534CA">
                  <w:pPr>
                    <w:rPr>
                      <w:sz w:val="18"/>
                      <w:szCs w:val="18"/>
                    </w:rPr>
                  </w:pPr>
                  <w:r w:rsidRPr="008E0FB0">
                    <w:rPr>
                      <w:sz w:val="18"/>
                      <w:szCs w:val="18"/>
                    </w:rPr>
                    <w:t>DUS-Anbauprüfung und Datenanalyse</w:t>
                  </w:r>
                </w:p>
              </w:tc>
              <w:tc>
                <w:tcPr>
                  <w:tcW w:w="2617" w:type="dxa"/>
                </w:tcPr>
                <w:p w:rsidR="00424441" w:rsidRPr="006054BD" w:rsidRDefault="00424441" w:rsidP="008E0FB0">
                  <w:pPr>
                    <w:rPr>
                      <w:sz w:val="18"/>
                      <w:szCs w:val="18"/>
                    </w:rPr>
                  </w:pPr>
                  <w:r w:rsidRPr="006054BD">
                    <w:rPr>
                      <w:sz w:val="18"/>
                      <w:szCs w:val="18"/>
                    </w:rPr>
                    <w:t>Russi</w:t>
                  </w:r>
                  <w:r w:rsidR="008E0FB0">
                    <w:rPr>
                      <w:sz w:val="18"/>
                      <w:szCs w:val="18"/>
                    </w:rPr>
                    <w:t>sche Fö</w:t>
                  </w:r>
                  <w:r w:rsidRPr="006054BD">
                    <w:rPr>
                      <w:sz w:val="18"/>
                      <w:szCs w:val="18"/>
                    </w:rPr>
                    <w:t>deration</w:t>
                  </w:r>
                </w:p>
              </w:tc>
            </w:tr>
            <w:tr w:rsidR="00424441" w:rsidRPr="006054BD" w:rsidTr="0010128B">
              <w:tc>
                <w:tcPr>
                  <w:tcW w:w="1872" w:type="dxa"/>
                </w:tcPr>
                <w:p w:rsidR="00424441" w:rsidRPr="006054BD" w:rsidRDefault="00424441" w:rsidP="002534CA">
                  <w:pPr>
                    <w:rPr>
                      <w:sz w:val="18"/>
                      <w:szCs w:val="18"/>
                    </w:rPr>
                  </w:pPr>
                  <w:r w:rsidRPr="006054BD">
                    <w:rPr>
                      <w:sz w:val="18"/>
                      <w:szCs w:val="18"/>
                    </w:rPr>
                    <w:t>AIM</w:t>
                  </w:r>
                </w:p>
              </w:tc>
              <w:tc>
                <w:tcPr>
                  <w:tcW w:w="3360" w:type="dxa"/>
                </w:tcPr>
                <w:p w:rsidR="00424441" w:rsidRPr="006054BD" w:rsidRDefault="008E0FB0" w:rsidP="002534CA">
                  <w:pPr>
                    <w:rPr>
                      <w:sz w:val="18"/>
                      <w:szCs w:val="18"/>
                    </w:rPr>
                  </w:pPr>
                  <w:r>
                    <w:rPr>
                      <w:sz w:val="18"/>
                      <w:szCs w:val="18"/>
                    </w:rPr>
                    <w:t>Bildanalyse</w:t>
                  </w:r>
                </w:p>
              </w:tc>
              <w:tc>
                <w:tcPr>
                  <w:tcW w:w="2617" w:type="dxa"/>
                </w:tcPr>
                <w:p w:rsidR="00424441" w:rsidRPr="006054BD" w:rsidRDefault="00180DB8" w:rsidP="002534CA">
                  <w:pPr>
                    <w:rPr>
                      <w:sz w:val="18"/>
                      <w:szCs w:val="18"/>
                    </w:rPr>
                  </w:pPr>
                  <w:r>
                    <w:rPr>
                      <w:sz w:val="18"/>
                      <w:szCs w:val="18"/>
                    </w:rPr>
                    <w:t>Frankreich</w:t>
                  </w:r>
                </w:p>
              </w:tc>
            </w:tr>
          </w:tbl>
          <w:p w:rsidR="00424441" w:rsidRPr="006054BD" w:rsidRDefault="00424441" w:rsidP="00424441">
            <w:pPr>
              <w:rPr>
                <w:sz w:val="18"/>
                <w:szCs w:val="18"/>
              </w:rPr>
            </w:pPr>
          </w:p>
        </w:tc>
      </w:tr>
    </w:tbl>
    <w:p w:rsidR="003773C3" w:rsidRPr="006054BD" w:rsidRDefault="003773C3" w:rsidP="003773C3">
      <w:pPr>
        <w:rPr>
          <w:sz w:val="18"/>
          <w:szCs w:val="18"/>
        </w:rPr>
      </w:pPr>
    </w:p>
    <w:p w:rsidR="00A82F8A" w:rsidRPr="006054BD" w:rsidRDefault="00A82F8A" w:rsidP="003773C3">
      <w:pPr>
        <w:rPr>
          <w:sz w:val="18"/>
          <w:szCs w:val="18"/>
        </w:rPr>
      </w:pPr>
    </w:p>
    <w:tbl>
      <w:tblPr>
        <w:tblW w:w="9889" w:type="dxa"/>
        <w:tblLayout w:type="fixed"/>
        <w:tblLook w:val="0000" w:firstRow="0" w:lastRow="0" w:firstColumn="0" w:lastColumn="0" w:noHBand="0" w:noVBand="0"/>
      </w:tblPr>
      <w:tblGrid>
        <w:gridCol w:w="2093"/>
        <w:gridCol w:w="7796"/>
      </w:tblGrid>
      <w:tr w:rsidR="00C74C0E" w:rsidRPr="00DE5DFD" w:rsidTr="002874C7">
        <w:tc>
          <w:tcPr>
            <w:tcW w:w="2093" w:type="dxa"/>
            <w:shd w:val="clear" w:color="auto" w:fill="auto"/>
          </w:tcPr>
          <w:p w:rsidR="00C74C0E" w:rsidRPr="005E1F1F" w:rsidRDefault="00193BEB" w:rsidP="00114294">
            <w:pPr>
              <w:pStyle w:val="Heading6"/>
              <w:rPr>
                <w:lang w:val="de-DE"/>
              </w:rPr>
            </w:pPr>
            <w:bookmarkStart w:id="131" w:name="_Toc368400555"/>
            <w:r w:rsidRPr="00126859">
              <w:rPr>
                <w:lang w:val="de-DE"/>
              </w:rPr>
              <w:t>4</w:t>
            </w:r>
            <w:r w:rsidR="00C74C0E" w:rsidRPr="00126859">
              <w:rPr>
                <w:lang w:val="de-DE"/>
              </w:rPr>
              <w:t>.  </w:t>
            </w:r>
            <w:r w:rsidR="005E1F1F" w:rsidRPr="005E1F1F">
              <w:rPr>
                <w:color w:val="000000"/>
                <w:lang w:val="de-DE"/>
              </w:rPr>
              <w:t>Mitwirkung von Verbandsmitgliedern und Betroffenen an den Tätigkeiten der Organe der UPOV</w:t>
            </w:r>
            <w:bookmarkEnd w:id="131"/>
          </w:p>
        </w:tc>
        <w:tc>
          <w:tcPr>
            <w:tcW w:w="7796" w:type="dxa"/>
            <w:shd w:val="clear" w:color="auto" w:fill="auto"/>
          </w:tcPr>
          <w:p w:rsidR="00193BEB" w:rsidRPr="00C34F1F" w:rsidRDefault="00E163EA" w:rsidP="002E5D69">
            <w:pPr>
              <w:pStyle w:val="Heading8"/>
              <w:rPr>
                <w:lang w:val="de-DE"/>
              </w:rPr>
            </w:pPr>
            <w:bookmarkStart w:id="132" w:name="_Toc368400556"/>
            <w:r w:rsidRPr="00C34F1F">
              <w:rPr>
                <w:lang w:val="de-DE"/>
              </w:rPr>
              <w:t>(a)</w:t>
            </w:r>
            <w:r w:rsidR="009336F5" w:rsidRPr="00C34F1F">
              <w:rPr>
                <w:lang w:val="de-DE"/>
              </w:rPr>
              <w:t xml:space="preserve">  </w:t>
            </w:r>
            <w:r w:rsidR="005E1F1F" w:rsidRPr="005E1F1F">
              <w:rPr>
                <w:color w:val="000000"/>
                <w:lang w:val="de-DE"/>
              </w:rPr>
              <w:t xml:space="preserve">Teilnahme am </w:t>
            </w:r>
            <w:r w:rsidR="00C34F1F" w:rsidRPr="00C34F1F">
              <w:rPr>
                <w:lang w:val="de-DE"/>
              </w:rPr>
              <w:t>Verwaltungs- und Rechtsausschuß</w:t>
            </w:r>
            <w:bookmarkEnd w:id="132"/>
          </w:p>
          <w:p w:rsidR="00193BEB" w:rsidRPr="003F377D" w:rsidRDefault="002E5D69" w:rsidP="002E5D69">
            <w:pPr>
              <w:keepNext/>
              <w:keepLines/>
              <w:tabs>
                <w:tab w:val="left" w:pos="885"/>
              </w:tabs>
              <w:ind w:left="885" w:hanging="885"/>
              <w:jc w:val="left"/>
              <w:rPr>
                <w:sz w:val="18"/>
                <w:szCs w:val="18"/>
                <w:lang w:val="de-DE"/>
              </w:rPr>
            </w:pPr>
            <w:r w:rsidRPr="003F377D">
              <w:rPr>
                <w:sz w:val="18"/>
                <w:szCs w:val="18"/>
                <w:lang w:val="de-DE"/>
              </w:rPr>
              <w:t>CAJ/65:</w:t>
            </w:r>
            <w:r w:rsidRPr="003F377D">
              <w:rPr>
                <w:sz w:val="18"/>
                <w:szCs w:val="18"/>
                <w:lang w:val="de-DE"/>
              </w:rPr>
              <w:tab/>
            </w:r>
            <w:r w:rsidR="0067258F" w:rsidRPr="003F377D">
              <w:rPr>
                <w:sz w:val="18"/>
                <w:szCs w:val="18"/>
                <w:lang w:val="de-DE"/>
              </w:rPr>
              <w:t>96</w:t>
            </w:r>
            <w:r w:rsidRPr="003F377D">
              <w:rPr>
                <w:sz w:val="18"/>
                <w:szCs w:val="18"/>
                <w:lang w:val="de-DE"/>
              </w:rPr>
              <w:t xml:space="preserve"> </w:t>
            </w:r>
            <w:r w:rsidR="003F377D" w:rsidRPr="003F377D">
              <w:rPr>
                <w:sz w:val="18"/>
                <w:szCs w:val="18"/>
                <w:lang w:val="de-DE"/>
              </w:rPr>
              <w:t>Teilnehmer aus</w:t>
            </w:r>
            <w:r w:rsidR="0067258F" w:rsidRPr="003F377D">
              <w:rPr>
                <w:sz w:val="18"/>
                <w:szCs w:val="18"/>
                <w:lang w:val="de-DE"/>
              </w:rPr>
              <w:t xml:space="preserve"> 39</w:t>
            </w:r>
            <w:r w:rsidRPr="003F377D">
              <w:rPr>
                <w:sz w:val="18"/>
                <w:szCs w:val="18"/>
                <w:lang w:val="de-DE"/>
              </w:rPr>
              <w:t xml:space="preserve"> </w:t>
            </w:r>
            <w:r w:rsidR="003F377D" w:rsidRPr="003F377D">
              <w:rPr>
                <w:sz w:val="18"/>
                <w:szCs w:val="18"/>
                <w:lang w:val="de-DE"/>
              </w:rPr>
              <w:t>Verbandsmitglieder</w:t>
            </w:r>
            <w:r w:rsidR="005E1F1F">
              <w:rPr>
                <w:sz w:val="18"/>
                <w:szCs w:val="18"/>
                <w:lang w:val="de-DE"/>
              </w:rPr>
              <w:t>n</w:t>
            </w:r>
            <w:r w:rsidRPr="003F377D">
              <w:rPr>
                <w:sz w:val="18"/>
                <w:szCs w:val="18"/>
                <w:lang w:val="de-DE"/>
              </w:rPr>
              <w:t xml:space="preserve">, </w:t>
            </w:r>
            <w:r w:rsidR="0067258F" w:rsidRPr="003F377D">
              <w:rPr>
                <w:sz w:val="18"/>
                <w:szCs w:val="18"/>
                <w:lang w:val="de-DE"/>
              </w:rPr>
              <w:t>4</w:t>
            </w:r>
            <w:r w:rsidRPr="003F377D">
              <w:rPr>
                <w:sz w:val="18"/>
                <w:szCs w:val="18"/>
                <w:lang w:val="de-DE"/>
              </w:rPr>
              <w:t xml:space="preserve"> </w:t>
            </w:r>
            <w:r w:rsidR="003F377D">
              <w:rPr>
                <w:sz w:val="18"/>
                <w:szCs w:val="18"/>
                <w:lang w:val="de-DE"/>
              </w:rPr>
              <w:t>Beobachterstaaten</w:t>
            </w:r>
            <w:r w:rsidRPr="003F377D">
              <w:rPr>
                <w:sz w:val="18"/>
                <w:szCs w:val="18"/>
                <w:lang w:val="de-DE"/>
              </w:rPr>
              <w:t xml:space="preserve">, </w:t>
            </w:r>
            <w:r w:rsidR="0067258F" w:rsidRPr="003F377D">
              <w:rPr>
                <w:sz w:val="18"/>
                <w:szCs w:val="18"/>
                <w:lang w:val="de-DE"/>
              </w:rPr>
              <w:t>7</w:t>
            </w:r>
            <w:r w:rsidRPr="003F377D">
              <w:rPr>
                <w:sz w:val="18"/>
                <w:szCs w:val="18"/>
                <w:lang w:val="de-DE"/>
              </w:rPr>
              <w:t> </w:t>
            </w:r>
            <w:r w:rsidR="003F377D">
              <w:rPr>
                <w:sz w:val="18"/>
                <w:szCs w:val="18"/>
                <w:lang w:val="de-DE"/>
              </w:rPr>
              <w:t>Beobachterorganisationen</w:t>
            </w:r>
          </w:p>
          <w:p w:rsidR="002E5D69" w:rsidRPr="003F377D" w:rsidRDefault="002E5D69" w:rsidP="002E5D69">
            <w:pPr>
              <w:keepNext/>
              <w:keepLines/>
              <w:tabs>
                <w:tab w:val="left" w:pos="885"/>
              </w:tabs>
              <w:ind w:left="885" w:hanging="885"/>
              <w:jc w:val="left"/>
              <w:rPr>
                <w:sz w:val="18"/>
                <w:szCs w:val="18"/>
                <w:lang w:val="de-DE"/>
              </w:rPr>
            </w:pPr>
            <w:r w:rsidRPr="003F377D">
              <w:rPr>
                <w:sz w:val="18"/>
                <w:szCs w:val="18"/>
                <w:lang w:val="de-DE"/>
              </w:rPr>
              <w:t>CAJ/66</w:t>
            </w:r>
            <w:r w:rsidRPr="003F377D">
              <w:rPr>
                <w:sz w:val="18"/>
                <w:szCs w:val="18"/>
                <w:lang w:val="de-DE"/>
              </w:rPr>
              <w:tab/>
            </w:r>
            <w:r w:rsidR="0067258F" w:rsidRPr="003F377D">
              <w:rPr>
                <w:sz w:val="18"/>
                <w:szCs w:val="18"/>
                <w:lang w:val="de-DE"/>
              </w:rPr>
              <w:t>85</w:t>
            </w:r>
            <w:r w:rsidRPr="003F377D">
              <w:rPr>
                <w:sz w:val="18"/>
                <w:szCs w:val="18"/>
                <w:lang w:val="de-DE"/>
              </w:rPr>
              <w:t xml:space="preserve"> </w:t>
            </w:r>
            <w:r w:rsidR="003F377D" w:rsidRPr="003F377D">
              <w:rPr>
                <w:sz w:val="18"/>
                <w:szCs w:val="18"/>
                <w:lang w:val="de-DE"/>
              </w:rPr>
              <w:t>Teilnehmer aus</w:t>
            </w:r>
            <w:r w:rsidRPr="003F377D">
              <w:rPr>
                <w:sz w:val="18"/>
                <w:szCs w:val="18"/>
                <w:lang w:val="de-DE"/>
              </w:rPr>
              <w:t xml:space="preserve"> </w:t>
            </w:r>
            <w:r w:rsidR="0067258F" w:rsidRPr="003F377D">
              <w:rPr>
                <w:sz w:val="18"/>
                <w:szCs w:val="18"/>
                <w:lang w:val="de-DE"/>
              </w:rPr>
              <w:t>36</w:t>
            </w:r>
            <w:r w:rsidRPr="003F377D">
              <w:rPr>
                <w:sz w:val="18"/>
                <w:szCs w:val="18"/>
                <w:lang w:val="de-DE"/>
              </w:rPr>
              <w:t xml:space="preserve"> </w:t>
            </w:r>
            <w:r w:rsidR="003F377D" w:rsidRPr="003F377D">
              <w:rPr>
                <w:sz w:val="18"/>
                <w:szCs w:val="18"/>
                <w:lang w:val="de-DE"/>
              </w:rPr>
              <w:t>Verbandsmitglieder</w:t>
            </w:r>
            <w:r w:rsidR="005E1F1F">
              <w:rPr>
                <w:sz w:val="18"/>
                <w:szCs w:val="18"/>
                <w:lang w:val="de-DE"/>
              </w:rPr>
              <w:t>n</w:t>
            </w:r>
            <w:r w:rsidRPr="003F377D">
              <w:rPr>
                <w:sz w:val="18"/>
                <w:szCs w:val="18"/>
                <w:lang w:val="de-DE"/>
              </w:rPr>
              <w:t>,</w:t>
            </w:r>
            <w:r w:rsidR="0067258F" w:rsidRPr="003F377D">
              <w:rPr>
                <w:sz w:val="18"/>
                <w:szCs w:val="18"/>
                <w:lang w:val="de-DE"/>
              </w:rPr>
              <w:t xml:space="preserve"> 3</w:t>
            </w:r>
            <w:r w:rsidRPr="003F377D">
              <w:rPr>
                <w:sz w:val="18"/>
                <w:szCs w:val="18"/>
                <w:lang w:val="de-DE"/>
              </w:rPr>
              <w:t xml:space="preserve"> </w:t>
            </w:r>
            <w:r w:rsidR="003F377D">
              <w:rPr>
                <w:sz w:val="18"/>
                <w:szCs w:val="18"/>
                <w:lang w:val="de-DE"/>
              </w:rPr>
              <w:t>Beobachterstaaten</w:t>
            </w:r>
            <w:r w:rsidRPr="003F377D">
              <w:rPr>
                <w:sz w:val="18"/>
                <w:szCs w:val="18"/>
                <w:lang w:val="de-DE"/>
              </w:rPr>
              <w:t xml:space="preserve">, </w:t>
            </w:r>
            <w:r w:rsidR="0067258F" w:rsidRPr="003F377D">
              <w:rPr>
                <w:sz w:val="18"/>
                <w:szCs w:val="18"/>
                <w:lang w:val="de-DE"/>
              </w:rPr>
              <w:t>7</w:t>
            </w:r>
            <w:r w:rsidRPr="003F377D">
              <w:rPr>
                <w:sz w:val="18"/>
                <w:szCs w:val="18"/>
                <w:lang w:val="de-DE"/>
              </w:rPr>
              <w:t> </w:t>
            </w:r>
            <w:r w:rsidR="003F377D">
              <w:rPr>
                <w:sz w:val="18"/>
                <w:szCs w:val="18"/>
                <w:lang w:val="de-DE"/>
              </w:rPr>
              <w:t>Beobachterorganisationen</w:t>
            </w:r>
          </w:p>
          <w:p w:rsidR="00AA5E43" w:rsidRPr="003F377D" w:rsidRDefault="00AA5E43" w:rsidP="00861785">
            <w:pPr>
              <w:keepNext/>
              <w:keepLines/>
              <w:tabs>
                <w:tab w:val="left" w:pos="885"/>
              </w:tabs>
              <w:ind w:left="885" w:hanging="885"/>
              <w:jc w:val="left"/>
              <w:rPr>
                <w:sz w:val="18"/>
                <w:szCs w:val="18"/>
                <w:lang w:val="de-DE"/>
              </w:rPr>
            </w:pPr>
          </w:p>
        </w:tc>
      </w:tr>
      <w:tr w:rsidR="00C74C0E" w:rsidRPr="00DE5DFD" w:rsidTr="002874C7">
        <w:tc>
          <w:tcPr>
            <w:tcW w:w="2093" w:type="dxa"/>
            <w:shd w:val="clear" w:color="auto" w:fill="auto"/>
          </w:tcPr>
          <w:p w:rsidR="00C74C0E" w:rsidRPr="003F377D" w:rsidRDefault="00C74C0E" w:rsidP="00C74C0E">
            <w:pPr>
              <w:jc w:val="left"/>
              <w:rPr>
                <w:i/>
                <w:color w:val="000000"/>
                <w:sz w:val="18"/>
                <w:szCs w:val="18"/>
                <w:lang w:val="de-DE"/>
              </w:rPr>
            </w:pPr>
          </w:p>
        </w:tc>
        <w:tc>
          <w:tcPr>
            <w:tcW w:w="7796" w:type="dxa"/>
            <w:shd w:val="clear" w:color="auto" w:fill="auto"/>
          </w:tcPr>
          <w:p w:rsidR="00C74C0E" w:rsidRPr="00C34F1F" w:rsidRDefault="00E163EA" w:rsidP="002E5D69">
            <w:pPr>
              <w:pStyle w:val="Heading8"/>
              <w:rPr>
                <w:lang w:val="de-DE"/>
              </w:rPr>
            </w:pPr>
            <w:bookmarkStart w:id="133" w:name="_Toc368400557"/>
            <w:r w:rsidRPr="00C34F1F">
              <w:rPr>
                <w:lang w:val="de-DE"/>
              </w:rPr>
              <w:t>(b)</w:t>
            </w:r>
            <w:r w:rsidR="009336F5" w:rsidRPr="00C34F1F">
              <w:rPr>
                <w:lang w:val="de-DE"/>
              </w:rPr>
              <w:t xml:space="preserve">  </w:t>
            </w:r>
            <w:r w:rsidR="005E1F1F" w:rsidRPr="005E1F1F">
              <w:rPr>
                <w:color w:val="000000"/>
                <w:lang w:val="de-DE"/>
              </w:rPr>
              <w:t xml:space="preserve">Teilnahme am </w:t>
            </w:r>
            <w:r w:rsidR="00C34F1F" w:rsidRPr="00C34F1F">
              <w:rPr>
                <w:lang w:val="de-DE"/>
              </w:rPr>
              <w:t>Technischen Ausschuß</w:t>
            </w:r>
            <w:bookmarkEnd w:id="133"/>
          </w:p>
          <w:p w:rsidR="002E5D69" w:rsidRPr="003F377D" w:rsidRDefault="002E5D69" w:rsidP="002E5D69">
            <w:pPr>
              <w:keepNext/>
              <w:keepLines/>
              <w:tabs>
                <w:tab w:val="left" w:pos="885"/>
              </w:tabs>
              <w:ind w:left="885" w:hanging="885"/>
              <w:jc w:val="left"/>
              <w:rPr>
                <w:sz w:val="18"/>
                <w:szCs w:val="18"/>
                <w:lang w:val="de-DE"/>
              </w:rPr>
            </w:pPr>
            <w:r w:rsidRPr="003F377D">
              <w:rPr>
                <w:sz w:val="18"/>
                <w:szCs w:val="18"/>
                <w:lang w:val="de-DE"/>
              </w:rPr>
              <w:t>TC/48:</w:t>
            </w:r>
            <w:r w:rsidRPr="003F377D">
              <w:rPr>
                <w:sz w:val="18"/>
                <w:szCs w:val="18"/>
                <w:lang w:val="de-DE"/>
              </w:rPr>
              <w:tab/>
            </w:r>
            <w:r w:rsidR="00343A65" w:rsidRPr="003F377D">
              <w:rPr>
                <w:sz w:val="18"/>
                <w:szCs w:val="18"/>
                <w:lang w:val="de-DE"/>
              </w:rPr>
              <w:t xml:space="preserve">94 </w:t>
            </w:r>
            <w:r w:rsidR="003F377D" w:rsidRPr="003F377D">
              <w:rPr>
                <w:sz w:val="18"/>
                <w:szCs w:val="18"/>
                <w:lang w:val="de-DE"/>
              </w:rPr>
              <w:t>Teilnehmer aus</w:t>
            </w:r>
            <w:r w:rsidR="00343A65" w:rsidRPr="003F377D">
              <w:rPr>
                <w:sz w:val="18"/>
                <w:szCs w:val="18"/>
                <w:lang w:val="de-DE"/>
              </w:rPr>
              <w:t xml:space="preserve"> 42 </w:t>
            </w:r>
            <w:r w:rsidR="003F377D" w:rsidRPr="003F377D">
              <w:rPr>
                <w:sz w:val="18"/>
                <w:szCs w:val="18"/>
                <w:lang w:val="de-DE"/>
              </w:rPr>
              <w:t>Verbandsmitglieder</w:t>
            </w:r>
            <w:r w:rsidR="005E1F1F">
              <w:rPr>
                <w:sz w:val="18"/>
                <w:szCs w:val="18"/>
                <w:lang w:val="de-DE"/>
              </w:rPr>
              <w:t>n</w:t>
            </w:r>
            <w:r w:rsidR="00343A65" w:rsidRPr="003F377D">
              <w:rPr>
                <w:sz w:val="18"/>
                <w:szCs w:val="18"/>
                <w:lang w:val="de-DE"/>
              </w:rPr>
              <w:t xml:space="preserve">, 4 </w:t>
            </w:r>
            <w:r w:rsidR="003F377D">
              <w:rPr>
                <w:sz w:val="18"/>
                <w:szCs w:val="18"/>
                <w:lang w:val="de-DE"/>
              </w:rPr>
              <w:t>Beobachterstaaten</w:t>
            </w:r>
            <w:r w:rsidR="00343A65" w:rsidRPr="003F377D">
              <w:rPr>
                <w:sz w:val="18"/>
                <w:szCs w:val="18"/>
                <w:lang w:val="de-DE"/>
              </w:rPr>
              <w:t>,</w:t>
            </w:r>
            <w:r w:rsidR="00343A65" w:rsidRPr="003F377D">
              <w:rPr>
                <w:sz w:val="18"/>
                <w:szCs w:val="18"/>
                <w:lang w:val="de-DE"/>
              </w:rPr>
              <w:br/>
              <w:t xml:space="preserve">6 </w:t>
            </w:r>
            <w:r w:rsidR="003F377D">
              <w:rPr>
                <w:sz w:val="18"/>
                <w:szCs w:val="18"/>
                <w:lang w:val="de-DE"/>
              </w:rPr>
              <w:t>Beobachterorganisationen</w:t>
            </w:r>
          </w:p>
          <w:p w:rsidR="00AA5E43" w:rsidRPr="003F377D" w:rsidRDefault="00AA5E43" w:rsidP="00861785">
            <w:pPr>
              <w:keepNext/>
              <w:keepLines/>
              <w:tabs>
                <w:tab w:val="left" w:pos="885"/>
              </w:tabs>
              <w:ind w:left="885" w:hanging="885"/>
              <w:jc w:val="left"/>
              <w:rPr>
                <w:i/>
                <w:color w:val="000000"/>
                <w:sz w:val="18"/>
                <w:szCs w:val="18"/>
                <w:lang w:val="de-DE"/>
              </w:rPr>
            </w:pPr>
          </w:p>
        </w:tc>
      </w:tr>
      <w:tr w:rsidR="00193BEB" w:rsidRPr="00DE5DFD" w:rsidTr="002874C7">
        <w:tc>
          <w:tcPr>
            <w:tcW w:w="2093" w:type="dxa"/>
            <w:shd w:val="clear" w:color="auto" w:fill="auto"/>
          </w:tcPr>
          <w:p w:rsidR="00193BEB" w:rsidRPr="00E71DFE" w:rsidRDefault="00193BEB" w:rsidP="00C74C0E">
            <w:pPr>
              <w:jc w:val="left"/>
              <w:rPr>
                <w:color w:val="000000"/>
                <w:sz w:val="18"/>
                <w:szCs w:val="18"/>
                <w:lang w:val="de-DE"/>
              </w:rPr>
            </w:pPr>
          </w:p>
        </w:tc>
        <w:tc>
          <w:tcPr>
            <w:tcW w:w="7796" w:type="dxa"/>
            <w:shd w:val="clear" w:color="auto" w:fill="auto"/>
          </w:tcPr>
          <w:p w:rsidR="00193BEB" w:rsidRPr="005E1F1F" w:rsidRDefault="00E163EA" w:rsidP="002E5D69">
            <w:pPr>
              <w:pStyle w:val="Heading8"/>
              <w:rPr>
                <w:lang w:val="de-DE"/>
              </w:rPr>
            </w:pPr>
            <w:bookmarkStart w:id="134" w:name="_Toc368400558"/>
            <w:r w:rsidRPr="005E1F1F">
              <w:rPr>
                <w:lang w:val="de-DE"/>
              </w:rPr>
              <w:t>(c)</w:t>
            </w:r>
            <w:r w:rsidR="009336F5" w:rsidRPr="005E1F1F">
              <w:rPr>
                <w:lang w:val="de-DE"/>
              </w:rPr>
              <w:t xml:space="preserve">  </w:t>
            </w:r>
            <w:r w:rsidR="005E1F1F" w:rsidRPr="005E1F1F">
              <w:rPr>
                <w:lang w:val="de-DE"/>
              </w:rPr>
              <w:t>Teilnahme an</w:t>
            </w:r>
            <w:r w:rsidR="00193BEB" w:rsidRPr="005E1F1F">
              <w:rPr>
                <w:lang w:val="de-DE"/>
              </w:rPr>
              <w:t xml:space="preserve"> </w:t>
            </w:r>
            <w:r w:rsidR="005E1F1F" w:rsidRPr="005E1F1F">
              <w:rPr>
                <w:lang w:val="de-DE"/>
              </w:rPr>
              <w:t>den Tagungen der Technischen Arbeitsgruppen</w:t>
            </w:r>
            <w:bookmarkEnd w:id="134"/>
          </w:p>
          <w:p w:rsidR="00193BEB" w:rsidRPr="00C34F1F" w:rsidRDefault="00343A65" w:rsidP="00D42197">
            <w:pPr>
              <w:numPr>
                <w:ilvl w:val="0"/>
                <w:numId w:val="19"/>
              </w:numPr>
              <w:spacing w:after="120"/>
              <w:ind w:left="357" w:hanging="357"/>
              <w:jc w:val="left"/>
              <w:rPr>
                <w:i/>
                <w:color w:val="000000"/>
                <w:sz w:val="18"/>
                <w:szCs w:val="18"/>
                <w:lang w:val="de-DE"/>
              </w:rPr>
            </w:pPr>
            <w:r w:rsidRPr="00C34F1F">
              <w:rPr>
                <w:color w:val="000000"/>
                <w:sz w:val="18"/>
                <w:szCs w:val="18"/>
                <w:lang w:val="de-DE"/>
              </w:rPr>
              <w:t xml:space="preserve">260 </w:t>
            </w:r>
            <w:r w:rsidR="005E1F1F">
              <w:rPr>
                <w:color w:val="000000"/>
                <w:sz w:val="18"/>
                <w:szCs w:val="18"/>
                <w:lang w:val="de-DE"/>
              </w:rPr>
              <w:t>Sachverständige</w:t>
            </w:r>
            <w:r w:rsidRPr="00C34F1F">
              <w:rPr>
                <w:color w:val="000000"/>
                <w:sz w:val="18"/>
                <w:szCs w:val="18"/>
                <w:lang w:val="de-DE"/>
              </w:rPr>
              <w:t xml:space="preserve"> </w:t>
            </w:r>
            <w:r w:rsidR="005E1F1F">
              <w:rPr>
                <w:color w:val="000000"/>
                <w:sz w:val="18"/>
                <w:szCs w:val="18"/>
                <w:lang w:val="de-DE"/>
              </w:rPr>
              <w:t>aus</w:t>
            </w:r>
            <w:r w:rsidRPr="00C34F1F">
              <w:rPr>
                <w:color w:val="000000"/>
                <w:sz w:val="18"/>
                <w:szCs w:val="18"/>
                <w:lang w:val="de-DE"/>
              </w:rPr>
              <w:t xml:space="preserve"> 36 </w:t>
            </w:r>
            <w:r w:rsidR="003F377D" w:rsidRPr="00C34F1F">
              <w:rPr>
                <w:color w:val="000000"/>
                <w:sz w:val="18"/>
                <w:szCs w:val="18"/>
                <w:lang w:val="de-DE"/>
              </w:rPr>
              <w:t>Verbandsmitglieder</w:t>
            </w:r>
            <w:r w:rsidR="005E1F1F">
              <w:rPr>
                <w:color w:val="000000"/>
                <w:sz w:val="18"/>
                <w:szCs w:val="18"/>
                <w:lang w:val="de-DE"/>
              </w:rPr>
              <w:t>n</w:t>
            </w:r>
            <w:r w:rsidRPr="00C34F1F">
              <w:rPr>
                <w:color w:val="000000"/>
                <w:sz w:val="18"/>
                <w:szCs w:val="18"/>
                <w:lang w:val="de-DE"/>
              </w:rPr>
              <w:t xml:space="preserve"> (</w:t>
            </w:r>
            <w:r w:rsidR="005E1F1F">
              <w:rPr>
                <w:color w:val="000000"/>
                <w:sz w:val="18"/>
                <w:szCs w:val="18"/>
                <w:lang w:val="de-DE"/>
              </w:rPr>
              <w:t>Mitglieder</w:t>
            </w:r>
            <w:r w:rsidRPr="00C34F1F">
              <w:rPr>
                <w:color w:val="000000"/>
                <w:sz w:val="18"/>
                <w:szCs w:val="18"/>
                <w:lang w:val="de-DE"/>
              </w:rPr>
              <w:t>)</w:t>
            </w:r>
            <w:r w:rsidR="002B3236" w:rsidRPr="00C34F1F">
              <w:rPr>
                <w:color w:val="000000"/>
                <w:sz w:val="18"/>
                <w:szCs w:val="18"/>
                <w:lang w:val="de-DE"/>
              </w:rPr>
              <w:t xml:space="preserve">, 4 </w:t>
            </w:r>
            <w:r w:rsidR="003F377D" w:rsidRPr="00C34F1F">
              <w:rPr>
                <w:color w:val="000000"/>
                <w:sz w:val="18"/>
                <w:szCs w:val="18"/>
                <w:lang w:val="de-DE"/>
              </w:rPr>
              <w:t>Beobachterstaaten</w:t>
            </w:r>
            <w:r w:rsidRPr="00C34F1F">
              <w:rPr>
                <w:color w:val="000000"/>
                <w:sz w:val="18"/>
                <w:szCs w:val="18"/>
                <w:lang w:val="de-DE"/>
              </w:rPr>
              <w:t xml:space="preserve"> </w:t>
            </w:r>
            <w:r w:rsidR="002B3236" w:rsidRPr="00C34F1F">
              <w:rPr>
                <w:color w:val="000000"/>
                <w:sz w:val="18"/>
                <w:szCs w:val="18"/>
                <w:lang w:val="de-DE"/>
              </w:rPr>
              <w:t>(obs)</w:t>
            </w:r>
            <w:r w:rsidR="003F377D" w:rsidRPr="00C34F1F">
              <w:rPr>
                <w:color w:val="000000"/>
                <w:sz w:val="18"/>
                <w:szCs w:val="18"/>
                <w:lang w:val="de-DE"/>
              </w:rPr>
              <w:t xml:space="preserve"> und </w:t>
            </w:r>
            <w:r w:rsidRPr="00C34F1F">
              <w:rPr>
                <w:color w:val="000000"/>
                <w:sz w:val="18"/>
                <w:szCs w:val="18"/>
                <w:lang w:val="de-DE"/>
              </w:rPr>
              <w:t>3 </w:t>
            </w:r>
            <w:r w:rsidR="003F377D" w:rsidRPr="00C34F1F">
              <w:rPr>
                <w:color w:val="000000"/>
                <w:sz w:val="18"/>
                <w:szCs w:val="18"/>
                <w:lang w:val="de-DE"/>
              </w:rPr>
              <w:t>Beobachterorganisationen</w:t>
            </w:r>
            <w:r w:rsidRPr="00C34F1F">
              <w:rPr>
                <w:color w:val="000000"/>
                <w:sz w:val="18"/>
                <w:szCs w:val="18"/>
                <w:lang w:val="de-DE"/>
              </w:rPr>
              <w:t xml:space="preserve"> (orgs) </w:t>
            </w:r>
            <w:r w:rsidR="00E35033">
              <w:rPr>
                <w:color w:val="000000"/>
                <w:sz w:val="18"/>
                <w:szCs w:val="18"/>
                <w:lang w:val="de-DE"/>
              </w:rPr>
              <w:t xml:space="preserve">nahmen </w:t>
            </w:r>
            <w:r w:rsidR="00D42197">
              <w:rPr>
                <w:color w:val="000000"/>
                <w:sz w:val="18"/>
                <w:szCs w:val="18"/>
                <w:lang w:val="de-DE"/>
              </w:rPr>
              <w:t xml:space="preserve">wie folgt </w:t>
            </w:r>
            <w:r w:rsidR="00E35033">
              <w:rPr>
                <w:color w:val="000000"/>
                <w:sz w:val="18"/>
                <w:szCs w:val="18"/>
                <w:lang w:val="de-DE"/>
              </w:rPr>
              <w:t xml:space="preserve">an den </w:t>
            </w:r>
            <w:r w:rsidR="00C34F1F" w:rsidRPr="00C34F1F">
              <w:rPr>
                <w:color w:val="000000"/>
                <w:sz w:val="18"/>
                <w:szCs w:val="18"/>
                <w:lang w:val="de-DE"/>
              </w:rPr>
              <w:t>Technischen Arbeitsgruppen</w:t>
            </w:r>
            <w:r w:rsidRPr="00C34F1F">
              <w:rPr>
                <w:color w:val="000000"/>
                <w:sz w:val="18"/>
                <w:szCs w:val="18"/>
                <w:lang w:val="de-DE"/>
              </w:rPr>
              <w:t xml:space="preserve"> </w:t>
            </w:r>
            <w:r w:rsidR="00E35033">
              <w:rPr>
                <w:color w:val="000000"/>
                <w:sz w:val="18"/>
                <w:szCs w:val="18"/>
                <w:lang w:val="de-DE"/>
              </w:rPr>
              <w:t>teil</w:t>
            </w:r>
            <w:r w:rsidRPr="00C34F1F">
              <w:rPr>
                <w:color w:val="000000"/>
                <w:sz w:val="18"/>
                <w:szCs w:val="18"/>
                <w:lang w:val="de-DE"/>
              </w:rPr>
              <w:t>:</w:t>
            </w:r>
          </w:p>
          <w:p w:rsidR="00193BEB" w:rsidRPr="006054BD" w:rsidRDefault="00193BEB" w:rsidP="00193BEB">
            <w:pPr>
              <w:ind w:left="567"/>
              <w:jc w:val="left"/>
              <w:rPr>
                <w:color w:val="000000"/>
                <w:sz w:val="18"/>
                <w:szCs w:val="18"/>
                <w:lang w:val="fr-CH"/>
              </w:rPr>
            </w:pPr>
            <w:r w:rsidRPr="006054BD">
              <w:rPr>
                <w:color w:val="000000"/>
                <w:sz w:val="18"/>
                <w:szCs w:val="18"/>
                <w:lang w:val="fr-CH"/>
              </w:rPr>
              <w:t>TWA (</w:t>
            </w:r>
            <w:r w:rsidR="00180DB8">
              <w:rPr>
                <w:color w:val="000000"/>
                <w:sz w:val="18"/>
                <w:szCs w:val="18"/>
                <w:lang w:val="fr-CH"/>
              </w:rPr>
              <w:t>Frankreich</w:t>
            </w:r>
            <w:r w:rsidRPr="006054BD">
              <w:rPr>
                <w:color w:val="000000"/>
                <w:sz w:val="18"/>
                <w:szCs w:val="18"/>
                <w:lang w:val="fr-CH"/>
              </w:rPr>
              <w:t xml:space="preserve">):  </w:t>
            </w:r>
          </w:p>
          <w:p w:rsidR="00193BEB" w:rsidRPr="006054BD" w:rsidRDefault="00193BEB" w:rsidP="00193BEB">
            <w:pPr>
              <w:ind w:left="567"/>
              <w:jc w:val="left"/>
              <w:rPr>
                <w:color w:val="000000"/>
                <w:sz w:val="18"/>
                <w:szCs w:val="18"/>
                <w:lang w:val="fr-CH"/>
              </w:rPr>
            </w:pPr>
            <w:r w:rsidRPr="006054BD">
              <w:rPr>
                <w:color w:val="000000"/>
                <w:sz w:val="18"/>
                <w:szCs w:val="18"/>
                <w:lang w:val="fr-CH"/>
              </w:rPr>
              <w:tab/>
            </w:r>
            <w:r w:rsidR="00343A65" w:rsidRPr="006054BD">
              <w:rPr>
                <w:color w:val="000000"/>
                <w:sz w:val="18"/>
                <w:szCs w:val="18"/>
                <w:lang w:val="fr-CH"/>
              </w:rPr>
              <w:t xml:space="preserve">26 </w:t>
            </w:r>
            <w:r w:rsidR="005E1F1F">
              <w:rPr>
                <w:color w:val="000000"/>
                <w:sz w:val="18"/>
                <w:szCs w:val="18"/>
                <w:lang w:val="fr-CH"/>
              </w:rPr>
              <w:t>Mitglieder</w:t>
            </w:r>
            <w:r w:rsidR="00343A65" w:rsidRPr="006054BD">
              <w:rPr>
                <w:color w:val="000000"/>
                <w:sz w:val="18"/>
                <w:szCs w:val="18"/>
                <w:lang w:val="fr-CH"/>
              </w:rPr>
              <w:t xml:space="preserve"> (50 </w:t>
            </w:r>
            <w:r w:rsidR="003F377D">
              <w:rPr>
                <w:color w:val="000000"/>
                <w:sz w:val="18"/>
                <w:szCs w:val="18"/>
                <w:lang w:val="fr-CH"/>
              </w:rPr>
              <w:t>Teilnehmer</w:t>
            </w:r>
            <w:r w:rsidR="00343A65" w:rsidRPr="006054BD">
              <w:rPr>
                <w:color w:val="000000"/>
                <w:sz w:val="18"/>
                <w:szCs w:val="18"/>
                <w:lang w:val="fr-CH"/>
              </w:rPr>
              <w:t xml:space="preserve">) / </w:t>
            </w:r>
            <w:r w:rsidR="002B3236" w:rsidRPr="006054BD">
              <w:rPr>
                <w:color w:val="000000"/>
                <w:sz w:val="18"/>
                <w:szCs w:val="18"/>
                <w:lang w:val="fr-CH"/>
              </w:rPr>
              <w:t xml:space="preserve">1 obs (2) / </w:t>
            </w:r>
            <w:r w:rsidR="00343A65" w:rsidRPr="006054BD">
              <w:rPr>
                <w:color w:val="000000"/>
                <w:sz w:val="18"/>
                <w:szCs w:val="18"/>
                <w:lang w:val="fr-CH"/>
              </w:rPr>
              <w:t>2 org (1)</w:t>
            </w:r>
          </w:p>
          <w:p w:rsidR="00193BEB" w:rsidRPr="00126859" w:rsidRDefault="00193BEB" w:rsidP="00193BEB">
            <w:pPr>
              <w:ind w:left="567"/>
              <w:jc w:val="left"/>
              <w:rPr>
                <w:color w:val="000000"/>
                <w:sz w:val="18"/>
                <w:szCs w:val="18"/>
                <w:lang w:val="de-DE"/>
              </w:rPr>
            </w:pPr>
            <w:r w:rsidRPr="00126859">
              <w:rPr>
                <w:color w:val="000000"/>
                <w:sz w:val="18"/>
                <w:szCs w:val="18"/>
                <w:lang w:val="de-DE"/>
              </w:rPr>
              <w:t>TWC (</w:t>
            </w:r>
            <w:r w:rsidR="00E35033" w:rsidRPr="00126859">
              <w:rPr>
                <w:color w:val="000000"/>
                <w:sz w:val="18"/>
                <w:szCs w:val="18"/>
                <w:lang w:val="de-DE"/>
              </w:rPr>
              <w:t>Republik Moldau</w:t>
            </w:r>
            <w:r w:rsidRPr="00126859">
              <w:rPr>
                <w:color w:val="000000"/>
                <w:sz w:val="18"/>
                <w:szCs w:val="18"/>
                <w:lang w:val="de-DE"/>
              </w:rPr>
              <w:t xml:space="preserve">):  </w:t>
            </w:r>
          </w:p>
          <w:p w:rsidR="002E5D69" w:rsidRPr="00126859" w:rsidRDefault="002E5D69" w:rsidP="002E5D69">
            <w:pPr>
              <w:ind w:left="567"/>
              <w:jc w:val="left"/>
              <w:rPr>
                <w:color w:val="000000"/>
                <w:sz w:val="18"/>
                <w:szCs w:val="18"/>
                <w:lang w:val="de-DE"/>
              </w:rPr>
            </w:pPr>
            <w:r w:rsidRPr="00126859">
              <w:rPr>
                <w:color w:val="000000"/>
                <w:sz w:val="18"/>
                <w:szCs w:val="18"/>
                <w:lang w:val="de-DE"/>
              </w:rPr>
              <w:tab/>
            </w:r>
            <w:r w:rsidR="00343A65" w:rsidRPr="00126859">
              <w:rPr>
                <w:color w:val="000000"/>
                <w:sz w:val="18"/>
                <w:szCs w:val="18"/>
                <w:lang w:val="de-DE"/>
              </w:rPr>
              <w:t xml:space="preserve">20 </w:t>
            </w:r>
            <w:r w:rsidR="005E1F1F" w:rsidRPr="00126859">
              <w:rPr>
                <w:color w:val="000000"/>
                <w:sz w:val="18"/>
                <w:szCs w:val="18"/>
                <w:lang w:val="de-DE"/>
              </w:rPr>
              <w:t>Mitglieder</w:t>
            </w:r>
            <w:r w:rsidR="00343A65" w:rsidRPr="00126859">
              <w:rPr>
                <w:color w:val="000000"/>
                <w:sz w:val="18"/>
                <w:szCs w:val="18"/>
                <w:lang w:val="de-DE"/>
              </w:rPr>
              <w:t xml:space="preserve"> (51 </w:t>
            </w:r>
            <w:r w:rsidR="003F377D" w:rsidRPr="00126859">
              <w:rPr>
                <w:color w:val="000000"/>
                <w:sz w:val="18"/>
                <w:szCs w:val="18"/>
                <w:lang w:val="de-DE"/>
              </w:rPr>
              <w:t>Teilnehmer</w:t>
            </w:r>
            <w:r w:rsidR="00343A65" w:rsidRPr="00126859">
              <w:rPr>
                <w:color w:val="000000"/>
                <w:sz w:val="18"/>
                <w:szCs w:val="18"/>
                <w:lang w:val="de-DE"/>
              </w:rPr>
              <w:t xml:space="preserve">) / </w:t>
            </w:r>
            <w:r w:rsidR="002B3236" w:rsidRPr="00126859">
              <w:rPr>
                <w:color w:val="000000"/>
                <w:sz w:val="18"/>
                <w:szCs w:val="18"/>
                <w:lang w:val="de-DE"/>
              </w:rPr>
              <w:t xml:space="preserve">0 obs (0) / </w:t>
            </w:r>
            <w:r w:rsidR="00343A65" w:rsidRPr="00126859">
              <w:rPr>
                <w:color w:val="000000"/>
                <w:sz w:val="18"/>
                <w:szCs w:val="18"/>
                <w:lang w:val="de-DE"/>
              </w:rPr>
              <w:t>0 org (0)</w:t>
            </w:r>
          </w:p>
          <w:p w:rsidR="00193BEB" w:rsidRPr="00126859" w:rsidRDefault="00193BEB" w:rsidP="00193BEB">
            <w:pPr>
              <w:ind w:left="567"/>
              <w:jc w:val="left"/>
              <w:rPr>
                <w:color w:val="000000"/>
                <w:sz w:val="18"/>
                <w:szCs w:val="18"/>
                <w:lang w:val="de-DE"/>
              </w:rPr>
            </w:pPr>
            <w:r w:rsidRPr="00126859">
              <w:rPr>
                <w:color w:val="000000"/>
                <w:sz w:val="18"/>
                <w:szCs w:val="18"/>
                <w:lang w:val="de-DE"/>
              </w:rPr>
              <w:t>TWF (</w:t>
            </w:r>
            <w:r w:rsidR="002E5D69" w:rsidRPr="00126859">
              <w:rPr>
                <w:color w:val="000000"/>
                <w:sz w:val="18"/>
                <w:szCs w:val="18"/>
                <w:lang w:val="de-DE"/>
              </w:rPr>
              <w:t>China</w:t>
            </w:r>
            <w:r w:rsidRPr="00126859">
              <w:rPr>
                <w:color w:val="000000"/>
                <w:sz w:val="18"/>
                <w:szCs w:val="18"/>
                <w:lang w:val="de-DE"/>
              </w:rPr>
              <w:t xml:space="preserve">):  </w:t>
            </w:r>
          </w:p>
          <w:p w:rsidR="002E5D69" w:rsidRPr="00E35033" w:rsidRDefault="002E5D69" w:rsidP="002E5D69">
            <w:pPr>
              <w:ind w:left="567"/>
              <w:jc w:val="left"/>
              <w:rPr>
                <w:color w:val="000000"/>
                <w:sz w:val="18"/>
                <w:szCs w:val="18"/>
                <w:lang w:val="de-DE"/>
              </w:rPr>
            </w:pPr>
            <w:r w:rsidRPr="00126859">
              <w:rPr>
                <w:color w:val="000000"/>
                <w:sz w:val="18"/>
                <w:szCs w:val="18"/>
                <w:lang w:val="de-DE"/>
              </w:rPr>
              <w:tab/>
            </w:r>
            <w:r w:rsidR="00343A65" w:rsidRPr="00E35033">
              <w:rPr>
                <w:color w:val="000000"/>
                <w:sz w:val="18"/>
                <w:szCs w:val="18"/>
                <w:lang w:val="de-DE"/>
              </w:rPr>
              <w:t xml:space="preserve">16 </w:t>
            </w:r>
            <w:r w:rsidR="005E1F1F" w:rsidRPr="00E35033">
              <w:rPr>
                <w:color w:val="000000"/>
                <w:sz w:val="18"/>
                <w:szCs w:val="18"/>
                <w:lang w:val="de-DE"/>
              </w:rPr>
              <w:t>Mitglieder</w:t>
            </w:r>
            <w:r w:rsidR="00343A65" w:rsidRPr="00E35033">
              <w:rPr>
                <w:color w:val="000000"/>
                <w:sz w:val="18"/>
                <w:szCs w:val="18"/>
                <w:lang w:val="de-DE"/>
              </w:rPr>
              <w:t xml:space="preserve"> (49 </w:t>
            </w:r>
            <w:r w:rsidR="003F377D" w:rsidRPr="00E35033">
              <w:rPr>
                <w:color w:val="000000"/>
                <w:sz w:val="18"/>
                <w:szCs w:val="18"/>
                <w:lang w:val="de-DE"/>
              </w:rPr>
              <w:t>Teilnehmer</w:t>
            </w:r>
            <w:r w:rsidR="00343A65" w:rsidRPr="00E35033">
              <w:rPr>
                <w:color w:val="000000"/>
                <w:sz w:val="18"/>
                <w:szCs w:val="18"/>
                <w:lang w:val="de-DE"/>
              </w:rPr>
              <w:t xml:space="preserve">) / </w:t>
            </w:r>
            <w:r w:rsidR="002B3236" w:rsidRPr="00E35033">
              <w:rPr>
                <w:color w:val="000000"/>
                <w:sz w:val="18"/>
                <w:szCs w:val="18"/>
                <w:lang w:val="de-DE"/>
              </w:rPr>
              <w:t xml:space="preserve">3 obs (3) / </w:t>
            </w:r>
            <w:r w:rsidR="00343A65" w:rsidRPr="00E35033">
              <w:rPr>
                <w:color w:val="000000"/>
                <w:sz w:val="18"/>
                <w:szCs w:val="18"/>
                <w:lang w:val="de-DE"/>
              </w:rPr>
              <w:t>1 org (1)</w:t>
            </w:r>
          </w:p>
          <w:p w:rsidR="00193BEB" w:rsidRPr="00E35033" w:rsidRDefault="00193BEB" w:rsidP="00193BEB">
            <w:pPr>
              <w:ind w:left="567"/>
              <w:jc w:val="left"/>
              <w:rPr>
                <w:color w:val="000000"/>
                <w:sz w:val="18"/>
                <w:szCs w:val="18"/>
                <w:lang w:val="de-DE"/>
              </w:rPr>
            </w:pPr>
            <w:r w:rsidRPr="00E35033">
              <w:rPr>
                <w:color w:val="000000"/>
                <w:sz w:val="18"/>
                <w:szCs w:val="18"/>
                <w:lang w:val="de-DE"/>
              </w:rPr>
              <w:t>TWO (</w:t>
            </w:r>
            <w:r w:rsidR="00E35033" w:rsidRPr="00E35033">
              <w:rPr>
                <w:color w:val="000000"/>
                <w:sz w:val="18"/>
                <w:szCs w:val="18"/>
                <w:lang w:val="de-DE"/>
              </w:rPr>
              <w:t>Republik Korea</w:t>
            </w:r>
            <w:r w:rsidRPr="00E35033">
              <w:rPr>
                <w:color w:val="000000"/>
                <w:sz w:val="18"/>
                <w:szCs w:val="18"/>
                <w:lang w:val="de-DE"/>
              </w:rPr>
              <w:t xml:space="preserve">):  </w:t>
            </w:r>
          </w:p>
          <w:p w:rsidR="002E5D69" w:rsidRPr="007B46CC" w:rsidRDefault="002E5D69" w:rsidP="002E5D69">
            <w:pPr>
              <w:ind w:left="567"/>
              <w:jc w:val="left"/>
              <w:rPr>
                <w:color w:val="000000"/>
                <w:sz w:val="18"/>
                <w:szCs w:val="18"/>
                <w:lang w:val="de-DE"/>
              </w:rPr>
            </w:pPr>
            <w:r w:rsidRPr="00E35033">
              <w:rPr>
                <w:color w:val="000000"/>
                <w:sz w:val="18"/>
                <w:szCs w:val="18"/>
                <w:lang w:val="de-DE"/>
              </w:rPr>
              <w:tab/>
            </w:r>
            <w:r w:rsidR="00343A65" w:rsidRPr="007B46CC">
              <w:rPr>
                <w:color w:val="000000"/>
                <w:sz w:val="18"/>
                <w:szCs w:val="18"/>
                <w:lang w:val="de-DE"/>
              </w:rPr>
              <w:t xml:space="preserve">15 </w:t>
            </w:r>
            <w:r w:rsidR="005E1F1F">
              <w:rPr>
                <w:color w:val="000000"/>
                <w:sz w:val="18"/>
                <w:szCs w:val="18"/>
                <w:lang w:val="de-DE"/>
              </w:rPr>
              <w:t>Mitglieder</w:t>
            </w:r>
            <w:r w:rsidR="00343A65" w:rsidRPr="007B46CC">
              <w:rPr>
                <w:color w:val="000000"/>
                <w:sz w:val="18"/>
                <w:szCs w:val="18"/>
                <w:lang w:val="de-DE"/>
              </w:rPr>
              <w:t xml:space="preserve"> (53 </w:t>
            </w:r>
            <w:r w:rsidR="003F377D" w:rsidRPr="007B46CC">
              <w:rPr>
                <w:color w:val="000000"/>
                <w:sz w:val="18"/>
                <w:szCs w:val="18"/>
                <w:lang w:val="de-DE"/>
              </w:rPr>
              <w:t>Teilnehmer</w:t>
            </w:r>
            <w:r w:rsidR="00343A65" w:rsidRPr="007B46CC">
              <w:rPr>
                <w:color w:val="000000"/>
                <w:sz w:val="18"/>
                <w:szCs w:val="18"/>
                <w:lang w:val="de-DE"/>
              </w:rPr>
              <w:t xml:space="preserve">) / </w:t>
            </w:r>
            <w:r w:rsidR="002B3236" w:rsidRPr="007B46CC">
              <w:rPr>
                <w:color w:val="000000"/>
                <w:sz w:val="18"/>
                <w:szCs w:val="18"/>
                <w:lang w:val="de-DE"/>
              </w:rPr>
              <w:t xml:space="preserve">4 obs (5) / </w:t>
            </w:r>
            <w:r w:rsidR="00343A65" w:rsidRPr="007B46CC">
              <w:rPr>
                <w:color w:val="000000"/>
                <w:sz w:val="18"/>
                <w:szCs w:val="18"/>
                <w:lang w:val="de-DE"/>
              </w:rPr>
              <w:t>2 org (2)</w:t>
            </w:r>
          </w:p>
          <w:p w:rsidR="00193BEB" w:rsidRPr="007B46CC" w:rsidRDefault="00193BEB" w:rsidP="00193BEB">
            <w:pPr>
              <w:ind w:left="567"/>
              <w:jc w:val="left"/>
              <w:rPr>
                <w:color w:val="000000"/>
                <w:sz w:val="18"/>
                <w:szCs w:val="18"/>
                <w:lang w:val="de-DE"/>
              </w:rPr>
            </w:pPr>
            <w:r w:rsidRPr="007B46CC">
              <w:rPr>
                <w:color w:val="000000"/>
                <w:sz w:val="18"/>
                <w:szCs w:val="18"/>
                <w:lang w:val="de-DE"/>
              </w:rPr>
              <w:t>TWV (</w:t>
            </w:r>
            <w:r w:rsidR="00E35033">
              <w:rPr>
                <w:color w:val="000000"/>
                <w:sz w:val="18"/>
                <w:szCs w:val="18"/>
                <w:lang w:val="de-DE"/>
              </w:rPr>
              <w:t>Niederlande</w:t>
            </w:r>
            <w:r w:rsidRPr="007B46CC">
              <w:rPr>
                <w:color w:val="000000"/>
                <w:sz w:val="18"/>
                <w:szCs w:val="18"/>
                <w:lang w:val="de-DE"/>
              </w:rPr>
              <w:t xml:space="preserve">):  </w:t>
            </w:r>
          </w:p>
          <w:p w:rsidR="00193BEB" w:rsidRPr="00126859" w:rsidRDefault="002E5D69" w:rsidP="002E5D69">
            <w:pPr>
              <w:ind w:left="567"/>
              <w:jc w:val="left"/>
              <w:rPr>
                <w:color w:val="000000"/>
                <w:sz w:val="18"/>
                <w:szCs w:val="18"/>
                <w:lang w:val="de-DE"/>
              </w:rPr>
            </w:pPr>
            <w:r w:rsidRPr="007B46CC">
              <w:rPr>
                <w:color w:val="000000"/>
                <w:sz w:val="18"/>
                <w:szCs w:val="18"/>
                <w:lang w:val="de-DE"/>
              </w:rPr>
              <w:tab/>
            </w:r>
            <w:r w:rsidR="00343A65" w:rsidRPr="00126859">
              <w:rPr>
                <w:color w:val="000000"/>
                <w:sz w:val="18"/>
                <w:szCs w:val="18"/>
                <w:lang w:val="de-DE"/>
              </w:rPr>
              <w:t xml:space="preserve">16 </w:t>
            </w:r>
            <w:r w:rsidR="005E1F1F" w:rsidRPr="00126859">
              <w:rPr>
                <w:color w:val="000000"/>
                <w:sz w:val="18"/>
                <w:szCs w:val="18"/>
                <w:lang w:val="de-DE"/>
              </w:rPr>
              <w:t>Mitglieder</w:t>
            </w:r>
            <w:r w:rsidR="00343A65" w:rsidRPr="00126859">
              <w:rPr>
                <w:color w:val="000000"/>
                <w:sz w:val="18"/>
                <w:szCs w:val="18"/>
                <w:lang w:val="de-DE"/>
              </w:rPr>
              <w:t xml:space="preserve"> (38 </w:t>
            </w:r>
            <w:r w:rsidR="003F377D" w:rsidRPr="00126859">
              <w:rPr>
                <w:color w:val="000000"/>
                <w:sz w:val="18"/>
                <w:szCs w:val="18"/>
                <w:lang w:val="de-DE"/>
              </w:rPr>
              <w:t>Teilnehmer</w:t>
            </w:r>
            <w:r w:rsidR="00343A65" w:rsidRPr="00126859">
              <w:rPr>
                <w:color w:val="000000"/>
                <w:sz w:val="18"/>
                <w:szCs w:val="18"/>
                <w:lang w:val="de-DE"/>
              </w:rPr>
              <w:t xml:space="preserve">) / </w:t>
            </w:r>
            <w:r w:rsidR="002B3236" w:rsidRPr="00126859">
              <w:rPr>
                <w:color w:val="000000"/>
                <w:sz w:val="18"/>
                <w:szCs w:val="18"/>
                <w:lang w:val="de-DE"/>
              </w:rPr>
              <w:t>0 obs (0) / 2</w:t>
            </w:r>
            <w:r w:rsidR="00343A65" w:rsidRPr="00126859">
              <w:rPr>
                <w:color w:val="000000"/>
                <w:sz w:val="18"/>
                <w:szCs w:val="18"/>
                <w:lang w:val="de-DE"/>
              </w:rPr>
              <w:t xml:space="preserve"> org (</w:t>
            </w:r>
            <w:r w:rsidR="002B3236" w:rsidRPr="00126859">
              <w:rPr>
                <w:color w:val="000000"/>
                <w:sz w:val="18"/>
                <w:szCs w:val="18"/>
                <w:lang w:val="de-DE"/>
              </w:rPr>
              <w:t>5</w:t>
            </w:r>
            <w:r w:rsidR="00343A65" w:rsidRPr="00126859">
              <w:rPr>
                <w:color w:val="000000"/>
                <w:sz w:val="18"/>
                <w:szCs w:val="18"/>
                <w:lang w:val="de-DE"/>
              </w:rPr>
              <w:t>)</w:t>
            </w:r>
          </w:p>
          <w:p w:rsidR="00AA5E43" w:rsidRPr="00126859" w:rsidRDefault="00AA5E43" w:rsidP="00343A65">
            <w:pPr>
              <w:keepNext/>
              <w:keepLines/>
              <w:tabs>
                <w:tab w:val="left" w:pos="885"/>
              </w:tabs>
              <w:ind w:left="885" w:hanging="885"/>
              <w:jc w:val="left"/>
              <w:rPr>
                <w:color w:val="000000"/>
                <w:sz w:val="18"/>
                <w:szCs w:val="18"/>
                <w:lang w:val="de-DE"/>
              </w:rPr>
            </w:pPr>
          </w:p>
        </w:tc>
      </w:tr>
      <w:tr w:rsidR="00193BEB" w:rsidRPr="00DE5DFD" w:rsidTr="002874C7">
        <w:tc>
          <w:tcPr>
            <w:tcW w:w="2093" w:type="dxa"/>
            <w:shd w:val="clear" w:color="auto" w:fill="auto"/>
          </w:tcPr>
          <w:p w:rsidR="00193BEB" w:rsidRPr="00126859" w:rsidRDefault="00193BEB" w:rsidP="00C74C0E">
            <w:pPr>
              <w:jc w:val="left"/>
              <w:rPr>
                <w:i/>
                <w:color w:val="000000"/>
                <w:sz w:val="18"/>
                <w:szCs w:val="18"/>
                <w:lang w:val="de-DE"/>
              </w:rPr>
            </w:pPr>
          </w:p>
        </w:tc>
        <w:tc>
          <w:tcPr>
            <w:tcW w:w="7796" w:type="dxa"/>
            <w:shd w:val="clear" w:color="auto" w:fill="auto"/>
          </w:tcPr>
          <w:p w:rsidR="00193BEB" w:rsidRPr="005E1F1F" w:rsidRDefault="00E163EA" w:rsidP="00E35033">
            <w:pPr>
              <w:pStyle w:val="Heading8"/>
              <w:rPr>
                <w:lang w:val="de-DE"/>
              </w:rPr>
            </w:pPr>
            <w:bookmarkStart w:id="135" w:name="_Toc368400559"/>
            <w:r w:rsidRPr="005E1F1F">
              <w:rPr>
                <w:lang w:val="de-DE"/>
              </w:rPr>
              <w:t>(d)</w:t>
            </w:r>
            <w:r w:rsidR="009336F5" w:rsidRPr="005E1F1F">
              <w:rPr>
                <w:lang w:val="de-DE"/>
              </w:rPr>
              <w:t xml:space="preserve">  </w:t>
            </w:r>
            <w:r w:rsidR="005E1F1F" w:rsidRPr="005E1F1F">
              <w:rPr>
                <w:lang w:val="de-DE"/>
              </w:rPr>
              <w:t>Teilnahme an</w:t>
            </w:r>
            <w:r w:rsidR="00193BEB" w:rsidRPr="005E1F1F">
              <w:rPr>
                <w:lang w:val="de-DE"/>
              </w:rPr>
              <w:t xml:space="preserve"> </w:t>
            </w:r>
            <w:r w:rsidR="00E35033">
              <w:rPr>
                <w:lang w:val="de-DE"/>
              </w:rPr>
              <w:t>vorbereitenden Arbeitstagungen</w:t>
            </w:r>
            <w:r w:rsidR="00193BEB" w:rsidRPr="005E1F1F">
              <w:rPr>
                <w:lang w:val="de-DE"/>
              </w:rPr>
              <w:t xml:space="preserve"> </w:t>
            </w:r>
            <w:r w:rsidR="00E35033">
              <w:rPr>
                <w:lang w:val="de-DE"/>
              </w:rPr>
              <w:t>für die</w:t>
            </w:r>
            <w:r w:rsidR="00193BEB" w:rsidRPr="005E1F1F">
              <w:rPr>
                <w:lang w:val="de-DE"/>
              </w:rPr>
              <w:t xml:space="preserve"> </w:t>
            </w:r>
            <w:r w:rsidR="005E1F1F" w:rsidRPr="005E1F1F">
              <w:rPr>
                <w:lang w:val="de-DE"/>
              </w:rPr>
              <w:t>Tagungen der Technischen Arbeitsgruppen</w:t>
            </w:r>
            <w:bookmarkEnd w:id="135"/>
          </w:p>
          <w:p w:rsidR="00193BEB" w:rsidRPr="005E1F1F" w:rsidRDefault="00155A9D" w:rsidP="00D42197">
            <w:pPr>
              <w:numPr>
                <w:ilvl w:val="0"/>
                <w:numId w:val="19"/>
              </w:numPr>
              <w:spacing w:after="120"/>
              <w:ind w:left="357" w:hanging="357"/>
              <w:jc w:val="left"/>
              <w:rPr>
                <w:color w:val="000000"/>
                <w:sz w:val="18"/>
                <w:szCs w:val="18"/>
                <w:lang w:val="de-DE"/>
              </w:rPr>
            </w:pPr>
            <w:r w:rsidRPr="005E1F1F">
              <w:rPr>
                <w:color w:val="000000"/>
                <w:sz w:val="18"/>
                <w:szCs w:val="18"/>
                <w:lang w:val="de-DE"/>
              </w:rPr>
              <w:t xml:space="preserve">121 </w:t>
            </w:r>
            <w:r w:rsidR="005E1F1F" w:rsidRPr="005E1F1F">
              <w:rPr>
                <w:color w:val="000000"/>
                <w:sz w:val="18"/>
                <w:szCs w:val="18"/>
                <w:lang w:val="de-DE"/>
              </w:rPr>
              <w:t>Sachverständige</w:t>
            </w:r>
            <w:r w:rsidRPr="005E1F1F">
              <w:rPr>
                <w:color w:val="000000"/>
                <w:sz w:val="18"/>
                <w:szCs w:val="18"/>
                <w:lang w:val="de-DE"/>
              </w:rPr>
              <w:t xml:space="preserve"> </w:t>
            </w:r>
            <w:r w:rsidR="00E35033">
              <w:rPr>
                <w:color w:val="000000"/>
                <w:sz w:val="18"/>
                <w:szCs w:val="18"/>
                <w:lang w:val="de-DE"/>
              </w:rPr>
              <w:t xml:space="preserve">aus </w:t>
            </w:r>
            <w:r w:rsidRPr="005E1F1F">
              <w:rPr>
                <w:color w:val="000000"/>
                <w:sz w:val="18"/>
                <w:szCs w:val="18"/>
                <w:lang w:val="de-DE"/>
              </w:rPr>
              <w:t xml:space="preserve">26 </w:t>
            </w:r>
            <w:r w:rsidR="003F377D" w:rsidRPr="005E1F1F">
              <w:rPr>
                <w:color w:val="000000"/>
                <w:sz w:val="18"/>
                <w:szCs w:val="18"/>
                <w:lang w:val="de-DE"/>
              </w:rPr>
              <w:t>Verbandsmitglieder</w:t>
            </w:r>
            <w:r w:rsidR="00E35033">
              <w:rPr>
                <w:color w:val="000000"/>
                <w:sz w:val="18"/>
                <w:szCs w:val="18"/>
                <w:lang w:val="de-DE"/>
              </w:rPr>
              <w:t>n</w:t>
            </w:r>
            <w:r w:rsidRPr="005E1F1F">
              <w:rPr>
                <w:color w:val="000000"/>
                <w:sz w:val="18"/>
                <w:szCs w:val="18"/>
                <w:lang w:val="de-DE"/>
              </w:rPr>
              <w:t xml:space="preserve"> (</w:t>
            </w:r>
            <w:r w:rsidR="005E1F1F" w:rsidRPr="005E1F1F">
              <w:rPr>
                <w:color w:val="000000"/>
                <w:sz w:val="18"/>
                <w:szCs w:val="18"/>
                <w:lang w:val="de-DE"/>
              </w:rPr>
              <w:t>Mitglieder</w:t>
            </w:r>
            <w:r w:rsidRPr="005E1F1F">
              <w:rPr>
                <w:color w:val="000000"/>
                <w:sz w:val="18"/>
                <w:szCs w:val="18"/>
                <w:lang w:val="de-DE"/>
              </w:rPr>
              <w:t>)</w:t>
            </w:r>
            <w:r w:rsidR="00B742C5" w:rsidRPr="005E1F1F">
              <w:rPr>
                <w:color w:val="000000"/>
                <w:sz w:val="18"/>
                <w:szCs w:val="18"/>
                <w:lang w:val="de-DE"/>
              </w:rPr>
              <w:t xml:space="preserve">, 4 </w:t>
            </w:r>
            <w:r w:rsidR="003F377D" w:rsidRPr="005E1F1F">
              <w:rPr>
                <w:color w:val="000000"/>
                <w:sz w:val="18"/>
                <w:szCs w:val="18"/>
                <w:lang w:val="de-DE"/>
              </w:rPr>
              <w:t>Beobachterstaaten</w:t>
            </w:r>
            <w:r w:rsidR="00B742C5" w:rsidRPr="005E1F1F">
              <w:rPr>
                <w:color w:val="000000"/>
                <w:sz w:val="18"/>
                <w:szCs w:val="18"/>
                <w:lang w:val="de-DE"/>
              </w:rPr>
              <w:t xml:space="preserve"> (obs)</w:t>
            </w:r>
            <w:r w:rsidR="003F377D" w:rsidRPr="005E1F1F">
              <w:rPr>
                <w:color w:val="000000"/>
                <w:sz w:val="18"/>
                <w:szCs w:val="18"/>
                <w:lang w:val="de-DE"/>
              </w:rPr>
              <w:t xml:space="preserve"> und </w:t>
            </w:r>
            <w:r w:rsidR="00B742C5" w:rsidRPr="005E1F1F">
              <w:rPr>
                <w:color w:val="000000"/>
                <w:sz w:val="18"/>
                <w:szCs w:val="18"/>
                <w:lang w:val="de-DE"/>
              </w:rPr>
              <w:t>2</w:t>
            </w:r>
            <w:r w:rsidRPr="005E1F1F">
              <w:rPr>
                <w:color w:val="000000"/>
                <w:sz w:val="18"/>
                <w:szCs w:val="18"/>
                <w:lang w:val="de-DE"/>
              </w:rPr>
              <w:t> </w:t>
            </w:r>
            <w:r w:rsidR="003F377D" w:rsidRPr="005E1F1F">
              <w:rPr>
                <w:color w:val="000000"/>
                <w:sz w:val="18"/>
                <w:szCs w:val="18"/>
                <w:lang w:val="de-DE"/>
              </w:rPr>
              <w:t>Beobachterorganisationen</w:t>
            </w:r>
            <w:r w:rsidRPr="005E1F1F">
              <w:rPr>
                <w:color w:val="000000"/>
                <w:sz w:val="18"/>
                <w:szCs w:val="18"/>
                <w:lang w:val="de-DE"/>
              </w:rPr>
              <w:t xml:space="preserve"> (orgs)</w:t>
            </w:r>
            <w:r w:rsidR="00E35033">
              <w:rPr>
                <w:color w:val="000000"/>
                <w:sz w:val="18"/>
                <w:szCs w:val="18"/>
                <w:lang w:val="de-DE"/>
              </w:rPr>
              <w:t xml:space="preserve"> nahmen </w:t>
            </w:r>
            <w:r w:rsidR="00D42197">
              <w:rPr>
                <w:color w:val="000000"/>
                <w:sz w:val="18"/>
                <w:szCs w:val="18"/>
                <w:lang w:val="de-DE"/>
              </w:rPr>
              <w:t xml:space="preserve">wie folgt </w:t>
            </w:r>
            <w:r w:rsidR="00E35033">
              <w:rPr>
                <w:color w:val="000000"/>
                <w:sz w:val="18"/>
                <w:szCs w:val="18"/>
                <w:lang w:val="de-DE"/>
              </w:rPr>
              <w:t>an den</w:t>
            </w:r>
            <w:r w:rsidRPr="005E1F1F">
              <w:rPr>
                <w:color w:val="000000"/>
                <w:sz w:val="18"/>
                <w:szCs w:val="18"/>
                <w:lang w:val="de-DE"/>
              </w:rPr>
              <w:t xml:space="preserve"> </w:t>
            </w:r>
            <w:r w:rsidR="00E35033">
              <w:rPr>
                <w:color w:val="000000"/>
                <w:sz w:val="18"/>
                <w:szCs w:val="18"/>
                <w:lang w:val="de-DE"/>
              </w:rPr>
              <w:t>vorbereitenden Arbeitstagungen</w:t>
            </w:r>
            <w:r w:rsidRPr="005E1F1F">
              <w:rPr>
                <w:color w:val="000000"/>
                <w:sz w:val="18"/>
                <w:szCs w:val="18"/>
                <w:lang w:val="de-DE"/>
              </w:rPr>
              <w:t xml:space="preserve"> </w:t>
            </w:r>
            <w:r w:rsidR="00E35033">
              <w:rPr>
                <w:color w:val="000000"/>
                <w:sz w:val="18"/>
                <w:szCs w:val="18"/>
                <w:lang w:val="de-DE"/>
              </w:rPr>
              <w:t>teil</w:t>
            </w:r>
            <w:r w:rsidRPr="005E1F1F">
              <w:rPr>
                <w:color w:val="000000"/>
                <w:sz w:val="18"/>
                <w:szCs w:val="18"/>
                <w:lang w:val="de-DE"/>
              </w:rPr>
              <w:t>:</w:t>
            </w:r>
          </w:p>
          <w:p w:rsidR="00193BEB" w:rsidRPr="003F377D" w:rsidRDefault="00193BEB" w:rsidP="00193BEB">
            <w:pPr>
              <w:ind w:left="1168" w:hanging="601"/>
              <w:jc w:val="left"/>
              <w:rPr>
                <w:color w:val="000000"/>
                <w:sz w:val="18"/>
                <w:szCs w:val="18"/>
                <w:lang w:val="de-DE"/>
              </w:rPr>
            </w:pPr>
            <w:r w:rsidRPr="003F377D">
              <w:rPr>
                <w:color w:val="000000"/>
                <w:sz w:val="18"/>
                <w:szCs w:val="18"/>
                <w:lang w:val="de-DE"/>
              </w:rPr>
              <w:t>TWA:</w:t>
            </w:r>
            <w:r w:rsidRPr="003F377D">
              <w:rPr>
                <w:color w:val="000000"/>
                <w:sz w:val="18"/>
                <w:szCs w:val="18"/>
                <w:lang w:val="de-DE"/>
              </w:rPr>
              <w:tab/>
            </w:r>
            <w:r w:rsidR="00155A9D" w:rsidRPr="003F377D">
              <w:rPr>
                <w:color w:val="000000"/>
                <w:sz w:val="18"/>
                <w:szCs w:val="18"/>
                <w:lang w:val="de-DE"/>
              </w:rPr>
              <w:t xml:space="preserve">14 </w:t>
            </w:r>
            <w:r w:rsidR="005E1F1F">
              <w:rPr>
                <w:color w:val="000000"/>
                <w:sz w:val="18"/>
                <w:szCs w:val="18"/>
                <w:lang w:val="de-DE"/>
              </w:rPr>
              <w:t>Mitglieder</w:t>
            </w:r>
            <w:r w:rsidR="00155A9D" w:rsidRPr="003F377D">
              <w:rPr>
                <w:color w:val="000000"/>
                <w:sz w:val="18"/>
                <w:szCs w:val="18"/>
                <w:lang w:val="de-DE"/>
              </w:rPr>
              <w:t xml:space="preserve"> (20 </w:t>
            </w:r>
            <w:r w:rsidR="003F377D" w:rsidRPr="003F377D">
              <w:rPr>
                <w:color w:val="000000"/>
                <w:sz w:val="18"/>
                <w:szCs w:val="18"/>
                <w:lang w:val="de-DE"/>
              </w:rPr>
              <w:t>Teilnehmer</w:t>
            </w:r>
            <w:r w:rsidR="00155A9D" w:rsidRPr="003F377D">
              <w:rPr>
                <w:color w:val="000000"/>
                <w:sz w:val="18"/>
                <w:szCs w:val="18"/>
                <w:lang w:val="de-DE"/>
              </w:rPr>
              <w:t>)</w:t>
            </w:r>
            <w:r w:rsidRPr="003F377D">
              <w:rPr>
                <w:color w:val="000000"/>
                <w:sz w:val="18"/>
                <w:szCs w:val="18"/>
                <w:lang w:val="de-DE"/>
              </w:rPr>
              <w:t xml:space="preserve"> </w:t>
            </w:r>
            <w:r w:rsidR="00B742C5" w:rsidRPr="003F377D">
              <w:rPr>
                <w:color w:val="000000"/>
                <w:sz w:val="18"/>
                <w:szCs w:val="18"/>
                <w:lang w:val="de-DE"/>
              </w:rPr>
              <w:t>/ 0 obs (0) / 0 org (0)</w:t>
            </w:r>
          </w:p>
          <w:p w:rsidR="00193BEB" w:rsidRPr="003F377D" w:rsidRDefault="00D26CA4" w:rsidP="00193BEB">
            <w:pPr>
              <w:ind w:left="1168" w:hanging="601"/>
              <w:jc w:val="left"/>
              <w:rPr>
                <w:color w:val="000000"/>
                <w:sz w:val="18"/>
                <w:szCs w:val="18"/>
                <w:lang w:val="de-DE"/>
              </w:rPr>
            </w:pPr>
            <w:r w:rsidRPr="003F377D">
              <w:rPr>
                <w:color w:val="000000"/>
                <w:sz w:val="18"/>
                <w:szCs w:val="18"/>
                <w:lang w:val="de-DE"/>
              </w:rPr>
              <w:t>TWC:</w:t>
            </w:r>
            <w:r w:rsidRPr="003F377D">
              <w:rPr>
                <w:color w:val="000000"/>
                <w:sz w:val="18"/>
                <w:szCs w:val="18"/>
                <w:lang w:val="de-DE"/>
              </w:rPr>
              <w:tab/>
            </w:r>
            <w:r w:rsidR="00155A9D" w:rsidRPr="003F377D">
              <w:rPr>
                <w:color w:val="000000"/>
                <w:sz w:val="18"/>
                <w:szCs w:val="18"/>
                <w:lang w:val="de-DE"/>
              </w:rPr>
              <w:t xml:space="preserve">  7 </w:t>
            </w:r>
            <w:r w:rsidR="005E1F1F">
              <w:rPr>
                <w:color w:val="000000"/>
                <w:sz w:val="18"/>
                <w:szCs w:val="18"/>
                <w:lang w:val="de-DE"/>
              </w:rPr>
              <w:t>Mitglieder</w:t>
            </w:r>
            <w:r w:rsidR="00155A9D" w:rsidRPr="003F377D">
              <w:rPr>
                <w:color w:val="000000"/>
                <w:sz w:val="18"/>
                <w:szCs w:val="18"/>
                <w:lang w:val="de-DE"/>
              </w:rPr>
              <w:t xml:space="preserve"> (24 </w:t>
            </w:r>
            <w:r w:rsidR="003F377D" w:rsidRPr="003F377D">
              <w:rPr>
                <w:color w:val="000000"/>
                <w:sz w:val="18"/>
                <w:szCs w:val="18"/>
                <w:lang w:val="de-DE"/>
              </w:rPr>
              <w:t>Teilnehmer</w:t>
            </w:r>
            <w:r w:rsidR="00155A9D" w:rsidRPr="003F377D">
              <w:rPr>
                <w:color w:val="000000"/>
                <w:sz w:val="18"/>
                <w:szCs w:val="18"/>
                <w:lang w:val="de-DE"/>
              </w:rPr>
              <w:t>)</w:t>
            </w:r>
            <w:r w:rsidR="00B742C5" w:rsidRPr="003F377D">
              <w:rPr>
                <w:color w:val="000000"/>
                <w:sz w:val="18"/>
                <w:szCs w:val="18"/>
                <w:lang w:val="de-DE"/>
              </w:rPr>
              <w:t xml:space="preserve"> / 0 obs (0) / 0 org (0)</w:t>
            </w:r>
          </w:p>
          <w:p w:rsidR="00193BEB" w:rsidRPr="003F377D" w:rsidRDefault="00193BEB" w:rsidP="00193BEB">
            <w:pPr>
              <w:ind w:left="1168" w:hanging="601"/>
              <w:jc w:val="left"/>
              <w:rPr>
                <w:color w:val="000000"/>
                <w:sz w:val="18"/>
                <w:szCs w:val="18"/>
                <w:lang w:val="de-DE"/>
              </w:rPr>
            </w:pPr>
            <w:r w:rsidRPr="003F377D">
              <w:rPr>
                <w:color w:val="000000"/>
                <w:sz w:val="18"/>
                <w:szCs w:val="18"/>
                <w:lang w:val="de-DE"/>
              </w:rPr>
              <w:t>TWF:</w:t>
            </w:r>
            <w:r w:rsidRPr="003F377D">
              <w:rPr>
                <w:color w:val="000000"/>
                <w:sz w:val="18"/>
                <w:szCs w:val="18"/>
                <w:lang w:val="de-DE"/>
              </w:rPr>
              <w:tab/>
            </w:r>
            <w:r w:rsidR="00155A9D" w:rsidRPr="003F377D">
              <w:rPr>
                <w:color w:val="000000"/>
                <w:sz w:val="18"/>
                <w:szCs w:val="18"/>
                <w:lang w:val="de-DE"/>
              </w:rPr>
              <w:t xml:space="preserve">  9 </w:t>
            </w:r>
            <w:r w:rsidR="005E1F1F">
              <w:rPr>
                <w:color w:val="000000"/>
                <w:sz w:val="18"/>
                <w:szCs w:val="18"/>
                <w:lang w:val="de-DE"/>
              </w:rPr>
              <w:t>Mitglieder</w:t>
            </w:r>
            <w:r w:rsidR="00155A9D" w:rsidRPr="003F377D">
              <w:rPr>
                <w:color w:val="000000"/>
                <w:sz w:val="18"/>
                <w:szCs w:val="18"/>
                <w:lang w:val="de-DE"/>
              </w:rPr>
              <w:t xml:space="preserve"> (25 </w:t>
            </w:r>
            <w:r w:rsidR="003F377D" w:rsidRPr="003F377D">
              <w:rPr>
                <w:color w:val="000000"/>
                <w:sz w:val="18"/>
                <w:szCs w:val="18"/>
                <w:lang w:val="de-DE"/>
              </w:rPr>
              <w:t>Teilnehmer</w:t>
            </w:r>
            <w:r w:rsidR="00155A9D" w:rsidRPr="003F377D">
              <w:rPr>
                <w:color w:val="000000"/>
                <w:sz w:val="18"/>
                <w:szCs w:val="18"/>
                <w:lang w:val="de-DE"/>
              </w:rPr>
              <w:t xml:space="preserve">) </w:t>
            </w:r>
            <w:r w:rsidR="00B742C5" w:rsidRPr="003F377D">
              <w:rPr>
                <w:color w:val="000000"/>
                <w:sz w:val="18"/>
                <w:szCs w:val="18"/>
                <w:lang w:val="de-DE"/>
              </w:rPr>
              <w:t>/ 3 obs (3)</w:t>
            </w:r>
            <w:r w:rsidR="00983543" w:rsidRPr="003F377D">
              <w:rPr>
                <w:color w:val="000000"/>
                <w:sz w:val="18"/>
                <w:szCs w:val="18"/>
                <w:lang w:val="de-DE"/>
              </w:rPr>
              <w:t xml:space="preserve"> / 0 org (0)</w:t>
            </w:r>
          </w:p>
          <w:p w:rsidR="00193BEB" w:rsidRPr="005E1F1F" w:rsidRDefault="00D26CA4" w:rsidP="00193BEB">
            <w:pPr>
              <w:ind w:left="1168" w:hanging="601"/>
              <w:jc w:val="left"/>
              <w:rPr>
                <w:color w:val="000000"/>
                <w:sz w:val="18"/>
                <w:szCs w:val="18"/>
                <w:lang w:val="de-DE"/>
              </w:rPr>
            </w:pPr>
            <w:r w:rsidRPr="005E1F1F">
              <w:rPr>
                <w:color w:val="000000"/>
                <w:sz w:val="18"/>
                <w:szCs w:val="18"/>
                <w:lang w:val="de-DE"/>
              </w:rPr>
              <w:t>TWO:</w:t>
            </w:r>
            <w:r w:rsidRPr="005E1F1F">
              <w:rPr>
                <w:color w:val="000000"/>
                <w:sz w:val="18"/>
                <w:szCs w:val="18"/>
                <w:lang w:val="de-DE"/>
              </w:rPr>
              <w:tab/>
            </w:r>
            <w:r w:rsidR="00155A9D" w:rsidRPr="005E1F1F">
              <w:rPr>
                <w:color w:val="000000"/>
                <w:sz w:val="18"/>
                <w:szCs w:val="18"/>
                <w:lang w:val="de-DE"/>
              </w:rPr>
              <w:t xml:space="preserve">11 </w:t>
            </w:r>
            <w:r w:rsidR="005E1F1F" w:rsidRPr="005E1F1F">
              <w:rPr>
                <w:color w:val="000000"/>
                <w:sz w:val="18"/>
                <w:szCs w:val="18"/>
                <w:lang w:val="de-DE"/>
              </w:rPr>
              <w:t>Mitglieder</w:t>
            </w:r>
            <w:r w:rsidR="00155A9D" w:rsidRPr="005E1F1F">
              <w:rPr>
                <w:color w:val="000000"/>
                <w:sz w:val="18"/>
                <w:szCs w:val="18"/>
                <w:lang w:val="de-DE"/>
              </w:rPr>
              <w:t xml:space="preserve"> (28 </w:t>
            </w:r>
            <w:r w:rsidR="003F377D" w:rsidRPr="005E1F1F">
              <w:rPr>
                <w:color w:val="000000"/>
                <w:sz w:val="18"/>
                <w:szCs w:val="18"/>
                <w:lang w:val="de-DE"/>
              </w:rPr>
              <w:t>Teilnehmer</w:t>
            </w:r>
            <w:r w:rsidR="00155A9D" w:rsidRPr="005E1F1F">
              <w:rPr>
                <w:color w:val="000000"/>
                <w:sz w:val="18"/>
                <w:szCs w:val="18"/>
                <w:lang w:val="de-DE"/>
              </w:rPr>
              <w:t xml:space="preserve">) </w:t>
            </w:r>
            <w:r w:rsidR="00B742C5" w:rsidRPr="005E1F1F">
              <w:rPr>
                <w:color w:val="000000"/>
                <w:sz w:val="18"/>
                <w:szCs w:val="18"/>
                <w:lang w:val="de-DE"/>
              </w:rPr>
              <w:t xml:space="preserve">/ 4 obs (5) </w:t>
            </w:r>
            <w:r w:rsidR="00155A9D" w:rsidRPr="005E1F1F">
              <w:rPr>
                <w:color w:val="000000"/>
                <w:sz w:val="18"/>
                <w:szCs w:val="18"/>
                <w:lang w:val="de-DE"/>
              </w:rPr>
              <w:t xml:space="preserve">/ </w:t>
            </w:r>
            <w:r w:rsidR="00B742C5" w:rsidRPr="005E1F1F">
              <w:rPr>
                <w:color w:val="000000"/>
                <w:sz w:val="18"/>
                <w:szCs w:val="18"/>
                <w:lang w:val="de-DE"/>
              </w:rPr>
              <w:t>1</w:t>
            </w:r>
            <w:r w:rsidR="00155A9D" w:rsidRPr="005E1F1F">
              <w:rPr>
                <w:color w:val="000000"/>
                <w:sz w:val="18"/>
                <w:szCs w:val="18"/>
                <w:lang w:val="de-DE"/>
              </w:rPr>
              <w:t xml:space="preserve"> org (</w:t>
            </w:r>
            <w:r w:rsidR="00B742C5" w:rsidRPr="005E1F1F">
              <w:rPr>
                <w:color w:val="000000"/>
                <w:sz w:val="18"/>
                <w:szCs w:val="18"/>
                <w:lang w:val="de-DE"/>
              </w:rPr>
              <w:t>1</w:t>
            </w:r>
            <w:r w:rsidR="00155A9D" w:rsidRPr="005E1F1F">
              <w:rPr>
                <w:color w:val="000000"/>
                <w:sz w:val="18"/>
                <w:szCs w:val="18"/>
                <w:lang w:val="de-DE"/>
              </w:rPr>
              <w:t>)</w:t>
            </w:r>
          </w:p>
          <w:p w:rsidR="00AA5E43" w:rsidRPr="003F377D" w:rsidRDefault="00D26CA4" w:rsidP="00BE0094">
            <w:pPr>
              <w:ind w:left="1168" w:hanging="601"/>
              <w:jc w:val="left"/>
              <w:rPr>
                <w:color w:val="000000"/>
                <w:sz w:val="18"/>
                <w:szCs w:val="18"/>
                <w:lang w:val="de-DE"/>
              </w:rPr>
            </w:pPr>
            <w:r w:rsidRPr="003F377D">
              <w:rPr>
                <w:color w:val="000000"/>
                <w:sz w:val="18"/>
                <w:szCs w:val="18"/>
                <w:lang w:val="de-DE"/>
              </w:rPr>
              <w:t>TWV:</w:t>
            </w:r>
            <w:r w:rsidRPr="003F377D">
              <w:rPr>
                <w:color w:val="000000"/>
                <w:sz w:val="18"/>
                <w:szCs w:val="18"/>
                <w:lang w:val="de-DE"/>
              </w:rPr>
              <w:tab/>
            </w:r>
            <w:r w:rsidR="00155A9D" w:rsidRPr="003F377D">
              <w:rPr>
                <w:color w:val="000000"/>
                <w:sz w:val="18"/>
                <w:szCs w:val="18"/>
                <w:lang w:val="de-DE"/>
              </w:rPr>
              <w:t xml:space="preserve">  7 </w:t>
            </w:r>
            <w:r w:rsidR="005E1F1F">
              <w:rPr>
                <w:color w:val="000000"/>
                <w:sz w:val="18"/>
                <w:szCs w:val="18"/>
                <w:lang w:val="de-DE"/>
              </w:rPr>
              <w:t>Mitglieder</w:t>
            </w:r>
            <w:r w:rsidR="00155A9D" w:rsidRPr="003F377D">
              <w:rPr>
                <w:color w:val="000000"/>
                <w:sz w:val="18"/>
                <w:szCs w:val="18"/>
                <w:lang w:val="de-DE"/>
              </w:rPr>
              <w:t xml:space="preserve"> (14 </w:t>
            </w:r>
            <w:r w:rsidR="003F377D" w:rsidRPr="003F377D">
              <w:rPr>
                <w:color w:val="000000"/>
                <w:sz w:val="18"/>
                <w:szCs w:val="18"/>
                <w:lang w:val="de-DE"/>
              </w:rPr>
              <w:t>Teilnehmer</w:t>
            </w:r>
            <w:r w:rsidR="00155A9D" w:rsidRPr="003F377D">
              <w:rPr>
                <w:color w:val="000000"/>
                <w:sz w:val="18"/>
                <w:szCs w:val="18"/>
                <w:lang w:val="de-DE"/>
              </w:rPr>
              <w:t xml:space="preserve">) / </w:t>
            </w:r>
            <w:r w:rsidR="00983543" w:rsidRPr="003F377D">
              <w:rPr>
                <w:color w:val="000000"/>
                <w:sz w:val="18"/>
                <w:szCs w:val="18"/>
                <w:lang w:val="de-DE"/>
              </w:rPr>
              <w:t xml:space="preserve">0 obs (0) / </w:t>
            </w:r>
            <w:r w:rsidR="00155A9D" w:rsidRPr="003F377D">
              <w:rPr>
                <w:color w:val="000000"/>
                <w:sz w:val="18"/>
                <w:szCs w:val="18"/>
                <w:lang w:val="de-DE"/>
              </w:rPr>
              <w:t>1 org (1)</w:t>
            </w:r>
          </w:p>
        </w:tc>
      </w:tr>
    </w:tbl>
    <w:p w:rsidR="00BE0094" w:rsidRPr="003F377D" w:rsidRDefault="00BE0094">
      <w:pPr>
        <w:rPr>
          <w:lang w:val="de-DE"/>
        </w:rPr>
      </w:pPr>
    </w:p>
    <w:p w:rsidR="00BE0094" w:rsidRPr="003F377D" w:rsidRDefault="00BE0094">
      <w:pPr>
        <w:rPr>
          <w:lang w:val="de-DE"/>
        </w:rPr>
      </w:pPr>
    </w:p>
    <w:tbl>
      <w:tblPr>
        <w:tblW w:w="9889" w:type="dxa"/>
        <w:tblLayout w:type="fixed"/>
        <w:tblLook w:val="0000" w:firstRow="0" w:lastRow="0" w:firstColumn="0" w:lastColumn="0" w:noHBand="0" w:noVBand="0"/>
      </w:tblPr>
      <w:tblGrid>
        <w:gridCol w:w="2093"/>
        <w:gridCol w:w="7796"/>
      </w:tblGrid>
      <w:tr w:rsidR="00E5359F" w:rsidRPr="00DE5DFD" w:rsidTr="002874C7">
        <w:tc>
          <w:tcPr>
            <w:tcW w:w="2093" w:type="dxa"/>
            <w:shd w:val="clear" w:color="auto" w:fill="auto"/>
          </w:tcPr>
          <w:p w:rsidR="00E5359F" w:rsidRPr="00733878" w:rsidRDefault="00E5359F" w:rsidP="00114294">
            <w:pPr>
              <w:pStyle w:val="Heading6"/>
              <w:rPr>
                <w:lang w:val="de-DE"/>
              </w:rPr>
            </w:pPr>
            <w:bookmarkStart w:id="136" w:name="_Toc368400560"/>
            <w:r w:rsidRPr="00733878">
              <w:rPr>
                <w:lang w:val="de-DE"/>
              </w:rPr>
              <w:t>5.  </w:t>
            </w:r>
            <w:r w:rsidR="00733878" w:rsidRPr="00733878">
              <w:rPr>
                <w:color w:val="000000"/>
                <w:lang w:val="de-DE"/>
              </w:rPr>
              <w:t>UPOV-Dokumente und Materialien in zusätzlichen Sprachen</w:t>
            </w:r>
            <w:bookmarkEnd w:id="136"/>
          </w:p>
        </w:tc>
        <w:tc>
          <w:tcPr>
            <w:tcW w:w="7796" w:type="dxa"/>
            <w:shd w:val="clear" w:color="auto" w:fill="auto"/>
          </w:tcPr>
          <w:p w:rsidR="00E5359F" w:rsidRPr="00733878" w:rsidRDefault="00E163EA" w:rsidP="00D560BF">
            <w:pPr>
              <w:pStyle w:val="Heading8"/>
              <w:rPr>
                <w:szCs w:val="18"/>
                <w:lang w:val="de-DE"/>
              </w:rPr>
            </w:pPr>
            <w:bookmarkStart w:id="137" w:name="_Toc368400561"/>
            <w:r w:rsidRPr="00733878">
              <w:rPr>
                <w:szCs w:val="18"/>
                <w:lang w:val="de-DE"/>
              </w:rPr>
              <w:t>(a)</w:t>
            </w:r>
            <w:r w:rsidR="009336F5" w:rsidRPr="00733878">
              <w:rPr>
                <w:szCs w:val="18"/>
                <w:lang w:val="de-DE"/>
              </w:rPr>
              <w:t xml:space="preserve">  </w:t>
            </w:r>
            <w:r w:rsidR="00733878" w:rsidRPr="00733878">
              <w:rPr>
                <w:color w:val="000000"/>
                <w:lang w:val="de-DE"/>
              </w:rPr>
              <w:t>Verfügbarkeit von UPOV-Dokumenten und Materialien in zusätzlichen Sprachen zu den Sprachen der UPOV (Englisch, Französisch, Deutsch und Spanisch</w:t>
            </w:r>
            <w:r w:rsidR="00E5359F" w:rsidRPr="00733878">
              <w:rPr>
                <w:szCs w:val="18"/>
                <w:lang w:val="de-DE"/>
              </w:rPr>
              <w:t>)</w:t>
            </w:r>
            <w:bookmarkEnd w:id="137"/>
          </w:p>
          <w:p w:rsidR="00D76D72" w:rsidRPr="00733878" w:rsidRDefault="00733878" w:rsidP="001B7644">
            <w:pPr>
              <w:pStyle w:val="ListParagraph"/>
              <w:numPr>
                <w:ilvl w:val="0"/>
                <w:numId w:val="44"/>
              </w:numPr>
              <w:rPr>
                <w:sz w:val="18"/>
                <w:szCs w:val="18"/>
                <w:lang w:val="de-DE"/>
              </w:rPr>
            </w:pPr>
            <w:r w:rsidRPr="00733878">
              <w:rPr>
                <w:sz w:val="18"/>
                <w:szCs w:val="18"/>
                <w:lang w:val="de-DE"/>
              </w:rPr>
              <w:t xml:space="preserve">Die Akte von </w:t>
            </w:r>
            <w:r w:rsidR="00424441" w:rsidRPr="00733878">
              <w:rPr>
                <w:sz w:val="18"/>
                <w:szCs w:val="18"/>
                <w:lang w:val="de-DE"/>
              </w:rPr>
              <w:t xml:space="preserve">1991 </w:t>
            </w:r>
            <w:r w:rsidRPr="00733878">
              <w:rPr>
                <w:sz w:val="18"/>
                <w:szCs w:val="18"/>
                <w:lang w:val="de-DE"/>
              </w:rPr>
              <w:t>des</w:t>
            </w:r>
            <w:r w:rsidR="00424441" w:rsidRPr="00733878">
              <w:rPr>
                <w:sz w:val="18"/>
                <w:szCs w:val="18"/>
                <w:lang w:val="de-DE"/>
              </w:rPr>
              <w:t xml:space="preserve"> </w:t>
            </w:r>
            <w:r w:rsidR="00444961" w:rsidRPr="00733878">
              <w:rPr>
                <w:sz w:val="18"/>
                <w:szCs w:val="18"/>
                <w:lang w:val="de-DE"/>
              </w:rPr>
              <w:t>UPOV-Übereinkommen</w:t>
            </w:r>
            <w:r w:rsidRPr="00733878">
              <w:rPr>
                <w:sz w:val="18"/>
                <w:szCs w:val="18"/>
                <w:lang w:val="de-DE"/>
              </w:rPr>
              <w:t>s</w:t>
            </w:r>
            <w:r>
              <w:rPr>
                <w:sz w:val="18"/>
                <w:szCs w:val="18"/>
                <w:lang w:val="de-DE"/>
              </w:rPr>
              <w:t xml:space="preserve"> wurde </w:t>
            </w:r>
            <w:r w:rsidR="001B7644">
              <w:rPr>
                <w:sz w:val="18"/>
                <w:szCs w:val="18"/>
                <w:lang w:val="de-DE"/>
              </w:rPr>
              <w:t>ins</w:t>
            </w:r>
            <w:r>
              <w:rPr>
                <w:sz w:val="18"/>
                <w:szCs w:val="18"/>
                <w:lang w:val="de-DE"/>
              </w:rPr>
              <w:t xml:space="preserve"> </w:t>
            </w:r>
            <w:r w:rsidR="000C3124" w:rsidRPr="00733878">
              <w:rPr>
                <w:sz w:val="18"/>
                <w:szCs w:val="18"/>
                <w:lang w:val="de-DE"/>
              </w:rPr>
              <w:t>Khmer</w:t>
            </w:r>
            <w:r w:rsidR="003F377D" w:rsidRPr="00733878">
              <w:rPr>
                <w:sz w:val="18"/>
                <w:szCs w:val="18"/>
                <w:lang w:val="de-DE"/>
              </w:rPr>
              <w:t xml:space="preserve"> und </w:t>
            </w:r>
            <w:r w:rsidR="00C0793E">
              <w:rPr>
                <w:sz w:val="18"/>
                <w:szCs w:val="18"/>
                <w:lang w:val="de-DE"/>
              </w:rPr>
              <w:t xml:space="preserve">ins </w:t>
            </w:r>
            <w:r w:rsidR="000C3124" w:rsidRPr="00733878">
              <w:rPr>
                <w:sz w:val="18"/>
                <w:szCs w:val="18"/>
                <w:lang w:val="de-DE"/>
              </w:rPr>
              <w:t>Serbi</w:t>
            </w:r>
            <w:r>
              <w:rPr>
                <w:sz w:val="18"/>
                <w:szCs w:val="18"/>
                <w:lang w:val="de-DE"/>
              </w:rPr>
              <w:t>sch</w:t>
            </w:r>
            <w:r w:rsidR="001B7644">
              <w:rPr>
                <w:sz w:val="18"/>
                <w:szCs w:val="18"/>
                <w:lang w:val="de-DE"/>
              </w:rPr>
              <w:t>e</w:t>
            </w:r>
            <w:r>
              <w:rPr>
                <w:sz w:val="18"/>
                <w:szCs w:val="18"/>
                <w:lang w:val="de-DE"/>
              </w:rPr>
              <w:t xml:space="preserve"> übersetzt</w:t>
            </w:r>
            <w:r w:rsidR="00D76D72" w:rsidRPr="00733878">
              <w:rPr>
                <w:sz w:val="18"/>
                <w:szCs w:val="18"/>
                <w:lang w:val="de-DE"/>
              </w:rPr>
              <w:t xml:space="preserve">. </w:t>
            </w:r>
            <w:r w:rsidRPr="00733878">
              <w:rPr>
                <w:sz w:val="18"/>
                <w:szCs w:val="18"/>
                <w:lang w:val="de-DE"/>
              </w:rPr>
              <w:t>Die Übersetzungen werden im Jahr 2013 auf d</w:t>
            </w:r>
            <w:r>
              <w:rPr>
                <w:sz w:val="18"/>
                <w:szCs w:val="18"/>
                <w:lang w:val="de-DE"/>
              </w:rPr>
              <w:t>er</w:t>
            </w:r>
            <w:r w:rsidR="00D76D72" w:rsidRPr="00733878">
              <w:rPr>
                <w:sz w:val="18"/>
                <w:szCs w:val="18"/>
                <w:lang w:val="de-DE"/>
              </w:rPr>
              <w:t xml:space="preserve"> UPOV</w:t>
            </w:r>
            <w:r>
              <w:rPr>
                <w:sz w:val="18"/>
                <w:szCs w:val="18"/>
                <w:lang w:val="de-DE"/>
              </w:rPr>
              <w:t>-W</w:t>
            </w:r>
            <w:r w:rsidR="00D76D72" w:rsidRPr="00733878">
              <w:rPr>
                <w:sz w:val="18"/>
                <w:szCs w:val="18"/>
                <w:lang w:val="de-DE"/>
              </w:rPr>
              <w:t xml:space="preserve">ebsite </w:t>
            </w:r>
            <w:r>
              <w:rPr>
                <w:sz w:val="18"/>
                <w:szCs w:val="18"/>
                <w:lang w:val="de-DE"/>
              </w:rPr>
              <w:t>veröffentlicht</w:t>
            </w:r>
            <w:r w:rsidR="00D76D72" w:rsidRPr="00733878">
              <w:rPr>
                <w:sz w:val="18"/>
                <w:szCs w:val="18"/>
                <w:lang w:val="de-DE"/>
              </w:rPr>
              <w:t>.</w:t>
            </w:r>
          </w:p>
          <w:p w:rsidR="00424441" w:rsidRPr="00733878" w:rsidRDefault="00424441" w:rsidP="00DE50BD">
            <w:pPr>
              <w:rPr>
                <w:sz w:val="18"/>
                <w:szCs w:val="18"/>
                <w:lang w:val="de-DE"/>
              </w:rPr>
            </w:pPr>
          </w:p>
        </w:tc>
      </w:tr>
    </w:tbl>
    <w:p w:rsidR="00C74C0E" w:rsidRPr="00733878" w:rsidRDefault="00C74C0E" w:rsidP="00C74C0E">
      <w:pPr>
        <w:rPr>
          <w:sz w:val="18"/>
          <w:szCs w:val="18"/>
          <w:lang w:val="de-DE"/>
        </w:rPr>
      </w:pPr>
    </w:p>
    <w:p w:rsidR="00C74C0E" w:rsidRPr="00733878" w:rsidRDefault="00C74C0E" w:rsidP="00C74C0E">
      <w:pPr>
        <w:rPr>
          <w:sz w:val="18"/>
          <w:szCs w:val="18"/>
          <w:lang w:val="de-DE"/>
        </w:rPr>
      </w:pPr>
    </w:p>
    <w:tbl>
      <w:tblPr>
        <w:tblW w:w="9889" w:type="dxa"/>
        <w:tblLayout w:type="fixed"/>
        <w:tblLook w:val="0000" w:firstRow="0" w:lastRow="0" w:firstColumn="0" w:lastColumn="0" w:noHBand="0" w:noVBand="0"/>
      </w:tblPr>
      <w:tblGrid>
        <w:gridCol w:w="2093"/>
        <w:gridCol w:w="7796"/>
      </w:tblGrid>
      <w:tr w:rsidR="00894F4F" w:rsidRPr="006054BD" w:rsidTr="00062A4B">
        <w:tc>
          <w:tcPr>
            <w:tcW w:w="2093" w:type="dxa"/>
            <w:shd w:val="clear" w:color="auto" w:fill="auto"/>
          </w:tcPr>
          <w:p w:rsidR="00894F4F" w:rsidRPr="00C44D84" w:rsidRDefault="00894F4F" w:rsidP="00062A4B">
            <w:pPr>
              <w:keepNext/>
              <w:spacing w:after="240"/>
              <w:rPr>
                <w:b/>
                <w:sz w:val="18"/>
                <w:szCs w:val="18"/>
              </w:rPr>
            </w:pPr>
            <w:r w:rsidRPr="00C44D84">
              <w:rPr>
                <w:b/>
                <w:sz w:val="18"/>
                <w:szCs w:val="18"/>
              </w:rPr>
              <w:t>Erwartete Ergebnisse</w:t>
            </w:r>
          </w:p>
        </w:tc>
        <w:tc>
          <w:tcPr>
            <w:tcW w:w="7796" w:type="dxa"/>
            <w:shd w:val="clear" w:color="auto" w:fill="auto"/>
          </w:tcPr>
          <w:p w:rsidR="00894F4F" w:rsidRPr="006054BD" w:rsidRDefault="00894F4F" w:rsidP="00062A4B">
            <w:pPr>
              <w:keepNext/>
              <w:spacing w:after="240"/>
              <w:rPr>
                <w:b/>
                <w:i/>
                <w:sz w:val="18"/>
                <w:szCs w:val="18"/>
              </w:rPr>
            </w:pPr>
            <w:r>
              <w:rPr>
                <w:b/>
                <w:sz w:val="18"/>
                <w:szCs w:val="18"/>
              </w:rPr>
              <w:t>Erzielte Ergebnisse</w:t>
            </w:r>
            <w:r w:rsidRPr="006054BD">
              <w:rPr>
                <w:b/>
                <w:sz w:val="18"/>
                <w:szCs w:val="18"/>
              </w:rPr>
              <w:t xml:space="preserve">:  </w:t>
            </w:r>
            <w:r>
              <w:rPr>
                <w:b/>
                <w:sz w:val="18"/>
                <w:szCs w:val="18"/>
              </w:rPr>
              <w:t>Ausgewählte Planerfüllungsindikatoren</w:t>
            </w:r>
          </w:p>
        </w:tc>
      </w:tr>
      <w:tr w:rsidR="00C74C0E" w:rsidRPr="00DE5DFD" w:rsidTr="00C8002B">
        <w:trPr>
          <w:cantSplit/>
        </w:trPr>
        <w:tc>
          <w:tcPr>
            <w:tcW w:w="2093" w:type="dxa"/>
          </w:tcPr>
          <w:p w:rsidR="00C74C0E" w:rsidRPr="00733878" w:rsidRDefault="00D560BF" w:rsidP="00114294">
            <w:pPr>
              <w:pStyle w:val="Heading6"/>
              <w:rPr>
                <w:lang w:val="de-DE"/>
              </w:rPr>
            </w:pPr>
            <w:bookmarkStart w:id="138" w:name="_Toc336339195"/>
            <w:bookmarkStart w:id="139" w:name="_Toc368400562"/>
            <w:r w:rsidRPr="00126859">
              <w:rPr>
                <w:lang w:val="de-DE"/>
              </w:rPr>
              <w:t>6</w:t>
            </w:r>
            <w:r w:rsidR="00C74C0E" w:rsidRPr="00126859">
              <w:rPr>
                <w:lang w:val="de-DE"/>
              </w:rPr>
              <w:t>.  </w:t>
            </w:r>
            <w:r w:rsidR="00733878" w:rsidRPr="00733878">
              <w:rPr>
                <w:color w:val="000000"/>
                <w:lang w:val="de-DE"/>
              </w:rPr>
              <w:t>Erleichterung der Anträge auf Erteilung von Züchterrechten</w:t>
            </w:r>
            <w:bookmarkEnd w:id="138"/>
            <w:bookmarkEnd w:id="139"/>
          </w:p>
        </w:tc>
        <w:tc>
          <w:tcPr>
            <w:tcW w:w="7796" w:type="dxa"/>
          </w:tcPr>
          <w:p w:rsidR="00686825" w:rsidRPr="00733878" w:rsidRDefault="00D76CC0" w:rsidP="00D42197">
            <w:pPr>
              <w:pStyle w:val="Heading8"/>
              <w:rPr>
                <w:lang w:val="de-DE"/>
              </w:rPr>
            </w:pPr>
            <w:bookmarkStart w:id="140" w:name="_Toc336339243"/>
            <w:bookmarkStart w:id="141" w:name="_Toc368400563"/>
            <w:r w:rsidRPr="00733878">
              <w:rPr>
                <w:lang w:val="de-DE"/>
              </w:rPr>
              <w:t xml:space="preserve">(a)  </w:t>
            </w:r>
            <w:r w:rsidR="00F123B8" w:rsidRPr="00733878">
              <w:rPr>
                <w:lang w:val="de-DE"/>
              </w:rPr>
              <w:t xml:space="preserve">Anzahl </w:t>
            </w:r>
            <w:r w:rsidR="00733878" w:rsidRPr="00733878">
              <w:rPr>
                <w:lang w:val="de-DE"/>
              </w:rPr>
              <w:t>Anträge auf Erteilung von Züchterrechten</w:t>
            </w:r>
            <w:bookmarkEnd w:id="140"/>
            <w:bookmarkEnd w:id="141"/>
            <w:r w:rsidR="00686825" w:rsidRPr="00733878">
              <w:rPr>
                <w:lang w:val="de-DE"/>
              </w:rPr>
              <w:t xml:space="preserve"> </w:t>
            </w:r>
          </w:p>
          <w:p w:rsidR="00686825" w:rsidRPr="00FE2376" w:rsidRDefault="00686825" w:rsidP="00733878">
            <w:pPr>
              <w:tabs>
                <w:tab w:val="left" w:pos="2410"/>
                <w:tab w:val="left" w:pos="4536"/>
                <w:tab w:val="left" w:pos="9072"/>
              </w:tabs>
              <w:jc w:val="left"/>
              <w:rPr>
                <w:color w:val="000000"/>
                <w:sz w:val="18"/>
                <w:szCs w:val="18"/>
                <w:lang w:val="de-DE"/>
              </w:rPr>
            </w:pPr>
            <w:r w:rsidRPr="00FE2376">
              <w:rPr>
                <w:color w:val="000000"/>
                <w:sz w:val="18"/>
                <w:szCs w:val="18"/>
                <w:lang w:val="de-DE"/>
              </w:rPr>
              <w:t>13</w:t>
            </w:r>
            <w:r w:rsidR="00733878">
              <w:rPr>
                <w:color w:val="000000"/>
                <w:sz w:val="18"/>
                <w:szCs w:val="18"/>
                <w:lang w:val="de-DE"/>
              </w:rPr>
              <w:t xml:space="preserve"> </w:t>
            </w:r>
            <w:r w:rsidRPr="00FE2376">
              <w:rPr>
                <w:color w:val="000000"/>
                <w:sz w:val="18"/>
                <w:szCs w:val="18"/>
                <w:lang w:val="de-DE"/>
              </w:rPr>
              <w:t xml:space="preserve">714 </w:t>
            </w:r>
            <w:r w:rsidR="00733878">
              <w:rPr>
                <w:color w:val="000000"/>
                <w:sz w:val="18"/>
                <w:szCs w:val="18"/>
                <w:lang w:val="de-DE"/>
              </w:rPr>
              <w:t>Anträge</w:t>
            </w:r>
            <w:r w:rsidRPr="00FE2376">
              <w:rPr>
                <w:color w:val="000000"/>
                <w:sz w:val="18"/>
                <w:szCs w:val="18"/>
                <w:lang w:val="de-DE"/>
              </w:rPr>
              <w:t xml:space="preserve"> </w:t>
            </w:r>
            <w:r w:rsidR="00733878">
              <w:rPr>
                <w:color w:val="000000"/>
                <w:sz w:val="18"/>
                <w:szCs w:val="18"/>
                <w:lang w:val="de-DE"/>
              </w:rPr>
              <w:t xml:space="preserve">bei </w:t>
            </w:r>
            <w:r w:rsidR="003F377D" w:rsidRPr="00FE2376">
              <w:rPr>
                <w:color w:val="000000"/>
                <w:sz w:val="18"/>
                <w:szCs w:val="18"/>
                <w:lang w:val="de-DE"/>
              </w:rPr>
              <w:t>Verbandsmitglieder</w:t>
            </w:r>
            <w:r w:rsidR="00733878">
              <w:rPr>
                <w:color w:val="000000"/>
                <w:sz w:val="18"/>
                <w:szCs w:val="18"/>
                <w:lang w:val="de-DE"/>
              </w:rPr>
              <w:t>n</w:t>
            </w:r>
            <w:r w:rsidRPr="00FE2376">
              <w:rPr>
                <w:color w:val="000000"/>
                <w:sz w:val="18"/>
                <w:szCs w:val="18"/>
                <w:lang w:val="de-DE"/>
              </w:rPr>
              <w:t xml:space="preserve"> </w:t>
            </w:r>
            <w:r w:rsidR="00C82180">
              <w:rPr>
                <w:color w:val="000000"/>
                <w:sz w:val="18"/>
                <w:szCs w:val="18"/>
                <w:lang w:val="de-DE"/>
              </w:rPr>
              <w:t>im Jahr 2011</w:t>
            </w:r>
            <w:r w:rsidRPr="00FE2376">
              <w:rPr>
                <w:color w:val="000000"/>
                <w:sz w:val="18"/>
                <w:szCs w:val="18"/>
                <w:lang w:val="de-DE"/>
              </w:rPr>
              <w:t xml:space="preserve"> (13</w:t>
            </w:r>
            <w:r w:rsidR="00C0793E">
              <w:rPr>
                <w:color w:val="000000"/>
                <w:sz w:val="18"/>
                <w:szCs w:val="18"/>
                <w:lang w:val="de-DE"/>
              </w:rPr>
              <w:t xml:space="preserve"> </w:t>
            </w:r>
            <w:r w:rsidR="00733878">
              <w:rPr>
                <w:color w:val="000000"/>
                <w:sz w:val="18"/>
                <w:szCs w:val="18"/>
                <w:lang w:val="de-DE"/>
              </w:rPr>
              <w:t xml:space="preserve">038  im Jahr 2010; 13 </w:t>
            </w:r>
            <w:r w:rsidR="00975801" w:rsidRPr="00FE2376">
              <w:rPr>
                <w:color w:val="000000"/>
                <w:sz w:val="18"/>
                <w:szCs w:val="18"/>
                <w:lang w:val="de-DE"/>
              </w:rPr>
              <w:t xml:space="preserve">022 </w:t>
            </w:r>
            <w:r w:rsidR="00733878">
              <w:rPr>
                <w:color w:val="000000"/>
                <w:sz w:val="18"/>
                <w:szCs w:val="18"/>
                <w:lang w:val="de-DE"/>
              </w:rPr>
              <w:t>im Jahr 2009</w:t>
            </w:r>
            <w:r w:rsidR="00975801" w:rsidRPr="00FE2376">
              <w:rPr>
                <w:color w:val="000000"/>
                <w:sz w:val="18"/>
                <w:szCs w:val="18"/>
                <w:lang w:val="de-DE"/>
              </w:rPr>
              <w:t xml:space="preserve">) </w:t>
            </w:r>
            <w:r w:rsidRPr="00FE2376">
              <w:rPr>
                <w:color w:val="000000"/>
                <w:sz w:val="18"/>
                <w:szCs w:val="18"/>
                <w:lang w:val="de-DE"/>
              </w:rPr>
              <w:t>(</w:t>
            </w:r>
            <w:r w:rsidR="00FE2376" w:rsidRPr="00FE2376">
              <w:rPr>
                <w:color w:val="000000"/>
                <w:sz w:val="18"/>
                <w:szCs w:val="18"/>
                <w:lang w:val="de-DE"/>
              </w:rPr>
              <w:t>vergleiche Dokument</w:t>
            </w:r>
            <w:r w:rsidRPr="00FE2376">
              <w:rPr>
                <w:color w:val="000000"/>
                <w:sz w:val="18"/>
                <w:szCs w:val="18"/>
                <w:lang w:val="de-DE"/>
              </w:rPr>
              <w:t xml:space="preserve"> C/46/7)</w:t>
            </w:r>
          </w:p>
          <w:p w:rsidR="00686825" w:rsidRPr="00FE2376" w:rsidRDefault="00686825" w:rsidP="00686825">
            <w:pPr>
              <w:tabs>
                <w:tab w:val="left" w:pos="2410"/>
                <w:tab w:val="left" w:pos="4536"/>
                <w:tab w:val="left" w:pos="9072"/>
              </w:tabs>
              <w:jc w:val="left"/>
              <w:rPr>
                <w:i/>
                <w:color w:val="000000"/>
                <w:sz w:val="18"/>
                <w:szCs w:val="18"/>
                <w:lang w:val="de-DE"/>
              </w:rPr>
            </w:pPr>
          </w:p>
          <w:p w:rsidR="00C74C0E" w:rsidRPr="00FE2376" w:rsidRDefault="00C74C0E" w:rsidP="00453C61">
            <w:pPr>
              <w:tabs>
                <w:tab w:val="left" w:pos="2410"/>
                <w:tab w:val="left" w:pos="4536"/>
                <w:tab w:val="left" w:pos="9072"/>
              </w:tabs>
              <w:jc w:val="left"/>
              <w:rPr>
                <w:color w:val="000000"/>
                <w:sz w:val="18"/>
                <w:szCs w:val="18"/>
                <w:lang w:val="de-DE"/>
              </w:rPr>
            </w:pPr>
          </w:p>
        </w:tc>
      </w:tr>
      <w:tr w:rsidR="00453C61" w:rsidRPr="006054BD" w:rsidTr="002874C7">
        <w:trPr>
          <w:cantSplit/>
        </w:trPr>
        <w:tc>
          <w:tcPr>
            <w:tcW w:w="2093" w:type="dxa"/>
          </w:tcPr>
          <w:p w:rsidR="00453C61" w:rsidRPr="00FE2376" w:rsidRDefault="00453C61" w:rsidP="0075479D">
            <w:pPr>
              <w:rPr>
                <w:sz w:val="18"/>
                <w:szCs w:val="18"/>
                <w:lang w:val="de-DE"/>
              </w:rPr>
            </w:pPr>
          </w:p>
        </w:tc>
        <w:tc>
          <w:tcPr>
            <w:tcW w:w="7796" w:type="dxa"/>
          </w:tcPr>
          <w:p w:rsidR="00453C61" w:rsidRPr="00C82180" w:rsidRDefault="00453C61" w:rsidP="00D42197">
            <w:pPr>
              <w:pStyle w:val="Heading8"/>
              <w:rPr>
                <w:szCs w:val="18"/>
                <w:lang w:val="de-DE"/>
              </w:rPr>
            </w:pPr>
            <w:bookmarkStart w:id="142" w:name="_Toc368400564"/>
            <w:r w:rsidRPr="00C82180">
              <w:rPr>
                <w:szCs w:val="18"/>
                <w:lang w:val="de-DE"/>
              </w:rPr>
              <w:t xml:space="preserve">(b)  </w:t>
            </w:r>
            <w:r w:rsidR="00733878" w:rsidRPr="00733878">
              <w:rPr>
                <w:color w:val="000000"/>
                <w:lang w:val="de-DE"/>
              </w:rPr>
              <w:t>Anzahl erteilte Schutztitel</w:t>
            </w:r>
            <w:bookmarkEnd w:id="142"/>
          </w:p>
          <w:p w:rsidR="00453C61" w:rsidRPr="00C82180" w:rsidRDefault="00453C61" w:rsidP="00D42197">
            <w:pPr>
              <w:tabs>
                <w:tab w:val="left" w:pos="2410"/>
                <w:tab w:val="left" w:pos="4536"/>
                <w:tab w:val="left" w:pos="9072"/>
              </w:tabs>
              <w:jc w:val="left"/>
              <w:rPr>
                <w:color w:val="000000"/>
                <w:sz w:val="18"/>
                <w:szCs w:val="18"/>
                <w:lang w:val="de-DE"/>
              </w:rPr>
            </w:pPr>
            <w:r w:rsidRPr="00C82180">
              <w:rPr>
                <w:color w:val="000000"/>
                <w:sz w:val="18"/>
                <w:szCs w:val="18"/>
                <w:lang w:val="de-DE"/>
              </w:rPr>
              <w:t>10</w:t>
            </w:r>
            <w:r w:rsidR="00733878">
              <w:rPr>
                <w:color w:val="000000"/>
                <w:sz w:val="18"/>
                <w:szCs w:val="18"/>
                <w:lang w:val="de-DE"/>
              </w:rPr>
              <w:t xml:space="preserve"> </w:t>
            </w:r>
            <w:r w:rsidRPr="00C82180">
              <w:rPr>
                <w:color w:val="000000"/>
                <w:sz w:val="18"/>
                <w:szCs w:val="18"/>
                <w:lang w:val="de-DE"/>
              </w:rPr>
              <w:t xml:space="preserve">065  </w:t>
            </w:r>
            <w:r w:rsidR="00733878" w:rsidRPr="00733878">
              <w:rPr>
                <w:color w:val="000000"/>
                <w:sz w:val="18"/>
                <w:szCs w:val="18"/>
                <w:lang w:val="de-DE"/>
              </w:rPr>
              <w:t xml:space="preserve">Schutztitel wurden von Verbandsmitgliedern im Jahre </w:t>
            </w:r>
            <w:r w:rsidR="00C82180" w:rsidRPr="00C82180">
              <w:rPr>
                <w:color w:val="000000"/>
                <w:sz w:val="18"/>
                <w:szCs w:val="18"/>
                <w:lang w:val="de-DE"/>
              </w:rPr>
              <w:t>2011</w:t>
            </w:r>
            <w:r w:rsidR="00733878">
              <w:rPr>
                <w:color w:val="000000"/>
                <w:sz w:val="18"/>
                <w:szCs w:val="18"/>
                <w:lang w:val="de-DE"/>
              </w:rPr>
              <w:t xml:space="preserve"> erteilt</w:t>
            </w:r>
            <w:r w:rsidRPr="00C82180">
              <w:rPr>
                <w:color w:val="000000"/>
                <w:sz w:val="18"/>
                <w:szCs w:val="18"/>
                <w:lang w:val="de-DE"/>
              </w:rPr>
              <w:t xml:space="preserve"> (11</w:t>
            </w:r>
            <w:r w:rsidR="00D42197">
              <w:rPr>
                <w:color w:val="000000"/>
                <w:sz w:val="18"/>
                <w:szCs w:val="18"/>
                <w:lang w:val="de-DE"/>
              </w:rPr>
              <w:t xml:space="preserve"> </w:t>
            </w:r>
            <w:r w:rsidRPr="00C82180">
              <w:rPr>
                <w:color w:val="000000"/>
                <w:sz w:val="18"/>
                <w:szCs w:val="18"/>
                <w:lang w:val="de-DE"/>
              </w:rPr>
              <w:t xml:space="preserve">115 </w:t>
            </w:r>
            <w:r w:rsidR="00733878">
              <w:rPr>
                <w:color w:val="000000"/>
                <w:sz w:val="18"/>
                <w:szCs w:val="18"/>
                <w:lang w:val="de-DE"/>
              </w:rPr>
              <w:t xml:space="preserve">im Jahr 2010;  10 </w:t>
            </w:r>
            <w:r w:rsidRPr="00C82180">
              <w:rPr>
                <w:color w:val="000000"/>
                <w:sz w:val="18"/>
                <w:szCs w:val="18"/>
                <w:lang w:val="de-DE"/>
              </w:rPr>
              <w:t xml:space="preserve">730 </w:t>
            </w:r>
            <w:r w:rsidR="00733878">
              <w:rPr>
                <w:color w:val="000000"/>
                <w:sz w:val="18"/>
                <w:szCs w:val="18"/>
                <w:lang w:val="de-DE"/>
              </w:rPr>
              <w:t>im Jahr 2009</w:t>
            </w:r>
            <w:r w:rsidRPr="00C82180">
              <w:rPr>
                <w:color w:val="000000"/>
                <w:sz w:val="18"/>
                <w:szCs w:val="18"/>
                <w:lang w:val="de-DE"/>
              </w:rPr>
              <w:t>)</w:t>
            </w:r>
          </w:p>
          <w:p w:rsidR="00453C61" w:rsidRPr="006054BD" w:rsidRDefault="00453C61" w:rsidP="00453C61">
            <w:pPr>
              <w:tabs>
                <w:tab w:val="left" w:pos="2410"/>
                <w:tab w:val="left" w:pos="4536"/>
                <w:tab w:val="left" w:pos="9072"/>
              </w:tabs>
              <w:jc w:val="left"/>
              <w:rPr>
                <w:color w:val="000000"/>
                <w:sz w:val="18"/>
                <w:szCs w:val="18"/>
              </w:rPr>
            </w:pPr>
            <w:r w:rsidRPr="006054BD">
              <w:rPr>
                <w:color w:val="000000"/>
                <w:sz w:val="18"/>
                <w:szCs w:val="18"/>
              </w:rPr>
              <w:t>(</w:t>
            </w:r>
            <w:r w:rsidR="00FE2376">
              <w:rPr>
                <w:color w:val="000000"/>
                <w:sz w:val="18"/>
                <w:szCs w:val="18"/>
              </w:rPr>
              <w:t>vergleiche Dokument</w:t>
            </w:r>
            <w:r w:rsidRPr="006054BD">
              <w:rPr>
                <w:color w:val="000000"/>
                <w:sz w:val="18"/>
                <w:szCs w:val="18"/>
              </w:rPr>
              <w:t xml:space="preserve"> C/46/7)</w:t>
            </w:r>
          </w:p>
          <w:p w:rsidR="00975801" w:rsidRPr="006054BD" w:rsidRDefault="00975801" w:rsidP="00453C61">
            <w:pPr>
              <w:tabs>
                <w:tab w:val="left" w:pos="2410"/>
                <w:tab w:val="left" w:pos="4536"/>
                <w:tab w:val="left" w:pos="9072"/>
              </w:tabs>
              <w:jc w:val="left"/>
              <w:rPr>
                <w:color w:val="000000"/>
                <w:sz w:val="18"/>
                <w:szCs w:val="18"/>
              </w:rPr>
            </w:pPr>
          </w:p>
          <w:p w:rsidR="00453C61" w:rsidRPr="006054BD" w:rsidRDefault="00453C61" w:rsidP="00975801">
            <w:pPr>
              <w:rPr>
                <w:sz w:val="18"/>
                <w:szCs w:val="18"/>
              </w:rPr>
            </w:pPr>
          </w:p>
        </w:tc>
      </w:tr>
      <w:tr w:rsidR="00D560BF" w:rsidRPr="00DE5DFD" w:rsidTr="002874C7">
        <w:trPr>
          <w:cantSplit/>
        </w:trPr>
        <w:tc>
          <w:tcPr>
            <w:tcW w:w="2093" w:type="dxa"/>
          </w:tcPr>
          <w:p w:rsidR="00D560BF" w:rsidRPr="006054BD" w:rsidRDefault="00D560BF" w:rsidP="00D560BF">
            <w:pPr>
              <w:rPr>
                <w:sz w:val="18"/>
                <w:szCs w:val="18"/>
              </w:rPr>
            </w:pPr>
          </w:p>
        </w:tc>
        <w:tc>
          <w:tcPr>
            <w:tcW w:w="7796" w:type="dxa"/>
          </w:tcPr>
          <w:p w:rsidR="00D560BF" w:rsidRPr="00733878" w:rsidRDefault="00E163EA" w:rsidP="00D560BF">
            <w:pPr>
              <w:pStyle w:val="Heading8"/>
              <w:rPr>
                <w:szCs w:val="18"/>
                <w:lang w:val="de-DE"/>
              </w:rPr>
            </w:pPr>
            <w:bookmarkStart w:id="143" w:name="_Toc368400565"/>
            <w:r w:rsidRPr="00F123B8">
              <w:rPr>
                <w:szCs w:val="18"/>
                <w:lang w:val="de-DE"/>
              </w:rPr>
              <w:t>(</w:t>
            </w:r>
            <w:r w:rsidR="00686825" w:rsidRPr="00F123B8">
              <w:rPr>
                <w:szCs w:val="18"/>
                <w:lang w:val="de-DE"/>
              </w:rPr>
              <w:t>c</w:t>
            </w:r>
            <w:r w:rsidRPr="00F123B8">
              <w:rPr>
                <w:szCs w:val="18"/>
                <w:lang w:val="de-DE"/>
              </w:rPr>
              <w:t>)</w:t>
            </w:r>
            <w:r w:rsidR="009336F5" w:rsidRPr="00F123B8">
              <w:rPr>
                <w:szCs w:val="18"/>
                <w:lang w:val="de-DE"/>
              </w:rPr>
              <w:t xml:space="preserve">  </w:t>
            </w:r>
            <w:r w:rsidR="00733878" w:rsidRPr="00733878">
              <w:rPr>
                <w:color w:val="000000"/>
                <w:lang w:val="de-DE"/>
              </w:rPr>
              <w:t>Anzahl Schutztitel, die in Kraft sind</w:t>
            </w:r>
            <w:bookmarkEnd w:id="143"/>
          </w:p>
          <w:p w:rsidR="00D560BF" w:rsidRPr="00733878" w:rsidRDefault="00AA5E43" w:rsidP="00733878">
            <w:pPr>
              <w:jc w:val="left"/>
              <w:rPr>
                <w:color w:val="000000"/>
                <w:sz w:val="18"/>
                <w:szCs w:val="18"/>
                <w:lang w:val="de-DE"/>
              </w:rPr>
            </w:pPr>
            <w:r w:rsidRPr="00733878">
              <w:rPr>
                <w:color w:val="000000"/>
                <w:sz w:val="18"/>
                <w:szCs w:val="18"/>
                <w:lang w:val="de-DE"/>
              </w:rPr>
              <w:t>9</w:t>
            </w:r>
            <w:r w:rsidR="00975801" w:rsidRPr="00733878">
              <w:rPr>
                <w:color w:val="000000"/>
                <w:sz w:val="18"/>
                <w:szCs w:val="18"/>
                <w:lang w:val="de-DE"/>
              </w:rPr>
              <w:t>4</w:t>
            </w:r>
            <w:r w:rsidR="00733878">
              <w:rPr>
                <w:color w:val="000000"/>
                <w:sz w:val="18"/>
                <w:szCs w:val="18"/>
                <w:lang w:val="de-DE"/>
              </w:rPr>
              <w:t xml:space="preserve"> </w:t>
            </w:r>
            <w:r w:rsidR="00686825" w:rsidRPr="00733878">
              <w:rPr>
                <w:color w:val="000000"/>
                <w:sz w:val="18"/>
                <w:szCs w:val="18"/>
                <w:lang w:val="de-DE"/>
              </w:rPr>
              <w:t>413</w:t>
            </w:r>
            <w:r w:rsidRPr="00733878">
              <w:rPr>
                <w:color w:val="000000"/>
                <w:sz w:val="18"/>
                <w:szCs w:val="18"/>
                <w:lang w:val="de-DE"/>
              </w:rPr>
              <w:t xml:space="preserve"> </w:t>
            </w:r>
            <w:r w:rsidR="00733878" w:rsidRPr="00733878">
              <w:rPr>
                <w:color w:val="000000"/>
                <w:sz w:val="18"/>
                <w:szCs w:val="18"/>
                <w:lang w:val="de-DE"/>
              </w:rPr>
              <w:t>Schutztitel waren Ende 20</w:t>
            </w:r>
            <w:r w:rsidR="00733878">
              <w:rPr>
                <w:color w:val="000000"/>
                <w:sz w:val="18"/>
                <w:szCs w:val="18"/>
                <w:lang w:val="de-DE"/>
              </w:rPr>
              <w:t>11</w:t>
            </w:r>
            <w:r w:rsidR="00733878" w:rsidRPr="00733878">
              <w:rPr>
                <w:color w:val="000000"/>
                <w:sz w:val="18"/>
                <w:szCs w:val="18"/>
                <w:lang w:val="de-DE"/>
              </w:rPr>
              <w:t xml:space="preserve"> bei Verbandsmitgliedern in Kraft</w:t>
            </w:r>
            <w:r w:rsidRPr="00733878">
              <w:rPr>
                <w:color w:val="000000"/>
                <w:sz w:val="18"/>
                <w:szCs w:val="18"/>
                <w:lang w:val="de-DE"/>
              </w:rPr>
              <w:t xml:space="preserve"> (</w:t>
            </w:r>
            <w:r w:rsidR="00686825" w:rsidRPr="00733878">
              <w:rPr>
                <w:color w:val="000000"/>
                <w:sz w:val="18"/>
                <w:szCs w:val="18"/>
                <w:lang w:val="de-DE"/>
              </w:rPr>
              <w:t>90</w:t>
            </w:r>
            <w:r w:rsidR="00733878">
              <w:rPr>
                <w:color w:val="000000"/>
                <w:sz w:val="18"/>
                <w:szCs w:val="18"/>
                <w:lang w:val="de-DE"/>
              </w:rPr>
              <w:t xml:space="preserve"> </w:t>
            </w:r>
            <w:r w:rsidR="00686825" w:rsidRPr="00733878">
              <w:rPr>
                <w:color w:val="000000"/>
                <w:sz w:val="18"/>
                <w:szCs w:val="18"/>
                <w:lang w:val="de-DE"/>
              </w:rPr>
              <w:t xml:space="preserve">344 </w:t>
            </w:r>
            <w:r w:rsidR="00733878" w:rsidRPr="00733878">
              <w:rPr>
                <w:color w:val="000000"/>
                <w:sz w:val="18"/>
                <w:szCs w:val="18"/>
                <w:lang w:val="de-DE"/>
              </w:rPr>
              <w:t>im Jahr 2010</w:t>
            </w:r>
            <w:r w:rsidR="00686825" w:rsidRPr="00733878">
              <w:rPr>
                <w:color w:val="000000"/>
                <w:sz w:val="18"/>
                <w:szCs w:val="18"/>
                <w:lang w:val="de-DE"/>
              </w:rPr>
              <w:t xml:space="preserve">;  </w:t>
            </w:r>
            <w:r w:rsidR="00975801" w:rsidRPr="00733878">
              <w:rPr>
                <w:color w:val="000000"/>
                <w:sz w:val="18"/>
                <w:szCs w:val="18"/>
                <w:lang w:val="de-DE"/>
              </w:rPr>
              <w:br/>
            </w:r>
            <w:r w:rsidRPr="00733878">
              <w:rPr>
                <w:color w:val="000000"/>
                <w:sz w:val="18"/>
                <w:szCs w:val="18"/>
                <w:lang w:val="de-DE"/>
              </w:rPr>
              <w:t>86</w:t>
            </w:r>
            <w:r w:rsidR="00733878">
              <w:rPr>
                <w:color w:val="000000"/>
                <w:sz w:val="18"/>
                <w:szCs w:val="18"/>
                <w:lang w:val="de-DE"/>
              </w:rPr>
              <w:t xml:space="preserve"> </w:t>
            </w:r>
            <w:r w:rsidRPr="00733878">
              <w:rPr>
                <w:color w:val="000000"/>
                <w:sz w:val="18"/>
                <w:szCs w:val="18"/>
                <w:lang w:val="de-DE"/>
              </w:rPr>
              <w:t xml:space="preserve">378 </w:t>
            </w:r>
            <w:r w:rsidR="00733878">
              <w:rPr>
                <w:color w:val="000000"/>
                <w:sz w:val="18"/>
                <w:szCs w:val="18"/>
                <w:lang w:val="de-DE"/>
              </w:rPr>
              <w:t>im Jahr 2009</w:t>
            </w:r>
            <w:r w:rsidR="00686825" w:rsidRPr="00733878">
              <w:rPr>
                <w:color w:val="000000"/>
                <w:sz w:val="18"/>
                <w:szCs w:val="18"/>
                <w:lang w:val="de-DE"/>
              </w:rPr>
              <w:t>)</w:t>
            </w:r>
            <w:r w:rsidR="00975801" w:rsidRPr="00733878">
              <w:rPr>
                <w:color w:val="000000"/>
                <w:sz w:val="18"/>
                <w:szCs w:val="18"/>
                <w:lang w:val="de-DE"/>
              </w:rPr>
              <w:t xml:space="preserve"> </w:t>
            </w:r>
            <w:r w:rsidRPr="00733878">
              <w:rPr>
                <w:color w:val="000000"/>
                <w:sz w:val="18"/>
                <w:szCs w:val="18"/>
                <w:lang w:val="de-DE"/>
              </w:rPr>
              <w:t>(</w:t>
            </w:r>
            <w:r w:rsidR="00FE2376" w:rsidRPr="00733878">
              <w:rPr>
                <w:color w:val="000000"/>
                <w:sz w:val="18"/>
                <w:szCs w:val="18"/>
                <w:lang w:val="de-DE"/>
              </w:rPr>
              <w:t>vergleiche Dokument</w:t>
            </w:r>
            <w:r w:rsidRPr="00733878">
              <w:rPr>
                <w:color w:val="000000"/>
                <w:sz w:val="18"/>
                <w:szCs w:val="18"/>
                <w:lang w:val="de-DE"/>
              </w:rPr>
              <w:t xml:space="preserve"> C/4</w:t>
            </w:r>
            <w:r w:rsidR="00686825" w:rsidRPr="00733878">
              <w:rPr>
                <w:color w:val="000000"/>
                <w:sz w:val="18"/>
                <w:szCs w:val="18"/>
                <w:lang w:val="de-DE"/>
              </w:rPr>
              <w:t>6</w:t>
            </w:r>
            <w:r w:rsidRPr="00733878">
              <w:rPr>
                <w:color w:val="000000"/>
                <w:sz w:val="18"/>
                <w:szCs w:val="18"/>
                <w:lang w:val="de-DE"/>
              </w:rPr>
              <w:t>/7)</w:t>
            </w:r>
          </w:p>
          <w:p w:rsidR="00D76CC0" w:rsidRPr="00733878" w:rsidRDefault="00D76CC0" w:rsidP="00686825">
            <w:pPr>
              <w:jc w:val="left"/>
              <w:rPr>
                <w:color w:val="000000"/>
                <w:sz w:val="18"/>
                <w:szCs w:val="18"/>
                <w:lang w:val="de-DE"/>
              </w:rPr>
            </w:pPr>
          </w:p>
          <w:p w:rsidR="00975801" w:rsidRPr="00733878" w:rsidRDefault="00975801" w:rsidP="00686825">
            <w:pPr>
              <w:jc w:val="left"/>
              <w:rPr>
                <w:color w:val="000000"/>
                <w:sz w:val="18"/>
                <w:szCs w:val="18"/>
                <w:lang w:val="de-DE"/>
              </w:rPr>
            </w:pPr>
          </w:p>
        </w:tc>
      </w:tr>
      <w:tr w:rsidR="00D76CC0" w:rsidRPr="00DE5DFD" w:rsidTr="002874C7">
        <w:trPr>
          <w:cantSplit/>
        </w:trPr>
        <w:tc>
          <w:tcPr>
            <w:tcW w:w="2093" w:type="dxa"/>
          </w:tcPr>
          <w:p w:rsidR="00D76CC0" w:rsidRPr="00126859" w:rsidRDefault="00D76CC0" w:rsidP="00975801">
            <w:pPr>
              <w:jc w:val="left"/>
              <w:rPr>
                <w:sz w:val="18"/>
                <w:szCs w:val="18"/>
                <w:lang w:val="de-DE"/>
              </w:rPr>
            </w:pPr>
          </w:p>
        </w:tc>
        <w:tc>
          <w:tcPr>
            <w:tcW w:w="7796" w:type="dxa"/>
          </w:tcPr>
          <w:p w:rsidR="00D76CC0" w:rsidRPr="00126859" w:rsidRDefault="00D76CC0" w:rsidP="00D76CC0">
            <w:pPr>
              <w:pStyle w:val="Heading8"/>
              <w:rPr>
                <w:szCs w:val="18"/>
                <w:lang w:val="de-DE"/>
              </w:rPr>
            </w:pPr>
            <w:bookmarkStart w:id="144" w:name="_Toc368400566"/>
            <w:r w:rsidRPr="00F123B8">
              <w:rPr>
                <w:szCs w:val="18"/>
                <w:lang w:val="de-DE"/>
              </w:rPr>
              <w:t xml:space="preserve">(d)  </w:t>
            </w:r>
            <w:r w:rsidR="00126859" w:rsidRPr="00126859">
              <w:rPr>
                <w:color w:val="000000"/>
                <w:lang w:val="de-DE"/>
              </w:rPr>
              <w:t>Anzahl Gattungen/Arten, die von den Verbandsmitgliedern geschützt werden</w:t>
            </w:r>
            <w:bookmarkEnd w:id="144"/>
          </w:p>
          <w:p w:rsidR="00D76CC0" w:rsidRPr="00F123B8" w:rsidRDefault="00F123B8" w:rsidP="00D42197">
            <w:pPr>
              <w:tabs>
                <w:tab w:val="left" w:pos="2410"/>
                <w:tab w:val="left" w:pos="4536"/>
                <w:tab w:val="left" w:pos="9072"/>
              </w:tabs>
              <w:jc w:val="left"/>
              <w:rPr>
                <w:sz w:val="18"/>
                <w:szCs w:val="18"/>
                <w:lang w:val="de-DE"/>
              </w:rPr>
            </w:pPr>
            <w:r>
              <w:rPr>
                <w:sz w:val="18"/>
                <w:szCs w:val="18"/>
                <w:lang w:val="de-DE"/>
              </w:rPr>
              <w:t>Ende 2012</w:t>
            </w:r>
            <w:r w:rsidR="0081415C">
              <w:rPr>
                <w:sz w:val="18"/>
                <w:szCs w:val="18"/>
                <w:lang w:val="de-DE"/>
              </w:rPr>
              <w:t xml:space="preserve"> </w:t>
            </w:r>
            <w:r w:rsidR="0081415C" w:rsidRPr="0081415C">
              <w:rPr>
                <w:sz w:val="18"/>
                <w:szCs w:val="18"/>
                <w:lang w:val="de-DE"/>
              </w:rPr>
              <w:t>boten insgesamt 5</w:t>
            </w:r>
            <w:r w:rsidR="0081415C">
              <w:rPr>
                <w:sz w:val="18"/>
                <w:szCs w:val="18"/>
                <w:lang w:val="de-DE"/>
              </w:rPr>
              <w:t>3</w:t>
            </w:r>
            <w:r w:rsidR="0081415C" w:rsidRPr="0081415C">
              <w:rPr>
                <w:sz w:val="18"/>
                <w:szCs w:val="18"/>
                <w:lang w:val="de-DE"/>
              </w:rPr>
              <w:t xml:space="preserve"> Verbandsmitglieder den Schutz für alle Pflanzengattungen und -</w:t>
            </w:r>
            <w:r w:rsidR="00D42197">
              <w:rPr>
                <w:sz w:val="18"/>
                <w:szCs w:val="18"/>
                <w:lang w:val="de-DE"/>
              </w:rPr>
              <w:t>a</w:t>
            </w:r>
            <w:r w:rsidR="0081415C" w:rsidRPr="0081415C">
              <w:rPr>
                <w:sz w:val="18"/>
                <w:szCs w:val="18"/>
                <w:lang w:val="de-DE"/>
              </w:rPr>
              <w:t>rten an (4</w:t>
            </w:r>
            <w:r w:rsidR="0081415C">
              <w:rPr>
                <w:sz w:val="18"/>
                <w:szCs w:val="18"/>
                <w:lang w:val="de-DE"/>
              </w:rPr>
              <w:t>9</w:t>
            </w:r>
            <w:r w:rsidR="0081415C" w:rsidRPr="0081415C">
              <w:rPr>
                <w:sz w:val="18"/>
                <w:szCs w:val="18"/>
                <w:lang w:val="de-DE"/>
              </w:rPr>
              <w:t xml:space="preserve"> im Jahre 20</w:t>
            </w:r>
            <w:r w:rsidR="0081415C">
              <w:rPr>
                <w:sz w:val="18"/>
                <w:szCs w:val="18"/>
                <w:lang w:val="de-DE"/>
              </w:rPr>
              <w:t>11</w:t>
            </w:r>
            <w:r w:rsidR="0081415C" w:rsidRPr="0081415C">
              <w:rPr>
                <w:sz w:val="18"/>
                <w:szCs w:val="18"/>
                <w:lang w:val="de-DE"/>
              </w:rPr>
              <w:t>; 4</w:t>
            </w:r>
            <w:r w:rsidR="0081415C">
              <w:rPr>
                <w:sz w:val="18"/>
                <w:szCs w:val="18"/>
                <w:lang w:val="de-DE"/>
              </w:rPr>
              <w:t>5</w:t>
            </w:r>
            <w:r w:rsidR="0081415C" w:rsidRPr="0081415C">
              <w:rPr>
                <w:sz w:val="18"/>
                <w:szCs w:val="18"/>
                <w:lang w:val="de-DE"/>
              </w:rPr>
              <w:t xml:space="preserve"> im Jahre 20</w:t>
            </w:r>
            <w:r w:rsidR="0081415C">
              <w:rPr>
                <w:sz w:val="18"/>
                <w:szCs w:val="18"/>
                <w:lang w:val="de-DE"/>
              </w:rPr>
              <w:t>10</w:t>
            </w:r>
            <w:r w:rsidR="0081415C" w:rsidRPr="0081415C">
              <w:rPr>
                <w:sz w:val="18"/>
                <w:szCs w:val="18"/>
                <w:lang w:val="de-DE"/>
              </w:rPr>
              <w:t xml:space="preserve">), und </w:t>
            </w:r>
            <w:r w:rsidR="0081415C">
              <w:rPr>
                <w:sz w:val="18"/>
                <w:szCs w:val="18"/>
                <w:lang w:val="de-DE"/>
              </w:rPr>
              <w:t>17</w:t>
            </w:r>
            <w:r w:rsidR="0081415C" w:rsidRPr="0081415C">
              <w:rPr>
                <w:sz w:val="18"/>
                <w:szCs w:val="18"/>
                <w:lang w:val="de-DE"/>
              </w:rPr>
              <w:t xml:space="preserve"> Verbandsmitglieder boten den Schutz für eine begrenzte Anzahl Pflanzengattungen und -arten an</w:t>
            </w:r>
            <w:r w:rsidR="0081415C">
              <w:rPr>
                <w:sz w:val="18"/>
                <w:szCs w:val="18"/>
                <w:lang w:val="de-DE"/>
              </w:rPr>
              <w:t xml:space="preserve"> (22 im Jahre 2010) (vergleiche Dokument C/46/6)</w:t>
            </w:r>
            <w:r w:rsidR="00D76CC0" w:rsidRPr="00F123B8">
              <w:rPr>
                <w:sz w:val="18"/>
                <w:szCs w:val="18"/>
                <w:lang w:val="de-DE"/>
              </w:rPr>
              <w:t>.</w:t>
            </w:r>
          </w:p>
          <w:p w:rsidR="00D76CC0" w:rsidRPr="00F123B8" w:rsidRDefault="00D76CC0" w:rsidP="00D76CC0">
            <w:pPr>
              <w:tabs>
                <w:tab w:val="left" w:pos="2410"/>
                <w:tab w:val="left" w:pos="4536"/>
                <w:tab w:val="left" w:pos="9072"/>
              </w:tabs>
              <w:jc w:val="left"/>
              <w:rPr>
                <w:sz w:val="18"/>
                <w:szCs w:val="18"/>
                <w:lang w:val="de-DE"/>
              </w:rPr>
            </w:pPr>
          </w:p>
          <w:p w:rsidR="00D76CC0" w:rsidRPr="00E35033" w:rsidRDefault="0081415C" w:rsidP="00D42197">
            <w:pPr>
              <w:tabs>
                <w:tab w:val="left" w:pos="1735"/>
                <w:tab w:val="left" w:pos="2410"/>
                <w:tab w:val="left" w:pos="9072"/>
              </w:tabs>
              <w:jc w:val="left"/>
              <w:rPr>
                <w:sz w:val="18"/>
                <w:szCs w:val="18"/>
                <w:lang w:val="de-DE"/>
              </w:rPr>
            </w:pPr>
            <w:r>
              <w:rPr>
                <w:sz w:val="18"/>
                <w:szCs w:val="18"/>
                <w:lang w:val="de-DE"/>
              </w:rPr>
              <w:t xml:space="preserve">Die </w:t>
            </w:r>
            <w:r w:rsidR="00C34F1F" w:rsidRPr="00E35033">
              <w:rPr>
                <w:sz w:val="18"/>
                <w:szCs w:val="18"/>
                <w:lang w:val="de-DE"/>
              </w:rPr>
              <w:t>folgende</w:t>
            </w:r>
            <w:r>
              <w:rPr>
                <w:sz w:val="18"/>
                <w:szCs w:val="18"/>
                <w:lang w:val="de-DE"/>
              </w:rPr>
              <w:t>n</w:t>
            </w:r>
            <w:r w:rsidR="00D76CC0" w:rsidRPr="00E35033">
              <w:rPr>
                <w:sz w:val="18"/>
                <w:szCs w:val="18"/>
                <w:lang w:val="de-DE"/>
              </w:rPr>
              <w:t xml:space="preserve"> </w:t>
            </w:r>
            <w:r w:rsidR="003F377D" w:rsidRPr="00E35033">
              <w:rPr>
                <w:sz w:val="18"/>
                <w:szCs w:val="18"/>
                <w:lang w:val="de-DE"/>
              </w:rPr>
              <w:t>Verbandsmitglieder</w:t>
            </w:r>
            <w:r w:rsidR="00D76CC0" w:rsidRPr="00E35033">
              <w:rPr>
                <w:sz w:val="18"/>
                <w:szCs w:val="18"/>
                <w:lang w:val="de-DE"/>
              </w:rPr>
              <w:t xml:space="preserve"> </w:t>
            </w:r>
            <w:r w:rsidR="00B838CD">
              <w:rPr>
                <w:sz w:val="18"/>
                <w:szCs w:val="18"/>
                <w:lang w:val="de-DE"/>
              </w:rPr>
              <w:t xml:space="preserve">teilten </w:t>
            </w:r>
            <w:r w:rsidR="00D42197" w:rsidRPr="00E35033">
              <w:rPr>
                <w:sz w:val="18"/>
                <w:szCs w:val="18"/>
                <w:lang w:val="de-DE"/>
              </w:rPr>
              <w:t>im Jahr 2012</w:t>
            </w:r>
            <w:r w:rsidR="00D42197">
              <w:rPr>
                <w:sz w:val="18"/>
                <w:szCs w:val="18"/>
                <w:lang w:val="de-DE"/>
              </w:rPr>
              <w:t xml:space="preserve"> </w:t>
            </w:r>
            <w:r w:rsidR="00B838CD">
              <w:rPr>
                <w:sz w:val="18"/>
                <w:szCs w:val="18"/>
                <w:lang w:val="de-DE"/>
              </w:rPr>
              <w:t xml:space="preserve">die </w:t>
            </w:r>
            <w:r w:rsidR="00B838CD" w:rsidRPr="00B838CD">
              <w:rPr>
                <w:sz w:val="18"/>
                <w:szCs w:val="18"/>
                <w:lang w:val="de-DE"/>
              </w:rPr>
              <w:t xml:space="preserve">Ausweitung des Schutzes </w:t>
            </w:r>
            <w:r w:rsidR="00B838CD">
              <w:rPr>
                <w:sz w:val="18"/>
                <w:szCs w:val="18"/>
                <w:lang w:val="de-DE"/>
              </w:rPr>
              <w:t>auf</w:t>
            </w:r>
            <w:r w:rsidR="00D76CC0" w:rsidRPr="00E35033">
              <w:rPr>
                <w:sz w:val="18"/>
                <w:szCs w:val="18"/>
                <w:lang w:val="de-DE"/>
              </w:rPr>
              <w:t xml:space="preserve"> </w:t>
            </w:r>
            <w:r w:rsidR="00B838CD">
              <w:rPr>
                <w:sz w:val="18"/>
                <w:szCs w:val="18"/>
                <w:lang w:val="de-DE"/>
              </w:rPr>
              <w:t>zusätzliche</w:t>
            </w:r>
            <w:r w:rsidR="00D76CC0" w:rsidRPr="00E35033">
              <w:rPr>
                <w:sz w:val="18"/>
                <w:szCs w:val="18"/>
                <w:lang w:val="de-DE"/>
              </w:rPr>
              <w:t xml:space="preserve"> </w:t>
            </w:r>
            <w:r w:rsidR="00701471" w:rsidRPr="00E35033">
              <w:rPr>
                <w:sz w:val="18"/>
                <w:szCs w:val="18"/>
                <w:lang w:val="de-DE"/>
              </w:rPr>
              <w:t>Pflanzengattungen</w:t>
            </w:r>
            <w:r w:rsidR="003F377D" w:rsidRPr="00E35033">
              <w:rPr>
                <w:sz w:val="18"/>
                <w:szCs w:val="18"/>
                <w:lang w:val="de-DE"/>
              </w:rPr>
              <w:t xml:space="preserve"> und </w:t>
            </w:r>
            <w:r w:rsidR="00B838CD">
              <w:rPr>
                <w:sz w:val="18"/>
                <w:szCs w:val="18"/>
                <w:lang w:val="de-DE"/>
              </w:rPr>
              <w:t>-arten</w:t>
            </w:r>
            <w:r w:rsidR="00D76CC0" w:rsidRPr="00E35033">
              <w:rPr>
                <w:sz w:val="18"/>
                <w:szCs w:val="18"/>
                <w:lang w:val="de-DE"/>
              </w:rPr>
              <w:t xml:space="preserve"> </w:t>
            </w:r>
            <w:r w:rsidR="00B838CD">
              <w:rPr>
                <w:sz w:val="18"/>
                <w:szCs w:val="18"/>
                <w:lang w:val="de-DE"/>
              </w:rPr>
              <w:t>mit</w:t>
            </w:r>
            <w:r w:rsidR="00D76CC0" w:rsidRPr="00E35033">
              <w:rPr>
                <w:sz w:val="18"/>
                <w:szCs w:val="18"/>
                <w:lang w:val="de-DE"/>
              </w:rPr>
              <w:t xml:space="preserve">:  </w:t>
            </w:r>
          </w:p>
          <w:p w:rsidR="00D76CC0" w:rsidRPr="00E35033" w:rsidRDefault="00D76CC0" w:rsidP="00D76CC0">
            <w:pPr>
              <w:tabs>
                <w:tab w:val="left" w:pos="1735"/>
                <w:tab w:val="left" w:pos="2410"/>
                <w:tab w:val="left" w:pos="9072"/>
              </w:tabs>
              <w:jc w:val="left"/>
              <w:rPr>
                <w:sz w:val="18"/>
                <w:szCs w:val="18"/>
                <w:lang w:val="de-DE"/>
              </w:rPr>
            </w:pPr>
          </w:p>
          <w:p w:rsidR="00D76CC0" w:rsidRPr="00E35033" w:rsidRDefault="00D76CC0" w:rsidP="002F530E">
            <w:pPr>
              <w:tabs>
                <w:tab w:val="left" w:pos="1735"/>
                <w:tab w:val="left" w:pos="2410"/>
                <w:tab w:val="left" w:pos="9072"/>
              </w:tabs>
              <w:jc w:val="left"/>
              <w:rPr>
                <w:sz w:val="18"/>
                <w:szCs w:val="18"/>
                <w:lang w:val="de-DE"/>
              </w:rPr>
            </w:pPr>
            <w:r w:rsidRPr="00E35033">
              <w:rPr>
                <w:sz w:val="18"/>
                <w:szCs w:val="18"/>
                <w:lang w:val="de-DE"/>
              </w:rPr>
              <w:t>Alba</w:t>
            </w:r>
            <w:r w:rsidR="002F530E">
              <w:rPr>
                <w:sz w:val="18"/>
                <w:szCs w:val="18"/>
                <w:lang w:val="de-DE"/>
              </w:rPr>
              <w:t>nien</w:t>
            </w:r>
            <w:r w:rsidRPr="00E35033">
              <w:rPr>
                <w:sz w:val="18"/>
                <w:szCs w:val="18"/>
                <w:lang w:val="de-DE"/>
              </w:rPr>
              <w:t>, Belgi</w:t>
            </w:r>
            <w:r w:rsidR="002F530E">
              <w:rPr>
                <w:sz w:val="18"/>
                <w:szCs w:val="18"/>
                <w:lang w:val="de-DE"/>
              </w:rPr>
              <w:t>en</w:t>
            </w:r>
            <w:r w:rsidRPr="00E35033">
              <w:rPr>
                <w:sz w:val="18"/>
                <w:szCs w:val="18"/>
                <w:lang w:val="de-DE"/>
              </w:rPr>
              <w:t>, Bra</w:t>
            </w:r>
            <w:r w:rsidR="002F530E">
              <w:rPr>
                <w:sz w:val="18"/>
                <w:szCs w:val="18"/>
                <w:lang w:val="de-DE"/>
              </w:rPr>
              <w:t>silien</w:t>
            </w:r>
            <w:r w:rsidRPr="00E35033">
              <w:rPr>
                <w:sz w:val="18"/>
                <w:szCs w:val="18"/>
                <w:lang w:val="de-DE"/>
              </w:rPr>
              <w:t xml:space="preserve">, </w:t>
            </w:r>
            <w:r w:rsidR="00180DB8" w:rsidRPr="00E35033">
              <w:rPr>
                <w:sz w:val="18"/>
                <w:szCs w:val="18"/>
                <w:lang w:val="de-DE"/>
              </w:rPr>
              <w:t>Irland</w:t>
            </w:r>
            <w:r w:rsidRPr="00E35033">
              <w:rPr>
                <w:sz w:val="18"/>
                <w:szCs w:val="18"/>
                <w:lang w:val="de-DE"/>
              </w:rPr>
              <w:t>, M</w:t>
            </w:r>
            <w:r w:rsidR="002F530E">
              <w:rPr>
                <w:sz w:val="18"/>
                <w:szCs w:val="18"/>
                <w:lang w:val="de-DE"/>
              </w:rPr>
              <w:t>arokko</w:t>
            </w:r>
            <w:r w:rsidRPr="00E35033">
              <w:rPr>
                <w:sz w:val="18"/>
                <w:szCs w:val="18"/>
                <w:lang w:val="de-DE"/>
              </w:rPr>
              <w:t xml:space="preserve">, </w:t>
            </w:r>
            <w:r w:rsidR="00E35033" w:rsidRPr="00E35033">
              <w:rPr>
                <w:sz w:val="18"/>
                <w:szCs w:val="18"/>
                <w:lang w:val="de-DE"/>
              </w:rPr>
              <w:t>Republik Korea</w:t>
            </w:r>
            <w:r w:rsidRPr="00E35033">
              <w:rPr>
                <w:sz w:val="18"/>
                <w:szCs w:val="18"/>
                <w:lang w:val="de-DE"/>
              </w:rPr>
              <w:t>, S</w:t>
            </w:r>
            <w:r w:rsidR="002F530E">
              <w:rPr>
                <w:sz w:val="18"/>
                <w:szCs w:val="18"/>
                <w:lang w:val="de-DE"/>
              </w:rPr>
              <w:t>üfa</w:t>
            </w:r>
            <w:r w:rsidR="00D40ACE" w:rsidRPr="00E35033">
              <w:rPr>
                <w:sz w:val="18"/>
                <w:szCs w:val="18"/>
                <w:lang w:val="de-DE"/>
              </w:rPr>
              <w:t>frika</w:t>
            </w:r>
            <w:r w:rsidRPr="00E35033">
              <w:rPr>
                <w:sz w:val="18"/>
                <w:szCs w:val="18"/>
                <w:lang w:val="de-DE"/>
              </w:rPr>
              <w:t>, T</w:t>
            </w:r>
            <w:r w:rsidR="002F530E">
              <w:rPr>
                <w:sz w:val="18"/>
                <w:szCs w:val="18"/>
                <w:lang w:val="de-DE"/>
              </w:rPr>
              <w:t>ürkei</w:t>
            </w:r>
            <w:r w:rsidR="003F377D" w:rsidRPr="00E35033">
              <w:rPr>
                <w:sz w:val="18"/>
                <w:szCs w:val="18"/>
                <w:lang w:val="de-DE"/>
              </w:rPr>
              <w:t xml:space="preserve"> und </w:t>
            </w:r>
            <w:r w:rsidRPr="00E35033">
              <w:rPr>
                <w:sz w:val="18"/>
                <w:szCs w:val="18"/>
                <w:lang w:val="de-DE"/>
              </w:rPr>
              <w:t>Viet</w:t>
            </w:r>
            <w:r w:rsidR="002F530E">
              <w:rPr>
                <w:sz w:val="18"/>
                <w:szCs w:val="18"/>
                <w:lang w:val="de-DE"/>
              </w:rPr>
              <w:t>n</w:t>
            </w:r>
            <w:r w:rsidRPr="00E35033">
              <w:rPr>
                <w:sz w:val="18"/>
                <w:szCs w:val="18"/>
                <w:lang w:val="de-DE"/>
              </w:rPr>
              <w:t>am</w:t>
            </w:r>
          </w:p>
          <w:p w:rsidR="00975801" w:rsidRPr="00E35033" w:rsidRDefault="00975801" w:rsidP="00D76CC0">
            <w:pPr>
              <w:tabs>
                <w:tab w:val="left" w:pos="1735"/>
                <w:tab w:val="left" w:pos="2410"/>
                <w:tab w:val="left" w:pos="9072"/>
              </w:tabs>
              <w:jc w:val="left"/>
              <w:rPr>
                <w:sz w:val="18"/>
                <w:szCs w:val="18"/>
                <w:lang w:val="de-DE"/>
              </w:rPr>
            </w:pPr>
          </w:p>
          <w:p w:rsidR="00975801" w:rsidRPr="00E35033" w:rsidRDefault="00975801" w:rsidP="00D76CC0">
            <w:pPr>
              <w:tabs>
                <w:tab w:val="left" w:pos="1735"/>
                <w:tab w:val="left" w:pos="2410"/>
                <w:tab w:val="left" w:pos="9072"/>
              </w:tabs>
              <w:jc w:val="left"/>
              <w:rPr>
                <w:sz w:val="18"/>
                <w:szCs w:val="18"/>
                <w:lang w:val="de-DE"/>
              </w:rPr>
            </w:pPr>
          </w:p>
        </w:tc>
      </w:tr>
      <w:tr w:rsidR="009336F5" w:rsidRPr="00701471" w:rsidTr="002874C7">
        <w:trPr>
          <w:cantSplit/>
        </w:trPr>
        <w:tc>
          <w:tcPr>
            <w:tcW w:w="2093" w:type="dxa"/>
          </w:tcPr>
          <w:p w:rsidR="009336F5" w:rsidRPr="00E35033" w:rsidRDefault="009336F5" w:rsidP="00D560BF">
            <w:pPr>
              <w:rPr>
                <w:sz w:val="18"/>
                <w:szCs w:val="18"/>
                <w:lang w:val="de-DE"/>
              </w:rPr>
            </w:pPr>
          </w:p>
        </w:tc>
        <w:tc>
          <w:tcPr>
            <w:tcW w:w="7796" w:type="dxa"/>
          </w:tcPr>
          <w:p w:rsidR="009336F5" w:rsidRPr="00126859" w:rsidRDefault="001000F7" w:rsidP="00D560BF">
            <w:pPr>
              <w:pStyle w:val="Heading8"/>
              <w:rPr>
                <w:szCs w:val="18"/>
                <w:lang w:val="de-DE"/>
              </w:rPr>
            </w:pPr>
            <w:bookmarkStart w:id="145" w:name="_Toc368400567"/>
            <w:r w:rsidRPr="00126859">
              <w:rPr>
                <w:szCs w:val="18"/>
                <w:lang w:val="de-DE"/>
              </w:rPr>
              <w:t>(e</w:t>
            </w:r>
            <w:r w:rsidR="00E163EA" w:rsidRPr="00126859">
              <w:rPr>
                <w:szCs w:val="18"/>
                <w:lang w:val="de-DE"/>
              </w:rPr>
              <w:t>)</w:t>
            </w:r>
            <w:r w:rsidR="009336F5" w:rsidRPr="00126859">
              <w:rPr>
                <w:szCs w:val="18"/>
                <w:lang w:val="de-DE"/>
              </w:rPr>
              <w:t xml:space="preserve">  </w:t>
            </w:r>
            <w:r w:rsidR="00126859" w:rsidRPr="00126859">
              <w:rPr>
                <w:color w:val="000000"/>
                <w:lang w:val="de-DE"/>
              </w:rPr>
              <w:t>Anzahl Gattungen/Arten, von denen Sorten geschützt wurden</w:t>
            </w:r>
            <w:bookmarkEnd w:id="145"/>
          </w:p>
          <w:p w:rsidR="00251675" w:rsidRDefault="002F530E" w:rsidP="002F530E">
            <w:pPr>
              <w:tabs>
                <w:tab w:val="left" w:pos="2410"/>
                <w:tab w:val="left" w:pos="4536"/>
                <w:tab w:val="left" w:pos="9072"/>
              </w:tabs>
              <w:jc w:val="left"/>
              <w:rPr>
                <w:sz w:val="18"/>
                <w:szCs w:val="18"/>
                <w:lang w:val="de-DE"/>
              </w:rPr>
            </w:pPr>
            <w:r w:rsidRPr="002F530E">
              <w:rPr>
                <w:sz w:val="18"/>
                <w:szCs w:val="18"/>
                <w:lang w:val="de-DE"/>
              </w:rPr>
              <w:t xml:space="preserve">Anzahl Pflanzengattungen und -arten mit Eintragung der Züchterrechte in die </w:t>
            </w:r>
            <w:r>
              <w:rPr>
                <w:sz w:val="18"/>
                <w:szCs w:val="18"/>
                <w:lang w:val="de-DE"/>
              </w:rPr>
              <w:t>D</w:t>
            </w:r>
            <w:r w:rsidRPr="002F530E">
              <w:rPr>
                <w:sz w:val="18"/>
                <w:szCs w:val="18"/>
                <w:lang w:val="de-DE"/>
              </w:rPr>
              <w:t xml:space="preserve">atenbank für Pflanzensorten </w:t>
            </w:r>
            <w:r w:rsidR="00AA5E43" w:rsidRPr="00701471">
              <w:rPr>
                <w:sz w:val="18"/>
                <w:szCs w:val="18"/>
                <w:lang w:val="de-DE"/>
              </w:rPr>
              <w:t>(PLUTO)</w:t>
            </w:r>
            <w:r w:rsidR="008227E2" w:rsidRPr="00701471">
              <w:rPr>
                <w:sz w:val="18"/>
                <w:szCs w:val="18"/>
                <w:lang w:val="de-DE"/>
              </w:rPr>
              <w:t xml:space="preserve">:  </w:t>
            </w:r>
          </w:p>
          <w:p w:rsidR="008227E2" w:rsidRPr="00701471" w:rsidRDefault="008227E2" w:rsidP="002F530E">
            <w:pPr>
              <w:tabs>
                <w:tab w:val="left" w:pos="2410"/>
                <w:tab w:val="left" w:pos="4536"/>
                <w:tab w:val="left" w:pos="9072"/>
              </w:tabs>
              <w:jc w:val="left"/>
              <w:rPr>
                <w:sz w:val="18"/>
                <w:szCs w:val="18"/>
                <w:lang w:val="de-DE"/>
              </w:rPr>
            </w:pPr>
            <w:r w:rsidRPr="00701471">
              <w:rPr>
                <w:sz w:val="18"/>
                <w:szCs w:val="18"/>
                <w:lang w:val="de-DE"/>
              </w:rPr>
              <w:t>3</w:t>
            </w:r>
            <w:r w:rsidR="002F530E">
              <w:rPr>
                <w:sz w:val="18"/>
                <w:szCs w:val="18"/>
                <w:lang w:val="de-DE"/>
              </w:rPr>
              <w:t xml:space="preserve"> </w:t>
            </w:r>
            <w:r w:rsidR="00F57DB7" w:rsidRPr="00701471">
              <w:rPr>
                <w:sz w:val="18"/>
                <w:szCs w:val="18"/>
                <w:lang w:val="de-DE"/>
              </w:rPr>
              <w:t>144</w:t>
            </w:r>
          </w:p>
          <w:p w:rsidR="008227E2" w:rsidRPr="00701471" w:rsidRDefault="008227E2" w:rsidP="00251675">
            <w:pPr>
              <w:tabs>
                <w:tab w:val="left" w:pos="2410"/>
                <w:tab w:val="left" w:pos="4536"/>
                <w:tab w:val="left" w:pos="9072"/>
              </w:tabs>
              <w:jc w:val="left"/>
              <w:rPr>
                <w:sz w:val="18"/>
                <w:szCs w:val="18"/>
                <w:lang w:val="de-DE"/>
              </w:rPr>
            </w:pPr>
            <w:r w:rsidRPr="00701471">
              <w:rPr>
                <w:sz w:val="18"/>
                <w:szCs w:val="18"/>
                <w:lang w:val="de-DE"/>
              </w:rPr>
              <w:t>(</w:t>
            </w:r>
            <w:r w:rsidR="002F530E">
              <w:rPr>
                <w:sz w:val="18"/>
                <w:szCs w:val="18"/>
                <w:lang w:val="de-DE"/>
              </w:rPr>
              <w:t>3 042 im</w:t>
            </w:r>
            <w:r w:rsidR="001000F7" w:rsidRPr="00701471">
              <w:rPr>
                <w:sz w:val="18"/>
                <w:szCs w:val="18"/>
                <w:lang w:val="de-DE"/>
              </w:rPr>
              <w:t xml:space="preserve"> August 2011;  </w:t>
            </w:r>
            <w:r w:rsidRPr="00701471">
              <w:rPr>
                <w:sz w:val="18"/>
                <w:szCs w:val="18"/>
                <w:lang w:val="de-DE"/>
              </w:rPr>
              <w:t>2</w:t>
            </w:r>
            <w:r w:rsidR="002F530E">
              <w:rPr>
                <w:sz w:val="18"/>
                <w:szCs w:val="18"/>
                <w:lang w:val="de-DE"/>
              </w:rPr>
              <w:t xml:space="preserve"> 940 im</w:t>
            </w:r>
            <w:r w:rsidRPr="00701471">
              <w:rPr>
                <w:sz w:val="18"/>
                <w:szCs w:val="18"/>
                <w:lang w:val="de-DE"/>
              </w:rPr>
              <w:t xml:space="preserve"> Aug</w:t>
            </w:r>
            <w:r w:rsidR="00251675">
              <w:rPr>
                <w:sz w:val="18"/>
                <w:szCs w:val="18"/>
                <w:lang w:val="de-DE"/>
              </w:rPr>
              <w:t>ust</w:t>
            </w:r>
            <w:r w:rsidRPr="00701471">
              <w:rPr>
                <w:sz w:val="18"/>
                <w:szCs w:val="18"/>
                <w:lang w:val="de-DE"/>
              </w:rPr>
              <w:t xml:space="preserve"> 2010)</w:t>
            </w:r>
          </w:p>
          <w:p w:rsidR="009336F5" w:rsidRPr="00701471" w:rsidRDefault="009336F5" w:rsidP="00F57DB7">
            <w:pPr>
              <w:tabs>
                <w:tab w:val="left" w:pos="1735"/>
                <w:tab w:val="left" w:pos="2410"/>
                <w:tab w:val="left" w:pos="9072"/>
              </w:tabs>
              <w:jc w:val="left"/>
              <w:rPr>
                <w:sz w:val="18"/>
                <w:szCs w:val="18"/>
                <w:lang w:val="de-DE"/>
              </w:rPr>
            </w:pPr>
          </w:p>
          <w:p w:rsidR="00975801" w:rsidRPr="00701471" w:rsidRDefault="00975801" w:rsidP="00F57DB7">
            <w:pPr>
              <w:tabs>
                <w:tab w:val="left" w:pos="1735"/>
                <w:tab w:val="left" w:pos="2410"/>
                <w:tab w:val="left" w:pos="9072"/>
              </w:tabs>
              <w:jc w:val="left"/>
              <w:rPr>
                <w:sz w:val="18"/>
                <w:szCs w:val="18"/>
                <w:lang w:val="de-DE"/>
              </w:rPr>
            </w:pPr>
          </w:p>
        </w:tc>
      </w:tr>
      <w:tr w:rsidR="009336F5" w:rsidRPr="00DE5DFD" w:rsidTr="002874C7">
        <w:trPr>
          <w:cantSplit/>
        </w:trPr>
        <w:tc>
          <w:tcPr>
            <w:tcW w:w="2093" w:type="dxa"/>
          </w:tcPr>
          <w:p w:rsidR="009336F5" w:rsidRPr="00701471" w:rsidRDefault="009336F5" w:rsidP="00D560BF">
            <w:pPr>
              <w:rPr>
                <w:sz w:val="18"/>
                <w:szCs w:val="18"/>
                <w:lang w:val="de-DE"/>
              </w:rPr>
            </w:pPr>
          </w:p>
        </w:tc>
        <w:tc>
          <w:tcPr>
            <w:tcW w:w="7796" w:type="dxa"/>
          </w:tcPr>
          <w:p w:rsidR="009336F5" w:rsidRPr="00126859" w:rsidRDefault="00E163EA" w:rsidP="00D560BF">
            <w:pPr>
              <w:pStyle w:val="Heading8"/>
              <w:rPr>
                <w:szCs w:val="18"/>
                <w:lang w:val="de-DE"/>
              </w:rPr>
            </w:pPr>
            <w:bookmarkStart w:id="146" w:name="_Toc368400568"/>
            <w:r w:rsidRPr="00126859">
              <w:rPr>
                <w:szCs w:val="18"/>
                <w:lang w:val="de-DE"/>
              </w:rPr>
              <w:t>(</w:t>
            </w:r>
            <w:r w:rsidR="00D76CC0" w:rsidRPr="00126859">
              <w:rPr>
                <w:szCs w:val="18"/>
                <w:lang w:val="de-DE"/>
              </w:rPr>
              <w:t>f</w:t>
            </w:r>
            <w:r w:rsidRPr="00126859">
              <w:rPr>
                <w:szCs w:val="18"/>
                <w:lang w:val="de-DE"/>
              </w:rPr>
              <w:t>)</w:t>
            </w:r>
            <w:r w:rsidR="009336F5" w:rsidRPr="00126859">
              <w:rPr>
                <w:szCs w:val="18"/>
                <w:lang w:val="de-DE"/>
              </w:rPr>
              <w:t xml:space="preserve">  </w:t>
            </w:r>
            <w:r w:rsidR="00126859" w:rsidRPr="00126859">
              <w:rPr>
                <w:color w:val="000000"/>
                <w:lang w:val="de-DE"/>
              </w:rPr>
              <w:t xml:space="preserve">Verwendung der Standardverweise der UPOV in </w:t>
            </w:r>
            <w:r w:rsidR="006E1FFB">
              <w:rPr>
                <w:color w:val="000000"/>
                <w:lang w:val="de-DE"/>
              </w:rPr>
              <w:t>Anmelde</w:t>
            </w:r>
            <w:r w:rsidR="003A5F5E">
              <w:rPr>
                <w:color w:val="000000"/>
                <w:lang w:val="de-DE"/>
              </w:rPr>
              <w:t>formblätter</w:t>
            </w:r>
            <w:r w:rsidR="00126859" w:rsidRPr="00126859">
              <w:rPr>
                <w:color w:val="000000"/>
                <w:lang w:val="de-DE"/>
              </w:rPr>
              <w:t>n</w:t>
            </w:r>
            <w:bookmarkEnd w:id="146"/>
          </w:p>
          <w:p w:rsidR="00AA5E43" w:rsidRPr="00B10799" w:rsidRDefault="00F123B8" w:rsidP="00251675">
            <w:pPr>
              <w:autoSpaceDE w:val="0"/>
              <w:autoSpaceDN w:val="0"/>
              <w:adjustRightInd w:val="0"/>
              <w:rPr>
                <w:sz w:val="18"/>
                <w:szCs w:val="18"/>
                <w:lang w:val="de-DE"/>
              </w:rPr>
            </w:pPr>
            <w:r w:rsidRPr="00B10799">
              <w:rPr>
                <w:sz w:val="18"/>
                <w:szCs w:val="18"/>
                <w:lang w:val="de-DE"/>
              </w:rPr>
              <w:t>Im Jahr 2012</w:t>
            </w:r>
            <w:r w:rsidR="00251675">
              <w:rPr>
                <w:sz w:val="18"/>
                <w:szCs w:val="18"/>
                <w:lang w:val="de-DE"/>
              </w:rPr>
              <w:t xml:space="preserve"> </w:t>
            </w:r>
            <w:r w:rsidR="00251675" w:rsidRPr="00B10799">
              <w:rPr>
                <w:sz w:val="18"/>
                <w:szCs w:val="18"/>
                <w:lang w:val="de-DE"/>
              </w:rPr>
              <w:t>teilten</w:t>
            </w:r>
            <w:r w:rsidR="00F57DB7" w:rsidRPr="00B10799">
              <w:rPr>
                <w:sz w:val="18"/>
                <w:szCs w:val="18"/>
                <w:lang w:val="de-DE"/>
              </w:rPr>
              <w:t xml:space="preserve"> </w:t>
            </w:r>
            <w:r w:rsidR="00317D75" w:rsidRPr="00B10799">
              <w:rPr>
                <w:sz w:val="18"/>
                <w:szCs w:val="18"/>
                <w:lang w:val="de-DE"/>
              </w:rPr>
              <w:t xml:space="preserve">13 </w:t>
            </w:r>
            <w:r w:rsidR="003F377D" w:rsidRPr="00B10799">
              <w:rPr>
                <w:sz w:val="18"/>
                <w:szCs w:val="18"/>
                <w:lang w:val="de-DE"/>
              </w:rPr>
              <w:t>Verbandsmitglieder</w:t>
            </w:r>
            <w:r w:rsidR="00317D75" w:rsidRPr="00B10799">
              <w:rPr>
                <w:sz w:val="18"/>
                <w:szCs w:val="18"/>
                <w:lang w:val="de-DE"/>
              </w:rPr>
              <w:t xml:space="preserve"> </w:t>
            </w:r>
            <w:r w:rsidR="00B10799" w:rsidRPr="00B10799">
              <w:rPr>
                <w:sz w:val="18"/>
                <w:szCs w:val="18"/>
                <w:lang w:val="de-DE"/>
              </w:rPr>
              <w:t>mit, daß</w:t>
            </w:r>
            <w:r w:rsidR="00B10799">
              <w:rPr>
                <w:sz w:val="18"/>
                <w:szCs w:val="18"/>
                <w:lang w:val="de-DE"/>
              </w:rPr>
              <w:t xml:space="preserve"> die </w:t>
            </w:r>
            <w:r w:rsidR="00B10799" w:rsidRPr="00B10799">
              <w:rPr>
                <w:rFonts w:ascii="ArialMT" w:hAnsi="ArialMT" w:cs="ArialMT"/>
                <w:sz w:val="18"/>
                <w:szCs w:val="18"/>
                <w:lang w:val="de-DE"/>
              </w:rPr>
              <w:t>Standardverweise für das UPOV-Musterantragsformblatt</w:t>
            </w:r>
            <w:r w:rsidR="00F57DB7" w:rsidRPr="00B10799">
              <w:rPr>
                <w:rFonts w:ascii="ArialMT" w:hAnsi="ArialMT" w:cs="ArialMT"/>
                <w:sz w:val="18"/>
                <w:szCs w:val="18"/>
                <w:lang w:val="de-DE"/>
              </w:rPr>
              <w:t xml:space="preserve"> </w:t>
            </w:r>
            <w:r w:rsidR="00B10799">
              <w:rPr>
                <w:rFonts w:ascii="ArialMT" w:hAnsi="ArialMT" w:cs="ArialMT"/>
                <w:sz w:val="18"/>
                <w:szCs w:val="18"/>
                <w:lang w:val="de-DE"/>
              </w:rPr>
              <w:t>in ihre</w:t>
            </w:r>
            <w:r w:rsidR="00251675">
              <w:rPr>
                <w:rFonts w:ascii="ArialMT" w:hAnsi="ArialMT" w:cs="ArialMT"/>
                <w:sz w:val="18"/>
                <w:szCs w:val="18"/>
                <w:lang w:val="de-DE"/>
              </w:rPr>
              <w:t>n</w:t>
            </w:r>
            <w:r w:rsidR="00B10799">
              <w:rPr>
                <w:rFonts w:ascii="ArialMT" w:hAnsi="ArialMT" w:cs="ArialMT"/>
                <w:sz w:val="18"/>
                <w:szCs w:val="18"/>
                <w:lang w:val="de-DE"/>
              </w:rPr>
              <w:t xml:space="preserve"> </w:t>
            </w:r>
            <w:r w:rsidR="006E1FFB">
              <w:rPr>
                <w:rFonts w:ascii="ArialMT" w:hAnsi="ArialMT" w:cs="ArialMT"/>
                <w:sz w:val="18"/>
                <w:szCs w:val="18"/>
                <w:lang w:val="de-DE"/>
              </w:rPr>
              <w:t>Anmelde</w:t>
            </w:r>
            <w:r w:rsidR="00B10799">
              <w:rPr>
                <w:rFonts w:ascii="ArialMT" w:hAnsi="ArialMT" w:cs="ArialMT"/>
                <w:sz w:val="18"/>
                <w:szCs w:val="18"/>
                <w:lang w:val="de-DE"/>
              </w:rPr>
              <w:t>formblätter</w:t>
            </w:r>
            <w:r w:rsidR="00251675">
              <w:rPr>
                <w:rFonts w:ascii="ArialMT" w:hAnsi="ArialMT" w:cs="ArialMT"/>
                <w:sz w:val="18"/>
                <w:szCs w:val="18"/>
                <w:lang w:val="de-DE"/>
              </w:rPr>
              <w:t>n enthalten sind</w:t>
            </w:r>
            <w:r w:rsidR="00C0793E">
              <w:rPr>
                <w:rFonts w:ascii="ArialMT" w:hAnsi="ArialMT" w:cs="ArialMT"/>
                <w:sz w:val="18"/>
                <w:szCs w:val="18"/>
                <w:lang w:val="de-DE"/>
              </w:rPr>
              <w:t>.</w:t>
            </w:r>
          </w:p>
          <w:p w:rsidR="00F57DB7" w:rsidRPr="00B10799" w:rsidRDefault="00F57DB7" w:rsidP="00F57DB7">
            <w:pPr>
              <w:rPr>
                <w:sz w:val="18"/>
                <w:szCs w:val="18"/>
                <w:lang w:val="de-DE"/>
              </w:rPr>
            </w:pPr>
          </w:p>
          <w:p w:rsidR="00975801" w:rsidRPr="00B10799" w:rsidRDefault="00975801" w:rsidP="00F57DB7">
            <w:pPr>
              <w:rPr>
                <w:sz w:val="18"/>
                <w:szCs w:val="18"/>
                <w:lang w:val="de-DE"/>
              </w:rPr>
            </w:pPr>
          </w:p>
        </w:tc>
      </w:tr>
      <w:tr w:rsidR="009336F5" w:rsidRPr="00DE5DFD" w:rsidTr="002874C7">
        <w:trPr>
          <w:cantSplit/>
        </w:trPr>
        <w:tc>
          <w:tcPr>
            <w:tcW w:w="2093" w:type="dxa"/>
          </w:tcPr>
          <w:p w:rsidR="009336F5" w:rsidRPr="00B10799" w:rsidRDefault="009336F5" w:rsidP="00D560BF">
            <w:pPr>
              <w:rPr>
                <w:sz w:val="18"/>
                <w:szCs w:val="18"/>
                <w:lang w:val="de-DE"/>
              </w:rPr>
            </w:pPr>
          </w:p>
        </w:tc>
        <w:tc>
          <w:tcPr>
            <w:tcW w:w="7796" w:type="dxa"/>
          </w:tcPr>
          <w:p w:rsidR="009336F5" w:rsidRPr="00126859" w:rsidRDefault="00D76CC0" w:rsidP="00D560BF">
            <w:pPr>
              <w:pStyle w:val="Heading8"/>
              <w:rPr>
                <w:szCs w:val="18"/>
                <w:lang w:val="de-DE"/>
              </w:rPr>
            </w:pPr>
            <w:bookmarkStart w:id="147" w:name="_Toc368400569"/>
            <w:r w:rsidRPr="00126859">
              <w:rPr>
                <w:szCs w:val="18"/>
                <w:lang w:val="de-DE"/>
              </w:rPr>
              <w:t>(g</w:t>
            </w:r>
            <w:r w:rsidR="00E163EA" w:rsidRPr="00126859">
              <w:rPr>
                <w:szCs w:val="18"/>
                <w:lang w:val="de-DE"/>
              </w:rPr>
              <w:t>)</w:t>
            </w:r>
            <w:r w:rsidR="009336F5" w:rsidRPr="00126859">
              <w:rPr>
                <w:szCs w:val="18"/>
                <w:lang w:val="de-DE"/>
              </w:rPr>
              <w:t xml:space="preserve">  </w:t>
            </w:r>
            <w:r w:rsidR="00126859" w:rsidRPr="00126859">
              <w:rPr>
                <w:color w:val="000000"/>
                <w:lang w:val="de-DE"/>
              </w:rPr>
              <w:t>Verwendung von Blankoformblättern entsprechend dem „UPOV-Musterformblatt für die Anmeldung einer Sorte zur Erteilung des Sortenschutzes</w:t>
            </w:r>
            <w:r w:rsidR="009336F5" w:rsidRPr="00126859">
              <w:rPr>
                <w:szCs w:val="18"/>
                <w:lang w:val="de-DE"/>
              </w:rPr>
              <w:t>”</w:t>
            </w:r>
            <w:bookmarkEnd w:id="147"/>
          </w:p>
          <w:p w:rsidR="00975801" w:rsidRPr="00B10799" w:rsidRDefault="00B10799" w:rsidP="00251675">
            <w:pPr>
              <w:rPr>
                <w:sz w:val="18"/>
                <w:szCs w:val="18"/>
                <w:lang w:val="de-DE"/>
              </w:rPr>
            </w:pPr>
            <w:r w:rsidRPr="00B10799">
              <w:rPr>
                <w:sz w:val="18"/>
                <w:szCs w:val="18"/>
                <w:lang w:val="de-DE"/>
              </w:rPr>
              <w:t>Der</w:t>
            </w:r>
            <w:r w:rsidR="003A0608" w:rsidRPr="00B10799">
              <w:rPr>
                <w:sz w:val="18"/>
                <w:szCs w:val="18"/>
                <w:lang w:val="de-DE"/>
              </w:rPr>
              <w:t xml:space="preserve"> CAJ </w:t>
            </w:r>
            <w:r w:rsidRPr="00B10799">
              <w:rPr>
                <w:sz w:val="18"/>
                <w:szCs w:val="18"/>
                <w:lang w:val="de-DE"/>
              </w:rPr>
              <w:t>befürwortete</w:t>
            </w:r>
            <w:r w:rsidR="003A0608" w:rsidRPr="00B10799">
              <w:rPr>
                <w:sz w:val="18"/>
                <w:szCs w:val="18"/>
                <w:lang w:val="de-DE"/>
              </w:rPr>
              <w:t xml:space="preserve"> </w:t>
            </w:r>
            <w:r w:rsidR="00251675">
              <w:rPr>
                <w:sz w:val="18"/>
                <w:szCs w:val="18"/>
                <w:lang w:val="de-DE"/>
              </w:rPr>
              <w:t>die</w:t>
            </w:r>
            <w:r w:rsidR="003A0608" w:rsidRPr="00B10799">
              <w:rPr>
                <w:sz w:val="18"/>
                <w:szCs w:val="18"/>
                <w:lang w:val="de-DE"/>
              </w:rPr>
              <w:t xml:space="preserve"> </w:t>
            </w:r>
            <w:r w:rsidRPr="00B10799">
              <w:rPr>
                <w:sz w:val="18"/>
                <w:szCs w:val="18"/>
                <w:lang w:val="de-DE"/>
              </w:rPr>
              <w:t xml:space="preserve">Ausarbeitung eines Prototyps eines elektronischen Formblatts </w:t>
            </w:r>
            <w:r>
              <w:rPr>
                <w:sz w:val="18"/>
                <w:szCs w:val="18"/>
                <w:lang w:val="de-DE"/>
              </w:rPr>
              <w:t>für</w:t>
            </w:r>
            <w:r w:rsidR="003A0608" w:rsidRPr="00B10799">
              <w:rPr>
                <w:sz w:val="18"/>
                <w:szCs w:val="18"/>
                <w:lang w:val="de-DE"/>
              </w:rPr>
              <w:t xml:space="preserve"> </w:t>
            </w:r>
            <w:r>
              <w:rPr>
                <w:sz w:val="18"/>
                <w:szCs w:val="18"/>
                <w:lang w:val="de-DE"/>
              </w:rPr>
              <w:t xml:space="preserve">interessierte </w:t>
            </w:r>
            <w:r w:rsidR="003F377D" w:rsidRPr="00B10799">
              <w:rPr>
                <w:sz w:val="18"/>
                <w:szCs w:val="18"/>
                <w:lang w:val="de-DE"/>
              </w:rPr>
              <w:t>Verbandsmitglieder</w:t>
            </w:r>
            <w:r w:rsidR="003A0608" w:rsidRPr="00B10799">
              <w:rPr>
                <w:sz w:val="18"/>
                <w:szCs w:val="18"/>
                <w:lang w:val="de-DE"/>
              </w:rPr>
              <w:t xml:space="preserve">, </w:t>
            </w:r>
            <w:r w:rsidR="00AE628E">
              <w:rPr>
                <w:sz w:val="18"/>
                <w:szCs w:val="18"/>
                <w:lang w:val="de-DE"/>
              </w:rPr>
              <w:t xml:space="preserve">wobei die </w:t>
            </w:r>
            <w:r w:rsidR="00C34F1F" w:rsidRPr="00B10799">
              <w:rPr>
                <w:sz w:val="18"/>
                <w:szCs w:val="18"/>
                <w:lang w:val="de-DE"/>
              </w:rPr>
              <w:t>folgende</w:t>
            </w:r>
            <w:r w:rsidR="00AE628E">
              <w:rPr>
                <w:sz w:val="18"/>
                <w:szCs w:val="18"/>
                <w:lang w:val="de-DE"/>
              </w:rPr>
              <w:t>n</w:t>
            </w:r>
            <w:r w:rsidR="003A0608" w:rsidRPr="00B10799">
              <w:rPr>
                <w:sz w:val="18"/>
                <w:szCs w:val="18"/>
                <w:lang w:val="de-DE"/>
              </w:rPr>
              <w:t xml:space="preserve"> </w:t>
            </w:r>
            <w:r w:rsidR="003F377D" w:rsidRPr="00B10799">
              <w:rPr>
                <w:sz w:val="18"/>
                <w:szCs w:val="18"/>
                <w:lang w:val="de-DE"/>
              </w:rPr>
              <w:t>Verbandsmitglieder</w:t>
            </w:r>
            <w:r w:rsidR="003A0608" w:rsidRPr="00B10799">
              <w:rPr>
                <w:sz w:val="18"/>
                <w:szCs w:val="18"/>
                <w:lang w:val="de-DE"/>
              </w:rPr>
              <w:t xml:space="preserve">, </w:t>
            </w:r>
            <w:r w:rsidR="00AE628E">
              <w:rPr>
                <w:sz w:val="18"/>
                <w:szCs w:val="18"/>
                <w:lang w:val="de-DE"/>
              </w:rPr>
              <w:t>einschließlich der weiteren Teilnahme der Europäischen</w:t>
            </w:r>
            <w:r w:rsidR="003A0608" w:rsidRPr="00B10799">
              <w:rPr>
                <w:sz w:val="18"/>
                <w:szCs w:val="18"/>
                <w:lang w:val="de-DE"/>
              </w:rPr>
              <w:t xml:space="preserve"> Union, </w:t>
            </w:r>
            <w:r w:rsidR="00AE628E">
              <w:rPr>
                <w:sz w:val="18"/>
                <w:szCs w:val="18"/>
                <w:lang w:val="de-DE"/>
              </w:rPr>
              <w:t xml:space="preserve">ihr Interesse an </w:t>
            </w:r>
            <w:r w:rsidR="00251675">
              <w:rPr>
                <w:sz w:val="18"/>
                <w:szCs w:val="18"/>
                <w:lang w:val="de-DE"/>
              </w:rPr>
              <w:t xml:space="preserve">der Teilnahme an </w:t>
            </w:r>
            <w:r w:rsidR="00AE628E">
              <w:rPr>
                <w:sz w:val="18"/>
                <w:szCs w:val="18"/>
                <w:lang w:val="de-DE"/>
              </w:rPr>
              <w:t>dem Prototyp bekundeten</w:t>
            </w:r>
            <w:r w:rsidR="000B19E1">
              <w:rPr>
                <w:sz w:val="18"/>
                <w:szCs w:val="18"/>
                <w:lang w:val="de-DE"/>
              </w:rPr>
              <w:t>: Australien</w:t>
            </w:r>
            <w:r w:rsidR="003A0608" w:rsidRPr="00B10799">
              <w:rPr>
                <w:sz w:val="18"/>
                <w:szCs w:val="18"/>
                <w:lang w:val="de-DE"/>
              </w:rPr>
              <w:t xml:space="preserve">, </w:t>
            </w:r>
            <w:r w:rsidR="000B19E1">
              <w:rPr>
                <w:sz w:val="18"/>
                <w:szCs w:val="18"/>
                <w:lang w:val="de-DE"/>
              </w:rPr>
              <w:t>Brasilien</w:t>
            </w:r>
            <w:r w:rsidR="003A0608" w:rsidRPr="00B10799">
              <w:rPr>
                <w:sz w:val="18"/>
                <w:szCs w:val="18"/>
                <w:lang w:val="de-DE"/>
              </w:rPr>
              <w:t xml:space="preserve">, </w:t>
            </w:r>
            <w:r w:rsidR="000B19E1">
              <w:rPr>
                <w:sz w:val="18"/>
                <w:szCs w:val="18"/>
                <w:lang w:val="de-DE"/>
              </w:rPr>
              <w:t>Dominikanische Republik</w:t>
            </w:r>
            <w:r w:rsidR="003A0608" w:rsidRPr="00B10799">
              <w:rPr>
                <w:sz w:val="18"/>
                <w:szCs w:val="18"/>
                <w:lang w:val="de-DE"/>
              </w:rPr>
              <w:t xml:space="preserve">, </w:t>
            </w:r>
            <w:r w:rsidR="000B19E1">
              <w:rPr>
                <w:sz w:val="18"/>
                <w:szCs w:val="18"/>
                <w:lang w:val="de-DE"/>
              </w:rPr>
              <w:t>Kanada</w:t>
            </w:r>
            <w:r w:rsidR="000B19E1" w:rsidRPr="00B10799">
              <w:rPr>
                <w:sz w:val="18"/>
                <w:szCs w:val="18"/>
                <w:lang w:val="de-DE"/>
              </w:rPr>
              <w:t xml:space="preserve">, </w:t>
            </w:r>
            <w:r w:rsidR="000B19E1">
              <w:rPr>
                <w:sz w:val="18"/>
                <w:szCs w:val="18"/>
                <w:lang w:val="de-DE"/>
              </w:rPr>
              <w:t>Kolumbien</w:t>
            </w:r>
            <w:r w:rsidR="000B19E1" w:rsidRPr="00B10799">
              <w:rPr>
                <w:sz w:val="18"/>
                <w:szCs w:val="18"/>
                <w:lang w:val="de-DE"/>
              </w:rPr>
              <w:t xml:space="preserve">, </w:t>
            </w:r>
            <w:r w:rsidR="000B19E1">
              <w:rPr>
                <w:sz w:val="18"/>
                <w:szCs w:val="18"/>
                <w:lang w:val="de-DE"/>
              </w:rPr>
              <w:t>Mexiko</w:t>
            </w:r>
            <w:r w:rsidR="003A0608" w:rsidRPr="00B10799">
              <w:rPr>
                <w:sz w:val="18"/>
                <w:szCs w:val="18"/>
                <w:lang w:val="de-DE"/>
              </w:rPr>
              <w:t>,</w:t>
            </w:r>
            <w:r w:rsidR="002E0794" w:rsidRPr="00B10799">
              <w:rPr>
                <w:sz w:val="18"/>
                <w:szCs w:val="18"/>
                <w:lang w:val="de-DE"/>
              </w:rPr>
              <w:t xml:space="preserve"> </w:t>
            </w:r>
            <w:r w:rsidR="000B19E1">
              <w:rPr>
                <w:sz w:val="18"/>
                <w:szCs w:val="18"/>
                <w:lang w:val="de-DE"/>
              </w:rPr>
              <w:t>Neuseeland</w:t>
            </w:r>
            <w:r w:rsidR="003A0608" w:rsidRPr="00B10799">
              <w:rPr>
                <w:sz w:val="18"/>
                <w:szCs w:val="18"/>
                <w:lang w:val="de-DE"/>
              </w:rPr>
              <w:t xml:space="preserve">, Paraguay, </w:t>
            </w:r>
            <w:r w:rsidR="00E35033" w:rsidRPr="00B10799">
              <w:rPr>
                <w:sz w:val="18"/>
                <w:szCs w:val="18"/>
                <w:lang w:val="de-DE"/>
              </w:rPr>
              <w:t>Republik Korea</w:t>
            </w:r>
            <w:r w:rsidR="003A0608" w:rsidRPr="00B10799">
              <w:rPr>
                <w:sz w:val="18"/>
                <w:szCs w:val="18"/>
                <w:lang w:val="de-DE"/>
              </w:rPr>
              <w:t xml:space="preserve">, </w:t>
            </w:r>
            <w:r w:rsidR="00202242" w:rsidRPr="00B10799">
              <w:rPr>
                <w:sz w:val="18"/>
                <w:szCs w:val="18"/>
                <w:lang w:val="de-DE"/>
              </w:rPr>
              <w:t>Vereinigte Staaten von Amerika</w:t>
            </w:r>
            <w:r w:rsidR="003F377D" w:rsidRPr="00B10799">
              <w:rPr>
                <w:sz w:val="18"/>
                <w:szCs w:val="18"/>
                <w:lang w:val="de-DE"/>
              </w:rPr>
              <w:t xml:space="preserve"> und </w:t>
            </w:r>
            <w:r w:rsidR="000B19E1">
              <w:rPr>
                <w:sz w:val="18"/>
                <w:szCs w:val="18"/>
                <w:lang w:val="de-DE"/>
              </w:rPr>
              <w:t>Vietnam</w:t>
            </w:r>
            <w:r w:rsidR="003A0608" w:rsidRPr="00B10799">
              <w:rPr>
                <w:sz w:val="18"/>
                <w:szCs w:val="18"/>
                <w:lang w:val="de-DE"/>
              </w:rPr>
              <w:t xml:space="preserve"> (</w:t>
            </w:r>
            <w:r w:rsidR="00FE2376" w:rsidRPr="00B10799">
              <w:rPr>
                <w:sz w:val="18"/>
                <w:szCs w:val="18"/>
                <w:lang w:val="de-DE"/>
              </w:rPr>
              <w:t>vergleiche Dokument</w:t>
            </w:r>
            <w:r w:rsidR="003A0608" w:rsidRPr="00B10799">
              <w:rPr>
                <w:sz w:val="18"/>
                <w:szCs w:val="18"/>
                <w:lang w:val="de-DE"/>
              </w:rPr>
              <w:t xml:space="preserve"> CAJ/66/9 “</w:t>
            </w:r>
            <w:r w:rsidR="00251675">
              <w:rPr>
                <w:sz w:val="18"/>
                <w:szCs w:val="18"/>
                <w:lang w:val="de-DE"/>
              </w:rPr>
              <w:t>Bericht</w:t>
            </w:r>
            <w:r w:rsidR="003A0608" w:rsidRPr="00B10799">
              <w:rPr>
                <w:sz w:val="18"/>
                <w:szCs w:val="18"/>
                <w:lang w:val="de-DE"/>
              </w:rPr>
              <w:t>”)</w:t>
            </w:r>
          </w:p>
          <w:p w:rsidR="00F30DC5" w:rsidRPr="00B10799" w:rsidRDefault="00F30DC5" w:rsidP="009336F5">
            <w:pPr>
              <w:rPr>
                <w:sz w:val="18"/>
                <w:szCs w:val="18"/>
                <w:lang w:val="de-DE"/>
              </w:rPr>
            </w:pPr>
          </w:p>
          <w:p w:rsidR="00845DE8" w:rsidRPr="00B10799" w:rsidRDefault="00845DE8" w:rsidP="009336F5">
            <w:pPr>
              <w:rPr>
                <w:sz w:val="18"/>
                <w:szCs w:val="18"/>
                <w:lang w:val="de-DE"/>
              </w:rPr>
            </w:pPr>
          </w:p>
        </w:tc>
      </w:tr>
    </w:tbl>
    <w:p w:rsidR="00975801" w:rsidRPr="00B10799" w:rsidRDefault="00975801">
      <w:pPr>
        <w:rPr>
          <w:lang w:val="de-DE"/>
        </w:rPr>
      </w:pPr>
    </w:p>
    <w:tbl>
      <w:tblPr>
        <w:tblW w:w="9889" w:type="dxa"/>
        <w:tblLayout w:type="fixed"/>
        <w:tblLook w:val="0000" w:firstRow="0" w:lastRow="0" w:firstColumn="0" w:lastColumn="0" w:noHBand="0" w:noVBand="0"/>
      </w:tblPr>
      <w:tblGrid>
        <w:gridCol w:w="2093"/>
        <w:gridCol w:w="7796"/>
      </w:tblGrid>
      <w:tr w:rsidR="007919C8" w:rsidRPr="000B19E1" w:rsidTr="002874C7">
        <w:trPr>
          <w:cantSplit/>
        </w:trPr>
        <w:tc>
          <w:tcPr>
            <w:tcW w:w="2093" w:type="dxa"/>
          </w:tcPr>
          <w:p w:rsidR="007919C8" w:rsidRPr="00D936F9" w:rsidRDefault="007919C8" w:rsidP="00114294">
            <w:pPr>
              <w:pStyle w:val="Heading6"/>
              <w:rPr>
                <w:lang w:val="de-DE"/>
              </w:rPr>
            </w:pPr>
            <w:bookmarkStart w:id="148" w:name="_Toc368400570"/>
            <w:r w:rsidRPr="003D3420">
              <w:rPr>
                <w:lang w:val="de-DE"/>
              </w:rPr>
              <w:t>7.  </w:t>
            </w:r>
            <w:r w:rsidR="00D936F9" w:rsidRPr="00D936F9">
              <w:rPr>
                <w:color w:val="000000"/>
                <w:lang w:val="de-DE"/>
              </w:rPr>
              <w:t xml:space="preserve">Erteilung von Auskünften über das </w:t>
            </w:r>
            <w:r w:rsidR="00D936F9" w:rsidRPr="002874C7">
              <w:rPr>
                <w:color w:val="000000"/>
                <w:spacing w:val="-2"/>
                <w:lang w:val="de-DE"/>
              </w:rPr>
              <w:t>UPOV-Übereinkommen</w:t>
            </w:r>
            <w:r w:rsidR="00D936F9" w:rsidRPr="00D936F9">
              <w:rPr>
                <w:color w:val="000000"/>
                <w:lang w:val="de-DE"/>
              </w:rPr>
              <w:t xml:space="preserve"> an Interessensvertreter (Züchter, Produzenten, Landwirte, Saatguthändler usw</w:t>
            </w:r>
            <w:r w:rsidRPr="00D936F9">
              <w:rPr>
                <w:lang w:val="de-DE"/>
              </w:rPr>
              <w:t>.)</w:t>
            </w:r>
            <w:bookmarkEnd w:id="148"/>
          </w:p>
        </w:tc>
        <w:tc>
          <w:tcPr>
            <w:tcW w:w="7796" w:type="dxa"/>
          </w:tcPr>
          <w:p w:rsidR="007919C8" w:rsidRPr="00D936F9" w:rsidRDefault="00E163EA" w:rsidP="00056ACE">
            <w:pPr>
              <w:pStyle w:val="Heading8"/>
              <w:rPr>
                <w:szCs w:val="18"/>
                <w:lang w:val="de-DE"/>
              </w:rPr>
            </w:pPr>
            <w:bookmarkStart w:id="149" w:name="_Toc368400571"/>
            <w:r w:rsidRPr="00D936F9">
              <w:rPr>
                <w:szCs w:val="18"/>
                <w:lang w:val="de-DE"/>
              </w:rPr>
              <w:t>(a)</w:t>
            </w:r>
            <w:r w:rsidR="007919C8" w:rsidRPr="00D936F9">
              <w:rPr>
                <w:szCs w:val="18"/>
                <w:lang w:val="de-DE"/>
              </w:rPr>
              <w:t xml:space="preserve">  </w:t>
            </w:r>
            <w:r w:rsidR="00D936F9" w:rsidRPr="00D936F9">
              <w:rPr>
                <w:color w:val="000000"/>
                <w:lang w:val="de-DE"/>
              </w:rPr>
              <w:t>Nutzerorientierte Informationen auf der UPOV-Website</w:t>
            </w:r>
            <w:bookmarkEnd w:id="149"/>
          </w:p>
          <w:p w:rsidR="007919C8" w:rsidRPr="000B19E1" w:rsidRDefault="000B19E1" w:rsidP="000B19E1">
            <w:pPr>
              <w:rPr>
                <w:szCs w:val="18"/>
              </w:rPr>
            </w:pPr>
            <w:r>
              <w:rPr>
                <w:sz w:val="18"/>
                <w:szCs w:val="18"/>
                <w:lang w:val="de-DE"/>
              </w:rPr>
              <w:t>Die</w:t>
            </w:r>
            <w:r w:rsidR="003A0608" w:rsidRPr="000B19E1">
              <w:rPr>
                <w:sz w:val="18"/>
                <w:szCs w:val="18"/>
                <w:lang w:val="de-DE"/>
              </w:rPr>
              <w:t xml:space="preserve"> </w:t>
            </w:r>
            <w:r w:rsidRPr="000B19E1">
              <w:rPr>
                <w:sz w:val="18"/>
                <w:szCs w:val="18"/>
                <w:lang w:val="de-DE"/>
              </w:rPr>
              <w:t>Referate</w:t>
            </w:r>
            <w:r w:rsidR="003F377D" w:rsidRPr="000B19E1">
              <w:rPr>
                <w:sz w:val="18"/>
                <w:szCs w:val="18"/>
                <w:lang w:val="de-DE"/>
              </w:rPr>
              <w:t xml:space="preserve"> und </w:t>
            </w:r>
            <w:r>
              <w:rPr>
                <w:sz w:val="18"/>
                <w:szCs w:val="18"/>
                <w:lang w:val="de-DE"/>
              </w:rPr>
              <w:t>Schlussworte</w:t>
            </w:r>
            <w:r w:rsidR="003A0608" w:rsidRPr="000B19E1">
              <w:rPr>
                <w:sz w:val="18"/>
                <w:szCs w:val="18"/>
                <w:lang w:val="de-DE"/>
              </w:rPr>
              <w:t xml:space="preserve"> </w:t>
            </w:r>
            <w:r>
              <w:rPr>
                <w:sz w:val="18"/>
                <w:szCs w:val="18"/>
                <w:lang w:val="de-DE"/>
              </w:rPr>
              <w:t xml:space="preserve">von dem </w:t>
            </w:r>
            <w:r w:rsidR="00C34F1F" w:rsidRPr="000B19E1">
              <w:rPr>
                <w:sz w:val="18"/>
                <w:szCs w:val="18"/>
                <w:lang w:val="de-DE"/>
              </w:rPr>
              <w:t>Symposium über die Vorteile des Sortenschutzes für Landwirte und Pflanzer</w:t>
            </w:r>
            <w:r w:rsidR="003A0608" w:rsidRPr="000B19E1">
              <w:rPr>
                <w:sz w:val="18"/>
                <w:szCs w:val="18"/>
                <w:lang w:val="de-DE"/>
              </w:rPr>
              <w:t xml:space="preserve"> </w:t>
            </w:r>
            <w:r w:rsidR="00042C4A" w:rsidRPr="000B19E1">
              <w:rPr>
                <w:sz w:val="18"/>
                <w:szCs w:val="18"/>
                <w:lang w:val="de-DE"/>
              </w:rPr>
              <w:t>in Genf</w:t>
            </w:r>
            <w:r w:rsidR="003A0608" w:rsidRPr="000B19E1">
              <w:rPr>
                <w:sz w:val="18"/>
                <w:szCs w:val="18"/>
                <w:lang w:val="de-DE"/>
              </w:rPr>
              <w:t xml:space="preserve"> </w:t>
            </w:r>
            <w:r>
              <w:rPr>
                <w:sz w:val="18"/>
                <w:szCs w:val="18"/>
                <w:lang w:val="de-DE"/>
              </w:rPr>
              <w:t xml:space="preserve">am 2. </w:t>
            </w:r>
            <w:r w:rsidR="003A0608" w:rsidRPr="000B19E1">
              <w:rPr>
                <w:sz w:val="18"/>
                <w:szCs w:val="18"/>
              </w:rPr>
              <w:t>November 2</w:t>
            </w:r>
            <w:r w:rsidRPr="000B19E1">
              <w:rPr>
                <w:sz w:val="18"/>
                <w:szCs w:val="18"/>
              </w:rPr>
              <w:t>012 wurden auf die</w:t>
            </w:r>
            <w:r>
              <w:rPr>
                <w:sz w:val="18"/>
                <w:szCs w:val="18"/>
              </w:rPr>
              <w:t xml:space="preserve"> UPOV-Website gestellt</w:t>
            </w:r>
            <w:r w:rsidR="003A0608" w:rsidRPr="000B19E1">
              <w:rPr>
                <w:sz w:val="18"/>
                <w:szCs w:val="18"/>
              </w:rPr>
              <w:t>.</w:t>
            </w:r>
          </w:p>
        </w:tc>
      </w:tr>
    </w:tbl>
    <w:p w:rsidR="00187BD5" w:rsidRDefault="00187BD5">
      <w:pPr>
        <w:jc w:val="left"/>
        <w:rPr>
          <w:b/>
          <w:caps/>
          <w:sz w:val="18"/>
          <w:lang w:val="de-DE"/>
        </w:rPr>
      </w:pPr>
      <w:bookmarkStart w:id="150" w:name="_Toc336339204"/>
      <w:r>
        <w:rPr>
          <w:lang w:val="de-DE"/>
        </w:rPr>
        <w:br w:type="page"/>
      </w:r>
    </w:p>
    <w:p w:rsidR="00C74C0E" w:rsidRPr="00C74CCD" w:rsidRDefault="00202242" w:rsidP="00C74CCD">
      <w:pPr>
        <w:pStyle w:val="Heading3"/>
        <w:rPr>
          <w:lang w:val="de-DE"/>
        </w:rPr>
      </w:pPr>
      <w:bookmarkStart w:id="151" w:name="_Toc368400572"/>
      <w:r w:rsidRPr="00C74CCD">
        <w:rPr>
          <w:lang w:val="de-DE"/>
        </w:rPr>
        <w:t>Unterprogramm</w:t>
      </w:r>
      <w:r w:rsidR="00C74C0E" w:rsidRPr="00C74CCD">
        <w:rPr>
          <w:caps w:val="0"/>
          <w:lang w:val="de-DE"/>
        </w:rPr>
        <w:t xml:space="preserve"> UV.3:  </w:t>
      </w:r>
      <w:bookmarkEnd w:id="150"/>
      <w:r w:rsidR="00C74CCD" w:rsidRPr="00C74CCD">
        <w:rPr>
          <w:lang w:val="de-DE"/>
        </w:rPr>
        <w:t>Unterstützung bei der Einführung und Umsetzung des UPOV-Systems</w:t>
      </w:r>
      <w:bookmarkEnd w:id="151"/>
    </w:p>
    <w:p w:rsidR="00C74C0E" w:rsidRPr="00C74CCD" w:rsidRDefault="00C74C0E" w:rsidP="00C74C0E">
      <w:pPr>
        <w:rPr>
          <w:sz w:val="18"/>
          <w:szCs w:val="18"/>
          <w:lang w:val="de-DE"/>
        </w:rPr>
      </w:pPr>
    </w:p>
    <w:p w:rsidR="00C74C0E" w:rsidRPr="00C74CCD" w:rsidRDefault="00C74CCD" w:rsidP="00C74CCD">
      <w:pPr>
        <w:rPr>
          <w:sz w:val="18"/>
          <w:szCs w:val="18"/>
          <w:lang w:val="de-DE"/>
        </w:rPr>
      </w:pPr>
      <w:r w:rsidRPr="002539B4">
        <w:rPr>
          <w:rFonts w:cs="Arial"/>
          <w:sz w:val="18"/>
          <w:szCs w:val="18"/>
          <w:lang w:val="de-DE" w:eastAsia="de-DE"/>
        </w:rPr>
        <w:t xml:space="preserve">Der Verband unterstützte eine Reihe von Staaten bei der Umsetzung des Sortenschutzes nach dem UPOV–Übereinkommen und erteilte Regierungen Beratung bei der Vorbereitung der entsprechenden Rechtsvorschriften. Die Zusammenarbeit mit Verbandsmitgliedern, insbesondere in bezug auf Ausbildungslehrgänge, trägt wesentlich zur Ausdehnung der Reichweite bei. Die Nutzung des Fernlehrgangs „Einführung in das UPOV-System für Sortenschutz unter dem UPOV-Übereinkommen“ sowie auch die Ausbildung von Ausbildern gewannen bei der Bereitstellung von Unterstützung für eine breite Vielfalt von Sachverständigen zunehmend an Bedeutung. </w:t>
      </w:r>
      <w:r w:rsidR="00C74C0E" w:rsidRPr="00C74CCD">
        <w:rPr>
          <w:sz w:val="18"/>
          <w:szCs w:val="18"/>
          <w:lang w:val="de-DE"/>
        </w:rPr>
        <w:t xml:space="preserve">  </w:t>
      </w:r>
    </w:p>
    <w:p w:rsidR="002D00EB" w:rsidRPr="00C74CCD" w:rsidRDefault="002D00EB" w:rsidP="00C74C0E">
      <w:pPr>
        <w:rPr>
          <w:sz w:val="18"/>
          <w:szCs w:val="18"/>
          <w:lang w:val="de-DE"/>
        </w:rPr>
      </w:pPr>
    </w:p>
    <w:p w:rsidR="002D00EB" w:rsidRPr="00C74CCD" w:rsidRDefault="002D00EB" w:rsidP="00C74C0E">
      <w:pPr>
        <w:rPr>
          <w:sz w:val="18"/>
          <w:szCs w:val="18"/>
          <w:lang w:val="de-DE"/>
        </w:rPr>
      </w:pPr>
    </w:p>
    <w:tbl>
      <w:tblPr>
        <w:tblW w:w="9889" w:type="dxa"/>
        <w:tblLayout w:type="fixed"/>
        <w:tblLook w:val="0000" w:firstRow="0" w:lastRow="0" w:firstColumn="0" w:lastColumn="0" w:noHBand="0" w:noVBand="0"/>
      </w:tblPr>
      <w:tblGrid>
        <w:gridCol w:w="2093"/>
        <w:gridCol w:w="7796"/>
      </w:tblGrid>
      <w:tr w:rsidR="00C74C0E" w:rsidRPr="00DE5DFD" w:rsidTr="002874C7">
        <w:tc>
          <w:tcPr>
            <w:tcW w:w="2093" w:type="dxa"/>
          </w:tcPr>
          <w:p w:rsidR="00C74C0E" w:rsidRPr="006054BD" w:rsidRDefault="00A71FDD" w:rsidP="000476CE">
            <w:pPr>
              <w:pStyle w:val="Heading5"/>
            </w:pPr>
            <w:bookmarkStart w:id="152" w:name="_Toc336339205"/>
            <w:bookmarkStart w:id="153" w:name="_Toc368400573"/>
            <w:r>
              <w:t>Ziele</w:t>
            </w:r>
            <w:r w:rsidR="00C74C0E" w:rsidRPr="006054BD">
              <w:t>:</w:t>
            </w:r>
            <w:bookmarkEnd w:id="152"/>
            <w:bookmarkEnd w:id="153"/>
          </w:p>
        </w:tc>
        <w:tc>
          <w:tcPr>
            <w:tcW w:w="7796" w:type="dxa"/>
          </w:tcPr>
          <w:p w:rsidR="0053630C" w:rsidRPr="00C74CCD" w:rsidRDefault="00C74CCD" w:rsidP="00883B43">
            <w:pPr>
              <w:keepNext/>
              <w:keepLines/>
              <w:widowControl w:val="0"/>
              <w:numPr>
                <w:ilvl w:val="0"/>
                <w:numId w:val="18"/>
              </w:numPr>
              <w:rPr>
                <w:spacing w:val="-1"/>
                <w:sz w:val="18"/>
                <w:szCs w:val="18"/>
                <w:lang w:val="de-DE"/>
              </w:rPr>
            </w:pPr>
            <w:r w:rsidRPr="00C74CCD">
              <w:rPr>
                <w:sz w:val="18"/>
                <w:szCs w:val="18"/>
                <w:lang w:val="de-DE"/>
              </w:rPr>
              <w:t>Sensibilisierung für die Bedeutung des Sortenschutzes nach dem UPOV</w:t>
            </w:r>
            <w:r w:rsidRPr="00C74CCD">
              <w:rPr>
                <w:sz w:val="18"/>
                <w:szCs w:val="18"/>
                <w:lang w:val="de-DE"/>
              </w:rPr>
              <w:noBreakHyphen/>
              <w:t>Übereinkommen</w:t>
            </w:r>
            <w:r w:rsidR="0053630C" w:rsidRPr="00C74CCD">
              <w:rPr>
                <w:spacing w:val="-1"/>
                <w:sz w:val="18"/>
                <w:szCs w:val="18"/>
                <w:lang w:val="de-DE"/>
              </w:rPr>
              <w:t>.</w:t>
            </w:r>
          </w:p>
          <w:p w:rsidR="00C74C0E" w:rsidRPr="00C74CCD" w:rsidRDefault="00C74CCD" w:rsidP="00883B43">
            <w:pPr>
              <w:keepNext/>
              <w:keepLines/>
              <w:widowControl w:val="0"/>
              <w:numPr>
                <w:ilvl w:val="0"/>
                <w:numId w:val="18"/>
              </w:numPr>
              <w:rPr>
                <w:sz w:val="18"/>
                <w:szCs w:val="18"/>
                <w:lang w:val="de-DE"/>
              </w:rPr>
            </w:pPr>
            <w:r w:rsidRPr="00C74CCD">
              <w:rPr>
                <w:sz w:val="18"/>
                <w:szCs w:val="18"/>
                <w:lang w:val="de-DE"/>
              </w:rPr>
              <w:t>Unterstützung von Staaten und Organisationen, insbesondere der Regierungen von Entwicklungsländern und der Länder im Übergang zur Marktwirtschaft, bei der Ausarbeitung von Rechtsvorschriften, die der Akte von 1991 des UPOV-Übereinkommens entsprechen</w:t>
            </w:r>
            <w:r w:rsidR="00C74C0E" w:rsidRPr="00C74CCD">
              <w:rPr>
                <w:sz w:val="18"/>
                <w:szCs w:val="18"/>
                <w:lang w:val="de-DE"/>
              </w:rPr>
              <w:t>.</w:t>
            </w:r>
          </w:p>
          <w:p w:rsidR="00C74C0E" w:rsidRPr="00C74CCD" w:rsidRDefault="00C74CCD" w:rsidP="00883B43">
            <w:pPr>
              <w:keepNext/>
              <w:keepLines/>
              <w:widowControl w:val="0"/>
              <w:numPr>
                <w:ilvl w:val="0"/>
                <w:numId w:val="18"/>
              </w:numPr>
              <w:rPr>
                <w:sz w:val="18"/>
                <w:szCs w:val="18"/>
                <w:lang w:val="de-DE"/>
              </w:rPr>
            </w:pPr>
            <w:r w:rsidRPr="00C74CCD">
              <w:rPr>
                <w:sz w:val="18"/>
                <w:szCs w:val="18"/>
                <w:lang w:val="de-DE"/>
              </w:rPr>
              <w:t>Unterstützung von Staaten und Organisationen beim Beitritt zur Akte von 1991 des UPOV</w:t>
            </w:r>
            <w:r w:rsidR="00883B43">
              <w:rPr>
                <w:sz w:val="18"/>
                <w:szCs w:val="18"/>
                <w:lang w:val="de-DE"/>
              </w:rPr>
              <w:noBreakHyphen/>
            </w:r>
            <w:r w:rsidRPr="00C74CCD">
              <w:rPr>
                <w:sz w:val="18"/>
                <w:szCs w:val="18"/>
                <w:lang w:val="de-DE"/>
              </w:rPr>
              <w:t>Übereinkommens</w:t>
            </w:r>
            <w:r w:rsidR="00C74C0E" w:rsidRPr="00C74CCD">
              <w:rPr>
                <w:sz w:val="18"/>
                <w:szCs w:val="18"/>
                <w:lang w:val="de-DE"/>
              </w:rPr>
              <w:t>.</w:t>
            </w:r>
          </w:p>
          <w:p w:rsidR="00C74C0E" w:rsidRPr="00C74CCD" w:rsidRDefault="00C74CCD" w:rsidP="00883B43">
            <w:pPr>
              <w:keepNext/>
              <w:keepLines/>
              <w:widowControl w:val="0"/>
              <w:numPr>
                <w:ilvl w:val="0"/>
                <w:numId w:val="18"/>
              </w:numPr>
              <w:rPr>
                <w:sz w:val="18"/>
                <w:szCs w:val="18"/>
                <w:lang w:val="de-DE"/>
              </w:rPr>
            </w:pPr>
            <w:r w:rsidRPr="00C74CCD">
              <w:rPr>
                <w:sz w:val="18"/>
                <w:szCs w:val="18"/>
                <w:lang w:val="de-DE"/>
              </w:rPr>
              <w:t>Unterstützung von Staaten und Organisationen bei der Umsetzung wirksamer Sortenschutzsysteme nach der Akte von 1991 des UPOV-Übereinkommens</w:t>
            </w:r>
            <w:r w:rsidR="00C74C0E" w:rsidRPr="00C74CCD">
              <w:rPr>
                <w:sz w:val="18"/>
                <w:szCs w:val="18"/>
                <w:lang w:val="de-DE"/>
              </w:rPr>
              <w:t>.</w:t>
            </w:r>
          </w:p>
        </w:tc>
      </w:tr>
    </w:tbl>
    <w:p w:rsidR="00C74C0E" w:rsidRPr="00C74CCD" w:rsidRDefault="00C74C0E" w:rsidP="00C74C0E">
      <w:pPr>
        <w:rPr>
          <w:sz w:val="18"/>
          <w:szCs w:val="18"/>
          <w:lang w:val="de-DE"/>
        </w:rPr>
      </w:pPr>
    </w:p>
    <w:p w:rsidR="00C74C0E" w:rsidRPr="00C74CCD" w:rsidRDefault="00C74C0E" w:rsidP="00C74C0E">
      <w:pPr>
        <w:rPr>
          <w:sz w:val="18"/>
          <w:szCs w:val="18"/>
          <w:lang w:val="de-DE"/>
        </w:rPr>
      </w:pPr>
    </w:p>
    <w:tbl>
      <w:tblPr>
        <w:tblW w:w="9889" w:type="dxa"/>
        <w:tblLayout w:type="fixed"/>
        <w:tblLook w:val="0000" w:firstRow="0" w:lastRow="0" w:firstColumn="0" w:lastColumn="0" w:noHBand="0" w:noVBand="0"/>
      </w:tblPr>
      <w:tblGrid>
        <w:gridCol w:w="2093"/>
        <w:gridCol w:w="7796"/>
      </w:tblGrid>
      <w:tr w:rsidR="00C74C0E" w:rsidRPr="006054BD" w:rsidTr="002874C7">
        <w:trPr>
          <w:tblHeader/>
        </w:trPr>
        <w:tc>
          <w:tcPr>
            <w:tcW w:w="2093" w:type="dxa"/>
          </w:tcPr>
          <w:p w:rsidR="00C74C0E" w:rsidRPr="006054BD" w:rsidRDefault="00A71FDD" w:rsidP="000476CE">
            <w:pPr>
              <w:pStyle w:val="Heading5"/>
            </w:pPr>
            <w:bookmarkStart w:id="154" w:name="_Toc368400574"/>
            <w:r>
              <w:t>Erwartete Ergebnisse</w:t>
            </w:r>
            <w:bookmarkEnd w:id="154"/>
          </w:p>
        </w:tc>
        <w:tc>
          <w:tcPr>
            <w:tcW w:w="7796" w:type="dxa"/>
          </w:tcPr>
          <w:p w:rsidR="00C74C0E" w:rsidRPr="006054BD" w:rsidRDefault="00A71FDD" w:rsidP="00C74C0E">
            <w:pPr>
              <w:pStyle w:val="Heading7"/>
            </w:pPr>
            <w:bookmarkStart w:id="155" w:name="_Toc336331205"/>
            <w:bookmarkStart w:id="156" w:name="_Toc336339207"/>
            <w:bookmarkStart w:id="157" w:name="_Toc368400575"/>
            <w:r>
              <w:t>Erzielte Ergebnisse</w:t>
            </w:r>
            <w:r w:rsidR="00C74C0E" w:rsidRPr="006054BD">
              <w:t xml:space="preserve">:  </w:t>
            </w:r>
            <w:r>
              <w:t>Ausgewählte Planerfüllungsindikatoren</w:t>
            </w:r>
            <w:bookmarkEnd w:id="155"/>
            <w:bookmarkEnd w:id="156"/>
            <w:bookmarkEnd w:id="157"/>
          </w:p>
        </w:tc>
      </w:tr>
      <w:tr w:rsidR="00056ACE" w:rsidRPr="006054BD" w:rsidTr="002874C7">
        <w:tc>
          <w:tcPr>
            <w:tcW w:w="2093" w:type="dxa"/>
          </w:tcPr>
          <w:p w:rsidR="00056ACE" w:rsidRPr="00C74CCD" w:rsidRDefault="00056ACE" w:rsidP="00114294">
            <w:pPr>
              <w:pStyle w:val="Heading6"/>
              <w:rPr>
                <w:lang w:val="de-DE"/>
              </w:rPr>
            </w:pPr>
            <w:bookmarkStart w:id="158" w:name="_Toc368400576"/>
            <w:r w:rsidRPr="003D3420">
              <w:rPr>
                <w:lang w:val="de-DE"/>
              </w:rPr>
              <w:t xml:space="preserve">1.  </w:t>
            </w:r>
            <w:r w:rsidR="00C74CCD" w:rsidRPr="00C74CCD">
              <w:rPr>
                <w:color w:val="000000"/>
                <w:lang w:val="de-DE"/>
              </w:rPr>
              <w:t>Sensibilisierung für die Bedeutung von Sortenschutz gemäß dem UPOV</w:t>
            </w:r>
            <w:r w:rsidR="00C74CCD" w:rsidRPr="00C74CCD">
              <w:rPr>
                <w:color w:val="000000"/>
                <w:lang w:val="de-DE"/>
              </w:rPr>
              <w:noBreakHyphen/>
              <w:t>Übereinkommen</w:t>
            </w:r>
            <w:bookmarkEnd w:id="158"/>
          </w:p>
        </w:tc>
        <w:tc>
          <w:tcPr>
            <w:tcW w:w="7796" w:type="dxa"/>
          </w:tcPr>
          <w:p w:rsidR="00056ACE" w:rsidRPr="00C74CCD" w:rsidRDefault="00E163EA" w:rsidP="00733924">
            <w:pPr>
              <w:pStyle w:val="Heading8"/>
              <w:rPr>
                <w:szCs w:val="18"/>
                <w:lang w:val="de-DE"/>
              </w:rPr>
            </w:pPr>
            <w:bookmarkStart w:id="159" w:name="_Toc368400577"/>
            <w:r w:rsidRPr="00C74CCD">
              <w:rPr>
                <w:szCs w:val="18"/>
                <w:lang w:val="de-DE"/>
              </w:rPr>
              <w:t>(a)</w:t>
            </w:r>
            <w:r w:rsidR="00F72161" w:rsidRPr="00C74CCD">
              <w:rPr>
                <w:szCs w:val="18"/>
                <w:lang w:val="de-DE"/>
              </w:rPr>
              <w:t xml:space="preserve">  </w:t>
            </w:r>
            <w:r w:rsidR="00C74CCD" w:rsidRPr="00C74CCD">
              <w:rPr>
                <w:lang w:val="de-DE"/>
              </w:rPr>
              <w:t>Veröffentlichungen zur Rolle des Sortenschutzsystems, einschließlich Materialien auf der UPOV-Website</w:t>
            </w:r>
            <w:bookmarkEnd w:id="159"/>
          </w:p>
          <w:p w:rsidR="00AA5E43" w:rsidRPr="00C34F1F" w:rsidRDefault="00C34F1F" w:rsidP="00733924">
            <w:pPr>
              <w:pStyle w:val="ListParagraph"/>
              <w:numPr>
                <w:ilvl w:val="0"/>
                <w:numId w:val="21"/>
              </w:numPr>
              <w:tabs>
                <w:tab w:val="left" w:pos="2410"/>
              </w:tabs>
              <w:jc w:val="left"/>
              <w:rPr>
                <w:sz w:val="18"/>
                <w:szCs w:val="18"/>
                <w:lang w:val="de-DE"/>
              </w:rPr>
            </w:pPr>
            <w:r w:rsidRPr="00C34F1F">
              <w:rPr>
                <w:sz w:val="18"/>
                <w:szCs w:val="18"/>
                <w:lang w:val="de-DE"/>
              </w:rPr>
              <w:t>Symposium über die Vorteile des Sortenschutzes für Landwirte und Pflanzer</w:t>
            </w:r>
            <w:r w:rsidR="00AA5E43" w:rsidRPr="00C34F1F">
              <w:rPr>
                <w:sz w:val="18"/>
                <w:szCs w:val="18"/>
                <w:lang w:val="de-DE"/>
              </w:rPr>
              <w:br/>
              <w:t>(</w:t>
            </w:r>
            <w:hyperlink r:id="rId20" w:history="1">
              <w:r w:rsidR="00AA5E43" w:rsidRPr="00C34F1F">
                <w:rPr>
                  <w:rStyle w:val="Hyperlink"/>
                  <w:sz w:val="18"/>
                  <w:szCs w:val="18"/>
                  <w:lang w:val="de-DE"/>
                </w:rPr>
                <w:t>http://www.upov.int/meetings/en/details.jsp?meeting_id=26104</w:t>
              </w:r>
            </w:hyperlink>
            <w:r w:rsidR="00AA5E43" w:rsidRPr="00C34F1F">
              <w:rPr>
                <w:sz w:val="18"/>
                <w:szCs w:val="18"/>
                <w:lang w:val="de-DE"/>
              </w:rPr>
              <w:t xml:space="preserve">) </w:t>
            </w:r>
          </w:p>
          <w:p w:rsidR="0027610A" w:rsidRPr="00C34F1F" w:rsidRDefault="0027610A" w:rsidP="00733924">
            <w:pPr>
              <w:rPr>
                <w:sz w:val="18"/>
                <w:szCs w:val="18"/>
                <w:lang w:val="de-DE"/>
              </w:rPr>
            </w:pPr>
          </w:p>
          <w:p w:rsidR="008F504D" w:rsidRPr="00C34F1F" w:rsidRDefault="008F504D" w:rsidP="00733924">
            <w:pPr>
              <w:rPr>
                <w:sz w:val="18"/>
                <w:szCs w:val="18"/>
                <w:lang w:val="de-DE"/>
              </w:rPr>
            </w:pPr>
          </w:p>
          <w:p w:rsidR="003A3CE2" w:rsidRPr="00C74CCD" w:rsidRDefault="00E163EA" w:rsidP="00733924">
            <w:pPr>
              <w:pStyle w:val="Heading8"/>
              <w:rPr>
                <w:szCs w:val="18"/>
                <w:lang w:val="de-DE"/>
              </w:rPr>
            </w:pPr>
            <w:bookmarkStart w:id="160" w:name="_Toc368400578"/>
            <w:r w:rsidRPr="00C74CCD">
              <w:rPr>
                <w:szCs w:val="18"/>
                <w:lang w:val="de-DE"/>
              </w:rPr>
              <w:t>(b)</w:t>
            </w:r>
            <w:r w:rsidR="003A3CE2" w:rsidRPr="00C74CCD">
              <w:rPr>
                <w:szCs w:val="18"/>
                <w:lang w:val="de-DE"/>
              </w:rPr>
              <w:t xml:space="preserve">  </w:t>
            </w:r>
            <w:r w:rsidR="00C74CCD" w:rsidRPr="00C74CCD">
              <w:rPr>
                <w:lang w:val="de-DE"/>
              </w:rPr>
              <w:t>Erteilte Auskünfte an Staaten und Organisationen bei Veranstaltungen der UPOV</w:t>
            </w:r>
            <w:bookmarkEnd w:id="160"/>
          </w:p>
          <w:p w:rsidR="00087ABC" w:rsidRPr="00572F21" w:rsidRDefault="00AB3B12" w:rsidP="00DE5DFD">
            <w:pPr>
              <w:rPr>
                <w:strike/>
                <w:sz w:val="18"/>
                <w:szCs w:val="18"/>
                <w:lang w:val="de-DE"/>
              </w:rPr>
            </w:pPr>
            <w:r>
              <w:rPr>
                <w:sz w:val="18"/>
                <w:szCs w:val="18"/>
                <w:lang w:val="de-DE"/>
              </w:rPr>
              <w:t>Ä</w:t>
            </w:r>
            <w:r w:rsidRPr="00360E27">
              <w:rPr>
                <w:sz w:val="18"/>
                <w:szCs w:val="18"/>
                <w:lang w:val="de-DE"/>
              </w:rPr>
              <w:t xml:space="preserve">gypten, </w:t>
            </w:r>
            <w:r>
              <w:rPr>
                <w:sz w:val="18"/>
                <w:szCs w:val="18"/>
                <w:lang w:val="de-DE"/>
              </w:rPr>
              <w:t>Ät</w:t>
            </w:r>
            <w:r w:rsidRPr="00360E27">
              <w:rPr>
                <w:sz w:val="18"/>
                <w:szCs w:val="18"/>
                <w:lang w:val="de-DE"/>
              </w:rPr>
              <w:t xml:space="preserve">hiopien, </w:t>
            </w:r>
            <w:r w:rsidR="00631E55" w:rsidRPr="00360E27">
              <w:rPr>
                <w:sz w:val="18"/>
                <w:szCs w:val="18"/>
                <w:lang w:val="de-DE"/>
              </w:rPr>
              <w:t xml:space="preserve">Afghanistan, Algerien, Arabische Republik Syrien, Argentinien, Aserbaidschan, </w:t>
            </w:r>
            <w:r w:rsidR="00393D4D" w:rsidRPr="00360E27">
              <w:rPr>
                <w:sz w:val="18"/>
                <w:szCs w:val="18"/>
                <w:lang w:val="de-DE"/>
              </w:rPr>
              <w:t>Australien,</w:t>
            </w:r>
            <w:r w:rsidR="00393D4D">
              <w:rPr>
                <w:sz w:val="18"/>
                <w:szCs w:val="18"/>
                <w:lang w:val="de-DE"/>
              </w:rPr>
              <w:t xml:space="preserve"> </w:t>
            </w:r>
            <w:r w:rsidR="00631E55" w:rsidRPr="00360E27">
              <w:rPr>
                <w:sz w:val="18"/>
                <w:szCs w:val="18"/>
                <w:lang w:val="de-DE"/>
              </w:rPr>
              <w:t xml:space="preserve">Bahamas, Bangladesch, Belarus, Belgien, Bolivien, Bosnien und </w:t>
            </w:r>
            <w:r w:rsidR="00DE5DFD">
              <w:rPr>
                <w:sz w:val="18"/>
                <w:szCs w:val="18"/>
                <w:lang w:val="de-DE"/>
              </w:rPr>
              <w:t>Herzegowina</w:t>
            </w:r>
            <w:r w:rsidR="00631E55" w:rsidRPr="00360E27">
              <w:rPr>
                <w:sz w:val="18"/>
                <w:szCs w:val="18"/>
                <w:lang w:val="de-DE"/>
              </w:rPr>
              <w:t xml:space="preserve">, Botswana, Brasilien, Brunei Darussalam, Bulgarien, Burkina Faso, </w:t>
            </w:r>
            <w:r w:rsidR="00FD5338" w:rsidRPr="00360E27">
              <w:rPr>
                <w:sz w:val="18"/>
                <w:szCs w:val="18"/>
                <w:lang w:val="de-DE"/>
              </w:rPr>
              <w:t>Chile, China, Costa Rica, Côte d’Ivoire,</w:t>
            </w:r>
            <w:r w:rsidR="00B703CE">
              <w:rPr>
                <w:sz w:val="18"/>
                <w:szCs w:val="18"/>
                <w:lang w:val="de-DE"/>
              </w:rPr>
              <w:t xml:space="preserve"> Dänemark,</w:t>
            </w:r>
            <w:r w:rsidR="00FD5338" w:rsidRPr="00360E27">
              <w:rPr>
                <w:sz w:val="18"/>
                <w:szCs w:val="18"/>
                <w:lang w:val="de-DE"/>
              </w:rPr>
              <w:t xml:space="preserve"> </w:t>
            </w:r>
            <w:r w:rsidRPr="00360E27">
              <w:rPr>
                <w:sz w:val="18"/>
                <w:szCs w:val="18"/>
                <w:lang w:val="de-DE"/>
              </w:rPr>
              <w:t xml:space="preserve">Demokratische Volksrepublik Laos, </w:t>
            </w:r>
            <w:r w:rsidR="00393D4D" w:rsidRPr="00360E27">
              <w:rPr>
                <w:sz w:val="18"/>
                <w:szCs w:val="18"/>
                <w:lang w:val="de-DE"/>
              </w:rPr>
              <w:t>Demokratische Republik Kongo</w:t>
            </w:r>
            <w:r w:rsidR="00393D4D">
              <w:rPr>
                <w:sz w:val="18"/>
                <w:szCs w:val="18"/>
                <w:lang w:val="de-DE"/>
              </w:rPr>
              <w:t>,</w:t>
            </w:r>
            <w:r w:rsidR="00393D4D" w:rsidRPr="00360E27">
              <w:rPr>
                <w:sz w:val="18"/>
                <w:szCs w:val="18"/>
                <w:lang w:val="de-DE"/>
              </w:rPr>
              <w:t xml:space="preserve"> </w:t>
            </w:r>
            <w:r w:rsidR="004B71D9" w:rsidRPr="00360E27">
              <w:rPr>
                <w:sz w:val="18"/>
                <w:szCs w:val="18"/>
                <w:lang w:val="de-DE"/>
              </w:rPr>
              <w:t>Deutschland,</w:t>
            </w:r>
            <w:r w:rsidR="004B71D9">
              <w:rPr>
                <w:sz w:val="18"/>
                <w:szCs w:val="18"/>
                <w:lang w:val="de-DE"/>
              </w:rPr>
              <w:t xml:space="preserve"> </w:t>
            </w:r>
            <w:r w:rsidRPr="00360E27">
              <w:rPr>
                <w:sz w:val="18"/>
                <w:szCs w:val="18"/>
                <w:lang w:val="de-DE"/>
              </w:rPr>
              <w:t xml:space="preserve">Dominikanische Republik, </w:t>
            </w:r>
            <w:r w:rsidR="00FD5338" w:rsidRPr="00360E27">
              <w:rPr>
                <w:sz w:val="18"/>
                <w:szCs w:val="18"/>
                <w:lang w:val="de-DE"/>
              </w:rPr>
              <w:t xml:space="preserve">Ecuador, </w:t>
            </w:r>
            <w:r w:rsidR="00000262" w:rsidRPr="00000262">
              <w:rPr>
                <w:sz w:val="18"/>
                <w:szCs w:val="18"/>
                <w:lang w:val="de-DE"/>
              </w:rPr>
              <w:t>Ehemalige Jugoslawische Republik Mazedonien</w:t>
            </w:r>
            <w:r w:rsidR="00000262">
              <w:rPr>
                <w:sz w:val="18"/>
                <w:szCs w:val="18"/>
                <w:lang w:val="de-DE"/>
              </w:rPr>
              <w:t xml:space="preserve">, </w:t>
            </w:r>
            <w:r w:rsidR="00631E55" w:rsidRPr="00360E27">
              <w:rPr>
                <w:sz w:val="18"/>
                <w:szCs w:val="18"/>
                <w:lang w:val="de-DE"/>
              </w:rPr>
              <w:t xml:space="preserve">El Salvador, </w:t>
            </w:r>
            <w:r w:rsidR="00393D4D" w:rsidRPr="00360E27">
              <w:rPr>
                <w:sz w:val="18"/>
                <w:szCs w:val="18"/>
                <w:lang w:val="de-DE"/>
              </w:rPr>
              <w:t xml:space="preserve">Europäische Union, </w:t>
            </w:r>
            <w:r w:rsidR="00FD5338" w:rsidRPr="00360E27">
              <w:rPr>
                <w:sz w:val="18"/>
                <w:szCs w:val="18"/>
                <w:lang w:val="de-DE"/>
              </w:rPr>
              <w:t>Frankreich, Georgien, Ghana, Griechenland, Guatemala</w:t>
            </w:r>
            <w:r w:rsidR="00631E55" w:rsidRPr="00360E27">
              <w:rPr>
                <w:sz w:val="18"/>
                <w:szCs w:val="18"/>
                <w:lang w:val="de-DE"/>
              </w:rPr>
              <w:t>, Guyana,</w:t>
            </w:r>
            <w:r w:rsidR="00FD5338" w:rsidRPr="00360E27">
              <w:rPr>
                <w:sz w:val="18"/>
                <w:szCs w:val="18"/>
                <w:lang w:val="de-DE"/>
              </w:rPr>
              <w:t xml:space="preserve"> Honduras, Indien, Indonesien, Islamische Republik Iran</w:t>
            </w:r>
            <w:r w:rsidR="00000262">
              <w:rPr>
                <w:sz w:val="18"/>
                <w:szCs w:val="18"/>
                <w:lang w:val="de-DE"/>
              </w:rPr>
              <w:t>,</w:t>
            </w:r>
            <w:r w:rsidR="00FD5338" w:rsidRPr="00360E27">
              <w:rPr>
                <w:sz w:val="18"/>
                <w:szCs w:val="18"/>
                <w:lang w:val="de-DE"/>
              </w:rPr>
              <w:t xml:space="preserve"> Irak, Irland, Israel, Italien, Japan,</w:t>
            </w:r>
            <w:r w:rsidR="00631E55" w:rsidRPr="00360E27">
              <w:rPr>
                <w:sz w:val="18"/>
                <w:szCs w:val="18"/>
                <w:lang w:val="de-DE"/>
              </w:rPr>
              <w:t xml:space="preserve"> Jemen, </w:t>
            </w:r>
            <w:r w:rsidR="00000262">
              <w:rPr>
                <w:sz w:val="18"/>
                <w:szCs w:val="18"/>
                <w:lang w:val="de-DE"/>
              </w:rPr>
              <w:t>Jordan</w:t>
            </w:r>
            <w:r w:rsidR="00FD5338" w:rsidRPr="00360E27">
              <w:rPr>
                <w:sz w:val="18"/>
                <w:szCs w:val="18"/>
                <w:lang w:val="de-DE"/>
              </w:rPr>
              <w:t xml:space="preserve">ien, </w:t>
            </w:r>
            <w:r w:rsidR="00631E55" w:rsidRPr="00360E27">
              <w:rPr>
                <w:sz w:val="18"/>
                <w:szCs w:val="18"/>
                <w:lang w:val="de-DE"/>
              </w:rPr>
              <w:t xml:space="preserve">Kambodscha, </w:t>
            </w:r>
            <w:r w:rsidRPr="00360E27">
              <w:rPr>
                <w:sz w:val="18"/>
                <w:szCs w:val="18"/>
                <w:lang w:val="de-DE"/>
              </w:rPr>
              <w:t xml:space="preserve">Kamerun, Kanada, </w:t>
            </w:r>
            <w:r w:rsidR="007C2539">
              <w:rPr>
                <w:sz w:val="18"/>
                <w:szCs w:val="18"/>
                <w:lang w:val="de-DE"/>
              </w:rPr>
              <w:t>Katar</w:t>
            </w:r>
            <w:r w:rsidR="007C2539" w:rsidRPr="00360E27">
              <w:rPr>
                <w:sz w:val="18"/>
                <w:szCs w:val="18"/>
                <w:lang w:val="de-DE"/>
              </w:rPr>
              <w:t>,</w:t>
            </w:r>
            <w:r w:rsidR="007C2539">
              <w:rPr>
                <w:sz w:val="18"/>
                <w:szCs w:val="18"/>
                <w:lang w:val="de-DE"/>
              </w:rPr>
              <w:t xml:space="preserve"> </w:t>
            </w:r>
            <w:r w:rsidRPr="00360E27">
              <w:rPr>
                <w:sz w:val="18"/>
                <w:szCs w:val="18"/>
                <w:lang w:val="de-DE"/>
              </w:rPr>
              <w:t xml:space="preserve">Kenia, </w:t>
            </w:r>
            <w:r>
              <w:rPr>
                <w:sz w:val="18"/>
                <w:szCs w:val="18"/>
                <w:lang w:val="de-DE"/>
              </w:rPr>
              <w:t>Kirgisistan</w:t>
            </w:r>
            <w:r w:rsidRPr="00360E27">
              <w:rPr>
                <w:sz w:val="18"/>
                <w:szCs w:val="18"/>
                <w:lang w:val="de-DE"/>
              </w:rPr>
              <w:t>, Kolumbien, Kroatien</w:t>
            </w:r>
            <w:r>
              <w:rPr>
                <w:sz w:val="18"/>
                <w:szCs w:val="18"/>
                <w:lang w:val="de-DE"/>
              </w:rPr>
              <w:t>,</w:t>
            </w:r>
            <w:r w:rsidRPr="00360E27">
              <w:rPr>
                <w:sz w:val="18"/>
                <w:szCs w:val="18"/>
                <w:lang w:val="de-DE"/>
              </w:rPr>
              <w:t xml:space="preserve"> </w:t>
            </w:r>
            <w:r w:rsidR="00631E55" w:rsidRPr="00360E27">
              <w:rPr>
                <w:sz w:val="18"/>
                <w:szCs w:val="18"/>
                <w:lang w:val="de-DE"/>
              </w:rPr>
              <w:t xml:space="preserve">Kuba, </w:t>
            </w:r>
            <w:r w:rsidR="00FD5338" w:rsidRPr="00360E27">
              <w:rPr>
                <w:sz w:val="18"/>
                <w:szCs w:val="18"/>
                <w:lang w:val="de-DE"/>
              </w:rPr>
              <w:t>Lesotho,</w:t>
            </w:r>
            <w:r w:rsidR="00393D4D" w:rsidRPr="00360E27">
              <w:rPr>
                <w:sz w:val="18"/>
                <w:szCs w:val="18"/>
                <w:lang w:val="de-DE"/>
              </w:rPr>
              <w:t xml:space="preserve"> Libanon,</w:t>
            </w:r>
            <w:r w:rsidR="00FD5338" w:rsidRPr="00360E27">
              <w:rPr>
                <w:sz w:val="18"/>
                <w:szCs w:val="18"/>
                <w:lang w:val="de-DE"/>
              </w:rPr>
              <w:t xml:space="preserve"> Libyen, Litauen,</w:t>
            </w:r>
            <w:r w:rsidR="00FD5338" w:rsidRPr="00360E27">
              <w:rPr>
                <w:rFonts w:cs="Arial"/>
                <w:sz w:val="18"/>
                <w:szCs w:val="18"/>
                <w:lang w:val="de-DE"/>
              </w:rPr>
              <w:t xml:space="preserve"> </w:t>
            </w:r>
            <w:r w:rsidR="00631E55" w:rsidRPr="00360E27">
              <w:rPr>
                <w:rFonts w:cs="Arial"/>
                <w:sz w:val="18"/>
                <w:szCs w:val="18"/>
                <w:lang w:val="de-DE"/>
              </w:rPr>
              <w:t xml:space="preserve">Madagaskar, Malawi, </w:t>
            </w:r>
            <w:r w:rsidR="00FD5338" w:rsidRPr="00360E27">
              <w:rPr>
                <w:sz w:val="18"/>
                <w:szCs w:val="18"/>
                <w:lang w:val="de-DE"/>
              </w:rPr>
              <w:t>Malaysia, Mali, Mauritius, Mexiko, Mongol</w:t>
            </w:r>
            <w:r w:rsidR="00393D4D">
              <w:rPr>
                <w:sz w:val="18"/>
                <w:szCs w:val="18"/>
                <w:lang w:val="de-DE"/>
              </w:rPr>
              <w:t>ei</w:t>
            </w:r>
            <w:r w:rsidR="00FD5338" w:rsidRPr="00360E27">
              <w:rPr>
                <w:sz w:val="18"/>
                <w:szCs w:val="18"/>
                <w:lang w:val="de-DE"/>
              </w:rPr>
              <w:t>, Montenegro, M</w:t>
            </w:r>
            <w:r w:rsidR="00393D4D">
              <w:rPr>
                <w:sz w:val="18"/>
                <w:szCs w:val="18"/>
                <w:lang w:val="de-DE"/>
              </w:rPr>
              <w:t>a</w:t>
            </w:r>
            <w:r w:rsidR="00FD5338" w:rsidRPr="00360E27">
              <w:rPr>
                <w:sz w:val="18"/>
                <w:szCs w:val="18"/>
                <w:lang w:val="de-DE"/>
              </w:rPr>
              <w:t>ro</w:t>
            </w:r>
            <w:r w:rsidR="00393D4D">
              <w:rPr>
                <w:sz w:val="18"/>
                <w:szCs w:val="18"/>
                <w:lang w:val="de-DE"/>
              </w:rPr>
              <w:t>kk</w:t>
            </w:r>
            <w:r w:rsidR="00FD5338" w:rsidRPr="00360E27">
              <w:rPr>
                <w:sz w:val="18"/>
                <w:szCs w:val="18"/>
                <w:lang w:val="de-DE"/>
              </w:rPr>
              <w:t>o, Mo</w:t>
            </w:r>
            <w:r w:rsidR="00393D4D">
              <w:rPr>
                <w:sz w:val="18"/>
                <w:szCs w:val="18"/>
                <w:lang w:val="de-DE"/>
              </w:rPr>
              <w:t>s</w:t>
            </w:r>
            <w:r w:rsidR="00FD5338" w:rsidRPr="00360E27">
              <w:rPr>
                <w:sz w:val="18"/>
                <w:szCs w:val="18"/>
                <w:lang w:val="de-DE"/>
              </w:rPr>
              <w:t>ambi</w:t>
            </w:r>
            <w:r w:rsidR="00393D4D">
              <w:rPr>
                <w:sz w:val="18"/>
                <w:szCs w:val="18"/>
                <w:lang w:val="de-DE"/>
              </w:rPr>
              <w:t>k</w:t>
            </w:r>
            <w:r w:rsidR="00FD5338" w:rsidRPr="00360E27">
              <w:rPr>
                <w:sz w:val="18"/>
                <w:szCs w:val="18"/>
                <w:lang w:val="de-DE"/>
              </w:rPr>
              <w:t>, Myanmar,</w:t>
            </w:r>
            <w:r w:rsidR="00FD5338" w:rsidRPr="00360E27">
              <w:rPr>
                <w:rFonts w:cs="Arial"/>
                <w:sz w:val="18"/>
                <w:szCs w:val="18"/>
                <w:lang w:val="de-DE"/>
              </w:rPr>
              <w:t xml:space="preserve"> </w:t>
            </w:r>
            <w:r w:rsidR="00FD5338" w:rsidRPr="00360E27">
              <w:rPr>
                <w:sz w:val="18"/>
                <w:szCs w:val="18"/>
                <w:lang w:val="de-DE"/>
              </w:rPr>
              <w:t>Namibia, Nepal, Niederlande, Neuseeland, Nicaragua, Niger, Nigeria, Norwegen</w:t>
            </w:r>
            <w:r w:rsidR="00631E55" w:rsidRPr="00360E27">
              <w:rPr>
                <w:rFonts w:cs="Arial"/>
                <w:sz w:val="18"/>
                <w:szCs w:val="18"/>
                <w:lang w:val="de-DE"/>
              </w:rPr>
              <w:t xml:space="preserve">, </w:t>
            </w:r>
            <w:r w:rsidR="00894944" w:rsidRPr="00360E27">
              <w:rPr>
                <w:sz w:val="18"/>
                <w:szCs w:val="18"/>
                <w:lang w:val="de-DE"/>
              </w:rPr>
              <w:t xml:space="preserve">Österreich, </w:t>
            </w:r>
            <w:r w:rsidR="00631E55" w:rsidRPr="00360E27">
              <w:rPr>
                <w:rFonts w:cs="Arial"/>
                <w:sz w:val="18"/>
                <w:szCs w:val="18"/>
                <w:lang w:val="de-DE"/>
              </w:rPr>
              <w:t xml:space="preserve">Oman, </w:t>
            </w:r>
            <w:r w:rsidR="00FD5338" w:rsidRPr="00360E27">
              <w:rPr>
                <w:sz w:val="18"/>
                <w:szCs w:val="18"/>
                <w:lang w:val="de-DE"/>
              </w:rPr>
              <w:t>Pakistan, Panama, Paraguay, Peru, Philippine</w:t>
            </w:r>
            <w:r>
              <w:rPr>
                <w:sz w:val="18"/>
                <w:szCs w:val="18"/>
                <w:lang w:val="de-DE"/>
              </w:rPr>
              <w:t>n</w:t>
            </w:r>
            <w:r w:rsidR="00FD5338" w:rsidRPr="00360E27">
              <w:rPr>
                <w:sz w:val="18"/>
                <w:szCs w:val="18"/>
                <w:lang w:val="de-DE"/>
              </w:rPr>
              <w:t>, Pol</w:t>
            </w:r>
            <w:r>
              <w:rPr>
                <w:sz w:val="18"/>
                <w:szCs w:val="18"/>
                <w:lang w:val="de-DE"/>
              </w:rPr>
              <w:t>en</w:t>
            </w:r>
            <w:r w:rsidR="00FD5338" w:rsidRPr="00360E27">
              <w:rPr>
                <w:sz w:val="18"/>
                <w:szCs w:val="18"/>
                <w:lang w:val="de-DE"/>
              </w:rPr>
              <w:t>, Portugal</w:t>
            </w:r>
            <w:r w:rsidR="00631E55" w:rsidRPr="00360E27">
              <w:rPr>
                <w:rFonts w:cs="Arial"/>
                <w:sz w:val="18"/>
                <w:szCs w:val="18"/>
                <w:lang w:val="de-DE"/>
              </w:rPr>
              <w:t xml:space="preserve">, </w:t>
            </w:r>
            <w:r w:rsidR="00906862" w:rsidRPr="00360E27">
              <w:rPr>
                <w:sz w:val="18"/>
                <w:szCs w:val="18"/>
                <w:lang w:val="de-DE"/>
              </w:rPr>
              <w:t xml:space="preserve">Republik Moldau, </w:t>
            </w:r>
            <w:r w:rsidR="00FD5338" w:rsidRPr="00360E27">
              <w:rPr>
                <w:sz w:val="18"/>
                <w:szCs w:val="18"/>
                <w:lang w:val="de-DE"/>
              </w:rPr>
              <w:t>Republik Korea, Rumänien, Russische Föderation,</w:t>
            </w:r>
            <w:r w:rsidR="00FD5338" w:rsidRPr="00360E27">
              <w:rPr>
                <w:rFonts w:cs="Arial"/>
                <w:sz w:val="18"/>
                <w:szCs w:val="18"/>
                <w:lang w:val="de-DE"/>
              </w:rPr>
              <w:t xml:space="preserve"> </w:t>
            </w:r>
            <w:r w:rsidR="00FD5338" w:rsidRPr="00360E27">
              <w:rPr>
                <w:sz w:val="18"/>
                <w:szCs w:val="18"/>
                <w:lang w:val="de-DE"/>
              </w:rPr>
              <w:t xml:space="preserve">Sao Tome und Principe, </w:t>
            </w:r>
            <w:r w:rsidR="00393D4D" w:rsidRPr="00360E27">
              <w:rPr>
                <w:sz w:val="18"/>
                <w:szCs w:val="18"/>
                <w:lang w:val="de-DE"/>
              </w:rPr>
              <w:t xml:space="preserve">Schweden, Schweiz, </w:t>
            </w:r>
            <w:r w:rsidR="00906862">
              <w:rPr>
                <w:sz w:val="18"/>
                <w:szCs w:val="18"/>
                <w:lang w:val="de-DE"/>
              </w:rPr>
              <w:t>Senegal, Serbien</w:t>
            </w:r>
            <w:r w:rsidR="00FD5338" w:rsidRPr="00360E27">
              <w:rPr>
                <w:sz w:val="18"/>
                <w:szCs w:val="18"/>
                <w:lang w:val="de-DE"/>
              </w:rPr>
              <w:t xml:space="preserve">, </w:t>
            </w:r>
            <w:r>
              <w:rPr>
                <w:sz w:val="18"/>
                <w:szCs w:val="18"/>
                <w:lang w:val="de-DE"/>
              </w:rPr>
              <w:t>Simbabwe</w:t>
            </w:r>
            <w:r w:rsidRPr="00360E27">
              <w:rPr>
                <w:sz w:val="18"/>
                <w:szCs w:val="18"/>
                <w:lang w:val="de-DE"/>
              </w:rPr>
              <w:t>,</w:t>
            </w:r>
            <w:r>
              <w:rPr>
                <w:sz w:val="18"/>
                <w:szCs w:val="18"/>
                <w:lang w:val="de-DE"/>
              </w:rPr>
              <w:t xml:space="preserve"> </w:t>
            </w:r>
            <w:r w:rsidR="00DE5DFD">
              <w:rPr>
                <w:sz w:val="18"/>
                <w:szCs w:val="18"/>
                <w:lang w:val="de-DE"/>
              </w:rPr>
              <w:t>Singapur</w:t>
            </w:r>
            <w:r w:rsidR="00FD5338" w:rsidRPr="00360E27">
              <w:rPr>
                <w:sz w:val="18"/>
                <w:szCs w:val="18"/>
                <w:lang w:val="de-DE"/>
              </w:rPr>
              <w:t xml:space="preserve">, Spanien, Sri Lanka, Sudan, </w:t>
            </w:r>
            <w:r w:rsidR="00393D4D" w:rsidRPr="00360E27">
              <w:rPr>
                <w:sz w:val="18"/>
                <w:szCs w:val="18"/>
                <w:lang w:val="de-DE"/>
              </w:rPr>
              <w:t xml:space="preserve">Südafrika, </w:t>
            </w:r>
            <w:r w:rsidR="00631E55" w:rsidRPr="00360E27">
              <w:rPr>
                <w:rFonts w:cs="Arial"/>
                <w:sz w:val="18"/>
                <w:szCs w:val="18"/>
                <w:lang w:val="de-DE"/>
              </w:rPr>
              <w:t xml:space="preserve">Sambia, </w:t>
            </w:r>
            <w:r w:rsidR="00360E27" w:rsidRPr="00360E27">
              <w:rPr>
                <w:sz w:val="18"/>
                <w:szCs w:val="18"/>
                <w:lang w:val="de-DE"/>
              </w:rPr>
              <w:t xml:space="preserve">Tadschikistan, Thailand, </w:t>
            </w:r>
            <w:r w:rsidR="00631E55" w:rsidRPr="00360E27">
              <w:rPr>
                <w:rFonts w:cs="Arial"/>
                <w:sz w:val="18"/>
                <w:szCs w:val="18"/>
                <w:lang w:val="de-DE"/>
              </w:rPr>
              <w:t>To</w:t>
            </w:r>
            <w:r w:rsidR="00C0793E">
              <w:rPr>
                <w:rFonts w:cs="Arial"/>
                <w:sz w:val="18"/>
                <w:szCs w:val="18"/>
                <w:lang w:val="de-DE"/>
              </w:rPr>
              <w:t>g</w:t>
            </w:r>
            <w:r>
              <w:rPr>
                <w:rFonts w:cs="Arial"/>
                <w:sz w:val="18"/>
                <w:szCs w:val="18"/>
                <w:lang w:val="de-DE"/>
              </w:rPr>
              <w:t>o</w:t>
            </w:r>
            <w:r w:rsidR="00631E55" w:rsidRPr="00360E27">
              <w:rPr>
                <w:rFonts w:cs="Arial"/>
                <w:sz w:val="18"/>
                <w:szCs w:val="18"/>
                <w:lang w:val="de-DE"/>
              </w:rPr>
              <w:t xml:space="preserve">, </w:t>
            </w:r>
            <w:r w:rsidRPr="00360E27">
              <w:rPr>
                <w:sz w:val="18"/>
                <w:szCs w:val="18"/>
                <w:lang w:val="de-DE"/>
              </w:rPr>
              <w:t>Tschechi</w:t>
            </w:r>
            <w:r w:rsidR="00906862">
              <w:rPr>
                <w:sz w:val="18"/>
                <w:szCs w:val="18"/>
                <w:lang w:val="de-DE"/>
              </w:rPr>
              <w:t>s</w:t>
            </w:r>
            <w:r w:rsidRPr="00360E27">
              <w:rPr>
                <w:sz w:val="18"/>
                <w:szCs w:val="18"/>
                <w:lang w:val="de-DE"/>
              </w:rPr>
              <w:t xml:space="preserve">che Republik, </w:t>
            </w:r>
            <w:r w:rsidR="00360E27" w:rsidRPr="00360E27">
              <w:rPr>
                <w:sz w:val="18"/>
                <w:szCs w:val="18"/>
                <w:lang w:val="de-DE"/>
              </w:rPr>
              <w:t>Tunesien, Türkei,</w:t>
            </w:r>
            <w:r w:rsidR="00360E27" w:rsidRPr="00360E27">
              <w:rPr>
                <w:rFonts w:cs="Arial"/>
                <w:sz w:val="18"/>
                <w:szCs w:val="18"/>
                <w:lang w:val="de-DE"/>
              </w:rPr>
              <w:t xml:space="preserve"> </w:t>
            </w:r>
            <w:r w:rsidR="00631E55" w:rsidRPr="00360E27">
              <w:rPr>
                <w:rFonts w:cs="Arial"/>
                <w:sz w:val="18"/>
                <w:szCs w:val="18"/>
                <w:lang w:val="de-DE"/>
              </w:rPr>
              <w:t xml:space="preserve">Uganda, </w:t>
            </w:r>
            <w:r w:rsidR="00360E27" w:rsidRPr="00360E27">
              <w:rPr>
                <w:sz w:val="18"/>
                <w:szCs w:val="18"/>
                <w:lang w:val="de-DE"/>
              </w:rPr>
              <w:t>Ukraine,</w:t>
            </w:r>
            <w:r w:rsidR="00360E27" w:rsidRPr="00360E27">
              <w:rPr>
                <w:rFonts w:cs="Arial"/>
                <w:sz w:val="18"/>
                <w:szCs w:val="18"/>
                <w:lang w:val="de-DE"/>
              </w:rPr>
              <w:t xml:space="preserve"> </w:t>
            </w:r>
            <w:r w:rsidR="00393D4D" w:rsidRPr="00360E27">
              <w:rPr>
                <w:sz w:val="18"/>
                <w:szCs w:val="18"/>
                <w:lang w:val="de-DE"/>
              </w:rPr>
              <w:t>Ungarn,</w:t>
            </w:r>
            <w:r w:rsidR="00393D4D">
              <w:rPr>
                <w:sz w:val="18"/>
                <w:szCs w:val="18"/>
                <w:lang w:val="de-DE"/>
              </w:rPr>
              <w:t xml:space="preserve"> </w:t>
            </w:r>
            <w:r w:rsidRPr="00360E27">
              <w:rPr>
                <w:sz w:val="18"/>
                <w:szCs w:val="18"/>
                <w:lang w:val="de-DE"/>
              </w:rPr>
              <w:t xml:space="preserve">Uruguay, </w:t>
            </w:r>
            <w:r w:rsidR="00DE5DFD">
              <w:rPr>
                <w:sz w:val="18"/>
                <w:szCs w:val="18"/>
                <w:lang w:val="de-DE"/>
              </w:rPr>
              <w:t>Usbekistan</w:t>
            </w:r>
            <w:r w:rsidRPr="00360E27">
              <w:rPr>
                <w:sz w:val="18"/>
                <w:szCs w:val="18"/>
                <w:lang w:val="de-DE"/>
              </w:rPr>
              <w:t xml:space="preserve">, Venezuela, </w:t>
            </w:r>
            <w:r w:rsidR="00360E27" w:rsidRPr="00360E27">
              <w:rPr>
                <w:rFonts w:cs="Arial"/>
                <w:sz w:val="18"/>
                <w:szCs w:val="18"/>
                <w:lang w:val="de-DE"/>
              </w:rPr>
              <w:t xml:space="preserve">Vereinigtes Königreich, </w:t>
            </w:r>
            <w:r w:rsidR="00360E27" w:rsidRPr="00360E27">
              <w:rPr>
                <w:sz w:val="18"/>
                <w:szCs w:val="18"/>
                <w:lang w:val="de-DE"/>
              </w:rPr>
              <w:t>Vereinigte Staaten von Amerika</w:t>
            </w:r>
            <w:r>
              <w:rPr>
                <w:sz w:val="18"/>
                <w:szCs w:val="18"/>
                <w:lang w:val="de-DE"/>
              </w:rPr>
              <w:t xml:space="preserve">, </w:t>
            </w:r>
            <w:r w:rsidR="00C0793E">
              <w:rPr>
                <w:sz w:val="18"/>
                <w:szCs w:val="18"/>
                <w:lang w:val="de-DE"/>
              </w:rPr>
              <w:t xml:space="preserve">Vereinigte Republik </w:t>
            </w:r>
            <w:r w:rsidR="00906862">
              <w:rPr>
                <w:sz w:val="18"/>
                <w:szCs w:val="18"/>
                <w:lang w:val="de-DE"/>
              </w:rPr>
              <w:t>Tansania</w:t>
            </w:r>
            <w:r w:rsidR="00C0793E">
              <w:rPr>
                <w:sz w:val="18"/>
                <w:szCs w:val="18"/>
                <w:lang w:val="de-DE"/>
              </w:rPr>
              <w:t xml:space="preserve">, </w:t>
            </w:r>
            <w:r w:rsidR="00360E27" w:rsidRPr="00360E27">
              <w:rPr>
                <w:sz w:val="18"/>
                <w:szCs w:val="18"/>
                <w:lang w:val="de-DE"/>
              </w:rPr>
              <w:t xml:space="preserve">Vietnam, </w:t>
            </w:r>
            <w:r w:rsidR="00C0793E" w:rsidRPr="00360E27">
              <w:rPr>
                <w:sz w:val="18"/>
                <w:szCs w:val="18"/>
                <w:lang w:val="de-DE"/>
              </w:rPr>
              <w:t>Zentralafrikanische Republik,</w:t>
            </w:r>
            <w:r w:rsidR="00C0793E">
              <w:rPr>
                <w:sz w:val="18"/>
                <w:szCs w:val="18"/>
                <w:lang w:val="de-DE"/>
              </w:rPr>
              <w:t xml:space="preserve"> </w:t>
            </w:r>
            <w:r w:rsidR="00631E55" w:rsidRPr="00360E27">
              <w:rPr>
                <w:sz w:val="18"/>
                <w:szCs w:val="18"/>
                <w:lang w:val="de-DE"/>
              </w:rPr>
              <w:t>Zypern</w:t>
            </w:r>
            <w:r w:rsidR="00572F21">
              <w:rPr>
                <w:sz w:val="18"/>
                <w:szCs w:val="18"/>
                <w:lang w:val="de-DE"/>
              </w:rPr>
              <w:t xml:space="preserve">, </w:t>
            </w:r>
            <w:r w:rsidR="00733924" w:rsidRPr="00572F21">
              <w:rPr>
                <w:sz w:val="18"/>
                <w:szCs w:val="18"/>
                <w:lang w:val="de-DE"/>
              </w:rPr>
              <w:t>AATF, AFSTA, APSA, ARIPO, CGIAR, CIOPORA, CropLife, ESA, FAO, ISF, ISTA, OAPI, Patent</w:t>
            </w:r>
            <w:r w:rsidR="00572F21" w:rsidRPr="00572F21">
              <w:rPr>
                <w:sz w:val="18"/>
                <w:szCs w:val="18"/>
                <w:lang w:val="de-DE"/>
              </w:rPr>
              <w:t>a</w:t>
            </w:r>
            <w:r w:rsidR="00572F21">
              <w:rPr>
                <w:sz w:val="18"/>
                <w:szCs w:val="18"/>
                <w:lang w:val="de-DE"/>
              </w:rPr>
              <w:t>mt des</w:t>
            </w:r>
            <w:r w:rsidR="00733924" w:rsidRPr="00572F21">
              <w:rPr>
                <w:sz w:val="18"/>
                <w:szCs w:val="18"/>
                <w:lang w:val="de-DE"/>
              </w:rPr>
              <w:t xml:space="preserve"> </w:t>
            </w:r>
            <w:r w:rsidR="00572F21" w:rsidRPr="00572F21">
              <w:rPr>
                <w:sz w:val="18"/>
                <w:szCs w:val="18"/>
                <w:lang w:val="de-DE"/>
              </w:rPr>
              <w:t>Kooperationsrates der Arabischen Staaten des Golfes</w:t>
            </w:r>
          </w:p>
          <w:p w:rsidR="00733924" w:rsidRPr="00572F21" w:rsidRDefault="00733924" w:rsidP="00733924">
            <w:pPr>
              <w:rPr>
                <w:sz w:val="18"/>
                <w:szCs w:val="18"/>
                <w:lang w:val="de-DE"/>
              </w:rPr>
            </w:pPr>
          </w:p>
          <w:p w:rsidR="0027610A" w:rsidRPr="003D3420" w:rsidRDefault="0092406E" w:rsidP="0092406E">
            <w:pPr>
              <w:rPr>
                <w:sz w:val="18"/>
                <w:szCs w:val="18"/>
                <w:lang w:val="de-DE"/>
              </w:rPr>
            </w:pPr>
            <w:r w:rsidRPr="003D3420">
              <w:rPr>
                <w:sz w:val="18"/>
                <w:szCs w:val="18"/>
                <w:lang w:val="de-DE"/>
              </w:rPr>
              <w:t>Vergleiche auch</w:t>
            </w:r>
            <w:r w:rsidR="00733924" w:rsidRPr="003D3420">
              <w:rPr>
                <w:sz w:val="18"/>
                <w:szCs w:val="18"/>
                <w:lang w:val="de-DE"/>
              </w:rPr>
              <w:t xml:space="preserve"> </w:t>
            </w:r>
            <w:r w:rsidR="00FA2EB4" w:rsidRPr="003D3420">
              <w:rPr>
                <w:sz w:val="18"/>
                <w:szCs w:val="18"/>
                <w:lang w:val="de-DE"/>
              </w:rPr>
              <w:t xml:space="preserve">(e) </w:t>
            </w:r>
            <w:r w:rsidRPr="003D3420">
              <w:rPr>
                <w:sz w:val="18"/>
                <w:szCs w:val="18"/>
                <w:lang w:val="de-DE"/>
              </w:rPr>
              <w:t>unten</w:t>
            </w:r>
          </w:p>
          <w:p w:rsidR="003A3CE2" w:rsidRPr="003D3420" w:rsidRDefault="003A3CE2" w:rsidP="00733924">
            <w:pPr>
              <w:rPr>
                <w:sz w:val="18"/>
                <w:szCs w:val="18"/>
                <w:lang w:val="de-DE"/>
              </w:rPr>
            </w:pPr>
          </w:p>
          <w:p w:rsidR="008F504D" w:rsidRPr="003D3420" w:rsidRDefault="008F504D" w:rsidP="00733924">
            <w:pPr>
              <w:rPr>
                <w:sz w:val="18"/>
                <w:szCs w:val="18"/>
                <w:lang w:val="de-DE"/>
              </w:rPr>
            </w:pPr>
          </w:p>
          <w:p w:rsidR="003A3CE2" w:rsidRPr="00FB62D6" w:rsidRDefault="00E163EA" w:rsidP="00733924">
            <w:pPr>
              <w:pStyle w:val="Heading8"/>
              <w:rPr>
                <w:szCs w:val="18"/>
                <w:lang w:val="de-DE"/>
              </w:rPr>
            </w:pPr>
            <w:bookmarkStart w:id="161" w:name="_Toc368400579"/>
            <w:r w:rsidRPr="00FB62D6">
              <w:rPr>
                <w:szCs w:val="18"/>
                <w:lang w:val="de-DE"/>
              </w:rPr>
              <w:t>(c)</w:t>
            </w:r>
            <w:r w:rsidR="003A3CE2" w:rsidRPr="00FB62D6">
              <w:rPr>
                <w:szCs w:val="18"/>
                <w:lang w:val="de-DE"/>
              </w:rPr>
              <w:t xml:space="preserve">  </w:t>
            </w:r>
            <w:r w:rsidR="00FB62D6" w:rsidRPr="00FB62D6">
              <w:rPr>
                <w:lang w:val="de-DE"/>
              </w:rPr>
              <w:t>Staaten und Organisationen, die das Verbandsbüro um Unterstützung bei der Ausarbeitung von Rechtsvorschriften zum Sortenschutz ersuch</w:t>
            </w:r>
            <w:r w:rsidR="00393D4D">
              <w:rPr>
                <w:lang w:val="de-DE"/>
              </w:rPr>
              <w:t>t</w:t>
            </w:r>
            <w:r w:rsidR="00FB62D6" w:rsidRPr="00FB62D6">
              <w:rPr>
                <w:lang w:val="de-DE"/>
              </w:rPr>
              <w:t>en</w:t>
            </w:r>
            <w:bookmarkEnd w:id="161"/>
          </w:p>
          <w:p w:rsidR="00733924" w:rsidRPr="00FD5338" w:rsidRDefault="00DE50BD" w:rsidP="00393D4D">
            <w:pPr>
              <w:tabs>
                <w:tab w:val="left" w:pos="2410"/>
              </w:tabs>
              <w:jc w:val="left"/>
              <w:rPr>
                <w:sz w:val="18"/>
                <w:szCs w:val="18"/>
                <w:lang w:val="de-DE"/>
              </w:rPr>
            </w:pPr>
            <w:r w:rsidRPr="00FD5338">
              <w:rPr>
                <w:sz w:val="18"/>
                <w:szCs w:val="18"/>
                <w:lang w:val="de-DE"/>
              </w:rPr>
              <w:t>Bosni</w:t>
            </w:r>
            <w:r w:rsidR="0092406E">
              <w:rPr>
                <w:sz w:val="18"/>
                <w:szCs w:val="18"/>
                <w:lang w:val="de-DE"/>
              </w:rPr>
              <w:t>en</w:t>
            </w:r>
            <w:r w:rsidR="003F377D" w:rsidRPr="00FD5338">
              <w:rPr>
                <w:sz w:val="18"/>
                <w:szCs w:val="18"/>
                <w:lang w:val="de-DE"/>
              </w:rPr>
              <w:t xml:space="preserve"> und </w:t>
            </w:r>
            <w:r w:rsidR="00DE5DFD">
              <w:rPr>
                <w:sz w:val="18"/>
                <w:szCs w:val="18"/>
                <w:lang w:val="de-DE"/>
              </w:rPr>
              <w:t>Herzegowina</w:t>
            </w:r>
            <w:r w:rsidRPr="00FD5338">
              <w:rPr>
                <w:sz w:val="18"/>
                <w:szCs w:val="18"/>
                <w:lang w:val="de-DE"/>
              </w:rPr>
              <w:t xml:space="preserve">, </w:t>
            </w:r>
            <w:r w:rsidR="00B57933" w:rsidRPr="00FD5338">
              <w:rPr>
                <w:sz w:val="18"/>
                <w:szCs w:val="18"/>
                <w:lang w:val="de-DE"/>
              </w:rPr>
              <w:t xml:space="preserve">Bahrain, </w:t>
            </w:r>
            <w:r w:rsidRPr="00FD5338">
              <w:rPr>
                <w:sz w:val="18"/>
                <w:szCs w:val="18"/>
                <w:lang w:val="de-DE"/>
              </w:rPr>
              <w:t xml:space="preserve">Brunei Darussalam, </w:t>
            </w:r>
            <w:r w:rsidR="00393D4D" w:rsidRPr="00FD5338">
              <w:rPr>
                <w:sz w:val="18"/>
                <w:szCs w:val="18"/>
                <w:lang w:val="de-DE"/>
              </w:rPr>
              <w:t xml:space="preserve">Ghana, </w:t>
            </w:r>
            <w:r w:rsidR="0092406E">
              <w:rPr>
                <w:sz w:val="18"/>
                <w:szCs w:val="18"/>
                <w:lang w:val="de-DE"/>
              </w:rPr>
              <w:t>Demokratische Volksrepublik Laos</w:t>
            </w:r>
            <w:r w:rsidRPr="00FD5338">
              <w:rPr>
                <w:sz w:val="18"/>
                <w:szCs w:val="18"/>
                <w:lang w:val="de-DE"/>
              </w:rPr>
              <w:t xml:space="preserve">, </w:t>
            </w:r>
            <w:r w:rsidR="00393D4D" w:rsidRPr="00FD5338">
              <w:rPr>
                <w:sz w:val="18"/>
                <w:szCs w:val="18"/>
                <w:lang w:val="de-DE"/>
              </w:rPr>
              <w:t xml:space="preserve">Kanada, Kolumbien, </w:t>
            </w:r>
            <w:r w:rsidRPr="00FD5338">
              <w:rPr>
                <w:sz w:val="18"/>
                <w:szCs w:val="18"/>
                <w:lang w:val="de-DE"/>
              </w:rPr>
              <w:t xml:space="preserve">Malaysia, Myanmar, </w:t>
            </w:r>
            <w:r w:rsidR="00B57933" w:rsidRPr="00FD5338">
              <w:rPr>
                <w:sz w:val="18"/>
                <w:szCs w:val="18"/>
                <w:lang w:val="de-DE"/>
              </w:rPr>
              <w:t xml:space="preserve">Nicaragua, Panama, </w:t>
            </w:r>
            <w:r w:rsidR="0092406E">
              <w:rPr>
                <w:sz w:val="18"/>
                <w:szCs w:val="18"/>
                <w:lang w:val="de-DE"/>
              </w:rPr>
              <w:t>Pakistan, Philippinen</w:t>
            </w:r>
            <w:r w:rsidRPr="00FD5338">
              <w:rPr>
                <w:sz w:val="18"/>
                <w:szCs w:val="18"/>
                <w:lang w:val="de-DE"/>
              </w:rPr>
              <w:t xml:space="preserve">, Thailand, </w:t>
            </w:r>
            <w:r w:rsidR="0092406E">
              <w:rPr>
                <w:sz w:val="18"/>
                <w:szCs w:val="18"/>
                <w:lang w:val="de-DE"/>
              </w:rPr>
              <w:t>Vereinigte Republik Tansania</w:t>
            </w:r>
            <w:r w:rsidR="003F377D" w:rsidRPr="00FD5338">
              <w:rPr>
                <w:sz w:val="18"/>
                <w:szCs w:val="18"/>
                <w:lang w:val="de-DE"/>
              </w:rPr>
              <w:t xml:space="preserve"> und </w:t>
            </w:r>
            <w:r w:rsidR="0092406E">
              <w:rPr>
                <w:sz w:val="18"/>
                <w:szCs w:val="18"/>
                <w:lang w:val="de-DE"/>
              </w:rPr>
              <w:t>Simbabwe</w:t>
            </w:r>
          </w:p>
          <w:p w:rsidR="008F504D" w:rsidRPr="00FD5338" w:rsidRDefault="008F504D" w:rsidP="00733924">
            <w:pPr>
              <w:rPr>
                <w:sz w:val="18"/>
                <w:szCs w:val="18"/>
                <w:lang w:val="de-DE"/>
              </w:rPr>
            </w:pPr>
          </w:p>
          <w:p w:rsidR="003A3CE2" w:rsidRPr="00FB62D6" w:rsidRDefault="00E163EA" w:rsidP="00B54229">
            <w:pPr>
              <w:pStyle w:val="Heading8"/>
              <w:rPr>
                <w:szCs w:val="18"/>
                <w:lang w:val="de-DE"/>
              </w:rPr>
            </w:pPr>
            <w:bookmarkStart w:id="162" w:name="_Toc368400580"/>
            <w:r w:rsidRPr="00FB62D6">
              <w:rPr>
                <w:szCs w:val="18"/>
                <w:lang w:val="de-DE"/>
              </w:rPr>
              <w:t>(d)</w:t>
            </w:r>
            <w:r w:rsidR="003A3CE2" w:rsidRPr="00FB62D6">
              <w:rPr>
                <w:szCs w:val="18"/>
                <w:lang w:val="de-DE"/>
              </w:rPr>
              <w:t xml:space="preserve">  </w:t>
            </w:r>
            <w:r w:rsidR="00FB62D6" w:rsidRPr="00FB62D6">
              <w:rPr>
                <w:lang w:val="de-DE"/>
              </w:rPr>
              <w:t xml:space="preserve">Staaten und Organisationen, die beim Rat der UPOV das Verfahren für den Beitritt zum UPOV-Übereinkommen </w:t>
            </w:r>
            <w:r w:rsidR="00B54229">
              <w:rPr>
                <w:lang w:val="de-DE"/>
              </w:rPr>
              <w:t>eingeleitet haben</w:t>
            </w:r>
            <w:bookmarkEnd w:id="162"/>
          </w:p>
          <w:p w:rsidR="00F1525A" w:rsidRPr="006054BD" w:rsidRDefault="00DE50BD" w:rsidP="00733924">
            <w:pPr>
              <w:rPr>
                <w:sz w:val="18"/>
                <w:szCs w:val="18"/>
              </w:rPr>
            </w:pPr>
            <w:r w:rsidRPr="006054BD">
              <w:rPr>
                <w:sz w:val="18"/>
                <w:szCs w:val="18"/>
              </w:rPr>
              <w:t xml:space="preserve">Ghana, </w:t>
            </w:r>
            <w:r w:rsidR="0092406E">
              <w:rPr>
                <w:rFonts w:cs="Arial"/>
                <w:snapToGrid w:val="0"/>
                <w:color w:val="000000"/>
                <w:sz w:val="18"/>
                <w:szCs w:val="24"/>
              </w:rPr>
              <w:t>Vereinigte Republik Tansania</w:t>
            </w:r>
            <w:r w:rsidRPr="006054BD">
              <w:rPr>
                <w:sz w:val="18"/>
                <w:szCs w:val="18"/>
              </w:rPr>
              <w:t xml:space="preserve"> </w:t>
            </w:r>
          </w:p>
          <w:p w:rsidR="00733924" w:rsidRPr="006054BD" w:rsidRDefault="00733924" w:rsidP="00733924">
            <w:pPr>
              <w:rPr>
                <w:sz w:val="18"/>
                <w:szCs w:val="18"/>
              </w:rPr>
            </w:pPr>
          </w:p>
        </w:tc>
      </w:tr>
    </w:tbl>
    <w:p w:rsidR="008F504D" w:rsidRPr="006054BD" w:rsidRDefault="008F504D"/>
    <w:tbl>
      <w:tblPr>
        <w:tblW w:w="9889" w:type="dxa"/>
        <w:tblLayout w:type="fixed"/>
        <w:tblLook w:val="0000" w:firstRow="0" w:lastRow="0" w:firstColumn="0" w:lastColumn="0" w:noHBand="0" w:noVBand="0"/>
      </w:tblPr>
      <w:tblGrid>
        <w:gridCol w:w="2093"/>
        <w:gridCol w:w="7796"/>
      </w:tblGrid>
      <w:tr w:rsidR="008F504D" w:rsidRPr="006054BD" w:rsidTr="002874C7">
        <w:trPr>
          <w:tblHeader/>
        </w:trPr>
        <w:tc>
          <w:tcPr>
            <w:tcW w:w="2093" w:type="dxa"/>
            <w:shd w:val="clear" w:color="auto" w:fill="auto"/>
          </w:tcPr>
          <w:p w:rsidR="008F504D" w:rsidRPr="006054BD" w:rsidRDefault="00A71FDD" w:rsidP="008165D2">
            <w:pPr>
              <w:keepNext/>
              <w:spacing w:after="120"/>
              <w:rPr>
                <w:b/>
                <w:sz w:val="18"/>
                <w:szCs w:val="18"/>
              </w:rPr>
            </w:pPr>
            <w:r>
              <w:rPr>
                <w:b/>
                <w:sz w:val="18"/>
                <w:szCs w:val="18"/>
              </w:rPr>
              <w:t>Erwartete Ergebnisse</w:t>
            </w:r>
          </w:p>
        </w:tc>
        <w:tc>
          <w:tcPr>
            <w:tcW w:w="7796" w:type="dxa"/>
            <w:shd w:val="clear" w:color="auto" w:fill="auto"/>
          </w:tcPr>
          <w:p w:rsidR="008F504D" w:rsidRPr="006054BD" w:rsidRDefault="00A71FDD" w:rsidP="008165D2">
            <w:pPr>
              <w:keepNext/>
              <w:spacing w:after="240"/>
              <w:rPr>
                <w:b/>
                <w:sz w:val="18"/>
                <w:szCs w:val="18"/>
              </w:rPr>
            </w:pPr>
            <w:r>
              <w:rPr>
                <w:b/>
                <w:sz w:val="18"/>
                <w:szCs w:val="18"/>
              </w:rPr>
              <w:t>Erzielte Ergebnisse</w:t>
            </w:r>
            <w:r w:rsidR="008F504D" w:rsidRPr="006054BD">
              <w:rPr>
                <w:b/>
                <w:sz w:val="18"/>
                <w:szCs w:val="18"/>
              </w:rPr>
              <w:t xml:space="preserve">:  </w:t>
            </w:r>
            <w:r>
              <w:rPr>
                <w:b/>
                <w:sz w:val="18"/>
                <w:szCs w:val="18"/>
              </w:rPr>
              <w:t>Ausgewählte Planerfüllungsindikatoren</w:t>
            </w:r>
          </w:p>
        </w:tc>
      </w:tr>
      <w:tr w:rsidR="00731E33" w:rsidRPr="00DE5DFD" w:rsidTr="002874C7">
        <w:tc>
          <w:tcPr>
            <w:tcW w:w="2093" w:type="dxa"/>
          </w:tcPr>
          <w:p w:rsidR="005D39F9" w:rsidRDefault="008F504D" w:rsidP="008F504D">
            <w:pPr>
              <w:jc w:val="left"/>
              <w:rPr>
                <w:i/>
                <w:iCs/>
                <w:color w:val="000000"/>
                <w:sz w:val="18"/>
                <w:szCs w:val="18"/>
                <w:lang w:val="de-DE"/>
              </w:rPr>
            </w:pPr>
            <w:r w:rsidRPr="003D3420">
              <w:rPr>
                <w:i/>
                <w:sz w:val="18"/>
                <w:szCs w:val="18"/>
                <w:lang w:val="de-DE"/>
              </w:rPr>
              <w:t xml:space="preserve">1.  </w:t>
            </w:r>
            <w:r w:rsidR="0092406E" w:rsidRPr="0092406E">
              <w:rPr>
                <w:i/>
                <w:iCs/>
                <w:color w:val="000000"/>
                <w:sz w:val="18"/>
                <w:szCs w:val="18"/>
                <w:lang w:val="de-DE"/>
              </w:rPr>
              <w:t>Sensibilisierung für die Bedeutung von Sortenschutz gemäß dem UPOV</w:t>
            </w:r>
            <w:r w:rsidR="0092406E" w:rsidRPr="0092406E">
              <w:rPr>
                <w:i/>
                <w:iCs/>
                <w:color w:val="000000"/>
                <w:sz w:val="18"/>
                <w:szCs w:val="18"/>
                <w:lang w:val="de-DE"/>
              </w:rPr>
              <w:noBreakHyphen/>
            </w:r>
          </w:p>
          <w:p w:rsidR="00731E33" w:rsidRPr="0092406E" w:rsidRDefault="0092406E" w:rsidP="008F504D">
            <w:pPr>
              <w:jc w:val="left"/>
              <w:rPr>
                <w:sz w:val="18"/>
                <w:szCs w:val="18"/>
                <w:lang w:val="de-DE"/>
              </w:rPr>
            </w:pPr>
            <w:r w:rsidRPr="0092406E">
              <w:rPr>
                <w:i/>
                <w:iCs/>
                <w:color w:val="000000"/>
                <w:sz w:val="18"/>
                <w:szCs w:val="18"/>
                <w:lang w:val="de-DE"/>
              </w:rPr>
              <w:t>Übereinkommen</w:t>
            </w:r>
            <w:r w:rsidRPr="0092406E">
              <w:rPr>
                <w:sz w:val="18"/>
                <w:szCs w:val="18"/>
                <w:lang w:val="de-DE"/>
              </w:rPr>
              <w:t xml:space="preserve"> </w:t>
            </w:r>
            <w:r w:rsidR="008F504D" w:rsidRPr="0092406E">
              <w:rPr>
                <w:sz w:val="18"/>
                <w:szCs w:val="18"/>
                <w:lang w:val="de-DE"/>
              </w:rPr>
              <w:t>(</w:t>
            </w:r>
            <w:r w:rsidR="005017B4" w:rsidRPr="0092406E">
              <w:rPr>
                <w:sz w:val="18"/>
                <w:szCs w:val="18"/>
                <w:lang w:val="de-DE"/>
              </w:rPr>
              <w:t>Fortsetzung</w:t>
            </w:r>
            <w:r w:rsidR="008F504D" w:rsidRPr="0092406E">
              <w:rPr>
                <w:sz w:val="18"/>
                <w:szCs w:val="18"/>
                <w:lang w:val="de-DE"/>
              </w:rPr>
              <w:t>)</w:t>
            </w:r>
          </w:p>
        </w:tc>
        <w:tc>
          <w:tcPr>
            <w:tcW w:w="7796" w:type="dxa"/>
          </w:tcPr>
          <w:p w:rsidR="00731E33" w:rsidRPr="00FB62D6" w:rsidRDefault="00E163EA" w:rsidP="00731E33">
            <w:pPr>
              <w:pStyle w:val="Heading8"/>
              <w:rPr>
                <w:szCs w:val="18"/>
                <w:lang w:val="de-DE"/>
              </w:rPr>
            </w:pPr>
            <w:bookmarkStart w:id="163" w:name="_Toc368400581"/>
            <w:r w:rsidRPr="00FB62D6">
              <w:rPr>
                <w:szCs w:val="18"/>
                <w:lang w:val="de-DE"/>
              </w:rPr>
              <w:t>(e)</w:t>
            </w:r>
            <w:r w:rsidR="00731E33" w:rsidRPr="00FB62D6">
              <w:rPr>
                <w:szCs w:val="18"/>
                <w:lang w:val="de-DE"/>
              </w:rPr>
              <w:t xml:space="preserve">  </w:t>
            </w:r>
            <w:r w:rsidR="00FB62D6" w:rsidRPr="00FB62D6">
              <w:rPr>
                <w:lang w:val="de-DE"/>
              </w:rPr>
              <w:t>Teilnahme an Sensibilisierungsveranstaltungen der UPOV, oder Veranstaltungen mit beteiligtem Personal der UPOV oder UPOV-Ausbildern im Namen von Personal der UPOV</w:t>
            </w:r>
            <w:bookmarkEnd w:id="163"/>
          </w:p>
          <w:p w:rsidR="006B5CF7" w:rsidRPr="003D3420" w:rsidRDefault="00F23749" w:rsidP="00066729">
            <w:pPr>
              <w:numPr>
                <w:ilvl w:val="0"/>
                <w:numId w:val="28"/>
              </w:numPr>
              <w:tabs>
                <w:tab w:val="left" w:pos="459"/>
              </w:tabs>
              <w:spacing w:after="60"/>
              <w:jc w:val="left"/>
              <w:rPr>
                <w:color w:val="000000"/>
                <w:sz w:val="18"/>
                <w:szCs w:val="18"/>
                <w:lang w:val="de-DE"/>
              </w:rPr>
            </w:pPr>
            <w:r>
              <w:rPr>
                <w:sz w:val="18"/>
                <w:szCs w:val="18"/>
                <w:lang w:val="de-DE"/>
              </w:rPr>
              <w:t>Seminare über Sortenschutz</w:t>
            </w:r>
            <w:r w:rsidR="00066729" w:rsidRPr="003D3420">
              <w:rPr>
                <w:sz w:val="18"/>
                <w:szCs w:val="18"/>
                <w:lang w:val="de-DE"/>
              </w:rPr>
              <w:t xml:space="preserve"> in Lima, Trujillo und Iquitos, Peru </w:t>
            </w:r>
            <w:r w:rsidR="00C52BE0" w:rsidRPr="003D3420">
              <w:rPr>
                <w:sz w:val="18"/>
                <w:szCs w:val="18"/>
                <w:lang w:val="de-DE"/>
              </w:rPr>
              <w:t>(</w:t>
            </w:r>
            <w:r w:rsidR="00066729" w:rsidRPr="003D3420">
              <w:rPr>
                <w:sz w:val="18"/>
                <w:szCs w:val="18"/>
                <w:lang w:val="de-DE"/>
              </w:rPr>
              <w:t>Januar</w:t>
            </w:r>
            <w:r w:rsidR="00012764" w:rsidRPr="003D3420">
              <w:rPr>
                <w:sz w:val="18"/>
                <w:szCs w:val="18"/>
                <w:lang w:val="de-DE"/>
              </w:rPr>
              <w:t> 2012)</w:t>
            </w:r>
          </w:p>
          <w:p w:rsidR="002534CA" w:rsidRPr="003D3420" w:rsidRDefault="00066729" w:rsidP="00C523E7">
            <w:pPr>
              <w:numPr>
                <w:ilvl w:val="0"/>
                <w:numId w:val="28"/>
              </w:numPr>
              <w:tabs>
                <w:tab w:val="left" w:pos="459"/>
              </w:tabs>
              <w:spacing w:after="60"/>
              <w:jc w:val="left"/>
              <w:rPr>
                <w:color w:val="000000"/>
                <w:sz w:val="18"/>
                <w:szCs w:val="18"/>
                <w:lang w:val="de-DE"/>
              </w:rPr>
            </w:pPr>
            <w:r w:rsidRPr="003D3420">
              <w:rPr>
                <w:snapToGrid w:val="0"/>
                <w:color w:val="000000"/>
                <w:sz w:val="18"/>
                <w:szCs w:val="18"/>
                <w:lang w:val="de-DE"/>
              </w:rPr>
              <w:t>Studienreise und damit verbundene Tagungen für hochrangige für den Sortenschutz zuständige Beamte</w:t>
            </w:r>
            <w:r w:rsidR="002534CA" w:rsidRPr="003D3420">
              <w:rPr>
                <w:snapToGrid w:val="0"/>
                <w:color w:val="000000"/>
                <w:sz w:val="18"/>
                <w:szCs w:val="18"/>
                <w:lang w:val="de-DE"/>
              </w:rPr>
              <w:t xml:space="preserve">, </w:t>
            </w:r>
            <w:r w:rsidR="002534CA" w:rsidRPr="003D3420">
              <w:rPr>
                <w:color w:val="000000"/>
                <w:sz w:val="18"/>
                <w:szCs w:val="18"/>
                <w:lang w:val="de-DE"/>
              </w:rPr>
              <w:t>Tokyo, Chiba, Tsukuba</w:t>
            </w:r>
            <w:r w:rsidR="003F377D" w:rsidRPr="003D3420">
              <w:rPr>
                <w:color w:val="000000"/>
                <w:sz w:val="18"/>
                <w:szCs w:val="18"/>
                <w:lang w:val="de-DE"/>
              </w:rPr>
              <w:t xml:space="preserve"> und </w:t>
            </w:r>
            <w:r w:rsidR="00C52BE0" w:rsidRPr="003D3420">
              <w:rPr>
                <w:color w:val="000000"/>
                <w:sz w:val="18"/>
                <w:szCs w:val="18"/>
                <w:lang w:val="de-DE"/>
              </w:rPr>
              <w:t>Hachimantai, Japan</w:t>
            </w:r>
            <w:r w:rsidR="002534CA" w:rsidRPr="003D3420">
              <w:rPr>
                <w:color w:val="000000"/>
                <w:sz w:val="18"/>
                <w:szCs w:val="18"/>
                <w:lang w:val="de-DE"/>
              </w:rPr>
              <w:t xml:space="preserve"> </w:t>
            </w:r>
            <w:r w:rsidR="00C52BE0" w:rsidRPr="003D3420">
              <w:rPr>
                <w:color w:val="000000"/>
                <w:sz w:val="18"/>
                <w:szCs w:val="18"/>
                <w:lang w:val="de-DE"/>
              </w:rPr>
              <w:t>(</w:t>
            </w:r>
            <w:r w:rsidRPr="003D3420">
              <w:rPr>
                <w:color w:val="000000"/>
                <w:sz w:val="18"/>
                <w:szCs w:val="18"/>
                <w:lang w:val="de-DE"/>
              </w:rPr>
              <w:t>Januar</w:t>
            </w:r>
            <w:r w:rsidR="002534CA" w:rsidRPr="003D3420">
              <w:rPr>
                <w:color w:val="000000"/>
                <w:sz w:val="18"/>
                <w:szCs w:val="18"/>
                <w:lang w:val="de-DE"/>
              </w:rPr>
              <w:t>/</w:t>
            </w:r>
            <w:r w:rsidRPr="003D3420">
              <w:rPr>
                <w:color w:val="000000"/>
                <w:sz w:val="18"/>
                <w:szCs w:val="18"/>
                <w:lang w:val="de-DE"/>
              </w:rPr>
              <w:t>Februar</w:t>
            </w:r>
            <w:r w:rsidR="00012764" w:rsidRPr="003D3420">
              <w:rPr>
                <w:color w:val="000000"/>
                <w:sz w:val="18"/>
                <w:szCs w:val="18"/>
                <w:lang w:val="de-DE"/>
              </w:rPr>
              <w:t> 2012)</w:t>
            </w:r>
          </w:p>
          <w:p w:rsidR="002534CA" w:rsidRPr="003D3420" w:rsidRDefault="00066729" w:rsidP="00066729">
            <w:pPr>
              <w:keepLines/>
              <w:numPr>
                <w:ilvl w:val="0"/>
                <w:numId w:val="28"/>
              </w:numPr>
              <w:tabs>
                <w:tab w:val="left" w:pos="459"/>
              </w:tabs>
              <w:spacing w:after="60"/>
              <w:jc w:val="left"/>
              <w:rPr>
                <w:color w:val="000000"/>
                <w:sz w:val="18"/>
                <w:szCs w:val="18"/>
                <w:lang w:val="de-DE"/>
              </w:rPr>
            </w:pPr>
            <w:r w:rsidRPr="003D3420">
              <w:rPr>
                <w:snapToGrid w:val="0"/>
                <w:color w:val="000000"/>
                <w:sz w:val="18"/>
                <w:szCs w:val="18"/>
                <w:lang w:val="de-DE"/>
              </w:rPr>
              <w:t>Seminar zur Sensibilisierung für den Sortenschutz</w:t>
            </w:r>
            <w:r w:rsidR="00C52BE0" w:rsidRPr="003D3420">
              <w:rPr>
                <w:snapToGrid w:val="0"/>
                <w:color w:val="000000"/>
                <w:sz w:val="18"/>
                <w:szCs w:val="18"/>
                <w:lang w:val="de-DE" w:eastAsia="ja-JP"/>
              </w:rPr>
              <w:t xml:space="preserve">, </w:t>
            </w:r>
            <w:r w:rsidR="00C52BE0" w:rsidRPr="003D3420">
              <w:rPr>
                <w:rFonts w:hint="eastAsia"/>
                <w:color w:val="000000"/>
                <w:sz w:val="18"/>
                <w:szCs w:val="18"/>
                <w:lang w:val="de-DE" w:eastAsia="ja-JP"/>
              </w:rPr>
              <w:t xml:space="preserve">Phnom Penh, </w:t>
            </w:r>
            <w:r w:rsidRPr="003D3420">
              <w:rPr>
                <w:color w:val="000000"/>
                <w:sz w:val="18"/>
                <w:szCs w:val="18"/>
                <w:lang w:val="de-DE" w:eastAsia="ja-JP"/>
              </w:rPr>
              <w:t>Kambodscha</w:t>
            </w:r>
            <w:r w:rsidR="001B24B3" w:rsidRPr="003D3420">
              <w:rPr>
                <w:color w:val="000000"/>
                <w:sz w:val="18"/>
                <w:szCs w:val="18"/>
                <w:lang w:val="de-DE" w:eastAsia="ja-JP"/>
              </w:rPr>
              <w:t xml:space="preserve"> (</w:t>
            </w:r>
            <w:r w:rsidRPr="003D3420">
              <w:rPr>
                <w:color w:val="000000"/>
                <w:sz w:val="18"/>
                <w:szCs w:val="18"/>
                <w:lang w:val="de-DE" w:eastAsia="ja-JP"/>
              </w:rPr>
              <w:t>Februar</w:t>
            </w:r>
            <w:r w:rsidR="00012764" w:rsidRPr="003D3420">
              <w:rPr>
                <w:color w:val="000000"/>
                <w:sz w:val="18"/>
                <w:szCs w:val="18"/>
                <w:lang w:val="de-DE" w:eastAsia="ja-JP"/>
              </w:rPr>
              <w:t> 2012)</w:t>
            </w:r>
          </w:p>
          <w:p w:rsidR="00EB44FC" w:rsidRPr="003D3420" w:rsidRDefault="00C2685E" w:rsidP="00EB44FC">
            <w:pPr>
              <w:keepNext/>
              <w:numPr>
                <w:ilvl w:val="0"/>
                <w:numId w:val="28"/>
              </w:numPr>
              <w:tabs>
                <w:tab w:val="left" w:pos="459"/>
              </w:tabs>
              <w:spacing w:after="60"/>
              <w:ind w:left="357" w:hanging="357"/>
              <w:jc w:val="left"/>
              <w:rPr>
                <w:color w:val="000000"/>
                <w:sz w:val="18"/>
                <w:szCs w:val="18"/>
                <w:lang w:val="de-DE"/>
              </w:rPr>
            </w:pPr>
            <w:r w:rsidRPr="003D3420">
              <w:rPr>
                <w:color w:val="000000"/>
                <w:sz w:val="18"/>
                <w:szCs w:val="18"/>
                <w:lang w:val="de-DE"/>
              </w:rPr>
              <w:t>Arbeitstagung über Züchterrechte, Patente und Zugang zu biologischer Vielfalt und genetische</w:t>
            </w:r>
            <w:r w:rsidR="00393D4D">
              <w:rPr>
                <w:color w:val="000000"/>
                <w:sz w:val="18"/>
                <w:szCs w:val="18"/>
                <w:lang w:val="de-DE"/>
              </w:rPr>
              <w:t>n</w:t>
            </w:r>
            <w:r w:rsidRPr="003D3420">
              <w:rPr>
                <w:color w:val="000000"/>
                <w:sz w:val="18"/>
                <w:szCs w:val="18"/>
                <w:lang w:val="de-DE"/>
              </w:rPr>
              <w:t xml:space="preserve"> Ressourcen</w:t>
            </w:r>
            <w:r w:rsidR="00EB44FC" w:rsidRPr="003D3420">
              <w:rPr>
                <w:rFonts w:cs="Arial"/>
                <w:bCs/>
                <w:color w:val="000000"/>
                <w:sz w:val="18"/>
                <w:szCs w:val="18"/>
                <w:lang w:val="de-DE"/>
              </w:rPr>
              <w:t xml:space="preserve">, </w:t>
            </w:r>
            <w:r w:rsidR="00EB44FC" w:rsidRPr="003D3420">
              <w:rPr>
                <w:rFonts w:hint="eastAsia"/>
                <w:sz w:val="18"/>
                <w:szCs w:val="18"/>
                <w:lang w:val="de-DE" w:eastAsia="ja-JP"/>
              </w:rPr>
              <w:t>Pattaya, Thailand</w:t>
            </w:r>
            <w:r w:rsidR="00EB44FC" w:rsidRPr="003D3420">
              <w:rPr>
                <w:sz w:val="18"/>
                <w:szCs w:val="18"/>
                <w:lang w:val="de-DE" w:eastAsia="ja-JP"/>
              </w:rPr>
              <w:t xml:space="preserve"> (</w:t>
            </w:r>
            <w:r w:rsidR="00066729" w:rsidRPr="003D3420">
              <w:rPr>
                <w:sz w:val="18"/>
                <w:szCs w:val="18"/>
                <w:lang w:val="de-DE" w:eastAsia="ja-JP"/>
              </w:rPr>
              <w:t>Februar</w:t>
            </w:r>
            <w:r w:rsidR="00EB44FC" w:rsidRPr="003D3420">
              <w:rPr>
                <w:sz w:val="18"/>
                <w:szCs w:val="18"/>
                <w:lang w:val="de-DE" w:eastAsia="ja-JP"/>
              </w:rPr>
              <w:t> 2012)</w:t>
            </w:r>
          </w:p>
          <w:p w:rsidR="00592E9D" w:rsidRPr="003D3420" w:rsidRDefault="00C2685E" w:rsidP="00C2685E">
            <w:pPr>
              <w:keepNext/>
              <w:numPr>
                <w:ilvl w:val="0"/>
                <w:numId w:val="28"/>
              </w:numPr>
              <w:tabs>
                <w:tab w:val="left" w:pos="459"/>
              </w:tabs>
              <w:spacing w:after="60"/>
              <w:ind w:left="357" w:hanging="357"/>
              <w:jc w:val="left"/>
              <w:rPr>
                <w:color w:val="000000"/>
                <w:sz w:val="18"/>
                <w:szCs w:val="18"/>
                <w:lang w:val="de-DE"/>
              </w:rPr>
            </w:pPr>
            <w:r w:rsidRPr="003D3420">
              <w:rPr>
                <w:color w:val="000000"/>
                <w:sz w:val="18"/>
                <w:szCs w:val="18"/>
                <w:lang w:val="de-DE"/>
              </w:rPr>
              <w:t>Arbeitstagung über Sortenschutz im Vorfeld des</w:t>
            </w:r>
            <w:r w:rsidR="00592E9D" w:rsidRPr="003D3420">
              <w:rPr>
                <w:sz w:val="18"/>
                <w:szCs w:val="18"/>
                <w:lang w:val="de-DE"/>
              </w:rPr>
              <w:t>-AFSTA</w:t>
            </w:r>
            <w:r w:rsidRPr="003D3420">
              <w:rPr>
                <w:sz w:val="18"/>
                <w:szCs w:val="18"/>
                <w:lang w:val="de-DE"/>
              </w:rPr>
              <w:t>-Kongresses</w:t>
            </w:r>
            <w:r w:rsidR="00592E9D" w:rsidRPr="003D3420">
              <w:rPr>
                <w:sz w:val="18"/>
                <w:szCs w:val="18"/>
                <w:lang w:val="de-DE"/>
              </w:rPr>
              <w:t xml:space="preserve">, </w:t>
            </w:r>
            <w:r w:rsidRPr="003D3420">
              <w:rPr>
                <w:sz w:val="18"/>
                <w:szCs w:val="18"/>
                <w:lang w:val="de-DE"/>
              </w:rPr>
              <w:t>Sansibar</w:t>
            </w:r>
            <w:r w:rsidR="00592E9D" w:rsidRPr="003D3420">
              <w:rPr>
                <w:sz w:val="18"/>
                <w:szCs w:val="18"/>
                <w:lang w:val="de-DE"/>
              </w:rPr>
              <w:t xml:space="preserve">, </w:t>
            </w:r>
            <w:r w:rsidR="0092406E" w:rsidRPr="003D3420">
              <w:rPr>
                <w:sz w:val="18"/>
                <w:szCs w:val="18"/>
                <w:lang w:val="de-DE"/>
              </w:rPr>
              <w:t>Vereinigte Republik Tansania</w:t>
            </w:r>
            <w:r w:rsidR="00592E9D" w:rsidRPr="003D3420">
              <w:rPr>
                <w:sz w:val="18"/>
                <w:szCs w:val="18"/>
                <w:lang w:val="de-DE"/>
              </w:rPr>
              <w:t xml:space="preserve"> (</w:t>
            </w:r>
            <w:r w:rsidRPr="003D3420">
              <w:rPr>
                <w:sz w:val="18"/>
                <w:szCs w:val="18"/>
                <w:lang w:val="de-DE"/>
              </w:rPr>
              <w:t>März</w:t>
            </w:r>
            <w:r w:rsidR="00592E9D" w:rsidRPr="003D3420">
              <w:rPr>
                <w:sz w:val="18"/>
                <w:szCs w:val="18"/>
                <w:lang w:val="de-DE"/>
              </w:rPr>
              <w:t> 2012)</w:t>
            </w:r>
          </w:p>
          <w:p w:rsidR="00C52BE0" w:rsidRPr="003D3420" w:rsidRDefault="00C52BE0" w:rsidP="002534CA">
            <w:pPr>
              <w:numPr>
                <w:ilvl w:val="0"/>
                <w:numId w:val="28"/>
              </w:numPr>
              <w:tabs>
                <w:tab w:val="left" w:pos="459"/>
              </w:tabs>
              <w:spacing w:after="60"/>
              <w:jc w:val="left"/>
              <w:rPr>
                <w:color w:val="000000"/>
                <w:sz w:val="18"/>
                <w:szCs w:val="18"/>
                <w:lang w:val="de-DE"/>
              </w:rPr>
            </w:pPr>
            <w:r w:rsidRPr="003D3420">
              <w:rPr>
                <w:rFonts w:cs="Arial"/>
                <w:sz w:val="18"/>
                <w:szCs w:val="18"/>
                <w:lang w:val="de-DE"/>
              </w:rPr>
              <w:t>AFSTA</w:t>
            </w:r>
            <w:r w:rsidR="00C2685E" w:rsidRPr="003D3420">
              <w:rPr>
                <w:rFonts w:cs="Arial"/>
                <w:sz w:val="18"/>
                <w:szCs w:val="18"/>
                <w:lang w:val="de-DE"/>
              </w:rPr>
              <w:t>-</w:t>
            </w:r>
            <w:r w:rsidR="00C2685E" w:rsidRPr="003D3420">
              <w:rPr>
                <w:sz w:val="18"/>
                <w:szCs w:val="18"/>
                <w:lang w:val="de-DE"/>
              </w:rPr>
              <w:t>Jahreskongress</w:t>
            </w:r>
            <w:r w:rsidRPr="003D3420">
              <w:rPr>
                <w:sz w:val="18"/>
                <w:szCs w:val="18"/>
                <w:lang w:val="de-DE"/>
              </w:rPr>
              <w:t xml:space="preserve">, </w:t>
            </w:r>
            <w:r w:rsidR="00C2685E" w:rsidRPr="003D3420">
              <w:rPr>
                <w:sz w:val="18"/>
                <w:szCs w:val="18"/>
                <w:lang w:val="de-DE"/>
              </w:rPr>
              <w:t>Sansibar</w:t>
            </w:r>
            <w:r w:rsidRPr="003D3420">
              <w:rPr>
                <w:sz w:val="18"/>
                <w:szCs w:val="18"/>
                <w:lang w:val="de-DE"/>
              </w:rPr>
              <w:t xml:space="preserve">, </w:t>
            </w:r>
            <w:r w:rsidR="0092406E" w:rsidRPr="003D3420">
              <w:rPr>
                <w:sz w:val="18"/>
                <w:szCs w:val="18"/>
                <w:lang w:val="de-DE"/>
              </w:rPr>
              <w:t>Vereinigte Republik Tansania</w:t>
            </w:r>
            <w:r w:rsidRPr="003D3420">
              <w:rPr>
                <w:sz w:val="18"/>
                <w:szCs w:val="18"/>
                <w:lang w:val="de-DE"/>
              </w:rPr>
              <w:t xml:space="preserve"> (</w:t>
            </w:r>
            <w:r w:rsidR="00C2685E" w:rsidRPr="003D3420">
              <w:rPr>
                <w:sz w:val="18"/>
                <w:szCs w:val="18"/>
                <w:lang w:val="de-DE"/>
              </w:rPr>
              <w:t>März</w:t>
            </w:r>
            <w:r w:rsidR="00012764" w:rsidRPr="003D3420">
              <w:rPr>
                <w:sz w:val="18"/>
                <w:szCs w:val="18"/>
                <w:lang w:val="de-DE"/>
              </w:rPr>
              <w:t> 2012)</w:t>
            </w:r>
          </w:p>
          <w:p w:rsidR="001B24B3" w:rsidRPr="003D3420" w:rsidRDefault="00393D4D" w:rsidP="00C523E7">
            <w:pPr>
              <w:numPr>
                <w:ilvl w:val="0"/>
                <w:numId w:val="28"/>
              </w:numPr>
              <w:tabs>
                <w:tab w:val="left" w:pos="459"/>
              </w:tabs>
              <w:spacing w:after="60"/>
              <w:jc w:val="left"/>
              <w:rPr>
                <w:color w:val="000000"/>
                <w:sz w:val="18"/>
                <w:szCs w:val="18"/>
                <w:lang w:val="de-DE"/>
              </w:rPr>
            </w:pPr>
            <w:r>
              <w:rPr>
                <w:sz w:val="18"/>
                <w:szCs w:val="18"/>
                <w:lang w:val="de-DE"/>
              </w:rPr>
              <w:t>Fortgeschrittener</w:t>
            </w:r>
            <w:r w:rsidR="00C2685E" w:rsidRPr="003D3420">
              <w:rPr>
                <w:sz w:val="18"/>
                <w:szCs w:val="18"/>
                <w:lang w:val="de-DE"/>
              </w:rPr>
              <w:t xml:space="preserve"> Lehrgang </w:t>
            </w:r>
            <w:r w:rsidR="00C523E7" w:rsidRPr="003D3420">
              <w:rPr>
                <w:sz w:val="18"/>
                <w:szCs w:val="18"/>
                <w:lang w:val="de-DE"/>
              </w:rPr>
              <w:t xml:space="preserve">der WIPO/WTO </w:t>
            </w:r>
            <w:r w:rsidR="00C2685E" w:rsidRPr="003D3420">
              <w:rPr>
                <w:sz w:val="18"/>
                <w:szCs w:val="18"/>
                <w:lang w:val="de-DE"/>
              </w:rPr>
              <w:t>über geistiges Eigentum für Regierungsbeamte</w:t>
            </w:r>
            <w:r w:rsidR="001B24B3" w:rsidRPr="003D3420">
              <w:rPr>
                <w:sz w:val="18"/>
                <w:szCs w:val="18"/>
                <w:lang w:val="de-DE"/>
              </w:rPr>
              <w:t xml:space="preserve">, </w:t>
            </w:r>
            <w:r w:rsidR="00C2685E" w:rsidRPr="003D3420">
              <w:rPr>
                <w:sz w:val="18"/>
                <w:szCs w:val="18"/>
                <w:lang w:val="de-DE"/>
              </w:rPr>
              <w:t>Genf, Schweiz</w:t>
            </w:r>
            <w:r w:rsidR="001B24B3" w:rsidRPr="003D3420">
              <w:rPr>
                <w:sz w:val="18"/>
                <w:szCs w:val="18"/>
                <w:lang w:val="de-DE"/>
              </w:rPr>
              <w:t xml:space="preserve"> (</w:t>
            </w:r>
            <w:r w:rsidR="00C2685E" w:rsidRPr="003D3420">
              <w:rPr>
                <w:sz w:val="18"/>
                <w:szCs w:val="18"/>
                <w:lang w:val="de-DE"/>
              </w:rPr>
              <w:t>März</w:t>
            </w:r>
            <w:r w:rsidR="00012764" w:rsidRPr="003D3420">
              <w:rPr>
                <w:sz w:val="18"/>
                <w:szCs w:val="18"/>
                <w:lang w:val="de-DE"/>
              </w:rPr>
              <w:t> 2012)</w:t>
            </w:r>
          </w:p>
          <w:p w:rsidR="001B24B3" w:rsidRPr="003D3420" w:rsidRDefault="00C2685E" w:rsidP="00C2685E">
            <w:pPr>
              <w:numPr>
                <w:ilvl w:val="0"/>
                <w:numId w:val="28"/>
              </w:numPr>
              <w:tabs>
                <w:tab w:val="left" w:pos="459"/>
              </w:tabs>
              <w:spacing w:after="60"/>
              <w:jc w:val="left"/>
              <w:rPr>
                <w:color w:val="000000"/>
                <w:sz w:val="18"/>
                <w:szCs w:val="18"/>
                <w:lang w:val="de-DE"/>
              </w:rPr>
            </w:pPr>
            <w:r w:rsidRPr="003D3420">
              <w:rPr>
                <w:sz w:val="18"/>
                <w:szCs w:val="18"/>
                <w:lang w:val="de-DE"/>
              </w:rPr>
              <w:t>Konferenz über Züchterrechte und UPOV</w:t>
            </w:r>
            <w:r w:rsidRPr="003D3420">
              <w:rPr>
                <w:sz w:val="18"/>
                <w:szCs w:val="18"/>
                <w:lang w:val="de-DE"/>
              </w:rPr>
              <w:noBreakHyphen/>
              <w:t>Mitgliedschaft</w:t>
            </w:r>
            <w:r w:rsidR="00C523E7">
              <w:rPr>
                <w:rFonts w:cs="Arial"/>
                <w:sz w:val="18"/>
                <w:szCs w:val="18"/>
                <w:lang w:val="de-DE"/>
              </w:rPr>
              <w:t>, Belgrad, Serbien</w:t>
            </w:r>
            <w:r w:rsidR="001B24B3" w:rsidRPr="003D3420">
              <w:rPr>
                <w:rFonts w:cs="Arial"/>
                <w:sz w:val="18"/>
                <w:szCs w:val="18"/>
                <w:lang w:val="de-DE"/>
              </w:rPr>
              <w:t xml:space="preserve"> (April</w:t>
            </w:r>
            <w:r w:rsidR="00012764" w:rsidRPr="003D3420">
              <w:rPr>
                <w:rFonts w:cs="Arial"/>
                <w:sz w:val="18"/>
                <w:szCs w:val="18"/>
                <w:lang w:val="de-DE"/>
              </w:rPr>
              <w:t> 2012)</w:t>
            </w:r>
          </w:p>
          <w:p w:rsidR="003639F7" w:rsidRPr="003D3420" w:rsidRDefault="003639F7" w:rsidP="00C2685E">
            <w:pPr>
              <w:keepNext/>
              <w:numPr>
                <w:ilvl w:val="0"/>
                <w:numId w:val="28"/>
              </w:numPr>
              <w:tabs>
                <w:tab w:val="left" w:pos="459"/>
              </w:tabs>
              <w:spacing w:after="60"/>
              <w:ind w:left="357" w:hanging="357"/>
              <w:jc w:val="left"/>
              <w:rPr>
                <w:color w:val="000000"/>
                <w:sz w:val="18"/>
                <w:szCs w:val="18"/>
                <w:lang w:val="de-DE"/>
              </w:rPr>
            </w:pPr>
            <w:r w:rsidRPr="003D3420">
              <w:rPr>
                <w:sz w:val="18"/>
                <w:szCs w:val="18"/>
                <w:lang w:val="de-DE"/>
              </w:rPr>
              <w:t>USPTO/UPOV</w:t>
            </w:r>
            <w:r w:rsidR="00C2685E" w:rsidRPr="003D3420">
              <w:rPr>
                <w:sz w:val="18"/>
                <w:szCs w:val="18"/>
                <w:lang w:val="de-DE"/>
              </w:rPr>
              <w:t>-Lehrgang über „Sortenschutz nach dem UPOV-Übereinkommen</w:t>
            </w:r>
            <w:r w:rsidRPr="003D3420">
              <w:rPr>
                <w:sz w:val="18"/>
                <w:szCs w:val="18"/>
                <w:lang w:val="de-DE"/>
              </w:rPr>
              <w:t xml:space="preserve">, Alexandria, Virginia, </w:t>
            </w:r>
            <w:r w:rsidR="00202242" w:rsidRPr="003D3420">
              <w:rPr>
                <w:sz w:val="18"/>
                <w:szCs w:val="18"/>
                <w:lang w:val="de-DE"/>
              </w:rPr>
              <w:t>Vereinigte Staaten von Amerika</w:t>
            </w:r>
            <w:r w:rsidRPr="003D3420">
              <w:rPr>
                <w:sz w:val="18"/>
                <w:szCs w:val="18"/>
                <w:lang w:val="de-DE"/>
              </w:rPr>
              <w:t xml:space="preserve"> (April 2012)</w:t>
            </w:r>
          </w:p>
          <w:p w:rsidR="001B24B3" w:rsidRPr="003D3420" w:rsidRDefault="007C1848" w:rsidP="001B24B3">
            <w:pPr>
              <w:numPr>
                <w:ilvl w:val="0"/>
                <w:numId w:val="28"/>
              </w:numPr>
              <w:tabs>
                <w:tab w:val="left" w:pos="459"/>
              </w:tabs>
              <w:spacing w:after="60"/>
              <w:jc w:val="left"/>
              <w:rPr>
                <w:rFonts w:cs="Arial"/>
                <w:sz w:val="18"/>
                <w:szCs w:val="18"/>
                <w:lang w:val="de-DE"/>
              </w:rPr>
            </w:pPr>
            <w:r w:rsidRPr="003D3420">
              <w:rPr>
                <w:sz w:val="18"/>
                <w:szCs w:val="18"/>
                <w:lang w:val="de-DE"/>
              </w:rPr>
              <w:t>Jahrestagung der Internationalen Gemeinschaft der Züchter vegetativ vermehrbarer Zier- und Obstpflanzen (CIOPORA)</w:t>
            </w:r>
            <w:r w:rsidR="001B24B3" w:rsidRPr="003D3420">
              <w:rPr>
                <w:rFonts w:cs="Arial"/>
                <w:sz w:val="18"/>
                <w:szCs w:val="18"/>
                <w:lang w:val="de-DE"/>
              </w:rPr>
              <w:t xml:space="preserve">, Miami, </w:t>
            </w:r>
            <w:r w:rsidR="00202242" w:rsidRPr="003D3420">
              <w:rPr>
                <w:rFonts w:cs="Arial"/>
                <w:sz w:val="18"/>
                <w:szCs w:val="18"/>
                <w:lang w:val="de-DE"/>
              </w:rPr>
              <w:t>Vereinigte Staaten von Amerika</w:t>
            </w:r>
            <w:r w:rsidR="001B24B3" w:rsidRPr="003D3420">
              <w:rPr>
                <w:rFonts w:cs="Arial"/>
                <w:sz w:val="18"/>
                <w:szCs w:val="18"/>
                <w:lang w:val="de-DE"/>
              </w:rPr>
              <w:t xml:space="preserve"> (April</w:t>
            </w:r>
            <w:r w:rsidR="00012764" w:rsidRPr="003D3420">
              <w:rPr>
                <w:rFonts w:cs="Arial"/>
                <w:sz w:val="18"/>
                <w:szCs w:val="18"/>
                <w:lang w:val="de-DE"/>
              </w:rPr>
              <w:t> 2012)</w:t>
            </w:r>
          </w:p>
          <w:p w:rsidR="001B24B3" w:rsidRPr="003D3420" w:rsidRDefault="00B54229" w:rsidP="001B24B3">
            <w:pPr>
              <w:numPr>
                <w:ilvl w:val="0"/>
                <w:numId w:val="28"/>
              </w:numPr>
              <w:tabs>
                <w:tab w:val="left" w:pos="459"/>
              </w:tabs>
              <w:spacing w:after="60"/>
              <w:jc w:val="left"/>
              <w:rPr>
                <w:color w:val="000000"/>
                <w:sz w:val="18"/>
                <w:szCs w:val="18"/>
                <w:lang w:val="de-DE"/>
              </w:rPr>
            </w:pPr>
            <w:r>
              <w:rPr>
                <w:sz w:val="18"/>
                <w:szCs w:val="18"/>
                <w:lang w:val="de-DE"/>
              </w:rPr>
              <w:t xml:space="preserve">Internationale </w:t>
            </w:r>
            <w:r w:rsidR="007C1848" w:rsidRPr="003D3420">
              <w:rPr>
                <w:sz w:val="18"/>
                <w:szCs w:val="18"/>
                <w:lang w:val="de-DE"/>
              </w:rPr>
              <w:t>CIOPORA-Konferenz über geistiges Eigentum</w:t>
            </w:r>
            <w:r w:rsidR="001B24B3" w:rsidRPr="003D3420">
              <w:rPr>
                <w:rFonts w:cs="Arial"/>
                <w:sz w:val="18"/>
                <w:szCs w:val="18"/>
                <w:lang w:val="de-DE"/>
              </w:rPr>
              <w:t xml:space="preserve">, Miami, </w:t>
            </w:r>
            <w:r w:rsidR="00202242" w:rsidRPr="003D3420">
              <w:rPr>
                <w:rFonts w:cs="Arial"/>
                <w:sz w:val="18"/>
                <w:szCs w:val="18"/>
                <w:lang w:val="de-DE"/>
              </w:rPr>
              <w:t>Vereinigte Staaten von Amerika</w:t>
            </w:r>
            <w:r w:rsidR="001B24B3" w:rsidRPr="003D3420">
              <w:rPr>
                <w:rFonts w:cs="Arial"/>
                <w:sz w:val="18"/>
                <w:szCs w:val="18"/>
                <w:lang w:val="de-DE"/>
              </w:rPr>
              <w:t xml:space="preserve"> (April</w:t>
            </w:r>
            <w:r w:rsidR="00012764" w:rsidRPr="003D3420">
              <w:rPr>
                <w:rFonts w:cs="Arial"/>
                <w:sz w:val="18"/>
                <w:szCs w:val="18"/>
                <w:lang w:val="de-DE"/>
              </w:rPr>
              <w:t> 2012)</w:t>
            </w:r>
          </w:p>
          <w:p w:rsidR="003639F7" w:rsidRPr="003D3420" w:rsidRDefault="007C1848" w:rsidP="003639F7">
            <w:pPr>
              <w:keepNext/>
              <w:numPr>
                <w:ilvl w:val="0"/>
                <w:numId w:val="28"/>
              </w:numPr>
              <w:tabs>
                <w:tab w:val="left" w:pos="459"/>
              </w:tabs>
              <w:spacing w:after="60"/>
              <w:ind w:left="357" w:hanging="357"/>
              <w:jc w:val="left"/>
              <w:rPr>
                <w:color w:val="000000"/>
                <w:sz w:val="18"/>
                <w:szCs w:val="18"/>
                <w:lang w:val="de-DE"/>
              </w:rPr>
            </w:pPr>
            <w:r w:rsidRPr="003D3420">
              <w:rPr>
                <w:sz w:val="18"/>
                <w:szCs w:val="18"/>
                <w:lang w:val="de-DE"/>
              </w:rPr>
              <w:t>Lehrgang über die Umsetzung von und Sensibilisierung für Sortenschutz</w:t>
            </w:r>
            <w:r w:rsidR="003639F7" w:rsidRPr="003D3420">
              <w:rPr>
                <w:sz w:val="18"/>
                <w:szCs w:val="18"/>
                <w:lang w:val="de-DE"/>
              </w:rPr>
              <w:t>, Muscat, Oman (</w:t>
            </w:r>
            <w:r w:rsidRPr="003D3420">
              <w:rPr>
                <w:sz w:val="18"/>
                <w:szCs w:val="18"/>
                <w:lang w:val="de-DE"/>
              </w:rPr>
              <w:t xml:space="preserve">Mai </w:t>
            </w:r>
            <w:r w:rsidR="003639F7" w:rsidRPr="003D3420">
              <w:rPr>
                <w:sz w:val="18"/>
                <w:szCs w:val="18"/>
                <w:lang w:val="de-DE"/>
              </w:rPr>
              <w:t>2012)</w:t>
            </w:r>
          </w:p>
          <w:p w:rsidR="001B24B3" w:rsidRPr="003D3420" w:rsidRDefault="00C523E7" w:rsidP="00B54229">
            <w:pPr>
              <w:numPr>
                <w:ilvl w:val="0"/>
                <w:numId w:val="28"/>
              </w:numPr>
              <w:tabs>
                <w:tab w:val="left" w:pos="459"/>
              </w:tabs>
              <w:spacing w:after="60"/>
              <w:jc w:val="left"/>
              <w:rPr>
                <w:color w:val="000000"/>
                <w:sz w:val="18"/>
                <w:szCs w:val="18"/>
                <w:lang w:val="de-DE"/>
              </w:rPr>
            </w:pPr>
            <w:r>
              <w:rPr>
                <w:sz w:val="18"/>
                <w:szCs w:val="18"/>
                <w:lang w:val="de-DE"/>
              </w:rPr>
              <w:t>SLU/Sida-</w:t>
            </w:r>
            <w:r w:rsidR="007C1848" w:rsidRPr="003D3420">
              <w:rPr>
                <w:sz w:val="18"/>
                <w:szCs w:val="18"/>
                <w:lang w:val="de-DE"/>
              </w:rPr>
              <w:t xml:space="preserve">Ausbildungsprogramm </w:t>
            </w:r>
            <w:r w:rsidR="00B54229">
              <w:rPr>
                <w:sz w:val="18"/>
                <w:szCs w:val="18"/>
                <w:lang w:val="de-DE"/>
              </w:rPr>
              <w:t xml:space="preserve"> über Sortenschutz </w:t>
            </w:r>
            <w:r w:rsidR="00B76E7B">
              <w:rPr>
                <w:sz w:val="18"/>
                <w:szCs w:val="18"/>
                <w:lang w:val="de-DE"/>
              </w:rPr>
              <w:t>im Rahmen</w:t>
            </w:r>
            <w:r w:rsidR="00B54229">
              <w:rPr>
                <w:sz w:val="18"/>
                <w:szCs w:val="18"/>
                <w:lang w:val="de-DE"/>
              </w:rPr>
              <w:t xml:space="preserve"> des Lehrgangs </w:t>
            </w:r>
            <w:r w:rsidR="007C1848" w:rsidRPr="003D3420">
              <w:rPr>
                <w:sz w:val="18"/>
                <w:szCs w:val="18"/>
                <w:lang w:val="de-DE"/>
              </w:rPr>
              <w:t xml:space="preserve">„Genetische Ressourcen und </w:t>
            </w:r>
            <w:r w:rsidR="007C1848" w:rsidRPr="003D3420">
              <w:rPr>
                <w:rFonts w:cs="Arial"/>
                <w:sz w:val="18"/>
                <w:szCs w:val="18"/>
                <w:lang w:val="de-DE"/>
              </w:rPr>
              <w:t>Rechte des geistigen Eigentums</w:t>
            </w:r>
            <w:r w:rsidR="007C1848" w:rsidRPr="003D3420">
              <w:rPr>
                <w:sz w:val="18"/>
                <w:szCs w:val="18"/>
                <w:lang w:val="de-DE"/>
              </w:rPr>
              <w:t xml:space="preserve">“ </w:t>
            </w:r>
            <w:r w:rsidR="001B24B3" w:rsidRPr="003D3420">
              <w:rPr>
                <w:sz w:val="18"/>
                <w:szCs w:val="18"/>
                <w:lang w:val="de-DE"/>
              </w:rPr>
              <w:t>(GRIP</w:t>
            </w:r>
            <w:r w:rsidR="00B54229">
              <w:rPr>
                <w:sz w:val="18"/>
                <w:szCs w:val="18"/>
                <w:lang w:val="de-DE"/>
              </w:rPr>
              <w:t>-</w:t>
            </w:r>
            <w:r w:rsidR="007C1848" w:rsidRPr="003D3420">
              <w:rPr>
                <w:sz w:val="18"/>
                <w:szCs w:val="18"/>
                <w:lang w:val="de-DE"/>
              </w:rPr>
              <w:t>Lehrgang</w:t>
            </w:r>
            <w:r w:rsidR="001B24B3" w:rsidRPr="003D3420">
              <w:rPr>
                <w:sz w:val="18"/>
                <w:szCs w:val="18"/>
                <w:lang w:val="de-DE"/>
              </w:rPr>
              <w:t xml:space="preserve">), Uppsala, </w:t>
            </w:r>
            <w:r w:rsidR="007C1848" w:rsidRPr="003D3420">
              <w:rPr>
                <w:sz w:val="18"/>
                <w:szCs w:val="18"/>
                <w:lang w:val="de-DE"/>
              </w:rPr>
              <w:t>Schweden</w:t>
            </w:r>
            <w:r w:rsidR="001B24B3" w:rsidRPr="003D3420">
              <w:rPr>
                <w:sz w:val="18"/>
                <w:szCs w:val="18"/>
                <w:lang w:val="de-DE"/>
              </w:rPr>
              <w:t xml:space="preserve"> (</w:t>
            </w:r>
            <w:r w:rsidR="007C1848" w:rsidRPr="003D3420">
              <w:rPr>
                <w:sz w:val="18"/>
                <w:szCs w:val="18"/>
                <w:lang w:val="de-DE"/>
              </w:rPr>
              <w:t xml:space="preserve">Mai </w:t>
            </w:r>
            <w:r w:rsidR="00012764" w:rsidRPr="003D3420">
              <w:rPr>
                <w:sz w:val="18"/>
                <w:szCs w:val="18"/>
                <w:lang w:val="de-DE"/>
              </w:rPr>
              <w:t>2012)</w:t>
            </w:r>
          </w:p>
          <w:p w:rsidR="001B24B3" w:rsidRPr="003D3420" w:rsidRDefault="007C1848" w:rsidP="007C1848">
            <w:pPr>
              <w:numPr>
                <w:ilvl w:val="0"/>
                <w:numId w:val="28"/>
              </w:numPr>
              <w:tabs>
                <w:tab w:val="left" w:pos="459"/>
              </w:tabs>
              <w:spacing w:after="60"/>
              <w:jc w:val="left"/>
              <w:rPr>
                <w:color w:val="000000"/>
                <w:sz w:val="18"/>
                <w:szCs w:val="18"/>
                <w:lang w:val="de-DE"/>
              </w:rPr>
            </w:pPr>
            <w:r w:rsidRPr="003D3420">
              <w:rPr>
                <w:sz w:val="18"/>
                <w:szCs w:val="18"/>
                <w:lang w:val="de-DE"/>
              </w:rPr>
              <w:t>Arbeitstagung der WIPO „Geistiges Eigentum, Innovation und Ernährungssicherheit: Arbeitstagung für nachhaltige Weizenproduktion in Ostafrika - eine Fallstudie über die Rolle des geistigen Eigentums“</w:t>
            </w:r>
            <w:r w:rsidR="001B24B3" w:rsidRPr="003D3420">
              <w:rPr>
                <w:sz w:val="18"/>
                <w:szCs w:val="18"/>
                <w:lang w:val="de-DE"/>
              </w:rPr>
              <w:t xml:space="preserve">, </w:t>
            </w:r>
            <w:r w:rsidR="00C2685E" w:rsidRPr="003D3420">
              <w:rPr>
                <w:sz w:val="18"/>
                <w:szCs w:val="18"/>
                <w:lang w:val="de-DE"/>
              </w:rPr>
              <w:t>Genf, Schweiz</w:t>
            </w:r>
            <w:r w:rsidR="001B24B3" w:rsidRPr="003D3420">
              <w:rPr>
                <w:sz w:val="18"/>
                <w:szCs w:val="18"/>
                <w:lang w:val="de-DE"/>
              </w:rPr>
              <w:t xml:space="preserve"> (</w:t>
            </w:r>
            <w:r w:rsidRPr="003D3420">
              <w:rPr>
                <w:sz w:val="18"/>
                <w:szCs w:val="18"/>
                <w:lang w:val="de-DE"/>
              </w:rPr>
              <w:t xml:space="preserve">Mai </w:t>
            </w:r>
            <w:r w:rsidR="00012764" w:rsidRPr="003D3420">
              <w:rPr>
                <w:sz w:val="18"/>
                <w:szCs w:val="18"/>
                <w:lang w:val="de-DE"/>
              </w:rPr>
              <w:t>2012)</w:t>
            </w:r>
          </w:p>
          <w:p w:rsidR="001B24B3" w:rsidRPr="003D3420" w:rsidRDefault="009323ED" w:rsidP="001B24B3">
            <w:pPr>
              <w:numPr>
                <w:ilvl w:val="0"/>
                <w:numId w:val="28"/>
              </w:numPr>
              <w:tabs>
                <w:tab w:val="left" w:pos="459"/>
              </w:tabs>
              <w:spacing w:after="60"/>
              <w:jc w:val="left"/>
              <w:rPr>
                <w:color w:val="000000"/>
                <w:sz w:val="18"/>
                <w:szCs w:val="18"/>
                <w:lang w:val="de-DE"/>
              </w:rPr>
            </w:pPr>
            <w:r w:rsidRPr="003D3420">
              <w:rPr>
                <w:snapToGrid w:val="0"/>
                <w:color w:val="000000"/>
                <w:sz w:val="18"/>
                <w:szCs w:val="18"/>
                <w:lang w:val="de-DE"/>
              </w:rPr>
              <w:t>Tagung im Rahmen des Fünften Ostasienforums über Sortenschutz (EAPVP Forum)</w:t>
            </w:r>
            <w:r w:rsidR="001B24B3" w:rsidRPr="003D3420">
              <w:rPr>
                <w:snapToGrid w:val="0"/>
                <w:color w:val="000000"/>
                <w:sz w:val="18"/>
                <w:szCs w:val="18"/>
                <w:lang w:val="de-DE"/>
              </w:rPr>
              <w:t>, Bangkok</w:t>
            </w:r>
            <w:r w:rsidR="001B24B3" w:rsidRPr="003D3420">
              <w:rPr>
                <w:color w:val="000000"/>
                <w:sz w:val="18"/>
                <w:szCs w:val="18"/>
                <w:lang w:val="de-DE"/>
              </w:rPr>
              <w:t>, Thailand (</w:t>
            </w:r>
            <w:r w:rsidR="007C1848" w:rsidRPr="003D3420">
              <w:rPr>
                <w:color w:val="000000"/>
                <w:sz w:val="18"/>
                <w:szCs w:val="18"/>
                <w:lang w:val="de-DE"/>
              </w:rPr>
              <w:t xml:space="preserve">Mai </w:t>
            </w:r>
            <w:r w:rsidR="00012764" w:rsidRPr="003D3420">
              <w:rPr>
                <w:color w:val="000000"/>
                <w:sz w:val="18"/>
                <w:szCs w:val="18"/>
                <w:lang w:val="de-DE"/>
              </w:rPr>
              <w:t>2012)</w:t>
            </w:r>
          </w:p>
          <w:p w:rsidR="001B24B3" w:rsidRPr="003D3420" w:rsidRDefault="009323ED" w:rsidP="00C523E7">
            <w:pPr>
              <w:numPr>
                <w:ilvl w:val="0"/>
                <w:numId w:val="28"/>
              </w:numPr>
              <w:tabs>
                <w:tab w:val="left" w:pos="459"/>
              </w:tabs>
              <w:spacing w:after="60"/>
              <w:jc w:val="left"/>
              <w:rPr>
                <w:color w:val="000000"/>
                <w:sz w:val="18"/>
                <w:szCs w:val="18"/>
                <w:lang w:val="de-DE"/>
              </w:rPr>
            </w:pPr>
            <w:r w:rsidRPr="003D3420">
              <w:rPr>
                <w:color w:val="000000"/>
                <w:sz w:val="18"/>
                <w:szCs w:val="18"/>
                <w:lang w:val="de-DE"/>
              </w:rPr>
              <w:t xml:space="preserve">Internationales Seminar </w:t>
            </w:r>
            <w:r w:rsidR="00C523E7" w:rsidRPr="003D3420">
              <w:rPr>
                <w:color w:val="000000"/>
                <w:sz w:val="18"/>
                <w:szCs w:val="18"/>
                <w:lang w:val="de-DE"/>
              </w:rPr>
              <w:t xml:space="preserve">des </w:t>
            </w:r>
            <w:r w:rsidR="00C523E7" w:rsidRPr="003D3420">
              <w:rPr>
                <w:rFonts w:cs="Arial"/>
                <w:iCs/>
                <w:color w:val="000000"/>
                <w:sz w:val="18"/>
                <w:szCs w:val="18"/>
                <w:lang w:val="de-DE"/>
              </w:rPr>
              <w:t>EAPVP</w:t>
            </w:r>
            <w:r w:rsidR="00C523E7" w:rsidRPr="003D3420">
              <w:rPr>
                <w:color w:val="000000"/>
                <w:sz w:val="18"/>
                <w:szCs w:val="18"/>
                <w:lang w:val="de-DE"/>
              </w:rPr>
              <w:t xml:space="preserve"> </w:t>
            </w:r>
            <w:r w:rsidRPr="003D3420">
              <w:rPr>
                <w:color w:val="000000"/>
                <w:sz w:val="18"/>
                <w:szCs w:val="18"/>
                <w:lang w:val="de-DE"/>
              </w:rPr>
              <w:t>über die Auswirkungen des Sortenschutzes</w:t>
            </w:r>
            <w:r w:rsidR="001B24B3" w:rsidRPr="003D3420">
              <w:rPr>
                <w:rFonts w:cs="Arial"/>
                <w:iCs/>
                <w:color w:val="000000"/>
                <w:sz w:val="18"/>
                <w:szCs w:val="18"/>
                <w:lang w:val="de-DE"/>
              </w:rPr>
              <w:t xml:space="preserve">, </w:t>
            </w:r>
            <w:r w:rsidR="001B24B3" w:rsidRPr="003D3420">
              <w:rPr>
                <w:snapToGrid w:val="0"/>
                <w:color w:val="000000"/>
                <w:sz w:val="18"/>
                <w:szCs w:val="18"/>
                <w:lang w:val="de-DE"/>
              </w:rPr>
              <w:t>Bangkok</w:t>
            </w:r>
            <w:r w:rsidR="001B24B3" w:rsidRPr="003D3420">
              <w:rPr>
                <w:color w:val="000000"/>
                <w:sz w:val="18"/>
                <w:szCs w:val="18"/>
                <w:lang w:val="de-DE"/>
              </w:rPr>
              <w:t>, Thailand (</w:t>
            </w:r>
            <w:r w:rsidR="007C1848" w:rsidRPr="003D3420">
              <w:rPr>
                <w:color w:val="000000"/>
                <w:sz w:val="18"/>
                <w:szCs w:val="18"/>
                <w:lang w:val="de-DE"/>
              </w:rPr>
              <w:t xml:space="preserve">Mai </w:t>
            </w:r>
            <w:r w:rsidR="00012764" w:rsidRPr="003D3420">
              <w:rPr>
                <w:color w:val="000000"/>
                <w:sz w:val="18"/>
                <w:szCs w:val="18"/>
                <w:lang w:val="de-DE"/>
              </w:rPr>
              <w:t>2012)</w:t>
            </w:r>
          </w:p>
          <w:p w:rsidR="001B24B3" w:rsidRPr="00B76E7B" w:rsidRDefault="009323ED" w:rsidP="001B24B3">
            <w:pPr>
              <w:numPr>
                <w:ilvl w:val="0"/>
                <w:numId w:val="28"/>
              </w:numPr>
              <w:tabs>
                <w:tab w:val="left" w:pos="459"/>
              </w:tabs>
              <w:spacing w:after="60"/>
              <w:jc w:val="left"/>
              <w:rPr>
                <w:color w:val="000000"/>
                <w:sz w:val="18"/>
                <w:szCs w:val="18"/>
                <w:lang w:val="de-DE"/>
              </w:rPr>
            </w:pPr>
            <w:r w:rsidRPr="00B76E7B">
              <w:rPr>
                <w:sz w:val="18"/>
                <w:szCs w:val="18"/>
                <w:lang w:val="de-DE"/>
              </w:rPr>
              <w:t>WIPO-Lehrgang zur Einführung in das internationale Recht des geistigen Eigentums</w:t>
            </w:r>
            <w:r w:rsidR="003574F8" w:rsidRPr="00B76E7B">
              <w:rPr>
                <w:sz w:val="18"/>
                <w:szCs w:val="18"/>
                <w:lang w:val="de-DE"/>
              </w:rPr>
              <w:t xml:space="preserve">, </w:t>
            </w:r>
            <w:r w:rsidR="00C2685E" w:rsidRPr="00B76E7B">
              <w:rPr>
                <w:sz w:val="18"/>
                <w:szCs w:val="18"/>
                <w:lang w:val="de-DE"/>
              </w:rPr>
              <w:t>Genf, Schweiz</w:t>
            </w:r>
            <w:r w:rsidR="003574F8" w:rsidRPr="00B76E7B">
              <w:rPr>
                <w:sz w:val="18"/>
                <w:szCs w:val="18"/>
                <w:lang w:val="de-DE"/>
              </w:rPr>
              <w:t xml:space="preserve"> (</w:t>
            </w:r>
            <w:r w:rsidRPr="00B76E7B">
              <w:rPr>
                <w:sz w:val="18"/>
                <w:szCs w:val="18"/>
                <w:lang w:val="de-DE"/>
              </w:rPr>
              <w:t>Juni</w:t>
            </w:r>
            <w:r w:rsidR="00012764" w:rsidRPr="00B76E7B">
              <w:rPr>
                <w:sz w:val="18"/>
                <w:szCs w:val="18"/>
                <w:lang w:val="de-DE"/>
              </w:rPr>
              <w:t> 2012)</w:t>
            </w:r>
          </w:p>
          <w:p w:rsidR="00524405" w:rsidRPr="00B76E7B" w:rsidRDefault="009323ED" w:rsidP="00524405">
            <w:pPr>
              <w:keepNext/>
              <w:numPr>
                <w:ilvl w:val="0"/>
                <w:numId w:val="28"/>
              </w:numPr>
              <w:tabs>
                <w:tab w:val="left" w:pos="459"/>
              </w:tabs>
              <w:spacing w:after="60"/>
              <w:ind w:left="357" w:hanging="357"/>
              <w:jc w:val="left"/>
              <w:rPr>
                <w:color w:val="000000"/>
                <w:sz w:val="18"/>
                <w:szCs w:val="18"/>
                <w:lang w:val="de-DE"/>
              </w:rPr>
            </w:pPr>
            <w:r w:rsidRPr="00B76E7B">
              <w:rPr>
                <w:sz w:val="18"/>
                <w:szCs w:val="18"/>
                <w:lang w:val="de-DE"/>
              </w:rPr>
              <w:t>Sachverständigentagung zur Überprüfung des Entwurfs eines ARIPO-Rechtsrahmens für den Schutz von Pflanzenzüchtungen</w:t>
            </w:r>
            <w:r w:rsidR="00524405" w:rsidRPr="00B76E7B">
              <w:rPr>
                <w:sz w:val="18"/>
                <w:szCs w:val="18"/>
                <w:lang w:val="de-DE"/>
              </w:rPr>
              <w:t xml:space="preserve">, Harare, </w:t>
            </w:r>
            <w:r w:rsidR="0092406E" w:rsidRPr="00B76E7B">
              <w:rPr>
                <w:sz w:val="18"/>
                <w:szCs w:val="18"/>
                <w:lang w:val="de-DE"/>
              </w:rPr>
              <w:t>Simbabwe</w:t>
            </w:r>
            <w:r w:rsidR="00524405" w:rsidRPr="00B76E7B">
              <w:rPr>
                <w:sz w:val="18"/>
                <w:szCs w:val="18"/>
                <w:lang w:val="de-DE"/>
              </w:rPr>
              <w:t xml:space="preserve"> (</w:t>
            </w:r>
            <w:r w:rsidRPr="00B76E7B">
              <w:rPr>
                <w:sz w:val="18"/>
                <w:szCs w:val="18"/>
                <w:lang w:val="de-DE"/>
              </w:rPr>
              <w:t>Juni</w:t>
            </w:r>
            <w:r w:rsidR="00524405" w:rsidRPr="00B76E7B">
              <w:rPr>
                <w:sz w:val="18"/>
                <w:szCs w:val="18"/>
                <w:lang w:val="de-DE"/>
              </w:rPr>
              <w:t> 2012)</w:t>
            </w:r>
          </w:p>
          <w:p w:rsidR="003574F8" w:rsidRPr="00B76E7B" w:rsidRDefault="005D39F9" w:rsidP="005D39F9">
            <w:pPr>
              <w:numPr>
                <w:ilvl w:val="0"/>
                <w:numId w:val="28"/>
              </w:numPr>
              <w:tabs>
                <w:tab w:val="left" w:pos="459"/>
              </w:tabs>
              <w:spacing w:after="60"/>
              <w:jc w:val="left"/>
              <w:rPr>
                <w:color w:val="000000"/>
                <w:sz w:val="18"/>
                <w:szCs w:val="18"/>
                <w:lang w:val="de-DE"/>
              </w:rPr>
            </w:pPr>
            <w:r w:rsidRPr="00B76E7B">
              <w:rPr>
                <w:rFonts w:cs="Arial"/>
                <w:sz w:val="18"/>
                <w:szCs w:val="18"/>
                <w:lang w:val="de-DE"/>
              </w:rPr>
              <w:t>Fünfzehnter</w:t>
            </w:r>
            <w:r w:rsidR="003574F8" w:rsidRPr="00B76E7B">
              <w:rPr>
                <w:rFonts w:cs="Arial"/>
                <w:sz w:val="18"/>
                <w:szCs w:val="18"/>
                <w:lang w:val="de-DE"/>
              </w:rPr>
              <w:t xml:space="preserve"> </w:t>
            </w:r>
            <w:r w:rsidRPr="00B76E7B">
              <w:rPr>
                <w:sz w:val="18"/>
                <w:szCs w:val="18"/>
                <w:lang w:val="de-DE"/>
              </w:rPr>
              <w:t xml:space="preserve">Internationaler Lehrgang über Sortenschutz </w:t>
            </w:r>
            <w:r w:rsidR="003574F8" w:rsidRPr="00B76E7B">
              <w:rPr>
                <w:rFonts w:cs="Arial"/>
                <w:sz w:val="18"/>
                <w:szCs w:val="18"/>
                <w:lang w:val="de-DE"/>
              </w:rPr>
              <w:t xml:space="preserve">(Naktuinbouw), </w:t>
            </w:r>
            <w:r w:rsidR="003574F8" w:rsidRPr="00B76E7B">
              <w:rPr>
                <w:sz w:val="18"/>
                <w:szCs w:val="18"/>
                <w:lang w:val="de-DE"/>
              </w:rPr>
              <w:t xml:space="preserve">Wageningen, </w:t>
            </w:r>
            <w:r w:rsidR="00E35033" w:rsidRPr="00B76E7B">
              <w:rPr>
                <w:sz w:val="18"/>
                <w:szCs w:val="18"/>
                <w:lang w:val="de-DE"/>
              </w:rPr>
              <w:t>Niederlande</w:t>
            </w:r>
            <w:r w:rsidR="003574F8" w:rsidRPr="00B76E7B">
              <w:rPr>
                <w:sz w:val="18"/>
                <w:szCs w:val="18"/>
                <w:lang w:val="de-DE"/>
              </w:rPr>
              <w:t xml:space="preserve"> (</w:t>
            </w:r>
            <w:r w:rsidR="009323ED" w:rsidRPr="00B76E7B">
              <w:rPr>
                <w:sz w:val="18"/>
                <w:szCs w:val="18"/>
                <w:lang w:val="de-DE"/>
              </w:rPr>
              <w:t>Juni</w:t>
            </w:r>
            <w:r w:rsidR="00012764" w:rsidRPr="00B76E7B">
              <w:rPr>
                <w:sz w:val="18"/>
                <w:szCs w:val="18"/>
                <w:lang w:val="de-DE"/>
              </w:rPr>
              <w:t> 2012)</w:t>
            </w:r>
          </w:p>
          <w:p w:rsidR="003574F8" w:rsidRPr="00B76E7B" w:rsidRDefault="005D39F9" w:rsidP="001B24B3">
            <w:pPr>
              <w:numPr>
                <w:ilvl w:val="0"/>
                <w:numId w:val="28"/>
              </w:numPr>
              <w:tabs>
                <w:tab w:val="left" w:pos="459"/>
              </w:tabs>
              <w:spacing w:after="60"/>
              <w:jc w:val="left"/>
              <w:rPr>
                <w:color w:val="000000"/>
                <w:sz w:val="18"/>
                <w:szCs w:val="18"/>
                <w:lang w:val="de-DE"/>
              </w:rPr>
            </w:pPr>
            <w:r w:rsidRPr="00B76E7B">
              <w:rPr>
                <w:sz w:val="18"/>
                <w:szCs w:val="18"/>
                <w:lang w:val="de-DE"/>
              </w:rPr>
              <w:t>WIPO-WTO-Kolloquium für Dozenten im Bereich des geistigen Eigentums</w:t>
            </w:r>
            <w:r w:rsidR="003574F8" w:rsidRPr="00B76E7B">
              <w:rPr>
                <w:sz w:val="18"/>
                <w:szCs w:val="18"/>
                <w:lang w:val="de-DE"/>
              </w:rPr>
              <w:t xml:space="preserve">, </w:t>
            </w:r>
            <w:r w:rsidR="00C2685E" w:rsidRPr="00B76E7B">
              <w:rPr>
                <w:sz w:val="18"/>
                <w:szCs w:val="18"/>
                <w:lang w:val="de-DE"/>
              </w:rPr>
              <w:t>Genf, Schweiz</w:t>
            </w:r>
            <w:r w:rsidR="003574F8" w:rsidRPr="00B76E7B">
              <w:rPr>
                <w:sz w:val="18"/>
                <w:szCs w:val="18"/>
                <w:lang w:val="de-DE"/>
              </w:rPr>
              <w:t xml:space="preserve"> (</w:t>
            </w:r>
            <w:r w:rsidR="009323ED" w:rsidRPr="00B76E7B">
              <w:rPr>
                <w:sz w:val="18"/>
                <w:szCs w:val="18"/>
                <w:lang w:val="de-DE"/>
              </w:rPr>
              <w:t>Juni</w:t>
            </w:r>
            <w:r w:rsidR="00012764" w:rsidRPr="00B76E7B">
              <w:rPr>
                <w:sz w:val="18"/>
                <w:szCs w:val="18"/>
                <w:lang w:val="de-DE"/>
              </w:rPr>
              <w:t> 2012)</w:t>
            </w:r>
          </w:p>
          <w:p w:rsidR="003574F8" w:rsidRPr="00B76E7B" w:rsidRDefault="005D39F9" w:rsidP="001B24B3">
            <w:pPr>
              <w:numPr>
                <w:ilvl w:val="0"/>
                <w:numId w:val="28"/>
              </w:numPr>
              <w:tabs>
                <w:tab w:val="left" w:pos="459"/>
              </w:tabs>
              <w:spacing w:after="60"/>
              <w:jc w:val="left"/>
              <w:rPr>
                <w:color w:val="000000"/>
                <w:sz w:val="18"/>
                <w:szCs w:val="18"/>
                <w:lang w:val="de-DE"/>
              </w:rPr>
            </w:pPr>
            <w:r w:rsidRPr="00B76E7B">
              <w:rPr>
                <w:sz w:val="18"/>
                <w:szCs w:val="18"/>
                <w:lang w:val="de-DE"/>
              </w:rPr>
              <w:t>Interregionales Zwischenseminar der WIPO über gewerbliches Eigentum</w:t>
            </w:r>
            <w:r w:rsidR="003574F8" w:rsidRPr="00B76E7B">
              <w:rPr>
                <w:sz w:val="18"/>
                <w:szCs w:val="18"/>
                <w:lang w:val="de-DE"/>
              </w:rPr>
              <w:t xml:space="preserve">, </w:t>
            </w:r>
            <w:r w:rsidR="00C2685E" w:rsidRPr="00B76E7B">
              <w:rPr>
                <w:sz w:val="18"/>
                <w:szCs w:val="18"/>
                <w:lang w:val="de-DE"/>
              </w:rPr>
              <w:t>Genf, Schweiz</w:t>
            </w:r>
            <w:r w:rsidR="003574F8" w:rsidRPr="00B76E7B">
              <w:rPr>
                <w:sz w:val="18"/>
                <w:szCs w:val="18"/>
                <w:lang w:val="de-DE"/>
              </w:rPr>
              <w:t xml:space="preserve"> (</w:t>
            </w:r>
            <w:r w:rsidR="009323ED" w:rsidRPr="00B76E7B">
              <w:rPr>
                <w:sz w:val="18"/>
                <w:szCs w:val="18"/>
                <w:lang w:val="de-DE"/>
              </w:rPr>
              <w:t>Juni</w:t>
            </w:r>
            <w:r w:rsidR="00012764" w:rsidRPr="00B76E7B">
              <w:rPr>
                <w:sz w:val="18"/>
                <w:szCs w:val="18"/>
                <w:lang w:val="de-DE"/>
              </w:rPr>
              <w:t> 2012)</w:t>
            </w:r>
          </w:p>
          <w:p w:rsidR="003574F8" w:rsidRPr="00B76E7B" w:rsidRDefault="007C2539" w:rsidP="001B24B3">
            <w:pPr>
              <w:numPr>
                <w:ilvl w:val="0"/>
                <w:numId w:val="28"/>
              </w:numPr>
              <w:tabs>
                <w:tab w:val="left" w:pos="459"/>
              </w:tabs>
              <w:spacing w:after="60"/>
              <w:jc w:val="left"/>
              <w:rPr>
                <w:color w:val="000000"/>
                <w:sz w:val="18"/>
                <w:szCs w:val="18"/>
                <w:lang w:val="de-DE"/>
              </w:rPr>
            </w:pPr>
            <w:r>
              <w:rPr>
                <w:snapToGrid w:val="0"/>
                <w:sz w:val="18"/>
                <w:szCs w:val="18"/>
                <w:lang w:val="de-DE"/>
              </w:rPr>
              <w:t xml:space="preserve">Kongreß </w:t>
            </w:r>
            <w:r w:rsidR="005D39F9" w:rsidRPr="00B76E7B">
              <w:rPr>
                <w:snapToGrid w:val="0"/>
                <w:sz w:val="18"/>
                <w:szCs w:val="18"/>
                <w:lang w:val="de-DE"/>
              </w:rPr>
              <w:t xml:space="preserve">der </w:t>
            </w:r>
            <w:r w:rsidR="00D26470" w:rsidRPr="00B76E7B">
              <w:rPr>
                <w:i/>
                <w:sz w:val="18"/>
                <w:szCs w:val="18"/>
                <w:lang w:val="de-DE"/>
              </w:rPr>
              <w:t>International Seed Federation</w:t>
            </w:r>
            <w:r w:rsidR="005D39F9" w:rsidRPr="00B76E7B">
              <w:rPr>
                <w:snapToGrid w:val="0"/>
                <w:sz w:val="18"/>
                <w:szCs w:val="18"/>
                <w:lang w:val="de-DE"/>
              </w:rPr>
              <w:t xml:space="preserve"> (ISF) 2012</w:t>
            </w:r>
            <w:r w:rsidR="003574F8" w:rsidRPr="00B76E7B">
              <w:rPr>
                <w:snapToGrid w:val="0"/>
                <w:sz w:val="18"/>
                <w:szCs w:val="18"/>
                <w:lang w:val="de-DE"/>
              </w:rPr>
              <w:t xml:space="preserve">, Rio de Janeiro, </w:t>
            </w:r>
            <w:r w:rsidR="000B19E1" w:rsidRPr="00B76E7B">
              <w:rPr>
                <w:snapToGrid w:val="0"/>
                <w:sz w:val="18"/>
                <w:szCs w:val="18"/>
                <w:lang w:val="de-DE"/>
              </w:rPr>
              <w:t>Brasilien</w:t>
            </w:r>
            <w:r w:rsidR="003574F8" w:rsidRPr="00B76E7B">
              <w:rPr>
                <w:snapToGrid w:val="0"/>
                <w:sz w:val="18"/>
                <w:szCs w:val="18"/>
                <w:lang w:val="de-DE"/>
              </w:rPr>
              <w:t xml:space="preserve"> (</w:t>
            </w:r>
            <w:r w:rsidR="009323ED" w:rsidRPr="00B76E7B">
              <w:rPr>
                <w:snapToGrid w:val="0"/>
                <w:sz w:val="18"/>
                <w:szCs w:val="18"/>
                <w:lang w:val="de-DE"/>
              </w:rPr>
              <w:t>Juni</w:t>
            </w:r>
            <w:r w:rsidR="00012764" w:rsidRPr="00B76E7B">
              <w:rPr>
                <w:snapToGrid w:val="0"/>
                <w:sz w:val="18"/>
                <w:szCs w:val="18"/>
                <w:lang w:val="de-DE"/>
              </w:rPr>
              <w:t> 2012)</w:t>
            </w:r>
          </w:p>
          <w:p w:rsidR="003574F8" w:rsidRPr="00B76E7B" w:rsidRDefault="00C523E7" w:rsidP="00C523E7">
            <w:pPr>
              <w:numPr>
                <w:ilvl w:val="0"/>
                <w:numId w:val="28"/>
              </w:numPr>
              <w:tabs>
                <w:tab w:val="left" w:pos="459"/>
              </w:tabs>
              <w:spacing w:after="60"/>
              <w:jc w:val="left"/>
              <w:rPr>
                <w:color w:val="000000"/>
                <w:sz w:val="18"/>
                <w:szCs w:val="18"/>
                <w:lang w:val="de-DE"/>
              </w:rPr>
            </w:pPr>
            <w:r w:rsidRPr="00B76E7B">
              <w:rPr>
                <w:sz w:val="18"/>
                <w:szCs w:val="18"/>
                <w:lang w:val="de-DE"/>
              </w:rPr>
              <w:t>IDLO-</w:t>
            </w:r>
            <w:r w:rsidR="005D39F9" w:rsidRPr="00B76E7B">
              <w:rPr>
                <w:sz w:val="18"/>
                <w:szCs w:val="18"/>
                <w:lang w:val="de-DE"/>
              </w:rPr>
              <w:t xml:space="preserve">Lehrgang für die </w:t>
            </w:r>
            <w:r w:rsidRPr="00B76E7B">
              <w:rPr>
                <w:sz w:val="18"/>
                <w:szCs w:val="18"/>
                <w:lang w:val="de-DE"/>
              </w:rPr>
              <w:t>„</w:t>
            </w:r>
            <w:r w:rsidR="005D39F9" w:rsidRPr="00B76E7B">
              <w:rPr>
                <w:sz w:val="18"/>
                <w:szCs w:val="18"/>
                <w:lang w:val="de-DE"/>
              </w:rPr>
              <w:t>Vergabe von Technik-Lizenzen für Entwicklungsländer: Do´s and Don’ts“</w:t>
            </w:r>
            <w:r w:rsidR="003574F8" w:rsidRPr="00B76E7B">
              <w:rPr>
                <w:sz w:val="18"/>
                <w:szCs w:val="18"/>
                <w:lang w:val="de-DE"/>
              </w:rPr>
              <w:t>, Rom, Ital</w:t>
            </w:r>
            <w:r w:rsidRPr="00B76E7B">
              <w:rPr>
                <w:sz w:val="18"/>
                <w:szCs w:val="18"/>
                <w:lang w:val="de-DE"/>
              </w:rPr>
              <w:t>ien</w:t>
            </w:r>
            <w:r w:rsidR="003574F8" w:rsidRPr="00B76E7B">
              <w:rPr>
                <w:sz w:val="18"/>
                <w:szCs w:val="18"/>
                <w:lang w:val="de-DE"/>
              </w:rPr>
              <w:t xml:space="preserve"> (</w:t>
            </w:r>
            <w:r w:rsidRPr="00B76E7B">
              <w:rPr>
                <w:sz w:val="18"/>
                <w:szCs w:val="18"/>
                <w:lang w:val="de-DE"/>
              </w:rPr>
              <w:t>Juli</w:t>
            </w:r>
            <w:r w:rsidR="00012764" w:rsidRPr="00B76E7B">
              <w:rPr>
                <w:sz w:val="18"/>
                <w:szCs w:val="18"/>
                <w:lang w:val="de-DE"/>
              </w:rPr>
              <w:t> 2012)</w:t>
            </w:r>
          </w:p>
          <w:p w:rsidR="003574F8" w:rsidRPr="00B76E7B" w:rsidRDefault="005D39F9" w:rsidP="001B24B3">
            <w:pPr>
              <w:numPr>
                <w:ilvl w:val="0"/>
                <w:numId w:val="28"/>
              </w:numPr>
              <w:tabs>
                <w:tab w:val="left" w:pos="459"/>
              </w:tabs>
              <w:spacing w:after="60"/>
              <w:jc w:val="left"/>
              <w:rPr>
                <w:color w:val="000000"/>
                <w:sz w:val="18"/>
                <w:szCs w:val="18"/>
                <w:lang w:val="de-DE"/>
              </w:rPr>
            </w:pPr>
            <w:r w:rsidRPr="00B76E7B">
              <w:rPr>
                <w:sz w:val="18"/>
                <w:szCs w:val="18"/>
                <w:lang w:val="de-DE"/>
              </w:rPr>
              <w:t>WIPO</w:t>
            </w:r>
            <w:r w:rsidRPr="00B76E7B">
              <w:rPr>
                <w:sz w:val="18"/>
                <w:szCs w:val="18"/>
                <w:lang w:val="de-DE"/>
              </w:rPr>
              <w:noBreakHyphen/>
              <w:t>Sommerschule über geistiges Eigentum</w:t>
            </w:r>
            <w:r w:rsidR="003574F8" w:rsidRPr="00B76E7B">
              <w:rPr>
                <w:sz w:val="18"/>
                <w:szCs w:val="18"/>
                <w:lang w:val="de-DE"/>
              </w:rPr>
              <w:t xml:space="preserve">, </w:t>
            </w:r>
            <w:r w:rsidR="00C2685E" w:rsidRPr="00B76E7B">
              <w:rPr>
                <w:sz w:val="18"/>
                <w:szCs w:val="18"/>
                <w:lang w:val="de-DE"/>
              </w:rPr>
              <w:t>Genf, Schweiz</w:t>
            </w:r>
            <w:r w:rsidR="003574F8" w:rsidRPr="00B76E7B">
              <w:rPr>
                <w:sz w:val="18"/>
                <w:szCs w:val="18"/>
                <w:lang w:val="de-DE"/>
              </w:rPr>
              <w:t xml:space="preserve"> (</w:t>
            </w:r>
            <w:r w:rsidR="00C523E7" w:rsidRPr="00B76E7B">
              <w:rPr>
                <w:sz w:val="18"/>
                <w:szCs w:val="18"/>
                <w:lang w:val="de-DE"/>
              </w:rPr>
              <w:t>Juli</w:t>
            </w:r>
            <w:r w:rsidR="00012764" w:rsidRPr="00B76E7B">
              <w:rPr>
                <w:sz w:val="18"/>
                <w:szCs w:val="18"/>
                <w:lang w:val="de-DE"/>
              </w:rPr>
              <w:t> 2012)</w:t>
            </w:r>
          </w:p>
          <w:p w:rsidR="003574F8" w:rsidRPr="00B76E7B" w:rsidRDefault="003574F8" w:rsidP="00393D4D">
            <w:pPr>
              <w:numPr>
                <w:ilvl w:val="0"/>
                <w:numId w:val="28"/>
              </w:numPr>
              <w:tabs>
                <w:tab w:val="left" w:pos="459"/>
              </w:tabs>
              <w:spacing w:after="60"/>
              <w:jc w:val="left"/>
              <w:rPr>
                <w:color w:val="000000"/>
                <w:sz w:val="18"/>
                <w:szCs w:val="18"/>
                <w:lang w:val="de-DE"/>
              </w:rPr>
            </w:pPr>
            <w:r w:rsidRPr="00B76E7B">
              <w:rPr>
                <w:sz w:val="18"/>
                <w:szCs w:val="18"/>
                <w:lang w:val="de-DE"/>
              </w:rPr>
              <w:t>KSVS/KOICA</w:t>
            </w:r>
            <w:r w:rsidR="005D39F9" w:rsidRPr="00B76E7B">
              <w:rPr>
                <w:sz w:val="18"/>
                <w:szCs w:val="18"/>
                <w:lang w:val="de-DE"/>
              </w:rPr>
              <w:t>-Lehrgang „Sortenschutz und DUS-Prüfung</w:t>
            </w:r>
            <w:r w:rsidRPr="00B76E7B">
              <w:rPr>
                <w:sz w:val="18"/>
                <w:szCs w:val="18"/>
                <w:lang w:val="de-DE"/>
              </w:rPr>
              <w:t xml:space="preserve">”, Seoul, </w:t>
            </w:r>
            <w:r w:rsidR="00E35033" w:rsidRPr="00B76E7B">
              <w:rPr>
                <w:sz w:val="18"/>
                <w:szCs w:val="18"/>
                <w:lang w:val="de-DE"/>
              </w:rPr>
              <w:t>Republik Korea</w:t>
            </w:r>
            <w:r w:rsidRPr="00B76E7B">
              <w:rPr>
                <w:sz w:val="18"/>
                <w:szCs w:val="18"/>
                <w:lang w:val="de-DE"/>
              </w:rPr>
              <w:t xml:space="preserve"> (</w:t>
            </w:r>
            <w:r w:rsidR="00C523E7" w:rsidRPr="00B76E7B">
              <w:rPr>
                <w:sz w:val="18"/>
                <w:szCs w:val="18"/>
                <w:lang w:val="de-DE"/>
              </w:rPr>
              <w:t>Juli</w:t>
            </w:r>
            <w:r w:rsidR="00012764" w:rsidRPr="00B76E7B">
              <w:rPr>
                <w:sz w:val="18"/>
                <w:szCs w:val="18"/>
                <w:lang w:val="de-DE"/>
              </w:rPr>
              <w:t> 2012)</w:t>
            </w:r>
          </w:p>
          <w:p w:rsidR="003574F8" w:rsidRPr="00B76E7B" w:rsidRDefault="005D39F9" w:rsidP="001B24B3">
            <w:pPr>
              <w:numPr>
                <w:ilvl w:val="0"/>
                <w:numId w:val="28"/>
              </w:numPr>
              <w:tabs>
                <w:tab w:val="left" w:pos="459"/>
              </w:tabs>
              <w:spacing w:after="60"/>
              <w:jc w:val="left"/>
              <w:rPr>
                <w:color w:val="000000"/>
                <w:sz w:val="18"/>
                <w:szCs w:val="18"/>
              </w:rPr>
            </w:pPr>
            <w:r w:rsidRPr="00B76E7B">
              <w:rPr>
                <w:i/>
                <w:sz w:val="18"/>
                <w:szCs w:val="18"/>
              </w:rPr>
              <w:t>Master Program of Intellectual Property Law</w:t>
            </w:r>
            <w:r w:rsidRPr="00B76E7B">
              <w:rPr>
                <w:rFonts w:cs="Arial"/>
                <w:sz w:val="18"/>
                <w:szCs w:val="18"/>
              </w:rPr>
              <w:t>“</w:t>
            </w:r>
            <w:r w:rsidRPr="00B76E7B">
              <w:rPr>
                <w:sz w:val="18"/>
                <w:szCs w:val="18"/>
              </w:rPr>
              <w:t xml:space="preserve"> an der </w:t>
            </w:r>
            <w:r w:rsidRPr="00B76E7B">
              <w:rPr>
                <w:i/>
                <w:sz w:val="18"/>
                <w:szCs w:val="18"/>
              </w:rPr>
              <w:t>Queensland University of Technology</w:t>
            </w:r>
            <w:r w:rsidRPr="00B76E7B">
              <w:rPr>
                <w:sz w:val="18"/>
                <w:szCs w:val="18"/>
              </w:rPr>
              <w:t xml:space="preserve"> (QUT</w:t>
            </w:r>
            <w:r w:rsidR="003574F8" w:rsidRPr="00B76E7B">
              <w:rPr>
                <w:sz w:val="18"/>
                <w:szCs w:val="18"/>
              </w:rPr>
              <w:t>), Brisbane, Australia (</w:t>
            </w:r>
            <w:r w:rsidR="00C523E7" w:rsidRPr="00B76E7B">
              <w:rPr>
                <w:sz w:val="18"/>
                <w:szCs w:val="18"/>
              </w:rPr>
              <w:t>Juli</w:t>
            </w:r>
            <w:r w:rsidR="00012764" w:rsidRPr="00B76E7B">
              <w:rPr>
                <w:sz w:val="18"/>
                <w:szCs w:val="18"/>
              </w:rPr>
              <w:t> 2012)</w:t>
            </w:r>
          </w:p>
          <w:p w:rsidR="003574F8" w:rsidRPr="00B76E7B" w:rsidRDefault="005D39F9" w:rsidP="005D39F9">
            <w:pPr>
              <w:numPr>
                <w:ilvl w:val="0"/>
                <w:numId w:val="28"/>
              </w:numPr>
              <w:tabs>
                <w:tab w:val="left" w:pos="459"/>
              </w:tabs>
              <w:spacing w:after="60"/>
              <w:jc w:val="left"/>
              <w:rPr>
                <w:color w:val="000000"/>
                <w:sz w:val="18"/>
                <w:szCs w:val="18"/>
                <w:lang w:val="de-DE"/>
              </w:rPr>
            </w:pPr>
            <w:r w:rsidRPr="00B76E7B">
              <w:rPr>
                <w:snapToGrid w:val="0"/>
                <w:sz w:val="18"/>
                <w:szCs w:val="18"/>
                <w:lang w:val="de-DE"/>
              </w:rPr>
              <w:t>XXIII. Panamerikanischer Saatgutkongress</w:t>
            </w:r>
            <w:r w:rsidR="003574F8" w:rsidRPr="00B76E7B">
              <w:rPr>
                <w:snapToGrid w:val="0"/>
                <w:sz w:val="18"/>
                <w:szCs w:val="18"/>
                <w:lang w:val="de-DE"/>
              </w:rPr>
              <w:t xml:space="preserve">, </w:t>
            </w:r>
            <w:r w:rsidR="003574F8" w:rsidRPr="00B76E7B">
              <w:rPr>
                <w:sz w:val="18"/>
                <w:szCs w:val="18"/>
                <w:lang w:val="de-DE"/>
              </w:rPr>
              <w:t>Santa Cruz d</w:t>
            </w:r>
            <w:r w:rsidRPr="00B76E7B">
              <w:rPr>
                <w:sz w:val="18"/>
                <w:szCs w:val="18"/>
                <w:lang w:val="de-DE"/>
              </w:rPr>
              <w:t>e la Sierra, Bolivien</w:t>
            </w:r>
            <w:r w:rsidR="003574F8" w:rsidRPr="00B76E7B">
              <w:rPr>
                <w:sz w:val="18"/>
                <w:szCs w:val="18"/>
                <w:lang w:val="de-DE"/>
              </w:rPr>
              <w:t xml:space="preserve"> (Plurinational</w:t>
            </w:r>
            <w:r w:rsidRPr="00B76E7B">
              <w:rPr>
                <w:sz w:val="18"/>
                <w:szCs w:val="18"/>
                <w:lang w:val="de-DE"/>
              </w:rPr>
              <w:t>er</w:t>
            </w:r>
            <w:r w:rsidR="003574F8" w:rsidRPr="00B76E7B">
              <w:rPr>
                <w:sz w:val="18"/>
                <w:szCs w:val="18"/>
                <w:lang w:val="de-DE"/>
              </w:rPr>
              <w:t xml:space="preserve"> Sta</w:t>
            </w:r>
            <w:r w:rsidRPr="00B76E7B">
              <w:rPr>
                <w:sz w:val="18"/>
                <w:szCs w:val="18"/>
                <w:lang w:val="de-DE"/>
              </w:rPr>
              <w:t>a</w:t>
            </w:r>
            <w:r w:rsidR="003574F8" w:rsidRPr="00B76E7B">
              <w:rPr>
                <w:sz w:val="18"/>
                <w:szCs w:val="18"/>
                <w:lang w:val="de-DE"/>
              </w:rPr>
              <w:t>t) (August</w:t>
            </w:r>
            <w:r w:rsidR="00012764" w:rsidRPr="00B76E7B">
              <w:rPr>
                <w:sz w:val="18"/>
                <w:szCs w:val="18"/>
                <w:lang w:val="de-DE"/>
              </w:rPr>
              <w:t> 2012)</w:t>
            </w:r>
          </w:p>
          <w:p w:rsidR="003639F7" w:rsidRPr="005D39F9" w:rsidRDefault="003574F8" w:rsidP="005D39F9">
            <w:pPr>
              <w:numPr>
                <w:ilvl w:val="0"/>
                <w:numId w:val="28"/>
              </w:numPr>
              <w:tabs>
                <w:tab w:val="left" w:pos="459"/>
              </w:tabs>
              <w:spacing w:after="60"/>
              <w:jc w:val="left"/>
              <w:rPr>
                <w:color w:val="000000"/>
                <w:sz w:val="18"/>
                <w:szCs w:val="18"/>
                <w:lang w:val="de-DE"/>
              </w:rPr>
            </w:pPr>
            <w:r w:rsidRPr="00B76E7B">
              <w:rPr>
                <w:snapToGrid w:val="0"/>
                <w:sz w:val="18"/>
                <w:szCs w:val="18"/>
                <w:lang w:val="de-DE"/>
              </w:rPr>
              <w:t>JICA</w:t>
            </w:r>
            <w:r w:rsidR="005D39F9" w:rsidRPr="00B76E7B">
              <w:rPr>
                <w:snapToGrid w:val="0"/>
                <w:sz w:val="18"/>
                <w:szCs w:val="18"/>
                <w:lang w:val="de-DE"/>
              </w:rPr>
              <w:t>-</w:t>
            </w:r>
            <w:r w:rsidR="005D39F9" w:rsidRPr="00B76E7B">
              <w:rPr>
                <w:sz w:val="18"/>
                <w:szCs w:val="18"/>
                <w:lang w:val="de-DE"/>
              </w:rPr>
              <w:t>Ausbildungslehrgang „Ein international harmonisiertes Sortenschutzsystem“</w:t>
            </w:r>
            <w:r w:rsidRPr="00B76E7B">
              <w:rPr>
                <w:sz w:val="18"/>
                <w:szCs w:val="18"/>
                <w:lang w:val="de-DE"/>
              </w:rPr>
              <w:t>, Tsukuba</w:t>
            </w:r>
            <w:r w:rsidRPr="005D39F9">
              <w:rPr>
                <w:sz w:val="18"/>
                <w:szCs w:val="18"/>
                <w:lang w:val="de-DE"/>
              </w:rPr>
              <w:t>, Japan (September</w:t>
            </w:r>
            <w:r w:rsidR="00012764" w:rsidRPr="005D39F9">
              <w:rPr>
                <w:sz w:val="18"/>
                <w:szCs w:val="18"/>
                <w:lang w:val="de-DE"/>
              </w:rPr>
              <w:t> 2012)</w:t>
            </w:r>
          </w:p>
        </w:tc>
      </w:tr>
    </w:tbl>
    <w:p w:rsidR="00897428" w:rsidRPr="005D39F9" w:rsidRDefault="00897428">
      <w:pPr>
        <w:rPr>
          <w:lang w:val="de-DE"/>
        </w:rPr>
      </w:pPr>
    </w:p>
    <w:tbl>
      <w:tblPr>
        <w:tblW w:w="9889" w:type="dxa"/>
        <w:tblLayout w:type="fixed"/>
        <w:tblLook w:val="0000" w:firstRow="0" w:lastRow="0" w:firstColumn="0" w:lastColumn="0" w:noHBand="0" w:noVBand="0"/>
      </w:tblPr>
      <w:tblGrid>
        <w:gridCol w:w="2093"/>
        <w:gridCol w:w="7796"/>
      </w:tblGrid>
      <w:tr w:rsidR="00897428" w:rsidRPr="006054BD" w:rsidTr="002874C7">
        <w:trPr>
          <w:tblHeader/>
        </w:trPr>
        <w:tc>
          <w:tcPr>
            <w:tcW w:w="2093" w:type="dxa"/>
            <w:shd w:val="clear" w:color="auto" w:fill="auto"/>
          </w:tcPr>
          <w:p w:rsidR="00897428" w:rsidRPr="006054BD" w:rsidRDefault="00A71FDD" w:rsidP="00C87358">
            <w:pPr>
              <w:keepNext/>
              <w:spacing w:after="120"/>
              <w:rPr>
                <w:b/>
                <w:sz w:val="18"/>
                <w:szCs w:val="18"/>
              </w:rPr>
            </w:pPr>
            <w:r>
              <w:rPr>
                <w:b/>
                <w:sz w:val="18"/>
                <w:szCs w:val="18"/>
              </w:rPr>
              <w:t>Erwartete Ergebnisse</w:t>
            </w:r>
          </w:p>
        </w:tc>
        <w:tc>
          <w:tcPr>
            <w:tcW w:w="7796" w:type="dxa"/>
            <w:shd w:val="clear" w:color="auto" w:fill="auto"/>
          </w:tcPr>
          <w:p w:rsidR="00897428" w:rsidRPr="006054BD" w:rsidRDefault="00A71FDD" w:rsidP="00C87358">
            <w:pPr>
              <w:keepNext/>
              <w:spacing w:after="240"/>
              <w:rPr>
                <w:b/>
                <w:sz w:val="18"/>
                <w:szCs w:val="18"/>
              </w:rPr>
            </w:pPr>
            <w:r>
              <w:rPr>
                <w:b/>
                <w:sz w:val="18"/>
                <w:szCs w:val="18"/>
              </w:rPr>
              <w:t>Erzielte Ergebnisse</w:t>
            </w:r>
            <w:r w:rsidR="00897428" w:rsidRPr="006054BD">
              <w:rPr>
                <w:b/>
                <w:sz w:val="18"/>
                <w:szCs w:val="18"/>
              </w:rPr>
              <w:t xml:space="preserve">:  </w:t>
            </w:r>
            <w:r>
              <w:rPr>
                <w:b/>
                <w:sz w:val="18"/>
                <w:szCs w:val="18"/>
              </w:rPr>
              <w:t>Ausgewählte Planerfüllungsindikatoren</w:t>
            </w:r>
          </w:p>
        </w:tc>
      </w:tr>
      <w:tr w:rsidR="00897428" w:rsidRPr="00DE5DFD" w:rsidTr="002874C7">
        <w:tc>
          <w:tcPr>
            <w:tcW w:w="2093" w:type="dxa"/>
          </w:tcPr>
          <w:p w:rsidR="005D39F9" w:rsidRDefault="00897428" w:rsidP="008F504D">
            <w:pPr>
              <w:jc w:val="left"/>
              <w:rPr>
                <w:i/>
                <w:iCs/>
                <w:color w:val="000000"/>
                <w:sz w:val="18"/>
                <w:szCs w:val="18"/>
                <w:lang w:val="de-DE"/>
              </w:rPr>
            </w:pPr>
            <w:r w:rsidRPr="005D39F9">
              <w:rPr>
                <w:i/>
                <w:sz w:val="18"/>
                <w:szCs w:val="18"/>
                <w:lang w:val="de-DE"/>
              </w:rPr>
              <w:t xml:space="preserve">1.  </w:t>
            </w:r>
            <w:r w:rsidR="005D39F9" w:rsidRPr="0092406E">
              <w:rPr>
                <w:i/>
                <w:iCs/>
                <w:color w:val="000000"/>
                <w:sz w:val="18"/>
                <w:szCs w:val="18"/>
                <w:lang w:val="de-DE"/>
              </w:rPr>
              <w:t>Sensibilisierung für die Bedeutung von Sortenschutz gemäß dem UPOV</w:t>
            </w:r>
            <w:r w:rsidR="005D39F9" w:rsidRPr="0092406E">
              <w:rPr>
                <w:i/>
                <w:iCs/>
                <w:color w:val="000000"/>
                <w:sz w:val="18"/>
                <w:szCs w:val="18"/>
                <w:lang w:val="de-DE"/>
              </w:rPr>
              <w:noBreakHyphen/>
            </w:r>
          </w:p>
          <w:p w:rsidR="00897428" w:rsidRPr="005D39F9" w:rsidRDefault="005D39F9" w:rsidP="008F504D">
            <w:pPr>
              <w:jc w:val="left"/>
              <w:rPr>
                <w:i/>
                <w:sz w:val="18"/>
                <w:szCs w:val="18"/>
                <w:lang w:val="de-DE"/>
              </w:rPr>
            </w:pPr>
            <w:r w:rsidRPr="0092406E">
              <w:rPr>
                <w:i/>
                <w:iCs/>
                <w:color w:val="000000"/>
                <w:sz w:val="18"/>
                <w:szCs w:val="18"/>
                <w:lang w:val="de-DE"/>
              </w:rPr>
              <w:t>Übereinkommen</w:t>
            </w:r>
            <w:r w:rsidRPr="005D39F9">
              <w:rPr>
                <w:sz w:val="18"/>
                <w:szCs w:val="18"/>
                <w:lang w:val="de-DE"/>
              </w:rPr>
              <w:t xml:space="preserve"> </w:t>
            </w:r>
            <w:r w:rsidR="00897428" w:rsidRPr="005D39F9">
              <w:rPr>
                <w:sz w:val="18"/>
                <w:szCs w:val="18"/>
                <w:lang w:val="de-DE"/>
              </w:rPr>
              <w:t>(</w:t>
            </w:r>
            <w:r w:rsidR="005017B4" w:rsidRPr="005D39F9">
              <w:rPr>
                <w:sz w:val="18"/>
                <w:szCs w:val="18"/>
                <w:lang w:val="de-DE"/>
              </w:rPr>
              <w:t>Fortsetzung</w:t>
            </w:r>
            <w:r w:rsidR="00897428" w:rsidRPr="005D39F9">
              <w:rPr>
                <w:sz w:val="18"/>
                <w:szCs w:val="18"/>
                <w:lang w:val="de-DE"/>
              </w:rPr>
              <w:t>)</w:t>
            </w:r>
          </w:p>
        </w:tc>
        <w:tc>
          <w:tcPr>
            <w:tcW w:w="7796" w:type="dxa"/>
          </w:tcPr>
          <w:p w:rsidR="00897428" w:rsidRPr="003D3420" w:rsidRDefault="00C219F6" w:rsidP="00C523E7">
            <w:pPr>
              <w:numPr>
                <w:ilvl w:val="0"/>
                <w:numId w:val="28"/>
              </w:numPr>
              <w:tabs>
                <w:tab w:val="left" w:pos="459"/>
              </w:tabs>
              <w:spacing w:after="60"/>
              <w:jc w:val="left"/>
              <w:rPr>
                <w:color w:val="000000"/>
                <w:sz w:val="18"/>
                <w:szCs w:val="18"/>
                <w:lang w:val="de-DE"/>
              </w:rPr>
            </w:pPr>
            <w:r w:rsidRPr="003D3420">
              <w:rPr>
                <w:rFonts w:cs="Arial"/>
                <w:sz w:val="18"/>
                <w:szCs w:val="18"/>
                <w:lang w:val="de-DE"/>
              </w:rPr>
              <w:t>S</w:t>
            </w:r>
            <w:r w:rsidR="00393D4D">
              <w:rPr>
                <w:sz w:val="18"/>
                <w:szCs w:val="18"/>
                <w:lang w:val="de-DE"/>
              </w:rPr>
              <w:t>echste I</w:t>
            </w:r>
            <w:r w:rsidRPr="003D3420">
              <w:rPr>
                <w:sz w:val="18"/>
                <w:szCs w:val="18"/>
                <w:lang w:val="de-DE"/>
              </w:rPr>
              <w:t xml:space="preserve">nternationale Konferenz über geistige Eigentumsrechte in der Landwirtschaft, </w:t>
            </w:r>
            <w:r w:rsidR="00897428" w:rsidRPr="003D3420">
              <w:rPr>
                <w:sz w:val="18"/>
                <w:szCs w:val="18"/>
                <w:lang w:val="de-DE"/>
              </w:rPr>
              <w:t>Amman, Jordan</w:t>
            </w:r>
            <w:r w:rsidR="00B76E7B">
              <w:rPr>
                <w:sz w:val="18"/>
                <w:szCs w:val="18"/>
                <w:lang w:val="de-DE"/>
              </w:rPr>
              <w:t>ien</w:t>
            </w:r>
            <w:r w:rsidR="00897428" w:rsidRPr="003D3420">
              <w:rPr>
                <w:sz w:val="18"/>
                <w:szCs w:val="18"/>
                <w:lang w:val="de-DE"/>
              </w:rPr>
              <w:t xml:space="preserve"> (September 2012)</w:t>
            </w:r>
          </w:p>
          <w:p w:rsidR="00897428" w:rsidRPr="003D3420" w:rsidRDefault="00C219F6" w:rsidP="00C219F6">
            <w:pPr>
              <w:numPr>
                <w:ilvl w:val="0"/>
                <w:numId w:val="28"/>
              </w:numPr>
              <w:tabs>
                <w:tab w:val="left" w:pos="459"/>
              </w:tabs>
              <w:spacing w:after="60"/>
              <w:jc w:val="left"/>
              <w:rPr>
                <w:color w:val="000000"/>
                <w:sz w:val="18"/>
                <w:szCs w:val="18"/>
                <w:lang w:val="de-DE"/>
              </w:rPr>
            </w:pPr>
            <w:r w:rsidRPr="003D3420">
              <w:rPr>
                <w:sz w:val="18"/>
                <w:szCs w:val="18"/>
                <w:lang w:val="de-DE"/>
              </w:rPr>
              <w:t>Jährliches Symposium des Landwirtschaftsministeriums von Sri Lanka</w:t>
            </w:r>
            <w:r w:rsidR="00897428" w:rsidRPr="003D3420">
              <w:rPr>
                <w:sz w:val="18"/>
                <w:szCs w:val="18"/>
                <w:lang w:val="de-DE"/>
              </w:rPr>
              <w:t>, Peradeniya, Sri Lanka (September 2012)</w:t>
            </w:r>
          </w:p>
          <w:p w:rsidR="00897428" w:rsidRPr="003D3420" w:rsidRDefault="00C523E7" w:rsidP="00B76E7B">
            <w:pPr>
              <w:numPr>
                <w:ilvl w:val="0"/>
                <w:numId w:val="28"/>
              </w:numPr>
              <w:tabs>
                <w:tab w:val="left" w:pos="459"/>
              </w:tabs>
              <w:spacing w:after="60"/>
              <w:jc w:val="left"/>
              <w:rPr>
                <w:color w:val="000000"/>
                <w:sz w:val="18"/>
                <w:szCs w:val="18"/>
                <w:lang w:val="de-DE"/>
              </w:rPr>
            </w:pPr>
            <w:r>
              <w:rPr>
                <w:sz w:val="18"/>
                <w:szCs w:val="18"/>
                <w:lang w:val="de-DE"/>
              </w:rPr>
              <w:t>SLU/Sida-</w:t>
            </w:r>
            <w:r w:rsidR="00B54229" w:rsidRPr="003D3420">
              <w:rPr>
                <w:sz w:val="18"/>
                <w:szCs w:val="18"/>
                <w:lang w:val="de-DE"/>
              </w:rPr>
              <w:t xml:space="preserve">Ausbildungsprogramm </w:t>
            </w:r>
            <w:r w:rsidR="00B54229">
              <w:rPr>
                <w:sz w:val="18"/>
                <w:szCs w:val="18"/>
                <w:lang w:val="de-DE"/>
              </w:rPr>
              <w:t xml:space="preserve"> über Sortenschutz </w:t>
            </w:r>
            <w:r w:rsidR="00B76E7B">
              <w:rPr>
                <w:sz w:val="18"/>
                <w:szCs w:val="18"/>
                <w:lang w:val="de-DE"/>
              </w:rPr>
              <w:t>im Rahmen</w:t>
            </w:r>
            <w:r w:rsidR="00B54229">
              <w:rPr>
                <w:sz w:val="18"/>
                <w:szCs w:val="18"/>
                <w:lang w:val="de-DE"/>
              </w:rPr>
              <w:t xml:space="preserve"> des Lehrgangs</w:t>
            </w:r>
            <w:r w:rsidR="00C219F6" w:rsidRPr="003D3420">
              <w:rPr>
                <w:sz w:val="18"/>
                <w:szCs w:val="18"/>
                <w:lang w:val="de-DE"/>
              </w:rPr>
              <w:t xml:space="preserve"> „Genetische Ressourcen und Rechte des geistigen Eigentums“ (GRIP-Lehrgang</w:t>
            </w:r>
            <w:r w:rsidR="00897428" w:rsidRPr="003D3420">
              <w:rPr>
                <w:sz w:val="18"/>
                <w:szCs w:val="18"/>
                <w:lang w:val="de-DE"/>
              </w:rPr>
              <w:t xml:space="preserve">), Uppsala, </w:t>
            </w:r>
            <w:r w:rsidR="007C1848" w:rsidRPr="003D3420">
              <w:rPr>
                <w:sz w:val="18"/>
                <w:szCs w:val="18"/>
                <w:lang w:val="de-DE"/>
              </w:rPr>
              <w:t>Schweden</w:t>
            </w:r>
            <w:r w:rsidR="00897428" w:rsidRPr="003D3420">
              <w:rPr>
                <w:sz w:val="18"/>
                <w:szCs w:val="18"/>
                <w:lang w:val="de-DE"/>
              </w:rPr>
              <w:t xml:space="preserve"> (September 2012)</w:t>
            </w:r>
          </w:p>
          <w:p w:rsidR="00897428" w:rsidRPr="003D3420" w:rsidRDefault="003D3420" w:rsidP="003D3420">
            <w:pPr>
              <w:numPr>
                <w:ilvl w:val="0"/>
                <w:numId w:val="28"/>
              </w:numPr>
              <w:tabs>
                <w:tab w:val="left" w:pos="459"/>
              </w:tabs>
              <w:spacing w:after="60"/>
              <w:jc w:val="left"/>
              <w:rPr>
                <w:color w:val="000000"/>
                <w:sz w:val="18"/>
                <w:szCs w:val="18"/>
                <w:lang w:val="de-DE"/>
              </w:rPr>
            </w:pPr>
            <w:r w:rsidRPr="003D3420">
              <w:rPr>
                <w:sz w:val="18"/>
                <w:szCs w:val="18"/>
                <w:lang w:val="de-DE"/>
              </w:rPr>
              <w:t xml:space="preserve">Gemeinsames </w:t>
            </w:r>
            <w:r w:rsidR="00897428" w:rsidRPr="003D3420">
              <w:rPr>
                <w:sz w:val="18"/>
                <w:szCs w:val="18"/>
                <w:lang w:val="de-DE"/>
              </w:rPr>
              <w:t>Symposium</w:t>
            </w:r>
            <w:r w:rsidR="00C523E7">
              <w:rPr>
                <w:sz w:val="18"/>
                <w:szCs w:val="18"/>
                <w:lang w:val="de-DE"/>
              </w:rPr>
              <w:t xml:space="preserve"> von </w:t>
            </w:r>
            <w:r w:rsidR="00C523E7" w:rsidRPr="003D3420">
              <w:rPr>
                <w:sz w:val="18"/>
                <w:szCs w:val="18"/>
                <w:lang w:val="de-DE"/>
              </w:rPr>
              <w:t>CIOPORA-JATAFF</w:t>
            </w:r>
            <w:r w:rsidR="00897428" w:rsidRPr="003D3420">
              <w:rPr>
                <w:sz w:val="18"/>
                <w:szCs w:val="18"/>
                <w:lang w:val="de-DE"/>
              </w:rPr>
              <w:t xml:space="preserve"> </w:t>
            </w:r>
            <w:r w:rsidRPr="003D3420">
              <w:rPr>
                <w:sz w:val="18"/>
                <w:szCs w:val="18"/>
                <w:lang w:val="de-DE"/>
              </w:rPr>
              <w:t xml:space="preserve">über Sortenschutz </w:t>
            </w:r>
            <w:r w:rsidR="00897428" w:rsidRPr="003D3420">
              <w:rPr>
                <w:sz w:val="18"/>
                <w:szCs w:val="18"/>
                <w:lang w:val="de-DE"/>
              </w:rPr>
              <w:t xml:space="preserve">in </w:t>
            </w:r>
            <w:r w:rsidR="00701471" w:rsidRPr="003D3420">
              <w:rPr>
                <w:sz w:val="18"/>
                <w:szCs w:val="18"/>
                <w:lang w:val="de-DE"/>
              </w:rPr>
              <w:t>Asien</w:t>
            </w:r>
            <w:r w:rsidR="00897428" w:rsidRPr="003D3420">
              <w:rPr>
                <w:sz w:val="18"/>
                <w:szCs w:val="18"/>
                <w:lang w:val="de-DE"/>
              </w:rPr>
              <w:t>, Tokyo, Japan (</w:t>
            </w:r>
            <w:r w:rsidR="007B46CC" w:rsidRPr="003D3420">
              <w:rPr>
                <w:sz w:val="18"/>
                <w:szCs w:val="18"/>
                <w:lang w:val="de-DE"/>
              </w:rPr>
              <w:t>Oktober</w:t>
            </w:r>
            <w:r w:rsidR="00897428" w:rsidRPr="003D3420">
              <w:rPr>
                <w:sz w:val="18"/>
                <w:szCs w:val="18"/>
                <w:lang w:val="de-DE"/>
              </w:rPr>
              <w:t> 2012)</w:t>
            </w:r>
          </w:p>
          <w:p w:rsidR="00897428" w:rsidRPr="003D3420" w:rsidRDefault="00897428" w:rsidP="00B54229">
            <w:pPr>
              <w:numPr>
                <w:ilvl w:val="0"/>
                <w:numId w:val="28"/>
              </w:numPr>
              <w:tabs>
                <w:tab w:val="left" w:pos="459"/>
              </w:tabs>
              <w:spacing w:after="60"/>
              <w:jc w:val="left"/>
              <w:rPr>
                <w:color w:val="000000"/>
                <w:sz w:val="18"/>
                <w:szCs w:val="18"/>
                <w:lang w:val="de-DE"/>
              </w:rPr>
            </w:pPr>
            <w:r w:rsidRPr="003D3420">
              <w:rPr>
                <w:sz w:val="18"/>
                <w:szCs w:val="18"/>
                <w:lang w:val="de-DE"/>
              </w:rPr>
              <w:t>NCSS/MAFF</w:t>
            </w:r>
            <w:r w:rsidR="003D3420" w:rsidRPr="003D3420">
              <w:rPr>
                <w:sz w:val="18"/>
                <w:szCs w:val="18"/>
                <w:lang w:val="de-DE"/>
              </w:rPr>
              <w:t>-Ausbildungslehrgang über DUS für EAPVP-Sachverständige</w:t>
            </w:r>
            <w:r w:rsidRPr="003D3420">
              <w:rPr>
                <w:sz w:val="18"/>
                <w:szCs w:val="18"/>
                <w:lang w:val="de-DE"/>
              </w:rPr>
              <w:t xml:space="preserve">, Kasaoka, </w:t>
            </w:r>
            <w:r w:rsidR="003D3420" w:rsidRPr="003D3420">
              <w:rPr>
                <w:sz w:val="18"/>
                <w:szCs w:val="18"/>
                <w:lang w:val="de-DE"/>
              </w:rPr>
              <w:t>Präfektur</w:t>
            </w:r>
            <w:r w:rsidR="00B54229">
              <w:rPr>
                <w:sz w:val="18"/>
                <w:szCs w:val="18"/>
                <w:lang w:val="de-DE"/>
              </w:rPr>
              <w:t xml:space="preserve"> </w:t>
            </w:r>
            <w:r w:rsidR="00B54229" w:rsidRPr="003D3420">
              <w:rPr>
                <w:sz w:val="18"/>
                <w:szCs w:val="18"/>
                <w:lang w:val="de-DE"/>
              </w:rPr>
              <w:t>Okayama</w:t>
            </w:r>
            <w:r w:rsidRPr="003D3420">
              <w:rPr>
                <w:sz w:val="18"/>
                <w:szCs w:val="18"/>
                <w:lang w:val="de-DE"/>
              </w:rPr>
              <w:t>, Japan (</w:t>
            </w:r>
            <w:r w:rsidR="007B46CC" w:rsidRPr="003D3420">
              <w:rPr>
                <w:sz w:val="18"/>
                <w:szCs w:val="18"/>
                <w:lang w:val="de-DE"/>
              </w:rPr>
              <w:t>Oktober</w:t>
            </w:r>
            <w:r w:rsidRPr="003D3420">
              <w:rPr>
                <w:sz w:val="18"/>
                <w:szCs w:val="18"/>
                <w:lang w:val="de-DE"/>
              </w:rPr>
              <w:t> 2012)</w:t>
            </w:r>
          </w:p>
          <w:p w:rsidR="00897428" w:rsidRPr="003D3420" w:rsidRDefault="003D3420" w:rsidP="00C523E7">
            <w:pPr>
              <w:numPr>
                <w:ilvl w:val="0"/>
                <w:numId w:val="28"/>
              </w:numPr>
              <w:tabs>
                <w:tab w:val="left" w:pos="459"/>
              </w:tabs>
              <w:spacing w:after="60"/>
              <w:jc w:val="left"/>
              <w:rPr>
                <w:color w:val="000000"/>
                <w:sz w:val="18"/>
                <w:szCs w:val="18"/>
                <w:lang w:val="de-DE"/>
              </w:rPr>
            </w:pPr>
            <w:r w:rsidRPr="003D3420">
              <w:rPr>
                <w:sz w:val="18"/>
                <w:szCs w:val="18"/>
                <w:lang w:val="de-DE"/>
              </w:rPr>
              <w:t>Abendessen im Rahmen einer</w:t>
            </w:r>
            <w:r w:rsidR="00C523E7">
              <w:rPr>
                <w:sz w:val="18"/>
                <w:szCs w:val="18"/>
                <w:lang w:val="de-DE"/>
              </w:rPr>
              <w:t xml:space="preserve"> GNIS-</w:t>
            </w:r>
            <w:r w:rsidRPr="003D3420">
              <w:rPr>
                <w:sz w:val="18"/>
                <w:szCs w:val="18"/>
                <w:lang w:val="de-DE"/>
              </w:rPr>
              <w:t xml:space="preserve">Studienreise für hochrangige Beamte aus </w:t>
            </w:r>
            <w:r w:rsidR="00C523E7">
              <w:rPr>
                <w:sz w:val="18"/>
                <w:szCs w:val="18"/>
                <w:lang w:val="de-DE"/>
              </w:rPr>
              <w:t xml:space="preserve">Indonesien, </w:t>
            </w:r>
            <w:r w:rsidRPr="003D3420">
              <w:rPr>
                <w:sz w:val="18"/>
                <w:szCs w:val="18"/>
                <w:lang w:val="de-DE"/>
              </w:rPr>
              <w:t>Malaysia, den Philli</w:t>
            </w:r>
            <w:r w:rsidR="00DE5DFD">
              <w:rPr>
                <w:sz w:val="18"/>
                <w:szCs w:val="18"/>
                <w:lang w:val="de-DE"/>
              </w:rPr>
              <w:t>p</w:t>
            </w:r>
            <w:r w:rsidRPr="003D3420">
              <w:rPr>
                <w:sz w:val="18"/>
                <w:szCs w:val="18"/>
                <w:lang w:val="de-DE"/>
              </w:rPr>
              <w:t>pinen und Thailand</w:t>
            </w:r>
            <w:r w:rsidR="00897428" w:rsidRPr="003D3420">
              <w:rPr>
                <w:sz w:val="18"/>
                <w:szCs w:val="18"/>
                <w:lang w:val="de-DE"/>
              </w:rPr>
              <w:t>,</w:t>
            </w:r>
            <w:r w:rsidRPr="003D3420">
              <w:rPr>
                <w:sz w:val="18"/>
                <w:szCs w:val="18"/>
                <w:lang w:val="de-DE"/>
              </w:rPr>
              <w:t xml:space="preserve"> Paris,</w:t>
            </w:r>
            <w:r w:rsidR="00897428" w:rsidRPr="003D3420">
              <w:rPr>
                <w:sz w:val="18"/>
                <w:szCs w:val="18"/>
                <w:lang w:val="de-DE"/>
              </w:rPr>
              <w:t xml:space="preserve"> </w:t>
            </w:r>
            <w:r w:rsidR="00180DB8" w:rsidRPr="003D3420">
              <w:rPr>
                <w:sz w:val="18"/>
                <w:szCs w:val="18"/>
                <w:lang w:val="de-DE"/>
              </w:rPr>
              <w:t>Frankreich</w:t>
            </w:r>
            <w:r w:rsidR="00897428" w:rsidRPr="003D3420">
              <w:rPr>
                <w:sz w:val="18"/>
                <w:szCs w:val="18"/>
                <w:lang w:val="de-DE"/>
              </w:rPr>
              <w:t xml:space="preserve"> (</w:t>
            </w:r>
            <w:r w:rsidR="007B46CC" w:rsidRPr="003D3420">
              <w:rPr>
                <w:sz w:val="18"/>
                <w:szCs w:val="18"/>
                <w:lang w:val="de-DE"/>
              </w:rPr>
              <w:t>Oktober</w:t>
            </w:r>
            <w:r w:rsidR="00897428" w:rsidRPr="003D3420">
              <w:rPr>
                <w:sz w:val="18"/>
                <w:szCs w:val="18"/>
                <w:lang w:val="de-DE"/>
              </w:rPr>
              <w:t> 2012)</w:t>
            </w:r>
          </w:p>
          <w:p w:rsidR="00897428" w:rsidRPr="00BC2A87" w:rsidRDefault="00B76E7B" w:rsidP="00B76E7B">
            <w:pPr>
              <w:numPr>
                <w:ilvl w:val="0"/>
                <w:numId w:val="28"/>
              </w:numPr>
              <w:tabs>
                <w:tab w:val="left" w:pos="459"/>
              </w:tabs>
              <w:spacing w:after="60"/>
              <w:jc w:val="left"/>
              <w:rPr>
                <w:color w:val="000000"/>
                <w:sz w:val="18"/>
                <w:szCs w:val="18"/>
                <w:lang w:val="de-DE"/>
              </w:rPr>
            </w:pPr>
            <w:r>
              <w:rPr>
                <w:rFonts w:cs="Arial"/>
                <w:sz w:val="18"/>
                <w:szCs w:val="18"/>
                <w:lang w:val="de-DE"/>
              </w:rPr>
              <w:t>N</w:t>
            </w:r>
            <w:r w:rsidR="003D3420" w:rsidRPr="003D3420">
              <w:rPr>
                <w:rFonts w:cs="Arial"/>
                <w:sz w:val="18"/>
                <w:szCs w:val="18"/>
                <w:lang w:val="de-DE"/>
              </w:rPr>
              <w:t>ationale</w:t>
            </w:r>
            <w:r>
              <w:rPr>
                <w:rFonts w:cs="Arial"/>
                <w:sz w:val="18"/>
                <w:szCs w:val="18"/>
                <w:lang w:val="de-DE"/>
              </w:rPr>
              <w:t>s</w:t>
            </w:r>
            <w:r w:rsidR="003D3420" w:rsidRPr="003D3420">
              <w:rPr>
                <w:rFonts w:cs="Arial"/>
                <w:sz w:val="18"/>
                <w:szCs w:val="18"/>
                <w:lang w:val="de-DE"/>
              </w:rPr>
              <w:t xml:space="preserve"> Seminar der WIPO über die Auswirkungen des </w:t>
            </w:r>
            <w:r w:rsidR="003D3420" w:rsidRPr="003D3420">
              <w:rPr>
                <w:sz w:val="18"/>
                <w:szCs w:val="18"/>
                <w:lang w:val="de-DE"/>
              </w:rPr>
              <w:t xml:space="preserve">Vertrags über die internationale </w:t>
            </w:r>
            <w:r w:rsidR="003D3420" w:rsidRPr="00BC2A87">
              <w:rPr>
                <w:sz w:val="18"/>
                <w:szCs w:val="18"/>
                <w:lang w:val="de-DE"/>
              </w:rPr>
              <w:t>Zusammenarbeit auf dem Gebiet des Patentwesens (PCT) auf die Forschung</w:t>
            </w:r>
            <w:r w:rsidR="00897428" w:rsidRPr="00BC2A87">
              <w:rPr>
                <w:sz w:val="18"/>
                <w:szCs w:val="18"/>
                <w:lang w:val="de-DE"/>
              </w:rPr>
              <w:t>, Maputo, Mo</w:t>
            </w:r>
            <w:r w:rsidR="003D3420" w:rsidRPr="00BC2A87">
              <w:rPr>
                <w:sz w:val="18"/>
                <w:szCs w:val="18"/>
                <w:lang w:val="de-DE"/>
              </w:rPr>
              <w:t>sambik</w:t>
            </w:r>
            <w:r w:rsidR="00897428" w:rsidRPr="00BC2A87">
              <w:rPr>
                <w:sz w:val="18"/>
                <w:szCs w:val="18"/>
                <w:lang w:val="de-DE"/>
              </w:rPr>
              <w:t xml:space="preserve"> (</w:t>
            </w:r>
            <w:r w:rsidR="007B46CC" w:rsidRPr="00BC2A87">
              <w:rPr>
                <w:sz w:val="18"/>
                <w:szCs w:val="18"/>
                <w:lang w:val="de-DE"/>
              </w:rPr>
              <w:t>Oktober</w:t>
            </w:r>
            <w:r w:rsidR="00897428" w:rsidRPr="00BC2A87">
              <w:rPr>
                <w:sz w:val="18"/>
                <w:szCs w:val="18"/>
                <w:lang w:val="de-DE"/>
              </w:rPr>
              <w:t> 2012)</w:t>
            </w:r>
          </w:p>
          <w:p w:rsidR="00897428" w:rsidRPr="00BC2A87" w:rsidRDefault="007C2539" w:rsidP="00897428">
            <w:pPr>
              <w:numPr>
                <w:ilvl w:val="0"/>
                <w:numId w:val="28"/>
              </w:numPr>
              <w:tabs>
                <w:tab w:val="left" w:pos="459"/>
              </w:tabs>
              <w:spacing w:after="60"/>
              <w:jc w:val="left"/>
              <w:rPr>
                <w:color w:val="000000"/>
                <w:sz w:val="18"/>
                <w:szCs w:val="18"/>
                <w:lang w:val="de-DE"/>
              </w:rPr>
            </w:pPr>
            <w:r w:rsidRPr="00BC2A87">
              <w:rPr>
                <w:sz w:val="18"/>
                <w:szCs w:val="18"/>
                <w:lang w:val="de-DE"/>
              </w:rPr>
              <w:t xml:space="preserve">Kongreß </w:t>
            </w:r>
            <w:r w:rsidR="003D3420" w:rsidRPr="00BC2A87">
              <w:rPr>
                <w:sz w:val="18"/>
                <w:szCs w:val="18"/>
                <w:lang w:val="de-DE"/>
              </w:rPr>
              <w:t>der Saatgutvereinigung für Asien und den Pazifik (APSA)</w:t>
            </w:r>
            <w:r w:rsidR="00897428" w:rsidRPr="00BC2A87">
              <w:rPr>
                <w:sz w:val="18"/>
                <w:szCs w:val="18"/>
                <w:lang w:val="de-DE"/>
              </w:rPr>
              <w:t xml:space="preserve">, Bali, </w:t>
            </w:r>
            <w:r w:rsidR="003D3420" w:rsidRPr="00BC2A87">
              <w:rPr>
                <w:sz w:val="18"/>
                <w:szCs w:val="18"/>
                <w:lang w:val="de-DE"/>
              </w:rPr>
              <w:t>Indonesien</w:t>
            </w:r>
            <w:r w:rsidR="00897428" w:rsidRPr="00BC2A87">
              <w:rPr>
                <w:sz w:val="18"/>
                <w:szCs w:val="18"/>
                <w:lang w:val="de-DE"/>
              </w:rPr>
              <w:t xml:space="preserve"> (November 2012)</w:t>
            </w:r>
          </w:p>
          <w:p w:rsidR="00BC2A87" w:rsidRPr="00BC2A87" w:rsidRDefault="003D3420" w:rsidP="00BC2A87">
            <w:pPr>
              <w:numPr>
                <w:ilvl w:val="0"/>
                <w:numId w:val="28"/>
              </w:numPr>
              <w:tabs>
                <w:tab w:val="left" w:pos="459"/>
              </w:tabs>
              <w:spacing w:after="60"/>
              <w:jc w:val="left"/>
              <w:rPr>
                <w:color w:val="000000"/>
                <w:sz w:val="18"/>
                <w:szCs w:val="18"/>
                <w:lang w:val="de-DE"/>
              </w:rPr>
            </w:pPr>
            <w:r w:rsidRPr="00BC2A87">
              <w:rPr>
                <w:sz w:val="18"/>
                <w:szCs w:val="18"/>
                <w:lang w:val="de-DE"/>
              </w:rPr>
              <w:t xml:space="preserve">Fünfte Ministerialtagung </w:t>
            </w:r>
            <w:r w:rsidR="00BC2A87" w:rsidRPr="00BC2A87">
              <w:rPr>
                <w:sz w:val="18"/>
                <w:szCs w:val="18"/>
                <w:lang w:val="de-DE"/>
              </w:rPr>
              <w:t>über Landwirtschaft und Regionales Programm für Nahrungsmittelsicherung (RPFS) der Organisation für wirtschaftliche Zusammenarbeit (ECO)</w:t>
            </w:r>
            <w:r w:rsidR="00897428" w:rsidRPr="00BC2A87">
              <w:rPr>
                <w:sz w:val="18"/>
                <w:szCs w:val="18"/>
                <w:lang w:val="de-DE"/>
              </w:rPr>
              <w:t>, Antalya, T</w:t>
            </w:r>
            <w:r w:rsidRPr="00BC2A87">
              <w:rPr>
                <w:sz w:val="18"/>
                <w:szCs w:val="18"/>
                <w:lang w:val="de-DE"/>
              </w:rPr>
              <w:t>ürkei</w:t>
            </w:r>
            <w:r w:rsidR="00897428" w:rsidRPr="00BC2A87">
              <w:rPr>
                <w:sz w:val="18"/>
                <w:szCs w:val="18"/>
                <w:lang w:val="de-DE"/>
              </w:rPr>
              <w:t xml:space="preserve"> (November 2012)</w:t>
            </w:r>
            <w:r w:rsidR="00BC2A87" w:rsidRPr="00BC2A87">
              <w:rPr>
                <w:sz w:val="18"/>
                <w:szCs w:val="18"/>
                <w:lang w:val="de-DE"/>
              </w:rPr>
              <w:t xml:space="preserve"> und Zweite Spenderkonferenz</w:t>
            </w:r>
          </w:p>
          <w:p w:rsidR="00897428" w:rsidRPr="00BC2A87" w:rsidRDefault="003D3420" w:rsidP="003D3420">
            <w:pPr>
              <w:numPr>
                <w:ilvl w:val="0"/>
                <w:numId w:val="28"/>
              </w:numPr>
              <w:tabs>
                <w:tab w:val="left" w:pos="459"/>
              </w:tabs>
              <w:spacing w:after="60"/>
              <w:jc w:val="left"/>
              <w:rPr>
                <w:color w:val="000000"/>
                <w:sz w:val="18"/>
                <w:szCs w:val="18"/>
                <w:lang w:val="de-DE"/>
              </w:rPr>
            </w:pPr>
            <w:r w:rsidRPr="00BC2A87">
              <w:rPr>
                <w:sz w:val="18"/>
                <w:szCs w:val="18"/>
                <w:lang w:val="de-DE"/>
              </w:rPr>
              <w:t>Tagung des Fachausschusses für den Schutz von Pflanzenzüchtungen der Deutschen Vereinigung für gewerblichen Rechtsschutz (GRUR)</w:t>
            </w:r>
            <w:r w:rsidR="00897428" w:rsidRPr="00BC2A87">
              <w:rPr>
                <w:sz w:val="18"/>
                <w:szCs w:val="18"/>
                <w:lang w:val="de-DE"/>
              </w:rPr>
              <w:t>, M</w:t>
            </w:r>
            <w:r w:rsidRPr="00BC2A87">
              <w:rPr>
                <w:sz w:val="18"/>
                <w:szCs w:val="18"/>
                <w:lang w:val="de-DE"/>
              </w:rPr>
              <w:t>ünchen</w:t>
            </w:r>
            <w:r w:rsidR="00897428" w:rsidRPr="00BC2A87">
              <w:rPr>
                <w:sz w:val="18"/>
                <w:szCs w:val="18"/>
                <w:lang w:val="de-DE"/>
              </w:rPr>
              <w:t xml:space="preserve">, </w:t>
            </w:r>
            <w:r w:rsidR="00B549B0" w:rsidRPr="00BC2A87">
              <w:rPr>
                <w:sz w:val="18"/>
                <w:szCs w:val="18"/>
                <w:lang w:val="de-DE"/>
              </w:rPr>
              <w:t>Deutsch</w:t>
            </w:r>
            <w:r w:rsidRPr="00BC2A87">
              <w:rPr>
                <w:sz w:val="18"/>
                <w:szCs w:val="18"/>
                <w:lang w:val="de-DE"/>
              </w:rPr>
              <w:t>land</w:t>
            </w:r>
            <w:r w:rsidR="00897428" w:rsidRPr="00BC2A87">
              <w:rPr>
                <w:sz w:val="18"/>
                <w:szCs w:val="18"/>
                <w:lang w:val="de-DE"/>
              </w:rPr>
              <w:t xml:space="preserve"> (November 2012)</w:t>
            </w:r>
          </w:p>
          <w:p w:rsidR="00897428" w:rsidRPr="00BC2A87" w:rsidRDefault="00897428" w:rsidP="003D3420">
            <w:pPr>
              <w:keepNext/>
              <w:numPr>
                <w:ilvl w:val="0"/>
                <w:numId w:val="28"/>
              </w:numPr>
              <w:tabs>
                <w:tab w:val="left" w:pos="459"/>
              </w:tabs>
              <w:spacing w:after="60"/>
              <w:ind w:left="357" w:hanging="357"/>
              <w:jc w:val="left"/>
              <w:rPr>
                <w:color w:val="000000"/>
                <w:sz w:val="18"/>
                <w:szCs w:val="18"/>
                <w:lang w:val="de-DE"/>
              </w:rPr>
            </w:pPr>
            <w:r w:rsidRPr="00BC2A87">
              <w:rPr>
                <w:sz w:val="18"/>
                <w:szCs w:val="18"/>
                <w:lang w:val="de-DE"/>
              </w:rPr>
              <w:t>XI</w:t>
            </w:r>
            <w:r w:rsidR="003D3420" w:rsidRPr="00BC2A87">
              <w:rPr>
                <w:sz w:val="18"/>
                <w:szCs w:val="18"/>
                <w:lang w:val="de-DE"/>
              </w:rPr>
              <w:t>.</w:t>
            </w:r>
            <w:r w:rsidRPr="00BC2A87">
              <w:rPr>
                <w:sz w:val="18"/>
                <w:szCs w:val="18"/>
                <w:lang w:val="de-DE"/>
              </w:rPr>
              <w:t xml:space="preserve"> </w:t>
            </w:r>
            <w:r w:rsidR="003D3420" w:rsidRPr="00BC2A87">
              <w:rPr>
                <w:sz w:val="18"/>
                <w:szCs w:val="18"/>
                <w:lang w:val="de-DE"/>
              </w:rPr>
              <w:t>Ausbildungslehrgang über den Schutz von Pflanzenzüchtungen für iberoamerikanische Länder</w:t>
            </w:r>
            <w:r w:rsidRPr="00BC2A87">
              <w:rPr>
                <w:sz w:val="18"/>
                <w:szCs w:val="18"/>
                <w:lang w:val="de-DE"/>
              </w:rPr>
              <w:t>, Montevideo, Uruguay (</w:t>
            </w:r>
            <w:r w:rsidR="004E0892" w:rsidRPr="00BC2A87">
              <w:rPr>
                <w:sz w:val="18"/>
                <w:szCs w:val="18"/>
                <w:lang w:val="de-DE"/>
              </w:rPr>
              <w:t>Dezember</w:t>
            </w:r>
            <w:r w:rsidRPr="00BC2A87">
              <w:rPr>
                <w:sz w:val="18"/>
                <w:szCs w:val="18"/>
                <w:lang w:val="de-DE"/>
              </w:rPr>
              <w:t> 2012)</w:t>
            </w:r>
          </w:p>
          <w:p w:rsidR="00897428" w:rsidRPr="003D3420" w:rsidRDefault="003D3420" w:rsidP="00897428">
            <w:pPr>
              <w:keepNext/>
              <w:numPr>
                <w:ilvl w:val="0"/>
                <w:numId w:val="28"/>
              </w:numPr>
              <w:tabs>
                <w:tab w:val="left" w:pos="459"/>
              </w:tabs>
              <w:spacing w:after="60"/>
              <w:ind w:left="357" w:hanging="357"/>
              <w:jc w:val="left"/>
              <w:rPr>
                <w:szCs w:val="18"/>
                <w:lang w:val="de-DE"/>
              </w:rPr>
            </w:pPr>
            <w:r w:rsidRPr="00BC2A87">
              <w:rPr>
                <w:sz w:val="18"/>
                <w:szCs w:val="18"/>
                <w:lang w:val="de-DE"/>
              </w:rPr>
              <w:t xml:space="preserve">Seminar zur Sensibilisierung für Sortenschutz, </w:t>
            </w:r>
            <w:r w:rsidR="00897428" w:rsidRPr="00BC2A87">
              <w:rPr>
                <w:sz w:val="18"/>
                <w:szCs w:val="18"/>
                <w:lang w:val="de-DE"/>
              </w:rPr>
              <w:t>Nay Pyi Taw, Myanmar (</w:t>
            </w:r>
            <w:r w:rsidR="004E0892" w:rsidRPr="00BC2A87">
              <w:rPr>
                <w:sz w:val="18"/>
                <w:szCs w:val="18"/>
                <w:lang w:val="de-DE"/>
              </w:rPr>
              <w:t>Dezember</w:t>
            </w:r>
            <w:r w:rsidR="00897428" w:rsidRPr="00BC2A87">
              <w:rPr>
                <w:sz w:val="18"/>
                <w:szCs w:val="18"/>
                <w:lang w:val="de-DE"/>
              </w:rPr>
              <w:t> 2012)</w:t>
            </w:r>
          </w:p>
        </w:tc>
      </w:tr>
    </w:tbl>
    <w:p w:rsidR="005F2D0F" w:rsidRPr="003D3420" w:rsidRDefault="005F2D0F" w:rsidP="00771F99">
      <w:pPr>
        <w:rPr>
          <w:sz w:val="18"/>
          <w:szCs w:val="18"/>
          <w:lang w:val="de-DE"/>
        </w:rPr>
      </w:pPr>
    </w:p>
    <w:p w:rsidR="0056694D" w:rsidRPr="003D3420" w:rsidRDefault="0056694D" w:rsidP="00771F99">
      <w:pPr>
        <w:rPr>
          <w:sz w:val="18"/>
          <w:szCs w:val="18"/>
          <w:lang w:val="de-DE"/>
        </w:rPr>
      </w:pPr>
    </w:p>
    <w:tbl>
      <w:tblPr>
        <w:tblW w:w="9889" w:type="dxa"/>
        <w:tblLayout w:type="fixed"/>
        <w:tblLook w:val="0000" w:firstRow="0" w:lastRow="0" w:firstColumn="0" w:lastColumn="0" w:noHBand="0" w:noVBand="0"/>
      </w:tblPr>
      <w:tblGrid>
        <w:gridCol w:w="2093"/>
        <w:gridCol w:w="7796"/>
      </w:tblGrid>
      <w:tr w:rsidR="00C74C0E" w:rsidRPr="00DE5DFD" w:rsidTr="002874C7">
        <w:tc>
          <w:tcPr>
            <w:tcW w:w="2093" w:type="dxa"/>
          </w:tcPr>
          <w:p w:rsidR="00C74C0E" w:rsidRPr="00FB62D6" w:rsidRDefault="00F72161" w:rsidP="00114294">
            <w:pPr>
              <w:pStyle w:val="Heading6"/>
              <w:rPr>
                <w:lang w:val="de-DE"/>
              </w:rPr>
            </w:pPr>
            <w:bookmarkStart w:id="164" w:name="_Toc336339208"/>
            <w:bookmarkStart w:id="165" w:name="_Toc368400582"/>
            <w:r w:rsidRPr="003D3420">
              <w:rPr>
                <w:lang w:val="de-DE"/>
              </w:rPr>
              <w:t>2</w:t>
            </w:r>
            <w:r w:rsidR="00C74C0E" w:rsidRPr="003D3420">
              <w:rPr>
                <w:lang w:val="de-DE"/>
              </w:rPr>
              <w:t>.  </w:t>
            </w:r>
            <w:r w:rsidR="00FB62D6" w:rsidRPr="00FB62D6">
              <w:rPr>
                <w:color w:val="000000"/>
                <w:lang w:val="de-DE"/>
              </w:rPr>
              <w:t>Unterstützung bei der Ausarbeitung von Rechtsvorschriften zum Sortenschutz gemäß der Akte von 1991 des UPOV</w:t>
            </w:r>
            <w:r w:rsidR="00FB62D6" w:rsidRPr="00FB62D6">
              <w:rPr>
                <w:color w:val="000000"/>
                <w:lang w:val="de-DE"/>
              </w:rPr>
              <w:noBreakHyphen/>
              <w:t>Übereinkommens</w:t>
            </w:r>
            <w:bookmarkEnd w:id="164"/>
            <w:bookmarkEnd w:id="165"/>
          </w:p>
        </w:tc>
        <w:tc>
          <w:tcPr>
            <w:tcW w:w="7796" w:type="dxa"/>
          </w:tcPr>
          <w:p w:rsidR="00C74C0E" w:rsidRPr="00FB62D6" w:rsidRDefault="00E163EA" w:rsidP="00C74C0E">
            <w:pPr>
              <w:pStyle w:val="Heading8"/>
              <w:rPr>
                <w:lang w:val="de-DE"/>
              </w:rPr>
            </w:pPr>
            <w:bookmarkStart w:id="166" w:name="_Toc336339209"/>
            <w:bookmarkStart w:id="167" w:name="_Toc368400583"/>
            <w:r w:rsidRPr="00FB62D6">
              <w:rPr>
                <w:lang w:val="de-DE"/>
              </w:rPr>
              <w:t>(a)</w:t>
            </w:r>
            <w:r w:rsidR="00C74C0E" w:rsidRPr="00FB62D6">
              <w:rPr>
                <w:lang w:val="de-DE"/>
              </w:rPr>
              <w:t xml:space="preserve">  </w:t>
            </w:r>
            <w:r w:rsidR="00FB62D6" w:rsidRPr="00FB62D6">
              <w:rPr>
                <w:lang w:val="de-DE"/>
              </w:rPr>
              <w:t>Staaten und Organisationen, die Kommentare zu Rechtsvorschriften erhalten haben</w:t>
            </w:r>
            <w:bookmarkEnd w:id="166"/>
            <w:bookmarkEnd w:id="167"/>
          </w:p>
          <w:p w:rsidR="00677D30" w:rsidRPr="0092406E" w:rsidRDefault="007D6B77" w:rsidP="00BC2A87">
            <w:pPr>
              <w:tabs>
                <w:tab w:val="left" w:pos="2410"/>
              </w:tabs>
              <w:jc w:val="left"/>
              <w:rPr>
                <w:sz w:val="18"/>
                <w:szCs w:val="18"/>
                <w:lang w:val="de-DE"/>
              </w:rPr>
            </w:pPr>
            <w:r>
              <w:rPr>
                <w:sz w:val="18"/>
                <w:szCs w:val="18"/>
                <w:lang w:val="de-DE"/>
              </w:rPr>
              <w:t xml:space="preserve">Bosnien </w:t>
            </w:r>
            <w:r w:rsidR="003F377D" w:rsidRPr="0092406E">
              <w:rPr>
                <w:sz w:val="18"/>
                <w:szCs w:val="18"/>
                <w:lang w:val="de-DE"/>
              </w:rPr>
              <w:t xml:space="preserve">und </w:t>
            </w:r>
            <w:r w:rsidR="00DE5DFD">
              <w:rPr>
                <w:sz w:val="18"/>
                <w:szCs w:val="18"/>
                <w:lang w:val="de-DE"/>
              </w:rPr>
              <w:t>Herzegowina</w:t>
            </w:r>
            <w:r w:rsidR="00677D30" w:rsidRPr="0092406E">
              <w:rPr>
                <w:sz w:val="18"/>
                <w:szCs w:val="18"/>
                <w:lang w:val="de-DE"/>
              </w:rPr>
              <w:t xml:space="preserve">, Brunei Darussalam, </w:t>
            </w:r>
            <w:r w:rsidR="0092406E" w:rsidRPr="0092406E">
              <w:rPr>
                <w:sz w:val="18"/>
                <w:szCs w:val="18"/>
                <w:lang w:val="de-DE"/>
              </w:rPr>
              <w:t>Demokratische Volksrepublik Laos</w:t>
            </w:r>
            <w:r w:rsidR="00677D30" w:rsidRPr="0092406E">
              <w:rPr>
                <w:sz w:val="18"/>
                <w:szCs w:val="18"/>
                <w:lang w:val="de-DE"/>
              </w:rPr>
              <w:t xml:space="preserve">, </w:t>
            </w:r>
            <w:r w:rsidR="00BC2A87" w:rsidRPr="0092406E">
              <w:rPr>
                <w:sz w:val="18"/>
                <w:szCs w:val="18"/>
                <w:lang w:val="de-DE"/>
              </w:rPr>
              <w:t>Ghana,</w:t>
            </w:r>
            <w:r w:rsidR="00BC2A87">
              <w:rPr>
                <w:sz w:val="18"/>
                <w:szCs w:val="18"/>
                <w:lang w:val="de-DE"/>
              </w:rPr>
              <w:t xml:space="preserve"> </w:t>
            </w:r>
            <w:r w:rsidR="00677D30" w:rsidRPr="0092406E">
              <w:rPr>
                <w:sz w:val="18"/>
                <w:szCs w:val="18"/>
                <w:lang w:val="de-DE"/>
              </w:rPr>
              <w:t xml:space="preserve">Malaysia, Myanmar, Pakistan, </w:t>
            </w:r>
            <w:r w:rsidR="00B76E7B">
              <w:rPr>
                <w:sz w:val="18"/>
                <w:szCs w:val="18"/>
                <w:lang w:val="de-DE"/>
              </w:rPr>
              <w:t xml:space="preserve">Simbabwe, </w:t>
            </w:r>
            <w:r w:rsidR="00677D30" w:rsidRPr="0092406E">
              <w:rPr>
                <w:sz w:val="18"/>
                <w:szCs w:val="18"/>
                <w:lang w:val="de-DE"/>
              </w:rPr>
              <w:t>Thailand</w:t>
            </w:r>
            <w:r w:rsidR="00B76E7B">
              <w:rPr>
                <w:sz w:val="18"/>
                <w:szCs w:val="18"/>
                <w:lang w:val="de-DE"/>
              </w:rPr>
              <w:t xml:space="preserve"> und</w:t>
            </w:r>
            <w:r w:rsidR="00677D30" w:rsidRPr="0092406E">
              <w:rPr>
                <w:sz w:val="18"/>
                <w:szCs w:val="18"/>
                <w:lang w:val="de-DE"/>
              </w:rPr>
              <w:t xml:space="preserve"> </w:t>
            </w:r>
            <w:r w:rsidR="0092406E">
              <w:rPr>
                <w:sz w:val="18"/>
                <w:szCs w:val="18"/>
                <w:lang w:val="de-DE"/>
              </w:rPr>
              <w:t>Vereinigte Republik Tansania</w:t>
            </w:r>
          </w:p>
          <w:p w:rsidR="00C74C0E" w:rsidRPr="0092406E" w:rsidRDefault="00C74C0E" w:rsidP="00C74C0E">
            <w:pPr>
              <w:tabs>
                <w:tab w:val="left" w:pos="2410"/>
              </w:tabs>
              <w:jc w:val="left"/>
              <w:rPr>
                <w:color w:val="000000"/>
                <w:sz w:val="18"/>
                <w:szCs w:val="18"/>
                <w:lang w:val="de-DE"/>
              </w:rPr>
            </w:pPr>
          </w:p>
          <w:p w:rsidR="00C74C0E" w:rsidRPr="0092406E" w:rsidRDefault="00C74C0E" w:rsidP="00C74C0E">
            <w:pPr>
              <w:tabs>
                <w:tab w:val="left" w:pos="2410"/>
              </w:tabs>
              <w:jc w:val="left"/>
              <w:rPr>
                <w:i/>
                <w:color w:val="000000"/>
                <w:sz w:val="18"/>
                <w:szCs w:val="18"/>
                <w:lang w:val="de-DE"/>
              </w:rPr>
            </w:pPr>
          </w:p>
          <w:p w:rsidR="001F37EC" w:rsidRPr="00FB62D6" w:rsidRDefault="00E163EA" w:rsidP="001F37EC">
            <w:pPr>
              <w:pStyle w:val="Heading8"/>
              <w:rPr>
                <w:lang w:val="de-DE"/>
              </w:rPr>
            </w:pPr>
            <w:bookmarkStart w:id="168" w:name="_Toc368400584"/>
            <w:r w:rsidRPr="00FB62D6">
              <w:rPr>
                <w:lang w:val="de-DE"/>
              </w:rPr>
              <w:t>(b)</w:t>
            </w:r>
            <w:r w:rsidR="001F37EC" w:rsidRPr="00FB62D6">
              <w:rPr>
                <w:lang w:val="de-DE"/>
              </w:rPr>
              <w:t xml:space="preserve">  </w:t>
            </w:r>
            <w:r w:rsidR="00FB62D6" w:rsidRPr="00FB62D6">
              <w:rPr>
                <w:lang w:val="de-DE"/>
              </w:rPr>
              <w:t>Staaten und Organisationen, die eine positive Stellungnahme des Rates der UPOV erwirkt haben</w:t>
            </w:r>
            <w:bookmarkEnd w:id="168"/>
          </w:p>
          <w:p w:rsidR="00677D30" w:rsidRPr="00B549B0" w:rsidRDefault="00677D30" w:rsidP="00B76E7B">
            <w:pPr>
              <w:tabs>
                <w:tab w:val="left" w:pos="2410"/>
              </w:tabs>
              <w:jc w:val="left"/>
              <w:rPr>
                <w:sz w:val="18"/>
                <w:szCs w:val="18"/>
                <w:lang w:val="de-DE"/>
              </w:rPr>
            </w:pPr>
            <w:r w:rsidRPr="00B549B0">
              <w:rPr>
                <w:sz w:val="18"/>
                <w:szCs w:val="18"/>
                <w:lang w:val="de-DE"/>
              </w:rPr>
              <w:t xml:space="preserve">Ghana, </w:t>
            </w:r>
            <w:r w:rsidR="0092406E" w:rsidRPr="00B549B0">
              <w:rPr>
                <w:rFonts w:cs="Arial"/>
                <w:snapToGrid w:val="0"/>
                <w:color w:val="000000"/>
                <w:sz w:val="18"/>
                <w:szCs w:val="18"/>
                <w:lang w:val="de-DE"/>
              </w:rPr>
              <w:t>Vereinigte Republik Tansania</w:t>
            </w:r>
            <w:r w:rsidRPr="00B549B0">
              <w:rPr>
                <w:sz w:val="18"/>
                <w:szCs w:val="18"/>
                <w:lang w:val="de-DE"/>
              </w:rPr>
              <w:t xml:space="preserve"> (</w:t>
            </w:r>
            <w:r w:rsidR="00B549B0" w:rsidRPr="00B549B0">
              <w:rPr>
                <w:rFonts w:cs="Arial"/>
                <w:sz w:val="18"/>
                <w:szCs w:val="18"/>
                <w:lang w:val="de-DE"/>
              </w:rPr>
              <w:t>Gesetzentwurf Kontinentalta</w:t>
            </w:r>
            <w:r w:rsidR="00B549B0">
              <w:rPr>
                <w:rFonts w:cs="Arial"/>
                <w:sz w:val="18"/>
                <w:szCs w:val="18"/>
                <w:lang w:val="de-DE"/>
              </w:rPr>
              <w:t xml:space="preserve">nsanias für </w:t>
            </w:r>
            <w:r w:rsidR="00B76E7B">
              <w:rPr>
                <w:rFonts w:cs="Arial"/>
                <w:sz w:val="18"/>
                <w:szCs w:val="18"/>
                <w:lang w:val="de-DE"/>
              </w:rPr>
              <w:t>Pflanzenz</w:t>
            </w:r>
            <w:r w:rsidR="00B549B0">
              <w:rPr>
                <w:rFonts w:cs="Arial"/>
                <w:sz w:val="18"/>
                <w:szCs w:val="18"/>
                <w:lang w:val="de-DE"/>
              </w:rPr>
              <w:t>üchterrechte</w:t>
            </w:r>
            <w:r w:rsidRPr="00B549B0">
              <w:rPr>
                <w:sz w:val="18"/>
                <w:szCs w:val="18"/>
                <w:lang w:val="de-DE"/>
              </w:rPr>
              <w:t>)</w:t>
            </w:r>
          </w:p>
          <w:p w:rsidR="0088373A" w:rsidRPr="00B549B0" w:rsidRDefault="0088373A" w:rsidP="0088373A">
            <w:pPr>
              <w:tabs>
                <w:tab w:val="left" w:pos="2410"/>
              </w:tabs>
              <w:jc w:val="left"/>
              <w:rPr>
                <w:color w:val="000000"/>
                <w:sz w:val="18"/>
                <w:szCs w:val="18"/>
                <w:lang w:val="de-DE"/>
              </w:rPr>
            </w:pPr>
          </w:p>
          <w:p w:rsidR="0088373A" w:rsidRPr="00B549B0" w:rsidRDefault="0088373A" w:rsidP="0088373A">
            <w:pPr>
              <w:tabs>
                <w:tab w:val="left" w:pos="2410"/>
              </w:tabs>
              <w:jc w:val="left"/>
              <w:rPr>
                <w:i/>
                <w:color w:val="000000"/>
                <w:sz w:val="18"/>
                <w:szCs w:val="18"/>
                <w:lang w:val="de-DE"/>
              </w:rPr>
            </w:pPr>
          </w:p>
          <w:p w:rsidR="0088373A" w:rsidRPr="003D3420" w:rsidRDefault="00E163EA" w:rsidP="0088373A">
            <w:pPr>
              <w:pStyle w:val="Heading8"/>
              <w:rPr>
                <w:lang w:val="de-DE"/>
              </w:rPr>
            </w:pPr>
            <w:bookmarkStart w:id="169" w:name="_Toc368400585"/>
            <w:r w:rsidRPr="003D3420">
              <w:rPr>
                <w:lang w:val="de-DE"/>
              </w:rPr>
              <w:t>(c)</w:t>
            </w:r>
            <w:r w:rsidR="0088373A" w:rsidRPr="003D3420">
              <w:rPr>
                <w:lang w:val="de-DE"/>
              </w:rPr>
              <w:t xml:space="preserve">  </w:t>
            </w:r>
            <w:r w:rsidR="00FB62D6" w:rsidRPr="003D3420">
              <w:rPr>
                <w:color w:val="000000"/>
                <w:lang w:val="de-DE"/>
              </w:rPr>
              <w:t>Sitzungen mit Regierungsbeamten</w:t>
            </w:r>
            <w:bookmarkEnd w:id="169"/>
          </w:p>
          <w:p w:rsidR="00C74C0E" w:rsidRPr="003D3420" w:rsidRDefault="00BC2A87" w:rsidP="00BC2A87">
            <w:pPr>
              <w:tabs>
                <w:tab w:val="left" w:pos="2410"/>
              </w:tabs>
              <w:jc w:val="left"/>
              <w:rPr>
                <w:sz w:val="18"/>
                <w:szCs w:val="18"/>
                <w:lang w:val="de-DE"/>
              </w:rPr>
            </w:pPr>
            <w:r>
              <w:rPr>
                <w:sz w:val="18"/>
                <w:szCs w:val="18"/>
                <w:lang w:val="de-DE"/>
              </w:rPr>
              <w:t>Äquatorialg</w:t>
            </w:r>
            <w:r w:rsidRPr="003D3420">
              <w:rPr>
                <w:sz w:val="18"/>
                <w:szCs w:val="18"/>
                <w:lang w:val="de-DE"/>
              </w:rPr>
              <w:t>uinea,</w:t>
            </w:r>
            <w:r>
              <w:rPr>
                <w:sz w:val="18"/>
                <w:szCs w:val="18"/>
                <w:lang w:val="de-DE"/>
              </w:rPr>
              <w:t xml:space="preserve"> </w:t>
            </w:r>
            <w:r w:rsidR="007D6B77">
              <w:rPr>
                <w:sz w:val="18"/>
                <w:szCs w:val="18"/>
                <w:lang w:val="de-DE"/>
              </w:rPr>
              <w:t xml:space="preserve">Bosnien </w:t>
            </w:r>
            <w:r w:rsidR="003F377D" w:rsidRPr="003D3420">
              <w:rPr>
                <w:sz w:val="18"/>
                <w:szCs w:val="18"/>
                <w:lang w:val="de-DE"/>
              </w:rPr>
              <w:t xml:space="preserve">und </w:t>
            </w:r>
            <w:r w:rsidR="00DE5DFD">
              <w:rPr>
                <w:sz w:val="18"/>
                <w:szCs w:val="18"/>
                <w:lang w:val="de-DE"/>
              </w:rPr>
              <w:t>Herzegowina</w:t>
            </w:r>
            <w:r w:rsidR="00677D30" w:rsidRPr="003D3420">
              <w:rPr>
                <w:sz w:val="18"/>
                <w:szCs w:val="18"/>
                <w:lang w:val="de-DE"/>
              </w:rPr>
              <w:t xml:space="preserve">, </w:t>
            </w:r>
            <w:r w:rsidR="00B57933" w:rsidRPr="003D3420">
              <w:rPr>
                <w:sz w:val="18"/>
                <w:szCs w:val="18"/>
                <w:lang w:val="de-DE"/>
              </w:rPr>
              <w:t xml:space="preserve">Bahrain, </w:t>
            </w:r>
            <w:r w:rsidR="00677D30" w:rsidRPr="003D3420">
              <w:rPr>
                <w:sz w:val="18"/>
                <w:szCs w:val="18"/>
                <w:lang w:val="de-DE"/>
              </w:rPr>
              <w:t xml:space="preserve">Brunei Darussalam, Ghana, </w:t>
            </w:r>
            <w:r w:rsidR="0092406E" w:rsidRPr="003D3420">
              <w:rPr>
                <w:sz w:val="18"/>
                <w:szCs w:val="18"/>
                <w:lang w:val="de-DE"/>
              </w:rPr>
              <w:t>Demokratische Volksrepublik Laos</w:t>
            </w:r>
            <w:r w:rsidR="00677D30" w:rsidRPr="003D3420">
              <w:rPr>
                <w:sz w:val="18"/>
                <w:szCs w:val="18"/>
                <w:lang w:val="de-DE"/>
              </w:rPr>
              <w:t>, Malaysia, Myanmar, Pakistan, Philippine</w:t>
            </w:r>
            <w:r w:rsidR="003D3420">
              <w:rPr>
                <w:sz w:val="18"/>
                <w:szCs w:val="18"/>
                <w:lang w:val="de-DE"/>
              </w:rPr>
              <w:t>n</w:t>
            </w:r>
            <w:r w:rsidR="00677D30" w:rsidRPr="003D3420">
              <w:rPr>
                <w:sz w:val="18"/>
                <w:szCs w:val="18"/>
                <w:lang w:val="de-DE"/>
              </w:rPr>
              <w:t xml:space="preserve">, </w:t>
            </w:r>
            <w:r w:rsidRPr="003D3420">
              <w:rPr>
                <w:sz w:val="18"/>
                <w:szCs w:val="18"/>
                <w:lang w:val="de-DE"/>
              </w:rPr>
              <w:t>Simbabwe</w:t>
            </w:r>
            <w:r>
              <w:rPr>
                <w:sz w:val="18"/>
                <w:szCs w:val="18"/>
                <w:lang w:val="de-DE"/>
              </w:rPr>
              <w:t>,</w:t>
            </w:r>
            <w:r w:rsidRPr="003D3420">
              <w:rPr>
                <w:sz w:val="18"/>
                <w:szCs w:val="18"/>
                <w:lang w:val="de-DE"/>
              </w:rPr>
              <w:t xml:space="preserve"> </w:t>
            </w:r>
            <w:r w:rsidR="00677D30" w:rsidRPr="003D3420">
              <w:rPr>
                <w:sz w:val="18"/>
                <w:szCs w:val="18"/>
                <w:lang w:val="de-DE"/>
              </w:rPr>
              <w:t>Thailand</w:t>
            </w:r>
            <w:r>
              <w:rPr>
                <w:sz w:val="18"/>
                <w:szCs w:val="18"/>
                <w:lang w:val="de-DE"/>
              </w:rPr>
              <w:t xml:space="preserve"> und</w:t>
            </w:r>
            <w:r w:rsidR="00677D30" w:rsidRPr="003D3420">
              <w:rPr>
                <w:sz w:val="18"/>
                <w:szCs w:val="18"/>
                <w:lang w:val="de-DE"/>
              </w:rPr>
              <w:t xml:space="preserve"> </w:t>
            </w:r>
            <w:r w:rsidR="0092406E" w:rsidRPr="003D3420">
              <w:rPr>
                <w:sz w:val="18"/>
                <w:szCs w:val="18"/>
                <w:lang w:val="de-DE"/>
              </w:rPr>
              <w:t>Vereinigte Republik Tansania</w:t>
            </w:r>
          </w:p>
        </w:tc>
      </w:tr>
    </w:tbl>
    <w:p w:rsidR="00C74C0E" w:rsidRPr="003D3420" w:rsidRDefault="00C74C0E" w:rsidP="00C74C0E">
      <w:pPr>
        <w:rPr>
          <w:sz w:val="18"/>
          <w:szCs w:val="18"/>
          <w:lang w:val="de-DE"/>
        </w:rPr>
      </w:pPr>
    </w:p>
    <w:p w:rsidR="00533457" w:rsidRPr="003D3420" w:rsidRDefault="00533457" w:rsidP="00C74C0E">
      <w:pPr>
        <w:rPr>
          <w:sz w:val="18"/>
          <w:szCs w:val="18"/>
          <w:lang w:val="de-DE"/>
        </w:rPr>
      </w:pPr>
    </w:p>
    <w:tbl>
      <w:tblPr>
        <w:tblW w:w="9889" w:type="dxa"/>
        <w:tblLayout w:type="fixed"/>
        <w:tblLook w:val="0000" w:firstRow="0" w:lastRow="0" w:firstColumn="0" w:lastColumn="0" w:noHBand="0" w:noVBand="0"/>
      </w:tblPr>
      <w:tblGrid>
        <w:gridCol w:w="2093"/>
        <w:gridCol w:w="7796"/>
      </w:tblGrid>
      <w:tr w:rsidR="00A254E8" w:rsidRPr="00180DB8" w:rsidTr="002874C7">
        <w:tc>
          <w:tcPr>
            <w:tcW w:w="2093" w:type="dxa"/>
          </w:tcPr>
          <w:p w:rsidR="00A254E8" w:rsidRPr="00FB62D6" w:rsidRDefault="00A254E8" w:rsidP="00114294">
            <w:pPr>
              <w:pStyle w:val="Heading6"/>
              <w:rPr>
                <w:lang w:val="de-DE"/>
              </w:rPr>
            </w:pPr>
            <w:bookmarkStart w:id="170" w:name="_Toc368400586"/>
            <w:r w:rsidRPr="003D3420">
              <w:rPr>
                <w:lang w:val="de-DE"/>
              </w:rPr>
              <w:t>3.  </w:t>
            </w:r>
            <w:r w:rsidR="00FB62D6" w:rsidRPr="00FB62D6">
              <w:rPr>
                <w:lang w:val="de-DE"/>
              </w:rPr>
              <w:t>Unterstützung von Staaten und Organisationen beim Beitritt zur Akte von 1991 des UPOV-Übereinkommens</w:t>
            </w:r>
            <w:bookmarkEnd w:id="170"/>
          </w:p>
        </w:tc>
        <w:tc>
          <w:tcPr>
            <w:tcW w:w="7796" w:type="dxa"/>
          </w:tcPr>
          <w:p w:rsidR="00A254E8" w:rsidRPr="00FB62D6" w:rsidRDefault="00E163EA" w:rsidP="00B54229">
            <w:pPr>
              <w:pStyle w:val="Heading8"/>
              <w:rPr>
                <w:lang w:val="de-DE"/>
              </w:rPr>
            </w:pPr>
            <w:bookmarkStart w:id="171" w:name="_Toc368400587"/>
            <w:r w:rsidRPr="00FB62D6">
              <w:rPr>
                <w:lang w:val="de-DE"/>
              </w:rPr>
              <w:t>(a)</w:t>
            </w:r>
            <w:r w:rsidR="00A254E8" w:rsidRPr="00FB62D6">
              <w:rPr>
                <w:lang w:val="de-DE"/>
              </w:rPr>
              <w:t xml:space="preserve">  </w:t>
            </w:r>
            <w:r w:rsidR="00FB62D6" w:rsidRPr="00FB62D6">
              <w:rPr>
                <w:lang w:val="de-DE"/>
              </w:rPr>
              <w:t xml:space="preserve">Staaten, die zur Akte von 1991 des UPOV-Übereinkommens </w:t>
            </w:r>
            <w:r w:rsidR="00B54229">
              <w:rPr>
                <w:lang w:val="de-DE"/>
              </w:rPr>
              <w:t>beigetreten sind</w:t>
            </w:r>
            <w:r w:rsidR="00FB62D6" w:rsidRPr="00FB62D6">
              <w:rPr>
                <w:lang w:val="de-DE"/>
              </w:rPr>
              <w:t xml:space="preserve"> oder sie ratifizier</w:t>
            </w:r>
            <w:r w:rsidR="00B54229">
              <w:rPr>
                <w:lang w:val="de-DE"/>
              </w:rPr>
              <w:t>t haben</w:t>
            </w:r>
            <w:bookmarkEnd w:id="171"/>
          </w:p>
          <w:p w:rsidR="000361B4" w:rsidRPr="00180DB8" w:rsidRDefault="00180DB8" w:rsidP="00FA2EB4">
            <w:pPr>
              <w:tabs>
                <w:tab w:val="left" w:pos="2410"/>
              </w:tabs>
              <w:jc w:val="left"/>
              <w:rPr>
                <w:sz w:val="18"/>
                <w:szCs w:val="18"/>
                <w:lang w:val="de-DE"/>
              </w:rPr>
            </w:pPr>
            <w:r w:rsidRPr="00180DB8">
              <w:rPr>
                <w:sz w:val="18"/>
                <w:szCs w:val="18"/>
                <w:lang w:val="de-DE"/>
              </w:rPr>
              <w:t>Frankreich</w:t>
            </w:r>
            <w:r w:rsidR="000361B4" w:rsidRPr="00180DB8">
              <w:rPr>
                <w:sz w:val="18"/>
                <w:szCs w:val="18"/>
                <w:lang w:val="de-DE"/>
              </w:rPr>
              <w:t xml:space="preserve">, </w:t>
            </w:r>
            <w:r w:rsidRPr="00180DB8">
              <w:rPr>
                <w:sz w:val="18"/>
                <w:szCs w:val="18"/>
                <w:lang w:val="de-DE"/>
              </w:rPr>
              <w:t>Irland</w:t>
            </w:r>
            <w:r w:rsidR="000361B4" w:rsidRPr="00180DB8">
              <w:rPr>
                <w:sz w:val="18"/>
                <w:szCs w:val="18"/>
                <w:lang w:val="de-DE"/>
              </w:rPr>
              <w:t>, Panama</w:t>
            </w:r>
          </w:p>
          <w:p w:rsidR="00A254E8" w:rsidRPr="00180DB8" w:rsidRDefault="00A254E8" w:rsidP="00233045">
            <w:pPr>
              <w:tabs>
                <w:tab w:val="left" w:pos="2410"/>
              </w:tabs>
              <w:jc w:val="left"/>
              <w:rPr>
                <w:color w:val="000000"/>
                <w:sz w:val="18"/>
                <w:szCs w:val="18"/>
                <w:lang w:val="de-DE"/>
              </w:rPr>
            </w:pPr>
          </w:p>
          <w:p w:rsidR="00A254E8" w:rsidRPr="00FB62D6" w:rsidRDefault="00E163EA" w:rsidP="00B54229">
            <w:pPr>
              <w:pStyle w:val="Heading8"/>
              <w:rPr>
                <w:lang w:val="de-DE"/>
              </w:rPr>
            </w:pPr>
            <w:bookmarkStart w:id="172" w:name="_Toc368400588"/>
            <w:r w:rsidRPr="00180DB8">
              <w:rPr>
                <w:lang w:val="de-DE"/>
              </w:rPr>
              <w:t>(b)</w:t>
            </w:r>
            <w:r w:rsidR="00A254E8" w:rsidRPr="00180DB8">
              <w:rPr>
                <w:lang w:val="de-DE"/>
              </w:rPr>
              <w:t xml:space="preserve">  </w:t>
            </w:r>
            <w:r w:rsidR="00FB62D6" w:rsidRPr="00FB62D6">
              <w:rPr>
                <w:lang w:val="de-DE"/>
              </w:rPr>
              <w:t xml:space="preserve">Staaten und Organisationen, die Verbandsmitglieder </w:t>
            </w:r>
            <w:r w:rsidR="00B54229">
              <w:rPr>
                <w:lang w:val="de-DE"/>
              </w:rPr>
              <w:t>geworden sind</w:t>
            </w:r>
            <w:bookmarkEnd w:id="172"/>
          </w:p>
          <w:p w:rsidR="00A254E8" w:rsidRPr="00180DB8" w:rsidRDefault="003D3420" w:rsidP="00233045">
            <w:pPr>
              <w:tabs>
                <w:tab w:val="left" w:pos="2410"/>
              </w:tabs>
              <w:jc w:val="left"/>
              <w:rPr>
                <w:sz w:val="18"/>
                <w:szCs w:val="18"/>
                <w:lang w:val="de-DE"/>
              </w:rPr>
            </w:pPr>
            <w:r>
              <w:rPr>
                <w:sz w:val="18"/>
                <w:szCs w:val="18"/>
                <w:lang w:val="de-DE"/>
              </w:rPr>
              <w:t>keine</w:t>
            </w:r>
          </w:p>
        </w:tc>
      </w:tr>
    </w:tbl>
    <w:p w:rsidR="00C74C0E" w:rsidRPr="00180DB8" w:rsidRDefault="00C74C0E" w:rsidP="00C74C0E">
      <w:pPr>
        <w:rPr>
          <w:sz w:val="18"/>
          <w:szCs w:val="18"/>
          <w:lang w:val="de-DE"/>
        </w:rPr>
      </w:pPr>
    </w:p>
    <w:tbl>
      <w:tblPr>
        <w:tblW w:w="9889" w:type="dxa"/>
        <w:tblLayout w:type="fixed"/>
        <w:tblLook w:val="0000" w:firstRow="0" w:lastRow="0" w:firstColumn="0" w:lastColumn="0" w:noHBand="0" w:noVBand="0"/>
      </w:tblPr>
      <w:tblGrid>
        <w:gridCol w:w="2093"/>
        <w:gridCol w:w="7796"/>
      </w:tblGrid>
      <w:tr w:rsidR="00D27D72" w:rsidRPr="006054BD" w:rsidTr="002874C7">
        <w:trPr>
          <w:tblHeader/>
        </w:trPr>
        <w:tc>
          <w:tcPr>
            <w:tcW w:w="2093" w:type="dxa"/>
            <w:shd w:val="clear" w:color="auto" w:fill="auto"/>
          </w:tcPr>
          <w:p w:rsidR="00D27D72" w:rsidRPr="006054BD" w:rsidRDefault="00A71FDD" w:rsidP="00020CE2">
            <w:pPr>
              <w:keepNext/>
              <w:spacing w:after="120"/>
              <w:rPr>
                <w:b/>
                <w:sz w:val="18"/>
                <w:szCs w:val="18"/>
              </w:rPr>
            </w:pPr>
            <w:r>
              <w:rPr>
                <w:b/>
                <w:sz w:val="18"/>
                <w:szCs w:val="18"/>
              </w:rPr>
              <w:t>Erwartete Ergebnisse</w:t>
            </w:r>
          </w:p>
        </w:tc>
        <w:tc>
          <w:tcPr>
            <w:tcW w:w="7796" w:type="dxa"/>
            <w:shd w:val="clear" w:color="auto" w:fill="auto"/>
          </w:tcPr>
          <w:p w:rsidR="00D27D72" w:rsidRPr="006054BD" w:rsidRDefault="00A71FDD" w:rsidP="00020CE2">
            <w:pPr>
              <w:keepNext/>
              <w:spacing w:after="240"/>
              <w:rPr>
                <w:b/>
                <w:sz w:val="18"/>
                <w:szCs w:val="18"/>
              </w:rPr>
            </w:pPr>
            <w:r>
              <w:rPr>
                <w:b/>
                <w:sz w:val="18"/>
                <w:szCs w:val="18"/>
              </w:rPr>
              <w:t>Erzielte Ergebnisse</w:t>
            </w:r>
            <w:r w:rsidR="00D27D72" w:rsidRPr="006054BD">
              <w:rPr>
                <w:b/>
                <w:sz w:val="18"/>
                <w:szCs w:val="18"/>
              </w:rPr>
              <w:t xml:space="preserve">:  </w:t>
            </w:r>
            <w:r>
              <w:rPr>
                <w:b/>
                <w:sz w:val="18"/>
                <w:szCs w:val="18"/>
              </w:rPr>
              <w:t>Ausgewählte Planerfüllungsindikatoren</w:t>
            </w:r>
          </w:p>
        </w:tc>
      </w:tr>
      <w:tr w:rsidR="002A4573" w:rsidRPr="00DE5DFD" w:rsidTr="002874C7">
        <w:tc>
          <w:tcPr>
            <w:tcW w:w="2093" w:type="dxa"/>
          </w:tcPr>
          <w:p w:rsidR="002A4573" w:rsidRPr="00FB62D6" w:rsidRDefault="003C745E" w:rsidP="00114294">
            <w:pPr>
              <w:pStyle w:val="Heading6"/>
              <w:rPr>
                <w:lang w:val="de-DE"/>
              </w:rPr>
            </w:pPr>
            <w:bookmarkStart w:id="173" w:name="_Toc368400589"/>
            <w:r w:rsidRPr="003D3420">
              <w:rPr>
                <w:lang w:val="de-DE"/>
              </w:rPr>
              <w:t>4</w:t>
            </w:r>
            <w:r w:rsidR="002A4573" w:rsidRPr="003D3420">
              <w:rPr>
                <w:lang w:val="de-DE"/>
              </w:rPr>
              <w:t>.  </w:t>
            </w:r>
            <w:r w:rsidR="00FB62D6" w:rsidRPr="00FB62D6">
              <w:rPr>
                <w:color w:val="000000"/>
                <w:lang w:val="de-DE"/>
              </w:rPr>
              <w:t>Unterstützung bei der Umsetzung wirksamer Sortenschutzsysteme gemäß der Akte von 1991 des UPOV-Übereinkommens</w:t>
            </w:r>
            <w:bookmarkEnd w:id="173"/>
          </w:p>
        </w:tc>
        <w:tc>
          <w:tcPr>
            <w:tcW w:w="7796" w:type="dxa"/>
          </w:tcPr>
          <w:p w:rsidR="002A4573" w:rsidRPr="002A5260" w:rsidRDefault="00E163EA" w:rsidP="00DD4A16">
            <w:pPr>
              <w:pStyle w:val="Heading8"/>
              <w:rPr>
                <w:lang w:val="de-DE"/>
              </w:rPr>
            </w:pPr>
            <w:bookmarkStart w:id="174" w:name="_Toc368400590"/>
            <w:r w:rsidRPr="002A5260">
              <w:rPr>
                <w:lang w:val="de-DE"/>
              </w:rPr>
              <w:t>(a)</w:t>
            </w:r>
            <w:r w:rsidR="002A4573" w:rsidRPr="002A5260">
              <w:rPr>
                <w:lang w:val="de-DE"/>
              </w:rPr>
              <w:t xml:space="preserve">  </w:t>
            </w:r>
            <w:r w:rsidR="00FB62D6" w:rsidRPr="002A5260">
              <w:rPr>
                <w:color w:val="000000"/>
                <w:lang w:val="de-DE"/>
              </w:rPr>
              <w:t>Teilnahme an den UPOV</w:t>
            </w:r>
            <w:r w:rsidR="00000984">
              <w:rPr>
                <w:color w:val="000000"/>
                <w:lang w:val="de-DE"/>
              </w:rPr>
              <w:t>-</w:t>
            </w:r>
            <w:r w:rsidR="00FB62D6" w:rsidRPr="002A5260">
              <w:rPr>
                <w:color w:val="000000"/>
                <w:lang w:val="de-DE"/>
              </w:rPr>
              <w:t>Fernlehrgängen</w:t>
            </w:r>
            <w:bookmarkEnd w:id="174"/>
          </w:p>
          <w:p w:rsidR="000C15B3" w:rsidRPr="00117C01" w:rsidRDefault="000C15B3" w:rsidP="00824428">
            <w:pPr>
              <w:tabs>
                <w:tab w:val="left" w:pos="2410"/>
              </w:tabs>
              <w:jc w:val="left"/>
              <w:rPr>
                <w:sz w:val="18"/>
                <w:szCs w:val="18"/>
                <w:lang w:val="de-DE"/>
              </w:rPr>
            </w:pPr>
            <w:r w:rsidRPr="00117C01">
              <w:rPr>
                <w:color w:val="000000"/>
                <w:sz w:val="18"/>
                <w:szCs w:val="18"/>
                <w:lang w:val="de-DE"/>
              </w:rPr>
              <w:t xml:space="preserve">UPOV DL-205 </w:t>
            </w:r>
            <w:r w:rsidR="00824428" w:rsidRPr="00824428">
              <w:rPr>
                <w:color w:val="000000"/>
                <w:sz w:val="18"/>
                <w:szCs w:val="18"/>
                <w:lang w:val="de-DE"/>
              </w:rPr>
              <w:t>„</w:t>
            </w:r>
            <w:r w:rsidR="00824428" w:rsidRPr="00824428">
              <w:rPr>
                <w:sz w:val="18"/>
                <w:szCs w:val="18"/>
                <w:lang w:val="de-DE"/>
              </w:rPr>
              <w:t>Einführung in das UPOV</w:t>
            </w:r>
            <w:r w:rsidR="00824428" w:rsidRPr="00824428">
              <w:rPr>
                <w:rFonts w:ascii="MS Gothic" w:eastAsia="MS Gothic" w:hAnsi="MS Gothic" w:cs="MS Gothic" w:hint="eastAsia"/>
                <w:sz w:val="18"/>
                <w:szCs w:val="18"/>
                <w:lang w:val="de-DE"/>
              </w:rPr>
              <w:t>‑</w:t>
            </w:r>
            <w:r w:rsidR="00824428" w:rsidRPr="00824428">
              <w:rPr>
                <w:rFonts w:cs="Arial"/>
                <w:sz w:val="18"/>
                <w:szCs w:val="18"/>
                <w:lang w:val="de-DE"/>
              </w:rPr>
              <w:t>Sortenschutzsystem nach dem UPOV-Übereinkommen</w:t>
            </w:r>
            <w:r w:rsidRPr="00117C01">
              <w:rPr>
                <w:sz w:val="18"/>
                <w:szCs w:val="18"/>
                <w:lang w:val="de-DE"/>
              </w:rPr>
              <w:t>”</w:t>
            </w:r>
          </w:p>
          <w:p w:rsidR="00105595" w:rsidRPr="00117C01" w:rsidRDefault="00105595" w:rsidP="000C15B3">
            <w:pPr>
              <w:tabs>
                <w:tab w:val="left" w:pos="2410"/>
              </w:tabs>
              <w:jc w:val="left"/>
              <w:rPr>
                <w:sz w:val="18"/>
                <w:szCs w:val="18"/>
                <w:lang w:val="de-DE"/>
              </w:rPr>
            </w:pPr>
          </w:p>
        </w:tc>
      </w:tr>
    </w:tbl>
    <w:p w:rsidR="002A4573" w:rsidRPr="00117C01" w:rsidRDefault="002A4573" w:rsidP="00C74C0E">
      <w:pPr>
        <w:rPr>
          <w:sz w:val="18"/>
          <w:szCs w:val="18"/>
          <w:lang w:val="de-DE"/>
        </w:rPr>
      </w:pPr>
    </w:p>
    <w:p w:rsidR="00982BBD" w:rsidRPr="00117C01" w:rsidRDefault="00982BBD" w:rsidP="00C74C0E">
      <w:pPr>
        <w:rPr>
          <w:sz w:val="18"/>
          <w:szCs w:val="18"/>
          <w:lang w:val="de-DE"/>
        </w:rPr>
      </w:pPr>
    </w:p>
    <w:p w:rsidR="00C74C0E" w:rsidRDefault="00117C01" w:rsidP="00117C01">
      <w:pPr>
        <w:jc w:val="center"/>
        <w:rPr>
          <w:rFonts w:cs="Arial"/>
          <w:b/>
          <w:sz w:val="18"/>
          <w:szCs w:val="18"/>
          <w:lang w:val="de-DE"/>
        </w:rPr>
      </w:pPr>
      <w:bookmarkStart w:id="175" w:name="_Toc336339239"/>
      <w:r w:rsidRPr="002539B4">
        <w:rPr>
          <w:rFonts w:cs="Arial"/>
          <w:b/>
          <w:sz w:val="18"/>
          <w:szCs w:val="18"/>
          <w:lang w:val="de-DE"/>
        </w:rPr>
        <w:t>Liste der Länder, aus denen die Teilnehmer am UPOV-Fernlehrgang stammen</w:t>
      </w:r>
      <w:r w:rsidRPr="002539B4">
        <w:rPr>
          <w:rFonts w:cs="Arial"/>
          <w:b/>
          <w:sz w:val="18"/>
          <w:szCs w:val="18"/>
          <w:lang w:val="de-DE"/>
        </w:rPr>
        <w:br/>
        <w:t>(201</w:t>
      </w:r>
      <w:r>
        <w:rPr>
          <w:rFonts w:cs="Arial"/>
          <w:b/>
          <w:sz w:val="18"/>
          <w:szCs w:val="18"/>
          <w:lang w:val="de-DE"/>
        </w:rPr>
        <w:t>2</w:t>
      </w:r>
      <w:r w:rsidRPr="002539B4">
        <w:rPr>
          <w:rFonts w:cs="Arial"/>
          <w:b/>
          <w:sz w:val="18"/>
          <w:szCs w:val="18"/>
          <w:lang w:val="de-DE"/>
        </w:rPr>
        <w:t>)</w:t>
      </w:r>
    </w:p>
    <w:p w:rsidR="00117C01" w:rsidRPr="00117C01" w:rsidRDefault="00117C01" w:rsidP="00C74C0E">
      <w:pPr>
        <w:jc w:val="center"/>
        <w:rPr>
          <w:rFonts w:cs="Arial"/>
          <w:sz w:val="18"/>
          <w:szCs w:val="18"/>
          <w:lang w:val="de-DE"/>
        </w:rPr>
      </w:pPr>
    </w:p>
    <w:p w:rsidR="00117C01" w:rsidRPr="002539B4" w:rsidRDefault="00B76E7B" w:rsidP="00FE548D">
      <w:pPr>
        <w:rPr>
          <w:rFonts w:eastAsia="MS Mincho" w:cs="Arial"/>
          <w:sz w:val="18"/>
          <w:szCs w:val="18"/>
          <w:lang w:val="de-DE" w:eastAsia="ja-JP"/>
        </w:rPr>
      </w:pPr>
      <w:r w:rsidRPr="002539B4">
        <w:rPr>
          <w:rFonts w:eastAsia="MS Mincho" w:cs="Arial"/>
          <w:sz w:val="18"/>
          <w:szCs w:val="18"/>
          <w:lang w:val="de-DE" w:eastAsia="ja-JP"/>
        </w:rPr>
        <w:t xml:space="preserve">Ägypten, </w:t>
      </w:r>
      <w:r w:rsidR="00117C01" w:rsidRPr="002539B4">
        <w:rPr>
          <w:rFonts w:eastAsia="MS Mincho" w:cs="Arial"/>
          <w:sz w:val="18"/>
          <w:szCs w:val="18"/>
          <w:lang w:val="de-DE" w:eastAsia="ja-JP"/>
        </w:rPr>
        <w:t xml:space="preserve">Argentinien, Australien, Belgien, Bolivien, Brasilien, Bulgarien, Chile, China, Costa Rica, </w:t>
      </w:r>
      <w:r w:rsidR="00BC2A87" w:rsidRPr="002539B4">
        <w:rPr>
          <w:rFonts w:eastAsia="MS Mincho" w:cs="Arial"/>
          <w:sz w:val="18"/>
          <w:szCs w:val="18"/>
          <w:lang w:val="de-DE" w:eastAsia="ja-JP"/>
        </w:rPr>
        <w:t>Demokratische Volksrepublik Laos,</w:t>
      </w:r>
      <w:r w:rsidR="00BC2A87">
        <w:rPr>
          <w:rFonts w:eastAsia="MS Mincho" w:cs="Arial"/>
          <w:sz w:val="18"/>
          <w:szCs w:val="18"/>
          <w:lang w:val="de-DE" w:eastAsia="ja-JP"/>
        </w:rPr>
        <w:t xml:space="preserve"> </w:t>
      </w:r>
      <w:r w:rsidR="00BC2A87" w:rsidRPr="002539B4">
        <w:rPr>
          <w:rFonts w:eastAsia="MS Mincho" w:cs="Arial"/>
          <w:sz w:val="18"/>
          <w:szCs w:val="18"/>
          <w:lang w:val="de-DE" w:eastAsia="ja-JP"/>
        </w:rPr>
        <w:t xml:space="preserve">Deutschland, </w:t>
      </w:r>
      <w:r w:rsidR="00117C01" w:rsidRPr="002539B4">
        <w:rPr>
          <w:rFonts w:eastAsia="MS Mincho" w:cs="Arial"/>
          <w:sz w:val="18"/>
          <w:szCs w:val="18"/>
          <w:lang w:val="de-DE" w:eastAsia="ja-JP"/>
        </w:rPr>
        <w:t xml:space="preserve">Ecuador, </w:t>
      </w:r>
      <w:r w:rsidR="00117C01">
        <w:rPr>
          <w:rFonts w:eastAsia="MS Mincho" w:cs="Arial"/>
          <w:sz w:val="18"/>
          <w:szCs w:val="18"/>
          <w:lang w:val="de-DE" w:eastAsia="ja-JP"/>
        </w:rPr>
        <w:t>Estland</w:t>
      </w:r>
      <w:r w:rsidR="00117C01" w:rsidRPr="002539B4">
        <w:rPr>
          <w:rFonts w:eastAsia="MS Mincho" w:cs="Arial"/>
          <w:sz w:val="18"/>
          <w:szCs w:val="18"/>
          <w:lang w:val="de-DE" w:eastAsia="ja-JP"/>
        </w:rPr>
        <w:t xml:space="preserve">, Frankreich, Griechenland, Indien, Iran (Islamische Republik), Israel, Italien, Japan, Kenia, </w:t>
      </w:r>
      <w:r w:rsidR="00BC2A87" w:rsidRPr="002539B4">
        <w:rPr>
          <w:rFonts w:eastAsia="MS Mincho" w:cs="Arial"/>
          <w:sz w:val="18"/>
          <w:szCs w:val="18"/>
          <w:lang w:val="de-DE" w:eastAsia="ja-JP"/>
        </w:rPr>
        <w:t xml:space="preserve">Kambodscha, Kanada, </w:t>
      </w:r>
      <w:r w:rsidRPr="002539B4">
        <w:rPr>
          <w:rFonts w:eastAsia="MS Mincho" w:cs="Arial"/>
          <w:sz w:val="18"/>
          <w:szCs w:val="18"/>
          <w:lang w:val="de-DE" w:eastAsia="ja-JP"/>
        </w:rPr>
        <w:t xml:space="preserve">Kolumbien, </w:t>
      </w:r>
      <w:r w:rsidR="00117C01">
        <w:rPr>
          <w:rFonts w:eastAsia="MS Mincho" w:cs="Arial"/>
          <w:sz w:val="18"/>
          <w:szCs w:val="18"/>
          <w:lang w:val="de-DE" w:eastAsia="ja-JP"/>
        </w:rPr>
        <w:t xml:space="preserve">Lettland, </w:t>
      </w:r>
      <w:r w:rsidR="00117C01" w:rsidRPr="002539B4">
        <w:rPr>
          <w:rFonts w:eastAsia="MS Mincho" w:cs="Arial"/>
          <w:sz w:val="18"/>
          <w:szCs w:val="18"/>
          <w:lang w:val="de-DE" w:eastAsia="ja-JP"/>
        </w:rPr>
        <w:t xml:space="preserve">Libanon, Mexiko, Niederlande, Neuseeland, Nicaragua, Norwegen, Oman, Pakistan, Paraguay, Peru, Philippinen, Polen, Republik Korea, Republik Moldau, </w:t>
      </w:r>
      <w:r w:rsidR="00BC2A87" w:rsidRPr="002539B4">
        <w:rPr>
          <w:rFonts w:eastAsia="MS Mincho" w:cs="Arial"/>
          <w:sz w:val="18"/>
          <w:szCs w:val="18"/>
          <w:lang w:val="de-DE" w:eastAsia="ja-JP"/>
        </w:rPr>
        <w:t xml:space="preserve">Schweden, </w:t>
      </w:r>
      <w:r w:rsidR="00117C01" w:rsidRPr="002539B4">
        <w:rPr>
          <w:rFonts w:eastAsia="MS Mincho" w:cs="Arial"/>
          <w:sz w:val="18"/>
          <w:szCs w:val="18"/>
          <w:lang w:val="de-DE" w:eastAsia="ja-JP"/>
        </w:rPr>
        <w:t xml:space="preserve">Serbien, </w:t>
      </w:r>
      <w:r w:rsidRPr="002539B4">
        <w:rPr>
          <w:rFonts w:eastAsia="MS Mincho" w:cs="Arial"/>
          <w:sz w:val="18"/>
          <w:szCs w:val="18"/>
          <w:lang w:val="de-DE" w:eastAsia="ja-JP"/>
        </w:rPr>
        <w:t>Simbabwe</w:t>
      </w:r>
      <w:r>
        <w:rPr>
          <w:rFonts w:eastAsia="MS Mincho" w:cs="Arial"/>
          <w:sz w:val="18"/>
          <w:szCs w:val="18"/>
          <w:lang w:val="de-DE" w:eastAsia="ja-JP"/>
        </w:rPr>
        <w:t>,</w:t>
      </w:r>
      <w:r w:rsidRPr="002539B4">
        <w:rPr>
          <w:rFonts w:eastAsia="MS Mincho" w:cs="Arial"/>
          <w:sz w:val="18"/>
          <w:szCs w:val="18"/>
          <w:lang w:val="de-DE" w:eastAsia="ja-JP"/>
        </w:rPr>
        <w:t xml:space="preserve"> </w:t>
      </w:r>
      <w:r w:rsidR="00117C01" w:rsidRPr="002539B4">
        <w:rPr>
          <w:rFonts w:eastAsia="MS Mincho" w:cs="Arial"/>
          <w:sz w:val="18"/>
          <w:szCs w:val="18"/>
          <w:lang w:val="de-DE" w:eastAsia="ja-JP"/>
        </w:rPr>
        <w:t xml:space="preserve">Slowakei, Spanien, </w:t>
      </w:r>
      <w:r w:rsidR="00BC2A87" w:rsidRPr="002539B4">
        <w:rPr>
          <w:rFonts w:eastAsia="MS Mincho" w:cs="Arial"/>
          <w:sz w:val="18"/>
          <w:szCs w:val="18"/>
          <w:lang w:val="de-DE" w:eastAsia="ja-JP"/>
        </w:rPr>
        <w:t>Südafrika,</w:t>
      </w:r>
      <w:r w:rsidR="00BC2A87">
        <w:rPr>
          <w:rFonts w:eastAsia="MS Mincho" w:cs="Arial"/>
          <w:sz w:val="18"/>
          <w:szCs w:val="18"/>
          <w:lang w:val="de-DE" w:eastAsia="ja-JP"/>
        </w:rPr>
        <w:t xml:space="preserve"> </w:t>
      </w:r>
      <w:r w:rsidR="00117C01" w:rsidRPr="002539B4">
        <w:rPr>
          <w:rFonts w:eastAsia="MS Mincho" w:cs="Arial"/>
          <w:sz w:val="18"/>
          <w:szCs w:val="18"/>
          <w:lang w:val="de-DE" w:eastAsia="ja-JP"/>
        </w:rPr>
        <w:t xml:space="preserve">Thailand, Tunesien, Türkei, Ukraine, </w:t>
      </w:r>
      <w:r w:rsidRPr="002539B4">
        <w:rPr>
          <w:rFonts w:eastAsia="MS Mincho" w:cs="Arial"/>
          <w:sz w:val="18"/>
          <w:szCs w:val="18"/>
          <w:lang w:val="de-DE" w:eastAsia="ja-JP"/>
        </w:rPr>
        <w:t>Ungarn,</w:t>
      </w:r>
      <w:r>
        <w:rPr>
          <w:rFonts w:eastAsia="MS Mincho" w:cs="Arial"/>
          <w:sz w:val="18"/>
          <w:szCs w:val="18"/>
          <w:lang w:val="de-DE" w:eastAsia="ja-JP"/>
        </w:rPr>
        <w:t xml:space="preserve"> </w:t>
      </w:r>
      <w:r w:rsidR="00BC2A87">
        <w:rPr>
          <w:rFonts w:eastAsia="MS Mincho" w:cs="Arial"/>
          <w:sz w:val="18"/>
          <w:szCs w:val="18"/>
          <w:lang w:val="de-DE" w:eastAsia="ja-JP"/>
        </w:rPr>
        <w:t>Uruguay,</w:t>
      </w:r>
      <w:r w:rsidR="00BC2A87" w:rsidRPr="002539B4">
        <w:rPr>
          <w:rFonts w:eastAsia="MS Mincho" w:cs="Arial"/>
          <w:sz w:val="18"/>
          <w:szCs w:val="18"/>
          <w:lang w:val="de-DE" w:eastAsia="ja-JP"/>
        </w:rPr>
        <w:t xml:space="preserve"> </w:t>
      </w:r>
      <w:r w:rsidR="00117C01" w:rsidRPr="002539B4">
        <w:rPr>
          <w:rFonts w:eastAsia="MS Mincho" w:cs="Arial"/>
          <w:sz w:val="18"/>
          <w:szCs w:val="18"/>
          <w:lang w:val="de-DE" w:eastAsia="ja-JP"/>
        </w:rPr>
        <w:t>Vereinigtes Königreich, Vereinigte Staaten vo</w:t>
      </w:r>
      <w:r>
        <w:rPr>
          <w:rFonts w:eastAsia="MS Mincho" w:cs="Arial"/>
          <w:sz w:val="18"/>
          <w:szCs w:val="18"/>
          <w:lang w:val="de-DE" w:eastAsia="ja-JP"/>
        </w:rPr>
        <w:t xml:space="preserve">n Amerika und Vietnam </w:t>
      </w:r>
      <w:r w:rsidR="00117C01" w:rsidRPr="002539B4">
        <w:rPr>
          <w:rFonts w:eastAsia="MS Mincho" w:cs="Arial"/>
          <w:sz w:val="18"/>
          <w:szCs w:val="18"/>
          <w:lang w:val="de-DE" w:eastAsia="ja-JP"/>
        </w:rPr>
        <w:t xml:space="preserve">(insgesamt: </w:t>
      </w:r>
      <w:r w:rsidR="00117C01">
        <w:rPr>
          <w:rFonts w:eastAsia="MS Mincho" w:cs="Arial"/>
          <w:sz w:val="18"/>
          <w:szCs w:val="18"/>
          <w:lang w:val="de-DE" w:eastAsia="ja-JP"/>
        </w:rPr>
        <w:t>55</w:t>
      </w:r>
      <w:r w:rsidR="00117C01" w:rsidRPr="002539B4">
        <w:rPr>
          <w:rFonts w:eastAsia="MS Mincho" w:cs="Arial"/>
          <w:sz w:val="18"/>
          <w:szCs w:val="18"/>
          <w:lang w:val="de-DE" w:eastAsia="ja-JP"/>
        </w:rPr>
        <w:t xml:space="preserve"> Länder).</w:t>
      </w:r>
    </w:p>
    <w:p w:rsidR="00885F41" w:rsidRPr="00117C01" w:rsidRDefault="00885F41" w:rsidP="00C74C0E">
      <w:pPr>
        <w:rPr>
          <w:rFonts w:eastAsia="MS Mincho" w:cs="Arial"/>
          <w:sz w:val="18"/>
          <w:szCs w:val="18"/>
          <w:lang w:val="de-DE" w:eastAsia="ja-JP"/>
        </w:rPr>
      </w:pPr>
    </w:p>
    <w:p w:rsidR="00C74C0E" w:rsidRPr="00117C01" w:rsidRDefault="00C74C0E" w:rsidP="00C74C0E">
      <w:pPr>
        <w:rPr>
          <w:sz w:val="18"/>
          <w:szCs w:val="18"/>
          <w:lang w:val="de-DE"/>
        </w:rPr>
      </w:pPr>
    </w:p>
    <w:p w:rsidR="00C74C0E" w:rsidRPr="00F123B8" w:rsidRDefault="00824428" w:rsidP="00E65DC6">
      <w:pPr>
        <w:keepNext/>
        <w:jc w:val="center"/>
        <w:rPr>
          <w:rFonts w:cs="Arial"/>
          <w:b/>
          <w:sz w:val="18"/>
          <w:szCs w:val="18"/>
          <w:lang w:val="de-DE"/>
        </w:rPr>
      </w:pPr>
      <w:r w:rsidRPr="002539B4">
        <w:rPr>
          <w:rFonts w:cs="Arial"/>
          <w:b/>
          <w:sz w:val="18"/>
          <w:szCs w:val="18"/>
          <w:lang w:val="de-DE"/>
        </w:rPr>
        <w:t xml:space="preserve">Gesamtanzahl Teilnehmer </w:t>
      </w:r>
      <w:r>
        <w:rPr>
          <w:rFonts w:cs="Arial"/>
          <w:b/>
          <w:sz w:val="18"/>
          <w:szCs w:val="18"/>
          <w:lang w:val="de-DE"/>
        </w:rPr>
        <w:t>an den Haupt</w:t>
      </w:r>
      <w:r w:rsidR="00E65DC6">
        <w:rPr>
          <w:rFonts w:cs="Arial"/>
          <w:b/>
          <w:sz w:val="18"/>
          <w:szCs w:val="18"/>
          <w:lang w:val="de-DE"/>
        </w:rPr>
        <w:t>sitzungen des</w:t>
      </w:r>
      <w:r w:rsidR="00694A9E" w:rsidRPr="00F123B8">
        <w:rPr>
          <w:rFonts w:cs="Arial"/>
          <w:b/>
          <w:sz w:val="18"/>
          <w:szCs w:val="18"/>
          <w:lang w:val="de-DE"/>
        </w:rPr>
        <w:t xml:space="preserve"> </w:t>
      </w:r>
      <w:r w:rsidR="00861F35" w:rsidRPr="00F123B8">
        <w:rPr>
          <w:rFonts w:cs="Arial"/>
          <w:b/>
          <w:sz w:val="18"/>
          <w:szCs w:val="18"/>
          <w:lang w:val="de-DE"/>
        </w:rPr>
        <w:t xml:space="preserve">DL-205 </w:t>
      </w:r>
      <w:r w:rsidR="00E65DC6">
        <w:rPr>
          <w:rFonts w:cs="Arial"/>
          <w:b/>
          <w:sz w:val="18"/>
          <w:szCs w:val="18"/>
          <w:lang w:val="de-DE"/>
        </w:rPr>
        <w:t>Fernlehrgangs</w:t>
      </w:r>
      <w:r w:rsidR="00694A9E" w:rsidRPr="00F123B8">
        <w:rPr>
          <w:rFonts w:cs="Arial"/>
          <w:b/>
          <w:sz w:val="18"/>
          <w:szCs w:val="18"/>
          <w:lang w:val="de-DE"/>
        </w:rPr>
        <w:t xml:space="preserve"> </w:t>
      </w:r>
      <w:r w:rsidR="00694A9E" w:rsidRPr="00F123B8">
        <w:rPr>
          <w:rFonts w:cs="Arial"/>
          <w:b/>
          <w:sz w:val="18"/>
          <w:szCs w:val="18"/>
          <w:lang w:val="de-DE"/>
        </w:rPr>
        <w:br/>
      </w:r>
      <w:r w:rsidR="00E65DC6">
        <w:rPr>
          <w:rFonts w:cs="Arial"/>
          <w:b/>
          <w:sz w:val="18"/>
          <w:szCs w:val="18"/>
          <w:lang w:val="de-DE"/>
        </w:rPr>
        <w:t>nach</w:t>
      </w:r>
      <w:r w:rsidR="00C74C0E" w:rsidRPr="00F123B8">
        <w:rPr>
          <w:rFonts w:cs="Arial"/>
          <w:b/>
          <w:sz w:val="18"/>
          <w:szCs w:val="18"/>
          <w:lang w:val="de-DE"/>
        </w:rPr>
        <w:t xml:space="preserve"> </w:t>
      </w:r>
      <w:r w:rsidR="008E0FB0">
        <w:rPr>
          <w:rFonts w:cs="Arial"/>
          <w:b/>
          <w:sz w:val="18"/>
          <w:szCs w:val="18"/>
          <w:lang w:val="de-DE"/>
        </w:rPr>
        <w:t>Kategorie</w:t>
      </w:r>
      <w:r w:rsidR="00E65DC6">
        <w:rPr>
          <w:rFonts w:cs="Arial"/>
          <w:b/>
          <w:sz w:val="18"/>
          <w:szCs w:val="18"/>
          <w:lang w:val="de-DE"/>
        </w:rPr>
        <w:t>n</w:t>
      </w:r>
      <w:r w:rsidR="00C74C0E" w:rsidRPr="00F123B8">
        <w:rPr>
          <w:rFonts w:cs="Arial"/>
          <w:b/>
          <w:sz w:val="18"/>
          <w:szCs w:val="18"/>
          <w:lang w:val="de-DE"/>
        </w:rPr>
        <w:t xml:space="preserve"> (</w:t>
      </w:r>
      <w:r w:rsidR="00E65DC6">
        <w:rPr>
          <w:rFonts w:cs="Arial"/>
          <w:b/>
          <w:sz w:val="18"/>
          <w:szCs w:val="18"/>
          <w:lang w:val="de-DE"/>
        </w:rPr>
        <w:t>zwei</w:t>
      </w:r>
      <w:r w:rsidR="00574A4F" w:rsidRPr="00F123B8">
        <w:rPr>
          <w:rFonts w:cs="Arial"/>
          <w:b/>
          <w:sz w:val="18"/>
          <w:szCs w:val="18"/>
          <w:lang w:val="de-DE"/>
        </w:rPr>
        <w:t xml:space="preserve"> </w:t>
      </w:r>
      <w:r w:rsidR="00E65DC6">
        <w:rPr>
          <w:rFonts w:cs="Arial"/>
          <w:b/>
          <w:sz w:val="18"/>
          <w:szCs w:val="18"/>
          <w:lang w:val="de-DE"/>
        </w:rPr>
        <w:t>Sitzungen</w:t>
      </w:r>
      <w:r w:rsidR="00574A4F" w:rsidRPr="00F123B8">
        <w:rPr>
          <w:rFonts w:cs="Arial"/>
          <w:b/>
          <w:sz w:val="18"/>
          <w:szCs w:val="18"/>
          <w:lang w:val="de-DE"/>
        </w:rPr>
        <w:t xml:space="preserve"> </w:t>
      </w:r>
      <w:r w:rsidR="00F123B8" w:rsidRPr="00F123B8">
        <w:rPr>
          <w:rFonts w:cs="Arial"/>
          <w:b/>
          <w:sz w:val="18"/>
          <w:szCs w:val="18"/>
          <w:lang w:val="de-DE"/>
        </w:rPr>
        <w:t>im Jahr 2012</w:t>
      </w:r>
      <w:r w:rsidR="00C74C0E" w:rsidRPr="00F123B8">
        <w:rPr>
          <w:rFonts w:cs="Arial"/>
          <w:b/>
          <w:sz w:val="18"/>
          <w:szCs w:val="18"/>
          <w:lang w:val="de-DE"/>
        </w:rPr>
        <w:t>)</w:t>
      </w:r>
    </w:p>
    <w:p w:rsidR="00C74C0E" w:rsidRPr="00F123B8" w:rsidRDefault="00C74C0E" w:rsidP="009459FD">
      <w:pPr>
        <w:keepNext/>
        <w:rPr>
          <w:rFonts w:cs="Arial"/>
          <w:sz w:val="18"/>
          <w:szCs w:val="18"/>
          <w:lang w:val="de-DE"/>
        </w:rPr>
      </w:pPr>
    </w:p>
    <w:tbl>
      <w:tblPr>
        <w:tblStyle w:val="TableGrid"/>
        <w:tblW w:w="0" w:type="auto"/>
        <w:tblLook w:val="01E0" w:firstRow="1" w:lastRow="1" w:firstColumn="1" w:lastColumn="1" w:noHBand="0" w:noVBand="0"/>
      </w:tblPr>
      <w:tblGrid>
        <w:gridCol w:w="8472"/>
        <w:gridCol w:w="1383"/>
      </w:tblGrid>
      <w:tr w:rsidR="00C74C0E" w:rsidRPr="006054BD" w:rsidTr="00C73E3F">
        <w:tc>
          <w:tcPr>
            <w:tcW w:w="8472" w:type="dxa"/>
            <w:shd w:val="clear" w:color="auto" w:fill="D9D9D9"/>
            <w:vAlign w:val="center"/>
          </w:tcPr>
          <w:p w:rsidR="00C74C0E" w:rsidRPr="006054BD" w:rsidRDefault="008E0FB0" w:rsidP="00C74C0E">
            <w:pPr>
              <w:spacing w:before="40" w:after="40"/>
              <w:jc w:val="left"/>
              <w:rPr>
                <w:rFonts w:eastAsia="MS Mincho"/>
                <w:b/>
                <w:sz w:val="18"/>
                <w:szCs w:val="18"/>
              </w:rPr>
            </w:pPr>
            <w:r>
              <w:rPr>
                <w:rFonts w:eastAsia="MS Mincho"/>
                <w:b/>
                <w:sz w:val="18"/>
                <w:szCs w:val="18"/>
              </w:rPr>
              <w:t>Kategorie</w:t>
            </w:r>
          </w:p>
        </w:tc>
        <w:tc>
          <w:tcPr>
            <w:tcW w:w="1383" w:type="dxa"/>
            <w:shd w:val="clear" w:color="auto" w:fill="D9D9D9"/>
            <w:vAlign w:val="center"/>
          </w:tcPr>
          <w:p w:rsidR="00C74C0E" w:rsidRPr="006054BD" w:rsidRDefault="00F123B8" w:rsidP="00C74C0E">
            <w:pPr>
              <w:spacing w:before="40" w:after="40"/>
              <w:jc w:val="center"/>
              <w:rPr>
                <w:b/>
                <w:sz w:val="18"/>
                <w:szCs w:val="18"/>
              </w:rPr>
            </w:pPr>
            <w:r>
              <w:rPr>
                <w:b/>
                <w:sz w:val="18"/>
                <w:szCs w:val="18"/>
              </w:rPr>
              <w:t xml:space="preserve">Anzahl von </w:t>
            </w:r>
            <w:r w:rsidR="00C74C0E" w:rsidRPr="006054BD">
              <w:rPr>
                <w:b/>
                <w:sz w:val="18"/>
                <w:szCs w:val="18"/>
              </w:rPr>
              <w:t>students</w:t>
            </w:r>
          </w:p>
        </w:tc>
      </w:tr>
      <w:tr w:rsidR="00E65DC6" w:rsidRPr="006054BD" w:rsidTr="00C73E3F">
        <w:tc>
          <w:tcPr>
            <w:tcW w:w="8472" w:type="dxa"/>
          </w:tcPr>
          <w:p w:rsidR="00E65DC6" w:rsidRPr="007922B7" w:rsidRDefault="00E65DC6" w:rsidP="00DD6054">
            <w:pPr>
              <w:spacing w:before="40" w:after="40"/>
              <w:jc w:val="left"/>
              <w:rPr>
                <w:rFonts w:eastAsia="MS Mincho"/>
                <w:sz w:val="18"/>
                <w:szCs w:val="18"/>
                <w:lang w:val="de-DE"/>
              </w:rPr>
            </w:pPr>
            <w:r w:rsidRPr="007922B7">
              <w:rPr>
                <w:rFonts w:eastAsia="MS Mincho"/>
                <w:b/>
                <w:sz w:val="18"/>
                <w:szCs w:val="18"/>
                <w:lang w:val="de-DE"/>
              </w:rPr>
              <w:t>Kategorie 1:</w:t>
            </w:r>
            <w:r w:rsidRPr="007922B7">
              <w:rPr>
                <w:rFonts w:eastAsia="MS Mincho"/>
                <w:sz w:val="18"/>
                <w:szCs w:val="18"/>
                <w:lang w:val="de-DE"/>
              </w:rPr>
              <w:t xml:space="preserve">  Regierungsbeamte von Verbandsmitgliedern, die vom entsprechenden Vertreter im UPOV</w:t>
            </w:r>
            <w:r w:rsidRPr="007922B7">
              <w:rPr>
                <w:rFonts w:eastAsia="MS Mincho"/>
                <w:sz w:val="18"/>
                <w:szCs w:val="18"/>
                <w:lang w:val="de-DE"/>
              </w:rPr>
              <w:noBreakHyphen/>
              <w:t>Rat nominiert werden</w:t>
            </w:r>
            <w:r w:rsidRPr="007922B7">
              <w:rPr>
                <w:rFonts w:eastAsia="MS Mincho"/>
                <w:sz w:val="18"/>
                <w:szCs w:val="18"/>
                <w:lang w:val="de-DE"/>
              </w:rPr>
              <w:br/>
              <w:t>Keine Gebühr</w:t>
            </w:r>
          </w:p>
        </w:tc>
        <w:tc>
          <w:tcPr>
            <w:tcW w:w="1383" w:type="dxa"/>
            <w:vAlign w:val="bottom"/>
          </w:tcPr>
          <w:p w:rsidR="00E65DC6" w:rsidRPr="006054BD" w:rsidRDefault="00E65DC6" w:rsidP="00127F6A">
            <w:pPr>
              <w:spacing w:before="40" w:after="40"/>
              <w:ind w:right="206"/>
              <w:jc w:val="right"/>
              <w:rPr>
                <w:sz w:val="18"/>
                <w:szCs w:val="18"/>
              </w:rPr>
            </w:pPr>
            <w:r w:rsidRPr="006054BD">
              <w:rPr>
                <w:sz w:val="18"/>
                <w:szCs w:val="18"/>
              </w:rPr>
              <w:t xml:space="preserve">331 </w:t>
            </w:r>
          </w:p>
        </w:tc>
      </w:tr>
      <w:tr w:rsidR="00E65DC6" w:rsidRPr="006054BD" w:rsidTr="00C73E3F">
        <w:tc>
          <w:tcPr>
            <w:tcW w:w="8472" w:type="dxa"/>
          </w:tcPr>
          <w:p w:rsidR="00E65DC6" w:rsidRPr="007922B7" w:rsidRDefault="00E65DC6" w:rsidP="00DD6054">
            <w:pPr>
              <w:spacing w:before="40" w:after="40"/>
              <w:jc w:val="left"/>
              <w:rPr>
                <w:rFonts w:eastAsia="MS Mincho"/>
                <w:sz w:val="18"/>
                <w:szCs w:val="18"/>
                <w:lang w:val="de-DE"/>
              </w:rPr>
            </w:pPr>
            <w:r w:rsidRPr="007922B7">
              <w:rPr>
                <w:rFonts w:eastAsia="MS Mincho"/>
                <w:b/>
                <w:sz w:val="18"/>
                <w:szCs w:val="18"/>
                <w:lang w:val="de-DE"/>
              </w:rPr>
              <w:t>Kategorie 2:</w:t>
            </w:r>
            <w:r w:rsidRPr="007922B7">
              <w:rPr>
                <w:rFonts w:eastAsia="MS Mincho"/>
                <w:sz w:val="18"/>
                <w:szCs w:val="18"/>
                <w:lang w:val="de-DE"/>
              </w:rPr>
              <w:t xml:space="preserve">  Beamte von Beobachterstaaten / zwischenstaatlichen Organisationen, die vom entsprechenden Vertreter im UPOV-Rat nominiert werden</w:t>
            </w:r>
            <w:r w:rsidRPr="007922B7">
              <w:rPr>
                <w:rFonts w:eastAsia="MS Mincho"/>
                <w:sz w:val="18"/>
                <w:szCs w:val="18"/>
                <w:lang w:val="de-DE"/>
              </w:rPr>
              <w:br/>
              <w:t>(ein nicht gebührenpflichtiger Studienteilnehmer je Staat / zwischenstaatliche Organisation;</w:t>
            </w:r>
            <w:r w:rsidRPr="007922B7">
              <w:rPr>
                <w:rFonts w:eastAsia="MS Mincho"/>
                <w:sz w:val="18"/>
                <w:szCs w:val="18"/>
                <w:lang w:val="de-DE"/>
              </w:rPr>
              <w:br/>
              <w:t>weitere Studienteilnehmer: 1 000 CHF je Teilnehmer)</w:t>
            </w:r>
          </w:p>
        </w:tc>
        <w:tc>
          <w:tcPr>
            <w:tcW w:w="1383" w:type="dxa"/>
            <w:vAlign w:val="bottom"/>
          </w:tcPr>
          <w:p w:rsidR="00E65DC6" w:rsidRPr="006054BD" w:rsidRDefault="00E65DC6" w:rsidP="00C74C0E">
            <w:pPr>
              <w:spacing w:before="40" w:after="40"/>
              <w:ind w:right="206"/>
              <w:jc w:val="right"/>
              <w:rPr>
                <w:sz w:val="18"/>
                <w:szCs w:val="18"/>
              </w:rPr>
            </w:pPr>
            <w:r w:rsidRPr="006054BD">
              <w:rPr>
                <w:sz w:val="18"/>
                <w:szCs w:val="18"/>
              </w:rPr>
              <w:t>14</w:t>
            </w:r>
          </w:p>
        </w:tc>
      </w:tr>
      <w:tr w:rsidR="00E65DC6" w:rsidRPr="006054BD" w:rsidTr="00C73E3F">
        <w:tc>
          <w:tcPr>
            <w:tcW w:w="8472" w:type="dxa"/>
          </w:tcPr>
          <w:p w:rsidR="00E65DC6" w:rsidRPr="007922B7" w:rsidRDefault="00E65DC6" w:rsidP="00DD6054">
            <w:pPr>
              <w:spacing w:before="40" w:after="40"/>
              <w:jc w:val="left"/>
              <w:rPr>
                <w:rFonts w:eastAsia="MS Mincho"/>
                <w:sz w:val="18"/>
                <w:szCs w:val="18"/>
                <w:lang w:val="de-DE"/>
              </w:rPr>
            </w:pPr>
            <w:r w:rsidRPr="007922B7">
              <w:rPr>
                <w:rFonts w:eastAsia="MS Mincho"/>
                <w:b/>
                <w:sz w:val="18"/>
                <w:szCs w:val="18"/>
                <w:lang w:val="de-DE"/>
              </w:rPr>
              <w:t>Kategorie 3:</w:t>
            </w:r>
            <w:r w:rsidRPr="007922B7">
              <w:rPr>
                <w:rFonts w:eastAsia="MS Mincho"/>
                <w:sz w:val="18"/>
                <w:szCs w:val="18"/>
                <w:lang w:val="de-DE"/>
              </w:rPr>
              <w:t xml:space="preserve">  Sonstige</w:t>
            </w:r>
            <w:r w:rsidRPr="007922B7">
              <w:rPr>
                <w:rFonts w:eastAsia="MS Mincho"/>
                <w:sz w:val="18"/>
                <w:szCs w:val="18"/>
                <w:lang w:val="de-DE"/>
              </w:rPr>
              <w:br/>
              <w:t>Gebühr: 1 000 CHF</w:t>
            </w:r>
          </w:p>
        </w:tc>
        <w:tc>
          <w:tcPr>
            <w:tcW w:w="1383" w:type="dxa"/>
            <w:vAlign w:val="bottom"/>
          </w:tcPr>
          <w:p w:rsidR="00E65DC6" w:rsidRPr="006054BD" w:rsidRDefault="00E65DC6" w:rsidP="00C74C0E">
            <w:pPr>
              <w:spacing w:before="40" w:after="40"/>
              <w:ind w:right="206"/>
              <w:jc w:val="right"/>
              <w:rPr>
                <w:sz w:val="18"/>
                <w:szCs w:val="18"/>
              </w:rPr>
            </w:pPr>
            <w:r w:rsidRPr="006054BD">
              <w:rPr>
                <w:sz w:val="18"/>
                <w:szCs w:val="18"/>
              </w:rPr>
              <w:t>19</w:t>
            </w:r>
          </w:p>
        </w:tc>
      </w:tr>
      <w:tr w:rsidR="00E65DC6" w:rsidRPr="006054BD" w:rsidTr="00C73E3F">
        <w:tc>
          <w:tcPr>
            <w:tcW w:w="8472" w:type="dxa"/>
          </w:tcPr>
          <w:p w:rsidR="00E65DC6" w:rsidRPr="007922B7" w:rsidRDefault="00E65DC6" w:rsidP="00DD6054">
            <w:pPr>
              <w:spacing w:before="40" w:after="40"/>
              <w:jc w:val="left"/>
              <w:rPr>
                <w:sz w:val="18"/>
                <w:szCs w:val="18"/>
                <w:lang w:val="de-CH"/>
              </w:rPr>
            </w:pPr>
            <w:r w:rsidRPr="007922B7">
              <w:rPr>
                <w:rFonts w:eastAsia="MS Mincho"/>
                <w:b/>
                <w:sz w:val="18"/>
                <w:szCs w:val="18"/>
                <w:lang w:val="de-CH"/>
              </w:rPr>
              <w:t>Kategorie 4:</w:t>
            </w:r>
            <w:r w:rsidRPr="007922B7">
              <w:rPr>
                <w:rFonts w:eastAsia="MS Mincho"/>
                <w:sz w:val="18"/>
                <w:szCs w:val="18"/>
                <w:lang w:val="de-CH"/>
              </w:rPr>
              <w:t xml:space="preserve">  </w:t>
            </w:r>
            <w:r w:rsidRPr="007922B7">
              <w:rPr>
                <w:sz w:val="18"/>
                <w:szCs w:val="18"/>
                <w:lang w:val="de-CH"/>
              </w:rPr>
              <w:t>Erlaß der Gebühr für ausgewählte Studienteilnehmer auf Ermessensbasis</w:t>
            </w:r>
          </w:p>
        </w:tc>
        <w:tc>
          <w:tcPr>
            <w:tcW w:w="1383" w:type="dxa"/>
            <w:vAlign w:val="bottom"/>
          </w:tcPr>
          <w:p w:rsidR="00E65DC6" w:rsidRPr="006054BD" w:rsidRDefault="00E65DC6" w:rsidP="00127F6A">
            <w:pPr>
              <w:spacing w:before="40" w:after="40"/>
              <w:ind w:right="206"/>
              <w:jc w:val="right"/>
              <w:rPr>
                <w:sz w:val="18"/>
                <w:szCs w:val="18"/>
              </w:rPr>
            </w:pPr>
            <w:r w:rsidRPr="006054BD">
              <w:rPr>
                <w:sz w:val="18"/>
                <w:szCs w:val="18"/>
              </w:rPr>
              <w:t>6</w:t>
            </w:r>
          </w:p>
        </w:tc>
      </w:tr>
      <w:tr w:rsidR="00C74C0E" w:rsidRPr="006054BD" w:rsidTr="00C73E3F">
        <w:tc>
          <w:tcPr>
            <w:tcW w:w="8472" w:type="dxa"/>
          </w:tcPr>
          <w:p w:rsidR="00C74C0E" w:rsidRPr="006054BD" w:rsidRDefault="00E65DC6" w:rsidP="00C74C0E">
            <w:pPr>
              <w:spacing w:before="40" w:after="40"/>
              <w:ind w:right="318"/>
              <w:jc w:val="right"/>
              <w:rPr>
                <w:rFonts w:eastAsia="MS Mincho"/>
                <w:b/>
                <w:sz w:val="18"/>
                <w:szCs w:val="18"/>
              </w:rPr>
            </w:pPr>
            <w:bookmarkStart w:id="176" w:name="_Toc336339221"/>
            <w:r>
              <w:rPr>
                <w:rFonts w:eastAsia="MS Mincho"/>
                <w:b/>
                <w:sz w:val="18"/>
                <w:szCs w:val="18"/>
              </w:rPr>
              <w:t>Insgesamt</w:t>
            </w:r>
            <w:r w:rsidR="00C74C0E" w:rsidRPr="006054BD">
              <w:rPr>
                <w:rFonts w:eastAsia="MS Mincho"/>
                <w:b/>
                <w:sz w:val="18"/>
                <w:szCs w:val="18"/>
              </w:rPr>
              <w:t>:</w:t>
            </w:r>
            <w:bookmarkEnd w:id="176"/>
          </w:p>
        </w:tc>
        <w:tc>
          <w:tcPr>
            <w:tcW w:w="1383" w:type="dxa"/>
            <w:vAlign w:val="bottom"/>
          </w:tcPr>
          <w:p w:rsidR="00C74C0E" w:rsidRPr="006054BD" w:rsidRDefault="00376D5D" w:rsidP="00127F6A">
            <w:pPr>
              <w:spacing w:before="40" w:after="40"/>
              <w:ind w:right="206"/>
              <w:jc w:val="right"/>
              <w:rPr>
                <w:b/>
                <w:sz w:val="18"/>
                <w:szCs w:val="18"/>
              </w:rPr>
            </w:pPr>
            <w:r w:rsidRPr="006054BD">
              <w:rPr>
                <w:b/>
                <w:sz w:val="18"/>
                <w:szCs w:val="18"/>
              </w:rPr>
              <w:t>370</w:t>
            </w:r>
          </w:p>
        </w:tc>
      </w:tr>
    </w:tbl>
    <w:p w:rsidR="00C74C0E" w:rsidRPr="006054BD" w:rsidRDefault="00C74C0E" w:rsidP="00C74C0E">
      <w:pPr>
        <w:rPr>
          <w:rFonts w:cs="Arial"/>
          <w:sz w:val="18"/>
          <w:szCs w:val="18"/>
        </w:rPr>
      </w:pPr>
    </w:p>
    <w:p w:rsidR="00C74C0E" w:rsidRPr="006054BD" w:rsidRDefault="00C74C0E" w:rsidP="00C74C0E">
      <w:pPr>
        <w:rPr>
          <w:rFonts w:cs="Arial"/>
          <w:sz w:val="18"/>
          <w:szCs w:val="18"/>
        </w:rPr>
      </w:pPr>
    </w:p>
    <w:p w:rsidR="00C74C0E" w:rsidRPr="00E65DC6" w:rsidRDefault="00BF4074" w:rsidP="00E65DC6">
      <w:pPr>
        <w:pStyle w:val="Heading9"/>
        <w:rPr>
          <w:lang w:val="de-DE"/>
        </w:rPr>
      </w:pPr>
      <w:bookmarkStart w:id="177" w:name="_Toc336613823"/>
      <w:bookmarkStart w:id="178" w:name="_Toc336339219"/>
      <w:bookmarkStart w:id="179" w:name="_Toc368400591"/>
      <w:r w:rsidRPr="00E65DC6">
        <w:rPr>
          <w:lang w:val="de-DE"/>
        </w:rPr>
        <w:t xml:space="preserve">Abbildung </w:t>
      </w:r>
      <w:r w:rsidR="00D20C5F" w:rsidRPr="00E65DC6">
        <w:rPr>
          <w:lang w:val="de-DE"/>
        </w:rPr>
        <w:t>8</w:t>
      </w:r>
      <w:r w:rsidR="00C74C0E" w:rsidRPr="00E65DC6">
        <w:rPr>
          <w:lang w:val="de-DE"/>
        </w:rPr>
        <w:t xml:space="preserve">.  </w:t>
      </w:r>
      <w:bookmarkEnd w:id="177"/>
      <w:bookmarkEnd w:id="178"/>
      <w:r w:rsidR="00E65DC6" w:rsidRPr="002539B4">
        <w:rPr>
          <w:lang w:val="de-DE"/>
        </w:rPr>
        <w:t>Aufschlüsselung der Teilnehmer an den Hauptsitzungen des DL-205 Lehrgangs</w:t>
      </w:r>
      <w:r w:rsidR="00E65DC6" w:rsidRPr="002539B4">
        <w:rPr>
          <w:lang w:val="de-DE"/>
        </w:rPr>
        <w:br/>
        <w:t>nach Anmeldekategorien</w:t>
      </w:r>
      <w:bookmarkStart w:id="180" w:name="_GoBack"/>
      <w:bookmarkEnd w:id="179"/>
      <w:bookmarkEnd w:id="180"/>
    </w:p>
    <w:p w:rsidR="00C74C0E" w:rsidRPr="006054BD" w:rsidRDefault="0076382A" w:rsidP="00C74C0E">
      <w:pPr>
        <w:jc w:val="center"/>
        <w:rPr>
          <w:rFonts w:cs="Arial"/>
          <w:sz w:val="18"/>
          <w:szCs w:val="18"/>
        </w:rPr>
      </w:pPr>
      <w:r>
        <w:rPr>
          <w:noProof/>
        </w:rPr>
        <w:drawing>
          <wp:inline distT="0" distB="0" distL="0" distR="0" wp14:anchorId="35571E65" wp14:editId="6A35CF92">
            <wp:extent cx="5895975" cy="3952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74C0E" w:rsidRPr="006054BD" w:rsidRDefault="00C74C0E" w:rsidP="00C74C0E">
      <w:pPr>
        <w:jc w:val="left"/>
        <w:outlineLvl w:val="2"/>
        <w:rPr>
          <w:rFonts w:eastAsia="MS Mincho" w:cs="Arial"/>
          <w:b/>
          <w:bCs/>
          <w:sz w:val="18"/>
          <w:szCs w:val="18"/>
          <w:lang w:eastAsia="ja-JP"/>
        </w:rPr>
      </w:pPr>
    </w:p>
    <w:p w:rsidR="00F95959" w:rsidRPr="006054BD" w:rsidRDefault="00F95959" w:rsidP="00C74C0E">
      <w:pPr>
        <w:jc w:val="left"/>
        <w:outlineLvl w:val="2"/>
        <w:rPr>
          <w:rFonts w:eastAsia="MS Mincho" w:cs="Arial"/>
          <w:b/>
          <w:bCs/>
          <w:sz w:val="18"/>
          <w:szCs w:val="18"/>
          <w:lang w:eastAsia="ja-JP"/>
        </w:rPr>
      </w:pPr>
    </w:p>
    <w:p w:rsidR="00C74C0E" w:rsidRPr="00E65DC6" w:rsidRDefault="00BF4074" w:rsidP="00E65DC6">
      <w:pPr>
        <w:pStyle w:val="Heading9"/>
        <w:rPr>
          <w:lang w:val="de-DE"/>
        </w:rPr>
      </w:pPr>
      <w:bookmarkStart w:id="181" w:name="_Toc336339222"/>
      <w:bookmarkStart w:id="182" w:name="_Toc336613824"/>
      <w:bookmarkStart w:id="183" w:name="_Toc368400592"/>
      <w:r w:rsidRPr="00E65DC6">
        <w:rPr>
          <w:lang w:val="de-DE"/>
        </w:rPr>
        <w:t xml:space="preserve">Abbildung </w:t>
      </w:r>
      <w:r w:rsidR="00D20C5F" w:rsidRPr="00E65DC6">
        <w:rPr>
          <w:lang w:val="de-DE"/>
        </w:rPr>
        <w:t>9</w:t>
      </w:r>
      <w:r w:rsidR="00C74C0E" w:rsidRPr="00E65DC6">
        <w:rPr>
          <w:lang w:val="de-DE"/>
        </w:rPr>
        <w:t xml:space="preserve">.  </w:t>
      </w:r>
      <w:bookmarkEnd w:id="181"/>
      <w:bookmarkEnd w:id="182"/>
      <w:r w:rsidR="00E65DC6" w:rsidRPr="002539B4">
        <w:rPr>
          <w:lang w:val="de-DE"/>
        </w:rPr>
        <w:t>Aufschlüsselung der Teilnehmer an den Hauptsitzungen des DL-205 Lehrgangs</w:t>
      </w:r>
      <w:r w:rsidR="00E65DC6" w:rsidRPr="002539B4">
        <w:rPr>
          <w:lang w:val="de-DE"/>
        </w:rPr>
        <w:br/>
        <w:t>nach Sprachen</w:t>
      </w:r>
      <w:bookmarkEnd w:id="183"/>
    </w:p>
    <w:p w:rsidR="00C74C0E" w:rsidRPr="006054BD" w:rsidRDefault="0066013A" w:rsidP="00C74C0E">
      <w:pPr>
        <w:jc w:val="center"/>
        <w:rPr>
          <w:rFonts w:cs="Arial"/>
          <w:sz w:val="18"/>
          <w:szCs w:val="18"/>
        </w:rPr>
      </w:pPr>
      <w:r>
        <w:rPr>
          <w:noProof/>
        </w:rPr>
        <w:drawing>
          <wp:inline distT="0" distB="0" distL="0" distR="0" wp14:anchorId="2D690DCD" wp14:editId="32432B52">
            <wp:extent cx="5753100" cy="37338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74C0E" w:rsidRPr="006054BD" w:rsidRDefault="00C74C0E" w:rsidP="00C74C0E">
      <w:pPr>
        <w:rPr>
          <w:rFonts w:cs="Arial"/>
          <w:sz w:val="18"/>
          <w:szCs w:val="18"/>
        </w:rPr>
      </w:pPr>
    </w:p>
    <w:p w:rsidR="00C74C0E" w:rsidRPr="006054BD" w:rsidRDefault="00C74C0E" w:rsidP="00C74C0E">
      <w:pPr>
        <w:rPr>
          <w:rFonts w:cs="Arial"/>
          <w:sz w:val="18"/>
          <w:szCs w:val="18"/>
        </w:rPr>
      </w:pPr>
    </w:p>
    <w:p w:rsidR="00C74C0E" w:rsidRPr="00F123B8" w:rsidRDefault="00E65DC6" w:rsidP="006F2C82">
      <w:pPr>
        <w:keepNext/>
        <w:jc w:val="center"/>
        <w:rPr>
          <w:rFonts w:cs="Arial"/>
          <w:b/>
          <w:sz w:val="18"/>
          <w:szCs w:val="18"/>
          <w:u w:val="single"/>
          <w:lang w:val="de-DE"/>
        </w:rPr>
      </w:pPr>
      <w:r w:rsidRPr="002539B4">
        <w:rPr>
          <w:rFonts w:cs="Arial"/>
          <w:b/>
          <w:sz w:val="18"/>
          <w:szCs w:val="18"/>
          <w:u w:val="single"/>
          <w:lang w:val="de-DE"/>
        </w:rPr>
        <w:t xml:space="preserve">Spezielle Sitzungen des DL-205 </w:t>
      </w:r>
      <w:r w:rsidR="00C74C0E" w:rsidRPr="00F123B8">
        <w:rPr>
          <w:rFonts w:cs="Arial"/>
          <w:b/>
          <w:sz w:val="18"/>
          <w:szCs w:val="18"/>
          <w:u w:val="single"/>
          <w:lang w:val="de-DE"/>
        </w:rPr>
        <w:t>(</w:t>
      </w:r>
      <w:r w:rsidR="00F123B8" w:rsidRPr="00F123B8">
        <w:rPr>
          <w:rFonts w:cs="Arial"/>
          <w:b/>
          <w:sz w:val="18"/>
          <w:szCs w:val="18"/>
          <w:u w:val="single"/>
          <w:lang w:val="de-DE"/>
        </w:rPr>
        <w:t>im Jahr 2012</w:t>
      </w:r>
      <w:r w:rsidR="00C74C0E" w:rsidRPr="00F123B8">
        <w:rPr>
          <w:rFonts w:cs="Arial"/>
          <w:b/>
          <w:sz w:val="18"/>
          <w:szCs w:val="18"/>
          <w:u w:val="single"/>
          <w:lang w:val="de-DE"/>
        </w:rPr>
        <w:t>)</w:t>
      </w:r>
    </w:p>
    <w:p w:rsidR="00C74C0E" w:rsidRPr="00F123B8" w:rsidRDefault="00C74C0E" w:rsidP="006F2C82">
      <w:pPr>
        <w:keepNext/>
        <w:rPr>
          <w:rFonts w:cs="Arial"/>
          <w:sz w:val="18"/>
          <w:szCs w:val="18"/>
          <w:lang w:val="de-DE"/>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517"/>
        <w:gridCol w:w="1134"/>
        <w:gridCol w:w="1155"/>
      </w:tblGrid>
      <w:tr w:rsidR="00E65DC6" w:rsidRPr="006054BD" w:rsidTr="00C74C0E">
        <w:tc>
          <w:tcPr>
            <w:tcW w:w="1117" w:type="dxa"/>
            <w:shd w:val="solid" w:color="C0C0C0" w:fill="D9D9D9"/>
            <w:tcMar>
              <w:left w:w="57" w:type="dxa"/>
              <w:right w:w="57" w:type="dxa"/>
            </w:tcMar>
            <w:vAlign w:val="bottom"/>
          </w:tcPr>
          <w:p w:rsidR="00E65DC6" w:rsidRPr="002539B4" w:rsidRDefault="00E65DC6" w:rsidP="00DD6054">
            <w:pPr>
              <w:autoSpaceDE w:val="0"/>
              <w:autoSpaceDN w:val="0"/>
              <w:adjustRightInd w:val="0"/>
              <w:spacing w:before="40" w:after="40"/>
              <w:jc w:val="left"/>
              <w:rPr>
                <w:rFonts w:eastAsia="MS Mincho" w:cs="Arial"/>
                <w:b/>
                <w:color w:val="000000"/>
                <w:sz w:val="18"/>
                <w:szCs w:val="18"/>
                <w:lang w:val="de-DE" w:eastAsia="ja-JP"/>
              </w:rPr>
            </w:pPr>
            <w:r w:rsidRPr="002539B4">
              <w:rPr>
                <w:rFonts w:eastAsia="MS Mincho" w:cs="Arial"/>
                <w:b/>
                <w:color w:val="000000"/>
                <w:sz w:val="18"/>
                <w:szCs w:val="18"/>
                <w:lang w:val="de-DE" w:eastAsia="ja-JP"/>
              </w:rPr>
              <w:t>Monat/</w:t>
            </w:r>
            <w:r w:rsidRPr="002539B4">
              <w:rPr>
                <w:rFonts w:eastAsia="MS Mincho" w:cs="Arial"/>
                <w:b/>
                <w:color w:val="000000"/>
                <w:sz w:val="18"/>
                <w:szCs w:val="18"/>
                <w:lang w:val="de-DE" w:eastAsia="ja-JP"/>
              </w:rPr>
              <w:br/>
              <w:t>Jahr</w:t>
            </w:r>
          </w:p>
        </w:tc>
        <w:tc>
          <w:tcPr>
            <w:tcW w:w="6517" w:type="dxa"/>
            <w:shd w:val="solid" w:color="C0C0C0" w:fill="D9D9D9"/>
            <w:tcMar>
              <w:left w:w="57" w:type="dxa"/>
              <w:right w:w="57" w:type="dxa"/>
            </w:tcMar>
            <w:vAlign w:val="bottom"/>
          </w:tcPr>
          <w:p w:rsidR="00E65DC6" w:rsidRPr="002539B4" w:rsidRDefault="00E65DC6" w:rsidP="00DD6054">
            <w:pPr>
              <w:autoSpaceDE w:val="0"/>
              <w:autoSpaceDN w:val="0"/>
              <w:adjustRightInd w:val="0"/>
              <w:spacing w:before="40" w:after="40"/>
              <w:jc w:val="left"/>
              <w:rPr>
                <w:rFonts w:eastAsia="MS Mincho" w:cs="Arial"/>
                <w:b/>
                <w:color w:val="000000"/>
                <w:sz w:val="18"/>
                <w:szCs w:val="18"/>
                <w:lang w:val="de-DE" w:eastAsia="ja-JP"/>
              </w:rPr>
            </w:pPr>
            <w:r w:rsidRPr="002539B4">
              <w:rPr>
                <w:rFonts w:eastAsia="MS Mincho" w:cs="Arial"/>
                <w:b/>
                <w:color w:val="000000"/>
                <w:sz w:val="18"/>
                <w:szCs w:val="18"/>
                <w:lang w:val="de-DE" w:eastAsia="ja-JP"/>
              </w:rPr>
              <w:t>Kurstitel</w:t>
            </w:r>
          </w:p>
        </w:tc>
        <w:tc>
          <w:tcPr>
            <w:tcW w:w="1134" w:type="dxa"/>
            <w:shd w:val="solid" w:color="C0C0C0" w:fill="D9D9D9"/>
            <w:tcMar>
              <w:left w:w="57" w:type="dxa"/>
              <w:right w:w="57" w:type="dxa"/>
            </w:tcMar>
            <w:vAlign w:val="bottom"/>
          </w:tcPr>
          <w:p w:rsidR="00E65DC6" w:rsidRPr="002539B4" w:rsidRDefault="00E65DC6" w:rsidP="00DD6054">
            <w:pPr>
              <w:autoSpaceDE w:val="0"/>
              <w:autoSpaceDN w:val="0"/>
              <w:adjustRightInd w:val="0"/>
              <w:spacing w:before="40" w:after="40"/>
              <w:jc w:val="left"/>
              <w:rPr>
                <w:rFonts w:eastAsia="MS Mincho" w:cs="Arial"/>
                <w:b/>
                <w:color w:val="000000"/>
                <w:sz w:val="18"/>
                <w:szCs w:val="18"/>
                <w:lang w:val="de-DE" w:eastAsia="ja-JP"/>
              </w:rPr>
            </w:pPr>
            <w:r w:rsidRPr="002539B4">
              <w:rPr>
                <w:rFonts w:eastAsia="MS Mincho" w:cs="Arial"/>
                <w:b/>
                <w:color w:val="000000"/>
                <w:sz w:val="18"/>
                <w:szCs w:val="18"/>
                <w:lang w:val="de-DE" w:eastAsia="ja-JP"/>
              </w:rPr>
              <w:t>Sprache</w:t>
            </w:r>
          </w:p>
        </w:tc>
        <w:tc>
          <w:tcPr>
            <w:tcW w:w="1155" w:type="dxa"/>
            <w:shd w:val="solid" w:color="C0C0C0" w:fill="D9D9D9"/>
            <w:tcMar>
              <w:left w:w="57" w:type="dxa"/>
              <w:right w:w="57" w:type="dxa"/>
            </w:tcMar>
            <w:vAlign w:val="bottom"/>
          </w:tcPr>
          <w:p w:rsidR="00E65DC6" w:rsidRPr="002539B4" w:rsidRDefault="00E65DC6" w:rsidP="00DD6054">
            <w:pPr>
              <w:autoSpaceDE w:val="0"/>
              <w:autoSpaceDN w:val="0"/>
              <w:adjustRightInd w:val="0"/>
              <w:spacing w:before="40" w:after="40"/>
              <w:jc w:val="center"/>
              <w:rPr>
                <w:rFonts w:eastAsia="MS Mincho" w:cs="Arial"/>
                <w:b/>
                <w:color w:val="000000"/>
                <w:sz w:val="18"/>
                <w:szCs w:val="18"/>
                <w:lang w:val="de-DE" w:eastAsia="ja-JP"/>
              </w:rPr>
            </w:pPr>
            <w:r w:rsidRPr="002539B4">
              <w:rPr>
                <w:rFonts w:eastAsia="MS Mincho" w:cs="Arial"/>
                <w:b/>
                <w:color w:val="000000"/>
                <w:sz w:val="18"/>
                <w:szCs w:val="18"/>
                <w:lang w:val="de-DE" w:eastAsia="ja-JP"/>
              </w:rPr>
              <w:t>Anzahl der Teilnehmer</w:t>
            </w:r>
          </w:p>
        </w:tc>
      </w:tr>
      <w:tr w:rsidR="00377B3E" w:rsidRPr="006054BD" w:rsidTr="0054077B">
        <w:tc>
          <w:tcPr>
            <w:tcW w:w="1117" w:type="dxa"/>
            <w:tcMar>
              <w:left w:w="57" w:type="dxa"/>
              <w:right w:w="57" w:type="dxa"/>
            </w:tcMar>
          </w:tcPr>
          <w:p w:rsidR="00377B3E" w:rsidRPr="006054BD" w:rsidRDefault="0032754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Feb. 2012</w:t>
            </w:r>
          </w:p>
        </w:tc>
        <w:tc>
          <w:tcPr>
            <w:tcW w:w="6517" w:type="dxa"/>
            <w:tcMar>
              <w:left w:w="57" w:type="dxa"/>
              <w:right w:w="57" w:type="dxa"/>
            </w:tcMar>
          </w:tcPr>
          <w:p w:rsidR="00377B3E" w:rsidRPr="006054BD" w:rsidRDefault="00414197" w:rsidP="00414197">
            <w:pPr>
              <w:autoSpaceDE w:val="0"/>
              <w:autoSpaceDN w:val="0"/>
              <w:adjustRightInd w:val="0"/>
              <w:spacing w:before="40" w:after="40"/>
              <w:jc w:val="left"/>
              <w:rPr>
                <w:rFonts w:eastAsia="MS Mincho" w:cs="Arial"/>
                <w:color w:val="000000"/>
                <w:sz w:val="18"/>
                <w:szCs w:val="18"/>
                <w:lang w:val="fr-CH" w:eastAsia="ja-JP"/>
              </w:rPr>
            </w:pPr>
            <w:r w:rsidRPr="006054BD">
              <w:rPr>
                <w:rFonts w:eastAsia="MS Mincho" w:cs="Arial"/>
                <w:color w:val="000000"/>
                <w:sz w:val="18"/>
                <w:szCs w:val="18"/>
                <w:lang w:val="fr-CH" w:eastAsia="ja-JP"/>
              </w:rPr>
              <w:t>WIPO “</w:t>
            </w:r>
            <w:r w:rsidR="0032754E" w:rsidRPr="006054BD">
              <w:rPr>
                <w:rFonts w:eastAsia="MS Mincho" w:cs="Arial"/>
                <w:color w:val="000000"/>
                <w:sz w:val="18"/>
                <w:szCs w:val="18"/>
                <w:lang w:val="fr-CH" w:eastAsia="ja-JP"/>
              </w:rPr>
              <w:t xml:space="preserve">Master </w:t>
            </w:r>
            <w:r w:rsidR="00377B3E" w:rsidRPr="006054BD">
              <w:rPr>
                <w:rFonts w:eastAsia="MS Mincho" w:cs="Arial"/>
                <w:color w:val="000000"/>
                <w:sz w:val="18"/>
                <w:szCs w:val="18"/>
                <w:lang w:val="fr-CH" w:eastAsia="ja-JP"/>
              </w:rPr>
              <w:t xml:space="preserve">II </w:t>
            </w:r>
            <w:r w:rsidR="0032754E" w:rsidRPr="006054BD">
              <w:rPr>
                <w:rFonts w:eastAsia="MS Mincho" w:cs="Arial"/>
                <w:color w:val="000000"/>
                <w:sz w:val="18"/>
                <w:szCs w:val="18"/>
                <w:lang w:val="fr-CH" w:eastAsia="ja-JP"/>
              </w:rPr>
              <w:t xml:space="preserve">en droit de la </w:t>
            </w:r>
            <w:r w:rsidR="00FD4954" w:rsidRPr="006054BD">
              <w:rPr>
                <w:rFonts w:eastAsia="MS Mincho" w:cs="Arial"/>
                <w:color w:val="000000"/>
                <w:sz w:val="18"/>
                <w:szCs w:val="18"/>
                <w:lang w:val="fr-CH" w:eastAsia="ja-JP"/>
              </w:rPr>
              <w:t>propriété</w:t>
            </w:r>
            <w:r w:rsidR="0032754E" w:rsidRPr="006054BD">
              <w:rPr>
                <w:rFonts w:eastAsia="MS Mincho" w:cs="Arial"/>
                <w:color w:val="000000"/>
                <w:sz w:val="18"/>
                <w:szCs w:val="18"/>
                <w:lang w:val="fr-CH" w:eastAsia="ja-JP"/>
              </w:rPr>
              <w:t xml:space="preserve"> industrielle</w:t>
            </w:r>
            <w:r w:rsidRPr="006054BD">
              <w:rPr>
                <w:rFonts w:eastAsia="MS Mincho" w:cs="Arial"/>
                <w:color w:val="000000"/>
                <w:sz w:val="18"/>
                <w:szCs w:val="18"/>
                <w:lang w:val="fr-CH" w:eastAsia="ja-JP"/>
              </w:rPr>
              <w:t>”</w:t>
            </w:r>
          </w:p>
        </w:tc>
        <w:tc>
          <w:tcPr>
            <w:tcW w:w="1134"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FR</w:t>
            </w:r>
          </w:p>
        </w:tc>
        <w:tc>
          <w:tcPr>
            <w:tcW w:w="1155" w:type="dxa"/>
            <w:tcMar>
              <w:left w:w="57" w:type="dxa"/>
              <w:right w:w="57" w:type="dxa"/>
            </w:tcMar>
          </w:tcPr>
          <w:p w:rsidR="00377B3E" w:rsidRPr="006054BD" w:rsidRDefault="00377B3E" w:rsidP="0054077B">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20</w:t>
            </w:r>
          </w:p>
        </w:tc>
      </w:tr>
      <w:tr w:rsidR="00C74C0E" w:rsidRPr="006054BD" w:rsidTr="00C74C0E">
        <w:tc>
          <w:tcPr>
            <w:tcW w:w="1117" w:type="dxa"/>
            <w:tcMar>
              <w:left w:w="57" w:type="dxa"/>
              <w:right w:w="57" w:type="dxa"/>
            </w:tcMar>
          </w:tcPr>
          <w:p w:rsidR="00C74C0E" w:rsidRPr="006054BD" w:rsidRDefault="00377B3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April 2012</w:t>
            </w:r>
          </w:p>
        </w:tc>
        <w:tc>
          <w:tcPr>
            <w:tcW w:w="6517" w:type="dxa"/>
            <w:tcMar>
              <w:left w:w="57" w:type="dxa"/>
              <w:right w:w="57" w:type="dxa"/>
            </w:tcMar>
          </w:tcPr>
          <w:p w:rsidR="002351BE" w:rsidRPr="00E65DC6" w:rsidRDefault="00C74C0E" w:rsidP="00E65DC6">
            <w:pPr>
              <w:autoSpaceDE w:val="0"/>
              <w:autoSpaceDN w:val="0"/>
              <w:adjustRightInd w:val="0"/>
              <w:spacing w:before="40" w:after="40"/>
              <w:jc w:val="left"/>
              <w:rPr>
                <w:rFonts w:eastAsia="MS Mincho" w:cs="Arial"/>
                <w:color w:val="000000"/>
                <w:sz w:val="18"/>
                <w:szCs w:val="18"/>
                <w:lang w:val="de-DE" w:eastAsia="ja-JP"/>
              </w:rPr>
            </w:pPr>
            <w:r w:rsidRPr="00E65DC6">
              <w:rPr>
                <w:rFonts w:eastAsia="MS Mincho" w:cs="Arial"/>
                <w:color w:val="000000"/>
                <w:sz w:val="18"/>
                <w:szCs w:val="18"/>
                <w:lang w:val="de-DE" w:eastAsia="ja-JP"/>
              </w:rPr>
              <w:t>USPTO/UPOV</w:t>
            </w:r>
            <w:r w:rsidR="00B76E7B">
              <w:rPr>
                <w:rFonts w:eastAsia="MS Mincho" w:cs="Arial"/>
                <w:color w:val="000000"/>
                <w:sz w:val="18"/>
                <w:szCs w:val="18"/>
                <w:lang w:val="de-DE" w:eastAsia="ja-JP"/>
              </w:rPr>
              <w:t>-</w:t>
            </w:r>
            <w:r w:rsidR="00E65DC6" w:rsidRPr="002539B4">
              <w:rPr>
                <w:rFonts w:cs="Arial"/>
                <w:sz w:val="18"/>
                <w:szCs w:val="18"/>
                <w:lang w:val="de-DE"/>
              </w:rPr>
              <w:t>Lehrgang „Sortenschutz unter dem UPOV-Übereinkommen“</w:t>
            </w:r>
            <w:r w:rsidR="00FD4954" w:rsidRPr="00E65DC6">
              <w:rPr>
                <w:rFonts w:eastAsia="MS Mincho" w:cs="Arial"/>
                <w:color w:val="000000"/>
                <w:sz w:val="18"/>
                <w:szCs w:val="18"/>
                <w:lang w:val="de-DE" w:eastAsia="ja-JP"/>
              </w:rPr>
              <w:t xml:space="preserve"> (</w:t>
            </w:r>
            <w:r w:rsidR="00202242" w:rsidRPr="00E65DC6">
              <w:rPr>
                <w:rFonts w:eastAsia="MS Mincho" w:cs="Arial"/>
                <w:color w:val="000000"/>
                <w:sz w:val="18"/>
                <w:szCs w:val="18"/>
                <w:lang w:val="de-DE" w:eastAsia="ja-JP"/>
              </w:rPr>
              <w:t>Vereinigte Staaten von Amerika</w:t>
            </w:r>
            <w:r w:rsidR="00FD4954" w:rsidRPr="00E65DC6">
              <w:rPr>
                <w:rFonts w:eastAsia="MS Mincho" w:cs="Arial"/>
                <w:color w:val="000000"/>
                <w:sz w:val="18"/>
                <w:szCs w:val="18"/>
                <w:lang w:val="de-DE" w:eastAsia="ja-JP"/>
              </w:rPr>
              <w:t>)</w:t>
            </w:r>
          </w:p>
        </w:tc>
        <w:tc>
          <w:tcPr>
            <w:tcW w:w="1134" w:type="dxa"/>
            <w:tcMar>
              <w:left w:w="57" w:type="dxa"/>
              <w:right w:w="57" w:type="dxa"/>
            </w:tcMar>
          </w:tcPr>
          <w:p w:rsidR="00C74C0E" w:rsidRPr="006054BD" w:rsidRDefault="00C74C0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tcMar>
              <w:left w:w="57" w:type="dxa"/>
              <w:right w:w="57" w:type="dxa"/>
            </w:tcMar>
          </w:tcPr>
          <w:p w:rsidR="00C74C0E" w:rsidRPr="006054BD" w:rsidRDefault="0032754E" w:rsidP="00C74C0E">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10</w:t>
            </w:r>
          </w:p>
        </w:tc>
      </w:tr>
      <w:tr w:rsidR="00377B3E" w:rsidRPr="006054BD" w:rsidTr="0054077B">
        <w:tc>
          <w:tcPr>
            <w:tcW w:w="1117" w:type="dxa"/>
            <w:tcMar>
              <w:left w:w="57" w:type="dxa"/>
              <w:right w:w="57" w:type="dxa"/>
            </w:tcMar>
          </w:tcPr>
          <w:p w:rsidR="00377B3E" w:rsidRPr="006054BD" w:rsidRDefault="009323ED" w:rsidP="0054077B">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Juni</w:t>
            </w:r>
            <w:r w:rsidR="00377B3E" w:rsidRPr="006054BD">
              <w:rPr>
                <w:rFonts w:eastAsia="MS Mincho" w:cs="Arial"/>
                <w:color w:val="000000"/>
                <w:sz w:val="18"/>
                <w:szCs w:val="18"/>
                <w:lang w:eastAsia="ja-JP"/>
              </w:rPr>
              <w:t xml:space="preserve"> 2012</w:t>
            </w:r>
          </w:p>
        </w:tc>
        <w:tc>
          <w:tcPr>
            <w:tcW w:w="6517" w:type="dxa"/>
            <w:tcMar>
              <w:left w:w="57" w:type="dxa"/>
              <w:right w:w="57" w:type="dxa"/>
            </w:tcMar>
          </w:tcPr>
          <w:p w:rsidR="00377B3E" w:rsidRPr="00E65DC6" w:rsidRDefault="00126C51" w:rsidP="00E65DC6">
            <w:pPr>
              <w:autoSpaceDE w:val="0"/>
              <w:autoSpaceDN w:val="0"/>
              <w:adjustRightInd w:val="0"/>
              <w:spacing w:before="40" w:after="40"/>
              <w:jc w:val="left"/>
              <w:rPr>
                <w:rFonts w:eastAsia="MS Mincho" w:cs="Arial"/>
                <w:color w:val="000000"/>
                <w:sz w:val="18"/>
                <w:szCs w:val="18"/>
                <w:lang w:val="de-DE" w:eastAsia="ja-JP"/>
              </w:rPr>
            </w:pPr>
            <w:r w:rsidRPr="00E65DC6">
              <w:rPr>
                <w:rFonts w:eastAsia="MS Mincho" w:cs="Arial"/>
                <w:color w:val="000000"/>
                <w:sz w:val="18"/>
                <w:szCs w:val="18"/>
                <w:lang w:val="de-DE" w:eastAsia="ja-JP"/>
              </w:rPr>
              <w:t xml:space="preserve">Naktuinbouw </w:t>
            </w:r>
            <w:r w:rsidR="00377B3E" w:rsidRPr="00E65DC6">
              <w:rPr>
                <w:rFonts w:eastAsia="MS Mincho" w:cs="Arial"/>
                <w:color w:val="000000"/>
                <w:sz w:val="18"/>
                <w:szCs w:val="18"/>
                <w:lang w:val="de-DE" w:eastAsia="ja-JP"/>
              </w:rPr>
              <w:t>International</w:t>
            </w:r>
            <w:r w:rsidR="00E65DC6" w:rsidRPr="00E65DC6">
              <w:rPr>
                <w:rFonts w:eastAsia="MS Mincho" w:cs="Arial"/>
                <w:color w:val="000000"/>
                <w:sz w:val="18"/>
                <w:szCs w:val="18"/>
                <w:lang w:val="de-DE" w:eastAsia="ja-JP"/>
              </w:rPr>
              <w:t>er Lehrgang über Sortensch</w:t>
            </w:r>
            <w:r w:rsidR="00E65DC6">
              <w:rPr>
                <w:rFonts w:eastAsia="MS Mincho" w:cs="Arial"/>
                <w:color w:val="000000"/>
                <w:sz w:val="18"/>
                <w:szCs w:val="18"/>
                <w:lang w:val="de-DE" w:eastAsia="ja-JP"/>
              </w:rPr>
              <w:t>utz</w:t>
            </w:r>
            <w:r w:rsidR="00377B3E" w:rsidRPr="00E65DC6">
              <w:rPr>
                <w:rFonts w:eastAsia="MS Mincho" w:cs="Arial"/>
                <w:color w:val="000000"/>
                <w:sz w:val="18"/>
                <w:szCs w:val="18"/>
                <w:lang w:val="de-DE" w:eastAsia="ja-JP"/>
              </w:rPr>
              <w:t xml:space="preserve"> (</w:t>
            </w:r>
            <w:r w:rsidR="00E35033" w:rsidRPr="00E65DC6">
              <w:rPr>
                <w:rFonts w:eastAsia="MS Mincho" w:cs="Arial"/>
                <w:color w:val="000000"/>
                <w:sz w:val="18"/>
                <w:szCs w:val="18"/>
                <w:lang w:val="de-DE" w:eastAsia="ja-JP"/>
              </w:rPr>
              <w:t>Niederlande</w:t>
            </w:r>
            <w:r w:rsidR="00377B3E" w:rsidRPr="00E65DC6">
              <w:rPr>
                <w:rFonts w:eastAsia="MS Mincho" w:cs="Arial"/>
                <w:color w:val="000000"/>
                <w:sz w:val="18"/>
                <w:szCs w:val="18"/>
                <w:lang w:val="de-DE" w:eastAsia="ja-JP"/>
              </w:rPr>
              <w:t>)</w:t>
            </w:r>
          </w:p>
        </w:tc>
        <w:tc>
          <w:tcPr>
            <w:tcW w:w="1134"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tcMar>
              <w:left w:w="57" w:type="dxa"/>
              <w:right w:w="57" w:type="dxa"/>
            </w:tcMar>
          </w:tcPr>
          <w:p w:rsidR="00377B3E" w:rsidRPr="006054BD" w:rsidRDefault="00377B3E" w:rsidP="0054077B">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18</w:t>
            </w:r>
          </w:p>
        </w:tc>
      </w:tr>
      <w:tr w:rsidR="00377B3E" w:rsidRPr="006054BD" w:rsidTr="0054077B">
        <w:tc>
          <w:tcPr>
            <w:tcW w:w="1117" w:type="dxa"/>
            <w:tcMar>
              <w:left w:w="57" w:type="dxa"/>
              <w:right w:w="57" w:type="dxa"/>
            </w:tcMar>
          </w:tcPr>
          <w:p w:rsidR="00377B3E" w:rsidRPr="006054BD" w:rsidRDefault="00E65DC6" w:rsidP="0054077B">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Juli</w:t>
            </w:r>
            <w:r w:rsidR="00377B3E" w:rsidRPr="006054BD">
              <w:rPr>
                <w:rFonts w:eastAsia="MS Mincho" w:cs="Arial"/>
                <w:color w:val="000000"/>
                <w:sz w:val="18"/>
                <w:szCs w:val="18"/>
                <w:lang w:eastAsia="ja-JP"/>
              </w:rPr>
              <w:t xml:space="preserve"> 2012</w:t>
            </w:r>
          </w:p>
        </w:tc>
        <w:tc>
          <w:tcPr>
            <w:tcW w:w="6517" w:type="dxa"/>
            <w:tcMar>
              <w:left w:w="57" w:type="dxa"/>
              <w:right w:w="57" w:type="dxa"/>
            </w:tcMar>
          </w:tcPr>
          <w:p w:rsidR="00377B3E" w:rsidRPr="00CC1BB2" w:rsidRDefault="00947808" w:rsidP="0054077B">
            <w:pPr>
              <w:autoSpaceDE w:val="0"/>
              <w:autoSpaceDN w:val="0"/>
              <w:adjustRightInd w:val="0"/>
              <w:spacing w:before="40" w:after="40"/>
              <w:jc w:val="left"/>
              <w:rPr>
                <w:rFonts w:eastAsia="MS Mincho" w:cs="Arial"/>
                <w:color w:val="000000"/>
                <w:sz w:val="18"/>
                <w:szCs w:val="18"/>
                <w:lang w:val="de-DE" w:eastAsia="ja-JP"/>
              </w:rPr>
            </w:pPr>
            <w:r>
              <w:rPr>
                <w:rFonts w:eastAsia="MS Mincho" w:cs="Arial"/>
                <w:color w:val="000000"/>
                <w:sz w:val="18"/>
                <w:szCs w:val="18"/>
                <w:lang w:val="de-DE" w:eastAsia="ja-JP"/>
              </w:rPr>
              <w:t>KOICA-</w:t>
            </w:r>
            <w:r w:rsidR="00CC1BB2" w:rsidRPr="002539B4">
              <w:rPr>
                <w:rFonts w:cs="Arial"/>
                <w:color w:val="000000"/>
                <w:sz w:val="18"/>
                <w:szCs w:val="18"/>
                <w:lang w:val="de-DE" w:eastAsia="de-DE"/>
              </w:rPr>
              <w:t>Ausbildungslehrgang über den Sortenschutz</w:t>
            </w:r>
            <w:r w:rsidR="00CC1BB2" w:rsidRPr="00CC1BB2">
              <w:rPr>
                <w:rFonts w:eastAsia="MS Mincho" w:cs="Arial"/>
                <w:color w:val="000000"/>
                <w:sz w:val="18"/>
                <w:szCs w:val="18"/>
                <w:lang w:val="de-DE" w:eastAsia="ja-JP"/>
              </w:rPr>
              <w:t xml:space="preserve"> </w:t>
            </w:r>
            <w:r w:rsidR="00FD4954" w:rsidRPr="00CC1BB2">
              <w:rPr>
                <w:rFonts w:eastAsia="MS Mincho" w:cs="Arial"/>
                <w:color w:val="000000"/>
                <w:sz w:val="18"/>
                <w:szCs w:val="18"/>
                <w:lang w:val="de-DE" w:eastAsia="ja-JP"/>
              </w:rPr>
              <w:t>(</w:t>
            </w:r>
            <w:r w:rsidR="00E35033" w:rsidRPr="00CC1BB2">
              <w:rPr>
                <w:rFonts w:eastAsia="MS Mincho" w:cs="Arial"/>
                <w:color w:val="000000"/>
                <w:sz w:val="18"/>
                <w:szCs w:val="18"/>
                <w:lang w:val="de-DE" w:eastAsia="ja-JP"/>
              </w:rPr>
              <w:t>Republik Korea</w:t>
            </w:r>
            <w:r w:rsidR="00FD4954" w:rsidRPr="00CC1BB2">
              <w:rPr>
                <w:rFonts w:eastAsia="MS Mincho" w:cs="Arial"/>
                <w:color w:val="000000"/>
                <w:sz w:val="18"/>
                <w:szCs w:val="18"/>
                <w:lang w:val="de-DE" w:eastAsia="ja-JP"/>
              </w:rPr>
              <w:t>)</w:t>
            </w:r>
          </w:p>
        </w:tc>
        <w:tc>
          <w:tcPr>
            <w:tcW w:w="1134"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tcMar>
              <w:left w:w="57" w:type="dxa"/>
              <w:right w:w="57" w:type="dxa"/>
            </w:tcMar>
          </w:tcPr>
          <w:p w:rsidR="00377B3E" w:rsidRPr="006054BD" w:rsidRDefault="00377B3E" w:rsidP="0054077B">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14</w:t>
            </w:r>
          </w:p>
        </w:tc>
      </w:tr>
      <w:tr w:rsidR="00C74C0E" w:rsidRPr="006054BD" w:rsidTr="00723E30">
        <w:tc>
          <w:tcPr>
            <w:tcW w:w="1117" w:type="dxa"/>
            <w:shd w:val="clear" w:color="auto" w:fill="auto"/>
            <w:tcMar>
              <w:left w:w="57" w:type="dxa"/>
              <w:right w:w="57" w:type="dxa"/>
            </w:tcMar>
          </w:tcPr>
          <w:p w:rsidR="00C74C0E" w:rsidRPr="006054BD" w:rsidRDefault="00C74C0E" w:rsidP="00723E30">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Sept. 201</w:t>
            </w:r>
            <w:r w:rsidR="00723E30" w:rsidRPr="006054BD">
              <w:rPr>
                <w:rFonts w:eastAsia="MS Mincho" w:cs="Arial"/>
                <w:color w:val="000000"/>
                <w:sz w:val="18"/>
                <w:szCs w:val="18"/>
                <w:lang w:eastAsia="ja-JP"/>
              </w:rPr>
              <w:t>2</w:t>
            </w:r>
          </w:p>
        </w:tc>
        <w:tc>
          <w:tcPr>
            <w:tcW w:w="6517" w:type="dxa"/>
            <w:shd w:val="clear" w:color="auto" w:fill="auto"/>
            <w:tcMar>
              <w:left w:w="57" w:type="dxa"/>
              <w:right w:w="57" w:type="dxa"/>
            </w:tcMar>
          </w:tcPr>
          <w:p w:rsidR="00C74C0E" w:rsidRPr="00CC1BB2" w:rsidRDefault="00947808" w:rsidP="00C74C0E">
            <w:pPr>
              <w:autoSpaceDE w:val="0"/>
              <w:autoSpaceDN w:val="0"/>
              <w:adjustRightInd w:val="0"/>
              <w:spacing w:before="40" w:after="40"/>
              <w:jc w:val="left"/>
              <w:rPr>
                <w:rFonts w:eastAsia="MS Mincho" w:cs="Arial"/>
                <w:color w:val="000000"/>
                <w:sz w:val="18"/>
                <w:szCs w:val="18"/>
                <w:lang w:val="de-DE" w:eastAsia="ja-JP"/>
              </w:rPr>
            </w:pPr>
            <w:r>
              <w:rPr>
                <w:rFonts w:cs="Arial"/>
                <w:color w:val="000000"/>
                <w:sz w:val="18"/>
                <w:szCs w:val="18"/>
                <w:lang w:val="de-DE" w:eastAsia="de-DE"/>
              </w:rPr>
              <w:t>JICA-</w:t>
            </w:r>
            <w:r w:rsidR="00CC1BB2" w:rsidRPr="002539B4">
              <w:rPr>
                <w:rFonts w:cs="Arial"/>
                <w:color w:val="000000"/>
                <w:sz w:val="18"/>
                <w:szCs w:val="18"/>
                <w:lang w:val="de-DE" w:eastAsia="de-DE"/>
              </w:rPr>
              <w:t>Ausbildungslehrgang „Ein international harmonisiertes Sortenschutzsystem“</w:t>
            </w:r>
            <w:r w:rsidR="00CC1BB2" w:rsidRPr="00CC1BB2">
              <w:rPr>
                <w:sz w:val="18"/>
                <w:szCs w:val="18"/>
                <w:lang w:val="de-DE"/>
              </w:rPr>
              <w:t xml:space="preserve"> </w:t>
            </w:r>
            <w:r w:rsidR="00FD4954" w:rsidRPr="00CC1BB2">
              <w:rPr>
                <w:sz w:val="18"/>
                <w:szCs w:val="18"/>
                <w:lang w:val="de-DE"/>
              </w:rPr>
              <w:t>(Japan)</w:t>
            </w:r>
          </w:p>
        </w:tc>
        <w:tc>
          <w:tcPr>
            <w:tcW w:w="1134" w:type="dxa"/>
            <w:shd w:val="clear" w:color="auto" w:fill="auto"/>
            <w:tcMar>
              <w:left w:w="57" w:type="dxa"/>
              <w:right w:w="57" w:type="dxa"/>
            </w:tcMar>
          </w:tcPr>
          <w:p w:rsidR="00C74C0E" w:rsidRPr="006054BD" w:rsidRDefault="00C74C0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shd w:val="clear" w:color="auto" w:fill="auto"/>
            <w:tcMar>
              <w:left w:w="57" w:type="dxa"/>
              <w:right w:w="57" w:type="dxa"/>
            </w:tcMar>
          </w:tcPr>
          <w:p w:rsidR="00C74C0E" w:rsidRPr="006054BD" w:rsidRDefault="00C74C0E" w:rsidP="00C74C0E">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9</w:t>
            </w:r>
          </w:p>
        </w:tc>
      </w:tr>
      <w:tr w:rsidR="0032754E" w:rsidRPr="006054BD" w:rsidTr="00723E30">
        <w:tc>
          <w:tcPr>
            <w:tcW w:w="1117" w:type="dxa"/>
            <w:shd w:val="clear" w:color="auto" w:fill="auto"/>
            <w:tcMar>
              <w:left w:w="57" w:type="dxa"/>
              <w:right w:w="57" w:type="dxa"/>
            </w:tcMar>
          </w:tcPr>
          <w:p w:rsidR="0032754E" w:rsidRPr="006054BD" w:rsidRDefault="00E65DC6" w:rsidP="003872A8">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Dez</w:t>
            </w:r>
            <w:r w:rsidR="0032754E" w:rsidRPr="006054BD">
              <w:rPr>
                <w:rFonts w:eastAsia="MS Mincho" w:cs="Arial"/>
                <w:color w:val="000000"/>
                <w:sz w:val="18"/>
                <w:szCs w:val="18"/>
                <w:lang w:eastAsia="ja-JP"/>
              </w:rPr>
              <w:t>. 2012</w:t>
            </w:r>
          </w:p>
        </w:tc>
        <w:tc>
          <w:tcPr>
            <w:tcW w:w="6517" w:type="dxa"/>
            <w:shd w:val="clear" w:color="auto" w:fill="auto"/>
            <w:tcMar>
              <w:left w:w="57" w:type="dxa"/>
              <w:right w:w="57" w:type="dxa"/>
            </w:tcMar>
          </w:tcPr>
          <w:p w:rsidR="0032754E" w:rsidRPr="00CC1BB2" w:rsidRDefault="0032754E" w:rsidP="00414197">
            <w:pPr>
              <w:autoSpaceDE w:val="0"/>
              <w:autoSpaceDN w:val="0"/>
              <w:adjustRightInd w:val="0"/>
              <w:spacing w:before="40" w:after="40"/>
              <w:jc w:val="left"/>
              <w:rPr>
                <w:rFonts w:eastAsia="MS Mincho" w:cs="Arial"/>
                <w:color w:val="000000"/>
                <w:sz w:val="18"/>
                <w:szCs w:val="18"/>
                <w:lang w:val="de-DE" w:eastAsia="ja-JP"/>
              </w:rPr>
            </w:pPr>
            <w:r w:rsidRPr="00CC1BB2">
              <w:rPr>
                <w:rFonts w:eastAsia="MS Mincho" w:cs="Arial"/>
                <w:color w:val="000000"/>
                <w:sz w:val="18"/>
                <w:szCs w:val="18"/>
                <w:lang w:val="de-DE" w:eastAsia="ja-JP"/>
              </w:rPr>
              <w:t>XI</w:t>
            </w:r>
            <w:r w:rsidR="00947808">
              <w:rPr>
                <w:rFonts w:eastAsia="MS Mincho" w:cs="Arial"/>
                <w:color w:val="000000"/>
                <w:sz w:val="18"/>
                <w:szCs w:val="18"/>
                <w:lang w:val="de-DE" w:eastAsia="ja-JP"/>
              </w:rPr>
              <w:t>.</w:t>
            </w:r>
            <w:r w:rsidRPr="00CC1BB2">
              <w:rPr>
                <w:rFonts w:eastAsia="MS Mincho" w:cs="Arial"/>
                <w:color w:val="000000"/>
                <w:sz w:val="18"/>
                <w:szCs w:val="18"/>
                <w:lang w:val="de-DE" w:eastAsia="ja-JP"/>
              </w:rPr>
              <w:t xml:space="preserve"> </w:t>
            </w:r>
            <w:r w:rsidR="00CC1BB2" w:rsidRPr="002539B4">
              <w:rPr>
                <w:rFonts w:eastAsia="MS Mincho" w:cs="Arial"/>
                <w:color w:val="000000"/>
                <w:sz w:val="18"/>
                <w:szCs w:val="18"/>
                <w:lang w:val="de-DE" w:eastAsia="ja-JP"/>
              </w:rPr>
              <w:t>Ausbildungslehrgang über den Schutz von Pflanzenzüchtungen für iberoamerikanische Länder</w:t>
            </w:r>
            <w:r w:rsidR="00CC1BB2" w:rsidRPr="00CC1BB2">
              <w:rPr>
                <w:rFonts w:eastAsia="MS Mincho" w:cs="Arial"/>
                <w:color w:val="000000"/>
                <w:sz w:val="18"/>
                <w:szCs w:val="18"/>
                <w:lang w:val="de-DE" w:eastAsia="ja-JP"/>
              </w:rPr>
              <w:t xml:space="preserve"> </w:t>
            </w:r>
            <w:r w:rsidRPr="00CC1BB2">
              <w:rPr>
                <w:rFonts w:eastAsia="MS Mincho" w:cs="Arial"/>
                <w:color w:val="000000"/>
                <w:sz w:val="18"/>
                <w:szCs w:val="18"/>
                <w:lang w:val="de-DE" w:eastAsia="ja-JP"/>
              </w:rPr>
              <w:t>(Uruguay)</w:t>
            </w:r>
          </w:p>
        </w:tc>
        <w:tc>
          <w:tcPr>
            <w:tcW w:w="1134" w:type="dxa"/>
            <w:shd w:val="clear" w:color="auto" w:fill="auto"/>
            <w:tcMar>
              <w:left w:w="57" w:type="dxa"/>
              <w:right w:w="57" w:type="dxa"/>
            </w:tcMar>
          </w:tcPr>
          <w:p w:rsidR="0032754E" w:rsidRPr="006054BD" w:rsidRDefault="0032754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ES</w:t>
            </w:r>
          </w:p>
        </w:tc>
        <w:tc>
          <w:tcPr>
            <w:tcW w:w="1155" w:type="dxa"/>
            <w:shd w:val="clear" w:color="auto" w:fill="auto"/>
            <w:tcMar>
              <w:left w:w="57" w:type="dxa"/>
              <w:right w:w="57" w:type="dxa"/>
            </w:tcMar>
          </w:tcPr>
          <w:p w:rsidR="0032754E" w:rsidRPr="006054BD" w:rsidRDefault="0032754E" w:rsidP="002534CA">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12</w:t>
            </w:r>
          </w:p>
        </w:tc>
      </w:tr>
    </w:tbl>
    <w:p w:rsidR="00C74C0E" w:rsidRPr="006054BD" w:rsidRDefault="00C74C0E" w:rsidP="00C74C0E">
      <w:pPr>
        <w:rPr>
          <w:rFonts w:cs="Arial"/>
          <w:sz w:val="18"/>
          <w:szCs w:val="18"/>
        </w:rPr>
      </w:pPr>
    </w:p>
    <w:p w:rsidR="0056694D" w:rsidRPr="006054BD" w:rsidRDefault="0056694D" w:rsidP="00C74C0E">
      <w:pPr>
        <w:rPr>
          <w:rFonts w:cs="Arial"/>
          <w:sz w:val="18"/>
          <w:szCs w:val="18"/>
        </w:rPr>
      </w:pPr>
    </w:p>
    <w:tbl>
      <w:tblPr>
        <w:tblW w:w="9889" w:type="dxa"/>
        <w:tblLayout w:type="fixed"/>
        <w:tblLook w:val="0000" w:firstRow="0" w:lastRow="0" w:firstColumn="0" w:lastColumn="0" w:noHBand="0" w:noVBand="0"/>
      </w:tblPr>
      <w:tblGrid>
        <w:gridCol w:w="2093"/>
        <w:gridCol w:w="7796"/>
      </w:tblGrid>
      <w:tr w:rsidR="000F22DB" w:rsidRPr="006054BD" w:rsidTr="002874C7">
        <w:tc>
          <w:tcPr>
            <w:tcW w:w="2093" w:type="dxa"/>
            <w:shd w:val="clear" w:color="auto" w:fill="auto"/>
          </w:tcPr>
          <w:p w:rsidR="000F22DB" w:rsidRPr="006054BD" w:rsidRDefault="00A71FDD" w:rsidP="00DD4A16">
            <w:pPr>
              <w:keepNext/>
              <w:rPr>
                <w:b/>
                <w:sz w:val="18"/>
                <w:szCs w:val="18"/>
              </w:rPr>
            </w:pPr>
            <w:r>
              <w:rPr>
                <w:b/>
                <w:sz w:val="18"/>
                <w:szCs w:val="18"/>
              </w:rPr>
              <w:t>Erwartete Ergebnisse</w:t>
            </w:r>
          </w:p>
        </w:tc>
        <w:tc>
          <w:tcPr>
            <w:tcW w:w="7796" w:type="dxa"/>
            <w:shd w:val="clear" w:color="auto" w:fill="auto"/>
          </w:tcPr>
          <w:p w:rsidR="000F22DB" w:rsidRPr="006054BD" w:rsidRDefault="00A71FDD" w:rsidP="00DD4A16">
            <w:pPr>
              <w:keepNext/>
              <w:rPr>
                <w:b/>
                <w:sz w:val="18"/>
                <w:szCs w:val="18"/>
              </w:rPr>
            </w:pPr>
            <w:r>
              <w:rPr>
                <w:b/>
                <w:sz w:val="18"/>
                <w:szCs w:val="18"/>
              </w:rPr>
              <w:t>Erzielte Ergebnisse</w:t>
            </w:r>
            <w:r w:rsidR="000F22DB" w:rsidRPr="006054BD">
              <w:rPr>
                <w:b/>
                <w:sz w:val="18"/>
                <w:szCs w:val="18"/>
              </w:rPr>
              <w:t xml:space="preserve">:  </w:t>
            </w:r>
            <w:r>
              <w:rPr>
                <w:b/>
                <w:sz w:val="18"/>
                <w:szCs w:val="18"/>
              </w:rPr>
              <w:t>Ausgewählte Planerfüllungsindikatoren</w:t>
            </w:r>
          </w:p>
          <w:p w:rsidR="000F22DB" w:rsidRPr="006054BD" w:rsidRDefault="000F22DB" w:rsidP="00DD4A16">
            <w:pPr>
              <w:keepNext/>
              <w:rPr>
                <w:b/>
                <w:sz w:val="18"/>
                <w:szCs w:val="18"/>
              </w:rPr>
            </w:pPr>
          </w:p>
        </w:tc>
      </w:tr>
      <w:tr w:rsidR="000F22DB" w:rsidRPr="00DE5DFD" w:rsidTr="002874C7">
        <w:tc>
          <w:tcPr>
            <w:tcW w:w="2093" w:type="dxa"/>
          </w:tcPr>
          <w:p w:rsidR="000F22DB" w:rsidRPr="00FB62D6" w:rsidRDefault="000F22DB" w:rsidP="000F22DB">
            <w:pPr>
              <w:jc w:val="left"/>
              <w:rPr>
                <w:sz w:val="18"/>
                <w:szCs w:val="18"/>
                <w:lang w:val="de-DE"/>
              </w:rPr>
            </w:pPr>
            <w:r w:rsidRPr="003D3420">
              <w:rPr>
                <w:i/>
                <w:sz w:val="18"/>
                <w:szCs w:val="18"/>
                <w:lang w:val="de-DE"/>
              </w:rPr>
              <w:t>4.  </w:t>
            </w:r>
            <w:r w:rsidR="00FB62D6" w:rsidRPr="00FB62D6">
              <w:rPr>
                <w:i/>
                <w:color w:val="000000"/>
                <w:sz w:val="18"/>
                <w:szCs w:val="18"/>
                <w:lang w:val="de-DE"/>
              </w:rPr>
              <w:t>Unterstützung bei der Umsetzung wirksamer Sortenschutzsysteme gemäß der Akte von 1991 des UPOV-Übereinkommens</w:t>
            </w:r>
            <w:r w:rsidRPr="00FB62D6">
              <w:rPr>
                <w:sz w:val="18"/>
                <w:szCs w:val="18"/>
                <w:lang w:val="de-DE"/>
              </w:rPr>
              <w:t xml:space="preserve"> (</w:t>
            </w:r>
            <w:r w:rsidR="005017B4" w:rsidRPr="00FB62D6">
              <w:rPr>
                <w:sz w:val="18"/>
                <w:szCs w:val="18"/>
                <w:lang w:val="de-DE"/>
              </w:rPr>
              <w:t>Fortsetzung</w:t>
            </w:r>
            <w:r w:rsidRPr="00FB62D6">
              <w:rPr>
                <w:sz w:val="18"/>
                <w:szCs w:val="18"/>
                <w:lang w:val="de-DE"/>
              </w:rPr>
              <w:t>)</w:t>
            </w:r>
          </w:p>
        </w:tc>
        <w:tc>
          <w:tcPr>
            <w:tcW w:w="7796" w:type="dxa"/>
          </w:tcPr>
          <w:p w:rsidR="000F22DB" w:rsidRPr="00FB62D6" w:rsidRDefault="00E163EA" w:rsidP="004B71D9">
            <w:pPr>
              <w:pStyle w:val="Heading8"/>
              <w:rPr>
                <w:lang w:val="de-DE"/>
              </w:rPr>
            </w:pPr>
            <w:bookmarkStart w:id="184" w:name="_Toc368400593"/>
            <w:r w:rsidRPr="00FB62D6">
              <w:rPr>
                <w:lang w:val="de-DE"/>
              </w:rPr>
              <w:t>(b)</w:t>
            </w:r>
            <w:r w:rsidR="000F22DB" w:rsidRPr="00FB62D6">
              <w:rPr>
                <w:lang w:val="de-DE"/>
              </w:rPr>
              <w:t xml:space="preserve">  </w:t>
            </w:r>
            <w:r w:rsidR="00FB62D6" w:rsidRPr="00FB62D6">
              <w:rPr>
                <w:color w:val="000000"/>
                <w:lang w:val="de-DE"/>
              </w:rPr>
              <w:t xml:space="preserve">Teilnahme von Beobachterstaaten und </w:t>
            </w:r>
            <w:r w:rsidR="004B71D9">
              <w:rPr>
                <w:color w:val="000000"/>
                <w:lang w:val="de-DE"/>
              </w:rPr>
              <w:t>-o</w:t>
            </w:r>
            <w:r w:rsidR="00FB62D6" w:rsidRPr="00FB62D6">
              <w:rPr>
                <w:color w:val="000000"/>
                <w:lang w:val="de-DE"/>
              </w:rPr>
              <w:t>rganisationen an CAJ, TC, TWP und den damit verbundenen vorbereitenden Arbeitstagungen</w:t>
            </w:r>
            <w:bookmarkEnd w:id="184"/>
          </w:p>
          <w:p w:rsidR="00042BB4" w:rsidRPr="00CC1BB2" w:rsidRDefault="00CC1BB2" w:rsidP="00947808">
            <w:pPr>
              <w:jc w:val="left"/>
              <w:rPr>
                <w:sz w:val="18"/>
                <w:szCs w:val="18"/>
                <w:lang w:val="de-DE"/>
              </w:rPr>
            </w:pPr>
            <w:r w:rsidRPr="00CC1BB2">
              <w:rPr>
                <w:sz w:val="18"/>
                <w:szCs w:val="18"/>
                <w:lang w:val="de-DE"/>
              </w:rPr>
              <w:t>Vergleiche</w:t>
            </w:r>
            <w:r w:rsidR="004A72C3" w:rsidRPr="00CC1BB2">
              <w:rPr>
                <w:sz w:val="18"/>
                <w:szCs w:val="18"/>
                <w:lang w:val="de-DE"/>
              </w:rPr>
              <w:t xml:space="preserve"> </w:t>
            </w:r>
            <w:r w:rsidR="00202242" w:rsidRPr="00CC1BB2">
              <w:rPr>
                <w:sz w:val="18"/>
                <w:szCs w:val="18"/>
                <w:lang w:val="de-DE"/>
              </w:rPr>
              <w:t>Unterprogramm</w:t>
            </w:r>
            <w:r w:rsidR="004A72C3" w:rsidRPr="00CC1BB2">
              <w:rPr>
                <w:sz w:val="18"/>
                <w:szCs w:val="18"/>
                <w:lang w:val="de-DE"/>
              </w:rPr>
              <w:t xml:space="preserve"> UV.2, </w:t>
            </w:r>
            <w:r w:rsidRPr="00CC1BB2">
              <w:rPr>
                <w:sz w:val="18"/>
                <w:szCs w:val="18"/>
                <w:lang w:val="de-DE"/>
              </w:rPr>
              <w:t>Planerfüllungsindikator</w:t>
            </w:r>
            <w:r w:rsidR="004A72C3" w:rsidRPr="00CC1BB2">
              <w:rPr>
                <w:sz w:val="18"/>
                <w:szCs w:val="18"/>
                <w:lang w:val="de-DE"/>
              </w:rPr>
              <w:t xml:space="preserve"> 4 </w:t>
            </w:r>
            <w:r w:rsidR="00947808" w:rsidRPr="002D66FA">
              <w:rPr>
                <w:color w:val="000000"/>
                <w:lang w:val="de-DE"/>
              </w:rPr>
              <w:t>„</w:t>
            </w:r>
            <w:r w:rsidRPr="002D66FA">
              <w:rPr>
                <w:iCs/>
                <w:color w:val="000000"/>
                <w:sz w:val="18"/>
                <w:szCs w:val="18"/>
                <w:lang w:val="de-DE"/>
              </w:rPr>
              <w:t>Mitwirkung von Verbandsmitgliedern und Betroffenen an den Tätigkeiten der Organe der UPOV</w:t>
            </w:r>
            <w:r w:rsidR="002D66FA">
              <w:rPr>
                <w:iCs/>
                <w:color w:val="000000"/>
                <w:sz w:val="18"/>
                <w:szCs w:val="18"/>
                <w:lang w:val="de-DE"/>
              </w:rPr>
              <w:t>“</w:t>
            </w:r>
            <w:r w:rsidR="006563B8" w:rsidRPr="002D66FA">
              <w:rPr>
                <w:sz w:val="18"/>
                <w:szCs w:val="18"/>
                <w:lang w:val="de-DE"/>
              </w:rPr>
              <w:t>,</w:t>
            </w:r>
            <w:r w:rsidR="006563B8" w:rsidRPr="00CC1BB2">
              <w:rPr>
                <w:sz w:val="18"/>
                <w:szCs w:val="18"/>
                <w:lang w:val="de-DE"/>
              </w:rPr>
              <w:t xml:space="preserve"> </w:t>
            </w:r>
            <w:r>
              <w:rPr>
                <w:sz w:val="18"/>
                <w:szCs w:val="18"/>
                <w:lang w:val="de-DE"/>
              </w:rPr>
              <w:t>Abschnitte</w:t>
            </w:r>
            <w:r w:rsidR="002D66FA">
              <w:rPr>
                <w:sz w:val="18"/>
                <w:szCs w:val="18"/>
                <w:lang w:val="de-DE"/>
              </w:rPr>
              <w:t> </w:t>
            </w:r>
            <w:r w:rsidR="004A72C3" w:rsidRPr="00CC1BB2">
              <w:rPr>
                <w:sz w:val="18"/>
                <w:szCs w:val="18"/>
                <w:lang w:val="de-DE"/>
              </w:rPr>
              <w:t>(a)</w:t>
            </w:r>
            <w:r w:rsidR="00947808">
              <w:rPr>
                <w:sz w:val="18"/>
                <w:szCs w:val="18"/>
                <w:lang w:val="de-DE"/>
              </w:rPr>
              <w:t xml:space="preserve"> bis</w:t>
            </w:r>
            <w:r w:rsidR="006563B8" w:rsidRPr="00CC1BB2">
              <w:rPr>
                <w:sz w:val="18"/>
                <w:szCs w:val="18"/>
                <w:lang w:val="de-DE"/>
              </w:rPr>
              <w:t xml:space="preserve"> </w:t>
            </w:r>
            <w:r w:rsidR="004A72C3" w:rsidRPr="00CC1BB2">
              <w:rPr>
                <w:sz w:val="18"/>
                <w:szCs w:val="18"/>
                <w:lang w:val="de-DE"/>
              </w:rPr>
              <w:t xml:space="preserve">(d) </w:t>
            </w:r>
          </w:p>
          <w:p w:rsidR="00E74379" w:rsidRPr="00CC1BB2" w:rsidRDefault="00E74379" w:rsidP="006563B8">
            <w:pPr>
              <w:jc w:val="left"/>
              <w:rPr>
                <w:sz w:val="18"/>
                <w:szCs w:val="18"/>
                <w:lang w:val="de-DE"/>
              </w:rPr>
            </w:pPr>
          </w:p>
          <w:p w:rsidR="004154B0" w:rsidRPr="00CC1BB2" w:rsidRDefault="004154B0" w:rsidP="006563B8">
            <w:pPr>
              <w:jc w:val="left"/>
              <w:rPr>
                <w:sz w:val="18"/>
                <w:szCs w:val="18"/>
                <w:lang w:val="de-DE"/>
              </w:rPr>
            </w:pPr>
          </w:p>
          <w:p w:rsidR="00E74379" w:rsidRPr="00FB62D6" w:rsidRDefault="00E74379" w:rsidP="001B489A">
            <w:pPr>
              <w:pStyle w:val="Heading8"/>
              <w:spacing w:after="0"/>
              <w:rPr>
                <w:szCs w:val="18"/>
                <w:lang w:val="de-DE"/>
              </w:rPr>
            </w:pPr>
            <w:bookmarkStart w:id="185" w:name="_Toc368400594"/>
            <w:r w:rsidRPr="00FB62D6">
              <w:rPr>
                <w:szCs w:val="18"/>
                <w:lang w:val="de-DE"/>
              </w:rPr>
              <w:t xml:space="preserve">(c)  </w:t>
            </w:r>
            <w:r w:rsidR="00FB62D6" w:rsidRPr="00FB62D6">
              <w:rPr>
                <w:color w:val="000000"/>
                <w:lang w:val="de-DE"/>
              </w:rPr>
              <w:t>Teilnahme an Veranstaltungen der UPOV</w:t>
            </w:r>
            <w:r w:rsidR="004154B0" w:rsidRPr="00FB62D6">
              <w:rPr>
                <w:szCs w:val="18"/>
                <w:lang w:val="de-DE"/>
              </w:rPr>
              <w:t>;</w:t>
            </w:r>
            <w:bookmarkEnd w:id="185"/>
          </w:p>
          <w:p w:rsidR="00E74379" w:rsidRPr="00FB62D6" w:rsidRDefault="00E74379" w:rsidP="00FB62D6">
            <w:pPr>
              <w:pStyle w:val="Heading8"/>
              <w:spacing w:after="0"/>
              <w:rPr>
                <w:lang w:val="de-DE"/>
              </w:rPr>
            </w:pPr>
            <w:bookmarkStart w:id="186" w:name="_Toc368400595"/>
            <w:r w:rsidRPr="00FB62D6">
              <w:rPr>
                <w:lang w:val="de-DE"/>
              </w:rPr>
              <w:t xml:space="preserve">(d)  </w:t>
            </w:r>
            <w:r w:rsidR="00FB62D6" w:rsidRPr="00FB62D6">
              <w:rPr>
                <w:color w:val="000000"/>
                <w:lang w:val="de-DE"/>
              </w:rPr>
              <w:t>Teilnahme an Veranstaltungen mit beteiligtem Personal der UPOV oder UPOV</w:t>
            </w:r>
            <w:r w:rsidR="00FB62D6" w:rsidRPr="00FB62D6">
              <w:rPr>
                <w:color w:val="000000"/>
                <w:lang w:val="de-DE"/>
              </w:rPr>
              <w:noBreakHyphen/>
              <w:t>Ausbildern im Namen von Personal der UPOV</w:t>
            </w:r>
            <w:r w:rsidR="004154B0" w:rsidRPr="00FB62D6">
              <w:rPr>
                <w:lang w:val="de-DE"/>
              </w:rPr>
              <w:t xml:space="preserve">; </w:t>
            </w:r>
            <w:r w:rsidR="00FB62D6">
              <w:rPr>
                <w:lang w:val="de-DE"/>
              </w:rPr>
              <w:t>u</w:t>
            </w:r>
            <w:r w:rsidR="004154B0" w:rsidRPr="00FB62D6">
              <w:rPr>
                <w:lang w:val="de-DE"/>
              </w:rPr>
              <w:t>nd</w:t>
            </w:r>
            <w:bookmarkEnd w:id="186"/>
          </w:p>
          <w:p w:rsidR="00E74379" w:rsidRPr="00CC1BB2" w:rsidRDefault="00E74379" w:rsidP="00E74379">
            <w:pPr>
              <w:pStyle w:val="Heading8"/>
              <w:rPr>
                <w:rFonts w:asciiTheme="minorBidi" w:hAnsiTheme="minorBidi" w:cstheme="minorBidi"/>
                <w:szCs w:val="18"/>
                <w:lang w:val="de-DE"/>
              </w:rPr>
            </w:pPr>
            <w:bookmarkStart w:id="187" w:name="_Toc368400596"/>
            <w:r w:rsidRPr="00CC1BB2">
              <w:rPr>
                <w:rFonts w:asciiTheme="minorBidi" w:hAnsiTheme="minorBidi" w:cstheme="minorBidi"/>
                <w:szCs w:val="18"/>
                <w:lang w:val="de-DE"/>
              </w:rPr>
              <w:t xml:space="preserve">(e)  </w:t>
            </w:r>
            <w:r w:rsidR="00FB62D6" w:rsidRPr="00CC1BB2">
              <w:rPr>
                <w:rFonts w:asciiTheme="minorBidi" w:hAnsiTheme="minorBidi" w:cstheme="minorBidi"/>
                <w:color w:val="000000"/>
                <w:szCs w:val="18"/>
                <w:lang w:val="de-DE"/>
              </w:rPr>
              <w:t>Ausbildung durch UPOV-Ausbilder an Nicht-UPOV-Veranstaltungen</w:t>
            </w:r>
            <w:bookmarkEnd w:id="187"/>
          </w:p>
          <w:p w:rsidR="001C5068" w:rsidRPr="00CC1BB2" w:rsidRDefault="00CC1BB2" w:rsidP="00947808">
            <w:pPr>
              <w:jc w:val="left"/>
              <w:rPr>
                <w:rFonts w:asciiTheme="minorBidi" w:hAnsiTheme="minorBidi" w:cstheme="minorBidi"/>
                <w:sz w:val="18"/>
                <w:szCs w:val="18"/>
                <w:lang w:val="de-DE"/>
              </w:rPr>
            </w:pPr>
            <w:r w:rsidRPr="00CC1BB2">
              <w:rPr>
                <w:rFonts w:asciiTheme="minorBidi" w:hAnsiTheme="minorBidi" w:cstheme="minorBidi"/>
                <w:sz w:val="18"/>
                <w:szCs w:val="18"/>
                <w:lang w:val="de-DE"/>
              </w:rPr>
              <w:t>Vergleiche</w:t>
            </w:r>
            <w:r w:rsidR="00E74379" w:rsidRPr="00CC1BB2">
              <w:rPr>
                <w:rFonts w:asciiTheme="minorBidi" w:hAnsiTheme="minorBidi" w:cstheme="minorBidi"/>
                <w:sz w:val="18"/>
                <w:szCs w:val="18"/>
                <w:lang w:val="de-DE"/>
              </w:rPr>
              <w:t xml:space="preserve"> </w:t>
            </w:r>
            <w:r w:rsidR="00202242" w:rsidRPr="00CC1BB2">
              <w:rPr>
                <w:rFonts w:asciiTheme="minorBidi" w:hAnsiTheme="minorBidi" w:cstheme="minorBidi"/>
                <w:sz w:val="18"/>
                <w:szCs w:val="18"/>
                <w:lang w:val="de-DE"/>
              </w:rPr>
              <w:t>Unterprogramm</w:t>
            </w:r>
            <w:r w:rsidR="00E74379" w:rsidRPr="00CC1BB2">
              <w:rPr>
                <w:rFonts w:asciiTheme="minorBidi" w:hAnsiTheme="minorBidi" w:cstheme="minorBidi"/>
                <w:sz w:val="18"/>
                <w:szCs w:val="18"/>
                <w:lang w:val="de-DE"/>
              </w:rPr>
              <w:t xml:space="preserve"> UV.3, </w:t>
            </w:r>
            <w:r w:rsidRPr="00CC1BB2">
              <w:rPr>
                <w:rFonts w:asciiTheme="minorBidi" w:hAnsiTheme="minorBidi" w:cstheme="minorBidi"/>
                <w:sz w:val="18"/>
                <w:szCs w:val="18"/>
                <w:lang w:val="de-DE"/>
              </w:rPr>
              <w:t>Planerfüllungsindikator</w:t>
            </w:r>
            <w:r w:rsidR="00E74379" w:rsidRPr="00CC1BB2">
              <w:rPr>
                <w:rFonts w:asciiTheme="minorBidi" w:hAnsiTheme="minorBidi" w:cstheme="minorBidi"/>
                <w:sz w:val="18"/>
                <w:szCs w:val="18"/>
                <w:lang w:val="de-DE"/>
              </w:rPr>
              <w:t xml:space="preserve"> 1 </w:t>
            </w:r>
            <w:r w:rsidR="00947808" w:rsidRPr="0061048D">
              <w:rPr>
                <w:color w:val="000000"/>
                <w:lang w:val="de-DE"/>
              </w:rPr>
              <w:t>„</w:t>
            </w:r>
            <w:r w:rsidRPr="00CC1BB2">
              <w:rPr>
                <w:rFonts w:asciiTheme="minorBidi" w:hAnsiTheme="minorBidi" w:cstheme="minorBidi"/>
                <w:color w:val="000000"/>
                <w:sz w:val="18"/>
                <w:szCs w:val="18"/>
                <w:lang w:val="de-DE"/>
              </w:rPr>
              <w:t>Sensibilisierung für die Bedeutung von Sortenschutz gemäß dem UPOV</w:t>
            </w:r>
            <w:r w:rsidRPr="00CC1BB2">
              <w:rPr>
                <w:rFonts w:asciiTheme="minorBidi" w:hAnsiTheme="minorBidi" w:cstheme="minorBidi"/>
                <w:color w:val="000000"/>
                <w:sz w:val="18"/>
                <w:szCs w:val="18"/>
                <w:lang w:val="de-DE"/>
              </w:rPr>
              <w:noBreakHyphen/>
              <w:t>Übereinkommen</w:t>
            </w:r>
            <w:r w:rsidR="00E74379" w:rsidRPr="00CC1BB2">
              <w:rPr>
                <w:rFonts w:asciiTheme="minorBidi" w:hAnsiTheme="minorBidi" w:cstheme="minorBidi"/>
                <w:sz w:val="18"/>
                <w:szCs w:val="18"/>
                <w:lang w:val="de-DE"/>
              </w:rPr>
              <w:t xml:space="preserve">”, </w:t>
            </w:r>
            <w:r w:rsidRPr="00CC1BB2">
              <w:rPr>
                <w:rFonts w:asciiTheme="minorBidi" w:hAnsiTheme="minorBidi" w:cstheme="minorBidi"/>
                <w:sz w:val="18"/>
                <w:szCs w:val="18"/>
                <w:lang w:val="de-DE"/>
              </w:rPr>
              <w:t>Abschnitt</w:t>
            </w:r>
            <w:r w:rsidR="00E74379" w:rsidRPr="00CC1BB2">
              <w:rPr>
                <w:rFonts w:asciiTheme="minorBidi" w:hAnsiTheme="minorBidi" w:cstheme="minorBidi"/>
                <w:sz w:val="18"/>
                <w:szCs w:val="18"/>
                <w:lang w:val="de-DE"/>
              </w:rPr>
              <w:t xml:space="preserve"> (e)</w:t>
            </w:r>
          </w:p>
          <w:p w:rsidR="00E74379" w:rsidRPr="00CC1BB2" w:rsidRDefault="00E74379" w:rsidP="00E74379">
            <w:pPr>
              <w:jc w:val="left"/>
              <w:rPr>
                <w:sz w:val="18"/>
                <w:szCs w:val="18"/>
                <w:lang w:val="de-DE"/>
              </w:rPr>
            </w:pPr>
          </w:p>
          <w:p w:rsidR="004154B0" w:rsidRPr="00CC1BB2" w:rsidRDefault="004154B0" w:rsidP="00E74379">
            <w:pPr>
              <w:jc w:val="left"/>
              <w:rPr>
                <w:sz w:val="18"/>
                <w:szCs w:val="18"/>
                <w:lang w:val="de-DE"/>
              </w:rPr>
            </w:pPr>
          </w:p>
        </w:tc>
      </w:tr>
      <w:tr w:rsidR="00932744" w:rsidRPr="00DE5DFD" w:rsidTr="002874C7">
        <w:trPr>
          <w:cantSplit/>
        </w:trPr>
        <w:tc>
          <w:tcPr>
            <w:tcW w:w="2093" w:type="dxa"/>
          </w:tcPr>
          <w:p w:rsidR="00932744" w:rsidRPr="00CC1BB2" w:rsidRDefault="00932744" w:rsidP="000F22DB">
            <w:pPr>
              <w:jc w:val="left"/>
              <w:rPr>
                <w:i/>
                <w:sz w:val="18"/>
                <w:szCs w:val="18"/>
                <w:lang w:val="de-DE"/>
              </w:rPr>
            </w:pPr>
          </w:p>
        </w:tc>
        <w:tc>
          <w:tcPr>
            <w:tcW w:w="7796" w:type="dxa"/>
          </w:tcPr>
          <w:p w:rsidR="00932744" w:rsidRPr="00FB62D6" w:rsidRDefault="00932744" w:rsidP="00932744">
            <w:pPr>
              <w:pStyle w:val="Heading8"/>
              <w:rPr>
                <w:szCs w:val="18"/>
                <w:lang w:val="de-DE"/>
              </w:rPr>
            </w:pPr>
            <w:bookmarkStart w:id="188" w:name="_Toc368400597"/>
            <w:r w:rsidRPr="00FB62D6">
              <w:rPr>
                <w:szCs w:val="18"/>
                <w:lang w:val="de-DE"/>
              </w:rPr>
              <w:t xml:space="preserve">(f)  </w:t>
            </w:r>
            <w:r w:rsidR="00FB62D6" w:rsidRPr="00FB62D6">
              <w:rPr>
                <w:color w:val="000000"/>
                <w:lang w:val="de-DE"/>
              </w:rPr>
              <w:t>Durchführung von Projekten mit Partnerorganisationen und Gebern</w:t>
            </w:r>
            <w:bookmarkEnd w:id="188"/>
          </w:p>
          <w:p w:rsidR="002B3236" w:rsidRPr="00CC1BB2" w:rsidRDefault="00CC1BB2" w:rsidP="00A029D2">
            <w:pPr>
              <w:numPr>
                <w:ilvl w:val="0"/>
                <w:numId w:val="19"/>
              </w:numPr>
              <w:spacing w:after="240"/>
              <w:ind w:left="357" w:hanging="357"/>
              <w:jc w:val="left"/>
              <w:rPr>
                <w:sz w:val="18"/>
                <w:szCs w:val="18"/>
                <w:lang w:val="de-DE"/>
              </w:rPr>
            </w:pPr>
            <w:r w:rsidRPr="00CC1BB2">
              <w:rPr>
                <w:sz w:val="18"/>
                <w:szCs w:val="18"/>
                <w:lang w:val="de-DE"/>
              </w:rPr>
              <w:t>Weltsaatgutprojekt</w:t>
            </w:r>
            <w:r w:rsidR="004C1AEC" w:rsidRPr="00CC1BB2">
              <w:rPr>
                <w:sz w:val="18"/>
                <w:szCs w:val="18"/>
                <w:lang w:val="de-DE"/>
              </w:rPr>
              <w:t xml:space="preserve">:  </w:t>
            </w:r>
            <w:r w:rsidRPr="00CC1BB2">
              <w:rPr>
                <w:sz w:val="18"/>
                <w:szCs w:val="18"/>
                <w:lang w:val="de-DE"/>
              </w:rPr>
              <w:t>18 elek</w:t>
            </w:r>
            <w:r w:rsidR="00BD5B10" w:rsidRPr="00CC1BB2">
              <w:rPr>
                <w:sz w:val="18"/>
                <w:szCs w:val="18"/>
                <w:lang w:val="de-DE"/>
              </w:rPr>
              <w:t>troni</w:t>
            </w:r>
            <w:r w:rsidRPr="00CC1BB2">
              <w:rPr>
                <w:sz w:val="18"/>
                <w:szCs w:val="18"/>
                <w:lang w:val="de-DE"/>
              </w:rPr>
              <w:t>sche Online-Sitzungen</w:t>
            </w:r>
            <w:r w:rsidR="003F377D" w:rsidRPr="00CC1BB2">
              <w:rPr>
                <w:sz w:val="18"/>
                <w:szCs w:val="18"/>
                <w:lang w:val="de-DE"/>
              </w:rPr>
              <w:t xml:space="preserve"> und </w:t>
            </w:r>
            <w:r w:rsidR="00BD5B10" w:rsidRPr="00CC1BB2">
              <w:rPr>
                <w:sz w:val="18"/>
                <w:szCs w:val="18"/>
                <w:lang w:val="de-DE"/>
              </w:rPr>
              <w:t>5 </w:t>
            </w:r>
            <w:r w:rsidR="00A029D2">
              <w:rPr>
                <w:sz w:val="18"/>
                <w:szCs w:val="18"/>
                <w:lang w:val="de-DE"/>
              </w:rPr>
              <w:t>Tagungen</w:t>
            </w:r>
            <w:r w:rsidR="004C1AEC" w:rsidRPr="00CC1BB2">
              <w:rPr>
                <w:sz w:val="18"/>
                <w:szCs w:val="18"/>
                <w:lang w:val="de-DE"/>
              </w:rPr>
              <w:t xml:space="preserve"> </w:t>
            </w:r>
            <w:r w:rsidRPr="00CC1BB2">
              <w:rPr>
                <w:sz w:val="18"/>
                <w:szCs w:val="18"/>
                <w:lang w:val="de-DE"/>
              </w:rPr>
              <w:t>des</w:t>
            </w:r>
            <w:r w:rsidR="00BD5B10" w:rsidRPr="00CC1BB2">
              <w:rPr>
                <w:sz w:val="18"/>
                <w:szCs w:val="18"/>
                <w:lang w:val="de-DE"/>
              </w:rPr>
              <w:t xml:space="preserve"> </w:t>
            </w:r>
            <w:r w:rsidRPr="00CC1BB2">
              <w:rPr>
                <w:sz w:val="18"/>
                <w:szCs w:val="18"/>
                <w:lang w:val="de-DE"/>
              </w:rPr>
              <w:t>Lenkungsausschuss</w:t>
            </w:r>
            <w:r w:rsidR="00BC2A87">
              <w:rPr>
                <w:sz w:val="18"/>
                <w:szCs w:val="18"/>
                <w:lang w:val="de-DE"/>
              </w:rPr>
              <w:t>es</w:t>
            </w:r>
            <w:r w:rsidR="00BD5B10" w:rsidRPr="00CC1BB2">
              <w:rPr>
                <w:sz w:val="18"/>
                <w:szCs w:val="18"/>
                <w:lang w:val="de-DE"/>
              </w:rPr>
              <w:t xml:space="preserve">, </w:t>
            </w:r>
            <w:r w:rsidRPr="00CC1BB2">
              <w:rPr>
                <w:sz w:val="18"/>
                <w:szCs w:val="18"/>
                <w:lang w:val="de-DE"/>
              </w:rPr>
              <w:t xml:space="preserve">einschließlich einer </w:t>
            </w:r>
            <w:r w:rsidR="00A029D2">
              <w:rPr>
                <w:sz w:val="18"/>
                <w:szCs w:val="18"/>
                <w:lang w:val="de-DE"/>
              </w:rPr>
              <w:t>Tagung</w:t>
            </w:r>
            <w:r w:rsidRPr="00CC1BB2">
              <w:rPr>
                <w:sz w:val="18"/>
                <w:szCs w:val="18"/>
                <w:lang w:val="de-DE"/>
              </w:rPr>
              <w:t xml:space="preserve"> </w:t>
            </w:r>
            <w:r w:rsidR="00BD5B10" w:rsidRPr="00CC1BB2">
              <w:rPr>
                <w:sz w:val="18"/>
                <w:szCs w:val="18"/>
                <w:lang w:val="de-DE"/>
              </w:rPr>
              <w:t xml:space="preserve">in Arusha, </w:t>
            </w:r>
            <w:r w:rsidR="0092406E" w:rsidRPr="00CC1BB2">
              <w:rPr>
                <w:sz w:val="18"/>
                <w:szCs w:val="18"/>
                <w:lang w:val="de-DE"/>
              </w:rPr>
              <w:t>Vereinigte Republik Tansania</w:t>
            </w:r>
            <w:r w:rsidR="00BC2A87">
              <w:rPr>
                <w:sz w:val="18"/>
                <w:szCs w:val="18"/>
                <w:lang w:val="de-DE"/>
              </w:rPr>
              <w:t>,</w:t>
            </w:r>
            <w:r w:rsidR="00BD5B10" w:rsidRPr="00CC1BB2">
              <w:rPr>
                <w:sz w:val="18"/>
                <w:szCs w:val="18"/>
                <w:lang w:val="de-DE"/>
              </w:rPr>
              <w:t xml:space="preserve"> (</w:t>
            </w:r>
            <w:r w:rsidR="00066729" w:rsidRPr="00CC1BB2">
              <w:rPr>
                <w:sz w:val="18"/>
                <w:szCs w:val="18"/>
                <w:lang w:val="de-DE"/>
              </w:rPr>
              <w:t>Januar</w:t>
            </w:r>
            <w:r w:rsidR="00BD5B10" w:rsidRPr="00CC1BB2">
              <w:rPr>
                <w:sz w:val="18"/>
                <w:szCs w:val="18"/>
                <w:lang w:val="de-DE"/>
              </w:rPr>
              <w:t> 2012)</w:t>
            </w:r>
            <w:r w:rsidR="003F377D" w:rsidRPr="00CC1BB2">
              <w:rPr>
                <w:sz w:val="18"/>
                <w:szCs w:val="18"/>
                <w:lang w:val="de-DE"/>
              </w:rPr>
              <w:t xml:space="preserve"> und </w:t>
            </w:r>
            <w:r w:rsidRPr="00CC1BB2">
              <w:rPr>
                <w:sz w:val="18"/>
                <w:szCs w:val="18"/>
                <w:lang w:val="de-DE"/>
              </w:rPr>
              <w:t xml:space="preserve">einer Sitzung </w:t>
            </w:r>
            <w:r w:rsidR="00BD5B10" w:rsidRPr="00CC1BB2">
              <w:rPr>
                <w:sz w:val="18"/>
                <w:szCs w:val="18"/>
                <w:lang w:val="de-DE"/>
              </w:rPr>
              <w:t>in Accra, Ghana</w:t>
            </w:r>
            <w:r w:rsidR="00BC2A87">
              <w:rPr>
                <w:sz w:val="18"/>
                <w:szCs w:val="18"/>
                <w:lang w:val="de-DE"/>
              </w:rPr>
              <w:t>,</w:t>
            </w:r>
            <w:r w:rsidR="00BD5B10" w:rsidRPr="00CC1BB2">
              <w:rPr>
                <w:sz w:val="18"/>
                <w:szCs w:val="18"/>
                <w:lang w:val="de-DE"/>
              </w:rPr>
              <w:t xml:space="preserve"> (April 2012)</w:t>
            </w:r>
          </w:p>
          <w:p w:rsidR="007521E7" w:rsidRPr="00CC1BB2" w:rsidRDefault="007521E7" w:rsidP="007521E7">
            <w:pPr>
              <w:rPr>
                <w:sz w:val="18"/>
                <w:szCs w:val="18"/>
                <w:lang w:val="de-DE"/>
              </w:rPr>
            </w:pPr>
          </w:p>
        </w:tc>
      </w:tr>
      <w:tr w:rsidR="00932744" w:rsidRPr="00DE5DFD" w:rsidTr="002874C7">
        <w:tc>
          <w:tcPr>
            <w:tcW w:w="2093" w:type="dxa"/>
          </w:tcPr>
          <w:p w:rsidR="00932744" w:rsidRPr="00CC1BB2" w:rsidRDefault="00932744" w:rsidP="000F22DB">
            <w:pPr>
              <w:jc w:val="left"/>
              <w:rPr>
                <w:i/>
                <w:sz w:val="18"/>
                <w:szCs w:val="18"/>
                <w:lang w:val="de-DE"/>
              </w:rPr>
            </w:pPr>
          </w:p>
        </w:tc>
        <w:tc>
          <w:tcPr>
            <w:tcW w:w="7796" w:type="dxa"/>
          </w:tcPr>
          <w:p w:rsidR="00932744" w:rsidRPr="00947808" w:rsidRDefault="00932744" w:rsidP="00932744">
            <w:pPr>
              <w:pStyle w:val="Heading8"/>
              <w:rPr>
                <w:szCs w:val="18"/>
                <w:lang w:val="de-DE"/>
              </w:rPr>
            </w:pPr>
            <w:bookmarkStart w:id="189" w:name="_Toc368400598"/>
            <w:r w:rsidRPr="00FB62D6">
              <w:rPr>
                <w:szCs w:val="18"/>
                <w:lang w:val="de-DE"/>
              </w:rPr>
              <w:t xml:space="preserve">(g)  </w:t>
            </w:r>
            <w:r w:rsidR="00FB62D6" w:rsidRPr="00947808">
              <w:rPr>
                <w:color w:val="000000"/>
                <w:szCs w:val="18"/>
                <w:lang w:val="de-DE"/>
              </w:rPr>
              <w:t>Anwendung der Webseite „Unterstützung“ zur Erwirkung von Projektförderung</w:t>
            </w:r>
            <w:bookmarkEnd w:id="189"/>
          </w:p>
          <w:p w:rsidR="00932744" w:rsidRPr="00947808" w:rsidRDefault="00CC1BB2" w:rsidP="0061048D">
            <w:pPr>
              <w:numPr>
                <w:ilvl w:val="0"/>
                <w:numId w:val="19"/>
              </w:numPr>
              <w:spacing w:after="120"/>
              <w:ind w:left="357" w:hanging="357"/>
              <w:jc w:val="left"/>
              <w:rPr>
                <w:sz w:val="18"/>
                <w:szCs w:val="18"/>
                <w:lang w:val="de-DE"/>
              </w:rPr>
            </w:pPr>
            <w:r w:rsidRPr="00947808">
              <w:rPr>
                <w:sz w:val="18"/>
                <w:szCs w:val="18"/>
                <w:lang w:val="de-DE"/>
              </w:rPr>
              <w:t xml:space="preserve">Die Webseite </w:t>
            </w:r>
            <w:r w:rsidRPr="00947808">
              <w:rPr>
                <w:color w:val="000000"/>
                <w:sz w:val="18"/>
                <w:szCs w:val="18"/>
                <w:lang w:val="de-DE"/>
              </w:rPr>
              <w:t xml:space="preserve">„Unterstützung“ </w:t>
            </w:r>
            <w:r w:rsidR="0061048D" w:rsidRPr="00947808">
              <w:rPr>
                <w:color w:val="000000"/>
                <w:sz w:val="18"/>
                <w:szCs w:val="18"/>
                <w:lang w:val="de-DE"/>
              </w:rPr>
              <w:t xml:space="preserve">wurde in dem eingeschränkten Bereich der </w:t>
            </w:r>
            <w:r w:rsidR="000B19E1" w:rsidRPr="00947808">
              <w:rPr>
                <w:sz w:val="18"/>
                <w:szCs w:val="18"/>
                <w:lang w:val="de-DE"/>
              </w:rPr>
              <w:t>UPOV-Website</w:t>
            </w:r>
            <w:r w:rsidR="0061048D" w:rsidRPr="00947808">
              <w:rPr>
                <w:sz w:val="18"/>
                <w:szCs w:val="18"/>
                <w:lang w:val="de-DE"/>
              </w:rPr>
              <w:t xml:space="preserve"> zur Verfügung gestellt</w:t>
            </w:r>
            <w:r w:rsidR="00932744" w:rsidRPr="00947808">
              <w:rPr>
                <w:sz w:val="18"/>
                <w:szCs w:val="18"/>
                <w:lang w:val="de-DE"/>
              </w:rPr>
              <w:t xml:space="preserve">. </w:t>
            </w:r>
          </w:p>
          <w:p w:rsidR="00932744" w:rsidRPr="0061048D" w:rsidRDefault="00932744" w:rsidP="00932744">
            <w:pPr>
              <w:rPr>
                <w:sz w:val="18"/>
                <w:szCs w:val="18"/>
                <w:lang w:val="de-DE"/>
              </w:rPr>
            </w:pPr>
          </w:p>
        </w:tc>
      </w:tr>
    </w:tbl>
    <w:p w:rsidR="000F22DB" w:rsidRPr="0061048D" w:rsidRDefault="000F22DB" w:rsidP="000F22DB">
      <w:pPr>
        <w:rPr>
          <w:sz w:val="18"/>
          <w:szCs w:val="18"/>
          <w:lang w:val="de-DE"/>
        </w:rPr>
      </w:pPr>
    </w:p>
    <w:bookmarkEnd w:id="175"/>
    <w:p w:rsidR="00C74C0E" w:rsidRPr="0061048D" w:rsidRDefault="00C74C0E" w:rsidP="007C4BE0">
      <w:pPr>
        <w:rPr>
          <w:sz w:val="18"/>
          <w:szCs w:val="18"/>
          <w:lang w:val="de-DE"/>
        </w:rPr>
      </w:pPr>
    </w:p>
    <w:p w:rsidR="00C74C0E" w:rsidRPr="002A5260" w:rsidRDefault="00C74C0E" w:rsidP="008248ED">
      <w:pPr>
        <w:pStyle w:val="Heading3"/>
        <w:rPr>
          <w:lang w:val="de-DE"/>
        </w:rPr>
      </w:pPr>
      <w:r w:rsidRPr="0061048D">
        <w:rPr>
          <w:lang w:val="de-DE"/>
        </w:rPr>
        <w:br w:type="page"/>
      </w:r>
      <w:bookmarkStart w:id="190" w:name="_Toc336339250"/>
      <w:bookmarkStart w:id="191" w:name="_Toc368400599"/>
      <w:r w:rsidR="00202242" w:rsidRPr="002A5260">
        <w:rPr>
          <w:lang w:val="de-DE"/>
        </w:rPr>
        <w:t>Unterprogramm</w:t>
      </w:r>
      <w:r w:rsidRPr="002A5260">
        <w:rPr>
          <w:caps w:val="0"/>
          <w:lang w:val="de-DE"/>
        </w:rPr>
        <w:t xml:space="preserve"> UV.4:  </w:t>
      </w:r>
      <w:r w:rsidR="00180DB8" w:rsidRPr="002A5260">
        <w:rPr>
          <w:lang w:val="de-DE"/>
        </w:rPr>
        <w:t>Externe</w:t>
      </w:r>
      <w:r w:rsidRPr="002A5260">
        <w:rPr>
          <w:lang w:val="de-DE"/>
        </w:rPr>
        <w:t xml:space="preserve"> </w:t>
      </w:r>
      <w:bookmarkEnd w:id="190"/>
      <w:r w:rsidR="008248ED" w:rsidRPr="002A5260">
        <w:rPr>
          <w:lang w:val="de-DE" w:eastAsia="de-DE"/>
        </w:rPr>
        <w:t>Beziehungen</w:t>
      </w:r>
      <w:bookmarkEnd w:id="191"/>
    </w:p>
    <w:p w:rsidR="00C74C0E" w:rsidRPr="002A5260" w:rsidRDefault="00C74C0E" w:rsidP="00C74C0E">
      <w:pPr>
        <w:rPr>
          <w:sz w:val="18"/>
          <w:szCs w:val="18"/>
          <w:lang w:val="de-DE"/>
        </w:rPr>
      </w:pPr>
    </w:p>
    <w:p w:rsidR="00151B69" w:rsidRPr="002D66FA" w:rsidRDefault="007E0074" w:rsidP="000A3E20">
      <w:pPr>
        <w:rPr>
          <w:sz w:val="18"/>
          <w:szCs w:val="18"/>
          <w:lang w:val="de-DE"/>
        </w:rPr>
      </w:pPr>
      <w:r w:rsidRPr="002D66FA">
        <w:rPr>
          <w:rFonts w:cs="Arial"/>
          <w:sz w:val="18"/>
          <w:szCs w:val="18"/>
          <w:lang w:val="de-DE"/>
        </w:rPr>
        <w:t xml:space="preserve">Die neu gestaltete Website ist eine wichtige Quelle zur Vertiefung des Verständnisses der Rolle der UPOV und ihrer Tätigkeiten und welchen Nutzen ein wirksames Sortenschutzsystem für die Gesellschaft darstellt. Das </w:t>
      </w:r>
      <w:r w:rsidRPr="002D66FA">
        <w:rPr>
          <w:sz w:val="18"/>
          <w:szCs w:val="18"/>
          <w:lang w:val="de-DE"/>
        </w:rPr>
        <w:t xml:space="preserve">Symposium über die Vorteile des Sortenschutzes für Landwirte und Pflanzer” schloß eine Reihe von drei Veranstaltungen (Trilogie) ab, die auch das </w:t>
      </w:r>
      <w:r w:rsidR="000A3E20" w:rsidRPr="002D66FA">
        <w:rPr>
          <w:color w:val="000000"/>
          <w:sz w:val="18"/>
          <w:szCs w:val="18"/>
          <w:lang w:val="de-DE"/>
        </w:rPr>
        <w:t>„</w:t>
      </w:r>
      <w:r w:rsidRPr="002D66FA">
        <w:rPr>
          <w:rFonts w:cs="Arial"/>
          <w:sz w:val="18"/>
          <w:szCs w:val="18"/>
          <w:lang w:val="de-DE"/>
        </w:rPr>
        <w:t xml:space="preserve">UPOV-Seminar über Sortenschutz und Technologietransfer: Vorteile öffentlich-privater Partnerschaften” und das </w:t>
      </w:r>
      <w:r w:rsidR="000A3E20" w:rsidRPr="002D66FA">
        <w:rPr>
          <w:color w:val="000000"/>
          <w:sz w:val="18"/>
          <w:szCs w:val="18"/>
          <w:lang w:val="de-DE"/>
        </w:rPr>
        <w:t>„</w:t>
      </w:r>
      <w:r w:rsidRPr="002D66FA">
        <w:rPr>
          <w:rFonts w:cs="Arial"/>
          <w:sz w:val="18"/>
          <w:szCs w:val="18"/>
          <w:lang w:val="de-DE"/>
        </w:rPr>
        <w:t xml:space="preserve">Symposium über Pflanzenzüchtung für die Zukunft” umfaßte. Die </w:t>
      </w:r>
      <w:r w:rsidR="00034BF6" w:rsidRPr="002D66FA">
        <w:rPr>
          <w:rFonts w:cs="Arial"/>
          <w:sz w:val="18"/>
          <w:szCs w:val="18"/>
          <w:lang w:val="de-DE"/>
        </w:rPr>
        <w:t>Beiträge zu</w:t>
      </w:r>
      <w:r w:rsidRPr="002D66FA">
        <w:rPr>
          <w:rFonts w:cs="Arial"/>
          <w:sz w:val="18"/>
          <w:szCs w:val="18"/>
          <w:lang w:val="de-DE"/>
        </w:rPr>
        <w:t xml:space="preserve"> dieser </w:t>
      </w:r>
      <w:r w:rsidR="008636D1" w:rsidRPr="002D66FA">
        <w:rPr>
          <w:sz w:val="18"/>
          <w:szCs w:val="18"/>
          <w:lang w:val="de-DE"/>
        </w:rPr>
        <w:t>Trilog</w:t>
      </w:r>
      <w:r w:rsidRPr="002D66FA">
        <w:rPr>
          <w:sz w:val="18"/>
          <w:szCs w:val="18"/>
          <w:lang w:val="de-DE"/>
        </w:rPr>
        <w:t xml:space="preserve">ie </w:t>
      </w:r>
      <w:r w:rsidR="00B76E7B" w:rsidRPr="002D66FA">
        <w:rPr>
          <w:sz w:val="18"/>
          <w:szCs w:val="18"/>
          <w:lang w:val="de-DE"/>
        </w:rPr>
        <w:t>werden</w:t>
      </w:r>
      <w:r w:rsidRPr="002D66FA">
        <w:rPr>
          <w:sz w:val="18"/>
          <w:szCs w:val="18"/>
          <w:lang w:val="de-DE"/>
        </w:rPr>
        <w:t xml:space="preserve"> die Grundlage einer</w:t>
      </w:r>
      <w:r w:rsidR="00151B69" w:rsidRPr="002D66FA">
        <w:rPr>
          <w:sz w:val="18"/>
          <w:szCs w:val="18"/>
          <w:lang w:val="de-DE"/>
        </w:rPr>
        <w:t xml:space="preserve"> </w:t>
      </w:r>
      <w:r w:rsidRPr="002D66FA">
        <w:rPr>
          <w:sz w:val="18"/>
          <w:szCs w:val="18"/>
          <w:lang w:val="de-DE"/>
        </w:rPr>
        <w:t>Veröffentlichung</w:t>
      </w:r>
      <w:r w:rsidR="00151B69" w:rsidRPr="002D66FA">
        <w:rPr>
          <w:sz w:val="18"/>
          <w:szCs w:val="18"/>
          <w:lang w:val="de-DE"/>
        </w:rPr>
        <w:t xml:space="preserve"> </w:t>
      </w:r>
      <w:r w:rsidRPr="002D66FA">
        <w:rPr>
          <w:sz w:val="18"/>
          <w:szCs w:val="18"/>
          <w:lang w:val="de-DE"/>
        </w:rPr>
        <w:t xml:space="preserve">bilden, </w:t>
      </w:r>
      <w:r w:rsidR="00B76E7B" w:rsidRPr="002D66FA">
        <w:rPr>
          <w:sz w:val="18"/>
          <w:szCs w:val="18"/>
          <w:lang w:val="de-DE"/>
        </w:rPr>
        <w:t>die aufzeigen soll</w:t>
      </w:r>
      <w:r w:rsidR="0082068C" w:rsidRPr="002D66FA">
        <w:rPr>
          <w:sz w:val="18"/>
          <w:szCs w:val="18"/>
          <w:lang w:val="de-DE"/>
        </w:rPr>
        <w:t xml:space="preserve">, welchen Nutzen das </w:t>
      </w:r>
      <w:r w:rsidR="008636D1" w:rsidRPr="002D66FA">
        <w:rPr>
          <w:sz w:val="18"/>
          <w:szCs w:val="18"/>
          <w:lang w:val="de-DE"/>
        </w:rPr>
        <w:t>UPOV</w:t>
      </w:r>
      <w:r w:rsidR="0082068C" w:rsidRPr="002D66FA">
        <w:rPr>
          <w:sz w:val="18"/>
          <w:szCs w:val="18"/>
          <w:lang w:val="de-DE"/>
        </w:rPr>
        <w:t>-Sortenschutz</w:t>
      </w:r>
      <w:r w:rsidR="008636D1" w:rsidRPr="002D66FA">
        <w:rPr>
          <w:sz w:val="18"/>
          <w:szCs w:val="18"/>
          <w:lang w:val="de-DE"/>
        </w:rPr>
        <w:t xml:space="preserve">system </w:t>
      </w:r>
      <w:r w:rsidR="0082068C" w:rsidRPr="002D66FA">
        <w:rPr>
          <w:sz w:val="18"/>
          <w:szCs w:val="18"/>
          <w:lang w:val="de-DE"/>
        </w:rPr>
        <w:t>für die Gesellschaft darstellt.</w:t>
      </w:r>
    </w:p>
    <w:p w:rsidR="0049564D" w:rsidRPr="002D66FA" w:rsidRDefault="0049564D" w:rsidP="0082068C">
      <w:pPr>
        <w:rPr>
          <w:sz w:val="18"/>
          <w:szCs w:val="18"/>
          <w:lang w:val="de-DE"/>
        </w:rPr>
      </w:pPr>
    </w:p>
    <w:p w:rsidR="00C74C0E" w:rsidRPr="002D66FA" w:rsidRDefault="0049564D" w:rsidP="000A3E20">
      <w:pPr>
        <w:rPr>
          <w:sz w:val="18"/>
          <w:szCs w:val="18"/>
          <w:lang w:val="de-DE"/>
        </w:rPr>
      </w:pPr>
      <w:r w:rsidRPr="002D66FA">
        <w:rPr>
          <w:rFonts w:cs="Arial"/>
          <w:sz w:val="18"/>
          <w:szCs w:val="18"/>
          <w:lang w:val="de-DE"/>
        </w:rPr>
        <w:t>Zwischenstaatliche Organisationen ersuchten die UPOV, Beiträge zu ihrer Arbeit zu leisten</w:t>
      </w:r>
      <w:r w:rsidR="000A3E20" w:rsidRPr="002D66FA">
        <w:rPr>
          <w:rFonts w:cs="Arial"/>
          <w:sz w:val="18"/>
          <w:szCs w:val="18"/>
          <w:lang w:val="de-DE"/>
        </w:rPr>
        <w:t>;</w:t>
      </w:r>
      <w:r w:rsidR="00B76E7B" w:rsidRPr="002D66FA">
        <w:rPr>
          <w:rFonts w:cs="Arial"/>
          <w:sz w:val="18"/>
          <w:szCs w:val="18"/>
          <w:lang w:val="de-DE"/>
        </w:rPr>
        <w:t xml:space="preserve"> darunter</w:t>
      </w:r>
      <w:r w:rsidRPr="002D66FA">
        <w:rPr>
          <w:rFonts w:cs="Arial"/>
          <w:sz w:val="18"/>
          <w:szCs w:val="18"/>
          <w:lang w:val="de-DE"/>
        </w:rPr>
        <w:t>: die Afrikanische Organisation für geistiges Eigentum (OAPI), die Afrikanische Regionalorganisation zum Schutz Geistigen Eigentums (ARIPO),</w:t>
      </w:r>
      <w:r w:rsidR="00947808" w:rsidRPr="002D66FA">
        <w:rPr>
          <w:rFonts w:cs="Arial"/>
          <w:sz w:val="18"/>
          <w:szCs w:val="18"/>
          <w:lang w:val="de-DE"/>
        </w:rPr>
        <w:t xml:space="preserve"> die Organisation für wirtschaftliche Zusammenarbeit (ECO),</w:t>
      </w:r>
      <w:r w:rsidRPr="002D66FA">
        <w:rPr>
          <w:rFonts w:cs="Arial"/>
          <w:sz w:val="18"/>
          <w:szCs w:val="18"/>
          <w:lang w:val="de-DE"/>
        </w:rPr>
        <w:t xml:space="preserve"> die Ernährungs- und Landwirtschaftsorganisation der Vereinten Nationen (FAO), </w:t>
      </w:r>
      <w:r w:rsidR="00DD6054" w:rsidRPr="002D66FA">
        <w:rPr>
          <w:i/>
          <w:iCs/>
          <w:sz w:val="18"/>
          <w:szCs w:val="18"/>
          <w:lang w:val="de-DE"/>
        </w:rPr>
        <w:t>International Development Law Organization</w:t>
      </w:r>
      <w:r w:rsidR="00DD6054" w:rsidRPr="002D66FA">
        <w:rPr>
          <w:sz w:val="18"/>
          <w:szCs w:val="18"/>
          <w:lang w:val="de-DE"/>
        </w:rPr>
        <w:t xml:space="preserve"> (IDLO), </w:t>
      </w:r>
      <w:r w:rsidRPr="002D66FA">
        <w:rPr>
          <w:rFonts w:cs="Arial"/>
          <w:sz w:val="18"/>
          <w:szCs w:val="18"/>
          <w:lang w:val="de-DE"/>
        </w:rPr>
        <w:t>die Internationale Vereinigung für Saatgutprüfung (ISTA), die Organisation für Wirtschaftliche Zusammenarbeit und Entwicklung (OECD),</w:t>
      </w:r>
      <w:r w:rsidR="00947808" w:rsidRPr="002D66FA">
        <w:rPr>
          <w:rFonts w:cs="Arial"/>
          <w:sz w:val="18"/>
          <w:szCs w:val="18"/>
          <w:lang w:val="de-DE"/>
        </w:rPr>
        <w:t xml:space="preserve"> die Weltorganisation für geistiges Eigentum (WIPO) und</w:t>
      </w:r>
      <w:r w:rsidRPr="002D66FA">
        <w:rPr>
          <w:rFonts w:cs="Arial"/>
          <w:sz w:val="18"/>
          <w:szCs w:val="18"/>
          <w:lang w:val="de-DE"/>
        </w:rPr>
        <w:t xml:space="preserve"> di</w:t>
      </w:r>
      <w:r w:rsidR="00947808" w:rsidRPr="002D66FA">
        <w:rPr>
          <w:rFonts w:cs="Arial"/>
          <w:sz w:val="18"/>
          <w:szCs w:val="18"/>
          <w:lang w:val="de-DE"/>
        </w:rPr>
        <w:t>e Welthandelsorganisation (WTO)</w:t>
      </w:r>
      <w:r w:rsidR="00DD6054" w:rsidRPr="002D66FA">
        <w:rPr>
          <w:rFonts w:cs="Arial"/>
          <w:sz w:val="18"/>
          <w:szCs w:val="18"/>
          <w:lang w:val="de-DE"/>
        </w:rPr>
        <w:t>. Die UPOV stand auch weiterhin mit den folgenden i</w:t>
      </w:r>
      <w:r w:rsidRPr="002D66FA">
        <w:rPr>
          <w:rFonts w:cs="Arial"/>
          <w:sz w:val="18"/>
          <w:szCs w:val="18"/>
          <w:lang w:val="de-DE"/>
        </w:rPr>
        <w:t>nternationale</w:t>
      </w:r>
      <w:r w:rsidR="00DD6054" w:rsidRPr="002D66FA">
        <w:rPr>
          <w:rFonts w:cs="Arial"/>
          <w:sz w:val="18"/>
          <w:szCs w:val="18"/>
          <w:lang w:val="de-DE"/>
        </w:rPr>
        <w:t>n</w:t>
      </w:r>
      <w:r w:rsidRPr="002D66FA">
        <w:rPr>
          <w:rFonts w:cs="Arial"/>
          <w:sz w:val="18"/>
          <w:szCs w:val="18"/>
          <w:lang w:val="de-DE"/>
        </w:rPr>
        <w:t xml:space="preserve"> Fachorganisationen in Kontakt</w:t>
      </w:r>
      <w:r w:rsidR="00DD6054" w:rsidRPr="002D66FA">
        <w:rPr>
          <w:rFonts w:cs="Arial"/>
          <w:sz w:val="18"/>
          <w:szCs w:val="18"/>
          <w:lang w:val="de-DE"/>
        </w:rPr>
        <w:t xml:space="preserve">: </w:t>
      </w:r>
      <w:r w:rsidR="00DD6054" w:rsidRPr="002D66FA">
        <w:rPr>
          <w:sz w:val="18"/>
          <w:szCs w:val="18"/>
          <w:lang w:val="de-DE"/>
        </w:rPr>
        <w:t>dem</w:t>
      </w:r>
      <w:r w:rsidR="00666CCF" w:rsidRPr="002D66FA">
        <w:rPr>
          <w:sz w:val="18"/>
          <w:szCs w:val="18"/>
          <w:lang w:val="de-DE"/>
        </w:rPr>
        <w:t xml:space="preserve"> </w:t>
      </w:r>
      <w:r w:rsidR="00C34F1F" w:rsidRPr="002D66FA">
        <w:rPr>
          <w:sz w:val="18"/>
          <w:szCs w:val="18"/>
          <w:lang w:val="de-DE"/>
        </w:rPr>
        <w:t>Afrikanischen Saatguthandelsverband</w:t>
      </w:r>
      <w:r w:rsidR="00666CCF" w:rsidRPr="002D66FA">
        <w:rPr>
          <w:sz w:val="18"/>
          <w:szCs w:val="18"/>
          <w:lang w:val="de-DE"/>
        </w:rPr>
        <w:t xml:space="preserve"> (AFSTA), </w:t>
      </w:r>
      <w:r w:rsidR="00DD6054" w:rsidRPr="002D66FA">
        <w:rPr>
          <w:sz w:val="18"/>
          <w:szCs w:val="18"/>
          <w:lang w:val="de-DE"/>
        </w:rPr>
        <w:t>der</w:t>
      </w:r>
      <w:r w:rsidR="00666CCF" w:rsidRPr="002D66FA">
        <w:rPr>
          <w:sz w:val="18"/>
          <w:szCs w:val="18"/>
          <w:lang w:val="de-DE"/>
        </w:rPr>
        <w:t xml:space="preserve"> </w:t>
      </w:r>
      <w:r w:rsidR="00DD6054" w:rsidRPr="002D66FA">
        <w:rPr>
          <w:snapToGrid w:val="0"/>
          <w:sz w:val="18"/>
          <w:szCs w:val="18"/>
          <w:lang w:val="de-DE" w:eastAsia="ja-JP"/>
        </w:rPr>
        <w:t>Saatgutvereinigung für Asien und den Pazifik</w:t>
      </w:r>
      <w:r w:rsidR="00666CCF" w:rsidRPr="002D66FA">
        <w:rPr>
          <w:rFonts w:hint="eastAsia"/>
          <w:snapToGrid w:val="0"/>
          <w:sz w:val="18"/>
          <w:szCs w:val="18"/>
          <w:lang w:val="de-DE" w:eastAsia="ja-JP"/>
        </w:rPr>
        <w:t xml:space="preserve"> (APSA)</w:t>
      </w:r>
      <w:r w:rsidR="00666CCF" w:rsidRPr="002D66FA">
        <w:rPr>
          <w:sz w:val="18"/>
          <w:szCs w:val="18"/>
          <w:lang w:val="de-DE"/>
        </w:rPr>
        <w:t xml:space="preserve">, </w:t>
      </w:r>
      <w:r w:rsidR="0024624A" w:rsidRPr="002D66FA">
        <w:rPr>
          <w:sz w:val="18"/>
          <w:szCs w:val="18"/>
          <w:lang w:val="de-DE"/>
        </w:rPr>
        <w:t>d</w:t>
      </w:r>
      <w:r w:rsidR="00DD6054" w:rsidRPr="002D66FA">
        <w:rPr>
          <w:sz w:val="18"/>
          <w:szCs w:val="18"/>
          <w:lang w:val="de-DE"/>
        </w:rPr>
        <w:t>em Europäischen Saatgutverband</w:t>
      </w:r>
      <w:r w:rsidR="00666CCF" w:rsidRPr="002D66FA">
        <w:rPr>
          <w:sz w:val="18"/>
          <w:szCs w:val="18"/>
          <w:lang w:val="de-DE"/>
        </w:rPr>
        <w:t xml:space="preserve"> (ESA), </w:t>
      </w:r>
      <w:r w:rsidR="00DD6054" w:rsidRPr="002D66FA">
        <w:rPr>
          <w:sz w:val="18"/>
          <w:szCs w:val="18"/>
          <w:lang w:val="de-DE"/>
        </w:rPr>
        <w:t>der</w:t>
      </w:r>
      <w:r w:rsidR="00666CCF" w:rsidRPr="002D66FA">
        <w:rPr>
          <w:rFonts w:cs="Arial"/>
          <w:sz w:val="18"/>
          <w:szCs w:val="18"/>
          <w:lang w:val="de-DE"/>
        </w:rPr>
        <w:t xml:space="preserve"> </w:t>
      </w:r>
      <w:r w:rsidR="00DD6054" w:rsidRPr="002D66FA">
        <w:rPr>
          <w:rFonts w:cs="Arial"/>
          <w:sz w:val="18"/>
          <w:szCs w:val="18"/>
          <w:lang w:val="de-DE"/>
        </w:rPr>
        <w:t xml:space="preserve">Internationalen Gemeinschaft der Züchter vegetativ vermehrbarer Zier- und Obstpflanzen </w:t>
      </w:r>
      <w:r w:rsidR="00666CCF" w:rsidRPr="002D66FA">
        <w:rPr>
          <w:rFonts w:cs="Arial"/>
          <w:sz w:val="18"/>
          <w:szCs w:val="18"/>
          <w:lang w:val="de-DE"/>
        </w:rPr>
        <w:t xml:space="preserve"> (CIOPORA), </w:t>
      </w:r>
      <w:r w:rsidR="00DD6054" w:rsidRPr="002D66FA">
        <w:rPr>
          <w:rFonts w:cs="Arial"/>
          <w:sz w:val="18"/>
          <w:szCs w:val="18"/>
          <w:lang w:val="de-DE"/>
        </w:rPr>
        <w:t>de</w:t>
      </w:r>
      <w:r w:rsidR="00D26470" w:rsidRPr="002D66FA">
        <w:rPr>
          <w:rFonts w:cs="Arial"/>
          <w:sz w:val="18"/>
          <w:szCs w:val="18"/>
          <w:lang w:val="de-DE"/>
        </w:rPr>
        <w:t>r</w:t>
      </w:r>
      <w:r w:rsidR="00666CCF" w:rsidRPr="002D66FA">
        <w:rPr>
          <w:sz w:val="18"/>
          <w:szCs w:val="18"/>
          <w:lang w:val="de-DE"/>
        </w:rPr>
        <w:t xml:space="preserve"> </w:t>
      </w:r>
      <w:r w:rsidR="00D26470" w:rsidRPr="002D66FA">
        <w:rPr>
          <w:i/>
          <w:sz w:val="18"/>
          <w:szCs w:val="18"/>
          <w:lang w:val="de-DE"/>
        </w:rPr>
        <w:t>International Seed Federation</w:t>
      </w:r>
      <w:r w:rsidR="00666CCF" w:rsidRPr="002D66FA">
        <w:rPr>
          <w:sz w:val="18"/>
          <w:szCs w:val="18"/>
          <w:lang w:val="de-DE"/>
        </w:rPr>
        <w:t xml:space="preserve"> (ISF)</w:t>
      </w:r>
      <w:r w:rsidR="003F377D" w:rsidRPr="002D66FA">
        <w:rPr>
          <w:sz w:val="18"/>
          <w:szCs w:val="18"/>
          <w:lang w:val="de-DE"/>
        </w:rPr>
        <w:t xml:space="preserve"> und </w:t>
      </w:r>
      <w:r w:rsidR="0024624A" w:rsidRPr="002D66FA">
        <w:rPr>
          <w:sz w:val="18"/>
          <w:szCs w:val="18"/>
          <w:lang w:val="de-DE"/>
        </w:rPr>
        <w:t>de</w:t>
      </w:r>
      <w:r w:rsidR="000A3E20" w:rsidRPr="002D66FA">
        <w:rPr>
          <w:sz w:val="18"/>
          <w:szCs w:val="18"/>
          <w:lang w:val="de-DE"/>
        </w:rPr>
        <w:t>m</w:t>
      </w:r>
      <w:r w:rsidR="0024624A" w:rsidRPr="002D66FA">
        <w:rPr>
          <w:sz w:val="18"/>
          <w:szCs w:val="18"/>
          <w:lang w:val="de-DE"/>
        </w:rPr>
        <w:t xml:space="preserve"> </w:t>
      </w:r>
      <w:r w:rsidR="003202EB" w:rsidRPr="002D66FA">
        <w:rPr>
          <w:sz w:val="18"/>
          <w:szCs w:val="18"/>
          <w:lang w:val="de-DE"/>
        </w:rPr>
        <w:t>Lateinamerikanischen Verband der Vereinigungen der Saatguterzeuger</w:t>
      </w:r>
      <w:r w:rsidR="00666CCF" w:rsidRPr="002D66FA">
        <w:rPr>
          <w:sz w:val="18"/>
          <w:szCs w:val="18"/>
          <w:lang w:val="de-DE"/>
        </w:rPr>
        <w:t xml:space="preserve"> (FELAS).</w:t>
      </w:r>
    </w:p>
    <w:p w:rsidR="00C74C0E" w:rsidRPr="00DD6054" w:rsidRDefault="00C74C0E" w:rsidP="00C74C0E">
      <w:pPr>
        <w:rPr>
          <w:lang w:val="de-DE"/>
        </w:rPr>
      </w:pPr>
    </w:p>
    <w:p w:rsidR="00B033A1" w:rsidRPr="00DD6054" w:rsidRDefault="00B033A1" w:rsidP="00C74C0E">
      <w:pPr>
        <w:rPr>
          <w:lang w:val="de-DE"/>
        </w:rPr>
      </w:pPr>
    </w:p>
    <w:tbl>
      <w:tblPr>
        <w:tblW w:w="9889" w:type="dxa"/>
        <w:tblLayout w:type="fixed"/>
        <w:tblLook w:val="0000" w:firstRow="0" w:lastRow="0" w:firstColumn="0" w:lastColumn="0" w:noHBand="0" w:noVBand="0"/>
      </w:tblPr>
      <w:tblGrid>
        <w:gridCol w:w="1951"/>
        <w:gridCol w:w="7938"/>
      </w:tblGrid>
      <w:tr w:rsidR="00C74C0E" w:rsidRPr="00DE5DFD" w:rsidTr="002874C7">
        <w:tc>
          <w:tcPr>
            <w:tcW w:w="1951" w:type="dxa"/>
          </w:tcPr>
          <w:p w:rsidR="00C74C0E" w:rsidRPr="006054BD" w:rsidRDefault="00A71FDD" w:rsidP="000476CE">
            <w:pPr>
              <w:pStyle w:val="Heading5"/>
            </w:pPr>
            <w:bookmarkStart w:id="192" w:name="_Toc336339251"/>
            <w:bookmarkStart w:id="193" w:name="_Toc368400600"/>
            <w:r>
              <w:t>Ziele</w:t>
            </w:r>
            <w:r w:rsidR="00C74C0E" w:rsidRPr="006054BD">
              <w:t>:</w:t>
            </w:r>
            <w:bookmarkEnd w:id="192"/>
            <w:bookmarkEnd w:id="193"/>
          </w:p>
        </w:tc>
        <w:tc>
          <w:tcPr>
            <w:tcW w:w="7938" w:type="dxa"/>
          </w:tcPr>
          <w:p w:rsidR="00C74C0E" w:rsidRPr="0024624A" w:rsidRDefault="0024624A" w:rsidP="00B921B9">
            <w:pPr>
              <w:keepNext/>
              <w:keepLines/>
              <w:widowControl w:val="0"/>
              <w:numPr>
                <w:ilvl w:val="0"/>
                <w:numId w:val="18"/>
              </w:numPr>
              <w:rPr>
                <w:sz w:val="18"/>
                <w:szCs w:val="18"/>
                <w:lang w:val="de-DE"/>
              </w:rPr>
            </w:pPr>
            <w:r w:rsidRPr="0024624A">
              <w:rPr>
                <w:sz w:val="18"/>
                <w:szCs w:val="18"/>
                <w:lang w:val="de-DE"/>
              </w:rPr>
              <w:t>Vertiefung des Verständnisses des UPOV-Sortenschutzsystems von Öffentlichkeit und Nichtregierungsorganisationen</w:t>
            </w:r>
            <w:r w:rsidR="00C74C0E" w:rsidRPr="0024624A">
              <w:rPr>
                <w:sz w:val="18"/>
                <w:szCs w:val="18"/>
                <w:lang w:val="de-DE"/>
              </w:rPr>
              <w:t>.</w:t>
            </w:r>
          </w:p>
          <w:p w:rsidR="00C74C0E" w:rsidRPr="0024624A" w:rsidRDefault="0024624A" w:rsidP="00B921B9">
            <w:pPr>
              <w:keepNext/>
              <w:keepLines/>
              <w:widowControl w:val="0"/>
              <w:numPr>
                <w:ilvl w:val="0"/>
                <w:numId w:val="18"/>
              </w:numPr>
              <w:rPr>
                <w:sz w:val="18"/>
                <w:szCs w:val="18"/>
                <w:lang w:val="de-DE"/>
              </w:rPr>
            </w:pPr>
            <w:r w:rsidRPr="0024624A">
              <w:rPr>
                <w:sz w:val="18"/>
                <w:szCs w:val="18"/>
                <w:lang w:val="de-DE"/>
              </w:rPr>
              <w:t>Erteilung von Auskünften über das UPOV-Übereinkommen an andere zwischenstaatliche Organisationen mit dem Ziel der gegenseitigen Unterstützung mit anderen internationalen Verträgen</w:t>
            </w:r>
            <w:r w:rsidR="00C74C0E" w:rsidRPr="0024624A">
              <w:rPr>
                <w:sz w:val="18"/>
                <w:szCs w:val="18"/>
                <w:lang w:val="de-DE"/>
              </w:rPr>
              <w:t>.</w:t>
            </w:r>
          </w:p>
        </w:tc>
      </w:tr>
    </w:tbl>
    <w:p w:rsidR="00C74C0E" w:rsidRPr="0024624A" w:rsidRDefault="00C74C0E" w:rsidP="00DD4A16">
      <w:pPr>
        <w:rPr>
          <w:sz w:val="18"/>
          <w:szCs w:val="18"/>
          <w:lang w:val="de-DE"/>
        </w:rPr>
      </w:pPr>
    </w:p>
    <w:p w:rsidR="00C74C0E" w:rsidRPr="0024624A" w:rsidRDefault="00C74C0E" w:rsidP="00DD4A16">
      <w:pPr>
        <w:rPr>
          <w:sz w:val="18"/>
          <w:szCs w:val="18"/>
          <w:lang w:val="de-DE"/>
        </w:rPr>
      </w:pPr>
    </w:p>
    <w:tbl>
      <w:tblPr>
        <w:tblW w:w="9889" w:type="dxa"/>
        <w:tblLayout w:type="fixed"/>
        <w:tblLook w:val="0000" w:firstRow="0" w:lastRow="0" w:firstColumn="0" w:lastColumn="0" w:noHBand="0" w:noVBand="0"/>
      </w:tblPr>
      <w:tblGrid>
        <w:gridCol w:w="1951"/>
        <w:gridCol w:w="7938"/>
      </w:tblGrid>
      <w:tr w:rsidR="00C74C0E" w:rsidRPr="006054BD" w:rsidTr="002874C7">
        <w:trPr>
          <w:tblHeader/>
        </w:trPr>
        <w:tc>
          <w:tcPr>
            <w:tcW w:w="1951" w:type="dxa"/>
          </w:tcPr>
          <w:p w:rsidR="00C74C0E" w:rsidRPr="006054BD" w:rsidRDefault="00A71FDD" w:rsidP="000476CE">
            <w:pPr>
              <w:pStyle w:val="Heading5"/>
            </w:pPr>
            <w:bookmarkStart w:id="194" w:name="_Toc368400601"/>
            <w:r>
              <w:t>Erwartete Ergebnisse</w:t>
            </w:r>
            <w:bookmarkEnd w:id="194"/>
          </w:p>
        </w:tc>
        <w:tc>
          <w:tcPr>
            <w:tcW w:w="7938" w:type="dxa"/>
          </w:tcPr>
          <w:p w:rsidR="00C74C0E" w:rsidRPr="006054BD" w:rsidRDefault="00A71FDD" w:rsidP="00C74C0E">
            <w:pPr>
              <w:pStyle w:val="Heading7"/>
            </w:pPr>
            <w:bookmarkStart w:id="195" w:name="_Toc336339253"/>
            <w:bookmarkStart w:id="196" w:name="_Toc368400602"/>
            <w:r>
              <w:t>Erzielte Ergebnisse</w:t>
            </w:r>
            <w:r w:rsidR="00C74C0E" w:rsidRPr="006054BD">
              <w:t xml:space="preserve">:  </w:t>
            </w:r>
            <w:r>
              <w:t>Ausgewählte Planerfüllungsindikatoren</w:t>
            </w:r>
            <w:bookmarkEnd w:id="195"/>
            <w:bookmarkEnd w:id="196"/>
          </w:p>
        </w:tc>
      </w:tr>
      <w:tr w:rsidR="00C74C0E" w:rsidRPr="006054BD" w:rsidTr="002874C7">
        <w:tc>
          <w:tcPr>
            <w:tcW w:w="1951" w:type="dxa"/>
          </w:tcPr>
          <w:p w:rsidR="00C74C0E" w:rsidRPr="0024624A" w:rsidRDefault="00C74C0E" w:rsidP="00114294">
            <w:pPr>
              <w:pStyle w:val="Heading6"/>
              <w:rPr>
                <w:lang w:val="de-DE"/>
              </w:rPr>
            </w:pPr>
            <w:bookmarkStart w:id="197" w:name="_Toc336339254"/>
            <w:bookmarkStart w:id="198" w:name="_Toc368400603"/>
            <w:r w:rsidRPr="002A5260">
              <w:rPr>
                <w:lang w:val="de-DE"/>
              </w:rPr>
              <w:t>1.  </w:t>
            </w:r>
            <w:r w:rsidR="0024624A" w:rsidRPr="0024624A">
              <w:rPr>
                <w:color w:val="000000"/>
                <w:lang w:val="de-DE"/>
              </w:rPr>
              <w:t>Vertieftes öffentliches Verständnis der Rolle und Tätigkeit der UPOV</w:t>
            </w:r>
            <w:bookmarkEnd w:id="197"/>
            <w:bookmarkEnd w:id="198"/>
          </w:p>
        </w:tc>
        <w:tc>
          <w:tcPr>
            <w:tcW w:w="7938" w:type="dxa"/>
          </w:tcPr>
          <w:p w:rsidR="00C74C0E" w:rsidRPr="00D54457" w:rsidRDefault="00E163EA" w:rsidP="00C74C0E">
            <w:pPr>
              <w:pStyle w:val="Heading8"/>
              <w:rPr>
                <w:szCs w:val="18"/>
                <w:lang w:val="de-DE"/>
              </w:rPr>
            </w:pPr>
            <w:bookmarkStart w:id="199" w:name="_Toc336339255"/>
            <w:bookmarkStart w:id="200" w:name="_Toc336613857"/>
            <w:bookmarkStart w:id="201" w:name="_Toc368400604"/>
            <w:r w:rsidRPr="00D54457">
              <w:rPr>
                <w:szCs w:val="18"/>
                <w:lang w:val="de-DE"/>
              </w:rPr>
              <w:t>(a)</w:t>
            </w:r>
            <w:r w:rsidR="00C74C0E" w:rsidRPr="00D54457">
              <w:rPr>
                <w:szCs w:val="18"/>
                <w:lang w:val="de-DE"/>
              </w:rPr>
              <w:t xml:space="preserve">  </w:t>
            </w:r>
            <w:bookmarkEnd w:id="199"/>
            <w:bookmarkEnd w:id="200"/>
            <w:r w:rsidR="0024624A" w:rsidRPr="00D54457">
              <w:rPr>
                <w:color w:val="000000"/>
                <w:szCs w:val="18"/>
                <w:lang w:val="de-DE"/>
              </w:rPr>
              <w:t>Verfügbarkeit öffentlichkeitsorientierter Informationen und Materialen auf der UPOV</w:t>
            </w:r>
            <w:r w:rsidR="0024624A" w:rsidRPr="00D54457">
              <w:rPr>
                <w:color w:val="000000"/>
                <w:szCs w:val="18"/>
                <w:lang w:val="de-DE"/>
              </w:rPr>
              <w:noBreakHyphen/>
              <w:t>Website</w:t>
            </w:r>
            <w:bookmarkEnd w:id="201"/>
          </w:p>
          <w:p w:rsidR="00C74C0E" w:rsidRPr="00D54457" w:rsidRDefault="008248ED" w:rsidP="008248ED">
            <w:pPr>
              <w:ind w:right="459"/>
              <w:jc w:val="left"/>
              <w:rPr>
                <w:rFonts w:cs="Arial"/>
                <w:sz w:val="18"/>
                <w:szCs w:val="18"/>
                <w:lang w:val="de-DE"/>
              </w:rPr>
            </w:pPr>
            <w:r w:rsidRPr="00D54457">
              <w:rPr>
                <w:rFonts w:cs="Arial"/>
                <w:sz w:val="18"/>
                <w:szCs w:val="18"/>
                <w:lang w:val="de-DE"/>
              </w:rPr>
              <w:t xml:space="preserve">Der Website im Jahr 2012 hinzugefügte </w:t>
            </w:r>
            <w:r w:rsidR="00947052" w:rsidRPr="00D54457">
              <w:rPr>
                <w:rFonts w:cs="Arial"/>
                <w:sz w:val="18"/>
                <w:szCs w:val="18"/>
                <w:lang w:val="de-DE"/>
              </w:rPr>
              <w:t>Information</w:t>
            </w:r>
            <w:r w:rsidR="003F377D" w:rsidRPr="00D54457">
              <w:rPr>
                <w:rFonts w:cs="Arial"/>
                <w:sz w:val="18"/>
                <w:szCs w:val="18"/>
                <w:lang w:val="de-DE"/>
              </w:rPr>
              <w:t xml:space="preserve"> und </w:t>
            </w:r>
            <w:r w:rsidRPr="00D54457">
              <w:rPr>
                <w:rFonts w:cs="Arial"/>
                <w:sz w:val="18"/>
                <w:szCs w:val="18"/>
                <w:lang w:val="de-DE"/>
              </w:rPr>
              <w:t>Materialien</w:t>
            </w:r>
            <w:r w:rsidR="00947052" w:rsidRPr="00D54457">
              <w:rPr>
                <w:rFonts w:cs="Arial"/>
                <w:sz w:val="18"/>
                <w:szCs w:val="18"/>
                <w:lang w:val="de-DE"/>
              </w:rPr>
              <w:t>:</w:t>
            </w:r>
          </w:p>
          <w:p w:rsidR="00EE4F56" w:rsidRPr="00D54457" w:rsidRDefault="00EE4F56" w:rsidP="00C74C0E">
            <w:pPr>
              <w:ind w:right="459"/>
              <w:jc w:val="left"/>
              <w:rPr>
                <w:rFonts w:cs="Arial"/>
                <w:sz w:val="18"/>
                <w:szCs w:val="18"/>
                <w:lang w:val="de-DE"/>
              </w:rPr>
            </w:pPr>
          </w:p>
          <w:p w:rsidR="00EE4F56" w:rsidRPr="00D54457" w:rsidRDefault="00EE4F56" w:rsidP="008248ED">
            <w:pPr>
              <w:ind w:left="601" w:right="175" w:hanging="318"/>
              <w:jc w:val="left"/>
              <w:rPr>
                <w:rFonts w:cs="Arial"/>
                <w:sz w:val="18"/>
                <w:szCs w:val="18"/>
                <w:lang w:val="de-DE"/>
              </w:rPr>
            </w:pPr>
            <w:r w:rsidRPr="00D54457">
              <w:rPr>
                <w:rFonts w:cs="Arial"/>
                <w:sz w:val="18"/>
                <w:szCs w:val="18"/>
                <w:lang w:val="de-DE"/>
              </w:rPr>
              <w:t>-</w:t>
            </w:r>
            <w:r w:rsidRPr="00D54457">
              <w:rPr>
                <w:rFonts w:cs="Arial"/>
                <w:sz w:val="18"/>
                <w:szCs w:val="18"/>
                <w:lang w:val="de-DE"/>
              </w:rPr>
              <w:tab/>
            </w:r>
            <w:r w:rsidR="008248ED" w:rsidRPr="00D54457">
              <w:rPr>
                <w:rFonts w:cs="Arial"/>
                <w:sz w:val="18"/>
                <w:szCs w:val="18"/>
                <w:lang w:val="de-DE"/>
              </w:rPr>
              <w:t>I</w:t>
            </w:r>
            <w:r w:rsidRPr="00D54457">
              <w:rPr>
                <w:rFonts w:cs="Arial"/>
                <w:sz w:val="18"/>
                <w:szCs w:val="18"/>
                <w:lang w:val="de-DE"/>
              </w:rPr>
              <w:t xml:space="preserve">nformation </w:t>
            </w:r>
            <w:r w:rsidR="008248ED" w:rsidRPr="00D54457">
              <w:rPr>
                <w:rFonts w:cs="Arial"/>
                <w:sz w:val="18"/>
                <w:szCs w:val="18"/>
                <w:lang w:val="de-DE"/>
              </w:rPr>
              <w:t xml:space="preserve">von dem </w:t>
            </w:r>
            <w:r w:rsidR="00C34F1F" w:rsidRPr="00D54457">
              <w:rPr>
                <w:rFonts w:cs="Arial"/>
                <w:i/>
                <w:sz w:val="18"/>
                <w:szCs w:val="18"/>
                <w:lang w:val="de-DE"/>
              </w:rPr>
              <w:t>Symposium über die Vorteile des Sortenschutzes für Landwirte und Pflanzer</w:t>
            </w:r>
            <w:r w:rsidRPr="00D54457">
              <w:rPr>
                <w:rFonts w:cs="Arial"/>
                <w:sz w:val="18"/>
                <w:szCs w:val="18"/>
                <w:lang w:val="de-DE"/>
              </w:rPr>
              <w:t xml:space="preserve"> </w:t>
            </w:r>
            <w:r w:rsidRPr="00D54457">
              <w:rPr>
                <w:sz w:val="18"/>
                <w:szCs w:val="18"/>
                <w:lang w:val="de-DE"/>
              </w:rPr>
              <w:t xml:space="preserve">(see </w:t>
            </w:r>
            <w:hyperlink r:id="rId23" w:history="1">
              <w:r w:rsidRPr="00D54457">
                <w:rPr>
                  <w:rStyle w:val="Hyperlink"/>
                  <w:sz w:val="18"/>
                  <w:szCs w:val="18"/>
                  <w:lang w:val="de-DE"/>
                </w:rPr>
                <w:t>http://www.upov.int/meetings/en/details.jsp?meeting_id=26104</w:t>
              </w:r>
            </w:hyperlink>
            <w:r w:rsidRPr="00D54457">
              <w:rPr>
                <w:sz w:val="18"/>
                <w:szCs w:val="18"/>
                <w:lang w:val="de-DE"/>
              </w:rPr>
              <w:t>)</w:t>
            </w:r>
            <w:r w:rsidRPr="00D54457">
              <w:rPr>
                <w:rFonts w:cs="Arial"/>
                <w:sz w:val="18"/>
                <w:szCs w:val="18"/>
                <w:lang w:val="de-DE"/>
              </w:rPr>
              <w:t xml:space="preserve"> </w:t>
            </w:r>
          </w:p>
          <w:p w:rsidR="00EE4F56" w:rsidRPr="002A5260" w:rsidRDefault="00EE4F56" w:rsidP="008248ED">
            <w:pPr>
              <w:spacing w:before="120"/>
              <w:ind w:left="602" w:right="176" w:hanging="318"/>
              <w:jc w:val="left"/>
              <w:rPr>
                <w:rFonts w:cs="Arial"/>
                <w:sz w:val="18"/>
                <w:szCs w:val="18"/>
                <w:lang w:val="de-DE"/>
              </w:rPr>
            </w:pPr>
            <w:r w:rsidRPr="002A5260">
              <w:rPr>
                <w:rFonts w:cs="Arial"/>
                <w:sz w:val="18"/>
                <w:szCs w:val="18"/>
                <w:lang w:val="de-DE"/>
              </w:rPr>
              <w:t>-</w:t>
            </w:r>
            <w:r w:rsidRPr="002A5260">
              <w:rPr>
                <w:rFonts w:cs="Arial"/>
                <w:sz w:val="18"/>
                <w:szCs w:val="18"/>
                <w:lang w:val="de-DE"/>
              </w:rPr>
              <w:tab/>
            </w:r>
            <w:r w:rsidR="008248ED" w:rsidRPr="002A5260">
              <w:rPr>
                <w:rFonts w:cs="Arial"/>
                <w:sz w:val="18"/>
                <w:szCs w:val="18"/>
                <w:lang w:val="de-DE"/>
              </w:rPr>
              <w:t>fünf</w:t>
            </w:r>
            <w:r w:rsidR="000B6317" w:rsidRPr="002A5260">
              <w:rPr>
                <w:rFonts w:cs="Arial"/>
                <w:sz w:val="18"/>
                <w:szCs w:val="18"/>
                <w:lang w:val="de-DE"/>
              </w:rPr>
              <w:t xml:space="preserve"> </w:t>
            </w:r>
            <w:r w:rsidR="00042C4A" w:rsidRPr="002A5260">
              <w:rPr>
                <w:rFonts w:cs="Arial"/>
                <w:sz w:val="18"/>
                <w:szCs w:val="18"/>
                <w:lang w:val="de-DE"/>
              </w:rPr>
              <w:t>Pressemitteilung</w:t>
            </w:r>
            <w:r w:rsidR="008248ED" w:rsidRPr="002A5260">
              <w:rPr>
                <w:rFonts w:cs="Arial"/>
                <w:sz w:val="18"/>
                <w:szCs w:val="18"/>
                <w:lang w:val="de-DE"/>
              </w:rPr>
              <w:t>en</w:t>
            </w:r>
          </w:p>
          <w:p w:rsidR="00CB4D5C" w:rsidRPr="002A5260" w:rsidRDefault="00CB4D5C" w:rsidP="00C74C0E">
            <w:pPr>
              <w:ind w:right="459"/>
              <w:jc w:val="left"/>
              <w:rPr>
                <w:rFonts w:cs="Arial"/>
                <w:sz w:val="18"/>
                <w:szCs w:val="18"/>
                <w:lang w:val="de-DE"/>
              </w:rPr>
            </w:pPr>
          </w:p>
          <w:p w:rsidR="00B033A1" w:rsidRPr="002A5260" w:rsidRDefault="00B033A1" w:rsidP="00C74C0E">
            <w:pPr>
              <w:ind w:right="459"/>
              <w:jc w:val="left"/>
              <w:rPr>
                <w:rFonts w:cs="Arial"/>
                <w:sz w:val="18"/>
                <w:szCs w:val="18"/>
                <w:lang w:val="de-DE"/>
              </w:rPr>
            </w:pPr>
          </w:p>
          <w:p w:rsidR="00C74C0E" w:rsidRPr="00D54457" w:rsidRDefault="00E163EA" w:rsidP="00947808">
            <w:pPr>
              <w:pStyle w:val="Heading8"/>
              <w:rPr>
                <w:szCs w:val="18"/>
                <w:lang w:val="de-DE"/>
              </w:rPr>
            </w:pPr>
            <w:bookmarkStart w:id="202" w:name="_Toc336339256"/>
            <w:bookmarkStart w:id="203" w:name="_Toc336613858"/>
            <w:bookmarkStart w:id="204" w:name="_Toc368400605"/>
            <w:r w:rsidRPr="00D54457">
              <w:rPr>
                <w:szCs w:val="18"/>
                <w:lang w:val="de-DE"/>
              </w:rPr>
              <w:t>(b)</w:t>
            </w:r>
            <w:r w:rsidR="00C74C0E" w:rsidRPr="00D54457">
              <w:rPr>
                <w:szCs w:val="18"/>
                <w:lang w:val="de-DE"/>
              </w:rPr>
              <w:t xml:space="preserve">  </w:t>
            </w:r>
            <w:bookmarkEnd w:id="202"/>
            <w:bookmarkEnd w:id="203"/>
            <w:r w:rsidR="0024624A" w:rsidRPr="00D54457">
              <w:rPr>
                <w:color w:val="000000"/>
                <w:szCs w:val="18"/>
                <w:lang w:val="de-DE"/>
              </w:rPr>
              <w:t>Anzahl Besuche der UPOV-Website</w:t>
            </w:r>
            <w:bookmarkEnd w:id="204"/>
          </w:p>
          <w:tbl>
            <w:tblPr>
              <w:tblStyle w:val="TableGrid"/>
              <w:tblW w:w="0" w:type="auto"/>
              <w:tblInd w:w="171" w:type="dxa"/>
              <w:tblLayout w:type="fixed"/>
              <w:tblLook w:val="04A0" w:firstRow="1" w:lastRow="0" w:firstColumn="1" w:lastColumn="0" w:noHBand="0" w:noVBand="1"/>
            </w:tblPr>
            <w:tblGrid>
              <w:gridCol w:w="2410"/>
              <w:gridCol w:w="1606"/>
              <w:gridCol w:w="1606"/>
              <w:gridCol w:w="1607"/>
            </w:tblGrid>
            <w:tr w:rsidR="0069251C" w:rsidRPr="006054BD" w:rsidTr="0069251C">
              <w:tc>
                <w:tcPr>
                  <w:tcW w:w="2410" w:type="dxa"/>
                  <w:tcMar>
                    <w:top w:w="28" w:type="dxa"/>
                    <w:bottom w:w="0" w:type="dxa"/>
                  </w:tcMar>
                </w:tcPr>
                <w:p w:rsidR="0069251C" w:rsidRPr="0024624A" w:rsidRDefault="0069251C" w:rsidP="007F74E1">
                  <w:pPr>
                    <w:ind w:right="176"/>
                    <w:jc w:val="left"/>
                    <w:rPr>
                      <w:rFonts w:cs="Arial"/>
                      <w:sz w:val="18"/>
                      <w:szCs w:val="18"/>
                      <w:lang w:val="de-DE"/>
                    </w:rPr>
                  </w:pPr>
                </w:p>
              </w:tc>
              <w:tc>
                <w:tcPr>
                  <w:tcW w:w="1606" w:type="dxa"/>
                  <w:tcMar>
                    <w:top w:w="28" w:type="dxa"/>
                    <w:bottom w:w="0" w:type="dxa"/>
                  </w:tcMar>
                </w:tcPr>
                <w:p w:rsidR="0069251C" w:rsidRPr="006054BD" w:rsidRDefault="0069251C" w:rsidP="0069251C">
                  <w:pPr>
                    <w:jc w:val="center"/>
                    <w:rPr>
                      <w:rFonts w:cs="Arial"/>
                      <w:i/>
                      <w:sz w:val="18"/>
                      <w:szCs w:val="18"/>
                    </w:rPr>
                  </w:pPr>
                  <w:r w:rsidRPr="006054BD">
                    <w:rPr>
                      <w:rFonts w:cs="Arial"/>
                      <w:i/>
                      <w:sz w:val="18"/>
                      <w:szCs w:val="18"/>
                    </w:rPr>
                    <w:t>2012</w:t>
                  </w:r>
                </w:p>
              </w:tc>
              <w:tc>
                <w:tcPr>
                  <w:tcW w:w="1606" w:type="dxa"/>
                  <w:tcMar>
                    <w:top w:w="28" w:type="dxa"/>
                    <w:bottom w:w="0" w:type="dxa"/>
                  </w:tcMar>
                </w:tcPr>
                <w:p w:rsidR="0069251C" w:rsidRPr="006054BD" w:rsidRDefault="0069251C" w:rsidP="0069251C">
                  <w:pPr>
                    <w:jc w:val="center"/>
                    <w:rPr>
                      <w:rFonts w:cs="Arial"/>
                      <w:i/>
                      <w:sz w:val="18"/>
                      <w:szCs w:val="18"/>
                    </w:rPr>
                  </w:pPr>
                  <w:r w:rsidRPr="006054BD">
                    <w:rPr>
                      <w:rFonts w:cs="Arial"/>
                      <w:i/>
                      <w:sz w:val="18"/>
                      <w:szCs w:val="18"/>
                    </w:rPr>
                    <w:t>2011</w:t>
                  </w:r>
                </w:p>
              </w:tc>
              <w:tc>
                <w:tcPr>
                  <w:tcW w:w="1607" w:type="dxa"/>
                  <w:tcMar>
                    <w:top w:w="28" w:type="dxa"/>
                    <w:bottom w:w="0" w:type="dxa"/>
                  </w:tcMar>
                </w:tcPr>
                <w:p w:rsidR="0069251C" w:rsidRPr="006054BD" w:rsidRDefault="0069251C" w:rsidP="0069251C">
                  <w:pPr>
                    <w:jc w:val="center"/>
                    <w:rPr>
                      <w:rFonts w:cs="Arial"/>
                      <w:i/>
                      <w:sz w:val="18"/>
                      <w:szCs w:val="18"/>
                    </w:rPr>
                  </w:pPr>
                  <w:r w:rsidRPr="006054BD">
                    <w:rPr>
                      <w:rFonts w:cs="Arial"/>
                      <w:i/>
                      <w:sz w:val="18"/>
                      <w:szCs w:val="18"/>
                    </w:rPr>
                    <w:t>2010</w:t>
                  </w:r>
                </w:p>
              </w:tc>
            </w:tr>
            <w:tr w:rsidR="0069251C" w:rsidRPr="006054BD" w:rsidTr="0069251C">
              <w:tc>
                <w:tcPr>
                  <w:tcW w:w="2410" w:type="dxa"/>
                  <w:tcMar>
                    <w:top w:w="28" w:type="dxa"/>
                    <w:bottom w:w="0" w:type="dxa"/>
                  </w:tcMar>
                </w:tcPr>
                <w:p w:rsidR="0069251C" w:rsidRPr="006054BD" w:rsidRDefault="00F123B8" w:rsidP="008248ED">
                  <w:pPr>
                    <w:ind w:right="176"/>
                    <w:jc w:val="left"/>
                    <w:rPr>
                      <w:rFonts w:cs="Arial"/>
                      <w:sz w:val="18"/>
                      <w:szCs w:val="18"/>
                    </w:rPr>
                  </w:pPr>
                  <w:r>
                    <w:rPr>
                      <w:rFonts w:cs="Arial"/>
                      <w:sz w:val="18"/>
                      <w:szCs w:val="18"/>
                    </w:rPr>
                    <w:t xml:space="preserve">Anzahl </w:t>
                  </w:r>
                  <w:r w:rsidR="008248ED">
                    <w:rPr>
                      <w:rFonts w:cs="Arial"/>
                      <w:sz w:val="18"/>
                      <w:szCs w:val="18"/>
                    </w:rPr>
                    <w:t>Besuche</w:t>
                  </w:r>
                  <w:r w:rsidR="0069251C" w:rsidRPr="006054BD">
                    <w:rPr>
                      <w:rFonts w:cs="Arial"/>
                      <w:sz w:val="18"/>
                      <w:szCs w:val="18"/>
                    </w:rPr>
                    <w:t xml:space="preserve">: </w:t>
                  </w:r>
                </w:p>
              </w:tc>
              <w:tc>
                <w:tcPr>
                  <w:tcW w:w="1606"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151 </w:t>
                  </w:r>
                  <w:r w:rsidR="0069251C" w:rsidRPr="006054BD">
                    <w:rPr>
                      <w:rFonts w:cs="Arial"/>
                      <w:sz w:val="18"/>
                      <w:szCs w:val="18"/>
                    </w:rPr>
                    <w:t>914</w:t>
                  </w:r>
                </w:p>
              </w:tc>
              <w:tc>
                <w:tcPr>
                  <w:tcW w:w="1606"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140 </w:t>
                  </w:r>
                  <w:r w:rsidR="005348D1" w:rsidRPr="006054BD">
                    <w:rPr>
                      <w:rFonts w:cs="Arial"/>
                      <w:sz w:val="18"/>
                      <w:szCs w:val="18"/>
                    </w:rPr>
                    <w:t>371</w:t>
                  </w:r>
                </w:p>
              </w:tc>
              <w:tc>
                <w:tcPr>
                  <w:tcW w:w="1607"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118 </w:t>
                  </w:r>
                  <w:r w:rsidR="005348D1" w:rsidRPr="006054BD">
                    <w:rPr>
                      <w:rFonts w:cs="Arial"/>
                      <w:sz w:val="18"/>
                      <w:szCs w:val="18"/>
                    </w:rPr>
                    <w:t>895</w:t>
                  </w:r>
                </w:p>
              </w:tc>
            </w:tr>
            <w:tr w:rsidR="0069251C" w:rsidRPr="006054BD" w:rsidTr="0069251C">
              <w:tc>
                <w:tcPr>
                  <w:tcW w:w="2410" w:type="dxa"/>
                  <w:tcMar>
                    <w:top w:w="28" w:type="dxa"/>
                    <w:bottom w:w="0" w:type="dxa"/>
                  </w:tcMar>
                </w:tcPr>
                <w:p w:rsidR="0069251C" w:rsidRPr="006054BD" w:rsidRDefault="008248ED" w:rsidP="008248ED">
                  <w:pPr>
                    <w:ind w:right="176"/>
                    <w:jc w:val="left"/>
                    <w:rPr>
                      <w:rFonts w:cs="Arial"/>
                      <w:sz w:val="18"/>
                      <w:szCs w:val="18"/>
                    </w:rPr>
                  </w:pPr>
                  <w:r>
                    <w:rPr>
                      <w:rFonts w:cs="Arial"/>
                      <w:sz w:val="18"/>
                      <w:szCs w:val="18"/>
                    </w:rPr>
                    <w:t>Einmalige Besucher</w:t>
                  </w:r>
                  <w:r w:rsidR="0069251C" w:rsidRPr="006054BD">
                    <w:rPr>
                      <w:rFonts w:cs="Arial"/>
                      <w:sz w:val="18"/>
                      <w:szCs w:val="18"/>
                    </w:rPr>
                    <w:t>:</w:t>
                  </w:r>
                </w:p>
              </w:tc>
              <w:tc>
                <w:tcPr>
                  <w:tcW w:w="1606"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71 </w:t>
                  </w:r>
                  <w:r w:rsidR="0069251C" w:rsidRPr="006054BD">
                    <w:rPr>
                      <w:rFonts w:cs="Arial"/>
                      <w:sz w:val="18"/>
                      <w:szCs w:val="18"/>
                    </w:rPr>
                    <w:t>506</w:t>
                  </w:r>
                </w:p>
              </w:tc>
              <w:tc>
                <w:tcPr>
                  <w:tcW w:w="1606"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75 </w:t>
                  </w:r>
                  <w:r w:rsidR="005348D1" w:rsidRPr="006054BD">
                    <w:rPr>
                      <w:rFonts w:cs="Arial"/>
                      <w:sz w:val="18"/>
                      <w:szCs w:val="18"/>
                    </w:rPr>
                    <w:t>673</w:t>
                  </w:r>
                </w:p>
              </w:tc>
              <w:tc>
                <w:tcPr>
                  <w:tcW w:w="1607"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62 </w:t>
                  </w:r>
                  <w:r w:rsidR="005348D1" w:rsidRPr="006054BD">
                    <w:rPr>
                      <w:rFonts w:cs="Arial"/>
                      <w:sz w:val="18"/>
                      <w:szCs w:val="18"/>
                    </w:rPr>
                    <w:t>758</w:t>
                  </w:r>
                </w:p>
              </w:tc>
            </w:tr>
            <w:tr w:rsidR="0069251C" w:rsidRPr="006054BD" w:rsidTr="0069251C">
              <w:tc>
                <w:tcPr>
                  <w:tcW w:w="2410" w:type="dxa"/>
                  <w:tcMar>
                    <w:top w:w="28" w:type="dxa"/>
                    <w:bottom w:w="0" w:type="dxa"/>
                  </w:tcMar>
                </w:tcPr>
                <w:p w:rsidR="0069251C" w:rsidRPr="006054BD" w:rsidRDefault="00F123B8" w:rsidP="008248ED">
                  <w:pPr>
                    <w:ind w:right="176"/>
                    <w:jc w:val="left"/>
                    <w:rPr>
                      <w:rFonts w:cs="Arial"/>
                      <w:sz w:val="18"/>
                      <w:szCs w:val="18"/>
                    </w:rPr>
                  </w:pPr>
                  <w:r>
                    <w:rPr>
                      <w:rFonts w:cs="Arial"/>
                      <w:sz w:val="18"/>
                      <w:szCs w:val="18"/>
                    </w:rPr>
                    <w:t xml:space="preserve">Anzahl </w:t>
                  </w:r>
                  <w:r w:rsidR="008248ED">
                    <w:rPr>
                      <w:rFonts w:cs="Arial"/>
                      <w:sz w:val="18"/>
                      <w:szCs w:val="18"/>
                    </w:rPr>
                    <w:t>Seitenzugriffe</w:t>
                  </w:r>
                  <w:r w:rsidR="0069251C" w:rsidRPr="006054BD">
                    <w:rPr>
                      <w:rFonts w:cs="Arial"/>
                      <w:sz w:val="18"/>
                      <w:szCs w:val="18"/>
                    </w:rPr>
                    <w:t>:</w:t>
                  </w:r>
                </w:p>
              </w:tc>
              <w:tc>
                <w:tcPr>
                  <w:tcW w:w="1606"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1 139 </w:t>
                  </w:r>
                  <w:r w:rsidR="0069251C" w:rsidRPr="006054BD">
                    <w:rPr>
                      <w:rFonts w:cs="Arial"/>
                      <w:sz w:val="18"/>
                      <w:szCs w:val="18"/>
                    </w:rPr>
                    <w:t>570</w:t>
                  </w:r>
                </w:p>
              </w:tc>
              <w:tc>
                <w:tcPr>
                  <w:tcW w:w="1606"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798 </w:t>
                  </w:r>
                  <w:r w:rsidR="005348D1" w:rsidRPr="006054BD">
                    <w:rPr>
                      <w:rFonts w:cs="Arial"/>
                      <w:sz w:val="18"/>
                      <w:szCs w:val="18"/>
                    </w:rPr>
                    <w:t>942</w:t>
                  </w:r>
                </w:p>
              </w:tc>
              <w:tc>
                <w:tcPr>
                  <w:tcW w:w="1607" w:type="dxa"/>
                  <w:tcMar>
                    <w:top w:w="28" w:type="dxa"/>
                    <w:bottom w:w="0" w:type="dxa"/>
                  </w:tcMar>
                </w:tcPr>
                <w:p w:rsidR="0069251C" w:rsidRPr="006054BD" w:rsidRDefault="00947808" w:rsidP="007F74E1">
                  <w:pPr>
                    <w:ind w:right="113"/>
                    <w:jc w:val="right"/>
                    <w:rPr>
                      <w:rFonts w:cs="Arial"/>
                      <w:sz w:val="18"/>
                      <w:szCs w:val="18"/>
                    </w:rPr>
                  </w:pPr>
                  <w:r>
                    <w:rPr>
                      <w:rFonts w:cs="Arial"/>
                      <w:sz w:val="18"/>
                      <w:szCs w:val="18"/>
                    </w:rPr>
                    <w:t xml:space="preserve">656 </w:t>
                  </w:r>
                  <w:r w:rsidR="005348D1" w:rsidRPr="006054BD">
                    <w:rPr>
                      <w:rFonts w:cs="Arial"/>
                      <w:sz w:val="18"/>
                      <w:szCs w:val="18"/>
                    </w:rPr>
                    <w:t>722</w:t>
                  </w:r>
                </w:p>
              </w:tc>
            </w:tr>
            <w:tr w:rsidR="0069251C" w:rsidRPr="006054BD" w:rsidTr="0069251C">
              <w:tc>
                <w:tcPr>
                  <w:tcW w:w="2410" w:type="dxa"/>
                  <w:tcMar>
                    <w:top w:w="28" w:type="dxa"/>
                    <w:bottom w:w="0" w:type="dxa"/>
                  </w:tcMar>
                </w:tcPr>
                <w:p w:rsidR="0069251C" w:rsidRPr="006054BD" w:rsidRDefault="00F123B8" w:rsidP="008248ED">
                  <w:pPr>
                    <w:ind w:right="176"/>
                    <w:jc w:val="left"/>
                    <w:rPr>
                      <w:rFonts w:cs="Arial"/>
                      <w:sz w:val="18"/>
                      <w:szCs w:val="18"/>
                    </w:rPr>
                  </w:pPr>
                  <w:r>
                    <w:rPr>
                      <w:rFonts w:cs="Arial"/>
                      <w:sz w:val="18"/>
                      <w:szCs w:val="18"/>
                    </w:rPr>
                    <w:t xml:space="preserve">Anzahl </w:t>
                  </w:r>
                  <w:r w:rsidR="008248ED">
                    <w:rPr>
                      <w:rFonts w:cs="Arial"/>
                      <w:sz w:val="18"/>
                      <w:szCs w:val="18"/>
                    </w:rPr>
                    <w:t>Seiten</w:t>
                  </w:r>
                  <w:r w:rsidR="0069251C" w:rsidRPr="006054BD">
                    <w:rPr>
                      <w:rFonts w:cs="Arial"/>
                      <w:sz w:val="18"/>
                      <w:szCs w:val="18"/>
                    </w:rPr>
                    <w:t>/</w:t>
                  </w:r>
                  <w:r w:rsidR="008248ED">
                    <w:rPr>
                      <w:rFonts w:cs="Arial"/>
                      <w:sz w:val="18"/>
                      <w:szCs w:val="18"/>
                    </w:rPr>
                    <w:t>Besuch</w:t>
                  </w:r>
                  <w:r w:rsidR="0069251C" w:rsidRPr="006054BD">
                    <w:rPr>
                      <w:rFonts w:cs="Arial"/>
                      <w:sz w:val="18"/>
                      <w:szCs w:val="18"/>
                    </w:rPr>
                    <w:t>:</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7.50</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5.69</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5.52</w:t>
                  </w:r>
                </w:p>
              </w:tc>
            </w:tr>
            <w:tr w:rsidR="0069251C" w:rsidRPr="006054BD" w:rsidTr="0069251C">
              <w:tc>
                <w:tcPr>
                  <w:tcW w:w="2410" w:type="dxa"/>
                  <w:tcMar>
                    <w:top w:w="28" w:type="dxa"/>
                    <w:bottom w:w="0" w:type="dxa"/>
                  </w:tcMar>
                </w:tcPr>
                <w:p w:rsidR="0069251C" w:rsidRPr="006054BD" w:rsidRDefault="008248ED" w:rsidP="008248ED">
                  <w:pPr>
                    <w:ind w:right="176"/>
                    <w:jc w:val="left"/>
                    <w:rPr>
                      <w:rFonts w:cs="Arial"/>
                      <w:sz w:val="18"/>
                      <w:szCs w:val="18"/>
                    </w:rPr>
                  </w:pPr>
                  <w:r>
                    <w:rPr>
                      <w:rFonts w:cs="Arial"/>
                      <w:sz w:val="18"/>
                      <w:szCs w:val="18"/>
                    </w:rPr>
                    <w:t>Durchschnittliche Besuchsdauer</w:t>
                  </w:r>
                  <w:r w:rsidR="0069251C" w:rsidRPr="006054BD">
                    <w:rPr>
                      <w:rFonts w:cs="Arial"/>
                      <w:sz w:val="18"/>
                      <w:szCs w:val="18"/>
                    </w:rPr>
                    <w:t>:</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00:07:19</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00:04:41</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00:04:12</w:t>
                  </w:r>
                </w:p>
              </w:tc>
            </w:tr>
            <w:tr w:rsidR="0069251C" w:rsidRPr="006054BD" w:rsidTr="0069251C">
              <w:tc>
                <w:tcPr>
                  <w:tcW w:w="2410" w:type="dxa"/>
                  <w:tcMar>
                    <w:top w:w="28" w:type="dxa"/>
                    <w:bottom w:w="0" w:type="dxa"/>
                  </w:tcMar>
                </w:tcPr>
                <w:p w:rsidR="0069251C" w:rsidRPr="006054BD" w:rsidRDefault="0069251C" w:rsidP="00947808">
                  <w:pPr>
                    <w:jc w:val="left"/>
                    <w:rPr>
                      <w:rFonts w:cs="Arial"/>
                      <w:sz w:val="18"/>
                      <w:szCs w:val="18"/>
                    </w:rPr>
                  </w:pPr>
                  <w:r w:rsidRPr="006054BD">
                    <w:rPr>
                      <w:rFonts w:cs="Arial"/>
                      <w:sz w:val="18"/>
                      <w:szCs w:val="18"/>
                    </w:rPr>
                    <w:t>P</w:t>
                  </w:r>
                  <w:r w:rsidR="008248ED">
                    <w:rPr>
                      <w:rFonts w:cs="Arial"/>
                      <w:sz w:val="18"/>
                      <w:szCs w:val="18"/>
                    </w:rPr>
                    <w:t xml:space="preserve">rozentsatz </w:t>
                  </w:r>
                  <w:r w:rsidR="002E0794">
                    <w:rPr>
                      <w:rFonts w:cs="Arial"/>
                      <w:sz w:val="18"/>
                      <w:szCs w:val="18"/>
                    </w:rPr>
                    <w:t xml:space="preserve">neue </w:t>
                  </w:r>
                  <w:r w:rsidR="008248ED">
                    <w:rPr>
                      <w:rFonts w:cs="Arial"/>
                      <w:sz w:val="18"/>
                      <w:szCs w:val="18"/>
                    </w:rPr>
                    <w:t>Besucher</w:t>
                  </w:r>
                  <w:r w:rsidRPr="006054BD">
                    <w:rPr>
                      <w:rFonts w:cs="Arial"/>
                      <w:sz w:val="18"/>
                      <w:szCs w:val="18"/>
                    </w:rPr>
                    <w:t>:</w:t>
                  </w:r>
                </w:p>
              </w:tc>
              <w:tc>
                <w:tcPr>
                  <w:tcW w:w="1606" w:type="dxa"/>
                  <w:tcMar>
                    <w:top w:w="28" w:type="dxa"/>
                    <w:bottom w:w="0" w:type="dxa"/>
                  </w:tcMar>
                </w:tcPr>
                <w:p w:rsidR="0069251C" w:rsidRPr="006054BD" w:rsidRDefault="0069251C" w:rsidP="003202EB">
                  <w:pPr>
                    <w:ind w:right="113"/>
                    <w:jc w:val="right"/>
                    <w:rPr>
                      <w:rFonts w:cs="Arial"/>
                      <w:sz w:val="18"/>
                      <w:szCs w:val="18"/>
                    </w:rPr>
                  </w:pPr>
                  <w:r w:rsidRPr="006054BD">
                    <w:rPr>
                      <w:rFonts w:cs="Arial"/>
                      <w:sz w:val="18"/>
                      <w:szCs w:val="18"/>
                    </w:rPr>
                    <w:t>45</w:t>
                  </w:r>
                  <w:r w:rsidR="003202EB">
                    <w:rPr>
                      <w:rFonts w:cs="Arial"/>
                      <w:sz w:val="18"/>
                      <w:szCs w:val="18"/>
                    </w:rPr>
                    <w:t>,</w:t>
                  </w:r>
                  <w:r w:rsidRPr="006054BD">
                    <w:rPr>
                      <w:rFonts w:cs="Arial"/>
                      <w:sz w:val="18"/>
                      <w:szCs w:val="18"/>
                    </w:rPr>
                    <w:t>05%</w:t>
                  </w:r>
                </w:p>
              </w:tc>
              <w:tc>
                <w:tcPr>
                  <w:tcW w:w="1606" w:type="dxa"/>
                  <w:tcMar>
                    <w:top w:w="28" w:type="dxa"/>
                    <w:bottom w:w="0" w:type="dxa"/>
                  </w:tcMar>
                </w:tcPr>
                <w:p w:rsidR="0069251C" w:rsidRPr="006054BD" w:rsidRDefault="005348D1" w:rsidP="003202EB">
                  <w:pPr>
                    <w:ind w:right="113"/>
                    <w:jc w:val="right"/>
                    <w:rPr>
                      <w:rFonts w:cs="Arial"/>
                      <w:sz w:val="18"/>
                      <w:szCs w:val="18"/>
                    </w:rPr>
                  </w:pPr>
                  <w:r w:rsidRPr="006054BD">
                    <w:rPr>
                      <w:rFonts w:cs="Arial"/>
                      <w:sz w:val="18"/>
                      <w:szCs w:val="18"/>
                    </w:rPr>
                    <w:t>51</w:t>
                  </w:r>
                  <w:r w:rsidR="003202EB">
                    <w:rPr>
                      <w:rFonts w:cs="Arial"/>
                      <w:sz w:val="18"/>
                      <w:szCs w:val="18"/>
                    </w:rPr>
                    <w:t>,</w:t>
                  </w:r>
                  <w:r w:rsidRPr="006054BD">
                    <w:rPr>
                      <w:rFonts w:cs="Arial"/>
                      <w:sz w:val="18"/>
                      <w:szCs w:val="18"/>
                    </w:rPr>
                    <w:t>91%</w:t>
                  </w:r>
                </w:p>
              </w:tc>
              <w:tc>
                <w:tcPr>
                  <w:tcW w:w="1607" w:type="dxa"/>
                  <w:tcMar>
                    <w:top w:w="28" w:type="dxa"/>
                    <w:bottom w:w="0" w:type="dxa"/>
                  </w:tcMar>
                </w:tcPr>
                <w:p w:rsidR="0069251C" w:rsidRPr="006054BD" w:rsidRDefault="005348D1" w:rsidP="003202EB">
                  <w:pPr>
                    <w:ind w:right="113"/>
                    <w:jc w:val="right"/>
                    <w:rPr>
                      <w:rFonts w:cs="Arial"/>
                      <w:sz w:val="18"/>
                      <w:szCs w:val="18"/>
                    </w:rPr>
                  </w:pPr>
                  <w:r w:rsidRPr="006054BD">
                    <w:rPr>
                      <w:rFonts w:cs="Arial"/>
                      <w:sz w:val="18"/>
                      <w:szCs w:val="18"/>
                    </w:rPr>
                    <w:t>50</w:t>
                  </w:r>
                  <w:r w:rsidR="003202EB">
                    <w:rPr>
                      <w:rFonts w:cs="Arial"/>
                      <w:sz w:val="18"/>
                      <w:szCs w:val="18"/>
                    </w:rPr>
                    <w:t>,</w:t>
                  </w:r>
                  <w:r w:rsidRPr="006054BD">
                    <w:rPr>
                      <w:rFonts w:cs="Arial"/>
                      <w:sz w:val="18"/>
                      <w:szCs w:val="18"/>
                    </w:rPr>
                    <w:t>57%</w:t>
                  </w:r>
                </w:p>
              </w:tc>
            </w:tr>
          </w:tbl>
          <w:p w:rsidR="00C748F5" w:rsidRPr="006054BD" w:rsidRDefault="00C748F5" w:rsidP="00C748F5">
            <w:pPr>
              <w:tabs>
                <w:tab w:val="right" w:pos="3720"/>
                <w:tab w:val="left" w:pos="4003"/>
              </w:tabs>
              <w:ind w:left="602" w:right="176" w:hanging="318"/>
              <w:jc w:val="left"/>
              <w:rPr>
                <w:rFonts w:cs="Arial"/>
                <w:sz w:val="18"/>
                <w:szCs w:val="18"/>
              </w:rPr>
            </w:pPr>
          </w:p>
          <w:p w:rsidR="00CE6BAE" w:rsidRPr="006054BD" w:rsidRDefault="00CE6BAE" w:rsidP="00B033A1">
            <w:pPr>
              <w:tabs>
                <w:tab w:val="right" w:pos="3720"/>
                <w:tab w:val="left" w:pos="4003"/>
              </w:tabs>
              <w:ind w:left="602" w:right="176" w:hanging="318"/>
              <w:jc w:val="left"/>
              <w:rPr>
                <w:sz w:val="18"/>
                <w:szCs w:val="18"/>
              </w:rPr>
            </w:pPr>
          </w:p>
        </w:tc>
      </w:tr>
    </w:tbl>
    <w:p w:rsidR="00AA6751" w:rsidRPr="006054BD" w:rsidRDefault="00AA6751" w:rsidP="00833F99"/>
    <w:p w:rsidR="00833F99" w:rsidRPr="006054BD" w:rsidRDefault="00833F99" w:rsidP="00833F99"/>
    <w:p w:rsidR="00833F99" w:rsidRPr="006054BD" w:rsidRDefault="00833F99">
      <w:r w:rsidRPr="006054BD">
        <w:br w:type="page"/>
      </w:r>
    </w:p>
    <w:tbl>
      <w:tblPr>
        <w:tblW w:w="9889" w:type="dxa"/>
        <w:tblLayout w:type="fixed"/>
        <w:tblLook w:val="0000" w:firstRow="0" w:lastRow="0" w:firstColumn="0" w:lastColumn="0" w:noHBand="0" w:noVBand="0"/>
      </w:tblPr>
      <w:tblGrid>
        <w:gridCol w:w="1951"/>
        <w:gridCol w:w="7938"/>
      </w:tblGrid>
      <w:tr w:rsidR="00833F99" w:rsidRPr="006054BD" w:rsidTr="0018756E">
        <w:trPr>
          <w:tblHeader/>
        </w:trPr>
        <w:tc>
          <w:tcPr>
            <w:tcW w:w="1951" w:type="dxa"/>
            <w:shd w:val="clear" w:color="auto" w:fill="auto"/>
          </w:tcPr>
          <w:p w:rsidR="00833F99" w:rsidRPr="006054BD" w:rsidRDefault="00A71FDD" w:rsidP="0018756E">
            <w:pPr>
              <w:keepNext/>
              <w:spacing w:after="120"/>
              <w:rPr>
                <w:b/>
                <w:sz w:val="18"/>
                <w:szCs w:val="18"/>
              </w:rPr>
            </w:pPr>
            <w:r>
              <w:rPr>
                <w:b/>
                <w:sz w:val="18"/>
                <w:szCs w:val="18"/>
              </w:rPr>
              <w:t>Erwartete Ergebnisse</w:t>
            </w:r>
          </w:p>
        </w:tc>
        <w:tc>
          <w:tcPr>
            <w:tcW w:w="7938" w:type="dxa"/>
            <w:shd w:val="clear" w:color="auto" w:fill="auto"/>
          </w:tcPr>
          <w:p w:rsidR="00833F99" w:rsidRPr="006054BD" w:rsidRDefault="00A71FDD" w:rsidP="0018756E">
            <w:pPr>
              <w:keepNext/>
              <w:spacing w:after="240"/>
              <w:rPr>
                <w:b/>
                <w:sz w:val="18"/>
                <w:szCs w:val="18"/>
              </w:rPr>
            </w:pPr>
            <w:r>
              <w:rPr>
                <w:b/>
                <w:sz w:val="18"/>
                <w:szCs w:val="18"/>
              </w:rPr>
              <w:t>Erzielte Ergebnisse</w:t>
            </w:r>
            <w:r w:rsidR="00833F99" w:rsidRPr="006054BD">
              <w:rPr>
                <w:b/>
                <w:sz w:val="18"/>
                <w:szCs w:val="18"/>
              </w:rPr>
              <w:t xml:space="preserve">:  </w:t>
            </w:r>
            <w:r>
              <w:rPr>
                <w:b/>
                <w:sz w:val="18"/>
                <w:szCs w:val="18"/>
              </w:rPr>
              <w:t>Ausgewählte Planerfüllungsindikatoren</w:t>
            </w:r>
          </w:p>
        </w:tc>
      </w:tr>
      <w:tr w:rsidR="00B033A1" w:rsidRPr="006054BD" w:rsidTr="002874C7">
        <w:tc>
          <w:tcPr>
            <w:tcW w:w="1951" w:type="dxa"/>
          </w:tcPr>
          <w:p w:rsidR="00B033A1" w:rsidRPr="0024624A" w:rsidRDefault="00B033A1" w:rsidP="00B033A1">
            <w:pPr>
              <w:jc w:val="left"/>
              <w:rPr>
                <w:sz w:val="18"/>
                <w:szCs w:val="18"/>
                <w:lang w:val="de-DE"/>
              </w:rPr>
            </w:pPr>
            <w:r w:rsidRPr="002A5260">
              <w:rPr>
                <w:i/>
                <w:sz w:val="18"/>
                <w:szCs w:val="18"/>
                <w:lang w:val="de-DE"/>
              </w:rPr>
              <w:t xml:space="preserve">1.  </w:t>
            </w:r>
            <w:r w:rsidR="0024624A" w:rsidRPr="0024624A">
              <w:rPr>
                <w:rFonts w:cs="Arial"/>
                <w:i/>
                <w:iCs/>
                <w:color w:val="000000"/>
                <w:sz w:val="18"/>
                <w:szCs w:val="18"/>
                <w:lang w:val="de-DE"/>
              </w:rPr>
              <w:t>Vertieftes öffentliches Verständnis der Rolle und Tätigkeit der UPOV</w:t>
            </w:r>
            <w:r w:rsidR="0024624A" w:rsidRPr="0024624A">
              <w:rPr>
                <w:sz w:val="18"/>
                <w:szCs w:val="18"/>
                <w:lang w:val="de-DE"/>
              </w:rPr>
              <w:t xml:space="preserve"> </w:t>
            </w:r>
            <w:r w:rsidRPr="0024624A">
              <w:rPr>
                <w:sz w:val="18"/>
                <w:szCs w:val="18"/>
                <w:lang w:val="de-DE"/>
              </w:rPr>
              <w:t>(</w:t>
            </w:r>
            <w:r w:rsidR="005017B4" w:rsidRPr="0024624A">
              <w:rPr>
                <w:sz w:val="18"/>
                <w:szCs w:val="18"/>
                <w:lang w:val="de-DE"/>
              </w:rPr>
              <w:t>Fortsetzung</w:t>
            </w:r>
            <w:r w:rsidRPr="0024624A">
              <w:rPr>
                <w:sz w:val="18"/>
                <w:szCs w:val="18"/>
                <w:lang w:val="de-DE"/>
              </w:rPr>
              <w:t>)</w:t>
            </w:r>
          </w:p>
        </w:tc>
        <w:tc>
          <w:tcPr>
            <w:tcW w:w="7938" w:type="dxa"/>
          </w:tcPr>
          <w:p w:rsidR="00B033A1" w:rsidRPr="00D31C4B" w:rsidRDefault="00F123B8" w:rsidP="00034BF6">
            <w:pPr>
              <w:tabs>
                <w:tab w:val="right" w:pos="3720"/>
                <w:tab w:val="left" w:pos="4003"/>
              </w:tabs>
              <w:ind w:left="602" w:right="176" w:hanging="318"/>
              <w:jc w:val="left"/>
              <w:rPr>
                <w:rFonts w:cs="Arial"/>
                <w:i/>
                <w:sz w:val="18"/>
                <w:szCs w:val="18"/>
                <w:lang w:val="de-DE"/>
              </w:rPr>
            </w:pPr>
            <w:r w:rsidRPr="00D31C4B">
              <w:rPr>
                <w:rFonts w:cs="Arial"/>
                <w:i/>
                <w:sz w:val="18"/>
                <w:szCs w:val="18"/>
                <w:lang w:val="de-DE"/>
              </w:rPr>
              <w:t xml:space="preserve">Anzahl </w:t>
            </w:r>
            <w:r w:rsidR="00D31C4B" w:rsidRPr="00D31C4B">
              <w:rPr>
                <w:rFonts w:cs="Arial"/>
                <w:i/>
                <w:sz w:val="18"/>
                <w:szCs w:val="18"/>
                <w:lang w:val="de-DE"/>
              </w:rPr>
              <w:t xml:space="preserve">Besuche nach </w:t>
            </w:r>
            <w:r w:rsidR="003202EB">
              <w:rPr>
                <w:rFonts w:cs="Arial"/>
                <w:i/>
                <w:sz w:val="18"/>
                <w:szCs w:val="18"/>
                <w:lang w:val="de-DE"/>
              </w:rPr>
              <w:t xml:space="preserve">der </w:t>
            </w:r>
            <w:r w:rsidR="00D31C4B" w:rsidRPr="00D31C4B">
              <w:rPr>
                <w:rFonts w:cs="Arial"/>
                <w:i/>
                <w:sz w:val="18"/>
                <w:szCs w:val="18"/>
                <w:lang w:val="de-DE"/>
              </w:rPr>
              <w:t>Sprache</w:t>
            </w:r>
            <w:r w:rsidR="00D31C4B">
              <w:rPr>
                <w:rFonts w:cs="Arial"/>
                <w:i/>
                <w:sz w:val="18"/>
                <w:szCs w:val="18"/>
                <w:lang w:val="de-DE"/>
              </w:rPr>
              <w:t xml:space="preserve"> des von dem Besucher verwendeten</w:t>
            </w:r>
            <w:r w:rsidR="00B033A1" w:rsidRPr="00D31C4B">
              <w:rPr>
                <w:rFonts w:cs="Arial"/>
                <w:i/>
                <w:sz w:val="18"/>
                <w:szCs w:val="18"/>
                <w:lang w:val="de-DE"/>
              </w:rPr>
              <w:t xml:space="preserve"> </w:t>
            </w:r>
            <w:r w:rsidR="00D31C4B">
              <w:rPr>
                <w:rFonts w:cs="Arial"/>
                <w:i/>
                <w:sz w:val="18"/>
                <w:szCs w:val="18"/>
                <w:lang w:val="de-DE"/>
              </w:rPr>
              <w:t>B</w:t>
            </w:r>
            <w:r w:rsidR="00B033A1" w:rsidRPr="00D31C4B">
              <w:rPr>
                <w:rFonts w:cs="Arial"/>
                <w:i/>
                <w:sz w:val="18"/>
                <w:szCs w:val="18"/>
                <w:lang w:val="de-DE"/>
              </w:rPr>
              <w:t>rowser</w:t>
            </w:r>
            <w:r w:rsidR="00D31C4B">
              <w:rPr>
                <w:rFonts w:cs="Arial"/>
                <w:i/>
                <w:sz w:val="18"/>
                <w:szCs w:val="18"/>
                <w:lang w:val="de-DE"/>
              </w:rPr>
              <w:t>s</w:t>
            </w:r>
            <w:r w:rsidR="00B033A1" w:rsidRPr="00D31C4B">
              <w:rPr>
                <w:rFonts w:cs="Arial"/>
                <w:i/>
                <w:sz w:val="18"/>
                <w:szCs w:val="18"/>
                <w:lang w:val="de-DE"/>
              </w:rPr>
              <w:t xml:space="preserve"> </w:t>
            </w:r>
            <w:r w:rsidR="00B921B9">
              <w:rPr>
                <w:rFonts w:cs="Arial"/>
                <w:i/>
                <w:sz w:val="18"/>
                <w:szCs w:val="18"/>
                <w:lang w:val="de-DE"/>
              </w:rPr>
              <w:br/>
            </w:r>
            <w:r w:rsidR="00B033A1" w:rsidRPr="00D31C4B">
              <w:rPr>
                <w:rFonts w:cs="Arial"/>
                <w:i/>
                <w:sz w:val="18"/>
                <w:szCs w:val="18"/>
                <w:lang w:val="de-DE"/>
              </w:rPr>
              <w:t>(</w:t>
            </w:r>
            <w:r w:rsidR="00947808">
              <w:rPr>
                <w:rFonts w:cs="Arial"/>
                <w:i/>
                <w:sz w:val="18"/>
                <w:szCs w:val="18"/>
                <w:lang w:val="de-DE"/>
              </w:rPr>
              <w:t xml:space="preserve">Top Ten </w:t>
            </w:r>
            <w:r w:rsidRPr="00D31C4B">
              <w:rPr>
                <w:rFonts w:cs="Arial"/>
                <w:i/>
                <w:sz w:val="18"/>
                <w:szCs w:val="18"/>
                <w:lang w:val="de-DE"/>
              </w:rPr>
              <w:t>im Jahr 2012</w:t>
            </w:r>
            <w:r w:rsidR="00B033A1" w:rsidRPr="00D31C4B">
              <w:rPr>
                <w:rFonts w:cs="Arial"/>
                <w:i/>
                <w:sz w:val="18"/>
                <w:szCs w:val="18"/>
                <w:lang w:val="de-DE"/>
              </w:rPr>
              <w:t>):</w:t>
            </w:r>
          </w:p>
          <w:p w:rsidR="00B033A1" w:rsidRPr="00D31C4B" w:rsidRDefault="00B033A1" w:rsidP="00B033A1">
            <w:pPr>
              <w:tabs>
                <w:tab w:val="right" w:pos="3720"/>
                <w:tab w:val="left" w:pos="4003"/>
              </w:tabs>
              <w:ind w:left="602" w:right="176" w:hanging="318"/>
              <w:jc w:val="left"/>
              <w:rPr>
                <w:rFonts w:cs="Arial"/>
                <w:sz w:val="18"/>
                <w:szCs w:val="18"/>
                <w:lang w:val="de-DE"/>
              </w:rPr>
            </w:pPr>
          </w:p>
          <w:tbl>
            <w:tblPr>
              <w:tblStyle w:val="TableGrid"/>
              <w:tblW w:w="7513" w:type="dxa"/>
              <w:tblLayout w:type="fixed"/>
              <w:tblLook w:val="04A0" w:firstRow="1" w:lastRow="0" w:firstColumn="1" w:lastColumn="0" w:noHBand="0" w:noVBand="1"/>
            </w:tblPr>
            <w:tblGrid>
              <w:gridCol w:w="2297"/>
              <w:gridCol w:w="1020"/>
              <w:gridCol w:w="767"/>
              <w:gridCol w:w="927"/>
              <w:gridCol w:w="767"/>
              <w:gridCol w:w="927"/>
              <w:gridCol w:w="808"/>
            </w:tblGrid>
            <w:tr w:rsidR="00B033A1" w:rsidRPr="006054BD" w:rsidTr="00D31C4B">
              <w:tc>
                <w:tcPr>
                  <w:tcW w:w="2297" w:type="dxa"/>
                  <w:vMerge w:val="restart"/>
                  <w:tcMar>
                    <w:top w:w="28" w:type="dxa"/>
                    <w:bottom w:w="28" w:type="dxa"/>
                  </w:tcMar>
                </w:tcPr>
                <w:p w:rsidR="00B033A1" w:rsidRPr="00D31C4B" w:rsidRDefault="00D31C4B" w:rsidP="00B6241B">
                  <w:pPr>
                    <w:tabs>
                      <w:tab w:val="right" w:pos="3720"/>
                      <w:tab w:val="left" w:pos="4003"/>
                    </w:tabs>
                    <w:jc w:val="left"/>
                    <w:rPr>
                      <w:rFonts w:cs="Arial"/>
                      <w:sz w:val="18"/>
                      <w:szCs w:val="18"/>
                      <w:lang w:val="de-DE"/>
                    </w:rPr>
                  </w:pPr>
                  <w:r w:rsidRPr="00D31C4B">
                    <w:rPr>
                      <w:rFonts w:cs="Arial"/>
                      <w:sz w:val="18"/>
                      <w:szCs w:val="18"/>
                      <w:lang w:val="de-DE"/>
                    </w:rPr>
                    <w:t>Browsers</w:t>
                  </w:r>
                  <w:r w:rsidR="00947808">
                    <w:rPr>
                      <w:rFonts w:cs="Arial"/>
                      <w:sz w:val="18"/>
                      <w:szCs w:val="18"/>
                      <w:lang w:val="de-DE"/>
                    </w:rPr>
                    <w:t>prache</w:t>
                  </w:r>
                  <w:r w:rsidRPr="00D31C4B">
                    <w:rPr>
                      <w:rFonts w:cs="Arial"/>
                      <w:sz w:val="18"/>
                      <w:szCs w:val="18"/>
                      <w:lang w:val="de-DE"/>
                    </w:rPr>
                    <w:t xml:space="preserve"> des B</w:t>
                  </w:r>
                  <w:r>
                    <w:rPr>
                      <w:rFonts w:cs="Arial"/>
                      <w:sz w:val="18"/>
                      <w:szCs w:val="18"/>
                      <w:lang w:val="de-DE"/>
                    </w:rPr>
                    <w:t>esuchers</w:t>
                  </w:r>
                </w:p>
              </w:tc>
              <w:tc>
                <w:tcPr>
                  <w:tcW w:w="1787" w:type="dxa"/>
                  <w:gridSpan w:val="2"/>
                  <w:tcMar>
                    <w:top w:w="28" w:type="dxa"/>
                    <w:bottom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2012</w:t>
                  </w:r>
                </w:p>
              </w:tc>
              <w:tc>
                <w:tcPr>
                  <w:tcW w:w="1694" w:type="dxa"/>
                  <w:gridSpan w:val="2"/>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2011</w:t>
                  </w:r>
                </w:p>
              </w:tc>
              <w:tc>
                <w:tcPr>
                  <w:tcW w:w="1735" w:type="dxa"/>
                  <w:gridSpan w:val="2"/>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2010</w:t>
                  </w:r>
                </w:p>
              </w:tc>
            </w:tr>
            <w:tr w:rsidR="00B033A1" w:rsidRPr="006054BD" w:rsidTr="00D31C4B">
              <w:tc>
                <w:tcPr>
                  <w:tcW w:w="2297" w:type="dxa"/>
                  <w:vMerge/>
                  <w:tcMar>
                    <w:top w:w="28" w:type="dxa"/>
                    <w:bottom w:w="28" w:type="dxa"/>
                  </w:tcMar>
                </w:tcPr>
                <w:p w:rsidR="00B033A1" w:rsidRPr="006054BD" w:rsidRDefault="00B033A1" w:rsidP="00B6241B">
                  <w:pPr>
                    <w:tabs>
                      <w:tab w:val="right" w:pos="3720"/>
                      <w:tab w:val="left" w:pos="4003"/>
                    </w:tabs>
                    <w:jc w:val="left"/>
                    <w:rPr>
                      <w:rFonts w:cs="Arial"/>
                      <w:sz w:val="18"/>
                      <w:szCs w:val="18"/>
                    </w:rPr>
                  </w:pPr>
                </w:p>
              </w:tc>
              <w:tc>
                <w:tcPr>
                  <w:tcW w:w="1020" w:type="dxa"/>
                  <w:tcMar>
                    <w:top w:w="28" w:type="dxa"/>
                    <w:bottom w:w="28" w:type="dxa"/>
                  </w:tcMar>
                </w:tcPr>
                <w:p w:rsidR="00B033A1" w:rsidRPr="006054BD" w:rsidRDefault="00D31C4B" w:rsidP="00B033A1">
                  <w:pPr>
                    <w:tabs>
                      <w:tab w:val="right" w:pos="3720"/>
                      <w:tab w:val="left" w:pos="4003"/>
                    </w:tabs>
                    <w:jc w:val="center"/>
                    <w:rPr>
                      <w:rFonts w:cs="Arial"/>
                      <w:sz w:val="18"/>
                      <w:szCs w:val="18"/>
                    </w:rPr>
                  </w:pPr>
                  <w:r>
                    <w:rPr>
                      <w:rFonts w:cs="Arial"/>
                      <w:sz w:val="18"/>
                      <w:szCs w:val="18"/>
                    </w:rPr>
                    <w:t>Besuche</w:t>
                  </w:r>
                </w:p>
              </w:tc>
              <w:tc>
                <w:tcPr>
                  <w:tcW w:w="767" w:type="dxa"/>
                  <w:tcMar>
                    <w:top w:w="28" w:type="dxa"/>
                    <w:bottom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w:t>
                  </w:r>
                </w:p>
              </w:tc>
              <w:tc>
                <w:tcPr>
                  <w:tcW w:w="927" w:type="dxa"/>
                  <w:tcMar>
                    <w:top w:w="28" w:type="dxa"/>
                  </w:tcMar>
                </w:tcPr>
                <w:p w:rsidR="00B033A1" w:rsidRPr="006054BD" w:rsidRDefault="00D31C4B" w:rsidP="00B033A1">
                  <w:pPr>
                    <w:tabs>
                      <w:tab w:val="right" w:pos="3720"/>
                      <w:tab w:val="left" w:pos="4003"/>
                    </w:tabs>
                    <w:jc w:val="center"/>
                    <w:rPr>
                      <w:rFonts w:cs="Arial"/>
                      <w:sz w:val="18"/>
                      <w:szCs w:val="18"/>
                    </w:rPr>
                  </w:pPr>
                  <w:r>
                    <w:rPr>
                      <w:rFonts w:cs="Arial"/>
                      <w:sz w:val="18"/>
                      <w:szCs w:val="18"/>
                    </w:rPr>
                    <w:t>Besuche</w:t>
                  </w:r>
                </w:p>
              </w:tc>
              <w:tc>
                <w:tcPr>
                  <w:tcW w:w="767" w:type="dxa"/>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w:t>
                  </w:r>
                </w:p>
              </w:tc>
              <w:tc>
                <w:tcPr>
                  <w:tcW w:w="927" w:type="dxa"/>
                  <w:tcMar>
                    <w:top w:w="28" w:type="dxa"/>
                  </w:tcMar>
                </w:tcPr>
                <w:p w:rsidR="00B033A1" w:rsidRPr="006054BD" w:rsidRDefault="00D31C4B" w:rsidP="00B033A1">
                  <w:pPr>
                    <w:tabs>
                      <w:tab w:val="right" w:pos="3720"/>
                      <w:tab w:val="left" w:pos="4003"/>
                    </w:tabs>
                    <w:jc w:val="center"/>
                    <w:rPr>
                      <w:rFonts w:cs="Arial"/>
                      <w:sz w:val="18"/>
                      <w:szCs w:val="18"/>
                    </w:rPr>
                  </w:pPr>
                  <w:r>
                    <w:rPr>
                      <w:rFonts w:cs="Arial"/>
                      <w:sz w:val="18"/>
                      <w:szCs w:val="18"/>
                    </w:rPr>
                    <w:t>Besuche</w:t>
                  </w:r>
                </w:p>
              </w:tc>
              <w:tc>
                <w:tcPr>
                  <w:tcW w:w="808" w:type="dxa"/>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en-us</w:t>
                  </w:r>
                  <w:r w:rsidR="002172B9" w:rsidRPr="006054BD">
                    <w:rPr>
                      <w:rFonts w:cs="Arial"/>
                      <w:sz w:val="18"/>
                      <w:szCs w:val="18"/>
                    </w:rPr>
                    <w:br/>
                    <w:t>Englis</w:t>
                  </w:r>
                  <w:r w:rsidR="00D31C4B">
                    <w:rPr>
                      <w:rFonts w:cs="Arial"/>
                      <w:sz w:val="18"/>
                      <w:szCs w:val="18"/>
                    </w:rPr>
                    <w:t>c</w:t>
                  </w:r>
                  <w:r w:rsidR="002172B9" w:rsidRPr="006054BD">
                    <w:rPr>
                      <w:rFonts w:cs="Arial"/>
                      <w:sz w:val="18"/>
                      <w:szCs w:val="18"/>
                    </w:rPr>
                    <w:t>h (US</w:t>
                  </w:r>
                  <w:r w:rsidR="004B4CE9" w:rsidRPr="006054BD">
                    <w:rPr>
                      <w:rFonts w:cs="Arial"/>
                      <w:sz w:val="18"/>
                      <w:szCs w:val="18"/>
                    </w:rPr>
                    <w:t>A</w:t>
                  </w:r>
                  <w:r w:rsidR="002172B9" w:rsidRPr="006054BD">
                    <w:rPr>
                      <w:rFonts w:cs="Arial"/>
                      <w:sz w:val="18"/>
                      <w:szCs w:val="18"/>
                    </w:rPr>
                    <w:t>)</w:t>
                  </w:r>
                </w:p>
              </w:tc>
              <w:tc>
                <w:tcPr>
                  <w:tcW w:w="1020" w:type="dxa"/>
                  <w:tcMar>
                    <w:top w:w="28" w:type="dxa"/>
                    <w:bottom w:w="28" w:type="dxa"/>
                  </w:tcMar>
                  <w:vAlign w:val="bottom"/>
                </w:tcPr>
                <w:p w:rsidR="00B033A1" w:rsidRPr="006054BD" w:rsidRDefault="00B033A1" w:rsidP="00D31C4B">
                  <w:pPr>
                    <w:tabs>
                      <w:tab w:val="right" w:pos="3720"/>
                      <w:tab w:val="left" w:pos="4003"/>
                    </w:tabs>
                    <w:jc w:val="right"/>
                    <w:rPr>
                      <w:rFonts w:cs="Arial"/>
                      <w:sz w:val="18"/>
                      <w:szCs w:val="18"/>
                    </w:rPr>
                  </w:pPr>
                  <w:r w:rsidRPr="006054BD">
                    <w:rPr>
                      <w:rFonts w:cs="Arial"/>
                      <w:sz w:val="18"/>
                      <w:szCs w:val="18"/>
                    </w:rPr>
                    <w:t>57</w:t>
                  </w:r>
                  <w:r w:rsidR="00D31C4B">
                    <w:rPr>
                      <w:rFonts w:cs="Arial"/>
                      <w:sz w:val="18"/>
                      <w:szCs w:val="18"/>
                    </w:rPr>
                    <w:t xml:space="preserve"> </w:t>
                  </w:r>
                  <w:r w:rsidRPr="006054BD">
                    <w:rPr>
                      <w:rFonts w:cs="Arial"/>
                      <w:sz w:val="18"/>
                      <w:szCs w:val="18"/>
                    </w:rPr>
                    <w:t>341</w:t>
                  </w:r>
                </w:p>
              </w:tc>
              <w:tc>
                <w:tcPr>
                  <w:tcW w:w="767" w:type="dxa"/>
                  <w:tcMar>
                    <w:top w:w="28" w:type="dxa"/>
                    <w:bottom w:w="28" w:type="dxa"/>
                  </w:tcMar>
                  <w:vAlign w:val="bottom"/>
                </w:tcPr>
                <w:p w:rsidR="00B033A1" w:rsidRPr="006054BD" w:rsidRDefault="00B033A1" w:rsidP="00D31C4B">
                  <w:pPr>
                    <w:tabs>
                      <w:tab w:val="right" w:pos="3720"/>
                      <w:tab w:val="left" w:pos="4003"/>
                    </w:tabs>
                    <w:jc w:val="right"/>
                    <w:rPr>
                      <w:rFonts w:cs="Arial"/>
                      <w:sz w:val="18"/>
                      <w:szCs w:val="18"/>
                    </w:rPr>
                  </w:pPr>
                  <w:r w:rsidRPr="006054BD">
                    <w:rPr>
                      <w:rFonts w:cs="Arial"/>
                      <w:sz w:val="18"/>
                      <w:szCs w:val="18"/>
                    </w:rPr>
                    <w:t>37</w:t>
                  </w:r>
                  <w:r w:rsidR="00D31C4B">
                    <w:rPr>
                      <w:rFonts w:cs="Arial"/>
                      <w:sz w:val="18"/>
                      <w:szCs w:val="18"/>
                    </w:rPr>
                    <w:t>,</w:t>
                  </w:r>
                  <w:r w:rsidRPr="006054BD">
                    <w:rPr>
                      <w:rFonts w:cs="Arial"/>
                      <w:sz w:val="18"/>
                      <w:szCs w:val="18"/>
                    </w:rPr>
                    <w:t>75</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50 </w:t>
                  </w:r>
                  <w:r w:rsidR="00B033A1" w:rsidRPr="006054BD">
                    <w:rPr>
                      <w:rFonts w:cs="Arial"/>
                      <w:sz w:val="18"/>
                      <w:szCs w:val="18"/>
                    </w:rPr>
                    <w:t>571</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36,</w:t>
                  </w:r>
                  <w:r w:rsidR="00B033A1" w:rsidRPr="006054BD">
                    <w:rPr>
                      <w:rFonts w:cs="Arial"/>
                      <w:sz w:val="18"/>
                      <w:szCs w:val="18"/>
                    </w:rPr>
                    <w:t>03</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46 </w:t>
                  </w:r>
                  <w:r w:rsidR="00B033A1" w:rsidRPr="006054BD">
                    <w:rPr>
                      <w:rFonts w:cs="Arial"/>
                      <w:sz w:val="18"/>
                      <w:szCs w:val="18"/>
                    </w:rPr>
                    <w:t>527</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39,</w:t>
                  </w:r>
                  <w:r w:rsidR="00833F99" w:rsidRPr="006054BD">
                    <w:rPr>
                      <w:rFonts w:cs="Arial"/>
                      <w:sz w:val="18"/>
                      <w:szCs w:val="18"/>
                    </w:rPr>
                    <w:t>13</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es</w:t>
                  </w:r>
                  <w:r w:rsidR="002172B9" w:rsidRPr="006054BD">
                    <w:rPr>
                      <w:rFonts w:cs="Arial"/>
                      <w:sz w:val="18"/>
                      <w:szCs w:val="18"/>
                    </w:rPr>
                    <w:br/>
                    <w:t>Spanis</w:t>
                  </w:r>
                  <w:r w:rsidR="00D31C4B">
                    <w:rPr>
                      <w:rFonts w:cs="Arial"/>
                      <w:sz w:val="18"/>
                      <w:szCs w:val="18"/>
                    </w:rPr>
                    <w:t>c</w:t>
                  </w:r>
                  <w:r w:rsidR="002172B9" w:rsidRPr="006054BD">
                    <w:rPr>
                      <w:rFonts w:cs="Arial"/>
                      <w:sz w:val="18"/>
                      <w:szCs w:val="18"/>
                    </w:rPr>
                    <w:t>h</w:t>
                  </w:r>
                </w:p>
              </w:tc>
              <w:tc>
                <w:tcPr>
                  <w:tcW w:w="1020" w:type="dxa"/>
                  <w:tcMar>
                    <w:top w:w="28" w:type="dxa"/>
                    <w:bottom w:w="28" w:type="dxa"/>
                  </w:tcMar>
                  <w:vAlign w:val="bottom"/>
                </w:tcPr>
                <w:p w:rsidR="00B033A1" w:rsidRPr="006054BD" w:rsidRDefault="00B033A1" w:rsidP="00D31C4B">
                  <w:pPr>
                    <w:tabs>
                      <w:tab w:val="right" w:pos="3720"/>
                      <w:tab w:val="left" w:pos="4003"/>
                    </w:tabs>
                    <w:jc w:val="right"/>
                    <w:rPr>
                      <w:rFonts w:cs="Arial"/>
                      <w:sz w:val="18"/>
                      <w:szCs w:val="18"/>
                    </w:rPr>
                  </w:pPr>
                  <w:r w:rsidRPr="006054BD">
                    <w:rPr>
                      <w:rFonts w:cs="Arial"/>
                      <w:sz w:val="18"/>
                      <w:szCs w:val="18"/>
                    </w:rPr>
                    <w:t>19</w:t>
                  </w:r>
                  <w:r w:rsidR="00D31C4B">
                    <w:rPr>
                      <w:rFonts w:cs="Arial"/>
                      <w:sz w:val="18"/>
                      <w:szCs w:val="18"/>
                    </w:rPr>
                    <w:t xml:space="preserve"> </w:t>
                  </w:r>
                  <w:r w:rsidRPr="006054BD">
                    <w:rPr>
                      <w:rFonts w:cs="Arial"/>
                      <w:sz w:val="18"/>
                      <w:szCs w:val="18"/>
                    </w:rPr>
                    <w:t>001</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12,</w:t>
                  </w:r>
                  <w:r w:rsidR="00B033A1" w:rsidRPr="006054BD">
                    <w:rPr>
                      <w:rFonts w:cs="Arial"/>
                      <w:sz w:val="18"/>
                      <w:szCs w:val="18"/>
                    </w:rPr>
                    <w:t>51</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23 </w:t>
                  </w:r>
                  <w:r w:rsidR="00B033A1" w:rsidRPr="006054BD">
                    <w:rPr>
                      <w:rFonts w:cs="Arial"/>
                      <w:sz w:val="18"/>
                      <w:szCs w:val="18"/>
                    </w:rPr>
                    <w:t>605</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16,</w:t>
                  </w:r>
                  <w:r w:rsidR="00B033A1" w:rsidRPr="006054BD">
                    <w:rPr>
                      <w:rFonts w:cs="Arial"/>
                      <w:sz w:val="18"/>
                      <w:szCs w:val="18"/>
                    </w:rPr>
                    <w:t>82</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16 </w:t>
                  </w:r>
                  <w:r w:rsidR="00833F99" w:rsidRPr="006054BD">
                    <w:rPr>
                      <w:rFonts w:cs="Arial"/>
                      <w:sz w:val="18"/>
                      <w:szCs w:val="18"/>
                    </w:rPr>
                    <w:t>141</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13,</w:t>
                  </w:r>
                  <w:r w:rsidR="00833F99" w:rsidRPr="006054BD">
                    <w:rPr>
                      <w:rFonts w:cs="Arial"/>
                      <w:sz w:val="18"/>
                      <w:szCs w:val="18"/>
                    </w:rPr>
                    <w:t>58</w:t>
                  </w:r>
                </w:p>
              </w:tc>
            </w:tr>
            <w:tr w:rsidR="00B033A1" w:rsidRPr="006054BD" w:rsidTr="00D31C4B">
              <w:tc>
                <w:tcPr>
                  <w:tcW w:w="2297" w:type="dxa"/>
                  <w:tcMar>
                    <w:top w:w="28" w:type="dxa"/>
                    <w:bottom w:w="28" w:type="dxa"/>
                  </w:tcMar>
                </w:tcPr>
                <w:p w:rsidR="00B033A1" w:rsidRPr="006054BD" w:rsidRDefault="00B033A1" w:rsidP="00947808">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fr</w:t>
                  </w:r>
                  <w:r w:rsidR="002172B9" w:rsidRPr="006054BD">
                    <w:rPr>
                      <w:rFonts w:cs="Arial"/>
                      <w:sz w:val="18"/>
                      <w:szCs w:val="18"/>
                    </w:rPr>
                    <w:br/>
                    <w:t>Fr</w:t>
                  </w:r>
                  <w:r w:rsidR="00D31C4B">
                    <w:rPr>
                      <w:rFonts w:cs="Arial"/>
                      <w:sz w:val="18"/>
                      <w:szCs w:val="18"/>
                    </w:rPr>
                    <w:t>anzösi</w:t>
                  </w:r>
                  <w:r w:rsidR="00947808">
                    <w:rPr>
                      <w:rFonts w:cs="Arial"/>
                      <w:sz w:val="18"/>
                      <w:szCs w:val="18"/>
                    </w:rPr>
                    <w:t>s</w:t>
                  </w:r>
                  <w:r w:rsidR="00D31C4B">
                    <w:rPr>
                      <w:rFonts w:cs="Arial"/>
                      <w:sz w:val="18"/>
                      <w:szCs w:val="18"/>
                    </w:rPr>
                    <w:t>ch</w:t>
                  </w:r>
                </w:p>
              </w:tc>
              <w:tc>
                <w:tcPr>
                  <w:tcW w:w="1020" w:type="dxa"/>
                  <w:tcMar>
                    <w:top w:w="28" w:type="dxa"/>
                    <w:bottom w:w="28" w:type="dxa"/>
                  </w:tcMar>
                  <w:vAlign w:val="bottom"/>
                </w:tcPr>
                <w:p w:rsidR="00B033A1" w:rsidRPr="006054BD" w:rsidRDefault="00B033A1" w:rsidP="00D31C4B">
                  <w:pPr>
                    <w:tabs>
                      <w:tab w:val="right" w:pos="3720"/>
                      <w:tab w:val="left" w:pos="4003"/>
                    </w:tabs>
                    <w:jc w:val="right"/>
                    <w:rPr>
                      <w:rFonts w:cs="Arial"/>
                      <w:sz w:val="18"/>
                      <w:szCs w:val="18"/>
                    </w:rPr>
                  </w:pPr>
                  <w:r w:rsidRPr="006054BD">
                    <w:rPr>
                      <w:rFonts w:cs="Arial"/>
                      <w:sz w:val="18"/>
                      <w:szCs w:val="18"/>
                    </w:rPr>
                    <w:t>14</w:t>
                  </w:r>
                  <w:r w:rsidR="00D31C4B">
                    <w:rPr>
                      <w:rFonts w:cs="Arial"/>
                      <w:sz w:val="18"/>
                      <w:szCs w:val="18"/>
                    </w:rPr>
                    <w:t xml:space="preserve"> </w:t>
                  </w:r>
                  <w:r w:rsidRPr="006054BD">
                    <w:rPr>
                      <w:rFonts w:cs="Arial"/>
                      <w:sz w:val="18"/>
                      <w:szCs w:val="18"/>
                    </w:rPr>
                    <w:t>212</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9,</w:t>
                  </w:r>
                  <w:r w:rsidR="00B033A1" w:rsidRPr="006054BD">
                    <w:rPr>
                      <w:rFonts w:cs="Arial"/>
                      <w:sz w:val="18"/>
                      <w:szCs w:val="18"/>
                    </w:rPr>
                    <w:t>36</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10 </w:t>
                  </w:r>
                  <w:r w:rsidR="00B033A1" w:rsidRPr="006054BD">
                    <w:rPr>
                      <w:rFonts w:cs="Arial"/>
                      <w:sz w:val="18"/>
                      <w:szCs w:val="18"/>
                    </w:rPr>
                    <w:t>670</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7,</w:t>
                  </w:r>
                  <w:r w:rsidR="00B033A1" w:rsidRPr="006054BD">
                    <w:rPr>
                      <w:rFonts w:cs="Arial"/>
                      <w:sz w:val="18"/>
                      <w:szCs w:val="18"/>
                    </w:rPr>
                    <w:t>60</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11 </w:t>
                  </w:r>
                  <w:r w:rsidR="00833F99" w:rsidRPr="006054BD">
                    <w:rPr>
                      <w:rFonts w:cs="Arial"/>
                      <w:sz w:val="18"/>
                      <w:szCs w:val="18"/>
                    </w:rPr>
                    <w:t>169</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9,</w:t>
                  </w:r>
                  <w:r w:rsidR="00833F99" w:rsidRPr="006054BD">
                    <w:rPr>
                      <w:rFonts w:cs="Arial"/>
                      <w:sz w:val="18"/>
                      <w:szCs w:val="18"/>
                    </w:rPr>
                    <w:t>39</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ja</w:t>
                  </w:r>
                  <w:r w:rsidR="002172B9" w:rsidRPr="006054BD">
                    <w:rPr>
                      <w:rFonts w:cs="Arial"/>
                      <w:sz w:val="18"/>
                      <w:szCs w:val="18"/>
                    </w:rPr>
                    <w:br/>
                    <w:t>Jap</w:t>
                  </w:r>
                  <w:r w:rsidR="004B4CE9" w:rsidRPr="006054BD">
                    <w:rPr>
                      <w:rFonts w:cs="Arial"/>
                      <w:sz w:val="18"/>
                      <w:szCs w:val="18"/>
                    </w:rPr>
                    <w:t>a</w:t>
                  </w:r>
                  <w:r w:rsidR="002172B9" w:rsidRPr="006054BD">
                    <w:rPr>
                      <w:rFonts w:cs="Arial"/>
                      <w:sz w:val="18"/>
                      <w:szCs w:val="18"/>
                    </w:rPr>
                    <w:t>n</w:t>
                  </w:r>
                  <w:r w:rsidR="00D31C4B">
                    <w:rPr>
                      <w:rFonts w:cs="Arial"/>
                      <w:sz w:val="18"/>
                      <w:szCs w:val="18"/>
                    </w:rPr>
                    <w:t>isch</w:t>
                  </w:r>
                </w:p>
              </w:tc>
              <w:tc>
                <w:tcPr>
                  <w:tcW w:w="1020" w:type="dxa"/>
                  <w:tcMar>
                    <w:top w:w="28" w:type="dxa"/>
                    <w:bottom w:w="28" w:type="dxa"/>
                  </w:tcMar>
                  <w:vAlign w:val="bottom"/>
                </w:tcPr>
                <w:p w:rsidR="00B033A1" w:rsidRPr="006054BD" w:rsidRDefault="00B033A1" w:rsidP="00D31C4B">
                  <w:pPr>
                    <w:tabs>
                      <w:tab w:val="right" w:pos="3720"/>
                      <w:tab w:val="left" w:pos="4003"/>
                    </w:tabs>
                    <w:jc w:val="right"/>
                    <w:rPr>
                      <w:rFonts w:cs="Arial"/>
                      <w:sz w:val="18"/>
                      <w:szCs w:val="18"/>
                    </w:rPr>
                  </w:pPr>
                  <w:r w:rsidRPr="006054BD">
                    <w:rPr>
                      <w:rFonts w:cs="Arial"/>
                      <w:sz w:val="18"/>
                      <w:szCs w:val="18"/>
                    </w:rPr>
                    <w:t>7</w:t>
                  </w:r>
                  <w:r w:rsidR="00D31C4B">
                    <w:rPr>
                      <w:rFonts w:cs="Arial"/>
                      <w:sz w:val="18"/>
                      <w:szCs w:val="18"/>
                    </w:rPr>
                    <w:t xml:space="preserve"> </w:t>
                  </w:r>
                  <w:r w:rsidRPr="006054BD">
                    <w:rPr>
                      <w:rFonts w:cs="Arial"/>
                      <w:sz w:val="18"/>
                      <w:szCs w:val="18"/>
                    </w:rPr>
                    <w:t>562</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4,</w:t>
                  </w:r>
                  <w:r w:rsidR="00B033A1" w:rsidRPr="006054BD">
                    <w:rPr>
                      <w:rFonts w:cs="Arial"/>
                      <w:sz w:val="18"/>
                      <w:szCs w:val="18"/>
                    </w:rPr>
                    <w:t>98</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6 </w:t>
                  </w:r>
                  <w:r w:rsidR="00B033A1" w:rsidRPr="006054BD">
                    <w:rPr>
                      <w:rFonts w:cs="Arial"/>
                      <w:sz w:val="18"/>
                      <w:szCs w:val="18"/>
                    </w:rPr>
                    <w:t>387</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4,</w:t>
                  </w:r>
                  <w:r w:rsidR="00B033A1" w:rsidRPr="006054BD">
                    <w:rPr>
                      <w:rFonts w:cs="Arial"/>
                      <w:sz w:val="18"/>
                      <w:szCs w:val="18"/>
                    </w:rPr>
                    <w:t>55</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5 </w:t>
                  </w:r>
                  <w:r w:rsidR="00833F99" w:rsidRPr="006054BD">
                    <w:rPr>
                      <w:rFonts w:cs="Arial"/>
                      <w:sz w:val="18"/>
                      <w:szCs w:val="18"/>
                    </w:rPr>
                    <w:t>349</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4,</w:t>
                  </w:r>
                  <w:r w:rsidR="00833F99" w:rsidRPr="006054BD">
                    <w:rPr>
                      <w:rFonts w:cs="Arial"/>
                      <w:sz w:val="18"/>
                      <w:szCs w:val="18"/>
                    </w:rPr>
                    <w:t>50</w:t>
                  </w:r>
                </w:p>
              </w:tc>
            </w:tr>
            <w:tr w:rsidR="00B033A1" w:rsidRPr="006054BD" w:rsidTr="00D31C4B">
              <w:tc>
                <w:tcPr>
                  <w:tcW w:w="2297" w:type="dxa"/>
                  <w:tcMar>
                    <w:top w:w="28" w:type="dxa"/>
                    <w:bottom w:w="28" w:type="dxa"/>
                  </w:tcMar>
                </w:tcPr>
                <w:p w:rsidR="00B033A1" w:rsidRPr="006054BD" w:rsidRDefault="00B033A1" w:rsidP="00D31C4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es-es</w:t>
                  </w:r>
                  <w:r w:rsidR="002172B9" w:rsidRPr="006054BD">
                    <w:rPr>
                      <w:rFonts w:cs="Arial"/>
                      <w:sz w:val="18"/>
                      <w:szCs w:val="18"/>
                    </w:rPr>
                    <w:br/>
                    <w:t>Spanis</w:t>
                  </w:r>
                  <w:r w:rsidR="00D31C4B">
                    <w:rPr>
                      <w:rFonts w:cs="Arial"/>
                      <w:sz w:val="18"/>
                      <w:szCs w:val="18"/>
                    </w:rPr>
                    <w:t>c</w:t>
                  </w:r>
                  <w:r w:rsidR="002172B9" w:rsidRPr="006054BD">
                    <w:rPr>
                      <w:rFonts w:cs="Arial"/>
                      <w:sz w:val="18"/>
                      <w:szCs w:val="18"/>
                    </w:rPr>
                    <w:t>h (Span</w:t>
                  </w:r>
                  <w:r w:rsidR="00D31C4B">
                    <w:rPr>
                      <w:rFonts w:cs="Arial"/>
                      <w:sz w:val="18"/>
                      <w:szCs w:val="18"/>
                    </w:rPr>
                    <w:t>ien</w:t>
                  </w:r>
                  <w:r w:rsidR="002172B9" w:rsidRPr="006054BD">
                    <w:rPr>
                      <w:rFonts w:cs="Arial"/>
                      <w:sz w:val="18"/>
                      <w:szCs w:val="18"/>
                    </w:rPr>
                    <w:t>)</w:t>
                  </w:r>
                </w:p>
              </w:tc>
              <w:tc>
                <w:tcPr>
                  <w:tcW w:w="1020" w:type="dxa"/>
                  <w:tcMar>
                    <w:top w:w="28" w:type="dxa"/>
                    <w:bottom w:w="28" w:type="dxa"/>
                  </w:tcMar>
                  <w:vAlign w:val="bottom"/>
                </w:tcPr>
                <w:p w:rsidR="00B033A1" w:rsidRPr="006054BD" w:rsidRDefault="00B033A1" w:rsidP="00D31C4B">
                  <w:pPr>
                    <w:tabs>
                      <w:tab w:val="right" w:pos="3720"/>
                      <w:tab w:val="left" w:pos="4003"/>
                    </w:tabs>
                    <w:jc w:val="right"/>
                    <w:rPr>
                      <w:rFonts w:cs="Arial"/>
                      <w:sz w:val="18"/>
                      <w:szCs w:val="18"/>
                    </w:rPr>
                  </w:pPr>
                  <w:r w:rsidRPr="006054BD">
                    <w:rPr>
                      <w:rFonts w:cs="Arial"/>
                      <w:sz w:val="18"/>
                      <w:szCs w:val="18"/>
                    </w:rPr>
                    <w:t>5</w:t>
                  </w:r>
                  <w:r w:rsidR="00D31C4B">
                    <w:rPr>
                      <w:rFonts w:cs="Arial"/>
                      <w:sz w:val="18"/>
                      <w:szCs w:val="18"/>
                    </w:rPr>
                    <w:t xml:space="preserve"> </w:t>
                  </w:r>
                  <w:r w:rsidRPr="006054BD">
                    <w:rPr>
                      <w:rFonts w:cs="Arial"/>
                      <w:sz w:val="18"/>
                      <w:szCs w:val="18"/>
                    </w:rPr>
                    <w:t>698</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3,</w:t>
                  </w:r>
                  <w:r w:rsidR="00B033A1" w:rsidRPr="006054BD">
                    <w:rPr>
                      <w:rFonts w:cs="Arial"/>
                      <w:sz w:val="18"/>
                      <w:szCs w:val="18"/>
                    </w:rPr>
                    <w:t>75</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9 </w:t>
                  </w:r>
                  <w:r w:rsidR="00B033A1" w:rsidRPr="006054BD">
                    <w:rPr>
                      <w:rFonts w:cs="Arial"/>
                      <w:sz w:val="18"/>
                      <w:szCs w:val="18"/>
                    </w:rPr>
                    <w:t>124</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6,</w:t>
                  </w:r>
                  <w:r w:rsidR="00B033A1" w:rsidRPr="006054BD">
                    <w:rPr>
                      <w:rFonts w:cs="Arial"/>
                      <w:sz w:val="18"/>
                      <w:szCs w:val="18"/>
                    </w:rPr>
                    <w:t>50</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4 </w:t>
                  </w:r>
                  <w:r w:rsidR="00833F99" w:rsidRPr="006054BD">
                    <w:rPr>
                      <w:rFonts w:cs="Arial"/>
                      <w:sz w:val="18"/>
                      <w:szCs w:val="18"/>
                    </w:rPr>
                    <w:t>104</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3,</w:t>
                  </w:r>
                  <w:r w:rsidR="00833F99" w:rsidRPr="006054BD">
                    <w:rPr>
                      <w:rFonts w:cs="Arial"/>
                      <w:sz w:val="18"/>
                      <w:szCs w:val="18"/>
                    </w:rPr>
                    <w:t>45</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de</w:t>
                  </w:r>
                  <w:r w:rsidR="002172B9" w:rsidRPr="006054BD">
                    <w:rPr>
                      <w:rFonts w:cs="Arial"/>
                      <w:sz w:val="18"/>
                      <w:szCs w:val="18"/>
                    </w:rPr>
                    <w:br/>
                  </w:r>
                  <w:r w:rsidR="00D31C4B">
                    <w:rPr>
                      <w:rFonts w:cs="Arial"/>
                      <w:sz w:val="18"/>
                      <w:szCs w:val="18"/>
                    </w:rPr>
                    <w:t>Deutsch</w:t>
                  </w:r>
                </w:p>
              </w:tc>
              <w:tc>
                <w:tcPr>
                  <w:tcW w:w="1020"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4 </w:t>
                  </w:r>
                  <w:r w:rsidR="00B033A1" w:rsidRPr="006054BD">
                    <w:rPr>
                      <w:rFonts w:cs="Arial"/>
                      <w:sz w:val="18"/>
                      <w:szCs w:val="18"/>
                    </w:rPr>
                    <w:t>562</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3,</w:t>
                  </w:r>
                  <w:r w:rsidR="00B033A1" w:rsidRPr="006054BD">
                    <w:rPr>
                      <w:rFonts w:cs="Arial"/>
                      <w:sz w:val="18"/>
                      <w:szCs w:val="18"/>
                    </w:rPr>
                    <w:t>00</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5 </w:t>
                  </w:r>
                  <w:r w:rsidR="00B033A1" w:rsidRPr="006054BD">
                    <w:rPr>
                      <w:rFonts w:cs="Arial"/>
                      <w:sz w:val="18"/>
                      <w:szCs w:val="18"/>
                    </w:rPr>
                    <w:t>577</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3,</w:t>
                  </w:r>
                  <w:r w:rsidR="00B033A1" w:rsidRPr="006054BD">
                    <w:rPr>
                      <w:rFonts w:cs="Arial"/>
                      <w:sz w:val="18"/>
                      <w:szCs w:val="18"/>
                    </w:rPr>
                    <w:t>97</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7 </w:t>
                  </w:r>
                  <w:r w:rsidR="00833F99" w:rsidRPr="006054BD">
                    <w:rPr>
                      <w:rFonts w:cs="Arial"/>
                      <w:sz w:val="18"/>
                      <w:szCs w:val="18"/>
                    </w:rPr>
                    <w:t>068</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5,</w:t>
                  </w:r>
                  <w:r w:rsidR="00833F99" w:rsidRPr="006054BD">
                    <w:rPr>
                      <w:rFonts w:cs="Arial"/>
                      <w:sz w:val="18"/>
                      <w:szCs w:val="18"/>
                    </w:rPr>
                    <w:t>94</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nl</w:t>
                  </w:r>
                  <w:r w:rsidR="002172B9" w:rsidRPr="006054BD">
                    <w:rPr>
                      <w:rFonts w:cs="Arial"/>
                      <w:sz w:val="18"/>
                      <w:szCs w:val="18"/>
                    </w:rPr>
                    <w:br/>
                  </w:r>
                  <w:r w:rsidR="00D31C4B">
                    <w:rPr>
                      <w:rFonts w:cs="Arial"/>
                      <w:sz w:val="18"/>
                      <w:szCs w:val="18"/>
                    </w:rPr>
                    <w:t>Niederländisch</w:t>
                  </w:r>
                </w:p>
              </w:tc>
              <w:tc>
                <w:tcPr>
                  <w:tcW w:w="1020"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4 </w:t>
                  </w:r>
                  <w:r w:rsidR="00B033A1" w:rsidRPr="006054BD">
                    <w:rPr>
                      <w:rFonts w:cs="Arial"/>
                      <w:sz w:val="18"/>
                      <w:szCs w:val="18"/>
                    </w:rPr>
                    <w:t>152</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B033A1" w:rsidRPr="006054BD">
                    <w:rPr>
                      <w:rFonts w:cs="Arial"/>
                      <w:sz w:val="18"/>
                      <w:szCs w:val="18"/>
                    </w:rPr>
                    <w:t>73</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2 </w:t>
                  </w:r>
                  <w:r w:rsidR="00B033A1" w:rsidRPr="006054BD">
                    <w:rPr>
                      <w:rFonts w:cs="Arial"/>
                      <w:sz w:val="18"/>
                      <w:szCs w:val="18"/>
                    </w:rPr>
                    <w:t>742</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1,</w:t>
                  </w:r>
                  <w:r w:rsidR="00B033A1" w:rsidRPr="006054BD">
                    <w:rPr>
                      <w:rFonts w:cs="Arial"/>
                      <w:sz w:val="18"/>
                      <w:szCs w:val="18"/>
                    </w:rPr>
                    <w:t>95</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2 </w:t>
                  </w:r>
                  <w:r w:rsidR="00833F99" w:rsidRPr="006054BD">
                    <w:rPr>
                      <w:rFonts w:cs="Arial"/>
                      <w:sz w:val="18"/>
                      <w:szCs w:val="18"/>
                    </w:rPr>
                    <w:t>671</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833F99" w:rsidRPr="006054BD">
                    <w:rPr>
                      <w:rFonts w:cs="Arial"/>
                      <w:sz w:val="18"/>
                      <w:szCs w:val="18"/>
                    </w:rPr>
                    <w:t>25</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ru</w:t>
                  </w:r>
                  <w:r w:rsidR="002172B9" w:rsidRPr="006054BD">
                    <w:rPr>
                      <w:rFonts w:cs="Arial"/>
                      <w:sz w:val="18"/>
                      <w:szCs w:val="18"/>
                    </w:rPr>
                    <w:br/>
                    <w:t>Russi</w:t>
                  </w:r>
                  <w:r w:rsidR="00D31C4B">
                    <w:rPr>
                      <w:rFonts w:cs="Arial"/>
                      <w:sz w:val="18"/>
                      <w:szCs w:val="18"/>
                    </w:rPr>
                    <w:t>sch</w:t>
                  </w:r>
                </w:p>
              </w:tc>
              <w:tc>
                <w:tcPr>
                  <w:tcW w:w="1020"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3 </w:t>
                  </w:r>
                  <w:r w:rsidR="00B033A1" w:rsidRPr="006054BD">
                    <w:rPr>
                      <w:rFonts w:cs="Arial"/>
                      <w:sz w:val="18"/>
                      <w:szCs w:val="18"/>
                    </w:rPr>
                    <w:t>630</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B033A1" w:rsidRPr="006054BD">
                    <w:rPr>
                      <w:rFonts w:cs="Arial"/>
                      <w:sz w:val="18"/>
                      <w:szCs w:val="18"/>
                    </w:rPr>
                    <w:t>39</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3 </w:t>
                  </w:r>
                  <w:r w:rsidR="00B033A1" w:rsidRPr="006054BD">
                    <w:rPr>
                      <w:rFonts w:cs="Arial"/>
                      <w:sz w:val="18"/>
                      <w:szCs w:val="18"/>
                    </w:rPr>
                    <w:t>168</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B033A1" w:rsidRPr="006054BD">
                    <w:rPr>
                      <w:rFonts w:cs="Arial"/>
                      <w:sz w:val="18"/>
                      <w:szCs w:val="18"/>
                    </w:rPr>
                    <w:t>26</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2 </w:t>
                  </w:r>
                  <w:r w:rsidR="00833F99" w:rsidRPr="006054BD">
                    <w:rPr>
                      <w:rFonts w:cs="Arial"/>
                      <w:sz w:val="18"/>
                      <w:szCs w:val="18"/>
                    </w:rPr>
                    <w:t>509</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833F99" w:rsidRPr="006054BD">
                    <w:rPr>
                      <w:rFonts w:cs="Arial"/>
                      <w:sz w:val="18"/>
                      <w:szCs w:val="18"/>
                    </w:rPr>
                    <w:t>11</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zh-cn</w:t>
                  </w:r>
                  <w:r w:rsidR="002172B9" w:rsidRPr="006054BD">
                    <w:rPr>
                      <w:rFonts w:cs="Arial"/>
                      <w:sz w:val="18"/>
                      <w:szCs w:val="18"/>
                    </w:rPr>
                    <w:br/>
                    <w:t>Chines</w:t>
                  </w:r>
                  <w:r w:rsidR="00D31C4B">
                    <w:rPr>
                      <w:rFonts w:cs="Arial"/>
                      <w:sz w:val="18"/>
                      <w:szCs w:val="18"/>
                    </w:rPr>
                    <w:t>isch</w:t>
                  </w:r>
                </w:p>
              </w:tc>
              <w:tc>
                <w:tcPr>
                  <w:tcW w:w="1020"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3 </w:t>
                  </w:r>
                  <w:r w:rsidR="00B033A1" w:rsidRPr="006054BD">
                    <w:rPr>
                      <w:rFonts w:cs="Arial"/>
                      <w:sz w:val="18"/>
                      <w:szCs w:val="18"/>
                    </w:rPr>
                    <w:t>350</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B033A1" w:rsidRPr="006054BD">
                    <w:rPr>
                      <w:rFonts w:cs="Arial"/>
                      <w:sz w:val="18"/>
                      <w:szCs w:val="18"/>
                    </w:rPr>
                    <w:t>21</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2 </w:t>
                  </w:r>
                  <w:r w:rsidR="00B033A1" w:rsidRPr="006054BD">
                    <w:rPr>
                      <w:rFonts w:cs="Arial"/>
                      <w:sz w:val="18"/>
                      <w:szCs w:val="18"/>
                    </w:rPr>
                    <w:t>749</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1,</w:t>
                  </w:r>
                  <w:r w:rsidR="00B033A1" w:rsidRPr="006054BD">
                    <w:rPr>
                      <w:rFonts w:cs="Arial"/>
                      <w:sz w:val="18"/>
                      <w:szCs w:val="18"/>
                    </w:rPr>
                    <w:t>96</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3 </w:t>
                  </w:r>
                  <w:r w:rsidR="00833F99" w:rsidRPr="006054BD">
                    <w:rPr>
                      <w:rFonts w:cs="Arial"/>
                      <w:sz w:val="18"/>
                      <w:szCs w:val="18"/>
                    </w:rPr>
                    <w:t>324</w:t>
                  </w:r>
                </w:p>
              </w:tc>
              <w:tc>
                <w:tcPr>
                  <w:tcW w:w="808"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833F99" w:rsidRPr="006054BD">
                    <w:rPr>
                      <w:rFonts w:cs="Arial"/>
                      <w:sz w:val="18"/>
                      <w:szCs w:val="18"/>
                    </w:rPr>
                    <w:t>80</w:t>
                  </w:r>
                </w:p>
              </w:tc>
            </w:tr>
            <w:tr w:rsidR="00B033A1" w:rsidRPr="006054BD" w:rsidTr="00D31C4B">
              <w:tc>
                <w:tcPr>
                  <w:tcW w:w="2297"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ko</w:t>
                  </w:r>
                  <w:r w:rsidR="002172B9" w:rsidRPr="006054BD">
                    <w:rPr>
                      <w:rFonts w:cs="Arial"/>
                      <w:sz w:val="18"/>
                      <w:szCs w:val="18"/>
                    </w:rPr>
                    <w:br/>
                    <w:t>Korean</w:t>
                  </w:r>
                  <w:r w:rsidR="00D31C4B">
                    <w:rPr>
                      <w:rFonts w:cs="Arial"/>
                      <w:sz w:val="18"/>
                      <w:szCs w:val="18"/>
                    </w:rPr>
                    <w:t>isch</w:t>
                  </w:r>
                </w:p>
              </w:tc>
              <w:tc>
                <w:tcPr>
                  <w:tcW w:w="1020"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3 </w:t>
                  </w:r>
                  <w:r w:rsidR="00B033A1" w:rsidRPr="006054BD">
                    <w:rPr>
                      <w:rFonts w:cs="Arial"/>
                      <w:sz w:val="18"/>
                      <w:szCs w:val="18"/>
                    </w:rPr>
                    <w:t>169</w:t>
                  </w:r>
                </w:p>
              </w:tc>
              <w:tc>
                <w:tcPr>
                  <w:tcW w:w="767" w:type="dxa"/>
                  <w:tcMar>
                    <w:top w:w="28" w:type="dxa"/>
                    <w:bottom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2,</w:t>
                  </w:r>
                  <w:r w:rsidR="00B033A1" w:rsidRPr="006054BD">
                    <w:rPr>
                      <w:rFonts w:cs="Arial"/>
                      <w:sz w:val="18"/>
                      <w:szCs w:val="18"/>
                    </w:rPr>
                    <w:t>09</w:t>
                  </w:r>
                </w:p>
              </w:tc>
              <w:tc>
                <w:tcPr>
                  <w:tcW w:w="92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 xml:space="preserve">2 </w:t>
                  </w:r>
                  <w:r w:rsidR="00B033A1" w:rsidRPr="006054BD">
                    <w:rPr>
                      <w:rFonts w:cs="Arial"/>
                      <w:sz w:val="18"/>
                      <w:szCs w:val="18"/>
                    </w:rPr>
                    <w:t>543</w:t>
                  </w:r>
                </w:p>
              </w:tc>
              <w:tc>
                <w:tcPr>
                  <w:tcW w:w="767" w:type="dxa"/>
                  <w:tcMar>
                    <w:top w:w="28" w:type="dxa"/>
                  </w:tcMar>
                  <w:vAlign w:val="bottom"/>
                </w:tcPr>
                <w:p w:rsidR="00B033A1" w:rsidRPr="006054BD" w:rsidRDefault="00D31C4B" w:rsidP="002172B9">
                  <w:pPr>
                    <w:tabs>
                      <w:tab w:val="right" w:pos="3720"/>
                      <w:tab w:val="left" w:pos="4003"/>
                    </w:tabs>
                    <w:jc w:val="right"/>
                    <w:rPr>
                      <w:rFonts w:cs="Arial"/>
                      <w:sz w:val="18"/>
                      <w:szCs w:val="18"/>
                    </w:rPr>
                  </w:pPr>
                  <w:r>
                    <w:rPr>
                      <w:rFonts w:cs="Arial"/>
                      <w:sz w:val="18"/>
                      <w:szCs w:val="18"/>
                    </w:rPr>
                    <w:t>1,</w:t>
                  </w:r>
                  <w:r w:rsidR="00B033A1" w:rsidRPr="006054BD">
                    <w:rPr>
                      <w:rFonts w:cs="Arial"/>
                      <w:sz w:val="18"/>
                      <w:szCs w:val="18"/>
                    </w:rPr>
                    <w:t>81</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p>
              </w:tc>
              <w:tc>
                <w:tcPr>
                  <w:tcW w:w="808" w:type="dxa"/>
                  <w:tcMar>
                    <w:top w:w="28" w:type="dxa"/>
                  </w:tcMar>
                  <w:vAlign w:val="bottom"/>
                </w:tcPr>
                <w:p w:rsidR="00B033A1" w:rsidRPr="006054BD" w:rsidRDefault="00B033A1" w:rsidP="002172B9">
                  <w:pPr>
                    <w:tabs>
                      <w:tab w:val="right" w:pos="3720"/>
                      <w:tab w:val="left" w:pos="4003"/>
                    </w:tabs>
                    <w:jc w:val="right"/>
                    <w:rPr>
                      <w:rFonts w:cs="Arial"/>
                      <w:sz w:val="18"/>
                      <w:szCs w:val="18"/>
                    </w:rPr>
                  </w:pPr>
                </w:p>
              </w:tc>
            </w:tr>
            <w:tr w:rsidR="00833F99" w:rsidRPr="006054BD" w:rsidTr="00D31C4B">
              <w:tc>
                <w:tcPr>
                  <w:tcW w:w="2297" w:type="dxa"/>
                  <w:tcMar>
                    <w:top w:w="28" w:type="dxa"/>
                    <w:bottom w:w="28" w:type="dxa"/>
                  </w:tcMar>
                </w:tcPr>
                <w:p w:rsidR="00833F99" w:rsidRPr="006054BD" w:rsidRDefault="00833F99" w:rsidP="00B6241B">
                  <w:pPr>
                    <w:tabs>
                      <w:tab w:val="left" w:pos="459"/>
                      <w:tab w:val="right" w:pos="3720"/>
                      <w:tab w:val="left" w:pos="4003"/>
                    </w:tabs>
                    <w:jc w:val="left"/>
                    <w:rPr>
                      <w:rFonts w:cs="Arial"/>
                      <w:sz w:val="18"/>
                      <w:szCs w:val="18"/>
                    </w:rPr>
                  </w:pPr>
                  <w:r w:rsidRPr="006054BD">
                    <w:rPr>
                      <w:rFonts w:cs="Arial"/>
                      <w:sz w:val="18"/>
                      <w:szCs w:val="18"/>
                    </w:rPr>
                    <w:tab/>
                    <w:t>it</w:t>
                  </w:r>
                  <w:r w:rsidR="002172B9" w:rsidRPr="006054BD">
                    <w:rPr>
                      <w:rFonts w:cs="Arial"/>
                      <w:sz w:val="18"/>
                      <w:szCs w:val="18"/>
                    </w:rPr>
                    <w:br/>
                  </w:r>
                  <w:r w:rsidR="002172B9" w:rsidRPr="006054BD">
                    <w:rPr>
                      <w:rFonts w:cs="Arial"/>
                      <w:sz w:val="18"/>
                      <w:szCs w:val="18"/>
                    </w:rPr>
                    <w:tab/>
                    <w:t>Itali</w:t>
                  </w:r>
                  <w:r w:rsidR="00D31C4B">
                    <w:rPr>
                      <w:rFonts w:cs="Arial"/>
                      <w:sz w:val="18"/>
                      <w:szCs w:val="18"/>
                    </w:rPr>
                    <w:t>enisch</w:t>
                  </w:r>
                </w:p>
              </w:tc>
              <w:tc>
                <w:tcPr>
                  <w:tcW w:w="1020" w:type="dxa"/>
                  <w:tcMar>
                    <w:top w:w="28" w:type="dxa"/>
                    <w:bottom w:w="28" w:type="dxa"/>
                  </w:tcMar>
                  <w:vAlign w:val="bottom"/>
                </w:tcPr>
                <w:p w:rsidR="00833F99" w:rsidRPr="006054BD" w:rsidRDefault="00833F99" w:rsidP="002172B9">
                  <w:pPr>
                    <w:tabs>
                      <w:tab w:val="right" w:pos="3720"/>
                      <w:tab w:val="left" w:pos="4003"/>
                    </w:tabs>
                    <w:jc w:val="right"/>
                    <w:rPr>
                      <w:rFonts w:cs="Arial"/>
                      <w:sz w:val="18"/>
                      <w:szCs w:val="18"/>
                    </w:rPr>
                  </w:pPr>
                </w:p>
              </w:tc>
              <w:tc>
                <w:tcPr>
                  <w:tcW w:w="767" w:type="dxa"/>
                  <w:tcMar>
                    <w:top w:w="28" w:type="dxa"/>
                    <w:bottom w:w="28" w:type="dxa"/>
                  </w:tcMar>
                  <w:vAlign w:val="bottom"/>
                </w:tcPr>
                <w:p w:rsidR="00833F99" w:rsidRPr="006054BD" w:rsidRDefault="00833F99" w:rsidP="002172B9">
                  <w:pPr>
                    <w:tabs>
                      <w:tab w:val="right" w:pos="3720"/>
                      <w:tab w:val="left" w:pos="4003"/>
                    </w:tabs>
                    <w:jc w:val="right"/>
                    <w:rPr>
                      <w:rFonts w:cs="Arial"/>
                      <w:sz w:val="18"/>
                      <w:szCs w:val="18"/>
                    </w:rPr>
                  </w:pPr>
                </w:p>
              </w:tc>
              <w:tc>
                <w:tcPr>
                  <w:tcW w:w="927" w:type="dxa"/>
                  <w:tcMar>
                    <w:top w:w="28" w:type="dxa"/>
                  </w:tcMar>
                  <w:vAlign w:val="bottom"/>
                </w:tcPr>
                <w:p w:rsidR="00833F99" w:rsidRPr="006054BD" w:rsidRDefault="00833F99" w:rsidP="002172B9">
                  <w:pPr>
                    <w:tabs>
                      <w:tab w:val="right" w:pos="3720"/>
                      <w:tab w:val="left" w:pos="4003"/>
                    </w:tabs>
                    <w:jc w:val="right"/>
                    <w:rPr>
                      <w:rFonts w:cs="Arial"/>
                      <w:sz w:val="18"/>
                      <w:szCs w:val="18"/>
                    </w:rPr>
                  </w:pPr>
                </w:p>
              </w:tc>
              <w:tc>
                <w:tcPr>
                  <w:tcW w:w="767" w:type="dxa"/>
                  <w:tcMar>
                    <w:top w:w="28" w:type="dxa"/>
                  </w:tcMar>
                  <w:vAlign w:val="bottom"/>
                </w:tcPr>
                <w:p w:rsidR="00833F99" w:rsidRPr="006054BD" w:rsidRDefault="00833F99" w:rsidP="002172B9">
                  <w:pPr>
                    <w:tabs>
                      <w:tab w:val="right" w:pos="3720"/>
                      <w:tab w:val="left" w:pos="4003"/>
                    </w:tabs>
                    <w:jc w:val="right"/>
                    <w:rPr>
                      <w:rFonts w:cs="Arial"/>
                      <w:sz w:val="18"/>
                      <w:szCs w:val="18"/>
                    </w:rPr>
                  </w:pPr>
                </w:p>
              </w:tc>
              <w:tc>
                <w:tcPr>
                  <w:tcW w:w="927" w:type="dxa"/>
                  <w:tcMar>
                    <w:top w:w="28" w:type="dxa"/>
                  </w:tcMar>
                  <w:vAlign w:val="bottom"/>
                </w:tcPr>
                <w:p w:rsidR="00833F99" w:rsidRPr="006054BD" w:rsidRDefault="00D31C4B" w:rsidP="002172B9">
                  <w:pPr>
                    <w:tabs>
                      <w:tab w:val="right" w:pos="3720"/>
                      <w:tab w:val="left" w:pos="4003"/>
                    </w:tabs>
                    <w:jc w:val="right"/>
                    <w:rPr>
                      <w:rFonts w:cs="Arial"/>
                      <w:sz w:val="18"/>
                      <w:szCs w:val="18"/>
                    </w:rPr>
                  </w:pPr>
                  <w:r>
                    <w:rPr>
                      <w:rFonts w:cs="Arial"/>
                      <w:sz w:val="18"/>
                      <w:szCs w:val="18"/>
                    </w:rPr>
                    <w:t xml:space="preserve">2 </w:t>
                  </w:r>
                  <w:r w:rsidR="00833F99" w:rsidRPr="006054BD">
                    <w:rPr>
                      <w:rFonts w:cs="Arial"/>
                      <w:sz w:val="18"/>
                      <w:szCs w:val="18"/>
                    </w:rPr>
                    <w:t>198</w:t>
                  </w:r>
                </w:p>
              </w:tc>
              <w:tc>
                <w:tcPr>
                  <w:tcW w:w="808" w:type="dxa"/>
                  <w:tcMar>
                    <w:top w:w="28" w:type="dxa"/>
                  </w:tcMar>
                  <w:vAlign w:val="bottom"/>
                </w:tcPr>
                <w:p w:rsidR="00833F99" w:rsidRPr="006054BD" w:rsidRDefault="00D31C4B" w:rsidP="002172B9">
                  <w:pPr>
                    <w:tabs>
                      <w:tab w:val="right" w:pos="3720"/>
                      <w:tab w:val="left" w:pos="4003"/>
                    </w:tabs>
                    <w:jc w:val="right"/>
                    <w:rPr>
                      <w:rFonts w:cs="Arial"/>
                      <w:sz w:val="18"/>
                      <w:szCs w:val="18"/>
                    </w:rPr>
                  </w:pPr>
                  <w:r>
                    <w:rPr>
                      <w:rFonts w:cs="Arial"/>
                      <w:sz w:val="18"/>
                      <w:szCs w:val="18"/>
                    </w:rPr>
                    <w:t>1,</w:t>
                  </w:r>
                  <w:r w:rsidR="00833F99" w:rsidRPr="006054BD">
                    <w:rPr>
                      <w:rFonts w:cs="Arial"/>
                      <w:sz w:val="18"/>
                      <w:szCs w:val="18"/>
                    </w:rPr>
                    <w:t>85</w:t>
                  </w:r>
                </w:p>
              </w:tc>
            </w:tr>
          </w:tbl>
          <w:p w:rsidR="00B033A1" w:rsidRPr="006054BD" w:rsidRDefault="00B033A1" w:rsidP="00B033A1">
            <w:pPr>
              <w:tabs>
                <w:tab w:val="right" w:pos="3720"/>
                <w:tab w:val="left" w:pos="4003"/>
              </w:tabs>
              <w:ind w:left="602" w:right="176" w:hanging="318"/>
              <w:jc w:val="left"/>
              <w:rPr>
                <w:sz w:val="18"/>
                <w:szCs w:val="18"/>
              </w:rPr>
            </w:pPr>
          </w:p>
          <w:p w:rsidR="00B033A1" w:rsidRPr="006054BD" w:rsidRDefault="00B033A1" w:rsidP="0078137A">
            <w:pPr>
              <w:pStyle w:val="Heading8"/>
              <w:spacing w:after="0"/>
            </w:pPr>
          </w:p>
        </w:tc>
      </w:tr>
    </w:tbl>
    <w:p w:rsidR="00C74C0E" w:rsidRPr="006054BD" w:rsidRDefault="00C74C0E" w:rsidP="00C74C0E">
      <w:pPr>
        <w:jc w:val="left"/>
        <w:rPr>
          <w:sz w:val="18"/>
          <w:szCs w:val="18"/>
        </w:rPr>
      </w:pPr>
    </w:p>
    <w:p w:rsidR="00C74C0E" w:rsidRPr="006054BD" w:rsidRDefault="00C74C0E" w:rsidP="00C74C0E">
      <w:pPr>
        <w:jc w:val="left"/>
        <w:rPr>
          <w:sz w:val="18"/>
          <w:szCs w:val="18"/>
        </w:rPr>
      </w:pPr>
    </w:p>
    <w:tbl>
      <w:tblPr>
        <w:tblW w:w="9889" w:type="dxa"/>
        <w:tblLayout w:type="fixed"/>
        <w:tblLook w:val="0000" w:firstRow="0" w:lastRow="0" w:firstColumn="0" w:lastColumn="0" w:noHBand="0" w:noVBand="0"/>
      </w:tblPr>
      <w:tblGrid>
        <w:gridCol w:w="1951"/>
        <w:gridCol w:w="7938"/>
      </w:tblGrid>
      <w:tr w:rsidR="00C74C0E" w:rsidRPr="00DE5DFD" w:rsidTr="002874C7">
        <w:tc>
          <w:tcPr>
            <w:tcW w:w="1951" w:type="dxa"/>
          </w:tcPr>
          <w:p w:rsidR="00C74C0E" w:rsidRPr="0024624A" w:rsidRDefault="00C74C0E" w:rsidP="00114294">
            <w:pPr>
              <w:pStyle w:val="Heading6"/>
              <w:rPr>
                <w:lang w:val="de-DE"/>
              </w:rPr>
            </w:pPr>
            <w:bookmarkStart w:id="205" w:name="_Toc336339259"/>
            <w:bookmarkStart w:id="206" w:name="_Toc368400606"/>
            <w:r w:rsidRPr="002A5260">
              <w:rPr>
                <w:lang w:val="de-DE"/>
              </w:rPr>
              <w:t>2.  </w:t>
            </w:r>
            <w:r w:rsidR="0024624A" w:rsidRPr="0024624A">
              <w:rPr>
                <w:color w:val="000000"/>
                <w:lang w:val="de-DE"/>
              </w:rPr>
              <w:t>Erteilung von Auskünften an andere Organisationen</w:t>
            </w:r>
            <w:bookmarkEnd w:id="205"/>
            <w:bookmarkEnd w:id="206"/>
          </w:p>
        </w:tc>
        <w:tc>
          <w:tcPr>
            <w:tcW w:w="7938" w:type="dxa"/>
          </w:tcPr>
          <w:p w:rsidR="00C74C0E" w:rsidRPr="0024624A" w:rsidRDefault="00E163EA" w:rsidP="00C74C0E">
            <w:pPr>
              <w:pStyle w:val="Heading8"/>
              <w:rPr>
                <w:szCs w:val="18"/>
                <w:lang w:val="de-DE"/>
              </w:rPr>
            </w:pPr>
            <w:bookmarkStart w:id="207" w:name="_Toc368400607"/>
            <w:bookmarkStart w:id="208" w:name="_Toc336339260"/>
            <w:bookmarkStart w:id="209" w:name="_Toc336613862"/>
            <w:r w:rsidRPr="0024624A">
              <w:rPr>
                <w:szCs w:val="18"/>
                <w:lang w:val="de-DE"/>
              </w:rPr>
              <w:t>(a)</w:t>
            </w:r>
            <w:r w:rsidR="00C74C0E" w:rsidRPr="0024624A">
              <w:rPr>
                <w:szCs w:val="18"/>
                <w:lang w:val="de-DE"/>
              </w:rPr>
              <w:t xml:space="preserve">  </w:t>
            </w:r>
            <w:r w:rsidR="0024624A" w:rsidRPr="0024624A">
              <w:rPr>
                <w:color w:val="000000"/>
                <w:lang w:val="de-DE"/>
              </w:rPr>
              <w:t>Teilnahme an Sitzungen von und mit einschlägigen Organisationen</w:t>
            </w:r>
            <w:bookmarkEnd w:id="207"/>
          </w:p>
          <w:bookmarkEnd w:id="208"/>
          <w:bookmarkEnd w:id="209"/>
          <w:p w:rsidR="00126C51" w:rsidRPr="00D54457" w:rsidRDefault="00D54457" w:rsidP="00440C0B">
            <w:pPr>
              <w:pStyle w:val="ListParagraph"/>
              <w:numPr>
                <w:ilvl w:val="0"/>
                <w:numId w:val="21"/>
              </w:numPr>
              <w:ind w:left="360"/>
              <w:jc w:val="left"/>
              <w:rPr>
                <w:sz w:val="18"/>
                <w:szCs w:val="18"/>
                <w:lang w:val="de-DE"/>
              </w:rPr>
            </w:pPr>
            <w:r w:rsidRPr="00D54457">
              <w:rPr>
                <w:sz w:val="18"/>
                <w:szCs w:val="18"/>
                <w:lang w:val="de-DE"/>
              </w:rPr>
              <w:t xml:space="preserve">Das Büro nahm an Tagungen und Erörterungen folgender </w:t>
            </w:r>
            <w:r>
              <w:rPr>
                <w:sz w:val="18"/>
                <w:szCs w:val="18"/>
                <w:lang w:val="de-DE"/>
              </w:rPr>
              <w:t xml:space="preserve">zwischenstaatlicher </w:t>
            </w:r>
            <w:r w:rsidRPr="00D54457">
              <w:rPr>
                <w:sz w:val="18"/>
                <w:szCs w:val="18"/>
                <w:lang w:val="de-DE"/>
              </w:rPr>
              <w:t>Organisationen teil</w:t>
            </w:r>
            <w:r w:rsidR="00184D9D" w:rsidRPr="00D54457">
              <w:rPr>
                <w:sz w:val="18"/>
                <w:szCs w:val="18"/>
                <w:lang w:val="de-DE"/>
              </w:rPr>
              <w:t xml:space="preserve">: </w:t>
            </w:r>
            <w:r w:rsidR="00440C0B" w:rsidRPr="00D54457">
              <w:rPr>
                <w:sz w:val="18"/>
                <w:szCs w:val="18"/>
                <w:lang w:val="de-DE"/>
              </w:rPr>
              <w:t xml:space="preserve"> </w:t>
            </w:r>
            <w:r w:rsidR="00126C51" w:rsidRPr="00D54457">
              <w:rPr>
                <w:sz w:val="18"/>
                <w:szCs w:val="18"/>
                <w:lang w:val="de-DE"/>
              </w:rPr>
              <w:t xml:space="preserve">ARIPO, </w:t>
            </w:r>
            <w:r w:rsidR="00440C0B" w:rsidRPr="00D54457">
              <w:rPr>
                <w:sz w:val="18"/>
                <w:szCs w:val="18"/>
                <w:lang w:val="de-DE"/>
              </w:rPr>
              <w:t xml:space="preserve">ECO, </w:t>
            </w:r>
            <w:r w:rsidR="00126C51" w:rsidRPr="00D54457">
              <w:rPr>
                <w:sz w:val="18"/>
                <w:szCs w:val="18"/>
                <w:lang w:val="de-DE"/>
              </w:rPr>
              <w:t>FAO, IDLO, ISTA, OAPI, OECD, WIPO</w:t>
            </w:r>
            <w:r w:rsidR="003F377D" w:rsidRPr="00D54457">
              <w:rPr>
                <w:sz w:val="18"/>
                <w:szCs w:val="18"/>
                <w:lang w:val="de-DE"/>
              </w:rPr>
              <w:t xml:space="preserve"> und </w:t>
            </w:r>
            <w:r w:rsidR="00126C51" w:rsidRPr="00D54457">
              <w:rPr>
                <w:sz w:val="18"/>
                <w:szCs w:val="18"/>
                <w:lang w:val="de-DE"/>
              </w:rPr>
              <w:t>WTO.</w:t>
            </w:r>
          </w:p>
          <w:p w:rsidR="00184D9D" w:rsidRPr="00D54457" w:rsidRDefault="00184D9D" w:rsidP="00105595">
            <w:pPr>
              <w:jc w:val="left"/>
              <w:rPr>
                <w:sz w:val="18"/>
                <w:szCs w:val="18"/>
                <w:lang w:val="de-DE"/>
              </w:rPr>
            </w:pPr>
          </w:p>
          <w:p w:rsidR="003F68B5" w:rsidRPr="001D0D3B" w:rsidRDefault="00D54457" w:rsidP="00D54457">
            <w:pPr>
              <w:pStyle w:val="ListParagraph"/>
              <w:numPr>
                <w:ilvl w:val="0"/>
                <w:numId w:val="21"/>
              </w:numPr>
              <w:ind w:left="360"/>
              <w:jc w:val="left"/>
              <w:rPr>
                <w:sz w:val="18"/>
                <w:szCs w:val="18"/>
                <w:lang w:val="de-DE"/>
              </w:rPr>
            </w:pPr>
            <w:r w:rsidRPr="001D0D3B">
              <w:rPr>
                <w:sz w:val="18"/>
                <w:szCs w:val="18"/>
                <w:lang w:val="de-DE"/>
              </w:rPr>
              <w:t xml:space="preserve">Das Büro nahm an Veranstaltungen teil, die von den </w:t>
            </w:r>
            <w:r w:rsidR="00C34F1F" w:rsidRPr="001D0D3B">
              <w:rPr>
                <w:sz w:val="18"/>
                <w:szCs w:val="18"/>
                <w:lang w:val="de-DE"/>
              </w:rPr>
              <w:t>folgende</w:t>
            </w:r>
            <w:r w:rsidRPr="001D0D3B">
              <w:rPr>
                <w:sz w:val="18"/>
                <w:szCs w:val="18"/>
                <w:lang w:val="de-DE"/>
              </w:rPr>
              <w:t xml:space="preserve">n </w:t>
            </w:r>
            <w:r w:rsidR="003F68B5" w:rsidRPr="001D0D3B">
              <w:rPr>
                <w:rFonts w:cs="Arial"/>
                <w:sz w:val="18"/>
                <w:szCs w:val="18"/>
                <w:lang w:val="de-DE"/>
              </w:rPr>
              <w:t>Fachorganisationen organisiert wurden</w:t>
            </w:r>
            <w:r w:rsidR="00184D9D" w:rsidRPr="001D0D3B">
              <w:rPr>
                <w:sz w:val="18"/>
                <w:szCs w:val="18"/>
                <w:lang w:val="de-DE"/>
              </w:rPr>
              <w:t xml:space="preserve">: </w:t>
            </w:r>
          </w:p>
          <w:p w:rsidR="00184D9D" w:rsidRPr="00D54457" w:rsidRDefault="00184D9D" w:rsidP="003F68B5">
            <w:pPr>
              <w:pStyle w:val="ListParagraph"/>
              <w:ind w:left="360"/>
              <w:jc w:val="left"/>
              <w:rPr>
                <w:sz w:val="18"/>
                <w:szCs w:val="18"/>
                <w:lang w:val="de-DE"/>
              </w:rPr>
            </w:pPr>
            <w:r w:rsidRPr="00D54457">
              <w:rPr>
                <w:sz w:val="18"/>
                <w:szCs w:val="18"/>
                <w:lang w:val="de-DE"/>
              </w:rPr>
              <w:t>AFSTA, APSA, CIOPORA, ESA, FELAS</w:t>
            </w:r>
            <w:r w:rsidR="003F377D" w:rsidRPr="00D54457">
              <w:rPr>
                <w:sz w:val="18"/>
                <w:szCs w:val="18"/>
                <w:lang w:val="de-DE"/>
              </w:rPr>
              <w:t xml:space="preserve"> und </w:t>
            </w:r>
            <w:r w:rsidRPr="00D54457">
              <w:rPr>
                <w:sz w:val="18"/>
                <w:szCs w:val="18"/>
                <w:lang w:val="de-DE"/>
              </w:rPr>
              <w:t>ISF.</w:t>
            </w:r>
          </w:p>
          <w:p w:rsidR="00C74C0E" w:rsidRPr="00D54457" w:rsidRDefault="00C74C0E" w:rsidP="005B6DC0">
            <w:pPr>
              <w:ind w:right="459"/>
              <w:jc w:val="left"/>
              <w:rPr>
                <w:sz w:val="18"/>
                <w:szCs w:val="18"/>
                <w:lang w:val="de-DE"/>
              </w:rPr>
            </w:pPr>
          </w:p>
        </w:tc>
      </w:tr>
      <w:tr w:rsidR="00C74C0E" w:rsidRPr="00DE5DFD" w:rsidTr="002874C7">
        <w:tc>
          <w:tcPr>
            <w:tcW w:w="1951" w:type="dxa"/>
            <w:shd w:val="clear" w:color="auto" w:fill="auto"/>
          </w:tcPr>
          <w:p w:rsidR="00C74C0E" w:rsidRPr="00D54457" w:rsidRDefault="00C74C0E" w:rsidP="00C74C0E">
            <w:pPr>
              <w:jc w:val="left"/>
              <w:rPr>
                <w:i/>
                <w:color w:val="000000"/>
                <w:sz w:val="18"/>
                <w:szCs w:val="18"/>
                <w:lang w:val="de-DE"/>
              </w:rPr>
            </w:pPr>
          </w:p>
        </w:tc>
        <w:tc>
          <w:tcPr>
            <w:tcW w:w="7938" w:type="dxa"/>
            <w:shd w:val="clear" w:color="auto" w:fill="auto"/>
          </w:tcPr>
          <w:p w:rsidR="00C74C0E" w:rsidRPr="006054BD" w:rsidRDefault="00E163EA" w:rsidP="00C74C0E">
            <w:pPr>
              <w:pStyle w:val="Heading8"/>
            </w:pPr>
            <w:bookmarkStart w:id="210" w:name="_Toc336339261"/>
            <w:bookmarkStart w:id="211" w:name="_Toc336613863"/>
            <w:bookmarkStart w:id="212" w:name="_Toc368400608"/>
            <w:r w:rsidRPr="006054BD">
              <w:t>(b)</w:t>
            </w:r>
            <w:r w:rsidR="00C74C0E" w:rsidRPr="006054BD">
              <w:t xml:space="preserve">  </w:t>
            </w:r>
            <w:r w:rsidR="0024624A" w:rsidRPr="00840B2B">
              <w:rPr>
                <w:color w:val="000000"/>
              </w:rPr>
              <w:t>Beiträge für einschlägige Organisationen</w:t>
            </w:r>
            <w:bookmarkEnd w:id="210"/>
            <w:bookmarkEnd w:id="211"/>
            <w:bookmarkEnd w:id="212"/>
          </w:p>
          <w:p w:rsidR="003F68B5" w:rsidRPr="003F68B5" w:rsidRDefault="003F68B5" w:rsidP="003F68B5">
            <w:pPr>
              <w:pStyle w:val="ListParagraph"/>
              <w:numPr>
                <w:ilvl w:val="0"/>
                <w:numId w:val="21"/>
              </w:numPr>
              <w:ind w:left="360"/>
              <w:jc w:val="left"/>
              <w:rPr>
                <w:sz w:val="18"/>
                <w:szCs w:val="18"/>
                <w:lang w:val="de-DE"/>
              </w:rPr>
            </w:pPr>
            <w:r w:rsidRPr="003F68B5">
              <w:rPr>
                <w:sz w:val="18"/>
                <w:szCs w:val="18"/>
                <w:lang w:val="de-DE"/>
              </w:rPr>
              <w:t>Das Büro leistete Beiträge zum Sortenschutz fü</w:t>
            </w:r>
            <w:r>
              <w:rPr>
                <w:sz w:val="18"/>
                <w:szCs w:val="18"/>
                <w:lang w:val="de-DE"/>
              </w:rPr>
              <w:t>r die Tagungen der</w:t>
            </w:r>
            <w:r w:rsidR="00184D9D" w:rsidRPr="003F68B5">
              <w:rPr>
                <w:lang w:val="de-DE"/>
              </w:rPr>
              <w:t xml:space="preserve"> </w:t>
            </w:r>
            <w:r w:rsidR="00C34F1F" w:rsidRPr="003F68B5">
              <w:rPr>
                <w:lang w:val="de-DE"/>
              </w:rPr>
              <w:t>folgende</w:t>
            </w:r>
            <w:r>
              <w:rPr>
                <w:lang w:val="de-DE"/>
              </w:rPr>
              <w:t>n</w:t>
            </w:r>
            <w:r w:rsidR="00184D9D" w:rsidRPr="003F68B5">
              <w:rPr>
                <w:lang w:val="de-DE"/>
              </w:rPr>
              <w:t xml:space="preserve"> </w:t>
            </w:r>
            <w:r>
              <w:rPr>
                <w:sz w:val="18"/>
                <w:szCs w:val="18"/>
                <w:lang w:val="de-DE"/>
              </w:rPr>
              <w:t xml:space="preserve">zwischenstaatlichen </w:t>
            </w:r>
            <w:r w:rsidRPr="00D54457">
              <w:rPr>
                <w:sz w:val="18"/>
                <w:szCs w:val="18"/>
                <w:lang w:val="de-DE"/>
              </w:rPr>
              <w:t>Organisationen</w:t>
            </w:r>
            <w:r w:rsidR="00184D9D" w:rsidRPr="003F68B5">
              <w:rPr>
                <w:lang w:val="de-DE"/>
              </w:rPr>
              <w:t xml:space="preserve">: </w:t>
            </w:r>
          </w:p>
          <w:p w:rsidR="00184D9D" w:rsidRPr="003F68B5" w:rsidRDefault="00184D9D" w:rsidP="003F68B5">
            <w:pPr>
              <w:pStyle w:val="ListParagraph"/>
              <w:ind w:left="360"/>
              <w:jc w:val="left"/>
              <w:rPr>
                <w:sz w:val="18"/>
                <w:szCs w:val="18"/>
                <w:lang w:val="de-DE"/>
              </w:rPr>
            </w:pPr>
            <w:r w:rsidRPr="003F68B5">
              <w:rPr>
                <w:sz w:val="18"/>
                <w:szCs w:val="18"/>
                <w:lang w:val="de-DE"/>
              </w:rPr>
              <w:t xml:space="preserve">ARIPO, FAO, </w:t>
            </w:r>
            <w:r w:rsidR="00B46181" w:rsidRPr="003F68B5">
              <w:rPr>
                <w:sz w:val="18"/>
                <w:szCs w:val="18"/>
                <w:lang w:val="de-DE"/>
              </w:rPr>
              <w:t xml:space="preserve">IDLO, </w:t>
            </w:r>
            <w:r w:rsidRPr="003F68B5">
              <w:rPr>
                <w:sz w:val="18"/>
                <w:szCs w:val="18"/>
                <w:lang w:val="de-DE"/>
              </w:rPr>
              <w:t>OAPI, OECD, WIPO</w:t>
            </w:r>
            <w:r w:rsidR="003F377D" w:rsidRPr="003F68B5">
              <w:rPr>
                <w:sz w:val="18"/>
                <w:szCs w:val="18"/>
                <w:lang w:val="de-DE"/>
              </w:rPr>
              <w:t xml:space="preserve"> und </w:t>
            </w:r>
            <w:r w:rsidRPr="003F68B5">
              <w:rPr>
                <w:sz w:val="18"/>
                <w:szCs w:val="18"/>
                <w:lang w:val="de-DE"/>
              </w:rPr>
              <w:t>WTO.</w:t>
            </w:r>
          </w:p>
          <w:p w:rsidR="00C74C0E" w:rsidRPr="003F68B5" w:rsidRDefault="00C74C0E" w:rsidP="00F62A74">
            <w:pPr>
              <w:ind w:right="459"/>
              <w:jc w:val="left"/>
              <w:rPr>
                <w:color w:val="000000"/>
                <w:sz w:val="18"/>
                <w:szCs w:val="18"/>
                <w:lang w:val="de-DE"/>
              </w:rPr>
            </w:pPr>
          </w:p>
        </w:tc>
      </w:tr>
    </w:tbl>
    <w:p w:rsidR="00C74C0E" w:rsidRPr="003F68B5" w:rsidRDefault="00C74C0E" w:rsidP="00C74C0E">
      <w:pPr>
        <w:rPr>
          <w:lang w:val="de-DE"/>
        </w:rPr>
      </w:pPr>
    </w:p>
    <w:p w:rsidR="00C74C0E" w:rsidRPr="003F68B5" w:rsidRDefault="00C74C0E" w:rsidP="00C74C0E">
      <w:pPr>
        <w:rPr>
          <w:lang w:val="de-DE"/>
        </w:rPr>
      </w:pPr>
    </w:p>
    <w:p w:rsidR="00B46181" w:rsidRPr="003F68B5" w:rsidRDefault="00B46181" w:rsidP="00C74C0E">
      <w:pPr>
        <w:rPr>
          <w:lang w:val="de-DE"/>
        </w:rPr>
      </w:pPr>
    </w:p>
    <w:p w:rsidR="00C74C0E" w:rsidRPr="0024624A" w:rsidRDefault="00C74C0E" w:rsidP="008248ED">
      <w:pPr>
        <w:jc w:val="right"/>
        <w:rPr>
          <w:lang w:val="de-DE"/>
        </w:rPr>
      </w:pPr>
      <w:r w:rsidRPr="0024624A">
        <w:rPr>
          <w:lang w:val="de-DE"/>
        </w:rPr>
        <w:t>[End</w:t>
      </w:r>
      <w:r w:rsidR="0024624A" w:rsidRPr="0024624A">
        <w:rPr>
          <w:lang w:val="de-DE"/>
        </w:rPr>
        <w:t xml:space="preserve">e </w:t>
      </w:r>
      <w:r w:rsidR="008248ED">
        <w:rPr>
          <w:lang w:val="de-DE"/>
        </w:rPr>
        <w:t>der</w:t>
      </w:r>
      <w:r w:rsidR="0024624A" w:rsidRPr="0024624A">
        <w:rPr>
          <w:lang w:val="de-DE"/>
        </w:rPr>
        <w:t xml:space="preserve"> </w:t>
      </w:r>
      <w:r w:rsidRPr="0024624A">
        <w:rPr>
          <w:lang w:val="de-DE"/>
        </w:rPr>
        <w:t>An</w:t>
      </w:r>
      <w:r w:rsidR="0024624A" w:rsidRPr="0024624A">
        <w:rPr>
          <w:lang w:val="de-DE"/>
        </w:rPr>
        <w:t xml:space="preserve">lage </w:t>
      </w:r>
      <w:r w:rsidRPr="0024624A">
        <w:rPr>
          <w:lang w:val="de-DE"/>
        </w:rPr>
        <w:t>III</w:t>
      </w:r>
      <w:r w:rsidR="003F377D" w:rsidRPr="0024624A">
        <w:rPr>
          <w:lang w:val="de-DE"/>
        </w:rPr>
        <w:t xml:space="preserve"> und </w:t>
      </w:r>
      <w:r w:rsidR="0024624A" w:rsidRPr="0024624A">
        <w:rPr>
          <w:lang w:val="de-DE"/>
        </w:rPr>
        <w:t>des</w:t>
      </w:r>
      <w:r w:rsidRPr="0024624A">
        <w:rPr>
          <w:lang w:val="de-DE"/>
        </w:rPr>
        <w:t xml:space="preserve"> </w:t>
      </w:r>
      <w:r w:rsidR="008E0FB0" w:rsidRPr="0024624A">
        <w:rPr>
          <w:lang w:val="de-DE"/>
        </w:rPr>
        <w:t>Dokument</w:t>
      </w:r>
      <w:r w:rsidR="0024624A" w:rsidRPr="0024624A">
        <w:rPr>
          <w:lang w:val="de-DE"/>
        </w:rPr>
        <w:t>s</w:t>
      </w:r>
      <w:r w:rsidRPr="0024624A">
        <w:rPr>
          <w:lang w:val="de-DE"/>
        </w:rPr>
        <w:t>]</w:t>
      </w:r>
    </w:p>
    <w:sectPr w:rsidR="00C74C0E" w:rsidRPr="0024624A" w:rsidSect="00C75626">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C9" w:rsidRDefault="00320AC9" w:rsidP="006655D3">
      <w:r>
        <w:separator/>
      </w:r>
    </w:p>
    <w:p w:rsidR="00320AC9" w:rsidRDefault="00320AC9" w:rsidP="006655D3"/>
    <w:p w:rsidR="00320AC9" w:rsidRDefault="00320AC9" w:rsidP="006655D3"/>
  </w:endnote>
  <w:endnote w:type="continuationSeparator" w:id="0">
    <w:p w:rsidR="00320AC9" w:rsidRDefault="00320AC9" w:rsidP="006655D3">
      <w:r>
        <w:separator/>
      </w:r>
    </w:p>
    <w:p w:rsidR="00320AC9" w:rsidRPr="00560A6D" w:rsidRDefault="00320AC9">
      <w:pPr>
        <w:pStyle w:val="Footer"/>
        <w:spacing w:after="60"/>
        <w:rPr>
          <w:sz w:val="18"/>
          <w:lang w:val="fr-FR"/>
        </w:rPr>
      </w:pPr>
      <w:r w:rsidRPr="00560A6D">
        <w:rPr>
          <w:sz w:val="18"/>
          <w:lang w:val="fr-FR"/>
        </w:rPr>
        <w:t>[Suite de la note de la page précédente]</w:t>
      </w:r>
    </w:p>
    <w:p w:rsidR="00320AC9" w:rsidRPr="00560A6D" w:rsidRDefault="00320AC9" w:rsidP="006655D3">
      <w:pPr>
        <w:rPr>
          <w:lang w:val="fr-FR"/>
        </w:rPr>
      </w:pPr>
    </w:p>
    <w:p w:rsidR="00320AC9" w:rsidRPr="00560A6D" w:rsidRDefault="00320AC9" w:rsidP="006655D3">
      <w:pPr>
        <w:rPr>
          <w:lang w:val="fr-FR"/>
        </w:rPr>
      </w:pPr>
    </w:p>
  </w:endnote>
  <w:endnote w:type="continuationNotice" w:id="1">
    <w:p w:rsidR="00320AC9" w:rsidRPr="00560A6D" w:rsidRDefault="00320AC9" w:rsidP="006655D3">
      <w:pPr>
        <w:rPr>
          <w:lang w:val="fr-FR"/>
        </w:rPr>
      </w:pPr>
      <w:r w:rsidRPr="00560A6D">
        <w:rPr>
          <w:lang w:val="fr-FR"/>
        </w:rPr>
        <w:t>[Suite de la note page suivante]</w:t>
      </w:r>
    </w:p>
    <w:p w:rsidR="00320AC9" w:rsidRPr="00560A6D" w:rsidRDefault="00320AC9" w:rsidP="006655D3">
      <w:pPr>
        <w:rPr>
          <w:lang w:val="fr-FR"/>
        </w:rPr>
      </w:pPr>
    </w:p>
    <w:p w:rsidR="00320AC9" w:rsidRPr="00560A6D" w:rsidRDefault="00320AC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FD" w:rsidRPr="009051E3" w:rsidRDefault="00DE5DFD" w:rsidP="00254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FD" w:rsidRPr="00C74C0E" w:rsidRDefault="00DE5DFD" w:rsidP="00C74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C9" w:rsidRPr="00577BEC" w:rsidRDefault="00320AC9" w:rsidP="00C95616">
      <w:pPr>
        <w:spacing w:before="120"/>
        <w:rPr>
          <w:sz w:val="16"/>
          <w:szCs w:val="16"/>
        </w:rPr>
      </w:pPr>
      <w:r w:rsidRPr="00577BEC">
        <w:rPr>
          <w:sz w:val="16"/>
          <w:szCs w:val="16"/>
        </w:rPr>
        <w:separator/>
      </w:r>
    </w:p>
  </w:footnote>
  <w:footnote w:type="continuationSeparator" w:id="0">
    <w:p w:rsidR="00320AC9" w:rsidRDefault="00320AC9" w:rsidP="006655D3">
      <w:r>
        <w:separator/>
      </w:r>
    </w:p>
  </w:footnote>
  <w:footnote w:type="continuationNotice" w:id="1">
    <w:p w:rsidR="00320AC9" w:rsidRPr="00A56FAA" w:rsidRDefault="00320AC9" w:rsidP="00A56FAA">
      <w:pPr>
        <w:pStyle w:val="Footer"/>
        <w:rPr>
          <w:szCs w:val="18"/>
        </w:rPr>
      </w:pPr>
    </w:p>
  </w:footnote>
  <w:footnote w:id="2">
    <w:p w:rsidR="00DE5DFD" w:rsidRPr="00BE6871" w:rsidRDefault="00DE5DFD" w:rsidP="00BE6871">
      <w:pPr>
        <w:pStyle w:val="FootnoteText"/>
        <w:rPr>
          <w:lang w:val="de-DE"/>
        </w:rPr>
      </w:pPr>
      <w:r w:rsidRPr="00DB3B51">
        <w:rPr>
          <w:rStyle w:val="FootnoteReference"/>
        </w:rPr>
        <w:footnoteRef/>
      </w:r>
      <w:r w:rsidRPr="00BE6871">
        <w:rPr>
          <w:lang w:val="de-DE"/>
        </w:rPr>
        <w:tab/>
      </w:r>
      <w:r w:rsidRPr="00DB3B51">
        <w:rPr>
          <w:lang w:val="de-CH"/>
        </w:rPr>
        <w:t>Fortsetzung des Beitritts der Tschechoslowakei (Urkunde am 4. November 1991 hinterlegt; in Kraft getreten am 4. Dezember 1991).</w:t>
      </w:r>
    </w:p>
  </w:footnote>
  <w:footnote w:id="3">
    <w:p w:rsidR="00DE5DFD" w:rsidRPr="00BE6871" w:rsidRDefault="00DE5DFD" w:rsidP="00BE6871">
      <w:pPr>
        <w:pStyle w:val="FootnoteText"/>
        <w:rPr>
          <w:lang w:val="de-DE"/>
        </w:rPr>
      </w:pPr>
      <w:r>
        <w:rPr>
          <w:rStyle w:val="FootnoteReference"/>
        </w:rPr>
        <w:footnoteRef/>
      </w:r>
      <w:r w:rsidRPr="00BE6871">
        <w:rPr>
          <w:lang w:val="de-DE"/>
        </w:rPr>
        <w:t xml:space="preserve"> 71 Verbandsmitglieder ab 5. Januar 2013 (das Datum, an dem Serbien ein UPOV-Mitglied geworden ist, vergleiche oben)</w:t>
      </w:r>
      <w:r>
        <w:rP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FD" w:rsidRDefault="00DE5DFD">
    <w:pPr>
      <w:jc w:val="center"/>
    </w:pPr>
    <w:r>
      <w:t>C/47/2</w:t>
    </w:r>
  </w:p>
  <w:p w:rsidR="00DE5DFD" w:rsidRDefault="00DE5DFD">
    <w:pPr>
      <w:jc w:val="center"/>
    </w:pPr>
    <w:r>
      <w:t xml:space="preserve">Seite </w:t>
    </w:r>
    <w:r w:rsidR="00A13B50">
      <w:fldChar w:fldCharType="begin"/>
    </w:r>
    <w:r w:rsidR="00A13B50">
      <w:instrText xml:space="preserve"> PAGE  \* MERGEFORMAT </w:instrText>
    </w:r>
    <w:r w:rsidR="00A13B50">
      <w:fldChar w:fldCharType="separate"/>
    </w:r>
    <w:r w:rsidR="005B3312">
      <w:rPr>
        <w:noProof/>
      </w:rPr>
      <w:t>22</w:t>
    </w:r>
    <w:r w:rsidR="00A13B50">
      <w:rPr>
        <w:noProof/>
      </w:rPr>
      <w:fldChar w:fldCharType="end"/>
    </w:r>
  </w:p>
  <w:p w:rsidR="00DE5DFD" w:rsidRDefault="00DE5DF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FD" w:rsidRDefault="00DE5DFD">
    <w:pPr>
      <w:jc w:val="center"/>
    </w:pPr>
    <w:r>
      <w:t>C/47/2</w:t>
    </w:r>
  </w:p>
  <w:p w:rsidR="00DE5DFD" w:rsidRDefault="00DE5DFD" w:rsidP="00C72535">
    <w:pPr>
      <w:jc w:val="center"/>
    </w:pPr>
    <w:r>
      <w:t xml:space="preserve">Anlage I, Seite </w:t>
    </w:r>
    <w:r w:rsidR="00A13B50">
      <w:fldChar w:fldCharType="begin"/>
    </w:r>
    <w:r w:rsidR="00A13B50">
      <w:instrText xml:space="preserve"> PAGE  \* MERGEFORMAT </w:instrText>
    </w:r>
    <w:r w:rsidR="00A13B50">
      <w:fldChar w:fldCharType="separate"/>
    </w:r>
    <w:r w:rsidR="005B3312">
      <w:rPr>
        <w:noProof/>
      </w:rPr>
      <w:t>7</w:t>
    </w:r>
    <w:r w:rsidR="00A13B50">
      <w:rPr>
        <w:noProof/>
      </w:rPr>
      <w:fldChar w:fldCharType="end"/>
    </w:r>
  </w:p>
  <w:p w:rsidR="00DE5DFD" w:rsidRDefault="00DE5DF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FD" w:rsidRPr="00C5280D" w:rsidRDefault="00DE5DFD" w:rsidP="00EB048E">
    <w:pPr>
      <w:pStyle w:val="Header"/>
      <w:rPr>
        <w:rStyle w:val="PageNumber"/>
        <w:lang w:val="en-US"/>
      </w:rPr>
    </w:pPr>
    <w:r>
      <w:rPr>
        <w:rStyle w:val="PageNumber"/>
        <w:lang w:val="en-US"/>
      </w:rPr>
      <w:t>C/47/2</w:t>
    </w:r>
  </w:p>
  <w:p w:rsidR="00DE5DFD" w:rsidRPr="00C5280D" w:rsidRDefault="00DE5DFD" w:rsidP="00C72535">
    <w:pPr>
      <w:pStyle w:val="Header"/>
      <w:rP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3312">
      <w:rPr>
        <w:rStyle w:val="PageNumber"/>
        <w:noProof/>
        <w:lang w:val="en-US"/>
      </w:rPr>
      <w:t>5</w:t>
    </w:r>
    <w:r w:rsidRPr="00C5280D">
      <w:rPr>
        <w:rStyle w:val="PageNumber"/>
        <w:lang w:val="en-US"/>
      </w:rPr>
      <w:fldChar w:fldCharType="end"/>
    </w:r>
  </w:p>
  <w:p w:rsidR="00DE5DFD" w:rsidRPr="00C5280D" w:rsidRDefault="00DE5DFD"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FD" w:rsidRPr="00C5280D" w:rsidRDefault="00DE5DFD" w:rsidP="00EB048E">
    <w:pPr>
      <w:pStyle w:val="Header"/>
      <w:rPr>
        <w:rStyle w:val="PageNumber"/>
        <w:lang w:val="en-US"/>
      </w:rPr>
    </w:pPr>
    <w:r>
      <w:rPr>
        <w:rStyle w:val="PageNumber"/>
        <w:lang w:val="en-US"/>
      </w:rPr>
      <w:t>C/47/2</w:t>
    </w:r>
  </w:p>
  <w:p w:rsidR="00DE5DFD" w:rsidRPr="00C5280D" w:rsidRDefault="00DE5DFD" w:rsidP="00126859">
    <w:pPr>
      <w:pStyle w:val="Header"/>
      <w:rPr>
        <w:lang w:val="en-US"/>
      </w:rPr>
    </w:pPr>
    <w:r>
      <w:rPr>
        <w:lang w:val="en-US"/>
      </w:rPr>
      <w:t>Anlage 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3312">
      <w:rPr>
        <w:rStyle w:val="PageNumber"/>
        <w:noProof/>
        <w:lang w:val="en-US"/>
      </w:rPr>
      <w:t>23</w:t>
    </w:r>
    <w:r w:rsidRPr="00C5280D">
      <w:rPr>
        <w:rStyle w:val="PageNumber"/>
        <w:lang w:val="en-US"/>
      </w:rPr>
      <w:fldChar w:fldCharType="end"/>
    </w:r>
  </w:p>
  <w:p w:rsidR="00DE5DFD" w:rsidRPr="00C5280D" w:rsidRDefault="00DE5DF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A6D66"/>
    <w:lvl w:ilvl="0">
      <w:start w:val="1"/>
      <w:numFmt w:val="decimal"/>
      <w:lvlText w:val="%1."/>
      <w:lvlJc w:val="left"/>
      <w:pPr>
        <w:tabs>
          <w:tab w:val="num" w:pos="1492"/>
        </w:tabs>
        <w:ind w:left="1492" w:hanging="360"/>
      </w:pPr>
    </w:lvl>
  </w:abstractNum>
  <w:abstractNum w:abstractNumId="1">
    <w:nsid w:val="FFFFFF7D"/>
    <w:multiLevelType w:val="singleLevel"/>
    <w:tmpl w:val="0D3E7064"/>
    <w:lvl w:ilvl="0">
      <w:start w:val="1"/>
      <w:numFmt w:val="decimal"/>
      <w:lvlText w:val="%1."/>
      <w:lvlJc w:val="left"/>
      <w:pPr>
        <w:tabs>
          <w:tab w:val="num" w:pos="1209"/>
        </w:tabs>
        <w:ind w:left="1209" w:hanging="360"/>
      </w:pPr>
    </w:lvl>
  </w:abstractNum>
  <w:abstractNum w:abstractNumId="2">
    <w:nsid w:val="FFFFFF7E"/>
    <w:multiLevelType w:val="singleLevel"/>
    <w:tmpl w:val="DAF8F0B6"/>
    <w:lvl w:ilvl="0">
      <w:start w:val="1"/>
      <w:numFmt w:val="decimal"/>
      <w:lvlText w:val="%1."/>
      <w:lvlJc w:val="left"/>
      <w:pPr>
        <w:tabs>
          <w:tab w:val="num" w:pos="926"/>
        </w:tabs>
        <w:ind w:left="926" w:hanging="360"/>
      </w:pPr>
    </w:lvl>
  </w:abstractNum>
  <w:abstractNum w:abstractNumId="3">
    <w:nsid w:val="FFFFFF7F"/>
    <w:multiLevelType w:val="singleLevel"/>
    <w:tmpl w:val="F3CC74DE"/>
    <w:lvl w:ilvl="0">
      <w:start w:val="1"/>
      <w:numFmt w:val="decimal"/>
      <w:lvlText w:val="%1."/>
      <w:lvlJc w:val="left"/>
      <w:pPr>
        <w:tabs>
          <w:tab w:val="num" w:pos="643"/>
        </w:tabs>
        <w:ind w:left="643" w:hanging="360"/>
      </w:pPr>
    </w:lvl>
  </w:abstractNum>
  <w:abstractNum w:abstractNumId="4">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402EC8"/>
    <w:lvl w:ilvl="0">
      <w:start w:val="1"/>
      <w:numFmt w:val="decimal"/>
      <w:lvlText w:val="%1."/>
      <w:lvlJc w:val="left"/>
      <w:pPr>
        <w:tabs>
          <w:tab w:val="num" w:pos="360"/>
        </w:tabs>
        <w:ind w:left="360" w:hanging="360"/>
      </w:pPr>
    </w:lvl>
  </w:abstractNum>
  <w:abstractNum w:abstractNumId="9">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10">
    <w:nsid w:val="02C44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DD377D5"/>
    <w:multiLevelType w:val="hybridMultilevel"/>
    <w:tmpl w:val="1E5A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124C71"/>
    <w:multiLevelType w:val="hybridMultilevel"/>
    <w:tmpl w:val="A4A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1F5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20E3518"/>
    <w:multiLevelType w:val="hybridMultilevel"/>
    <w:tmpl w:val="30069C00"/>
    <w:lvl w:ilvl="0" w:tplc="F482CDA0">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24C83AAD"/>
    <w:multiLevelType w:val="hybridMultilevel"/>
    <w:tmpl w:val="766E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95FF9"/>
    <w:multiLevelType w:val="hybridMultilevel"/>
    <w:tmpl w:val="2A042878"/>
    <w:lvl w:ilvl="0" w:tplc="818EB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34B09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075581"/>
    <w:multiLevelType w:val="singleLevel"/>
    <w:tmpl w:val="04090001"/>
    <w:lvl w:ilvl="0">
      <w:start w:val="1"/>
      <w:numFmt w:val="bullet"/>
      <w:lvlText w:val=""/>
      <w:lvlJc w:val="left"/>
      <w:pPr>
        <w:ind w:left="720" w:hanging="360"/>
      </w:pPr>
      <w:rPr>
        <w:rFonts w:ascii="Symbol" w:hAnsi="Symbol" w:hint="default"/>
      </w:rPr>
    </w:lvl>
  </w:abstractNum>
  <w:abstractNum w:abstractNumId="21">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A548D"/>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4A1BEF"/>
    <w:multiLevelType w:val="singleLevel"/>
    <w:tmpl w:val="7C6A94B2"/>
    <w:lvl w:ilvl="0">
      <w:numFmt w:val="bullet"/>
      <w:lvlText w:val="-"/>
      <w:lvlJc w:val="left"/>
      <w:pPr>
        <w:tabs>
          <w:tab w:val="num" w:pos="360"/>
        </w:tabs>
        <w:ind w:left="360" w:hanging="360"/>
      </w:pPr>
      <w:rPr>
        <w:rFonts w:hint="default"/>
        <w:b w:val="0"/>
        <w:i w:val="0"/>
      </w:rPr>
    </w:lvl>
  </w:abstractNum>
  <w:abstractNum w:abstractNumId="24">
    <w:nsid w:val="4F720FBC"/>
    <w:multiLevelType w:val="hybridMultilevel"/>
    <w:tmpl w:val="9CA29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FF07949"/>
    <w:multiLevelType w:val="hybridMultilevel"/>
    <w:tmpl w:val="4DE8348A"/>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2D0416"/>
    <w:multiLevelType w:val="hybridMultilevel"/>
    <w:tmpl w:val="DA00B5F2"/>
    <w:lvl w:ilvl="0" w:tplc="D654EDC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72FAE"/>
    <w:multiLevelType w:val="singleLevel"/>
    <w:tmpl w:val="7C6A94B2"/>
    <w:lvl w:ilvl="0">
      <w:numFmt w:val="bullet"/>
      <w:lvlText w:val="-"/>
      <w:lvlJc w:val="left"/>
      <w:pPr>
        <w:tabs>
          <w:tab w:val="num" w:pos="360"/>
        </w:tabs>
        <w:ind w:left="360" w:hanging="360"/>
      </w:pPr>
      <w:rPr>
        <w:rFonts w:hint="default"/>
        <w:b w:val="0"/>
        <w:i w:val="0"/>
      </w:rPr>
    </w:lvl>
  </w:abstractNum>
  <w:abstractNum w:abstractNumId="28">
    <w:nsid w:val="5D2F2B05"/>
    <w:multiLevelType w:val="hybridMultilevel"/>
    <w:tmpl w:val="2E9451B6"/>
    <w:lvl w:ilvl="0" w:tplc="4A62E5D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DB7760"/>
    <w:multiLevelType w:val="singleLevel"/>
    <w:tmpl w:val="57FE23A8"/>
    <w:lvl w:ilvl="0">
      <w:start w:val="1"/>
      <w:numFmt w:val="bullet"/>
      <w:lvlText w:val=""/>
      <w:lvlJc w:val="left"/>
      <w:pPr>
        <w:tabs>
          <w:tab w:val="num" w:pos="360"/>
        </w:tabs>
        <w:ind w:left="360" w:hanging="360"/>
      </w:pPr>
      <w:rPr>
        <w:rFonts w:ascii="Symbol" w:hAnsi="Symbol" w:hint="default"/>
        <w:sz w:val="18"/>
        <w:szCs w:val="18"/>
      </w:rPr>
    </w:lvl>
  </w:abstractNum>
  <w:abstractNum w:abstractNumId="3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1">
    <w:nsid w:val="62145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41421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66E2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86E1A0A"/>
    <w:multiLevelType w:val="hybridMultilevel"/>
    <w:tmpl w:val="FCEC8658"/>
    <w:lvl w:ilvl="0" w:tplc="63BA427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9621607"/>
    <w:multiLevelType w:val="singleLevel"/>
    <w:tmpl w:val="7C6A94B2"/>
    <w:lvl w:ilvl="0">
      <w:numFmt w:val="bullet"/>
      <w:lvlText w:val="-"/>
      <w:lvlJc w:val="left"/>
      <w:pPr>
        <w:tabs>
          <w:tab w:val="num" w:pos="360"/>
        </w:tabs>
        <w:ind w:left="360" w:hanging="360"/>
      </w:pPr>
      <w:rPr>
        <w:rFonts w:hint="default"/>
        <w:b w:val="0"/>
        <w:i w:val="0"/>
      </w:rPr>
    </w:lvl>
  </w:abstractNum>
  <w:abstractNum w:abstractNumId="36">
    <w:nsid w:val="6D8A2570"/>
    <w:multiLevelType w:val="hybridMultilevel"/>
    <w:tmpl w:val="E4F29FA2"/>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AB4877"/>
    <w:multiLevelType w:val="hybridMultilevel"/>
    <w:tmpl w:val="5546EB6A"/>
    <w:lvl w:ilvl="0" w:tplc="275685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FF25883"/>
    <w:multiLevelType w:val="hybridMultilevel"/>
    <w:tmpl w:val="D86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A75D97"/>
    <w:multiLevelType w:val="hybridMultilevel"/>
    <w:tmpl w:val="ACA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DD6DC9"/>
    <w:multiLevelType w:val="hybridMultilevel"/>
    <w:tmpl w:val="22F09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FB578C"/>
    <w:multiLevelType w:val="hybridMultilevel"/>
    <w:tmpl w:val="BE1A85BA"/>
    <w:lvl w:ilvl="0" w:tplc="4EE2BF9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2">
    <w:nsid w:val="7B024DD1"/>
    <w:multiLevelType w:val="hybridMultilevel"/>
    <w:tmpl w:val="049AF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3"/>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14"/>
  </w:num>
  <w:num w:numId="17">
    <w:abstractNumId w:val="30"/>
  </w:num>
  <w:num w:numId="18">
    <w:abstractNumId w:val="43"/>
  </w:num>
  <w:num w:numId="19">
    <w:abstractNumId w:val="29"/>
  </w:num>
  <w:num w:numId="20">
    <w:abstractNumId w:val="35"/>
  </w:num>
  <w:num w:numId="21">
    <w:abstractNumId w:val="20"/>
  </w:num>
  <w:num w:numId="22">
    <w:abstractNumId w:val="23"/>
  </w:num>
  <w:num w:numId="23">
    <w:abstractNumId w:val="27"/>
  </w:num>
  <w:num w:numId="24">
    <w:abstractNumId w:val="10"/>
  </w:num>
  <w:num w:numId="25">
    <w:abstractNumId w:val="32"/>
  </w:num>
  <w:num w:numId="26">
    <w:abstractNumId w:val="17"/>
  </w:num>
  <w:num w:numId="27">
    <w:abstractNumId w:val="31"/>
  </w:num>
  <w:num w:numId="28">
    <w:abstractNumId w:val="37"/>
  </w:num>
  <w:num w:numId="29">
    <w:abstractNumId w:val="41"/>
  </w:num>
  <w:num w:numId="30">
    <w:abstractNumId w:val="16"/>
  </w:num>
  <w:num w:numId="31">
    <w:abstractNumId w:val="36"/>
  </w:num>
  <w:num w:numId="32">
    <w:abstractNumId w:val="25"/>
  </w:num>
  <w:num w:numId="33">
    <w:abstractNumId w:val="40"/>
  </w:num>
  <w:num w:numId="34">
    <w:abstractNumId w:val="38"/>
  </w:num>
  <w:num w:numId="35">
    <w:abstractNumId w:val="42"/>
  </w:num>
  <w:num w:numId="36">
    <w:abstractNumId w:val="11"/>
  </w:num>
  <w:num w:numId="37">
    <w:abstractNumId w:val="15"/>
  </w:num>
  <w:num w:numId="38">
    <w:abstractNumId w:val="24"/>
  </w:num>
  <w:num w:numId="39">
    <w:abstractNumId w:val="21"/>
  </w:num>
  <w:num w:numId="40">
    <w:abstractNumId w:val="12"/>
  </w:num>
  <w:num w:numId="41">
    <w:abstractNumId w:val="26"/>
  </w:num>
  <w:num w:numId="42">
    <w:abstractNumId w:val="28"/>
  </w:num>
  <w:num w:numId="43">
    <w:abstractNumId w:val="2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6B519E"/>
    <w:rsid w:val="00000262"/>
    <w:rsid w:val="00000984"/>
    <w:rsid w:val="000015D8"/>
    <w:rsid w:val="000021D1"/>
    <w:rsid w:val="00005515"/>
    <w:rsid w:val="000106C3"/>
    <w:rsid w:val="00010A48"/>
    <w:rsid w:val="00010CF3"/>
    <w:rsid w:val="00011C46"/>
    <w:rsid w:val="00011E27"/>
    <w:rsid w:val="00012764"/>
    <w:rsid w:val="000148BC"/>
    <w:rsid w:val="00016DF3"/>
    <w:rsid w:val="00017FBE"/>
    <w:rsid w:val="00020847"/>
    <w:rsid w:val="00020CE2"/>
    <w:rsid w:val="00024AB8"/>
    <w:rsid w:val="000256B6"/>
    <w:rsid w:val="00025AE9"/>
    <w:rsid w:val="0002621D"/>
    <w:rsid w:val="00030178"/>
    <w:rsid w:val="00030854"/>
    <w:rsid w:val="00034BF6"/>
    <w:rsid w:val="00036028"/>
    <w:rsid w:val="000361B4"/>
    <w:rsid w:val="000376BC"/>
    <w:rsid w:val="00040132"/>
    <w:rsid w:val="00040657"/>
    <w:rsid w:val="00042BB4"/>
    <w:rsid w:val="00042C4A"/>
    <w:rsid w:val="00044642"/>
    <w:rsid w:val="000446B9"/>
    <w:rsid w:val="0004572F"/>
    <w:rsid w:val="000469A3"/>
    <w:rsid w:val="000476CE"/>
    <w:rsid w:val="00047E21"/>
    <w:rsid w:val="00052419"/>
    <w:rsid w:val="00055EB3"/>
    <w:rsid w:val="00056ACE"/>
    <w:rsid w:val="00061501"/>
    <w:rsid w:val="000630FF"/>
    <w:rsid w:val="00063696"/>
    <w:rsid w:val="00065F4A"/>
    <w:rsid w:val="00066729"/>
    <w:rsid w:val="000711A7"/>
    <w:rsid w:val="00080178"/>
    <w:rsid w:val="00081D6E"/>
    <w:rsid w:val="00082327"/>
    <w:rsid w:val="00085170"/>
    <w:rsid w:val="00085505"/>
    <w:rsid w:val="00087ABC"/>
    <w:rsid w:val="00091F5F"/>
    <w:rsid w:val="000936EA"/>
    <w:rsid w:val="00097F81"/>
    <w:rsid w:val="000A1C2C"/>
    <w:rsid w:val="000A3E20"/>
    <w:rsid w:val="000A4207"/>
    <w:rsid w:val="000A437F"/>
    <w:rsid w:val="000A4B26"/>
    <w:rsid w:val="000A68B4"/>
    <w:rsid w:val="000A7DFA"/>
    <w:rsid w:val="000B0946"/>
    <w:rsid w:val="000B0A39"/>
    <w:rsid w:val="000B19E1"/>
    <w:rsid w:val="000B3096"/>
    <w:rsid w:val="000B4E37"/>
    <w:rsid w:val="000B54E7"/>
    <w:rsid w:val="000B5AD8"/>
    <w:rsid w:val="000B6317"/>
    <w:rsid w:val="000B6752"/>
    <w:rsid w:val="000C15B3"/>
    <w:rsid w:val="000C1903"/>
    <w:rsid w:val="000C25AF"/>
    <w:rsid w:val="000C3124"/>
    <w:rsid w:val="000C347F"/>
    <w:rsid w:val="000C7021"/>
    <w:rsid w:val="000D12E7"/>
    <w:rsid w:val="000D3B29"/>
    <w:rsid w:val="000D5AFD"/>
    <w:rsid w:val="000D6BBC"/>
    <w:rsid w:val="000D7780"/>
    <w:rsid w:val="000E131D"/>
    <w:rsid w:val="000E4306"/>
    <w:rsid w:val="000E5276"/>
    <w:rsid w:val="000E542E"/>
    <w:rsid w:val="000F1DE1"/>
    <w:rsid w:val="000F22DB"/>
    <w:rsid w:val="000F5AB7"/>
    <w:rsid w:val="001000F7"/>
    <w:rsid w:val="0010128B"/>
    <w:rsid w:val="001017EF"/>
    <w:rsid w:val="001026A2"/>
    <w:rsid w:val="0010393E"/>
    <w:rsid w:val="00103981"/>
    <w:rsid w:val="00105595"/>
    <w:rsid w:val="00105929"/>
    <w:rsid w:val="00105BE1"/>
    <w:rsid w:val="00106BAB"/>
    <w:rsid w:val="00107303"/>
    <w:rsid w:val="0010731F"/>
    <w:rsid w:val="00107B88"/>
    <w:rsid w:val="00110BE8"/>
    <w:rsid w:val="001131D5"/>
    <w:rsid w:val="00114294"/>
    <w:rsid w:val="00114C11"/>
    <w:rsid w:val="00117C01"/>
    <w:rsid w:val="00117F00"/>
    <w:rsid w:val="00126859"/>
    <w:rsid w:val="00126C40"/>
    <w:rsid w:val="00126C51"/>
    <w:rsid w:val="00127162"/>
    <w:rsid w:val="00127D6F"/>
    <w:rsid w:val="00127F6A"/>
    <w:rsid w:val="00141DB8"/>
    <w:rsid w:val="00142EC1"/>
    <w:rsid w:val="001503FB"/>
    <w:rsid w:val="00151B69"/>
    <w:rsid w:val="0015200A"/>
    <w:rsid w:val="001532C5"/>
    <w:rsid w:val="00153E8C"/>
    <w:rsid w:val="00154DC4"/>
    <w:rsid w:val="00155A9D"/>
    <w:rsid w:val="00157D25"/>
    <w:rsid w:val="00160332"/>
    <w:rsid w:val="001615BE"/>
    <w:rsid w:val="001649DC"/>
    <w:rsid w:val="00167EA0"/>
    <w:rsid w:val="001728FE"/>
    <w:rsid w:val="001730A1"/>
    <w:rsid w:val="0017474A"/>
    <w:rsid w:val="001755FF"/>
    <w:rsid w:val="001758C6"/>
    <w:rsid w:val="00175A57"/>
    <w:rsid w:val="00176279"/>
    <w:rsid w:val="0018065F"/>
    <w:rsid w:val="00180DB8"/>
    <w:rsid w:val="00182B99"/>
    <w:rsid w:val="00183CC2"/>
    <w:rsid w:val="00184D9D"/>
    <w:rsid w:val="0018756E"/>
    <w:rsid w:val="00187BD5"/>
    <w:rsid w:val="00193BEB"/>
    <w:rsid w:val="00193D37"/>
    <w:rsid w:val="00193F42"/>
    <w:rsid w:val="00194472"/>
    <w:rsid w:val="00195D41"/>
    <w:rsid w:val="0019714D"/>
    <w:rsid w:val="001A0080"/>
    <w:rsid w:val="001A07EF"/>
    <w:rsid w:val="001A2126"/>
    <w:rsid w:val="001A30CF"/>
    <w:rsid w:val="001A50C6"/>
    <w:rsid w:val="001A6217"/>
    <w:rsid w:val="001B24B3"/>
    <w:rsid w:val="001B3A94"/>
    <w:rsid w:val="001B489A"/>
    <w:rsid w:val="001B4FFB"/>
    <w:rsid w:val="001B53D6"/>
    <w:rsid w:val="001B7644"/>
    <w:rsid w:val="001C130D"/>
    <w:rsid w:val="001C407C"/>
    <w:rsid w:val="001C468E"/>
    <w:rsid w:val="001C5068"/>
    <w:rsid w:val="001C5D21"/>
    <w:rsid w:val="001C7C40"/>
    <w:rsid w:val="001C7E29"/>
    <w:rsid w:val="001D02E7"/>
    <w:rsid w:val="001D0D3B"/>
    <w:rsid w:val="001D3E97"/>
    <w:rsid w:val="001D4657"/>
    <w:rsid w:val="001D5CBF"/>
    <w:rsid w:val="001D6191"/>
    <w:rsid w:val="001E07CC"/>
    <w:rsid w:val="001E0CF9"/>
    <w:rsid w:val="001E2C74"/>
    <w:rsid w:val="001E3FB5"/>
    <w:rsid w:val="001F2DD3"/>
    <w:rsid w:val="001F306E"/>
    <w:rsid w:val="001F37EC"/>
    <w:rsid w:val="001F4502"/>
    <w:rsid w:val="001F52DE"/>
    <w:rsid w:val="001F74D4"/>
    <w:rsid w:val="00200538"/>
    <w:rsid w:val="00200911"/>
    <w:rsid w:val="00202242"/>
    <w:rsid w:val="00204DE5"/>
    <w:rsid w:val="00210A27"/>
    <w:rsid w:val="00211BBF"/>
    <w:rsid w:val="00212220"/>
    <w:rsid w:val="0021332C"/>
    <w:rsid w:val="00213982"/>
    <w:rsid w:val="00214693"/>
    <w:rsid w:val="00216F59"/>
    <w:rsid w:val="002172B9"/>
    <w:rsid w:val="00217492"/>
    <w:rsid w:val="002238C8"/>
    <w:rsid w:val="00223FC1"/>
    <w:rsid w:val="0023131A"/>
    <w:rsid w:val="0023152D"/>
    <w:rsid w:val="00232F97"/>
    <w:rsid w:val="00233045"/>
    <w:rsid w:val="00234234"/>
    <w:rsid w:val="002348D4"/>
    <w:rsid w:val="002351BE"/>
    <w:rsid w:val="0023631E"/>
    <w:rsid w:val="00236F1B"/>
    <w:rsid w:val="00237CEB"/>
    <w:rsid w:val="00241463"/>
    <w:rsid w:val="0024416D"/>
    <w:rsid w:val="0024624A"/>
    <w:rsid w:val="00251675"/>
    <w:rsid w:val="002534CA"/>
    <w:rsid w:val="002548AA"/>
    <w:rsid w:val="00254F6A"/>
    <w:rsid w:val="00254F88"/>
    <w:rsid w:val="00260DF3"/>
    <w:rsid w:val="00267712"/>
    <w:rsid w:val="00271F8D"/>
    <w:rsid w:val="002736FE"/>
    <w:rsid w:val="00274E2C"/>
    <w:rsid w:val="0027610A"/>
    <w:rsid w:val="00277F1E"/>
    <w:rsid w:val="002800A0"/>
    <w:rsid w:val="002801B3"/>
    <w:rsid w:val="0028098F"/>
    <w:rsid w:val="00281060"/>
    <w:rsid w:val="00282FAB"/>
    <w:rsid w:val="002833DF"/>
    <w:rsid w:val="00285151"/>
    <w:rsid w:val="00285B43"/>
    <w:rsid w:val="00285D28"/>
    <w:rsid w:val="002874C7"/>
    <w:rsid w:val="0029045E"/>
    <w:rsid w:val="00293781"/>
    <w:rsid w:val="002940E8"/>
    <w:rsid w:val="0029517F"/>
    <w:rsid w:val="00295906"/>
    <w:rsid w:val="00295BAA"/>
    <w:rsid w:val="002A0864"/>
    <w:rsid w:val="002A163F"/>
    <w:rsid w:val="002A2BE2"/>
    <w:rsid w:val="002A4573"/>
    <w:rsid w:val="002A5260"/>
    <w:rsid w:val="002A6E50"/>
    <w:rsid w:val="002B1E33"/>
    <w:rsid w:val="002B3236"/>
    <w:rsid w:val="002B53D8"/>
    <w:rsid w:val="002B6B33"/>
    <w:rsid w:val="002C256A"/>
    <w:rsid w:val="002C71F9"/>
    <w:rsid w:val="002D0061"/>
    <w:rsid w:val="002D00EB"/>
    <w:rsid w:val="002D014E"/>
    <w:rsid w:val="002D66FA"/>
    <w:rsid w:val="002D6BE9"/>
    <w:rsid w:val="002E0794"/>
    <w:rsid w:val="002E1152"/>
    <w:rsid w:val="002E137D"/>
    <w:rsid w:val="002E25B5"/>
    <w:rsid w:val="002E3A35"/>
    <w:rsid w:val="002E5D69"/>
    <w:rsid w:val="002E63AE"/>
    <w:rsid w:val="002F0831"/>
    <w:rsid w:val="002F0F26"/>
    <w:rsid w:val="002F13D0"/>
    <w:rsid w:val="002F4F2D"/>
    <w:rsid w:val="002F530E"/>
    <w:rsid w:val="002F5D82"/>
    <w:rsid w:val="00301C4E"/>
    <w:rsid w:val="00301FCF"/>
    <w:rsid w:val="003034EC"/>
    <w:rsid w:val="003036D8"/>
    <w:rsid w:val="00304515"/>
    <w:rsid w:val="00304B03"/>
    <w:rsid w:val="00305A7F"/>
    <w:rsid w:val="003075E6"/>
    <w:rsid w:val="00307859"/>
    <w:rsid w:val="003125C4"/>
    <w:rsid w:val="003137FA"/>
    <w:rsid w:val="00315280"/>
    <w:rsid w:val="003152FE"/>
    <w:rsid w:val="003153AC"/>
    <w:rsid w:val="00316DD1"/>
    <w:rsid w:val="00316F84"/>
    <w:rsid w:val="00317A45"/>
    <w:rsid w:val="00317D75"/>
    <w:rsid w:val="003202EB"/>
    <w:rsid w:val="003205AA"/>
    <w:rsid w:val="003207CB"/>
    <w:rsid w:val="00320AC9"/>
    <w:rsid w:val="00324807"/>
    <w:rsid w:val="003257B8"/>
    <w:rsid w:val="00325F02"/>
    <w:rsid w:val="00325FEF"/>
    <w:rsid w:val="00327436"/>
    <w:rsid w:val="0032754E"/>
    <w:rsid w:val="0033507D"/>
    <w:rsid w:val="00341CFE"/>
    <w:rsid w:val="00343A65"/>
    <w:rsid w:val="0034490F"/>
    <w:rsid w:val="00344BD6"/>
    <w:rsid w:val="00346204"/>
    <w:rsid w:val="00353A9B"/>
    <w:rsid w:val="00353F2B"/>
    <w:rsid w:val="0035528D"/>
    <w:rsid w:val="003574F8"/>
    <w:rsid w:val="00360E27"/>
    <w:rsid w:val="00361821"/>
    <w:rsid w:val="003621AA"/>
    <w:rsid w:val="00362357"/>
    <w:rsid w:val="00362B55"/>
    <w:rsid w:val="003639F7"/>
    <w:rsid w:val="00364000"/>
    <w:rsid w:val="003707B9"/>
    <w:rsid w:val="00373D38"/>
    <w:rsid w:val="00376BCD"/>
    <w:rsid w:val="00376D5D"/>
    <w:rsid w:val="003773C3"/>
    <w:rsid w:val="00377B3E"/>
    <w:rsid w:val="0038411E"/>
    <w:rsid w:val="0038563C"/>
    <w:rsid w:val="003872A8"/>
    <w:rsid w:val="003902CB"/>
    <w:rsid w:val="00391D5C"/>
    <w:rsid w:val="00391F33"/>
    <w:rsid w:val="003921BE"/>
    <w:rsid w:val="00393D4D"/>
    <w:rsid w:val="00395B2E"/>
    <w:rsid w:val="00397659"/>
    <w:rsid w:val="003A0090"/>
    <w:rsid w:val="003A0608"/>
    <w:rsid w:val="003A2F38"/>
    <w:rsid w:val="003A3CE2"/>
    <w:rsid w:val="003A5F5E"/>
    <w:rsid w:val="003A611D"/>
    <w:rsid w:val="003B2045"/>
    <w:rsid w:val="003C3BD3"/>
    <w:rsid w:val="003C745E"/>
    <w:rsid w:val="003D1A0B"/>
    <w:rsid w:val="003D227C"/>
    <w:rsid w:val="003D2301"/>
    <w:rsid w:val="003D2B4D"/>
    <w:rsid w:val="003D3420"/>
    <w:rsid w:val="003D6F79"/>
    <w:rsid w:val="003E1EA3"/>
    <w:rsid w:val="003F377D"/>
    <w:rsid w:val="003F453D"/>
    <w:rsid w:val="003F4D20"/>
    <w:rsid w:val="003F68B5"/>
    <w:rsid w:val="00401E4D"/>
    <w:rsid w:val="00414197"/>
    <w:rsid w:val="004154B0"/>
    <w:rsid w:val="00416DEC"/>
    <w:rsid w:val="0041749D"/>
    <w:rsid w:val="00420897"/>
    <w:rsid w:val="00421977"/>
    <w:rsid w:val="00424441"/>
    <w:rsid w:val="004252CA"/>
    <w:rsid w:val="004275E5"/>
    <w:rsid w:val="00430F9B"/>
    <w:rsid w:val="00436D42"/>
    <w:rsid w:val="00437A9F"/>
    <w:rsid w:val="00440519"/>
    <w:rsid w:val="00440C0B"/>
    <w:rsid w:val="00441FBE"/>
    <w:rsid w:val="0044217A"/>
    <w:rsid w:val="00442FF8"/>
    <w:rsid w:val="00444961"/>
    <w:rsid w:val="00444A88"/>
    <w:rsid w:val="00446A97"/>
    <w:rsid w:val="00446FF0"/>
    <w:rsid w:val="00447480"/>
    <w:rsid w:val="00450212"/>
    <w:rsid w:val="004519CA"/>
    <w:rsid w:val="00451BA4"/>
    <w:rsid w:val="00453C61"/>
    <w:rsid w:val="00455140"/>
    <w:rsid w:val="00455A94"/>
    <w:rsid w:val="00456143"/>
    <w:rsid w:val="0045616C"/>
    <w:rsid w:val="004571E7"/>
    <w:rsid w:val="0046394F"/>
    <w:rsid w:val="004639D2"/>
    <w:rsid w:val="00463F18"/>
    <w:rsid w:val="0046418E"/>
    <w:rsid w:val="004643DB"/>
    <w:rsid w:val="0046597E"/>
    <w:rsid w:val="00467BB7"/>
    <w:rsid w:val="00474D38"/>
    <w:rsid w:val="00474DA4"/>
    <w:rsid w:val="00476B4D"/>
    <w:rsid w:val="004805FA"/>
    <w:rsid w:val="00480ADC"/>
    <w:rsid w:val="00481F44"/>
    <w:rsid w:val="0048455A"/>
    <w:rsid w:val="0048639B"/>
    <w:rsid w:val="00486779"/>
    <w:rsid w:val="00486E6F"/>
    <w:rsid w:val="0049528D"/>
    <w:rsid w:val="0049564D"/>
    <w:rsid w:val="004956D4"/>
    <w:rsid w:val="004A094B"/>
    <w:rsid w:val="004A4A55"/>
    <w:rsid w:val="004A4E84"/>
    <w:rsid w:val="004A6E40"/>
    <w:rsid w:val="004A72C3"/>
    <w:rsid w:val="004B3801"/>
    <w:rsid w:val="004B4CE9"/>
    <w:rsid w:val="004B5D21"/>
    <w:rsid w:val="004B71D9"/>
    <w:rsid w:val="004C1AEC"/>
    <w:rsid w:val="004C2FAD"/>
    <w:rsid w:val="004D0024"/>
    <w:rsid w:val="004D047D"/>
    <w:rsid w:val="004D6731"/>
    <w:rsid w:val="004E0892"/>
    <w:rsid w:val="004E1D43"/>
    <w:rsid w:val="004E20B3"/>
    <w:rsid w:val="004E2F5C"/>
    <w:rsid w:val="004E4322"/>
    <w:rsid w:val="004F305A"/>
    <w:rsid w:val="004F3341"/>
    <w:rsid w:val="004F3CD2"/>
    <w:rsid w:val="004F657A"/>
    <w:rsid w:val="004F70E9"/>
    <w:rsid w:val="00500410"/>
    <w:rsid w:val="005017B4"/>
    <w:rsid w:val="005067A5"/>
    <w:rsid w:val="005100FC"/>
    <w:rsid w:val="00512164"/>
    <w:rsid w:val="005135CD"/>
    <w:rsid w:val="00514BF0"/>
    <w:rsid w:val="00520297"/>
    <w:rsid w:val="00522E14"/>
    <w:rsid w:val="00524405"/>
    <w:rsid w:val="00524895"/>
    <w:rsid w:val="00527810"/>
    <w:rsid w:val="00533457"/>
    <w:rsid w:val="005338F9"/>
    <w:rsid w:val="00533E33"/>
    <w:rsid w:val="0053423C"/>
    <w:rsid w:val="005348D1"/>
    <w:rsid w:val="005350C6"/>
    <w:rsid w:val="00535F2F"/>
    <w:rsid w:val="0053630C"/>
    <w:rsid w:val="0054077B"/>
    <w:rsid w:val="00542455"/>
    <w:rsid w:val="0054281C"/>
    <w:rsid w:val="0054441D"/>
    <w:rsid w:val="0054488B"/>
    <w:rsid w:val="00545B55"/>
    <w:rsid w:val="00546AF4"/>
    <w:rsid w:val="00552269"/>
    <w:rsid w:val="0055268D"/>
    <w:rsid w:val="00553121"/>
    <w:rsid w:val="0055426D"/>
    <w:rsid w:val="00556179"/>
    <w:rsid w:val="00560A6D"/>
    <w:rsid w:val="00561B89"/>
    <w:rsid w:val="005628A0"/>
    <w:rsid w:val="00564BDE"/>
    <w:rsid w:val="00564BF4"/>
    <w:rsid w:val="005661B5"/>
    <w:rsid w:val="0056694D"/>
    <w:rsid w:val="00572F21"/>
    <w:rsid w:val="005734C5"/>
    <w:rsid w:val="00573776"/>
    <w:rsid w:val="00574A4F"/>
    <w:rsid w:val="00575D17"/>
    <w:rsid w:val="00576BE4"/>
    <w:rsid w:val="00576C9C"/>
    <w:rsid w:val="00577BEC"/>
    <w:rsid w:val="00577D61"/>
    <w:rsid w:val="00580316"/>
    <w:rsid w:val="00580F68"/>
    <w:rsid w:val="0058157E"/>
    <w:rsid w:val="00582A5F"/>
    <w:rsid w:val="00590BC7"/>
    <w:rsid w:val="00591AFB"/>
    <w:rsid w:val="00592E9D"/>
    <w:rsid w:val="0059361B"/>
    <w:rsid w:val="0059642D"/>
    <w:rsid w:val="00596C76"/>
    <w:rsid w:val="00596C9A"/>
    <w:rsid w:val="005A00EB"/>
    <w:rsid w:val="005A272C"/>
    <w:rsid w:val="005A400A"/>
    <w:rsid w:val="005A632F"/>
    <w:rsid w:val="005B0492"/>
    <w:rsid w:val="005B0AB8"/>
    <w:rsid w:val="005B1A8A"/>
    <w:rsid w:val="005B3312"/>
    <w:rsid w:val="005B6DC0"/>
    <w:rsid w:val="005B7ABF"/>
    <w:rsid w:val="005C03CF"/>
    <w:rsid w:val="005C6BC1"/>
    <w:rsid w:val="005C6D8F"/>
    <w:rsid w:val="005C7C48"/>
    <w:rsid w:val="005D2399"/>
    <w:rsid w:val="005D2F4D"/>
    <w:rsid w:val="005D39F9"/>
    <w:rsid w:val="005D48A0"/>
    <w:rsid w:val="005E1F1F"/>
    <w:rsid w:val="005E4558"/>
    <w:rsid w:val="005F05B6"/>
    <w:rsid w:val="005F07D0"/>
    <w:rsid w:val="005F2558"/>
    <w:rsid w:val="005F2D0F"/>
    <w:rsid w:val="005F4702"/>
    <w:rsid w:val="005F6C41"/>
    <w:rsid w:val="00602629"/>
    <w:rsid w:val="00604B14"/>
    <w:rsid w:val="00604C71"/>
    <w:rsid w:val="006054BD"/>
    <w:rsid w:val="0060618E"/>
    <w:rsid w:val="00606DB0"/>
    <w:rsid w:val="0061048D"/>
    <w:rsid w:val="00612379"/>
    <w:rsid w:val="0061555F"/>
    <w:rsid w:val="006164C9"/>
    <w:rsid w:val="00621D85"/>
    <w:rsid w:val="00623EC8"/>
    <w:rsid w:val="00624022"/>
    <w:rsid w:val="00627E9B"/>
    <w:rsid w:val="00630469"/>
    <w:rsid w:val="00631E55"/>
    <w:rsid w:val="00633612"/>
    <w:rsid w:val="00640655"/>
    <w:rsid w:val="00641200"/>
    <w:rsid w:val="00642212"/>
    <w:rsid w:val="00647670"/>
    <w:rsid w:val="0065047D"/>
    <w:rsid w:val="0065407E"/>
    <w:rsid w:val="006563B8"/>
    <w:rsid w:val="00656F66"/>
    <w:rsid w:val="0066013A"/>
    <w:rsid w:val="006607E5"/>
    <w:rsid w:val="006655D3"/>
    <w:rsid w:val="00666684"/>
    <w:rsid w:val="00666CCF"/>
    <w:rsid w:val="0066743C"/>
    <w:rsid w:val="0067258F"/>
    <w:rsid w:val="00672703"/>
    <w:rsid w:val="006734DD"/>
    <w:rsid w:val="006753F4"/>
    <w:rsid w:val="00677D30"/>
    <w:rsid w:val="006815BE"/>
    <w:rsid w:val="00686528"/>
    <w:rsid w:val="00686825"/>
    <w:rsid w:val="00687036"/>
    <w:rsid w:val="00687DB3"/>
    <w:rsid w:val="00687EB4"/>
    <w:rsid w:val="006921EB"/>
    <w:rsid w:val="0069251C"/>
    <w:rsid w:val="00694A9E"/>
    <w:rsid w:val="006A1C56"/>
    <w:rsid w:val="006A5CC5"/>
    <w:rsid w:val="006A7060"/>
    <w:rsid w:val="006B17D2"/>
    <w:rsid w:val="006B35D5"/>
    <w:rsid w:val="006B4BAF"/>
    <w:rsid w:val="006B519E"/>
    <w:rsid w:val="006B5CF7"/>
    <w:rsid w:val="006B7643"/>
    <w:rsid w:val="006C224E"/>
    <w:rsid w:val="006C45D7"/>
    <w:rsid w:val="006C620F"/>
    <w:rsid w:val="006C68F1"/>
    <w:rsid w:val="006C6A77"/>
    <w:rsid w:val="006D028B"/>
    <w:rsid w:val="006D104A"/>
    <w:rsid w:val="006D73B9"/>
    <w:rsid w:val="006D780A"/>
    <w:rsid w:val="006D7B89"/>
    <w:rsid w:val="006E0CEB"/>
    <w:rsid w:val="006E183C"/>
    <w:rsid w:val="006E1FFB"/>
    <w:rsid w:val="006E2075"/>
    <w:rsid w:val="006E5C9E"/>
    <w:rsid w:val="006E65A5"/>
    <w:rsid w:val="006E6842"/>
    <w:rsid w:val="006E6D53"/>
    <w:rsid w:val="006E7F63"/>
    <w:rsid w:val="006F0904"/>
    <w:rsid w:val="006F1D93"/>
    <w:rsid w:val="006F2C82"/>
    <w:rsid w:val="006F3F35"/>
    <w:rsid w:val="006F4F04"/>
    <w:rsid w:val="006F6DF2"/>
    <w:rsid w:val="00701471"/>
    <w:rsid w:val="00701E43"/>
    <w:rsid w:val="00703AC7"/>
    <w:rsid w:val="00710C52"/>
    <w:rsid w:val="007112D4"/>
    <w:rsid w:val="00712307"/>
    <w:rsid w:val="00712A49"/>
    <w:rsid w:val="0072229D"/>
    <w:rsid w:val="00723E30"/>
    <w:rsid w:val="00725146"/>
    <w:rsid w:val="00731E33"/>
    <w:rsid w:val="00732DEC"/>
    <w:rsid w:val="00733878"/>
    <w:rsid w:val="00733924"/>
    <w:rsid w:val="00733F41"/>
    <w:rsid w:val="00735BD5"/>
    <w:rsid w:val="007368CF"/>
    <w:rsid w:val="0074327C"/>
    <w:rsid w:val="00743772"/>
    <w:rsid w:val="00745418"/>
    <w:rsid w:val="00751438"/>
    <w:rsid w:val="00751A2C"/>
    <w:rsid w:val="007521E7"/>
    <w:rsid w:val="0075479D"/>
    <w:rsid w:val="007556F6"/>
    <w:rsid w:val="00760EEF"/>
    <w:rsid w:val="0076108C"/>
    <w:rsid w:val="0076382A"/>
    <w:rsid w:val="00766297"/>
    <w:rsid w:val="00771F99"/>
    <w:rsid w:val="00772DA5"/>
    <w:rsid w:val="00773695"/>
    <w:rsid w:val="00773CB9"/>
    <w:rsid w:val="00775C24"/>
    <w:rsid w:val="007763D3"/>
    <w:rsid w:val="00776C6F"/>
    <w:rsid w:val="00777EE5"/>
    <w:rsid w:val="0078137A"/>
    <w:rsid w:val="007837C7"/>
    <w:rsid w:val="00784836"/>
    <w:rsid w:val="00784D0F"/>
    <w:rsid w:val="007853AD"/>
    <w:rsid w:val="0079023E"/>
    <w:rsid w:val="007919C8"/>
    <w:rsid w:val="007A1910"/>
    <w:rsid w:val="007A2854"/>
    <w:rsid w:val="007A683A"/>
    <w:rsid w:val="007A7273"/>
    <w:rsid w:val="007A796C"/>
    <w:rsid w:val="007B18F1"/>
    <w:rsid w:val="007B46CC"/>
    <w:rsid w:val="007B64A3"/>
    <w:rsid w:val="007C0C7B"/>
    <w:rsid w:val="007C1848"/>
    <w:rsid w:val="007C2539"/>
    <w:rsid w:val="007C49DF"/>
    <w:rsid w:val="007C4BE0"/>
    <w:rsid w:val="007D0B9D"/>
    <w:rsid w:val="007D19B0"/>
    <w:rsid w:val="007D1DFE"/>
    <w:rsid w:val="007D3A9D"/>
    <w:rsid w:val="007D6A26"/>
    <w:rsid w:val="007D6B77"/>
    <w:rsid w:val="007E0074"/>
    <w:rsid w:val="007E00FD"/>
    <w:rsid w:val="007E20C2"/>
    <w:rsid w:val="007E26BF"/>
    <w:rsid w:val="007E3CC0"/>
    <w:rsid w:val="007F39C0"/>
    <w:rsid w:val="007F498F"/>
    <w:rsid w:val="007F55CF"/>
    <w:rsid w:val="007F74E1"/>
    <w:rsid w:val="00800D97"/>
    <w:rsid w:val="00802341"/>
    <w:rsid w:val="0080372D"/>
    <w:rsid w:val="00803831"/>
    <w:rsid w:val="0080679D"/>
    <w:rsid w:val="00807CC4"/>
    <w:rsid w:val="008108B0"/>
    <w:rsid w:val="00810D48"/>
    <w:rsid w:val="008117D3"/>
    <w:rsid w:val="00811B20"/>
    <w:rsid w:val="00813D52"/>
    <w:rsid w:val="0081415C"/>
    <w:rsid w:val="0081448D"/>
    <w:rsid w:val="008165D2"/>
    <w:rsid w:val="00820150"/>
    <w:rsid w:val="0082068C"/>
    <w:rsid w:val="00820784"/>
    <w:rsid w:val="008227E2"/>
    <w:rsid w:val="0082296E"/>
    <w:rsid w:val="00824099"/>
    <w:rsid w:val="00824428"/>
    <w:rsid w:val="008248ED"/>
    <w:rsid w:val="00825310"/>
    <w:rsid w:val="00826B88"/>
    <w:rsid w:val="00830FBD"/>
    <w:rsid w:val="00831893"/>
    <w:rsid w:val="00832D4A"/>
    <w:rsid w:val="008334C6"/>
    <w:rsid w:val="00833832"/>
    <w:rsid w:val="00833F99"/>
    <w:rsid w:val="008350CA"/>
    <w:rsid w:val="0083739A"/>
    <w:rsid w:val="00840EF3"/>
    <w:rsid w:val="008414FC"/>
    <w:rsid w:val="00844C25"/>
    <w:rsid w:val="00844CC5"/>
    <w:rsid w:val="00844FE9"/>
    <w:rsid w:val="00845DE8"/>
    <w:rsid w:val="008464BF"/>
    <w:rsid w:val="00846790"/>
    <w:rsid w:val="00861251"/>
    <w:rsid w:val="00861785"/>
    <w:rsid w:val="00861A9D"/>
    <w:rsid w:val="00861F35"/>
    <w:rsid w:val="008624BD"/>
    <w:rsid w:val="008635D3"/>
    <w:rsid w:val="008636D1"/>
    <w:rsid w:val="00863BC1"/>
    <w:rsid w:val="00864018"/>
    <w:rsid w:val="0086761D"/>
    <w:rsid w:val="00867978"/>
    <w:rsid w:val="00867AC1"/>
    <w:rsid w:val="00870C32"/>
    <w:rsid w:val="00870E4F"/>
    <w:rsid w:val="0087410A"/>
    <w:rsid w:val="008748AD"/>
    <w:rsid w:val="00874D39"/>
    <w:rsid w:val="0087517C"/>
    <w:rsid w:val="008751A4"/>
    <w:rsid w:val="0087678D"/>
    <w:rsid w:val="0088373A"/>
    <w:rsid w:val="00883962"/>
    <w:rsid w:val="00883A64"/>
    <w:rsid w:val="00883B43"/>
    <w:rsid w:val="00885F41"/>
    <w:rsid w:val="00885F53"/>
    <w:rsid w:val="008926E9"/>
    <w:rsid w:val="00894290"/>
    <w:rsid w:val="0089473F"/>
    <w:rsid w:val="00894944"/>
    <w:rsid w:val="00894F4F"/>
    <w:rsid w:val="00897428"/>
    <w:rsid w:val="008A01C1"/>
    <w:rsid w:val="008A3C6D"/>
    <w:rsid w:val="008A46E9"/>
    <w:rsid w:val="008A6769"/>
    <w:rsid w:val="008A743F"/>
    <w:rsid w:val="008B0589"/>
    <w:rsid w:val="008B2E85"/>
    <w:rsid w:val="008B3BC2"/>
    <w:rsid w:val="008C0970"/>
    <w:rsid w:val="008C222D"/>
    <w:rsid w:val="008C50C6"/>
    <w:rsid w:val="008C74EA"/>
    <w:rsid w:val="008D0062"/>
    <w:rsid w:val="008D2084"/>
    <w:rsid w:val="008D2CF7"/>
    <w:rsid w:val="008D3D14"/>
    <w:rsid w:val="008D666B"/>
    <w:rsid w:val="008D724B"/>
    <w:rsid w:val="008E0FB0"/>
    <w:rsid w:val="008E13BE"/>
    <w:rsid w:val="008E6152"/>
    <w:rsid w:val="008F04A8"/>
    <w:rsid w:val="008F1978"/>
    <w:rsid w:val="008F2999"/>
    <w:rsid w:val="008F29A0"/>
    <w:rsid w:val="008F504D"/>
    <w:rsid w:val="008F5208"/>
    <w:rsid w:val="00900C26"/>
    <w:rsid w:val="0090197F"/>
    <w:rsid w:val="00901A3F"/>
    <w:rsid w:val="009054B3"/>
    <w:rsid w:val="00906084"/>
    <w:rsid w:val="00906862"/>
    <w:rsid w:val="00906DDC"/>
    <w:rsid w:val="00912918"/>
    <w:rsid w:val="00916FF9"/>
    <w:rsid w:val="0092133E"/>
    <w:rsid w:val="0092369E"/>
    <w:rsid w:val="0092406E"/>
    <w:rsid w:val="00924BF6"/>
    <w:rsid w:val="009254E2"/>
    <w:rsid w:val="00927367"/>
    <w:rsid w:val="00927882"/>
    <w:rsid w:val="009323ED"/>
    <w:rsid w:val="00932744"/>
    <w:rsid w:val="009336F5"/>
    <w:rsid w:val="00934E09"/>
    <w:rsid w:val="00936253"/>
    <w:rsid w:val="009435E0"/>
    <w:rsid w:val="009443F5"/>
    <w:rsid w:val="00944D0A"/>
    <w:rsid w:val="009459FD"/>
    <w:rsid w:val="00945E1D"/>
    <w:rsid w:val="009462BE"/>
    <w:rsid w:val="00947052"/>
    <w:rsid w:val="00947808"/>
    <w:rsid w:val="00951672"/>
    <w:rsid w:val="00952DD4"/>
    <w:rsid w:val="009537CD"/>
    <w:rsid w:val="00954D92"/>
    <w:rsid w:val="009650A8"/>
    <w:rsid w:val="00966F8D"/>
    <w:rsid w:val="00967DBA"/>
    <w:rsid w:val="00970FED"/>
    <w:rsid w:val="00975155"/>
    <w:rsid w:val="00975801"/>
    <w:rsid w:val="009804F3"/>
    <w:rsid w:val="00980796"/>
    <w:rsid w:val="00982BBD"/>
    <w:rsid w:val="00983543"/>
    <w:rsid w:val="00985671"/>
    <w:rsid w:val="00986805"/>
    <w:rsid w:val="009873E2"/>
    <w:rsid w:val="0099183A"/>
    <w:rsid w:val="00997029"/>
    <w:rsid w:val="009A0C6D"/>
    <w:rsid w:val="009A3D58"/>
    <w:rsid w:val="009A43E0"/>
    <w:rsid w:val="009A7D81"/>
    <w:rsid w:val="009B09E1"/>
    <w:rsid w:val="009B2CF3"/>
    <w:rsid w:val="009B3141"/>
    <w:rsid w:val="009C09CF"/>
    <w:rsid w:val="009C5F42"/>
    <w:rsid w:val="009C7FA6"/>
    <w:rsid w:val="009D24DE"/>
    <w:rsid w:val="009D690D"/>
    <w:rsid w:val="009D6D56"/>
    <w:rsid w:val="009D6F4A"/>
    <w:rsid w:val="009E020F"/>
    <w:rsid w:val="009E0610"/>
    <w:rsid w:val="009E0620"/>
    <w:rsid w:val="009E460B"/>
    <w:rsid w:val="009E65B6"/>
    <w:rsid w:val="009F4813"/>
    <w:rsid w:val="009F7D0F"/>
    <w:rsid w:val="00A029D2"/>
    <w:rsid w:val="00A0430F"/>
    <w:rsid w:val="00A04EFC"/>
    <w:rsid w:val="00A10711"/>
    <w:rsid w:val="00A1247F"/>
    <w:rsid w:val="00A13B50"/>
    <w:rsid w:val="00A22E5E"/>
    <w:rsid w:val="00A23E72"/>
    <w:rsid w:val="00A254E8"/>
    <w:rsid w:val="00A30A00"/>
    <w:rsid w:val="00A30DC2"/>
    <w:rsid w:val="00A313FF"/>
    <w:rsid w:val="00A32A3A"/>
    <w:rsid w:val="00A33199"/>
    <w:rsid w:val="00A351AE"/>
    <w:rsid w:val="00A364A8"/>
    <w:rsid w:val="00A36E5E"/>
    <w:rsid w:val="00A37115"/>
    <w:rsid w:val="00A42AC3"/>
    <w:rsid w:val="00A430CF"/>
    <w:rsid w:val="00A478D4"/>
    <w:rsid w:val="00A512D1"/>
    <w:rsid w:val="00A54309"/>
    <w:rsid w:val="00A563A0"/>
    <w:rsid w:val="00A56FAA"/>
    <w:rsid w:val="00A605B5"/>
    <w:rsid w:val="00A61FD3"/>
    <w:rsid w:val="00A62710"/>
    <w:rsid w:val="00A66F9D"/>
    <w:rsid w:val="00A6768A"/>
    <w:rsid w:val="00A71FDD"/>
    <w:rsid w:val="00A722F1"/>
    <w:rsid w:val="00A76C15"/>
    <w:rsid w:val="00A803B6"/>
    <w:rsid w:val="00A82F8A"/>
    <w:rsid w:val="00A87D67"/>
    <w:rsid w:val="00A907A9"/>
    <w:rsid w:val="00A91598"/>
    <w:rsid w:val="00A9165A"/>
    <w:rsid w:val="00A9194C"/>
    <w:rsid w:val="00AA504F"/>
    <w:rsid w:val="00AA55DB"/>
    <w:rsid w:val="00AA5E43"/>
    <w:rsid w:val="00AA6751"/>
    <w:rsid w:val="00AA6AAB"/>
    <w:rsid w:val="00AB1799"/>
    <w:rsid w:val="00AB2B93"/>
    <w:rsid w:val="00AB2FD6"/>
    <w:rsid w:val="00AB356A"/>
    <w:rsid w:val="00AB3B12"/>
    <w:rsid w:val="00AB46C9"/>
    <w:rsid w:val="00AB4FA9"/>
    <w:rsid w:val="00AB50AA"/>
    <w:rsid w:val="00AB7E5B"/>
    <w:rsid w:val="00AC44FD"/>
    <w:rsid w:val="00AC6178"/>
    <w:rsid w:val="00AD49E5"/>
    <w:rsid w:val="00AD68B9"/>
    <w:rsid w:val="00AE0AA3"/>
    <w:rsid w:val="00AE0EF1"/>
    <w:rsid w:val="00AE2937"/>
    <w:rsid w:val="00AE363C"/>
    <w:rsid w:val="00AE4777"/>
    <w:rsid w:val="00AE628E"/>
    <w:rsid w:val="00AF032D"/>
    <w:rsid w:val="00AF1D3F"/>
    <w:rsid w:val="00AF4147"/>
    <w:rsid w:val="00AF5485"/>
    <w:rsid w:val="00AF6A71"/>
    <w:rsid w:val="00B033A1"/>
    <w:rsid w:val="00B05B2E"/>
    <w:rsid w:val="00B07301"/>
    <w:rsid w:val="00B10799"/>
    <w:rsid w:val="00B2174D"/>
    <w:rsid w:val="00B21DDB"/>
    <w:rsid w:val="00B222ED"/>
    <w:rsid w:val="00B224DE"/>
    <w:rsid w:val="00B247C0"/>
    <w:rsid w:val="00B25028"/>
    <w:rsid w:val="00B30112"/>
    <w:rsid w:val="00B31465"/>
    <w:rsid w:val="00B324BA"/>
    <w:rsid w:val="00B341DF"/>
    <w:rsid w:val="00B34608"/>
    <w:rsid w:val="00B365EB"/>
    <w:rsid w:val="00B36F59"/>
    <w:rsid w:val="00B40146"/>
    <w:rsid w:val="00B40331"/>
    <w:rsid w:val="00B408E2"/>
    <w:rsid w:val="00B412FA"/>
    <w:rsid w:val="00B4374D"/>
    <w:rsid w:val="00B43772"/>
    <w:rsid w:val="00B46181"/>
    <w:rsid w:val="00B46575"/>
    <w:rsid w:val="00B47962"/>
    <w:rsid w:val="00B51392"/>
    <w:rsid w:val="00B54229"/>
    <w:rsid w:val="00B549B0"/>
    <w:rsid w:val="00B555FC"/>
    <w:rsid w:val="00B57933"/>
    <w:rsid w:val="00B6241B"/>
    <w:rsid w:val="00B651B2"/>
    <w:rsid w:val="00B703CE"/>
    <w:rsid w:val="00B713D0"/>
    <w:rsid w:val="00B72B08"/>
    <w:rsid w:val="00B742C5"/>
    <w:rsid w:val="00B76E7B"/>
    <w:rsid w:val="00B813A3"/>
    <w:rsid w:val="00B81F11"/>
    <w:rsid w:val="00B838CD"/>
    <w:rsid w:val="00B83D8C"/>
    <w:rsid w:val="00B84BBD"/>
    <w:rsid w:val="00B91B85"/>
    <w:rsid w:val="00B921B9"/>
    <w:rsid w:val="00B95C40"/>
    <w:rsid w:val="00B962A4"/>
    <w:rsid w:val="00BA09A4"/>
    <w:rsid w:val="00BA162C"/>
    <w:rsid w:val="00BA21A8"/>
    <w:rsid w:val="00BA43FB"/>
    <w:rsid w:val="00BB0CB1"/>
    <w:rsid w:val="00BB2484"/>
    <w:rsid w:val="00BB3B08"/>
    <w:rsid w:val="00BB5F95"/>
    <w:rsid w:val="00BC127D"/>
    <w:rsid w:val="00BC1931"/>
    <w:rsid w:val="00BC1F73"/>
    <w:rsid w:val="00BC1FE6"/>
    <w:rsid w:val="00BC2A87"/>
    <w:rsid w:val="00BC3800"/>
    <w:rsid w:val="00BC4E27"/>
    <w:rsid w:val="00BC5004"/>
    <w:rsid w:val="00BC5828"/>
    <w:rsid w:val="00BC5FC3"/>
    <w:rsid w:val="00BC636E"/>
    <w:rsid w:val="00BC78C1"/>
    <w:rsid w:val="00BD0402"/>
    <w:rsid w:val="00BD1766"/>
    <w:rsid w:val="00BD3112"/>
    <w:rsid w:val="00BD5B10"/>
    <w:rsid w:val="00BD6605"/>
    <w:rsid w:val="00BD724C"/>
    <w:rsid w:val="00BD767B"/>
    <w:rsid w:val="00BE0094"/>
    <w:rsid w:val="00BE0705"/>
    <w:rsid w:val="00BE3493"/>
    <w:rsid w:val="00BE4BB1"/>
    <w:rsid w:val="00BE6871"/>
    <w:rsid w:val="00BF222C"/>
    <w:rsid w:val="00BF4074"/>
    <w:rsid w:val="00BF7D8A"/>
    <w:rsid w:val="00C00B12"/>
    <w:rsid w:val="00C0371D"/>
    <w:rsid w:val="00C0513D"/>
    <w:rsid w:val="00C061B6"/>
    <w:rsid w:val="00C0793E"/>
    <w:rsid w:val="00C102CC"/>
    <w:rsid w:val="00C10814"/>
    <w:rsid w:val="00C10899"/>
    <w:rsid w:val="00C12930"/>
    <w:rsid w:val="00C167EA"/>
    <w:rsid w:val="00C2101C"/>
    <w:rsid w:val="00C219F6"/>
    <w:rsid w:val="00C2446C"/>
    <w:rsid w:val="00C24C4B"/>
    <w:rsid w:val="00C2685E"/>
    <w:rsid w:val="00C278D8"/>
    <w:rsid w:val="00C30A91"/>
    <w:rsid w:val="00C31057"/>
    <w:rsid w:val="00C32CCB"/>
    <w:rsid w:val="00C34F1F"/>
    <w:rsid w:val="00C36AE5"/>
    <w:rsid w:val="00C36E7B"/>
    <w:rsid w:val="00C40404"/>
    <w:rsid w:val="00C416F8"/>
    <w:rsid w:val="00C41F17"/>
    <w:rsid w:val="00C42086"/>
    <w:rsid w:val="00C44A0E"/>
    <w:rsid w:val="00C44D84"/>
    <w:rsid w:val="00C47425"/>
    <w:rsid w:val="00C503CA"/>
    <w:rsid w:val="00C50803"/>
    <w:rsid w:val="00C51D44"/>
    <w:rsid w:val="00C523E7"/>
    <w:rsid w:val="00C5280D"/>
    <w:rsid w:val="00C52BE0"/>
    <w:rsid w:val="00C53515"/>
    <w:rsid w:val="00C53C58"/>
    <w:rsid w:val="00C56C8F"/>
    <w:rsid w:val="00C5791C"/>
    <w:rsid w:val="00C621DA"/>
    <w:rsid w:val="00C63377"/>
    <w:rsid w:val="00C633DC"/>
    <w:rsid w:val="00C651CE"/>
    <w:rsid w:val="00C66290"/>
    <w:rsid w:val="00C72535"/>
    <w:rsid w:val="00C72878"/>
    <w:rsid w:val="00C72B7A"/>
    <w:rsid w:val="00C73E3F"/>
    <w:rsid w:val="00C74154"/>
    <w:rsid w:val="00C748F5"/>
    <w:rsid w:val="00C74975"/>
    <w:rsid w:val="00C74C0E"/>
    <w:rsid w:val="00C74CCD"/>
    <w:rsid w:val="00C75626"/>
    <w:rsid w:val="00C8002B"/>
    <w:rsid w:val="00C81209"/>
    <w:rsid w:val="00C82180"/>
    <w:rsid w:val="00C83644"/>
    <w:rsid w:val="00C84703"/>
    <w:rsid w:val="00C84C22"/>
    <w:rsid w:val="00C87358"/>
    <w:rsid w:val="00C873DC"/>
    <w:rsid w:val="00C910D6"/>
    <w:rsid w:val="00C94B58"/>
    <w:rsid w:val="00C95616"/>
    <w:rsid w:val="00C959F4"/>
    <w:rsid w:val="00C973F2"/>
    <w:rsid w:val="00CA0B03"/>
    <w:rsid w:val="00CA304C"/>
    <w:rsid w:val="00CA6411"/>
    <w:rsid w:val="00CA774A"/>
    <w:rsid w:val="00CB16D2"/>
    <w:rsid w:val="00CB1F2E"/>
    <w:rsid w:val="00CB4D5C"/>
    <w:rsid w:val="00CB4DCF"/>
    <w:rsid w:val="00CC11B0"/>
    <w:rsid w:val="00CC1BB2"/>
    <w:rsid w:val="00CD036D"/>
    <w:rsid w:val="00CD37DB"/>
    <w:rsid w:val="00CD5903"/>
    <w:rsid w:val="00CD73E4"/>
    <w:rsid w:val="00CD7929"/>
    <w:rsid w:val="00CE6690"/>
    <w:rsid w:val="00CE695F"/>
    <w:rsid w:val="00CE6BAE"/>
    <w:rsid w:val="00CE77D2"/>
    <w:rsid w:val="00CF3A4C"/>
    <w:rsid w:val="00CF54E4"/>
    <w:rsid w:val="00CF5DC2"/>
    <w:rsid w:val="00CF7B36"/>
    <w:rsid w:val="00CF7E36"/>
    <w:rsid w:val="00D00254"/>
    <w:rsid w:val="00D005F9"/>
    <w:rsid w:val="00D009EB"/>
    <w:rsid w:val="00D00CF8"/>
    <w:rsid w:val="00D02A51"/>
    <w:rsid w:val="00D05435"/>
    <w:rsid w:val="00D07DCB"/>
    <w:rsid w:val="00D1203D"/>
    <w:rsid w:val="00D161D5"/>
    <w:rsid w:val="00D17D82"/>
    <w:rsid w:val="00D20C5F"/>
    <w:rsid w:val="00D219B6"/>
    <w:rsid w:val="00D22364"/>
    <w:rsid w:val="00D25549"/>
    <w:rsid w:val="00D25EA1"/>
    <w:rsid w:val="00D26470"/>
    <w:rsid w:val="00D26CA4"/>
    <w:rsid w:val="00D26F1B"/>
    <w:rsid w:val="00D27D72"/>
    <w:rsid w:val="00D31C4B"/>
    <w:rsid w:val="00D3708D"/>
    <w:rsid w:val="00D378D7"/>
    <w:rsid w:val="00D402F4"/>
    <w:rsid w:val="00D40426"/>
    <w:rsid w:val="00D4043D"/>
    <w:rsid w:val="00D40ACE"/>
    <w:rsid w:val="00D42197"/>
    <w:rsid w:val="00D44373"/>
    <w:rsid w:val="00D475A9"/>
    <w:rsid w:val="00D52046"/>
    <w:rsid w:val="00D54457"/>
    <w:rsid w:val="00D55C11"/>
    <w:rsid w:val="00D560BF"/>
    <w:rsid w:val="00D57452"/>
    <w:rsid w:val="00D57C96"/>
    <w:rsid w:val="00D6058C"/>
    <w:rsid w:val="00D60F49"/>
    <w:rsid w:val="00D657EB"/>
    <w:rsid w:val="00D70E53"/>
    <w:rsid w:val="00D71747"/>
    <w:rsid w:val="00D74B12"/>
    <w:rsid w:val="00D76CC0"/>
    <w:rsid w:val="00D76D72"/>
    <w:rsid w:val="00D80250"/>
    <w:rsid w:val="00D8152B"/>
    <w:rsid w:val="00D8383D"/>
    <w:rsid w:val="00D91203"/>
    <w:rsid w:val="00D9141A"/>
    <w:rsid w:val="00D9163B"/>
    <w:rsid w:val="00D936F9"/>
    <w:rsid w:val="00D947A0"/>
    <w:rsid w:val="00D95174"/>
    <w:rsid w:val="00D95F6E"/>
    <w:rsid w:val="00D9726B"/>
    <w:rsid w:val="00DA1EB2"/>
    <w:rsid w:val="00DA4D4E"/>
    <w:rsid w:val="00DA5DF2"/>
    <w:rsid w:val="00DA6F36"/>
    <w:rsid w:val="00DA71E3"/>
    <w:rsid w:val="00DB1F4F"/>
    <w:rsid w:val="00DB3682"/>
    <w:rsid w:val="00DB3A3F"/>
    <w:rsid w:val="00DB4F34"/>
    <w:rsid w:val="00DB596E"/>
    <w:rsid w:val="00DC00EA"/>
    <w:rsid w:val="00DC0607"/>
    <w:rsid w:val="00DC145E"/>
    <w:rsid w:val="00DC300B"/>
    <w:rsid w:val="00DD1A15"/>
    <w:rsid w:val="00DD25C7"/>
    <w:rsid w:val="00DD2975"/>
    <w:rsid w:val="00DD2BD5"/>
    <w:rsid w:val="00DD4A16"/>
    <w:rsid w:val="00DD4D33"/>
    <w:rsid w:val="00DD6054"/>
    <w:rsid w:val="00DD668B"/>
    <w:rsid w:val="00DE0335"/>
    <w:rsid w:val="00DE50BD"/>
    <w:rsid w:val="00DE5C37"/>
    <w:rsid w:val="00DE5D83"/>
    <w:rsid w:val="00DE5DDF"/>
    <w:rsid w:val="00DE5DFD"/>
    <w:rsid w:val="00DF0208"/>
    <w:rsid w:val="00DF14AB"/>
    <w:rsid w:val="00DF5766"/>
    <w:rsid w:val="00DF6B19"/>
    <w:rsid w:val="00DF70FA"/>
    <w:rsid w:val="00E0052E"/>
    <w:rsid w:val="00E018A9"/>
    <w:rsid w:val="00E021C3"/>
    <w:rsid w:val="00E063A7"/>
    <w:rsid w:val="00E129BA"/>
    <w:rsid w:val="00E14145"/>
    <w:rsid w:val="00E14700"/>
    <w:rsid w:val="00E163EA"/>
    <w:rsid w:val="00E2083C"/>
    <w:rsid w:val="00E2168C"/>
    <w:rsid w:val="00E26886"/>
    <w:rsid w:val="00E27085"/>
    <w:rsid w:val="00E27553"/>
    <w:rsid w:val="00E32F43"/>
    <w:rsid w:val="00E32F7E"/>
    <w:rsid w:val="00E34FD9"/>
    <w:rsid w:val="00E35033"/>
    <w:rsid w:val="00E36ABA"/>
    <w:rsid w:val="00E40312"/>
    <w:rsid w:val="00E4191D"/>
    <w:rsid w:val="00E4389B"/>
    <w:rsid w:val="00E44804"/>
    <w:rsid w:val="00E44D1A"/>
    <w:rsid w:val="00E50953"/>
    <w:rsid w:val="00E5280F"/>
    <w:rsid w:val="00E52B14"/>
    <w:rsid w:val="00E53414"/>
    <w:rsid w:val="00E5359F"/>
    <w:rsid w:val="00E537FD"/>
    <w:rsid w:val="00E54B7C"/>
    <w:rsid w:val="00E559E2"/>
    <w:rsid w:val="00E60EAC"/>
    <w:rsid w:val="00E61F11"/>
    <w:rsid w:val="00E6287F"/>
    <w:rsid w:val="00E631B8"/>
    <w:rsid w:val="00E65DC6"/>
    <w:rsid w:val="00E70B76"/>
    <w:rsid w:val="00E71DFE"/>
    <w:rsid w:val="00E72D49"/>
    <w:rsid w:val="00E74379"/>
    <w:rsid w:val="00E7593C"/>
    <w:rsid w:val="00E7613A"/>
    <w:rsid w:val="00E7678A"/>
    <w:rsid w:val="00E819CA"/>
    <w:rsid w:val="00E87E10"/>
    <w:rsid w:val="00E91F2A"/>
    <w:rsid w:val="00E934E3"/>
    <w:rsid w:val="00E935F1"/>
    <w:rsid w:val="00E94A81"/>
    <w:rsid w:val="00E96460"/>
    <w:rsid w:val="00EA08BB"/>
    <w:rsid w:val="00EA1B6B"/>
    <w:rsid w:val="00EA1FFB"/>
    <w:rsid w:val="00EA581C"/>
    <w:rsid w:val="00EA5981"/>
    <w:rsid w:val="00EB048E"/>
    <w:rsid w:val="00EB43E6"/>
    <w:rsid w:val="00EB44FC"/>
    <w:rsid w:val="00EB577F"/>
    <w:rsid w:val="00EC17A9"/>
    <w:rsid w:val="00ED0371"/>
    <w:rsid w:val="00ED04DB"/>
    <w:rsid w:val="00ED0FC4"/>
    <w:rsid w:val="00ED2CF4"/>
    <w:rsid w:val="00ED4509"/>
    <w:rsid w:val="00ED58CB"/>
    <w:rsid w:val="00EE34DF"/>
    <w:rsid w:val="00EE3569"/>
    <w:rsid w:val="00EE4F56"/>
    <w:rsid w:val="00EE68A4"/>
    <w:rsid w:val="00EF27E4"/>
    <w:rsid w:val="00EF2F89"/>
    <w:rsid w:val="00EF648D"/>
    <w:rsid w:val="00EF6671"/>
    <w:rsid w:val="00EF7089"/>
    <w:rsid w:val="00F0556A"/>
    <w:rsid w:val="00F101BB"/>
    <w:rsid w:val="00F111CB"/>
    <w:rsid w:val="00F1237A"/>
    <w:rsid w:val="00F123B8"/>
    <w:rsid w:val="00F12918"/>
    <w:rsid w:val="00F1525A"/>
    <w:rsid w:val="00F176AD"/>
    <w:rsid w:val="00F22A01"/>
    <w:rsid w:val="00F22CBD"/>
    <w:rsid w:val="00F22DF1"/>
    <w:rsid w:val="00F234F1"/>
    <w:rsid w:val="00F23749"/>
    <w:rsid w:val="00F25260"/>
    <w:rsid w:val="00F30DC5"/>
    <w:rsid w:val="00F345B3"/>
    <w:rsid w:val="00F36F8E"/>
    <w:rsid w:val="00F40261"/>
    <w:rsid w:val="00F44916"/>
    <w:rsid w:val="00F45372"/>
    <w:rsid w:val="00F5098D"/>
    <w:rsid w:val="00F514B4"/>
    <w:rsid w:val="00F518F4"/>
    <w:rsid w:val="00F530C4"/>
    <w:rsid w:val="00F560F7"/>
    <w:rsid w:val="00F56C99"/>
    <w:rsid w:val="00F57DB7"/>
    <w:rsid w:val="00F62A74"/>
    <w:rsid w:val="00F6334D"/>
    <w:rsid w:val="00F66181"/>
    <w:rsid w:val="00F664F7"/>
    <w:rsid w:val="00F70353"/>
    <w:rsid w:val="00F71301"/>
    <w:rsid w:val="00F71DB7"/>
    <w:rsid w:val="00F72161"/>
    <w:rsid w:val="00F72329"/>
    <w:rsid w:val="00F73054"/>
    <w:rsid w:val="00F7794F"/>
    <w:rsid w:val="00F80209"/>
    <w:rsid w:val="00F80602"/>
    <w:rsid w:val="00F81882"/>
    <w:rsid w:val="00F82E0E"/>
    <w:rsid w:val="00F86D73"/>
    <w:rsid w:val="00F8767D"/>
    <w:rsid w:val="00F908F7"/>
    <w:rsid w:val="00F91FFF"/>
    <w:rsid w:val="00F93FA5"/>
    <w:rsid w:val="00F95959"/>
    <w:rsid w:val="00F9684C"/>
    <w:rsid w:val="00FA2EB4"/>
    <w:rsid w:val="00FA3DA0"/>
    <w:rsid w:val="00FA49AB"/>
    <w:rsid w:val="00FB1AA6"/>
    <w:rsid w:val="00FB62D6"/>
    <w:rsid w:val="00FB724F"/>
    <w:rsid w:val="00FC02D7"/>
    <w:rsid w:val="00FC5B1F"/>
    <w:rsid w:val="00FD1AA6"/>
    <w:rsid w:val="00FD44F9"/>
    <w:rsid w:val="00FD4954"/>
    <w:rsid w:val="00FD5338"/>
    <w:rsid w:val="00FD641C"/>
    <w:rsid w:val="00FD7070"/>
    <w:rsid w:val="00FE0981"/>
    <w:rsid w:val="00FE2376"/>
    <w:rsid w:val="00FE39C7"/>
    <w:rsid w:val="00FE48AC"/>
    <w:rsid w:val="00FE548D"/>
    <w:rsid w:val="00FF1A62"/>
    <w:rsid w:val="00FF1B68"/>
    <w:rsid w:val="00FF276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15"/>
    <w:pPr>
      <w:jc w:val="both"/>
    </w:pPr>
    <w:rPr>
      <w:rFonts w:ascii="Arial" w:hAnsi="Arial"/>
    </w:rPr>
  </w:style>
  <w:style w:type="paragraph" w:styleId="Heading1">
    <w:name w:val="heading 1"/>
    <w:next w:val="Normal"/>
    <w:autoRedefine/>
    <w:qFormat/>
    <w:rsid w:val="00F345B3"/>
    <w:pPr>
      <w:keepNext/>
      <w:jc w:val="both"/>
      <w:outlineLvl w:val="0"/>
    </w:pPr>
    <w:rPr>
      <w:rFonts w:ascii="Arial" w:hAnsi="Arial"/>
      <w:caps/>
    </w:rPr>
  </w:style>
  <w:style w:type="paragraph" w:styleId="Heading2">
    <w:name w:val="heading 2"/>
    <w:next w:val="Normal"/>
    <w:autoRedefine/>
    <w:qFormat/>
    <w:rsid w:val="00F345B3"/>
    <w:pPr>
      <w:keepNext/>
      <w:jc w:val="both"/>
      <w:outlineLvl w:val="1"/>
    </w:pPr>
    <w:rPr>
      <w:rFonts w:ascii="Arial" w:hAnsi="Arial"/>
      <w:u w:val="single"/>
    </w:rPr>
  </w:style>
  <w:style w:type="paragraph" w:styleId="Heading3">
    <w:name w:val="heading 3"/>
    <w:next w:val="Normal"/>
    <w:autoRedefine/>
    <w:qFormat/>
    <w:rsid w:val="00F345B3"/>
    <w:pPr>
      <w:keepNext/>
      <w:jc w:val="both"/>
      <w:outlineLvl w:val="2"/>
    </w:pPr>
    <w:rPr>
      <w:rFonts w:ascii="Arial" w:hAnsi="Arial"/>
      <w:b/>
      <w:caps/>
      <w:sz w:val="18"/>
    </w:rPr>
  </w:style>
  <w:style w:type="paragraph" w:styleId="Heading4">
    <w:name w:val="heading 4"/>
    <w:next w:val="Normal"/>
    <w:autoRedefine/>
    <w:qFormat/>
    <w:rsid w:val="00F345B3"/>
    <w:pPr>
      <w:keepNext/>
      <w:jc w:val="both"/>
      <w:outlineLvl w:val="3"/>
    </w:pPr>
    <w:rPr>
      <w:rFonts w:ascii="Arial" w:hAnsi="Arial"/>
      <w:b/>
      <w:smallCaps/>
    </w:rPr>
  </w:style>
  <w:style w:type="paragraph" w:styleId="Heading5">
    <w:name w:val="heading 5"/>
    <w:next w:val="Normal"/>
    <w:autoRedefine/>
    <w:qFormat/>
    <w:rsid w:val="000476CE"/>
    <w:pPr>
      <w:keepNext/>
      <w:jc w:val="both"/>
      <w:outlineLvl w:val="4"/>
    </w:pPr>
    <w:rPr>
      <w:rFonts w:ascii="Arial" w:hAnsi="Arial"/>
      <w:b/>
      <w:sz w:val="18"/>
    </w:rPr>
  </w:style>
  <w:style w:type="paragraph" w:styleId="Heading6">
    <w:name w:val="heading 6"/>
    <w:basedOn w:val="Normal"/>
    <w:next w:val="Normal"/>
    <w:link w:val="Heading6Char"/>
    <w:qFormat/>
    <w:rsid w:val="00114294"/>
    <w:pPr>
      <w:jc w:val="left"/>
      <w:outlineLvl w:val="5"/>
    </w:pPr>
    <w:rPr>
      <w:bCs/>
      <w:i/>
      <w:sz w:val="18"/>
      <w:szCs w:val="22"/>
    </w:rPr>
  </w:style>
  <w:style w:type="paragraph" w:styleId="Heading7">
    <w:name w:val="heading 7"/>
    <w:basedOn w:val="Normal"/>
    <w:next w:val="Normal"/>
    <w:link w:val="Heading7Char"/>
    <w:autoRedefine/>
    <w:qFormat/>
    <w:rsid w:val="00F345B3"/>
    <w:pPr>
      <w:spacing w:after="240"/>
      <w:outlineLvl w:val="6"/>
    </w:pPr>
    <w:rPr>
      <w:b/>
      <w:sz w:val="18"/>
      <w:szCs w:val="24"/>
    </w:rPr>
  </w:style>
  <w:style w:type="paragraph" w:styleId="Heading8">
    <w:name w:val="heading 8"/>
    <w:basedOn w:val="Normal"/>
    <w:next w:val="Normal"/>
    <w:link w:val="Heading8Char"/>
    <w:qFormat/>
    <w:rsid w:val="00301C4E"/>
    <w:pPr>
      <w:spacing w:after="240"/>
      <w:jc w:val="left"/>
      <w:outlineLvl w:val="7"/>
    </w:pPr>
    <w:rPr>
      <w:i/>
      <w:iCs/>
      <w:sz w:val="18"/>
      <w:szCs w:val="24"/>
    </w:rPr>
  </w:style>
  <w:style w:type="paragraph" w:styleId="Heading9">
    <w:name w:val="heading 9"/>
    <w:basedOn w:val="Normal"/>
    <w:next w:val="Normal"/>
    <w:qFormat/>
    <w:rsid w:val="00301C4E"/>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rsid w:val="00577BEC"/>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577BEC"/>
    <w:rPr>
      <w:rFonts w:ascii="Arial" w:hAnsi="Arial"/>
      <w:sz w:val="16"/>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345B3"/>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F345B3"/>
    <w:pPr>
      <w:tabs>
        <w:tab w:val="right" w:leader="dot" w:pos="9639"/>
      </w:tabs>
      <w:spacing w:before="120" w:after="80"/>
      <w:ind w:right="284"/>
    </w:pPr>
    <w:rPr>
      <w:rFonts w:ascii="Arial" w:hAnsi="Arial"/>
      <w:b/>
      <w:sz w:val="18"/>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rsid w:val="00F345B3"/>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F345B3"/>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F345B3"/>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locked/>
    <w:rsid w:val="006B519E"/>
    <w:rPr>
      <w:rFonts w:ascii="Arial" w:hAnsi="Arial"/>
    </w:rPr>
  </w:style>
  <w:style w:type="paragraph" w:styleId="CommentText">
    <w:name w:val="annotation text"/>
    <w:basedOn w:val="Normal"/>
    <w:link w:val="CommentTextChar"/>
    <w:rsid w:val="006B519E"/>
    <w:pPr>
      <w:jc w:val="left"/>
    </w:pPr>
    <w:rPr>
      <w:rFonts w:ascii="Times New Roman" w:hAnsi="Times New Roman"/>
      <w:sz w:val="22"/>
    </w:rPr>
  </w:style>
  <w:style w:type="character" w:customStyle="1" w:styleId="CommentTextChar">
    <w:name w:val="Comment Text Char"/>
    <w:basedOn w:val="DefaultParagraphFont"/>
    <w:link w:val="CommentText"/>
    <w:rsid w:val="006B519E"/>
    <w:rPr>
      <w:sz w:val="22"/>
    </w:rPr>
  </w:style>
  <w:style w:type="table" w:styleId="TableGrid">
    <w:name w:val="Table Grid"/>
    <w:basedOn w:val="TableNormal"/>
    <w:rsid w:val="006B519E"/>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77BEC"/>
    <w:rPr>
      <w:rFonts w:ascii="Arial" w:hAnsi="Arial"/>
      <w:sz w:val="16"/>
    </w:rPr>
  </w:style>
  <w:style w:type="character" w:customStyle="1" w:styleId="DecisionParagraphsChar">
    <w:name w:val="DecisionParagraphs Char"/>
    <w:basedOn w:val="DefaultParagraphFont"/>
    <w:link w:val="DecisionParagraphs"/>
    <w:rsid w:val="00A605B5"/>
    <w:rPr>
      <w:rFonts w:ascii="Arial" w:hAnsi="Arial"/>
      <w:i/>
    </w:rPr>
  </w:style>
  <w:style w:type="paragraph" w:styleId="ListParagraph">
    <w:name w:val="List Paragraph"/>
    <w:basedOn w:val="Normal"/>
    <w:uiPriority w:val="34"/>
    <w:qFormat/>
    <w:rsid w:val="00E4389B"/>
    <w:pPr>
      <w:ind w:left="720"/>
      <w:contextualSpacing/>
    </w:pPr>
  </w:style>
  <w:style w:type="character" w:customStyle="1" w:styleId="Heading6Char">
    <w:name w:val="Heading 6 Char"/>
    <w:basedOn w:val="DefaultParagraphFont"/>
    <w:link w:val="Heading6"/>
    <w:rsid w:val="00114294"/>
    <w:rPr>
      <w:rFonts w:ascii="Arial" w:hAnsi="Arial"/>
      <w:bCs/>
      <w:i/>
      <w:sz w:val="18"/>
      <w:szCs w:val="22"/>
    </w:rPr>
  </w:style>
  <w:style w:type="character" w:customStyle="1" w:styleId="Heading7Char">
    <w:name w:val="Heading 7 Char"/>
    <w:basedOn w:val="DefaultParagraphFont"/>
    <w:link w:val="Heading7"/>
    <w:rsid w:val="00C74C0E"/>
    <w:rPr>
      <w:rFonts w:ascii="Arial" w:hAnsi="Arial"/>
      <w:b/>
      <w:sz w:val="18"/>
      <w:szCs w:val="24"/>
    </w:rPr>
  </w:style>
  <w:style w:type="character" w:customStyle="1" w:styleId="Heading8Char">
    <w:name w:val="Heading 8 Char"/>
    <w:basedOn w:val="DefaultParagraphFont"/>
    <w:link w:val="Heading8"/>
    <w:rsid w:val="00C74C0E"/>
    <w:rPr>
      <w:rFonts w:ascii="Arial" w:hAnsi="Arial"/>
      <w:i/>
      <w:iCs/>
      <w:sz w:val="18"/>
      <w:szCs w:val="24"/>
    </w:rPr>
  </w:style>
  <w:style w:type="paragraph" w:styleId="TOC6">
    <w:name w:val="toc 6"/>
    <w:basedOn w:val="Normal"/>
    <w:next w:val="Normal"/>
    <w:autoRedefine/>
    <w:uiPriority w:val="39"/>
    <w:rsid w:val="00C75626"/>
    <w:pPr>
      <w:keepNext/>
      <w:tabs>
        <w:tab w:val="right" w:leader="dot" w:pos="9629"/>
      </w:tabs>
      <w:spacing w:after="40"/>
      <w:ind w:left="567" w:right="425"/>
      <w:jc w:val="left"/>
    </w:pPr>
    <w:rPr>
      <w:noProof/>
      <w:sz w:val="18"/>
      <w:szCs w:val="18"/>
    </w:rPr>
  </w:style>
  <w:style w:type="paragraph" w:styleId="TOC7">
    <w:name w:val="toc 7"/>
    <w:basedOn w:val="Normal"/>
    <w:next w:val="Normal"/>
    <w:autoRedefine/>
    <w:uiPriority w:val="39"/>
    <w:rsid w:val="00F345B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C75626"/>
    <w:pPr>
      <w:tabs>
        <w:tab w:val="right" w:leader="dot" w:pos="9629"/>
      </w:tabs>
      <w:spacing w:after="40"/>
      <w:ind w:left="1134" w:right="425"/>
      <w:jc w:val="left"/>
    </w:pPr>
    <w:rPr>
      <w:i/>
      <w:noProof/>
      <w:sz w:val="18"/>
      <w:szCs w:val="18"/>
    </w:rPr>
  </w:style>
  <w:style w:type="paragraph" w:styleId="TOC9">
    <w:name w:val="toc 9"/>
    <w:basedOn w:val="Normal"/>
    <w:next w:val="Normal"/>
    <w:autoRedefine/>
    <w:uiPriority w:val="39"/>
    <w:rsid w:val="00BC1931"/>
    <w:pPr>
      <w:tabs>
        <w:tab w:val="right" w:leader="dot" w:pos="9629"/>
      </w:tabs>
      <w:ind w:left="1701" w:right="425"/>
      <w:jc w:val="left"/>
    </w:pPr>
    <w:rPr>
      <w:noProof/>
      <w:sz w:val="18"/>
      <w:szCs w:val="18"/>
    </w:rPr>
  </w:style>
  <w:style w:type="paragraph" w:customStyle="1" w:styleId="Draft">
    <w:name w:val="Draft"/>
    <w:basedOn w:val="Normal"/>
    <w:next w:val="preparedby"/>
    <w:rsid w:val="00C74C0E"/>
    <w:pPr>
      <w:spacing w:before="720" w:after="480"/>
      <w:jc w:val="center"/>
    </w:pPr>
    <w:rPr>
      <w:rFonts w:ascii="Times New Roman" w:hAnsi="Times New Roman"/>
      <w:caps/>
      <w:sz w:val="28"/>
    </w:rPr>
  </w:style>
  <w:style w:type="paragraph" w:customStyle="1" w:styleId="Committee">
    <w:name w:val="Committee"/>
    <w:basedOn w:val="Title"/>
    <w:rsid w:val="00C74C0E"/>
    <w:rPr>
      <w:caps w:val="0"/>
    </w:rPr>
  </w:style>
  <w:style w:type="paragraph" w:styleId="BodyTextIndent">
    <w:name w:val="Body Text Indent"/>
    <w:basedOn w:val="Normal"/>
    <w:link w:val="BodyTextIndentChar"/>
    <w:rsid w:val="00C74C0E"/>
    <w:rPr>
      <w:rFonts w:ascii="Times New Roman" w:hAnsi="Times New Roman"/>
      <w:sz w:val="24"/>
      <w:u w:val="single"/>
    </w:rPr>
  </w:style>
  <w:style w:type="character" w:customStyle="1" w:styleId="BodyTextIndentChar">
    <w:name w:val="Body Text Indent Char"/>
    <w:basedOn w:val="DefaultParagraphFont"/>
    <w:link w:val="BodyTextIndent"/>
    <w:rsid w:val="00C74C0E"/>
    <w:rPr>
      <w:sz w:val="24"/>
      <w:u w:val="single"/>
    </w:rPr>
  </w:style>
  <w:style w:type="paragraph" w:customStyle="1" w:styleId="ZchnZchn1">
    <w:name w:val="Zchn Zchn1"/>
    <w:basedOn w:val="Normal"/>
    <w:rsid w:val="007112D4"/>
    <w:pPr>
      <w:spacing w:after="160" w:line="240" w:lineRule="exact"/>
      <w:jc w:val="left"/>
    </w:pPr>
    <w:rPr>
      <w:rFonts w:ascii="Times New Roman" w:eastAsia="PMingLiU" w:hAnsi="Times New Roman"/>
      <w:sz w:val="24"/>
      <w:szCs w:val="24"/>
    </w:rPr>
  </w:style>
  <w:style w:type="character" w:customStyle="1" w:styleId="BodyTextChar1">
    <w:name w:val="Body Text Char1"/>
    <w:semiHidden/>
    <w:locked/>
    <w:rsid w:val="002A0864"/>
    <w:rPr>
      <w:rFonts w:ascii="Arial" w:hAnsi="Arial"/>
      <w:lang w:val="de-D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15"/>
    <w:pPr>
      <w:jc w:val="both"/>
    </w:pPr>
    <w:rPr>
      <w:rFonts w:ascii="Arial" w:hAnsi="Arial"/>
    </w:rPr>
  </w:style>
  <w:style w:type="paragraph" w:styleId="Heading1">
    <w:name w:val="heading 1"/>
    <w:next w:val="Normal"/>
    <w:autoRedefine/>
    <w:qFormat/>
    <w:rsid w:val="00F345B3"/>
    <w:pPr>
      <w:keepNext/>
      <w:jc w:val="both"/>
      <w:outlineLvl w:val="0"/>
    </w:pPr>
    <w:rPr>
      <w:rFonts w:ascii="Arial" w:hAnsi="Arial"/>
      <w:caps/>
    </w:rPr>
  </w:style>
  <w:style w:type="paragraph" w:styleId="Heading2">
    <w:name w:val="heading 2"/>
    <w:next w:val="Normal"/>
    <w:autoRedefine/>
    <w:qFormat/>
    <w:rsid w:val="00F345B3"/>
    <w:pPr>
      <w:keepNext/>
      <w:jc w:val="both"/>
      <w:outlineLvl w:val="1"/>
    </w:pPr>
    <w:rPr>
      <w:rFonts w:ascii="Arial" w:hAnsi="Arial"/>
      <w:u w:val="single"/>
    </w:rPr>
  </w:style>
  <w:style w:type="paragraph" w:styleId="Heading3">
    <w:name w:val="heading 3"/>
    <w:next w:val="Normal"/>
    <w:autoRedefine/>
    <w:qFormat/>
    <w:rsid w:val="00F345B3"/>
    <w:pPr>
      <w:keepNext/>
      <w:jc w:val="both"/>
      <w:outlineLvl w:val="2"/>
    </w:pPr>
    <w:rPr>
      <w:rFonts w:ascii="Arial" w:hAnsi="Arial"/>
      <w:b/>
      <w:caps/>
      <w:sz w:val="18"/>
    </w:rPr>
  </w:style>
  <w:style w:type="paragraph" w:styleId="Heading4">
    <w:name w:val="heading 4"/>
    <w:next w:val="Normal"/>
    <w:autoRedefine/>
    <w:qFormat/>
    <w:rsid w:val="00F345B3"/>
    <w:pPr>
      <w:keepNext/>
      <w:jc w:val="both"/>
      <w:outlineLvl w:val="3"/>
    </w:pPr>
    <w:rPr>
      <w:rFonts w:ascii="Arial" w:hAnsi="Arial"/>
      <w:b/>
      <w:smallCaps/>
    </w:rPr>
  </w:style>
  <w:style w:type="paragraph" w:styleId="Heading5">
    <w:name w:val="heading 5"/>
    <w:next w:val="Normal"/>
    <w:autoRedefine/>
    <w:qFormat/>
    <w:rsid w:val="000476CE"/>
    <w:pPr>
      <w:keepNext/>
      <w:jc w:val="both"/>
      <w:outlineLvl w:val="4"/>
    </w:pPr>
    <w:rPr>
      <w:rFonts w:ascii="Arial" w:hAnsi="Arial"/>
      <w:b/>
      <w:sz w:val="18"/>
    </w:rPr>
  </w:style>
  <w:style w:type="paragraph" w:styleId="Heading6">
    <w:name w:val="heading 6"/>
    <w:basedOn w:val="Normal"/>
    <w:next w:val="Normal"/>
    <w:link w:val="Heading6Char"/>
    <w:qFormat/>
    <w:rsid w:val="00114294"/>
    <w:pPr>
      <w:jc w:val="left"/>
      <w:outlineLvl w:val="5"/>
    </w:pPr>
    <w:rPr>
      <w:bCs/>
      <w:i/>
      <w:sz w:val="18"/>
      <w:szCs w:val="22"/>
    </w:rPr>
  </w:style>
  <w:style w:type="paragraph" w:styleId="Heading7">
    <w:name w:val="heading 7"/>
    <w:basedOn w:val="Normal"/>
    <w:next w:val="Normal"/>
    <w:link w:val="Heading7Char"/>
    <w:autoRedefine/>
    <w:qFormat/>
    <w:rsid w:val="00F345B3"/>
    <w:pPr>
      <w:spacing w:after="240"/>
      <w:outlineLvl w:val="6"/>
    </w:pPr>
    <w:rPr>
      <w:b/>
      <w:sz w:val="18"/>
      <w:szCs w:val="24"/>
    </w:rPr>
  </w:style>
  <w:style w:type="paragraph" w:styleId="Heading8">
    <w:name w:val="heading 8"/>
    <w:basedOn w:val="Normal"/>
    <w:next w:val="Normal"/>
    <w:link w:val="Heading8Char"/>
    <w:qFormat/>
    <w:rsid w:val="00301C4E"/>
    <w:pPr>
      <w:spacing w:after="240"/>
      <w:jc w:val="left"/>
      <w:outlineLvl w:val="7"/>
    </w:pPr>
    <w:rPr>
      <w:i/>
      <w:iCs/>
      <w:sz w:val="18"/>
      <w:szCs w:val="24"/>
    </w:rPr>
  </w:style>
  <w:style w:type="paragraph" w:styleId="Heading9">
    <w:name w:val="heading 9"/>
    <w:basedOn w:val="Normal"/>
    <w:next w:val="Normal"/>
    <w:qFormat/>
    <w:rsid w:val="00301C4E"/>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577BEC"/>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577BEC"/>
    <w:rPr>
      <w:rFonts w:ascii="Arial" w:hAnsi="Arial"/>
      <w:sz w:val="16"/>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345B3"/>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F345B3"/>
    <w:pPr>
      <w:tabs>
        <w:tab w:val="right" w:leader="dot" w:pos="9639"/>
      </w:tabs>
      <w:spacing w:before="120" w:after="80"/>
      <w:ind w:right="284"/>
    </w:pPr>
    <w:rPr>
      <w:rFonts w:ascii="Arial" w:hAnsi="Arial"/>
      <w:b/>
      <w:sz w:val="18"/>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rsid w:val="00F345B3"/>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F345B3"/>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F345B3"/>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locked/>
    <w:rsid w:val="006B519E"/>
    <w:rPr>
      <w:rFonts w:ascii="Arial" w:hAnsi="Arial"/>
    </w:rPr>
  </w:style>
  <w:style w:type="paragraph" w:styleId="CommentText">
    <w:name w:val="annotation text"/>
    <w:basedOn w:val="Normal"/>
    <w:link w:val="CommentTextChar"/>
    <w:rsid w:val="006B519E"/>
    <w:pPr>
      <w:jc w:val="left"/>
    </w:pPr>
    <w:rPr>
      <w:rFonts w:ascii="Times New Roman" w:hAnsi="Times New Roman"/>
      <w:sz w:val="22"/>
    </w:rPr>
  </w:style>
  <w:style w:type="character" w:customStyle="1" w:styleId="CommentTextChar">
    <w:name w:val="Comment Text Char"/>
    <w:basedOn w:val="DefaultParagraphFont"/>
    <w:link w:val="CommentText"/>
    <w:rsid w:val="006B519E"/>
    <w:rPr>
      <w:sz w:val="22"/>
    </w:rPr>
  </w:style>
  <w:style w:type="table" w:styleId="TableGrid">
    <w:name w:val="Table Grid"/>
    <w:basedOn w:val="TableNormal"/>
    <w:rsid w:val="006B519E"/>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77BEC"/>
    <w:rPr>
      <w:rFonts w:ascii="Arial" w:hAnsi="Arial"/>
      <w:sz w:val="16"/>
    </w:rPr>
  </w:style>
  <w:style w:type="character" w:customStyle="1" w:styleId="DecisionParagraphsChar">
    <w:name w:val="DecisionParagraphs Char"/>
    <w:basedOn w:val="DefaultParagraphFont"/>
    <w:link w:val="DecisionParagraphs"/>
    <w:rsid w:val="00A605B5"/>
    <w:rPr>
      <w:rFonts w:ascii="Arial" w:hAnsi="Arial"/>
      <w:i/>
    </w:rPr>
  </w:style>
  <w:style w:type="paragraph" w:styleId="ListParagraph">
    <w:name w:val="List Paragraph"/>
    <w:basedOn w:val="Normal"/>
    <w:uiPriority w:val="34"/>
    <w:qFormat/>
    <w:rsid w:val="00E4389B"/>
    <w:pPr>
      <w:ind w:left="720"/>
      <w:contextualSpacing/>
    </w:pPr>
  </w:style>
  <w:style w:type="character" w:customStyle="1" w:styleId="Heading6Char">
    <w:name w:val="Heading 6 Char"/>
    <w:basedOn w:val="DefaultParagraphFont"/>
    <w:link w:val="Heading6"/>
    <w:rsid w:val="00114294"/>
    <w:rPr>
      <w:rFonts w:ascii="Arial" w:hAnsi="Arial"/>
      <w:bCs/>
      <w:i/>
      <w:sz w:val="18"/>
      <w:szCs w:val="22"/>
    </w:rPr>
  </w:style>
  <w:style w:type="character" w:customStyle="1" w:styleId="Heading7Char">
    <w:name w:val="Heading 7 Char"/>
    <w:basedOn w:val="DefaultParagraphFont"/>
    <w:link w:val="Heading7"/>
    <w:rsid w:val="00C74C0E"/>
    <w:rPr>
      <w:rFonts w:ascii="Arial" w:hAnsi="Arial"/>
      <w:b/>
      <w:sz w:val="18"/>
      <w:szCs w:val="24"/>
    </w:rPr>
  </w:style>
  <w:style w:type="character" w:customStyle="1" w:styleId="Heading8Char">
    <w:name w:val="Heading 8 Char"/>
    <w:basedOn w:val="DefaultParagraphFont"/>
    <w:link w:val="Heading8"/>
    <w:rsid w:val="00C74C0E"/>
    <w:rPr>
      <w:rFonts w:ascii="Arial" w:hAnsi="Arial"/>
      <w:i/>
      <w:iCs/>
      <w:sz w:val="18"/>
      <w:szCs w:val="24"/>
    </w:rPr>
  </w:style>
  <w:style w:type="paragraph" w:styleId="TOC6">
    <w:name w:val="toc 6"/>
    <w:basedOn w:val="Normal"/>
    <w:next w:val="Normal"/>
    <w:autoRedefine/>
    <w:uiPriority w:val="39"/>
    <w:rsid w:val="00F345B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F345B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301C4E"/>
    <w:pPr>
      <w:tabs>
        <w:tab w:val="right" w:leader="dot" w:pos="9629"/>
      </w:tabs>
      <w:spacing w:after="40"/>
      <w:ind w:left="1134" w:right="284"/>
    </w:pPr>
    <w:rPr>
      <w:i/>
      <w:noProof/>
      <w:sz w:val="18"/>
      <w:szCs w:val="18"/>
    </w:rPr>
  </w:style>
  <w:style w:type="paragraph" w:styleId="TOC9">
    <w:name w:val="toc 9"/>
    <w:basedOn w:val="Normal"/>
    <w:next w:val="Normal"/>
    <w:autoRedefine/>
    <w:uiPriority w:val="39"/>
    <w:rsid w:val="00301C4E"/>
    <w:pPr>
      <w:tabs>
        <w:tab w:val="right" w:leader="dot" w:pos="9629"/>
      </w:tabs>
      <w:ind w:left="1701" w:right="284"/>
      <w:jc w:val="left"/>
    </w:pPr>
    <w:rPr>
      <w:noProof/>
      <w:sz w:val="18"/>
      <w:szCs w:val="18"/>
    </w:rPr>
  </w:style>
  <w:style w:type="paragraph" w:customStyle="1" w:styleId="Draft">
    <w:name w:val="Draft"/>
    <w:basedOn w:val="Normal"/>
    <w:next w:val="preparedby"/>
    <w:rsid w:val="00C74C0E"/>
    <w:pPr>
      <w:spacing w:before="720" w:after="480"/>
      <w:jc w:val="center"/>
    </w:pPr>
    <w:rPr>
      <w:rFonts w:ascii="Times New Roman" w:hAnsi="Times New Roman"/>
      <w:caps/>
      <w:sz w:val="28"/>
    </w:rPr>
  </w:style>
  <w:style w:type="paragraph" w:customStyle="1" w:styleId="Committee">
    <w:name w:val="Committee"/>
    <w:basedOn w:val="Title"/>
    <w:rsid w:val="00C74C0E"/>
    <w:rPr>
      <w:caps w:val="0"/>
    </w:rPr>
  </w:style>
  <w:style w:type="paragraph" w:styleId="BodyTextIndent">
    <w:name w:val="Body Text Indent"/>
    <w:basedOn w:val="Normal"/>
    <w:link w:val="BodyTextIndentChar"/>
    <w:rsid w:val="00C74C0E"/>
    <w:rPr>
      <w:rFonts w:ascii="Times New Roman" w:hAnsi="Times New Roman"/>
      <w:sz w:val="24"/>
      <w:u w:val="single"/>
    </w:rPr>
  </w:style>
  <w:style w:type="character" w:customStyle="1" w:styleId="BodyTextIndentChar">
    <w:name w:val="Body Text Indent Char"/>
    <w:basedOn w:val="DefaultParagraphFont"/>
    <w:link w:val="BodyTextIndent"/>
    <w:rsid w:val="00C74C0E"/>
    <w:rPr>
      <w:sz w:val="24"/>
      <w:u w:val="single"/>
    </w:rPr>
  </w:style>
  <w:style w:type="paragraph" w:customStyle="1" w:styleId="ZchnZchn1">
    <w:name w:val="Zchn Zchn1"/>
    <w:basedOn w:val="Normal"/>
    <w:rsid w:val="007112D4"/>
    <w:pPr>
      <w:spacing w:after="160" w:line="240" w:lineRule="exact"/>
      <w:jc w:val="left"/>
    </w:pPr>
    <w:rPr>
      <w:rFonts w:ascii="Times New Roman" w:eastAsia="PMingLiU"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2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meetings/en/details.jsp?meeting_id=261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upov.int/meetings/en/details.jsp?meeting_id=26104" TargetMode="External"/><Relationship Id="rId10" Type="http://schemas.openxmlformats.org/officeDocument/2006/relationships/hyperlink" Target="http://www.upov.int/meetings/de/details.jsp?meeting_id=26104"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C\C47\c_47_2_annual_report\c_47_02_figures_d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1\OrgUPOV\Shared\Distance%20Learning\DL-205\Statistics\students_sessions_languages_cats_results_d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1\OrgUPOV\Shared\Distance%20Learning\DL-205\Statistics\students_sessions_languages_cats_results_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hPercent val="100"/>
      <c:rotY val="1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699146451604689E-2"/>
          <c:y val="0.18241758241758241"/>
          <c:w val="0.88853056534330621"/>
          <c:h val="0.72747252747252744"/>
        </c:manualLayout>
      </c:layout>
      <c:bar3DChart>
        <c:barDir val="col"/>
        <c:grouping val="standard"/>
        <c:varyColors val="0"/>
        <c:ser>
          <c:idx val="0"/>
          <c:order val="0"/>
          <c:tx>
            <c:v>Zusammenarbeitsvereinbarungen</c:v>
          </c:tx>
          <c:spPr>
            <a:solidFill>
              <a:srgbClr val="FFCC00"/>
            </a:solidFill>
            <a:ln w="12700">
              <a:solidFill>
                <a:srgbClr val="000000"/>
              </a:solidFill>
              <a:prstDash val="solid"/>
            </a:ln>
          </c:spPr>
          <c:invertIfNegative val="0"/>
          <c:dLbls>
            <c:dLbl>
              <c:idx val="0"/>
              <c:layout>
                <c:manualLayout>
                  <c:x val="2.3514562106044792E-3"/>
                  <c:y val="5.408347033543883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5.2747252747252747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'Fig.2-Cooperation'!$A$30:$A$37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'Fig.2-Cooperation'!$E$30:$E$37</c:f>
              <c:numCache>
                <c:formatCode>General</c:formatCode>
                <c:ptCount val="8"/>
                <c:pt idx="0">
                  <c:v>640</c:v>
                </c:pt>
                <c:pt idx="1">
                  <c:v>570</c:v>
                </c:pt>
                <c:pt idx="2">
                  <c:v>1360</c:v>
                </c:pt>
                <c:pt idx="3">
                  <c:v>1360</c:v>
                </c:pt>
                <c:pt idx="4">
                  <c:v>1379</c:v>
                </c:pt>
                <c:pt idx="5">
                  <c:v>1417</c:v>
                </c:pt>
                <c:pt idx="6">
                  <c:v>1990</c:v>
                </c:pt>
                <c:pt idx="7">
                  <c:v>1991</c:v>
                </c:pt>
              </c:numCache>
            </c:numRef>
          </c:val>
        </c:ser>
        <c:ser>
          <c:idx val="1"/>
          <c:order val="1"/>
          <c:tx>
            <c:v>Praktische Erfahrung</c:v>
          </c:tx>
          <c:spPr>
            <a:solidFill>
              <a:srgbClr val="99CC00"/>
            </a:solidFill>
            <a:ln w="12700">
              <a:solidFill>
                <a:srgbClr val="000000"/>
              </a:solidFill>
              <a:prstDash val="solid"/>
            </a:ln>
          </c:spPr>
          <c:invertIfNegative val="0"/>
          <c:dLbls>
            <c:dLbl>
              <c:idx val="0"/>
              <c:layout>
                <c:manualLayout>
                  <c:x val="-2.1034688919135511E-3"/>
                  <c:y val="4.8408179746762425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981684981684982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'Fig.2-Cooperation'!$A$30:$A$37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'Fig.2-Cooperation'!$D$30:$D$37</c:f>
              <c:numCache>
                <c:formatCode>General</c:formatCode>
                <c:ptCount val="8"/>
                <c:pt idx="0">
                  <c:v>1750</c:v>
                </c:pt>
                <c:pt idx="1">
                  <c:v>1900</c:v>
                </c:pt>
                <c:pt idx="2">
                  <c:v>2000</c:v>
                </c:pt>
                <c:pt idx="3">
                  <c:v>2170</c:v>
                </c:pt>
                <c:pt idx="4">
                  <c:v>2209</c:v>
                </c:pt>
                <c:pt idx="5">
                  <c:v>2254</c:v>
                </c:pt>
                <c:pt idx="6">
                  <c:v>2679</c:v>
                </c:pt>
                <c:pt idx="7">
                  <c:v>2726</c:v>
                </c:pt>
              </c:numCache>
            </c:numRef>
          </c:val>
        </c:ser>
        <c:ser>
          <c:idx val="2"/>
          <c:order val="2"/>
          <c:tx>
            <c:v>Eintragung der Züchterrechte in die Datenbank für Sortenschutz</c:v>
          </c:tx>
          <c:spPr>
            <a:solidFill>
              <a:srgbClr val="FFFFCC"/>
            </a:solidFill>
            <a:ln w="12700">
              <a:solidFill>
                <a:srgbClr val="000000"/>
              </a:solidFill>
              <a:prstDash val="solid"/>
            </a:ln>
          </c:spPr>
          <c:invertIfNegative val="0"/>
          <c:dLbls>
            <c:dLbl>
              <c:idx val="0"/>
              <c:layout>
                <c:manualLayout>
                  <c:x val="-6.0023999423335409E-4"/>
                  <c:y val="4.9303683193446975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6886446886446886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'Fig.2-Cooperation'!$A$30:$A$37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'Fig.2-Cooperation'!$C$30:$C$37</c:f>
              <c:numCache>
                <c:formatCode>General</c:formatCode>
                <c:ptCount val="8"/>
                <c:pt idx="0">
                  <c:v>2336</c:v>
                </c:pt>
                <c:pt idx="1">
                  <c:v>2429</c:v>
                </c:pt>
                <c:pt idx="2">
                  <c:v>2522</c:v>
                </c:pt>
                <c:pt idx="3">
                  <c:v>2654</c:v>
                </c:pt>
                <c:pt idx="4">
                  <c:v>2790</c:v>
                </c:pt>
                <c:pt idx="5">
                  <c:v>2940</c:v>
                </c:pt>
                <c:pt idx="6">
                  <c:v>3042</c:v>
                </c:pt>
                <c:pt idx="7">
                  <c:v>3144</c:v>
                </c:pt>
              </c:numCache>
            </c:numRef>
          </c:val>
        </c:ser>
        <c:dLbls>
          <c:showLegendKey val="0"/>
          <c:showVal val="0"/>
          <c:showCatName val="0"/>
          <c:showSerName val="0"/>
          <c:showPercent val="0"/>
          <c:showBubbleSize val="0"/>
        </c:dLbls>
        <c:gapWidth val="110"/>
        <c:shape val="box"/>
        <c:axId val="117030272"/>
        <c:axId val="129897600"/>
        <c:axId val="154960768"/>
      </c:bar3DChart>
      <c:catAx>
        <c:axId val="117030272"/>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Jahr</a:t>
                </a:r>
              </a:p>
            </c:rich>
          </c:tx>
          <c:layout>
            <c:manualLayout>
              <c:xMode val="edge"/>
              <c:yMode val="edge"/>
              <c:x val="0.49865408181004839"/>
              <c:y val="0.93992673992673992"/>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29897600"/>
        <c:crosses val="autoZero"/>
        <c:auto val="1"/>
        <c:lblAlgn val="ctr"/>
        <c:lblOffset val="100"/>
        <c:tickLblSkip val="1"/>
        <c:tickMarkSkip val="1"/>
        <c:noMultiLvlLbl val="1"/>
      </c:catAx>
      <c:valAx>
        <c:axId val="129897600"/>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Anzahl Pflanzengattungen/-arten</a:t>
                </a:r>
              </a:p>
            </c:rich>
          </c:tx>
          <c:layout>
            <c:manualLayout>
              <c:xMode val="edge"/>
              <c:yMode val="edge"/>
              <c:x val="2.3694130317716746E-2"/>
              <c:y val="0.3216117216117216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17030272"/>
        <c:crosses val="autoZero"/>
        <c:crossBetween val="between"/>
      </c:valAx>
      <c:serAx>
        <c:axId val="154960768"/>
        <c:scaling>
          <c:orientation val="minMax"/>
        </c:scaling>
        <c:delete val="1"/>
        <c:axPos val="b"/>
        <c:majorTickMark val="out"/>
        <c:minorTickMark val="none"/>
        <c:tickLblPos val="nextTo"/>
        <c:crossAx val="129897600"/>
        <c:crosses val="autoZero"/>
      </c:serAx>
      <c:spPr>
        <a:noFill/>
        <a:ln w="25400">
          <a:noFill/>
        </a:ln>
      </c:spPr>
    </c:plotArea>
    <c:legend>
      <c:legendPos val="t"/>
      <c:layout>
        <c:manualLayout>
          <c:xMode val="edge"/>
          <c:yMode val="edge"/>
          <c:x val="0.32094810442717275"/>
          <c:y val="3.5164835164835165E-2"/>
          <c:w val="0.59935413566034457"/>
          <c:h val="0.14065934065934066"/>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31673149479653"/>
          <c:y val="5.8634791133036074E-2"/>
          <c:w val="0.71890202104422851"/>
          <c:h val="0.73413730512601583"/>
        </c:manualLayout>
      </c:layout>
      <c:barChart>
        <c:barDir val="col"/>
        <c:grouping val="stacked"/>
        <c:varyColors val="0"/>
        <c:ser>
          <c:idx val="0"/>
          <c:order val="0"/>
          <c:tx>
            <c:strRef>
              <c:f>'Regular sessions'!$B$2</c:f>
              <c:strCache>
                <c:ptCount val="1"/>
                <c:pt idx="0">
                  <c:v>Kategorie 1</c:v>
                </c:pt>
              </c:strCache>
            </c:strRef>
          </c:tx>
          <c:spPr>
            <a:solidFill>
              <a:srgbClr val="9999FF"/>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sessions'!$B$3:$B$15</c:f>
              <c:numCache>
                <c:formatCode>General</c:formatCode>
                <c:ptCount val="13"/>
                <c:pt idx="0">
                  <c:v>45</c:v>
                </c:pt>
                <c:pt idx="1">
                  <c:v>90</c:v>
                </c:pt>
                <c:pt idx="2">
                  <c:v>182</c:v>
                </c:pt>
                <c:pt idx="3">
                  <c:v>140</c:v>
                </c:pt>
                <c:pt idx="4">
                  <c:v>146</c:v>
                </c:pt>
                <c:pt idx="5">
                  <c:v>194</c:v>
                </c:pt>
                <c:pt idx="6">
                  <c:v>181</c:v>
                </c:pt>
                <c:pt idx="7">
                  <c:v>182</c:v>
                </c:pt>
                <c:pt idx="8">
                  <c:v>144</c:v>
                </c:pt>
                <c:pt idx="9">
                  <c:v>120</c:v>
                </c:pt>
                <c:pt idx="10">
                  <c:v>154</c:v>
                </c:pt>
                <c:pt idx="11">
                  <c:v>177</c:v>
                </c:pt>
                <c:pt idx="12">
                  <c:v>154</c:v>
                </c:pt>
              </c:numCache>
            </c:numRef>
          </c:val>
        </c:ser>
        <c:ser>
          <c:idx val="1"/>
          <c:order val="1"/>
          <c:tx>
            <c:strRef>
              <c:f>'Regular sessions'!$C$2</c:f>
              <c:strCache>
                <c:ptCount val="1"/>
                <c:pt idx="0">
                  <c:v>Kategorie 2</c:v>
                </c:pt>
              </c:strCache>
            </c:strRef>
          </c:tx>
          <c:spPr>
            <a:solidFill>
              <a:srgbClr val="993366"/>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sessions'!$C$3:$C$15</c:f>
              <c:numCache>
                <c:formatCode>General</c:formatCode>
                <c:ptCount val="13"/>
                <c:pt idx="0">
                  <c:v>5</c:v>
                </c:pt>
                <c:pt idx="1">
                  <c:v>9</c:v>
                </c:pt>
                <c:pt idx="2">
                  <c:v>13</c:v>
                </c:pt>
                <c:pt idx="3">
                  <c:v>10</c:v>
                </c:pt>
                <c:pt idx="4">
                  <c:v>7</c:v>
                </c:pt>
                <c:pt idx="5">
                  <c:v>19</c:v>
                </c:pt>
                <c:pt idx="6">
                  <c:v>15</c:v>
                </c:pt>
                <c:pt idx="7">
                  <c:v>7</c:v>
                </c:pt>
                <c:pt idx="8">
                  <c:v>13</c:v>
                </c:pt>
                <c:pt idx="9">
                  <c:v>11</c:v>
                </c:pt>
                <c:pt idx="10">
                  <c:v>5</c:v>
                </c:pt>
                <c:pt idx="11">
                  <c:v>6</c:v>
                </c:pt>
                <c:pt idx="12">
                  <c:v>8</c:v>
                </c:pt>
              </c:numCache>
            </c:numRef>
          </c:val>
        </c:ser>
        <c:ser>
          <c:idx val="2"/>
          <c:order val="2"/>
          <c:tx>
            <c:strRef>
              <c:f>'Regular sessions'!$D$2</c:f>
              <c:strCache>
                <c:ptCount val="1"/>
                <c:pt idx="0">
                  <c:v>Kategorie 3</c:v>
                </c:pt>
              </c:strCache>
            </c:strRef>
          </c:tx>
          <c:spPr>
            <a:solidFill>
              <a:srgbClr val="FFFFCC"/>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sessions'!$D$3:$D$15</c:f>
              <c:numCache>
                <c:formatCode>General</c:formatCode>
                <c:ptCount val="13"/>
                <c:pt idx="0">
                  <c:v>7</c:v>
                </c:pt>
                <c:pt idx="1">
                  <c:v>25</c:v>
                </c:pt>
                <c:pt idx="2">
                  <c:v>9</c:v>
                </c:pt>
                <c:pt idx="3">
                  <c:v>25</c:v>
                </c:pt>
                <c:pt idx="4">
                  <c:v>10</c:v>
                </c:pt>
                <c:pt idx="5">
                  <c:v>19</c:v>
                </c:pt>
                <c:pt idx="6">
                  <c:v>9</c:v>
                </c:pt>
                <c:pt idx="7">
                  <c:v>8</c:v>
                </c:pt>
                <c:pt idx="8">
                  <c:v>6</c:v>
                </c:pt>
                <c:pt idx="9">
                  <c:v>13</c:v>
                </c:pt>
                <c:pt idx="10">
                  <c:v>13</c:v>
                </c:pt>
                <c:pt idx="11">
                  <c:v>9</c:v>
                </c:pt>
                <c:pt idx="12">
                  <c:v>10</c:v>
                </c:pt>
              </c:numCache>
            </c:numRef>
          </c:val>
        </c:ser>
        <c:ser>
          <c:idx val="3"/>
          <c:order val="3"/>
          <c:tx>
            <c:strRef>
              <c:f>'Regular sessions'!$E$2</c:f>
              <c:strCache>
                <c:ptCount val="1"/>
                <c:pt idx="0">
                  <c:v>Kategorie 4</c:v>
                </c:pt>
              </c:strCache>
            </c:strRef>
          </c:tx>
          <c:spPr>
            <a:solidFill>
              <a:srgbClr val="CCFFFF"/>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sessions'!$E$3:$E$15</c:f>
              <c:numCache>
                <c:formatCode>General</c:formatCode>
                <c:ptCount val="13"/>
                <c:pt idx="10">
                  <c:v>4</c:v>
                </c:pt>
                <c:pt idx="11">
                  <c:v>0</c:v>
                </c:pt>
                <c:pt idx="12">
                  <c:v>6</c:v>
                </c:pt>
              </c:numCache>
            </c:numRef>
          </c:val>
        </c:ser>
        <c:dLbls>
          <c:showLegendKey val="0"/>
          <c:showVal val="0"/>
          <c:showCatName val="0"/>
          <c:showSerName val="0"/>
          <c:showPercent val="0"/>
          <c:showBubbleSize val="0"/>
        </c:dLbls>
        <c:gapWidth val="150"/>
        <c:overlap val="100"/>
        <c:axId val="154856832"/>
        <c:axId val="161834496"/>
      </c:barChart>
      <c:catAx>
        <c:axId val="15485683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Jahr / Sitzung</a:t>
                </a:r>
              </a:p>
            </c:rich>
          </c:tx>
          <c:layout>
            <c:manualLayout>
              <c:xMode val="edge"/>
              <c:yMode val="edge"/>
              <c:x val="0.39903100943353809"/>
              <c:y val="0.9084348037871844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61834496"/>
        <c:crosses val="autoZero"/>
        <c:auto val="1"/>
        <c:lblAlgn val="ctr"/>
        <c:lblOffset val="100"/>
        <c:tickLblSkip val="1"/>
        <c:tickMarkSkip val="1"/>
        <c:noMultiLvlLbl val="0"/>
      </c:catAx>
      <c:valAx>
        <c:axId val="16183449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Anzahl der Teilnehmer</a:t>
                </a:r>
              </a:p>
            </c:rich>
          </c:tx>
          <c:layout>
            <c:manualLayout>
              <c:xMode val="edge"/>
              <c:yMode val="edge"/>
              <c:x val="2.5848162554399229E-2"/>
              <c:y val="0.3301208703417619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54856832"/>
        <c:crosses val="autoZero"/>
        <c:crossBetween val="between"/>
      </c:valAx>
      <c:spPr>
        <a:solidFill>
          <a:srgbClr val="C0C0C0"/>
        </a:solidFill>
        <a:ln w="12700">
          <a:solidFill>
            <a:srgbClr val="808080"/>
          </a:solidFill>
          <a:prstDash val="solid"/>
        </a:ln>
      </c:spPr>
    </c:plotArea>
    <c:legend>
      <c:legendPos val="r"/>
      <c:layout>
        <c:manualLayout>
          <c:xMode val="edge"/>
          <c:yMode val="edge"/>
          <c:x val="0.85298936429517458"/>
          <c:y val="0.38072333951823645"/>
          <c:w val="0.13408734325094598"/>
          <c:h val="0.20481951809525378"/>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44918295795958"/>
          <c:y val="4.4282159030639305E-2"/>
          <c:w val="0.8424048779616834"/>
          <c:h val="0.75610596602885782"/>
        </c:manualLayout>
      </c:layout>
      <c:barChart>
        <c:barDir val="col"/>
        <c:grouping val="stacked"/>
        <c:varyColors val="0"/>
        <c:ser>
          <c:idx val="0"/>
          <c:order val="0"/>
          <c:tx>
            <c:strRef>
              <c:f>Language_breakdown!$B$3</c:f>
              <c:strCache>
                <c:ptCount val="1"/>
                <c:pt idx="0">
                  <c:v>Englisch</c:v>
                </c:pt>
              </c:strCache>
            </c:strRef>
          </c:tx>
          <c:spPr>
            <a:solidFill>
              <a:srgbClr val="FF0000"/>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Language_breakdown!$B$4:$B$16</c:f>
              <c:numCache>
                <c:formatCode>General</c:formatCode>
                <c:ptCount val="13"/>
                <c:pt idx="0">
                  <c:v>45</c:v>
                </c:pt>
                <c:pt idx="1">
                  <c:v>63</c:v>
                </c:pt>
                <c:pt idx="2">
                  <c:v>78</c:v>
                </c:pt>
                <c:pt idx="3">
                  <c:v>112</c:v>
                </c:pt>
                <c:pt idx="4">
                  <c:v>101</c:v>
                </c:pt>
                <c:pt idx="5">
                  <c:v>114</c:v>
                </c:pt>
                <c:pt idx="6">
                  <c:v>85</c:v>
                </c:pt>
                <c:pt idx="7">
                  <c:v>64</c:v>
                </c:pt>
                <c:pt idx="8">
                  <c:v>60</c:v>
                </c:pt>
                <c:pt idx="9">
                  <c:v>53</c:v>
                </c:pt>
                <c:pt idx="10">
                  <c:v>68</c:v>
                </c:pt>
                <c:pt idx="11">
                  <c:v>63</c:v>
                </c:pt>
                <c:pt idx="12">
                  <c:v>95</c:v>
                </c:pt>
              </c:numCache>
            </c:numRef>
          </c:val>
        </c:ser>
        <c:ser>
          <c:idx val="1"/>
          <c:order val="1"/>
          <c:tx>
            <c:strRef>
              <c:f>Language_breakdown!$C$3</c:f>
              <c:strCache>
                <c:ptCount val="1"/>
                <c:pt idx="0">
                  <c:v>Französisch</c:v>
                </c:pt>
              </c:strCache>
            </c:strRef>
          </c:tx>
          <c:spPr>
            <a:solidFill>
              <a:srgbClr val="3366FF"/>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Language_breakdown!$C$4:$C$16</c:f>
              <c:numCache>
                <c:formatCode>General</c:formatCode>
                <c:ptCount val="13"/>
                <c:pt idx="0">
                  <c:v>1</c:v>
                </c:pt>
                <c:pt idx="1">
                  <c:v>12</c:v>
                </c:pt>
                <c:pt idx="2">
                  <c:v>14</c:v>
                </c:pt>
                <c:pt idx="3">
                  <c:v>10</c:v>
                </c:pt>
                <c:pt idx="4">
                  <c:v>6</c:v>
                </c:pt>
                <c:pt idx="5">
                  <c:v>3</c:v>
                </c:pt>
                <c:pt idx="6">
                  <c:v>5</c:v>
                </c:pt>
                <c:pt idx="7">
                  <c:v>4</c:v>
                </c:pt>
                <c:pt idx="8">
                  <c:v>3</c:v>
                </c:pt>
                <c:pt idx="9">
                  <c:v>11</c:v>
                </c:pt>
                <c:pt idx="10">
                  <c:v>7</c:v>
                </c:pt>
                <c:pt idx="11">
                  <c:v>4</c:v>
                </c:pt>
                <c:pt idx="12">
                  <c:v>11</c:v>
                </c:pt>
              </c:numCache>
            </c:numRef>
          </c:val>
        </c:ser>
        <c:ser>
          <c:idx val="2"/>
          <c:order val="2"/>
          <c:tx>
            <c:strRef>
              <c:f>Language_breakdown!$D$3</c:f>
              <c:strCache>
                <c:ptCount val="1"/>
                <c:pt idx="0">
                  <c:v>Deutsch</c:v>
                </c:pt>
              </c:strCache>
            </c:strRef>
          </c:tx>
          <c:spPr>
            <a:solidFill>
              <a:srgbClr val="FFFFFF"/>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Language_breakdown!$D$4:$D$16</c:f>
              <c:numCache>
                <c:formatCode>General</c:formatCode>
                <c:ptCount val="13"/>
                <c:pt idx="1">
                  <c:v>5</c:v>
                </c:pt>
                <c:pt idx="2">
                  <c:v>3</c:v>
                </c:pt>
                <c:pt idx="3">
                  <c:v>4</c:v>
                </c:pt>
                <c:pt idx="4">
                  <c:v>2</c:v>
                </c:pt>
                <c:pt idx="5">
                  <c:v>6</c:v>
                </c:pt>
                <c:pt idx="6">
                  <c:v>4</c:v>
                </c:pt>
                <c:pt idx="7">
                  <c:v>3</c:v>
                </c:pt>
                <c:pt idx="8">
                  <c:v>0</c:v>
                </c:pt>
                <c:pt idx="9">
                  <c:v>4</c:v>
                </c:pt>
                <c:pt idx="10">
                  <c:v>1</c:v>
                </c:pt>
                <c:pt idx="11">
                  <c:v>0</c:v>
                </c:pt>
                <c:pt idx="12">
                  <c:v>0</c:v>
                </c:pt>
              </c:numCache>
            </c:numRef>
          </c:val>
        </c:ser>
        <c:ser>
          <c:idx val="3"/>
          <c:order val="3"/>
          <c:tx>
            <c:strRef>
              <c:f>Language_breakdown!$E$3</c:f>
              <c:strCache>
                <c:ptCount val="1"/>
                <c:pt idx="0">
                  <c:v>Spanisch</c:v>
                </c:pt>
              </c:strCache>
            </c:strRef>
          </c:tx>
          <c:spPr>
            <a:solidFill>
              <a:srgbClr val="00FF00"/>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Language_breakdown!$E$4:$E$16</c:f>
              <c:numCache>
                <c:formatCode>General</c:formatCode>
                <c:ptCount val="13"/>
                <c:pt idx="0">
                  <c:v>11</c:v>
                </c:pt>
                <c:pt idx="1">
                  <c:v>44</c:v>
                </c:pt>
                <c:pt idx="2">
                  <c:v>109</c:v>
                </c:pt>
                <c:pt idx="3">
                  <c:v>49</c:v>
                </c:pt>
                <c:pt idx="4">
                  <c:v>54</c:v>
                </c:pt>
                <c:pt idx="5">
                  <c:v>109</c:v>
                </c:pt>
                <c:pt idx="6">
                  <c:v>111</c:v>
                </c:pt>
                <c:pt idx="7">
                  <c:v>126</c:v>
                </c:pt>
                <c:pt idx="8">
                  <c:v>100</c:v>
                </c:pt>
                <c:pt idx="9">
                  <c:v>76</c:v>
                </c:pt>
                <c:pt idx="10">
                  <c:v>96</c:v>
                </c:pt>
                <c:pt idx="11">
                  <c:v>125</c:v>
                </c:pt>
                <c:pt idx="12">
                  <c:v>72</c:v>
                </c:pt>
              </c:numCache>
            </c:numRef>
          </c:val>
        </c:ser>
        <c:dLbls>
          <c:showLegendKey val="0"/>
          <c:showVal val="0"/>
          <c:showCatName val="0"/>
          <c:showSerName val="0"/>
          <c:showPercent val="0"/>
          <c:showBubbleSize val="0"/>
        </c:dLbls>
        <c:gapWidth val="150"/>
        <c:overlap val="100"/>
        <c:axId val="97639808"/>
        <c:axId val="109196800"/>
      </c:barChart>
      <c:catAx>
        <c:axId val="9763980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Jahr / Sitzung</a:t>
                </a:r>
              </a:p>
            </c:rich>
          </c:tx>
          <c:layout>
            <c:manualLayout>
              <c:xMode val="edge"/>
              <c:yMode val="edge"/>
              <c:x val="0.45578302712160979"/>
              <c:y val="0.9315616117933445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9196800"/>
        <c:crosses val="autoZero"/>
        <c:auto val="1"/>
        <c:lblAlgn val="ctr"/>
        <c:lblOffset val="100"/>
        <c:tickLblSkip val="1"/>
        <c:tickMarkSkip val="1"/>
        <c:noMultiLvlLbl val="0"/>
      </c:catAx>
      <c:valAx>
        <c:axId val="10919680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Teilnehmer</a:t>
                </a:r>
                <a:r>
                  <a:rPr lang="en-US" baseline="0"/>
                  <a:t> nach Sprache</a:t>
                </a:r>
                <a:endParaRPr lang="en-US"/>
              </a:p>
            </c:rich>
          </c:tx>
          <c:layout>
            <c:manualLayout>
              <c:xMode val="edge"/>
              <c:yMode val="edge"/>
              <c:x val="1.3605442176870748E-2"/>
              <c:y val="0.2701899827288428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7639808"/>
        <c:crosses val="autoZero"/>
        <c:crossBetween val="between"/>
      </c:valAx>
      <c:spPr>
        <a:solidFill>
          <a:srgbClr val="C0C0C0"/>
        </a:solidFill>
        <a:ln w="12700">
          <a:solidFill>
            <a:srgbClr val="808080"/>
          </a:solidFill>
          <a:prstDash val="solid"/>
        </a:ln>
      </c:spPr>
    </c:plotArea>
    <c:legend>
      <c:legendPos val="r"/>
      <c:layout>
        <c:manualLayout>
          <c:xMode val="edge"/>
          <c:yMode val="edge"/>
          <c:x val="0.66156605424321946"/>
          <c:y val="6.8352712387635489E-2"/>
          <c:w val="0.15249450961486957"/>
          <c:h val="0.1999031727251710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13FC-6516-48A2-9DD0-508CECC4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228</TotalTime>
  <Pages>57</Pages>
  <Words>20414</Words>
  <Characters>137257</Characters>
  <Application>Microsoft Office Word</Application>
  <DocSecurity>0</DocSecurity>
  <Lines>4427</Lines>
  <Paragraphs>1922</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155749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SANCHEZ-VIZCAINO GOMEZ Rosa Maria</cp:lastModifiedBy>
  <cp:revision>45</cp:revision>
  <cp:lastPrinted>2013-10-01T14:22:00Z</cp:lastPrinted>
  <dcterms:created xsi:type="dcterms:W3CDTF">2013-09-25T22:32:00Z</dcterms:created>
  <dcterms:modified xsi:type="dcterms:W3CDTF">2013-10-01T14:23:00Z</dcterms:modified>
</cp:coreProperties>
</file>