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5C33A7" w:rsidRDefault="001A0080" w:rsidP="006655D3">
            <w:pPr>
              <w:pStyle w:val="LogoUPOV"/>
            </w:pPr>
            <w:r w:rsidRPr="005C33A7">
              <w:rPr>
                <w:noProof/>
                <w:lang w:val="en-US" w:eastAsia="en-US" w:bidi="ar-SA"/>
              </w:rPr>
              <w:drawing>
                <wp:inline distT="0" distB="0" distL="0" distR="0" wp14:anchorId="2DBB5D14" wp14:editId="07EE8F8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5C33A7" w:rsidRDefault="0024416D" w:rsidP="006655D3">
            <w:pPr>
              <w:pStyle w:val="Lettrine"/>
            </w:pPr>
            <w:r w:rsidRPr="005C33A7">
              <w:t>G</w:t>
            </w:r>
          </w:p>
          <w:p w:rsidR="000D7780" w:rsidRPr="005C33A7" w:rsidRDefault="009B460F" w:rsidP="006655D3">
            <w:pPr>
              <w:pStyle w:val="Docoriginal"/>
            </w:pPr>
            <w:r w:rsidRPr="005C33A7">
              <w:t>C/47/13</w:t>
            </w:r>
            <w:bookmarkStart w:id="0" w:name="Code"/>
            <w:bookmarkEnd w:id="0"/>
          </w:p>
          <w:p w:rsidR="000D7780" w:rsidRPr="005C33A7" w:rsidRDefault="0061555F" w:rsidP="006655D3">
            <w:pPr>
              <w:pStyle w:val="Docoriginal"/>
              <w:rPr>
                <w:b w:val="0"/>
                <w:spacing w:val="0"/>
              </w:rPr>
            </w:pPr>
            <w:r w:rsidRPr="005C33A7">
              <w:rPr>
                <w:rStyle w:val="StyleDoclangBold"/>
                <w:b/>
                <w:bCs/>
                <w:spacing w:val="0"/>
              </w:rPr>
              <w:t>ORIGINAL:</w:t>
            </w:r>
            <w:r w:rsidRPr="005C33A7">
              <w:rPr>
                <w:rStyle w:val="StyleDocoriginalNotBold1"/>
                <w:spacing w:val="0"/>
              </w:rPr>
              <w:t xml:space="preserve"> </w:t>
            </w:r>
            <w:r w:rsidRPr="005C33A7">
              <w:t xml:space="preserve"> </w:t>
            </w:r>
            <w:bookmarkStart w:id="1" w:name="Original"/>
            <w:bookmarkEnd w:id="1"/>
            <w:r w:rsidRPr="005C33A7">
              <w:rPr>
                <w:b w:val="0"/>
                <w:spacing w:val="0"/>
              </w:rPr>
              <w:t>englisch</w:t>
            </w:r>
          </w:p>
          <w:p w:rsidR="000D7780" w:rsidRPr="00C5280D" w:rsidRDefault="000D7780" w:rsidP="006015C2">
            <w:pPr>
              <w:pStyle w:val="Docoriginal"/>
            </w:pPr>
            <w:r w:rsidRPr="005C33A7">
              <w:t xml:space="preserve">DATUM: </w:t>
            </w:r>
            <w:r w:rsidRPr="005C33A7">
              <w:rPr>
                <w:rStyle w:val="StyleDocoriginalNotBold1"/>
                <w:spacing w:val="0"/>
              </w:rPr>
              <w:t xml:space="preserve"> </w:t>
            </w:r>
            <w:bookmarkStart w:id="2" w:name="Date"/>
            <w:bookmarkEnd w:id="2"/>
            <w:r w:rsidRPr="005C33A7">
              <w:rPr>
                <w:b w:val="0"/>
                <w:spacing w:val="0"/>
              </w:rPr>
              <w:t>27. September 2013</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901A3F" w:rsidP="006655D3">
      <w:pPr>
        <w:pStyle w:val="Sessiontc"/>
      </w:pPr>
      <w:r>
        <w:t>DER RAT</w:t>
      </w:r>
    </w:p>
    <w:p w:rsidR="00361821" w:rsidRPr="00C5280D" w:rsidRDefault="00901A3F" w:rsidP="006655D3">
      <w:pPr>
        <w:pStyle w:val="Sessiontcplacedate"/>
      </w:pPr>
      <w:r>
        <w:t>Siebenundvierzigste ordentliche Tagung</w:t>
      </w:r>
      <w:r>
        <w:br/>
        <w:t>Genf, 24. Oktober 2013</w:t>
      </w:r>
    </w:p>
    <w:p w:rsidR="000D7780" w:rsidRPr="00C5280D" w:rsidRDefault="009B460F" w:rsidP="006655D3">
      <w:pPr>
        <w:pStyle w:val="Titleofdoc0"/>
      </w:pPr>
      <w:bookmarkStart w:id="3" w:name="TitleOfDoc"/>
      <w:bookmarkEnd w:id="3"/>
      <w:r>
        <w:rPr>
          <w:bCs/>
          <w:snapToGrid w:val="0"/>
          <w:szCs w:val="24"/>
        </w:rPr>
        <w:t>Annahme von Dokumenten</w:t>
      </w:r>
    </w:p>
    <w:p w:rsidR="000D7780" w:rsidRPr="00C5280D" w:rsidRDefault="00AE0EF1" w:rsidP="006655D3">
      <w:pPr>
        <w:pStyle w:val="preparedby1"/>
      </w:pPr>
      <w:bookmarkStart w:id="4" w:name="Prepared"/>
      <w:bookmarkEnd w:id="4"/>
      <w:r>
        <w:t>vom Verbandsbüro erstelltes Dokument</w:t>
      </w:r>
      <w:r>
        <w:br/>
      </w:r>
      <w:r>
        <w:br/>
      </w:r>
      <w:r>
        <w:rPr>
          <w:color w:val="A6A6A6" w:themeColor="background1" w:themeShade="A6"/>
        </w:rPr>
        <w:t>Haftungsausschluß:  dieses Dokument gibt nicht die Grundsätze oder eine Anleitung der UPOV wieder</w:t>
      </w:r>
    </w:p>
    <w:p w:rsidR="006F7A6A" w:rsidRPr="006F7A6A" w:rsidRDefault="000A4BA0" w:rsidP="000A4BA0">
      <w:r w:rsidRPr="001B4917">
        <w:fldChar w:fldCharType="begin"/>
      </w:r>
      <w:r w:rsidRPr="001B4917">
        <w:instrText xml:space="preserve"> AUTONUM  </w:instrText>
      </w:r>
      <w:r w:rsidRPr="001B4917">
        <w:fldChar w:fldCharType="end"/>
      </w:r>
      <w:r>
        <w:tab/>
      </w:r>
      <w:r w:rsidR="006F7A6A">
        <w:t>Zweck</w:t>
      </w:r>
      <w:r>
        <w:t xml:space="preserve"> dieses Dokuments ist es, Informationen zu folgenden Dokumenten zu erteilen, um deren Annahme der Rat auf seiner siebe</w:t>
      </w:r>
      <w:bookmarkStart w:id="5" w:name="_GoBack"/>
      <w:bookmarkEnd w:id="5"/>
      <w:r>
        <w:t>nundvierzigsten ordentlichen Tagung am 24. Oktober 2013 ersucht wird:</w:t>
      </w:r>
    </w:p>
    <w:p w:rsidR="000A4BA0" w:rsidRPr="001B4917" w:rsidRDefault="000A4BA0" w:rsidP="000A4BA0">
      <w:pPr>
        <w:rPr>
          <w:spacing w:val="-2"/>
        </w:rPr>
      </w:pPr>
    </w:p>
    <w:p w:rsidR="000A4BA0" w:rsidRPr="001B4917" w:rsidRDefault="000A4BA0" w:rsidP="000A4BA0">
      <w:pPr>
        <w:keepNext/>
        <w:ind w:left="1134" w:hanging="567"/>
        <w:rPr>
          <w:szCs w:val="24"/>
          <w:u w:val="single"/>
        </w:rPr>
      </w:pPr>
      <w:r>
        <w:rPr>
          <w:szCs w:val="24"/>
          <w:u w:val="single"/>
        </w:rPr>
        <w:t>TGP-Dokumente</w:t>
      </w:r>
    </w:p>
    <w:p w:rsidR="000A4BA0" w:rsidRPr="001B4917" w:rsidRDefault="000A4BA0" w:rsidP="000A4BA0">
      <w:pPr>
        <w:ind w:left="1134" w:hanging="567"/>
        <w:rPr>
          <w:szCs w:val="24"/>
        </w:rPr>
      </w:pPr>
    </w:p>
    <w:p w:rsidR="000A4BA0" w:rsidRPr="001B4917" w:rsidRDefault="00095BF5" w:rsidP="00095BF5">
      <w:pPr>
        <w:ind w:left="2410" w:hanging="1843"/>
      </w:pPr>
      <w:r>
        <w:t>TGP/14/2</w:t>
      </w:r>
      <w:r>
        <w:tab/>
      </w:r>
      <w:r>
        <w:rPr>
          <w:bCs/>
          <w:snapToGrid w:val="0"/>
          <w:szCs w:val="24"/>
        </w:rPr>
        <w:t>Glossar der in den UPOV-Dokumenten verwendeten Begriffe (Überarbeitung)</w:t>
      </w:r>
      <w:r w:rsidR="005C33A7">
        <w:rPr>
          <w:bCs/>
          <w:snapToGrid w:val="0"/>
          <w:szCs w:val="24"/>
        </w:rPr>
        <w:t xml:space="preserve"> </w:t>
      </w:r>
      <w:r>
        <w:rPr>
          <w:bCs/>
          <w:snapToGrid w:val="0"/>
          <w:szCs w:val="24"/>
        </w:rPr>
        <w:t>(Dokument TGP/14/2 Draft 1)</w:t>
      </w:r>
    </w:p>
    <w:p w:rsidR="000A4BA0" w:rsidRDefault="000A4BA0" w:rsidP="00095BF5">
      <w:pPr>
        <w:ind w:left="2410" w:hanging="1843"/>
      </w:pPr>
    </w:p>
    <w:p w:rsidR="00095BF5" w:rsidRPr="007743F5" w:rsidRDefault="00095BF5" w:rsidP="00095BF5">
      <w:pPr>
        <w:ind w:left="2410" w:hanging="1843"/>
        <w:rPr>
          <w:bCs/>
          <w:snapToGrid w:val="0"/>
          <w:szCs w:val="24"/>
        </w:rPr>
      </w:pPr>
      <w:r>
        <w:rPr>
          <w:bCs/>
          <w:snapToGrid w:val="0"/>
          <w:szCs w:val="24"/>
        </w:rPr>
        <w:t>TGP/15/1</w:t>
      </w:r>
      <w:r>
        <w:tab/>
      </w:r>
      <w:r>
        <w:rPr>
          <w:strike/>
          <w:snapToGrid w:val="0"/>
        </w:rPr>
        <w:t>[Neue Merkmalstypen]</w:t>
      </w:r>
      <w:r>
        <w:t xml:space="preserve"> [Anleitung zur Verwendung biochemischer und molekularer Marker bei der Prüfung der Unterscheidbarkeit, Homogenität und Beständigkeit (DUS)] </w:t>
      </w:r>
      <w:r>
        <w:rPr>
          <w:bCs/>
          <w:snapToGrid w:val="0"/>
          <w:szCs w:val="24"/>
        </w:rPr>
        <w:t>(Dokument TGP/15/1 Draft 5)</w:t>
      </w:r>
    </w:p>
    <w:p w:rsidR="00095BF5" w:rsidRPr="007743F5" w:rsidRDefault="00095BF5" w:rsidP="00095BF5">
      <w:pPr>
        <w:ind w:left="2410" w:hanging="1843"/>
        <w:rPr>
          <w:bCs/>
          <w:snapToGrid w:val="0"/>
          <w:szCs w:val="24"/>
        </w:rPr>
      </w:pPr>
    </w:p>
    <w:p w:rsidR="00095BF5" w:rsidRPr="007743F5" w:rsidRDefault="00095BF5" w:rsidP="00095BF5">
      <w:pPr>
        <w:ind w:left="2410" w:hanging="1843"/>
        <w:rPr>
          <w:bCs/>
          <w:snapToGrid w:val="0"/>
          <w:szCs w:val="24"/>
        </w:rPr>
      </w:pPr>
      <w:r>
        <w:rPr>
          <w:bCs/>
          <w:snapToGrid w:val="0"/>
          <w:szCs w:val="24"/>
        </w:rPr>
        <w:t>TGP/0/6</w:t>
      </w:r>
      <w:r>
        <w:tab/>
      </w:r>
      <w:r>
        <w:rPr>
          <w:bCs/>
          <w:snapToGrid w:val="0"/>
          <w:szCs w:val="24"/>
        </w:rPr>
        <w:t>Liste der TGP-Dokumente und Datum der jüngsten Ausgabe (Überarbeitung)</w:t>
      </w:r>
    </w:p>
    <w:p w:rsidR="00095BF5" w:rsidRPr="001B4917" w:rsidRDefault="00095BF5" w:rsidP="00095BF5">
      <w:pPr>
        <w:ind w:left="2410" w:hanging="1843"/>
      </w:pPr>
      <w:r>
        <w:tab/>
      </w:r>
      <w:r>
        <w:rPr>
          <w:bCs/>
          <w:snapToGrid w:val="0"/>
          <w:szCs w:val="24"/>
        </w:rPr>
        <w:t>(Dokument TGP/0/6 Draft 1)</w:t>
      </w:r>
    </w:p>
    <w:p w:rsidR="00095BF5" w:rsidRDefault="00095BF5" w:rsidP="000A4BA0">
      <w:pPr>
        <w:ind w:left="1134" w:hanging="567"/>
        <w:rPr>
          <w:szCs w:val="24"/>
        </w:rPr>
      </w:pPr>
    </w:p>
    <w:p w:rsidR="00095BF5" w:rsidRPr="007743F5" w:rsidRDefault="00095BF5" w:rsidP="00095BF5">
      <w:pPr>
        <w:ind w:left="567"/>
        <w:rPr>
          <w:bCs/>
          <w:snapToGrid w:val="0"/>
          <w:szCs w:val="24"/>
        </w:rPr>
      </w:pPr>
      <w:r>
        <w:rPr>
          <w:bCs/>
          <w:snapToGrid w:val="0"/>
          <w:szCs w:val="24"/>
          <w:u w:val="single"/>
        </w:rPr>
        <w:t>Erläuterungen</w:t>
      </w:r>
    </w:p>
    <w:p w:rsidR="00095BF5" w:rsidRPr="007743F5" w:rsidRDefault="00095BF5" w:rsidP="00095BF5">
      <w:pPr>
        <w:ind w:left="2268" w:hanging="1701"/>
        <w:rPr>
          <w:bCs/>
          <w:snapToGrid w:val="0"/>
          <w:szCs w:val="24"/>
        </w:rPr>
      </w:pPr>
    </w:p>
    <w:p w:rsidR="00095BF5" w:rsidRPr="007743F5" w:rsidRDefault="00095BF5" w:rsidP="00095BF5">
      <w:pPr>
        <w:ind w:left="2410" w:hanging="1843"/>
        <w:rPr>
          <w:bCs/>
          <w:snapToGrid w:val="0"/>
          <w:szCs w:val="24"/>
        </w:rPr>
      </w:pPr>
      <w:r>
        <w:rPr>
          <w:bCs/>
          <w:snapToGrid w:val="0"/>
          <w:szCs w:val="24"/>
        </w:rPr>
        <w:t>UPOV/EXN/BRD/1</w:t>
      </w:r>
      <w:r>
        <w:tab/>
      </w:r>
      <w:r>
        <w:rPr>
          <w:bCs/>
          <w:snapToGrid w:val="0"/>
          <w:szCs w:val="24"/>
        </w:rPr>
        <w:t>Erläuterungen zur Begriffsbestimmung des Züchters nach der Akte von 1991 des UPOV-Übereinkommens (Dokument UPOV/EXN/BRD Draft 7)</w:t>
      </w:r>
    </w:p>
    <w:p w:rsidR="00095BF5" w:rsidRPr="007743F5" w:rsidRDefault="00095BF5" w:rsidP="00095BF5">
      <w:pPr>
        <w:ind w:left="2410" w:hanging="1843"/>
        <w:rPr>
          <w:bCs/>
          <w:snapToGrid w:val="0"/>
          <w:szCs w:val="24"/>
        </w:rPr>
      </w:pPr>
    </w:p>
    <w:p w:rsidR="00095BF5" w:rsidRPr="007743F5" w:rsidRDefault="00095BF5" w:rsidP="00095BF5">
      <w:pPr>
        <w:ind w:left="2410" w:hanging="1843"/>
      </w:pPr>
      <w:r>
        <w:rPr>
          <w:bCs/>
          <w:snapToGrid w:val="0"/>
          <w:szCs w:val="24"/>
        </w:rPr>
        <w:t>UPOV</w:t>
      </w:r>
      <w:r>
        <w:t>/EXN/HRV/1</w:t>
      </w:r>
      <w:r>
        <w:tab/>
        <w:t>Erläuterungen zu Handlungen in bezug auf Erntegut nach der Akte von 1991 des UPOV-Übereinkommens (Dokument UPOV/EXN/HRV Draft 10)</w:t>
      </w:r>
    </w:p>
    <w:p w:rsidR="00095BF5" w:rsidRPr="007743F5" w:rsidRDefault="00095BF5" w:rsidP="00095BF5">
      <w:pPr>
        <w:ind w:left="2977" w:hanging="1843"/>
        <w:rPr>
          <w:bCs/>
          <w:snapToGrid w:val="0"/>
          <w:szCs w:val="24"/>
        </w:rPr>
      </w:pPr>
    </w:p>
    <w:p w:rsidR="00095BF5" w:rsidRPr="00095BF5" w:rsidRDefault="00095BF5" w:rsidP="00095BF5">
      <w:pPr>
        <w:keepNext/>
        <w:ind w:left="567"/>
        <w:rPr>
          <w:bCs/>
          <w:snapToGrid w:val="0"/>
          <w:szCs w:val="24"/>
          <w:u w:val="single"/>
        </w:rPr>
      </w:pPr>
      <w:r>
        <w:rPr>
          <w:bCs/>
          <w:snapToGrid w:val="0"/>
          <w:szCs w:val="24"/>
          <w:u w:val="single"/>
        </w:rPr>
        <w:t>Informationsdokumente</w:t>
      </w:r>
    </w:p>
    <w:p w:rsidR="00095BF5" w:rsidRPr="007743F5" w:rsidRDefault="00095BF5" w:rsidP="00095BF5">
      <w:pPr>
        <w:keepNext/>
        <w:ind w:left="2268" w:hanging="1701"/>
        <w:rPr>
          <w:bCs/>
          <w:snapToGrid w:val="0"/>
          <w:szCs w:val="24"/>
        </w:rPr>
      </w:pPr>
    </w:p>
    <w:p w:rsidR="00095BF5" w:rsidRPr="007743F5" w:rsidRDefault="00095BF5" w:rsidP="00095BF5">
      <w:pPr>
        <w:ind w:left="2410" w:hanging="1843"/>
        <w:rPr>
          <w:bCs/>
          <w:snapToGrid w:val="0"/>
          <w:szCs w:val="24"/>
        </w:rPr>
      </w:pPr>
      <w:r>
        <w:rPr>
          <w:bCs/>
          <w:snapToGrid w:val="0"/>
          <w:szCs w:val="24"/>
        </w:rPr>
        <w:t>UPOV/INF/6/3</w:t>
      </w:r>
      <w:r>
        <w:tab/>
      </w:r>
      <w:r>
        <w:rPr>
          <w:bCs/>
          <w:snapToGrid w:val="0"/>
          <w:szCs w:val="24"/>
        </w:rPr>
        <w:t>Anleitung zur Ausarbeitung von Rechtsvorschriften aufgrund der Akte von 1991 des UPOV-Übereinkommens (Überarbeitung) (Dokument C/47/13, Anlage)</w:t>
      </w:r>
    </w:p>
    <w:p w:rsidR="00095BF5" w:rsidRPr="007743F5" w:rsidRDefault="00095BF5" w:rsidP="00095BF5">
      <w:pPr>
        <w:ind w:left="2410" w:hanging="1843"/>
        <w:rPr>
          <w:bCs/>
          <w:snapToGrid w:val="0"/>
          <w:szCs w:val="24"/>
        </w:rPr>
      </w:pPr>
    </w:p>
    <w:p w:rsidR="00095BF5" w:rsidRPr="007743F5" w:rsidRDefault="00095BF5" w:rsidP="00095BF5">
      <w:pPr>
        <w:ind w:left="2410" w:hanging="1843"/>
        <w:rPr>
          <w:kern w:val="28"/>
        </w:rPr>
      </w:pPr>
      <w:r>
        <w:rPr>
          <w:bCs/>
          <w:snapToGrid w:val="0"/>
          <w:szCs w:val="24"/>
        </w:rPr>
        <w:t>UPOV/INF/16/3</w:t>
      </w:r>
      <w:r>
        <w:tab/>
      </w:r>
      <w:r>
        <w:rPr>
          <w:bCs/>
          <w:snapToGrid w:val="0"/>
          <w:spacing w:val="-4"/>
          <w:szCs w:val="24"/>
        </w:rPr>
        <w:t>Austauschbare Software (Überarbeitung) (Dokument UPOV/INF/16/3 Draft 1)</w:t>
      </w:r>
    </w:p>
    <w:p w:rsidR="00095BF5" w:rsidRPr="007743F5" w:rsidRDefault="00095BF5" w:rsidP="00095BF5">
      <w:pPr>
        <w:ind w:left="2410" w:hanging="1843"/>
        <w:rPr>
          <w:bCs/>
          <w:snapToGrid w:val="0"/>
          <w:szCs w:val="24"/>
        </w:rPr>
      </w:pPr>
    </w:p>
    <w:p w:rsidR="00095BF5" w:rsidRPr="007743F5" w:rsidRDefault="00095BF5" w:rsidP="00095BF5">
      <w:pPr>
        <w:ind w:left="2410" w:hanging="1843"/>
      </w:pPr>
      <w:r>
        <w:rPr>
          <w:bCs/>
          <w:snapToGrid w:val="0"/>
          <w:szCs w:val="24"/>
        </w:rPr>
        <w:t>UPOV/INF-EXN/5</w:t>
      </w:r>
      <w:r>
        <w:tab/>
        <w:t xml:space="preserve">Liste der UPOV/INF-EXN-Dokumente und </w:t>
      </w:r>
      <w:r w:rsidR="005C33A7">
        <w:t>Datum der jüngsten Ausgabe</w:t>
      </w:r>
      <w:r>
        <w:t xml:space="preserve"> (Dokument UPOV/INF-EXN/5 Draft 1)</w:t>
      </w:r>
    </w:p>
    <w:p w:rsidR="00095BF5" w:rsidRDefault="00095BF5" w:rsidP="000A4BA0">
      <w:pPr>
        <w:ind w:left="1134" w:hanging="567"/>
        <w:rPr>
          <w:szCs w:val="24"/>
        </w:rPr>
      </w:pPr>
    </w:p>
    <w:p w:rsidR="00095BF5" w:rsidRDefault="00095BF5" w:rsidP="000A4BA0">
      <w:pPr>
        <w:ind w:left="1134" w:hanging="567"/>
        <w:rPr>
          <w:szCs w:val="24"/>
        </w:rPr>
      </w:pPr>
    </w:p>
    <w:p w:rsidR="000A4BA0" w:rsidRPr="001B4917" w:rsidRDefault="000A4BA0" w:rsidP="000A4BA0">
      <w:pPr>
        <w:pStyle w:val="Heading1"/>
      </w:pPr>
      <w:r>
        <w:br w:type="page"/>
      </w:r>
      <w:r>
        <w:lastRenderedPageBreak/>
        <w:t>TGP-DOKUMENTE</w:t>
      </w:r>
    </w:p>
    <w:p w:rsidR="000A4BA0" w:rsidRPr="001B4917" w:rsidRDefault="000A4BA0" w:rsidP="000A4BA0">
      <w:pPr>
        <w:keepNext/>
      </w:pPr>
    </w:p>
    <w:p w:rsidR="000A4BA0" w:rsidRPr="004D759E" w:rsidRDefault="00095BF5" w:rsidP="000A4BA0">
      <w:pPr>
        <w:keepNext/>
        <w:tabs>
          <w:tab w:val="left" w:pos="0"/>
        </w:tabs>
        <w:rPr>
          <w:u w:val="single"/>
        </w:rPr>
      </w:pPr>
      <w:r>
        <w:rPr>
          <w:u w:val="single"/>
        </w:rPr>
        <w:t>TGP/14/2:  Glossar der in den UPOV-Dokumenten verwendeten Begriffe (Überarbeitung)</w:t>
      </w:r>
    </w:p>
    <w:p w:rsidR="000A4BA0" w:rsidRPr="004D759E" w:rsidRDefault="000A4BA0" w:rsidP="000A4BA0">
      <w:pPr>
        <w:keepNext/>
        <w:tabs>
          <w:tab w:val="left" w:pos="0"/>
        </w:tabs>
      </w:pPr>
    </w:p>
    <w:p w:rsidR="000A4BA0" w:rsidRPr="004D759E" w:rsidRDefault="000A4BA0" w:rsidP="000A4BA0">
      <w:r w:rsidRPr="004D759E">
        <w:rPr>
          <w:color w:val="000000"/>
        </w:rPr>
        <w:fldChar w:fldCharType="begin"/>
      </w:r>
      <w:r w:rsidRPr="004D759E">
        <w:rPr>
          <w:color w:val="000000"/>
        </w:rPr>
        <w:instrText xml:space="preserve"> AUTONUM  </w:instrText>
      </w:r>
      <w:r w:rsidRPr="004D759E">
        <w:rPr>
          <w:color w:val="000000"/>
        </w:rPr>
        <w:fldChar w:fldCharType="end"/>
      </w:r>
      <w:r>
        <w:tab/>
      </w:r>
      <w:r>
        <w:rPr>
          <w:color w:val="000000"/>
        </w:rPr>
        <w:t>Der Technische Ausschuß (TC)</w:t>
      </w:r>
      <w:r>
        <w:rPr>
          <w:iCs/>
          <w:snapToGrid w:val="0"/>
        </w:rPr>
        <w:t xml:space="preserve">, auf seiner </w:t>
      </w:r>
      <w:r>
        <w:t xml:space="preserve">neunundvierzigsten Tagung vom 18. bis 20. März 2013 in Genf, und der </w:t>
      </w:r>
      <w:r>
        <w:rPr>
          <w:color w:val="000000"/>
        </w:rPr>
        <w:t>Verwaltungs- und Rechtsausschuß (CAJ)</w:t>
      </w:r>
      <w:r>
        <w:t>, auf seiner sie</w:t>
      </w:r>
      <w:r w:rsidR="005C33A7">
        <w:t>benundsechzigsten Tagung am 21. </w:t>
      </w:r>
      <w:r>
        <w:t xml:space="preserve">März 2013 in Genf, billigten Änderungen des Wortlauts der </w:t>
      </w:r>
      <w:r w:rsidR="00F667EC">
        <w:t>Dokumente TC</w:t>
      </w:r>
      <w:r>
        <w:t>/49/35 und CAJ/67/11, beide jeweils mit dem Titel „Überprüfung der bestehenden Abschnitte von Dokument TGP/14: Abschnitt 2: Botanische Begriffe, Unterabschnitt 2: Formen und Strukturen</w:t>
      </w:r>
      <w:r w:rsidR="00F667EC">
        <w:t>“ und</w:t>
      </w:r>
      <w:r>
        <w:t xml:space="preserve"> der Dokumente TC/</w:t>
      </w:r>
      <w:r w:rsidR="00F667EC">
        <w:t>49/35 und</w:t>
      </w:r>
      <w:r>
        <w:t xml:space="preserve"> CAJ/67/12, beide jeweils mit dem Titel „Überarbeitung von Dokument TGP/14: Abschnitt 2: Botanische Begrif</w:t>
      </w:r>
      <w:r w:rsidR="00E41C34">
        <w:t>fe, Unterabschnitt 3: Farbe“. A</w:t>
      </w:r>
      <w:r>
        <w:t>uf dieser Grundlage vereinbarten der TC und der CAJ, daß</w:t>
      </w:r>
      <w:r>
        <w:rPr>
          <w:szCs w:val="24"/>
        </w:rPr>
        <w:t xml:space="preserve"> </w:t>
      </w:r>
      <w:r>
        <w:t>Dokument TGP/14/2 dem Rat auf seiner siebenundvierzigsten ordentlichen Tagung zur Annahme vorgelegt werden soll</w:t>
      </w:r>
      <w:r w:rsidR="00C34056">
        <w:t>e</w:t>
      </w:r>
      <w:r>
        <w:t>.</w:t>
      </w:r>
    </w:p>
    <w:p w:rsidR="000A4BA0" w:rsidRPr="004D759E" w:rsidRDefault="000A4BA0" w:rsidP="000A4BA0"/>
    <w:p w:rsidR="000A4BA0" w:rsidRDefault="000A4BA0" w:rsidP="000A4BA0">
      <w:r w:rsidRPr="004D759E">
        <w:fldChar w:fldCharType="begin"/>
      </w:r>
      <w:r w:rsidRPr="004D759E">
        <w:instrText xml:space="preserve"> AUTONUM  </w:instrText>
      </w:r>
      <w:r w:rsidRPr="004D759E">
        <w:fldChar w:fldCharType="end"/>
      </w:r>
      <w:r>
        <w:tab/>
        <w:t>Der TC und der CAJ nahmen zur Kenntnis, daß die Aktualisierung der Begriffsbestimmungen und Indexe und die Überprüfung der Übersetzungen des englischen Originalwortlauts ins Französische, Deutsche und Spanische durch die entsprechenden Mitglieder des Redaktionsausschusses vor der Vorlage des Entwurfs des Dokuments TGP/14/2</w:t>
      </w:r>
      <w:r w:rsidR="00E41C34">
        <w:t xml:space="preserve"> an den Rat vorgenommen würden.</w:t>
      </w:r>
      <w:r w:rsidR="005C33A7">
        <w:t xml:space="preserve"> Dokument TGP/14/2 Draft </w:t>
      </w:r>
      <w:r>
        <w:t>1 beinhaltet die Aktualisierung von Begriffsbestimmungen und Indexen sowie die von den entsprechenden Mitgliedern des Redaktionsausschusses vorgeschlagenen inhaltlichen Änderungen.</w:t>
      </w:r>
    </w:p>
    <w:p w:rsidR="004D759E" w:rsidRDefault="004D759E" w:rsidP="000A4BA0"/>
    <w:p w:rsidR="000A4BA0" w:rsidRPr="001B4917" w:rsidRDefault="000A4BA0" w:rsidP="00B464FE">
      <w:pPr>
        <w:pStyle w:val="DecisionParagraphs"/>
      </w:pPr>
      <w:r w:rsidRPr="001B4917">
        <w:fldChar w:fldCharType="begin"/>
      </w:r>
      <w:r w:rsidRPr="001B4917">
        <w:instrText xml:space="preserve"> AUTONUM  </w:instrText>
      </w:r>
      <w:r w:rsidRPr="001B4917">
        <w:fldChar w:fldCharType="end"/>
      </w:r>
      <w:r>
        <w:tab/>
        <w:t xml:space="preserve">Der Rat wird ersucht, die Überarbeitung </w:t>
      </w:r>
      <w:r w:rsidR="005C33A7">
        <w:br/>
      </w:r>
      <w:r>
        <w:t>von Dokument TGP/14 „</w:t>
      </w:r>
      <w:r w:rsidR="005C33A7">
        <w:rPr>
          <w:bCs/>
          <w:szCs w:val="24"/>
        </w:rPr>
        <w:t>Glossar der in den UPOV</w:t>
      </w:r>
      <w:r w:rsidR="005C33A7">
        <w:rPr>
          <w:bCs/>
          <w:szCs w:val="24"/>
        </w:rPr>
        <w:noBreakHyphen/>
      </w:r>
      <w:r>
        <w:rPr>
          <w:bCs/>
          <w:szCs w:val="24"/>
        </w:rPr>
        <w:t xml:space="preserve">Dokumenten </w:t>
      </w:r>
      <w:r w:rsidR="005C33A7">
        <w:rPr>
          <w:bCs/>
          <w:szCs w:val="24"/>
        </w:rPr>
        <w:t>verwendeten Begriffe” (Dokument </w:t>
      </w:r>
      <w:r>
        <w:t xml:space="preserve">TGP/14/2) auf der Grundlage von </w:t>
      </w:r>
      <w:r>
        <w:rPr>
          <w:bCs/>
          <w:szCs w:val="24"/>
        </w:rPr>
        <w:t>Dokument TGP/14/2 Draft 1 anzunehmen</w:t>
      </w:r>
      <w:r>
        <w:t>.</w:t>
      </w:r>
    </w:p>
    <w:p w:rsidR="000A4BA0" w:rsidRPr="001B4917" w:rsidRDefault="000A4BA0" w:rsidP="000A4BA0"/>
    <w:p w:rsidR="000A4BA0" w:rsidRPr="001B4917" w:rsidRDefault="000A4BA0" w:rsidP="000A4BA0"/>
    <w:p w:rsidR="000A4BA0" w:rsidRDefault="00E34F77" w:rsidP="006E029B">
      <w:pPr>
        <w:keepNext/>
        <w:rPr>
          <w:rFonts w:cs="Arial"/>
          <w:snapToGrid w:val="0"/>
          <w:u w:val="single"/>
        </w:rPr>
      </w:pPr>
      <w:r>
        <w:rPr>
          <w:bCs/>
          <w:snapToGrid w:val="0"/>
          <w:szCs w:val="24"/>
          <w:u w:val="single"/>
        </w:rPr>
        <w:t xml:space="preserve">TGP/15/1:  </w:t>
      </w:r>
      <w:r>
        <w:t>[</w:t>
      </w:r>
      <w:r>
        <w:rPr>
          <w:strike/>
          <w:snapToGrid w:val="0"/>
          <w:u w:val="single"/>
        </w:rPr>
        <w:t>Neue Merkmalstypen</w:t>
      </w:r>
      <w:r>
        <w:t xml:space="preserve">] </w:t>
      </w:r>
      <w:r>
        <w:rPr>
          <w:snapToGrid w:val="0"/>
          <w:u w:val="single"/>
        </w:rPr>
        <w:t>[Anleitung zur Verwendung biochemischer und molekularer Marker bei der Prüfung der Unterscheidbarkeit, der Homogenität und der Beständigkeit (DUS)]</w:t>
      </w:r>
    </w:p>
    <w:p w:rsidR="00E34F77" w:rsidRDefault="00E34F77" w:rsidP="00E34F77">
      <w:pPr>
        <w:rPr>
          <w:lang w:eastAsia="zh-CN"/>
        </w:rPr>
      </w:pPr>
    </w:p>
    <w:p w:rsidR="004D759E" w:rsidRPr="00D671B7" w:rsidRDefault="00E34F77" w:rsidP="004D759E">
      <w:r>
        <w:rPr>
          <w:lang w:eastAsia="zh-CN"/>
        </w:rPr>
        <w:fldChar w:fldCharType="begin"/>
      </w:r>
      <w:r>
        <w:rPr>
          <w:lang w:eastAsia="zh-CN"/>
        </w:rPr>
        <w:instrText xml:space="preserve"> AUTONUM  </w:instrText>
      </w:r>
      <w:r>
        <w:rPr>
          <w:lang w:eastAsia="zh-CN"/>
        </w:rPr>
        <w:fldChar w:fldCharType="end"/>
      </w:r>
      <w:r>
        <w:tab/>
        <w:t>Der TC auf seiner neunundvierzigsten Tagung und der CAJ auf seiner siebenundsechzigsten Tagung vereinbarten, Dokument TGP/15/1 Draft 4 als Grundlage für die Annahme von Dokument TGP/15/1 durch den Rat auf seiner siebenundvierzigsten</w:t>
      </w:r>
      <w:r w:rsidR="00E41C34">
        <w:t xml:space="preserve"> ordentlichen Tagung anzunehmen</w:t>
      </w:r>
      <w:r>
        <w:t>.</w:t>
      </w:r>
    </w:p>
    <w:p w:rsidR="004D759E" w:rsidRPr="00D671B7" w:rsidRDefault="004D759E" w:rsidP="004D759E"/>
    <w:p w:rsidR="004D759E" w:rsidRPr="001B4917" w:rsidRDefault="004D759E" w:rsidP="004D759E">
      <w:pPr>
        <w:rPr>
          <w:rFonts w:cs="Arial"/>
          <w:snapToGrid w:val="0"/>
        </w:rPr>
      </w:pPr>
      <w:r w:rsidRPr="00D671B7">
        <w:fldChar w:fldCharType="begin"/>
      </w:r>
      <w:r w:rsidRPr="00D671B7">
        <w:instrText xml:space="preserve"> AUTONUM  </w:instrText>
      </w:r>
      <w:r w:rsidRPr="00D671B7">
        <w:fldChar w:fldCharType="end"/>
      </w:r>
      <w:r>
        <w:tab/>
        <w:t>Der TC und der CAJ nahmen zur Kenntnis, daß die Übersetzungen des englischen Originalwortlauts ins Deutsche, Französische und Spanische von den entsprechenden Mitgliedern des Redaktionsausschusses vor der Vorlage des Entwurfs von Dokumen</w:t>
      </w:r>
      <w:r w:rsidR="00E41C34">
        <w:t>t TGP/15/1 beim Rat überprüft wü</w:t>
      </w:r>
      <w:r>
        <w:t xml:space="preserve">rden. Dokument </w:t>
      </w:r>
      <w:r>
        <w:rPr>
          <w:bCs/>
          <w:szCs w:val="24"/>
        </w:rPr>
        <w:t>TGP/15/1 Draft 5</w:t>
      </w:r>
      <w:r>
        <w:t xml:space="preserve"> beinhaltet die von den entsprechenden Mitgliedern des Redaktionsausschusses vorgeschlagenen inhaltlichen Änderungen.</w:t>
      </w:r>
    </w:p>
    <w:p w:rsidR="004D759E" w:rsidRPr="00D671B7" w:rsidRDefault="004D759E" w:rsidP="004D759E"/>
    <w:p w:rsidR="00BC1028" w:rsidRDefault="004D759E" w:rsidP="004D759E">
      <w:r w:rsidRPr="00D671B7">
        <w:fldChar w:fldCharType="begin"/>
      </w:r>
      <w:r w:rsidRPr="00D671B7">
        <w:instrText xml:space="preserve"> AUTONUM  </w:instrText>
      </w:r>
      <w:r w:rsidRPr="00D671B7">
        <w:fldChar w:fldCharType="end"/>
      </w:r>
      <w:r>
        <w:tab/>
        <w:t>Der TC und der CAJ nahmen zur Kenntnis, daß Dokument TGP/15/1 in der Zukunft überarbeitet werden könne, etwa um zusätzliche Beispiele für die Modelle in den Text aufzunehmen.</w:t>
      </w:r>
    </w:p>
    <w:p w:rsidR="00FD6B79" w:rsidRDefault="00FD6B79" w:rsidP="004D759E"/>
    <w:p w:rsidR="00BC1028" w:rsidRPr="00D671B7" w:rsidRDefault="00FD6B79" w:rsidP="00FD6B79">
      <w:r>
        <w:fldChar w:fldCharType="begin"/>
      </w:r>
      <w:r>
        <w:instrText xml:space="preserve"> AUTONUM  </w:instrText>
      </w:r>
      <w:r>
        <w:fldChar w:fldCharType="end"/>
      </w:r>
      <w:r>
        <w:tab/>
        <w:t>In der „Allgemeinen Einführung zur Prüfung auf Unterscheidbarkeit, Homogenität und Beständigkeit und zur Erarbeitung harmonisierter Beschreibungen von neuen Pflanzensorten</w:t>
      </w:r>
      <w:r w:rsidR="005C33A7">
        <w:t>“</w:t>
      </w:r>
      <w:r>
        <w:t xml:space="preserve"> (Dokument TG/1/3) gibt es einen Hinweis auf Do</w:t>
      </w:r>
      <w:r w:rsidR="00E41C34">
        <w:t>kument TGP/15 in Abschnitt 4.7.</w:t>
      </w:r>
      <w:r>
        <w:t xml:space="preserve"> Der TC und der CAJ nahmen zur Kenntnis, daß der Titel von Dokument TGP/15 „Neue Merkmalstypen“ zum Zeitpunkt der Annahme in „Anleitung zur Verwendung biochemischer und molekula</w:t>
      </w:r>
      <w:r w:rsidR="00E41C34">
        <w:t>rer Marker bei der Prüfung der</w:t>
      </w:r>
      <w:r>
        <w:t xml:space="preserve"> Unterscheidbarkeit, der Homogenität und der Beständigkei</w:t>
      </w:r>
      <w:r w:rsidR="00E41C34">
        <w:t>t (DUS)“ geändert werden müsse.</w:t>
      </w:r>
    </w:p>
    <w:p w:rsidR="00E34F77" w:rsidRPr="00FD6B79" w:rsidRDefault="00E34F77" w:rsidP="00FD6B79"/>
    <w:p w:rsidR="00E34F77" w:rsidRPr="004B68CD" w:rsidRDefault="00E34F77" w:rsidP="00B464FE">
      <w:pPr>
        <w:pStyle w:val="DecisionParagraphs"/>
      </w:pPr>
      <w:r>
        <w:rPr>
          <w:lang w:eastAsia="zh-CN"/>
        </w:rPr>
        <w:fldChar w:fldCharType="begin"/>
      </w:r>
      <w:r>
        <w:rPr>
          <w:lang w:eastAsia="zh-CN"/>
        </w:rPr>
        <w:instrText xml:space="preserve"> AUTONUM  </w:instrText>
      </w:r>
      <w:r>
        <w:rPr>
          <w:lang w:eastAsia="zh-CN"/>
        </w:rPr>
        <w:fldChar w:fldCharType="end"/>
      </w:r>
      <w:r>
        <w:tab/>
        <w:t xml:space="preserve">Der Rat wird ersucht, Dokument TGP/15/1 „Anleitung zur Verwendung biochemischer und molekularer Marker bei der Prüfung der Unterscheidbarkeit, der Homogenität und der Beständigkeit (DUS)“ </w:t>
      </w:r>
      <w:r>
        <w:rPr>
          <w:bCs/>
          <w:szCs w:val="24"/>
        </w:rPr>
        <w:t>auf der Grundlage von Dokument TGP/15/1 Draft 5 anzunehmen.</w:t>
      </w:r>
    </w:p>
    <w:p w:rsidR="00E34F77" w:rsidRDefault="00E34F77" w:rsidP="004B68CD">
      <w:pPr>
        <w:ind w:left="1134" w:hanging="1134"/>
        <w:rPr>
          <w:u w:val="single"/>
          <w:lang w:eastAsia="zh-CN"/>
        </w:rPr>
      </w:pPr>
    </w:p>
    <w:p w:rsidR="004B68CD" w:rsidRDefault="004B68CD" w:rsidP="004B68CD">
      <w:pPr>
        <w:ind w:left="1134" w:hanging="1134"/>
        <w:rPr>
          <w:u w:val="single"/>
          <w:lang w:eastAsia="zh-CN"/>
        </w:rPr>
      </w:pPr>
    </w:p>
    <w:p w:rsidR="005C33A7" w:rsidRDefault="005C33A7">
      <w:pPr>
        <w:jc w:val="left"/>
        <w:rPr>
          <w:u w:val="single"/>
        </w:rPr>
      </w:pPr>
      <w:r>
        <w:rPr>
          <w:u w:val="single"/>
        </w:rPr>
        <w:br w:type="page"/>
      </w:r>
    </w:p>
    <w:p w:rsidR="004B68CD" w:rsidRPr="001B4917" w:rsidRDefault="004B68CD" w:rsidP="004B68CD">
      <w:pPr>
        <w:keepNext/>
        <w:ind w:left="1134" w:hanging="1134"/>
        <w:rPr>
          <w:u w:val="single"/>
        </w:rPr>
      </w:pPr>
      <w:r>
        <w:rPr>
          <w:u w:val="single"/>
        </w:rPr>
        <w:t>TGP/0/6:  Liste der TGP-Dokumente und Datum der jüngsten Ausgabe (Überarbeitung)</w:t>
      </w:r>
    </w:p>
    <w:p w:rsidR="004B68CD" w:rsidRPr="001B4917" w:rsidRDefault="004B68CD" w:rsidP="004B68CD">
      <w:pPr>
        <w:keepNext/>
        <w:rPr>
          <w:lang w:eastAsia="zh-CN"/>
        </w:rPr>
      </w:pPr>
    </w:p>
    <w:p w:rsidR="004B68CD" w:rsidRPr="001B4917" w:rsidRDefault="004B68CD" w:rsidP="004B68CD">
      <w:r w:rsidRPr="0079115F">
        <w:rPr>
          <w:lang w:eastAsia="zh-CN"/>
        </w:rPr>
        <w:fldChar w:fldCharType="begin"/>
      </w:r>
      <w:r w:rsidRPr="0079115F">
        <w:rPr>
          <w:lang w:eastAsia="zh-CN"/>
        </w:rPr>
        <w:instrText xml:space="preserve"> AUTONUM  </w:instrText>
      </w:r>
      <w:r w:rsidRPr="0079115F">
        <w:rPr>
          <w:lang w:eastAsia="zh-CN"/>
        </w:rPr>
        <w:fldChar w:fldCharType="end"/>
      </w:r>
      <w:r>
        <w:tab/>
        <w:t>In Verbindung mit der Annahme von Dokument TGP/14/2 „Glossar der in den UPOV-Dokumenten verwendeten Begriffe“ (Überarbeitung) und der Annahme von Dokument TGP/15/1 „</w:t>
      </w:r>
      <w:r>
        <w:rPr>
          <w:strike/>
        </w:rPr>
        <w:t>[Neue Merkmalstypen]</w:t>
      </w:r>
      <w:r>
        <w:t xml:space="preserve"> </w:t>
      </w:r>
      <w:r>
        <w:lastRenderedPageBreak/>
        <w:t>[Anleitung zur Verwendung biochemischer und molekularer Marker bei der Prüfung der Unterscheidbarkeit, der Homogenit</w:t>
      </w:r>
      <w:r w:rsidR="005C33A7">
        <w:t>ät und der Beständigkeit (DUS)]“</w:t>
      </w:r>
      <w:r>
        <w:t xml:space="preserve"> auf der siebenundvierzigsten ordentlichen Tagung des Rates wird vorgeschlagen, auf der Grundlage von</w:t>
      </w:r>
      <w:r w:rsidR="005C33A7">
        <w:t xml:space="preserve"> Dokument TGP/0/6 Draft </w:t>
      </w:r>
      <w:r>
        <w:t>1 eine Überarbeitung von Dokument TGP/0 anzunehmen.</w:t>
      </w:r>
    </w:p>
    <w:p w:rsidR="004B68CD" w:rsidRPr="001B4917" w:rsidRDefault="004B68CD" w:rsidP="004B68CD">
      <w:pPr>
        <w:rPr>
          <w:lang w:eastAsia="zh-CN"/>
        </w:rPr>
      </w:pPr>
    </w:p>
    <w:p w:rsidR="004B68CD" w:rsidRPr="001B4917" w:rsidRDefault="004B68CD" w:rsidP="00B464FE">
      <w:pPr>
        <w:pStyle w:val="DecisionParagraphs"/>
      </w:pPr>
      <w:r w:rsidRPr="001B4917">
        <w:rPr>
          <w:lang w:eastAsia="zh-CN"/>
        </w:rPr>
        <w:fldChar w:fldCharType="begin"/>
      </w:r>
      <w:r w:rsidRPr="001B4917">
        <w:rPr>
          <w:lang w:eastAsia="zh-CN"/>
        </w:rPr>
        <w:instrText xml:space="preserve"> AUTONUM  </w:instrText>
      </w:r>
      <w:r w:rsidRPr="001B4917">
        <w:rPr>
          <w:lang w:eastAsia="zh-CN"/>
        </w:rPr>
        <w:fldChar w:fldCharType="end"/>
      </w:r>
      <w:r>
        <w:tab/>
        <w:t>Der Rat wird ersucht, Dokument TGP/0/6 „Liste der TGP-Dokumente und Datum der jüngsten Ausgabe“ auf der</w:t>
      </w:r>
      <w:r w:rsidR="005C33A7">
        <w:t xml:space="preserve"> Grundlage von Dokument TGP/0/6 </w:t>
      </w:r>
      <w:r>
        <w:t>Draft 1 anzunehmen.</w:t>
      </w:r>
    </w:p>
    <w:p w:rsidR="005C33A7" w:rsidRDefault="005C33A7" w:rsidP="005C33A7"/>
    <w:p w:rsidR="005C33A7" w:rsidRPr="005C33A7" w:rsidRDefault="005C33A7" w:rsidP="005C33A7"/>
    <w:p w:rsidR="005C33A7" w:rsidRPr="005C33A7" w:rsidRDefault="005C33A7" w:rsidP="005C33A7"/>
    <w:p w:rsidR="00137929" w:rsidRPr="00137929" w:rsidRDefault="00137929" w:rsidP="00137929">
      <w:pPr>
        <w:keepNext/>
        <w:rPr>
          <w:bCs/>
          <w:snapToGrid w:val="0"/>
          <w:szCs w:val="24"/>
        </w:rPr>
      </w:pPr>
      <w:r>
        <w:rPr>
          <w:bCs/>
          <w:snapToGrid w:val="0"/>
          <w:szCs w:val="24"/>
        </w:rPr>
        <w:t>ERLÄUTERUNGEN</w:t>
      </w:r>
    </w:p>
    <w:p w:rsidR="00137929" w:rsidRPr="007743F5" w:rsidRDefault="00137929" w:rsidP="00137929">
      <w:pPr>
        <w:keepNext/>
        <w:ind w:left="1701" w:hanging="1701"/>
        <w:rPr>
          <w:bCs/>
          <w:snapToGrid w:val="0"/>
          <w:szCs w:val="24"/>
        </w:rPr>
      </w:pPr>
    </w:p>
    <w:p w:rsidR="00137929" w:rsidRPr="00137929" w:rsidRDefault="00137929" w:rsidP="006E029B">
      <w:pPr>
        <w:keepNext/>
        <w:rPr>
          <w:bCs/>
          <w:snapToGrid w:val="0"/>
          <w:szCs w:val="24"/>
          <w:u w:val="single"/>
        </w:rPr>
      </w:pPr>
      <w:r>
        <w:rPr>
          <w:bCs/>
          <w:snapToGrid w:val="0"/>
          <w:szCs w:val="24"/>
          <w:u w:val="single"/>
        </w:rPr>
        <w:t>UPOV/EXN/BRD/1:  Erläuterungen zur Begriffsbestimmung des Züchters nach der Akte von 1991 des UPOV-Übereinkommens</w:t>
      </w:r>
    </w:p>
    <w:p w:rsidR="00137929" w:rsidRDefault="00137929" w:rsidP="00B464FE">
      <w:pPr>
        <w:keepNext/>
        <w:rPr>
          <w:snapToGrid w:val="0"/>
        </w:rPr>
      </w:pPr>
    </w:p>
    <w:p w:rsidR="002F7E11" w:rsidRDefault="00137929" w:rsidP="00137929">
      <w:pPr>
        <w:rPr>
          <w:rFonts w:cs="Arial"/>
        </w:rPr>
      </w:pPr>
      <w:r w:rsidRPr="001B4917">
        <w:fldChar w:fldCharType="begin"/>
      </w:r>
      <w:r w:rsidRPr="001B4917">
        <w:instrText xml:space="preserve"> AUTONUM  </w:instrText>
      </w:r>
      <w:r w:rsidRPr="001B4917">
        <w:fldChar w:fldCharType="end"/>
      </w:r>
      <w:r>
        <w:tab/>
        <w:t xml:space="preserve">Der CAJ billigte auf seiner siebenundsechzigsten Tagung den Wortlaut von Dokument UPOV/EXN/BRD Draft 7 als Grundlage für die Annahme von Dokument </w:t>
      </w:r>
      <w:r>
        <w:rPr>
          <w:bCs/>
          <w:szCs w:val="24"/>
        </w:rPr>
        <w:t xml:space="preserve">UPOV/EXN/BRD/1 </w:t>
      </w:r>
      <w:r>
        <w:t>durch den Rat auf seiner siebenundvierzigsten ordentlichen Tagung.</w:t>
      </w:r>
    </w:p>
    <w:p w:rsidR="002F7E11" w:rsidRPr="002F7E11" w:rsidRDefault="002F7E11" w:rsidP="00137929"/>
    <w:p w:rsidR="00B464FE" w:rsidRPr="001B4917" w:rsidRDefault="00B464FE" w:rsidP="00B464FE">
      <w:pPr>
        <w:pStyle w:val="DecisionParagraphs"/>
      </w:pPr>
      <w:r w:rsidRPr="00B464FE">
        <w:rPr>
          <w:lang w:eastAsia="zh-CN"/>
        </w:rPr>
        <w:fldChar w:fldCharType="begin"/>
      </w:r>
      <w:r w:rsidRPr="00B464FE">
        <w:rPr>
          <w:lang w:eastAsia="zh-CN"/>
        </w:rPr>
        <w:instrText xml:space="preserve"> AUTONUM  </w:instrText>
      </w:r>
      <w:r w:rsidRPr="00B464FE">
        <w:rPr>
          <w:lang w:eastAsia="zh-CN"/>
        </w:rPr>
        <w:fldChar w:fldCharType="end"/>
      </w:r>
      <w:r>
        <w:tab/>
        <w:t xml:space="preserve">Der Rat wird ersucht, Dokument </w:t>
      </w:r>
      <w:r>
        <w:rPr>
          <w:bCs/>
          <w:szCs w:val="24"/>
        </w:rPr>
        <w:t xml:space="preserve">UPOV/EXN/BRD/1 </w:t>
      </w:r>
      <w:r>
        <w:t xml:space="preserve">„Erläuterungen zur Begriffsbestimmung des Züchters nach der Akte von 1991 des UPOV-Übereinkommens“ auf der Grundlage von Dokument </w:t>
      </w:r>
      <w:r>
        <w:rPr>
          <w:bCs/>
          <w:szCs w:val="24"/>
        </w:rPr>
        <w:t>UPOV/EXN/BRD Draft 7</w:t>
      </w:r>
      <w:r>
        <w:t xml:space="preserve"> anzunehmen.</w:t>
      </w:r>
    </w:p>
    <w:p w:rsidR="00B464FE" w:rsidRDefault="00B464FE" w:rsidP="00B464FE"/>
    <w:p w:rsidR="00137929" w:rsidRPr="007743F5" w:rsidRDefault="00137929" w:rsidP="00137929">
      <w:pPr>
        <w:ind w:left="1843" w:hanging="1843"/>
        <w:rPr>
          <w:bCs/>
          <w:snapToGrid w:val="0"/>
          <w:szCs w:val="24"/>
        </w:rPr>
      </w:pPr>
    </w:p>
    <w:p w:rsidR="00137929" w:rsidRPr="007743F5" w:rsidRDefault="00137929" w:rsidP="006E029B">
      <w:pPr>
        <w:keepNext/>
      </w:pPr>
      <w:r>
        <w:rPr>
          <w:bCs/>
          <w:snapToGrid w:val="0"/>
          <w:szCs w:val="24"/>
          <w:u w:val="single"/>
        </w:rPr>
        <w:t>UPOV</w:t>
      </w:r>
      <w:r>
        <w:rPr>
          <w:u w:val="single"/>
        </w:rPr>
        <w:t>/EXN/HRV/1:  Erläuterungen zu Handlungen in bezug auf Erntegut nach der Akte von 1991 des UPOV-Übereinkommens</w:t>
      </w:r>
      <w:r>
        <w:t xml:space="preserve"> </w:t>
      </w:r>
    </w:p>
    <w:p w:rsidR="00137929" w:rsidRDefault="00137929" w:rsidP="00B464FE">
      <w:pPr>
        <w:keepNext/>
      </w:pPr>
    </w:p>
    <w:p w:rsidR="008D5CB8" w:rsidRPr="008D5CB8" w:rsidRDefault="008D5CB8" w:rsidP="008D5CB8">
      <w:pPr>
        <w:rPr>
          <w:bCs/>
          <w:snapToGrid w:val="0"/>
          <w:szCs w:val="24"/>
        </w:rPr>
      </w:pPr>
      <w:r w:rsidRPr="008E6FB7">
        <w:rPr>
          <w:bCs/>
          <w:snapToGrid w:val="0"/>
          <w:szCs w:val="24"/>
        </w:rPr>
        <w:fldChar w:fldCharType="begin"/>
      </w:r>
      <w:r w:rsidRPr="008E6FB7">
        <w:rPr>
          <w:bCs/>
          <w:snapToGrid w:val="0"/>
          <w:szCs w:val="24"/>
        </w:rPr>
        <w:instrText xml:space="preserve"> AUTONUM  </w:instrText>
      </w:r>
      <w:r w:rsidRPr="008E6FB7">
        <w:rPr>
          <w:bCs/>
          <w:snapToGrid w:val="0"/>
          <w:szCs w:val="24"/>
        </w:rPr>
        <w:fldChar w:fldCharType="end"/>
      </w:r>
      <w:r>
        <w:tab/>
      </w:r>
      <w:r>
        <w:rPr>
          <w:bCs/>
          <w:snapToGrid w:val="0"/>
          <w:szCs w:val="24"/>
        </w:rPr>
        <w:t xml:space="preserve">Vorbehaltlich der Zustimmung des CAJ auf </w:t>
      </w:r>
      <w:r>
        <w:t>seiner achtundsechzigsten Tagung wird der Rat auf seiner siebenundvierzigsten ordentlichen Tagung ersucht werden, Dokument UPOV/EXN/HRV/1 auf der Grundlage von Dokument UPOV/EXN/HRV Draft 10 anzunehmen.</w:t>
      </w:r>
    </w:p>
    <w:p w:rsidR="008D5CB8" w:rsidRDefault="008D5CB8" w:rsidP="00B464FE">
      <w:pPr>
        <w:rPr>
          <w:bCs/>
          <w:snapToGrid w:val="0"/>
          <w:szCs w:val="24"/>
        </w:rPr>
      </w:pPr>
    </w:p>
    <w:p w:rsidR="00B464FE" w:rsidRDefault="00B464FE" w:rsidP="00B464FE">
      <w:pPr>
        <w:pStyle w:val="DecisionParagraphs"/>
      </w:pPr>
      <w:r w:rsidRPr="00B464FE">
        <w:rPr>
          <w:lang w:eastAsia="zh-CN"/>
        </w:rPr>
        <w:fldChar w:fldCharType="begin"/>
      </w:r>
      <w:r w:rsidRPr="00B464FE">
        <w:rPr>
          <w:lang w:eastAsia="zh-CN"/>
        </w:rPr>
        <w:instrText xml:space="preserve"> AUTONUM  </w:instrText>
      </w:r>
      <w:r w:rsidRPr="00B464FE">
        <w:rPr>
          <w:lang w:eastAsia="zh-CN"/>
        </w:rPr>
        <w:fldChar w:fldCharType="end"/>
      </w:r>
      <w:r>
        <w:tab/>
        <w:t xml:space="preserve">Der Rat wird ersucht, Dokument UPOV/EXN/HRV/1 „Erläuterungen </w:t>
      </w:r>
      <w:r w:rsidR="005C33A7" w:rsidRPr="005C33A7">
        <w:t>zu Handlungen in bezug auf Erntegut</w:t>
      </w:r>
      <w:r>
        <w:t xml:space="preserve"> nach der Akte von 1991 des UPOV-Übereinkommens“ auf der Grundlage von Dokument UPOV/EXN/HRV Draft 10, wie in Absatz 14 oben dargelegt, anzunehmen.</w:t>
      </w:r>
    </w:p>
    <w:p w:rsidR="00137929" w:rsidRDefault="00137929" w:rsidP="000A4BA0"/>
    <w:p w:rsidR="00B464FE" w:rsidRDefault="00B464FE" w:rsidP="000A4BA0"/>
    <w:p w:rsidR="00B464FE" w:rsidRPr="001B4917" w:rsidRDefault="00B464FE" w:rsidP="000A4BA0"/>
    <w:p w:rsidR="000A4BA0" w:rsidRPr="001B4917" w:rsidRDefault="000A4BA0" w:rsidP="00137929">
      <w:pPr>
        <w:keepNext/>
        <w:tabs>
          <w:tab w:val="left" w:pos="567"/>
        </w:tabs>
        <w:ind w:left="567" w:hanging="567"/>
      </w:pPr>
      <w:r>
        <w:t>INFORMATIONSDOKUMENTE</w:t>
      </w:r>
    </w:p>
    <w:p w:rsidR="00B464FE" w:rsidRPr="001B4917" w:rsidRDefault="00B464FE" w:rsidP="004F59EE"/>
    <w:p w:rsidR="000A4BA0" w:rsidRPr="00B464FE" w:rsidRDefault="00B464FE" w:rsidP="006E029B">
      <w:pPr>
        <w:keepNext/>
        <w:rPr>
          <w:u w:val="single"/>
        </w:rPr>
      </w:pPr>
      <w:r>
        <w:rPr>
          <w:bCs/>
          <w:snapToGrid w:val="0"/>
          <w:szCs w:val="24"/>
          <w:u w:val="single"/>
        </w:rPr>
        <w:t>UPOV/INF/6/3:  Anleitung zur Ausarbeitung von Rechtsvorschriften aufg</w:t>
      </w:r>
      <w:r w:rsidR="00523DA4">
        <w:rPr>
          <w:bCs/>
          <w:snapToGrid w:val="0"/>
          <w:szCs w:val="24"/>
          <w:u w:val="single"/>
        </w:rPr>
        <w:t>rund der Akte von 1991 des UPOV</w:t>
      </w:r>
      <w:r w:rsidR="00523DA4">
        <w:rPr>
          <w:bCs/>
          <w:snapToGrid w:val="0"/>
          <w:szCs w:val="24"/>
          <w:u w:val="single"/>
        </w:rPr>
        <w:noBreakHyphen/>
      </w:r>
      <w:r>
        <w:rPr>
          <w:bCs/>
          <w:snapToGrid w:val="0"/>
          <w:szCs w:val="24"/>
          <w:u w:val="single"/>
        </w:rPr>
        <w:t xml:space="preserve">Übereinkommens (Überarbeitung) </w:t>
      </w:r>
      <w:r>
        <w:rPr>
          <w:u w:val="single"/>
        </w:rPr>
        <w:t>(Dokument C/47/13, Anlage)</w:t>
      </w:r>
    </w:p>
    <w:p w:rsidR="000A4BA0" w:rsidRPr="001B4917" w:rsidRDefault="000A4BA0" w:rsidP="00137929">
      <w:pPr>
        <w:keepNext/>
      </w:pPr>
    </w:p>
    <w:p w:rsidR="008E6FB7" w:rsidRDefault="008E6FB7" w:rsidP="008E6FB7">
      <w:pPr>
        <w:rPr>
          <w:szCs w:val="24"/>
        </w:rPr>
      </w:pPr>
      <w:r>
        <w:fldChar w:fldCharType="begin"/>
      </w:r>
      <w:r>
        <w:instrText xml:space="preserve"> AUTONUM  </w:instrText>
      </w:r>
      <w:r>
        <w:fldChar w:fldCharType="end"/>
      </w:r>
      <w:r>
        <w:tab/>
        <w:t>Der Rat nahm auf seiner dreiundvierzigsten ordentlichen Tagung vom 22. Oktober 2009 in Genf das Dokument UPOV/INF/6/1 „Anleitung zur Ausarbeitung von Rechtsvorschriften aufgrund der Akte von 19</w:t>
      </w:r>
      <w:r w:rsidR="00E41C34">
        <w:t>91 des UPOV-Übereinkommens“ an.</w:t>
      </w:r>
      <w:r>
        <w:t xml:space="preserve"> Auf seiner fünfundvierzigsten ordentlichen Tagung am 20. Oktober 2011 in Genf nahm der Rat eine Überarbeitung von Dokument UPOV/IN</w:t>
      </w:r>
      <w:r w:rsidR="00E41C34">
        <w:t>F/6 (Dokument UPOV/INF/6/2) an.</w:t>
      </w:r>
      <w:r>
        <w:t xml:space="preserve"> </w:t>
      </w:r>
      <w:r w:rsidR="003C66FC">
        <w:br/>
      </w:r>
      <w:r>
        <w:t>Teil</w:t>
      </w:r>
      <w:r w:rsidR="003C66FC">
        <w:t> </w:t>
      </w:r>
      <w:r>
        <w:t xml:space="preserve">II des Dokuments UPOV/INF/6 enthält Anmerkungen aufgrund von Informationsmaterial zu bestimmten Artikeln der Akte von 1991 des UPOV-Übereinkommens </w:t>
      </w:r>
      <w:r w:rsidR="00E41C34">
        <w:t>und insbesondere Erläuterungen.</w:t>
      </w:r>
      <w:r>
        <w:t xml:space="preserve"> </w:t>
      </w:r>
      <w:r w:rsidR="003C66FC">
        <w:t>Seit</w:t>
      </w:r>
      <w:r>
        <w:t xml:space="preserve"> Dokument UPOV/INF/6/2 vom Rat angenommen wurde, wurden die „</w:t>
      </w:r>
      <w:r>
        <w:rPr>
          <w:szCs w:val="24"/>
        </w:rPr>
        <w:t>Erläuterungen zu Sortenbezeichnungen nach dem UPOV-Übereinkommen” (Dokument UPOV/INF/12/4) überarbeitet und Dokument UPOV/INF/21/1 „Alternative Mechani</w:t>
      </w:r>
      <w:r w:rsidR="00C34056">
        <w:rPr>
          <w:szCs w:val="24"/>
        </w:rPr>
        <w:t xml:space="preserve">smen zur Streitbeilegung” </w:t>
      </w:r>
      <w:r>
        <w:rPr>
          <w:szCs w:val="24"/>
        </w:rPr>
        <w:t>angenommen.</w:t>
      </w:r>
    </w:p>
    <w:p w:rsidR="00A90253" w:rsidRDefault="00A90253" w:rsidP="008E6FB7">
      <w:pPr>
        <w:rPr>
          <w:szCs w:val="24"/>
        </w:rPr>
      </w:pPr>
    </w:p>
    <w:p w:rsidR="00A90253" w:rsidRPr="00EA62F5" w:rsidRDefault="00A90253" w:rsidP="008E6FB7">
      <w:r>
        <w:rPr>
          <w:szCs w:val="24"/>
        </w:rPr>
        <w:fldChar w:fldCharType="begin"/>
      </w:r>
      <w:r>
        <w:rPr>
          <w:szCs w:val="24"/>
        </w:rPr>
        <w:instrText xml:space="preserve"> AUTONUM  </w:instrText>
      </w:r>
      <w:r>
        <w:rPr>
          <w:szCs w:val="24"/>
        </w:rPr>
        <w:fldChar w:fldCharType="end"/>
      </w:r>
      <w:r>
        <w:tab/>
        <w:t>Der CAJ nahm auf seiner siebenundsechzigsten Tagung zur Ken</w:t>
      </w:r>
      <w:r w:rsidR="00C34056">
        <w:t>ntnis, daß der Rat ersucht werde</w:t>
      </w:r>
      <w:r>
        <w:t>, eine Überarbeitung von Dokument UPOV/INF/6/2 (Dokument UPOV/INF/6/3) in Verbindung mit den Erläuterungen, um deren Annahme der Rat auf seiner siebenundvierzigste</w:t>
      </w:r>
      <w:r w:rsidR="00C34056">
        <w:t>n ordentlichen Tagung ersucht we</w:t>
      </w:r>
      <w:r>
        <w:t>rde (siehe Abschnitt „</w:t>
      </w:r>
      <w:r>
        <w:rPr>
          <w:bCs/>
          <w:snapToGrid w:val="0"/>
          <w:szCs w:val="24"/>
        </w:rPr>
        <w:t>Erläuterungen</w:t>
      </w:r>
      <w:r>
        <w:t>“, oben), anzunehmen.</w:t>
      </w:r>
    </w:p>
    <w:p w:rsidR="008E6FB7" w:rsidRDefault="008E6FB7" w:rsidP="008E6FB7"/>
    <w:p w:rsidR="008E6FB7" w:rsidRDefault="008E6FB7" w:rsidP="008E6FB7">
      <w:pPr>
        <w:pStyle w:val="DecisionParagraphs"/>
      </w:pPr>
      <w:r>
        <w:fldChar w:fldCharType="begin"/>
      </w:r>
      <w:r>
        <w:instrText xml:space="preserve"> AUTONUM  </w:instrText>
      </w:r>
      <w:r>
        <w:fldChar w:fldCharType="end"/>
      </w:r>
      <w:r>
        <w:tab/>
        <w:t xml:space="preserve">Der Rat wird ersucht, </w:t>
      </w:r>
      <w:r>
        <w:rPr>
          <w:color w:val="000000"/>
        </w:rPr>
        <w:t xml:space="preserve">die Überarbeitung von </w:t>
      </w:r>
      <w:r>
        <w:t xml:space="preserve">Dokument UPOV/INF/6 „Anleitung zur Ausarbeitung von Rechtsvorschriften aufgrund der Akte von 1991 des UPOV-Übereinkommens“ (Dokument UPOV/INF/6/3) auf der Grundlage der an Dokument UPOV/INF/6/2 vorgeschlagenen Änderungen, wie in </w:t>
      </w:r>
      <w:r w:rsidR="003C66FC">
        <w:t xml:space="preserve">der </w:t>
      </w:r>
      <w:r>
        <w:t>Anlage dieses Dokuments dargelegt, anzunehmen.</w:t>
      </w:r>
    </w:p>
    <w:p w:rsidR="000A4BA0" w:rsidRDefault="000A4BA0" w:rsidP="000A4BA0">
      <w:pPr>
        <w:rPr>
          <w:u w:val="single"/>
        </w:rPr>
      </w:pPr>
    </w:p>
    <w:p w:rsidR="000A4BA0" w:rsidRPr="001B4917" w:rsidRDefault="000A4BA0" w:rsidP="000A4BA0">
      <w:pPr>
        <w:rPr>
          <w:u w:val="single"/>
        </w:rPr>
      </w:pPr>
    </w:p>
    <w:p w:rsidR="006E029B" w:rsidRDefault="006E029B" w:rsidP="000A4BA0">
      <w:pPr>
        <w:keepNext/>
        <w:rPr>
          <w:bCs/>
          <w:snapToGrid w:val="0"/>
          <w:spacing w:val="-4"/>
          <w:szCs w:val="24"/>
        </w:rPr>
      </w:pPr>
      <w:r>
        <w:rPr>
          <w:bCs/>
          <w:snapToGrid w:val="0"/>
          <w:szCs w:val="24"/>
          <w:u w:val="single"/>
        </w:rPr>
        <w:t xml:space="preserve">UPOV/INF/16/3:  </w:t>
      </w:r>
      <w:r>
        <w:rPr>
          <w:bCs/>
          <w:snapToGrid w:val="0"/>
          <w:spacing w:val="-4"/>
          <w:szCs w:val="24"/>
          <w:u w:val="single"/>
        </w:rPr>
        <w:t>Austauschbare Software (Überarbeitung)</w:t>
      </w:r>
    </w:p>
    <w:p w:rsidR="006E029B" w:rsidRDefault="006E029B" w:rsidP="000A4BA0">
      <w:pPr>
        <w:keepNext/>
      </w:pPr>
    </w:p>
    <w:p w:rsidR="009B3CB2" w:rsidRPr="009B3CB2" w:rsidRDefault="006E029B" w:rsidP="009B3CB2">
      <w:r>
        <w:fldChar w:fldCharType="begin"/>
      </w:r>
      <w:r>
        <w:instrText xml:space="preserve"> AUTONUM  </w:instrText>
      </w:r>
      <w:r>
        <w:fldChar w:fldCharType="end"/>
      </w:r>
      <w:r>
        <w:tab/>
        <w:t>Der TC billigte auf seiner neunundvierzigsten Tagung die Überarbeitung von Dokument UPOV/INF/16 „Austauschbare Software“, wie in Dokument U</w:t>
      </w:r>
      <w:r w:rsidR="00E41C34">
        <w:t>POV/INF/16/3 Draft 1 dargelegt.</w:t>
      </w:r>
      <w:r>
        <w:t xml:space="preserve"> Er nahm zur Kenntnis, daß die Überarbeitung von Dokument UPOF/INF/16 (Dokument UPOV/INF/16/</w:t>
      </w:r>
      <w:r w:rsidR="003C66FC">
        <w:t>3</w:t>
      </w:r>
      <w:r>
        <w:t>)</w:t>
      </w:r>
      <w:r w:rsidR="003C66FC">
        <w:t>,</w:t>
      </w:r>
      <w:r>
        <w:t xml:space="preserve"> vorbehaltlich der Zustimmung des CAJ</w:t>
      </w:r>
      <w:r w:rsidR="003C66FC">
        <w:t xml:space="preserve"> </w:t>
      </w:r>
      <w:r w:rsidR="003C66FC">
        <w:rPr>
          <w:bCs/>
          <w:snapToGrid w:val="0"/>
          <w:szCs w:val="24"/>
        </w:rPr>
        <w:t xml:space="preserve">auf </w:t>
      </w:r>
      <w:r w:rsidR="003C66FC">
        <w:t>seiner achtundsechzigsten Tagung</w:t>
      </w:r>
      <w:r>
        <w:t xml:space="preserve">, </w:t>
      </w:r>
      <w:r w:rsidR="003C66FC">
        <w:t xml:space="preserve">dem Rat </w:t>
      </w:r>
      <w:r>
        <w:rPr>
          <w:bCs/>
          <w:snapToGrid w:val="0"/>
          <w:szCs w:val="24"/>
        </w:rPr>
        <w:t xml:space="preserve">auf </w:t>
      </w:r>
      <w:r>
        <w:t>seiner siebenund</w:t>
      </w:r>
      <w:r w:rsidR="00E41C34">
        <w:t>vierzigsten ordentlichen Tagung zur Annahme vorgelegt werde.</w:t>
      </w:r>
      <w:r>
        <w:t xml:space="preserve"> Dem Rat wird auf seiner siebenundvierzigsten ordentlichen Tagung Bericht über die Entschließungen des CAJ auf seiner achtundsechzigsten Tagung betreffend den Vorschlag zur Änderung von Dokumen</w:t>
      </w:r>
      <w:r w:rsidR="00E41C34">
        <w:t>t UPOV/INF/16 erstattet werden.</w:t>
      </w:r>
    </w:p>
    <w:p w:rsidR="000A7D18" w:rsidRPr="00C7526F" w:rsidRDefault="000A7D18" w:rsidP="000A7D18"/>
    <w:p w:rsidR="000A7D18" w:rsidRPr="001B4917" w:rsidRDefault="000A7D18" w:rsidP="000A7D18">
      <w:pPr>
        <w:pStyle w:val="DecisionParagraphs"/>
        <w:rPr>
          <w:i w:val="0"/>
        </w:rPr>
      </w:pPr>
      <w:r w:rsidRPr="00205A7D">
        <w:rPr>
          <w:color w:val="000000"/>
        </w:rPr>
        <w:fldChar w:fldCharType="begin"/>
      </w:r>
      <w:r w:rsidRPr="00205A7D">
        <w:rPr>
          <w:color w:val="000000"/>
        </w:rPr>
        <w:instrText xml:space="preserve"> AUTONUM  </w:instrText>
      </w:r>
      <w:r w:rsidRPr="00205A7D">
        <w:rPr>
          <w:color w:val="000000"/>
        </w:rPr>
        <w:fldChar w:fldCharType="end"/>
      </w:r>
      <w:r>
        <w:tab/>
        <w:t xml:space="preserve">Der Rat wird ersucht, vorbehaltlich der Zustimmung des CAJ </w:t>
      </w:r>
      <w:r>
        <w:rPr>
          <w:color w:val="000000"/>
        </w:rPr>
        <w:t xml:space="preserve">die Überarbeitung von </w:t>
      </w:r>
      <w:r>
        <w:t>Dokument UPOV/INF/16</w:t>
      </w:r>
      <w:r>
        <w:rPr>
          <w:color w:val="000000"/>
        </w:rPr>
        <w:t xml:space="preserve"> </w:t>
      </w:r>
      <w:r>
        <w:t>„Austauschbare Software“</w:t>
      </w:r>
      <w:r>
        <w:rPr>
          <w:color w:val="000000"/>
        </w:rPr>
        <w:t xml:space="preserve"> </w:t>
      </w:r>
      <w:r>
        <w:t xml:space="preserve">auf der Grundlage von Dokument </w:t>
      </w:r>
      <w:r w:rsidR="003C66FC">
        <w:rPr>
          <w:bCs/>
          <w:spacing w:val="-4"/>
          <w:szCs w:val="24"/>
        </w:rPr>
        <w:t>UPOV/INF/16/3 Draft </w:t>
      </w:r>
      <w:r>
        <w:rPr>
          <w:bCs/>
          <w:spacing w:val="-4"/>
          <w:szCs w:val="24"/>
        </w:rPr>
        <w:t>1 anzunehmen.</w:t>
      </w:r>
    </w:p>
    <w:p w:rsidR="000A4BA0" w:rsidRDefault="000A4BA0" w:rsidP="000A4BA0">
      <w:pPr>
        <w:rPr>
          <w:lang w:eastAsia="zh-CN"/>
        </w:rPr>
      </w:pPr>
    </w:p>
    <w:p w:rsidR="0076776E" w:rsidRDefault="0076776E" w:rsidP="000A4BA0">
      <w:pPr>
        <w:rPr>
          <w:lang w:eastAsia="zh-CN"/>
        </w:rPr>
      </w:pPr>
    </w:p>
    <w:p w:rsidR="0076776E" w:rsidRPr="0076776E" w:rsidRDefault="0076776E" w:rsidP="0076776E">
      <w:pPr>
        <w:keepNext/>
        <w:rPr>
          <w:u w:val="single"/>
        </w:rPr>
      </w:pPr>
      <w:r>
        <w:rPr>
          <w:bCs/>
          <w:snapToGrid w:val="0"/>
          <w:szCs w:val="24"/>
          <w:u w:val="single"/>
        </w:rPr>
        <w:t xml:space="preserve">UPOV/INF-EXN/5:  </w:t>
      </w:r>
      <w:r>
        <w:rPr>
          <w:u w:val="single"/>
        </w:rPr>
        <w:t>Liste der UPOV/INF-EXN-Dokumente und Datum der jüngsten Ausgabe</w:t>
      </w:r>
    </w:p>
    <w:p w:rsidR="0076776E" w:rsidRDefault="0076776E" w:rsidP="0076776E">
      <w:pPr>
        <w:keepNext/>
      </w:pPr>
    </w:p>
    <w:p w:rsidR="000A4BA0" w:rsidRPr="001B4917" w:rsidRDefault="000A4BA0" w:rsidP="000A4BA0">
      <w:r w:rsidRPr="001B4917">
        <w:fldChar w:fldCharType="begin"/>
      </w:r>
      <w:r w:rsidRPr="001B4917">
        <w:instrText xml:space="preserve"> AUTONUM  </w:instrText>
      </w:r>
      <w:r w:rsidRPr="001B4917">
        <w:fldChar w:fldCharType="end"/>
      </w:r>
      <w:r>
        <w:tab/>
        <w:t xml:space="preserve">Zusammen mit den Informationsdokumenten, </w:t>
      </w:r>
      <w:r>
        <w:rPr>
          <w:spacing w:val="-2"/>
          <w:szCs w:val="24"/>
        </w:rPr>
        <w:t>um</w:t>
      </w:r>
      <w:r>
        <w:t xml:space="preserve"> deren Annahme der Rat </w:t>
      </w:r>
      <w:r w:rsidR="00E41C34">
        <w:t>auf seiner siebenundvierzigsten</w:t>
      </w:r>
      <w:r>
        <w:t xml:space="preserve"> ordentlichen Tagung ersucht werden wird, und in Einklang mit dem Ansatz zur Aktualisierung von zuvor vom Rat angenommenen </w:t>
      </w:r>
      <w:r w:rsidR="00E41C34">
        <w:t>Dokumenten wird vorgeschlagen</w:t>
      </w:r>
      <w:r w:rsidR="00F667EC">
        <w:t>, Dokument</w:t>
      </w:r>
      <w:r w:rsidR="003808ED">
        <w:t xml:space="preserve"> UPOV/INF</w:t>
      </w:r>
      <w:r w:rsidR="003808ED">
        <w:noBreakHyphen/>
      </w:r>
      <w:r>
        <w:t>EXN/5 „Li</w:t>
      </w:r>
      <w:r w:rsidR="00E41C34">
        <w:t>ste der UPOV/INF/EXN-Dokumente</w:t>
      </w:r>
      <w:r>
        <w:t xml:space="preserve"> und Datum der jüngsten Ausgabe“ auf der Grundlage von Dokument UPOV/INF-EXN/5 Draft 1 anzunehmen.</w:t>
      </w:r>
    </w:p>
    <w:p w:rsidR="000A4BA0" w:rsidRPr="001B4917" w:rsidRDefault="000A4BA0" w:rsidP="000A4BA0"/>
    <w:p w:rsidR="000A4BA0" w:rsidRPr="001B4917" w:rsidRDefault="000A4BA0" w:rsidP="0076776E">
      <w:pPr>
        <w:pStyle w:val="DecisionParagraphs"/>
      </w:pPr>
      <w:r w:rsidRPr="001B4917">
        <w:fldChar w:fldCharType="begin"/>
      </w:r>
      <w:r w:rsidRPr="001B4917">
        <w:instrText xml:space="preserve"> AUTONUM  </w:instrText>
      </w:r>
      <w:r w:rsidRPr="001B4917">
        <w:fldChar w:fldCharType="end"/>
      </w:r>
      <w:r>
        <w:tab/>
        <w:t>Der Rat wird ersucht, die Überarbeitung von Dokument UPOV/INF-EXN</w:t>
      </w:r>
      <w:r w:rsidR="003808ED">
        <w:t xml:space="preserve"> „Liste der UPOV/INF</w:t>
      </w:r>
      <w:r w:rsidR="003808ED">
        <w:noBreakHyphen/>
      </w:r>
      <w:r w:rsidR="003808ED">
        <w:t>EXN</w:t>
      </w:r>
      <w:r w:rsidR="003808ED">
        <w:noBreakHyphen/>
      </w:r>
      <w:r>
        <w:t>Dokumente und Datum der jüngsten Ausgabe“ (Dokument UPOV/INF-EXN/5) auf der Grundlage von Dokument UPO</w:t>
      </w:r>
      <w:r w:rsidR="003808ED">
        <w:t>V/INF-EXN/5 Draft </w:t>
      </w:r>
      <w:r w:rsidR="00E41C34">
        <w:t>1 anzunehmen.</w:t>
      </w:r>
    </w:p>
    <w:p w:rsidR="000A4BA0" w:rsidRPr="001B4917" w:rsidRDefault="000A4BA0" w:rsidP="000A4BA0">
      <w:pPr>
        <w:rPr>
          <w:snapToGrid w:val="0"/>
        </w:rPr>
      </w:pPr>
    </w:p>
    <w:p w:rsidR="000A4BA0" w:rsidRPr="001B4917" w:rsidRDefault="000A4BA0" w:rsidP="000A4BA0">
      <w:pPr>
        <w:tabs>
          <w:tab w:val="left" w:pos="1701"/>
        </w:tabs>
        <w:rPr>
          <w:spacing w:val="-2"/>
          <w:szCs w:val="24"/>
          <w:u w:val="single"/>
        </w:rPr>
      </w:pPr>
    </w:p>
    <w:p w:rsidR="000A4BA0" w:rsidRPr="001B4917" w:rsidRDefault="000A4BA0" w:rsidP="000A4BA0">
      <w:pPr>
        <w:tabs>
          <w:tab w:val="left" w:pos="1701"/>
        </w:tabs>
        <w:rPr>
          <w:spacing w:val="-2"/>
          <w:szCs w:val="24"/>
          <w:u w:val="single"/>
        </w:rPr>
      </w:pPr>
    </w:p>
    <w:p w:rsidR="000A4BA0" w:rsidRPr="001B4917" w:rsidRDefault="000A4BA0" w:rsidP="000A4BA0">
      <w:pPr>
        <w:jc w:val="right"/>
      </w:pPr>
      <w:r>
        <w:t>[Anlage folgt]</w:t>
      </w:r>
    </w:p>
    <w:p w:rsidR="000A4BA0" w:rsidRPr="001B4917" w:rsidRDefault="000A4BA0" w:rsidP="000A4BA0"/>
    <w:p w:rsidR="00667F6D" w:rsidRPr="001B4917" w:rsidRDefault="00667F6D" w:rsidP="00667F6D"/>
    <w:p w:rsidR="00667F6D" w:rsidRPr="001B4917" w:rsidRDefault="00667F6D" w:rsidP="00667F6D">
      <w:pPr>
        <w:sectPr w:rsidR="00667F6D" w:rsidRPr="001B4917" w:rsidSect="00667F6D">
          <w:headerReference w:type="default" r:id="rId9"/>
          <w:pgSz w:w="11907" w:h="16840" w:code="9"/>
          <w:pgMar w:top="510" w:right="1134" w:bottom="1134" w:left="1134" w:header="510" w:footer="624" w:gutter="0"/>
          <w:cols w:space="720"/>
          <w:titlePg/>
        </w:sectPr>
      </w:pPr>
    </w:p>
    <w:p w:rsidR="00667F6D" w:rsidRDefault="00667F6D" w:rsidP="00667F6D">
      <w:pPr>
        <w:jc w:val="center"/>
      </w:pPr>
      <w:r>
        <w:t>C/47/13</w:t>
      </w:r>
    </w:p>
    <w:p w:rsidR="00667F6D" w:rsidRDefault="00667F6D" w:rsidP="00667F6D">
      <w:pPr>
        <w:jc w:val="center"/>
      </w:pPr>
    </w:p>
    <w:p w:rsidR="00667F6D" w:rsidRDefault="00667F6D" w:rsidP="00667F6D">
      <w:pPr>
        <w:jc w:val="center"/>
      </w:pPr>
      <w:r>
        <w:t>ANLAGE</w:t>
      </w:r>
    </w:p>
    <w:p w:rsidR="00667F6D" w:rsidRDefault="00667F6D" w:rsidP="00667F6D">
      <w:pPr>
        <w:jc w:val="center"/>
      </w:pPr>
    </w:p>
    <w:p w:rsidR="00667F6D" w:rsidRPr="001B4917" w:rsidRDefault="00667F6D" w:rsidP="00667F6D">
      <w:pPr>
        <w:jc w:val="center"/>
      </w:pPr>
    </w:p>
    <w:p w:rsidR="00667F6D" w:rsidRPr="001B4917" w:rsidRDefault="0065207B" w:rsidP="00667F6D">
      <w:pPr>
        <w:jc w:val="center"/>
      </w:pPr>
      <w:r>
        <w:t>DOKUMENT UPOV/INF/6/3</w:t>
      </w:r>
    </w:p>
    <w:p w:rsidR="00667F6D" w:rsidRPr="001B4917" w:rsidRDefault="00667F6D" w:rsidP="00667F6D">
      <w:pPr>
        <w:jc w:val="center"/>
      </w:pPr>
    </w:p>
    <w:p w:rsidR="00667F6D" w:rsidRPr="001B4917" w:rsidRDefault="00667F6D" w:rsidP="00667F6D">
      <w:pPr>
        <w:jc w:val="center"/>
      </w:pPr>
      <w:r>
        <w:t xml:space="preserve">„ANLEITUNG ZUR AUSARBEITUNG VON RECHTSVORSCHRIFTEN AUFGRUND DER AKTE VON 1991 DES UPOV-ÜBEREINKOMMENS“ </w:t>
      </w:r>
      <w:r w:rsidR="003808ED">
        <w:br/>
      </w:r>
      <w:r>
        <w:t>(ÜBERARBEITUNG)</w:t>
      </w:r>
    </w:p>
    <w:p w:rsidR="00667F6D" w:rsidRDefault="00667F6D" w:rsidP="00667F6D">
      <w:pPr>
        <w:jc w:val="center"/>
      </w:pPr>
    </w:p>
    <w:p w:rsidR="004F59EE" w:rsidRDefault="004F59EE" w:rsidP="00667F6D">
      <w:pPr>
        <w:jc w:val="center"/>
      </w:pPr>
    </w:p>
    <w:p w:rsidR="004F59EE" w:rsidRPr="001B4917" w:rsidRDefault="004F59EE" w:rsidP="004F59EE">
      <w:pPr>
        <w:jc w:val="center"/>
      </w:pPr>
      <w:r>
        <w:t>VORGESCHLAGENE ÄNDERUNGEN</w:t>
      </w:r>
    </w:p>
    <w:p w:rsidR="004F59EE" w:rsidRPr="001B4917" w:rsidRDefault="004F59EE" w:rsidP="004F59EE">
      <w:pPr>
        <w:jc w:val="center"/>
      </w:pPr>
    </w:p>
    <w:p w:rsidR="00894AB0" w:rsidRDefault="00894AB0" w:rsidP="00667F6D">
      <w:pPr>
        <w:jc w:val="center"/>
      </w:pPr>
    </w:p>
    <w:p w:rsidR="00894AB0" w:rsidRPr="001B4917" w:rsidRDefault="00894AB0" w:rsidP="00667F6D">
      <w:pPr>
        <w:jc w:val="center"/>
      </w:pPr>
    </w:p>
    <w:p w:rsidR="002A712E" w:rsidRDefault="003808ED" w:rsidP="00B47965">
      <w:pPr>
        <w:keepNext/>
        <w:rPr>
          <w:szCs w:val="24"/>
        </w:rPr>
      </w:pPr>
      <w:r>
        <w:rPr>
          <w:szCs w:val="24"/>
          <w:u w:val="single"/>
        </w:rPr>
        <w:t>„Anmerkungen zu Artikel 1“</w:t>
      </w:r>
      <w:r w:rsidR="002A712E">
        <w:rPr>
          <w:szCs w:val="24"/>
          <w:u w:val="single"/>
        </w:rPr>
        <w:t>:  Text aus den „</w:t>
      </w:r>
      <w:r w:rsidR="002A712E">
        <w:rPr>
          <w:bCs/>
          <w:snapToGrid w:val="0"/>
          <w:szCs w:val="24"/>
          <w:u w:val="single"/>
        </w:rPr>
        <w:t>Erläuterungen zur Begriffsbestimmung des Züchters nach der Akte von 1991 des UPOV Übereinkommens“</w:t>
      </w:r>
      <w:r w:rsidR="002A712E">
        <w:rPr>
          <w:szCs w:val="24"/>
          <w:u w:val="single"/>
        </w:rPr>
        <w:t xml:space="preserve"> (Dokument UPOV/EXN/BRD/1)</w:t>
      </w:r>
      <w:r>
        <w:rPr>
          <w:szCs w:val="24"/>
          <w:u w:val="single"/>
        </w:rPr>
        <w:t xml:space="preserve"> hinzufügen</w:t>
      </w:r>
    </w:p>
    <w:p w:rsidR="002A712E" w:rsidRDefault="002A712E" w:rsidP="00B47965">
      <w:pPr>
        <w:keepNext/>
        <w:rPr>
          <w:szCs w:val="24"/>
        </w:rPr>
      </w:pPr>
    </w:p>
    <w:p w:rsidR="002A712E" w:rsidRPr="002A712E" w:rsidRDefault="002A712E" w:rsidP="00B47965">
      <w:pPr>
        <w:keepNext/>
        <w:rPr>
          <w:bCs/>
          <w:snapToGrid w:val="0"/>
          <w:szCs w:val="24"/>
          <w:u w:val="single"/>
        </w:rPr>
      </w:pPr>
    </w:p>
    <w:p w:rsidR="002A712E" w:rsidRDefault="002A712E" w:rsidP="00B47965">
      <w:pPr>
        <w:keepNext/>
        <w:rPr>
          <w:szCs w:val="24"/>
        </w:rPr>
      </w:pPr>
      <w:r>
        <w:rPr>
          <w:szCs w:val="24"/>
          <w:u w:val="single"/>
        </w:rPr>
        <w:t>„Anmerkungen zu Artikel 14</w:t>
      </w:r>
      <w:r w:rsidR="003808ED">
        <w:rPr>
          <w:szCs w:val="24"/>
          <w:u w:val="single"/>
        </w:rPr>
        <w:t>“</w:t>
      </w:r>
      <w:r>
        <w:rPr>
          <w:szCs w:val="24"/>
          <w:u w:val="single"/>
        </w:rPr>
        <w:t>:  Text aus den „</w:t>
      </w:r>
      <w:r>
        <w:rPr>
          <w:u w:val="single"/>
        </w:rPr>
        <w:t>Erläuterungen zu Handlungen in bezug auf Erntegut nach der Akte v</w:t>
      </w:r>
      <w:r w:rsidR="003808ED">
        <w:rPr>
          <w:u w:val="single"/>
        </w:rPr>
        <w:t>on 1991 des UPOV-Übereinkommens“</w:t>
      </w:r>
      <w:r>
        <w:rPr>
          <w:bCs/>
          <w:snapToGrid w:val="0"/>
          <w:szCs w:val="24"/>
          <w:u w:val="single"/>
        </w:rPr>
        <w:t xml:space="preserve"> </w:t>
      </w:r>
      <w:r>
        <w:rPr>
          <w:szCs w:val="24"/>
          <w:u w:val="single"/>
        </w:rPr>
        <w:t>(Dokument </w:t>
      </w:r>
      <w:r>
        <w:rPr>
          <w:bCs/>
          <w:snapToGrid w:val="0"/>
          <w:szCs w:val="24"/>
          <w:u w:val="single"/>
        </w:rPr>
        <w:t>UPOV</w:t>
      </w:r>
      <w:r>
        <w:rPr>
          <w:u w:val="single"/>
        </w:rPr>
        <w:t>/EXN/HRV/1</w:t>
      </w:r>
      <w:r>
        <w:rPr>
          <w:szCs w:val="24"/>
          <w:u w:val="single"/>
        </w:rPr>
        <w:t>) hinzufügen</w:t>
      </w:r>
    </w:p>
    <w:p w:rsidR="0086552C" w:rsidRDefault="0086552C" w:rsidP="00B47965"/>
    <w:p w:rsidR="002A712E" w:rsidRDefault="002A712E" w:rsidP="00B47965"/>
    <w:p w:rsidR="004952D0" w:rsidRPr="004952D0" w:rsidRDefault="004952D0" w:rsidP="00B47965">
      <w:pPr>
        <w:rPr>
          <w:u w:val="single"/>
        </w:rPr>
      </w:pPr>
      <w:r>
        <w:rPr>
          <w:u w:val="single"/>
        </w:rPr>
        <w:t>„Anmerkungen zu Artikel 20</w:t>
      </w:r>
      <w:r w:rsidR="003808ED">
        <w:rPr>
          <w:u w:val="single"/>
        </w:rPr>
        <w:t>“</w:t>
      </w:r>
      <w:r>
        <w:rPr>
          <w:u w:val="single"/>
        </w:rPr>
        <w:t>: die neue Klasse 213 aus den „</w:t>
      </w:r>
      <w:r>
        <w:rPr>
          <w:szCs w:val="24"/>
          <w:u w:val="single"/>
        </w:rPr>
        <w:t>Erläuterungen zu Sortenbezeichnun</w:t>
      </w:r>
      <w:r w:rsidR="003808ED">
        <w:rPr>
          <w:szCs w:val="24"/>
          <w:u w:val="single"/>
        </w:rPr>
        <w:t>gen nach dem UPOV-Übereinkommen“</w:t>
      </w:r>
      <w:r>
        <w:rPr>
          <w:szCs w:val="24"/>
          <w:u w:val="single"/>
        </w:rPr>
        <w:t xml:space="preserve"> (Dokument UPOV/INF/12/4) hinzufügen</w:t>
      </w:r>
    </w:p>
    <w:p w:rsidR="004952D0" w:rsidRPr="001B4917" w:rsidRDefault="004952D0" w:rsidP="004952D0">
      <w:pPr>
        <w:jc w:val="center"/>
      </w:pPr>
    </w:p>
    <w:p w:rsidR="004952D0" w:rsidRPr="001B4917" w:rsidRDefault="004952D0" w:rsidP="004952D0">
      <w:pPr>
        <w:jc w:val="center"/>
      </w:pPr>
    </w:p>
    <w:tbl>
      <w:tblPr>
        <w:tblW w:w="9133" w:type="dxa"/>
        <w:jc w:val="right"/>
        <w:tblInd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
        <w:gridCol w:w="1276"/>
        <w:gridCol w:w="5672"/>
        <w:gridCol w:w="1983"/>
        <w:gridCol w:w="61"/>
      </w:tblGrid>
      <w:tr w:rsidR="004952D0" w:rsidRPr="001B4917" w:rsidTr="000E791D">
        <w:trPr>
          <w:gridAfter w:val="1"/>
          <w:wAfter w:w="56" w:type="dxa"/>
          <w:cantSplit/>
          <w:tblHeader/>
          <w:jc w:val="right"/>
        </w:trPr>
        <w:tc>
          <w:tcPr>
            <w:tcW w:w="141" w:type="dxa"/>
            <w:tcBorders>
              <w:right w:val="nil"/>
            </w:tcBorders>
            <w:shd w:val="clear" w:color="auto" w:fill="auto"/>
            <w:vAlign w:val="center"/>
          </w:tcPr>
          <w:p w:rsidR="004952D0" w:rsidRPr="001B4917" w:rsidRDefault="004952D0" w:rsidP="004952D0">
            <w:pPr>
              <w:keepNext/>
              <w:spacing w:before="10" w:after="10"/>
              <w:jc w:val="left"/>
              <w:rPr>
                <w:sz w:val="18"/>
                <w:szCs w:val="18"/>
                <w:u w:val="single"/>
              </w:rPr>
            </w:pPr>
          </w:p>
        </w:tc>
        <w:tc>
          <w:tcPr>
            <w:tcW w:w="6952" w:type="dxa"/>
            <w:gridSpan w:val="2"/>
            <w:tcBorders>
              <w:left w:val="nil"/>
            </w:tcBorders>
            <w:shd w:val="clear" w:color="auto" w:fill="auto"/>
            <w:vAlign w:val="center"/>
          </w:tcPr>
          <w:p w:rsidR="004952D0" w:rsidRPr="001B4917" w:rsidRDefault="004952D0" w:rsidP="004952D0">
            <w:pPr>
              <w:keepNext/>
              <w:spacing w:before="10" w:after="10"/>
              <w:jc w:val="center"/>
              <w:rPr>
                <w:sz w:val="18"/>
                <w:szCs w:val="18"/>
                <w:u w:val="single"/>
              </w:rPr>
            </w:pPr>
            <w:r>
              <w:rPr>
                <w:sz w:val="18"/>
                <w:szCs w:val="18"/>
                <w:u w:val="single"/>
              </w:rPr>
              <w:t>Botanische Namen</w:t>
            </w:r>
          </w:p>
        </w:tc>
        <w:tc>
          <w:tcPr>
            <w:tcW w:w="1984" w:type="dxa"/>
            <w:shd w:val="clear" w:color="auto" w:fill="auto"/>
            <w:vAlign w:val="center"/>
          </w:tcPr>
          <w:p w:rsidR="004952D0" w:rsidRPr="001B4917" w:rsidRDefault="004952D0" w:rsidP="004952D0">
            <w:pPr>
              <w:keepNext/>
              <w:spacing w:before="10" w:after="10"/>
              <w:jc w:val="center"/>
              <w:rPr>
                <w:sz w:val="18"/>
                <w:szCs w:val="18"/>
                <w:u w:val="single"/>
              </w:rPr>
            </w:pPr>
            <w:r>
              <w:rPr>
                <w:sz w:val="18"/>
                <w:szCs w:val="18"/>
                <w:u w:val="single"/>
              </w:rPr>
              <w:t>UPOV-Codes</w:t>
            </w:r>
          </w:p>
        </w:tc>
      </w:tr>
      <w:tr w:rsidR="004952D0" w:rsidRPr="001B4917" w:rsidTr="004952D0">
        <w:trPr>
          <w:gridAfter w:val="1"/>
          <w:wAfter w:w="56" w:type="dxa"/>
          <w:cantSplit/>
          <w:tblHeader/>
          <w:jc w:val="right"/>
        </w:trPr>
        <w:tc>
          <w:tcPr>
            <w:tcW w:w="141" w:type="dxa"/>
            <w:tcBorders>
              <w:left w:val="nil"/>
              <w:right w:val="nil"/>
            </w:tcBorders>
            <w:shd w:val="clear" w:color="auto" w:fill="auto"/>
          </w:tcPr>
          <w:p w:rsidR="004952D0" w:rsidRPr="001B4917" w:rsidRDefault="004952D0" w:rsidP="004952D0">
            <w:pPr>
              <w:keepNext/>
              <w:spacing w:before="10" w:after="10"/>
              <w:jc w:val="left"/>
              <w:rPr>
                <w:sz w:val="18"/>
                <w:szCs w:val="18"/>
              </w:rPr>
            </w:pPr>
          </w:p>
        </w:tc>
        <w:tc>
          <w:tcPr>
            <w:tcW w:w="6952" w:type="dxa"/>
            <w:gridSpan w:val="2"/>
            <w:tcBorders>
              <w:left w:val="nil"/>
              <w:right w:val="nil"/>
            </w:tcBorders>
            <w:shd w:val="clear" w:color="auto" w:fill="auto"/>
          </w:tcPr>
          <w:p w:rsidR="004952D0" w:rsidRPr="001B4917" w:rsidRDefault="004952D0" w:rsidP="004952D0">
            <w:pPr>
              <w:keepNext/>
              <w:spacing w:before="10" w:after="10"/>
              <w:jc w:val="left"/>
              <w:rPr>
                <w:sz w:val="18"/>
                <w:szCs w:val="18"/>
              </w:rPr>
            </w:pPr>
          </w:p>
        </w:tc>
        <w:tc>
          <w:tcPr>
            <w:tcW w:w="1984" w:type="dxa"/>
            <w:tcBorders>
              <w:left w:val="nil"/>
              <w:right w:val="nil"/>
            </w:tcBorders>
            <w:shd w:val="clear" w:color="auto" w:fill="auto"/>
          </w:tcPr>
          <w:p w:rsidR="004952D0" w:rsidRPr="001B4917" w:rsidRDefault="004952D0" w:rsidP="004952D0">
            <w:pPr>
              <w:keepNext/>
              <w:spacing w:before="10" w:after="10"/>
              <w:jc w:val="left"/>
              <w:rPr>
                <w:sz w:val="18"/>
                <w:szCs w:val="18"/>
              </w:rPr>
            </w:pPr>
          </w:p>
        </w:tc>
      </w:tr>
      <w:tr w:rsidR="004952D0" w:rsidRPr="001B4917" w:rsidTr="004952D0">
        <w:trPr>
          <w:cantSplit/>
          <w:jc w:val="right"/>
        </w:trPr>
        <w:tc>
          <w:tcPr>
            <w:tcW w:w="1418" w:type="dxa"/>
            <w:gridSpan w:val="2"/>
            <w:tcBorders>
              <w:top w:val="single" w:sz="4" w:space="0" w:color="auto"/>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r>
              <w:rPr>
                <w:sz w:val="18"/>
                <w:szCs w:val="18"/>
              </w:rPr>
              <w:t>Klasse 213</w:t>
            </w:r>
          </w:p>
        </w:tc>
        <w:tc>
          <w:tcPr>
            <w:tcW w:w="5670" w:type="dxa"/>
            <w:tcBorders>
              <w:top w:val="single" w:sz="4" w:space="0" w:color="auto"/>
              <w:left w:val="single" w:sz="4" w:space="0" w:color="auto"/>
              <w:bottom w:val="nil"/>
              <w:right w:val="single" w:sz="4" w:space="0" w:color="auto"/>
            </w:tcBorders>
            <w:shd w:val="clear" w:color="auto" w:fill="auto"/>
          </w:tcPr>
          <w:p w:rsidR="004952D0" w:rsidRPr="001B4917" w:rsidRDefault="004952D0" w:rsidP="004952D0">
            <w:pPr>
              <w:keepNext/>
              <w:spacing w:before="10" w:after="10"/>
              <w:ind w:firstLine="28"/>
              <w:jc w:val="left"/>
              <w:rPr>
                <w:color w:val="000000"/>
                <w:sz w:val="18"/>
                <w:szCs w:val="18"/>
              </w:rPr>
            </w:pPr>
            <w:r>
              <w:rPr>
                <w:color w:val="000000"/>
                <w:sz w:val="18"/>
                <w:szCs w:val="18"/>
              </w:rPr>
              <w:t>Eupatorium L.</w:t>
            </w:r>
          </w:p>
        </w:tc>
        <w:tc>
          <w:tcPr>
            <w:tcW w:w="2045" w:type="dxa"/>
            <w:gridSpan w:val="2"/>
            <w:tcBorders>
              <w:top w:val="single" w:sz="4" w:space="0" w:color="auto"/>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r>
              <w:rPr>
                <w:sz w:val="18"/>
                <w:szCs w:val="18"/>
              </w:rPr>
              <w:t>EUPAT</w:t>
            </w:r>
          </w:p>
        </w:tc>
      </w:tr>
      <w:tr w:rsidR="004952D0" w:rsidRPr="001B4917" w:rsidTr="004952D0">
        <w:trPr>
          <w:cantSplit/>
          <w:jc w:val="right"/>
        </w:trPr>
        <w:tc>
          <w:tcPr>
            <w:tcW w:w="1418"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p>
        </w:tc>
        <w:tc>
          <w:tcPr>
            <w:tcW w:w="5670"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ind w:firstLine="454"/>
              <w:jc w:val="left"/>
              <w:rPr>
                <w:color w:val="000000"/>
                <w:sz w:val="18"/>
                <w:szCs w:val="18"/>
              </w:rPr>
            </w:pPr>
            <w:r>
              <w:rPr>
                <w:color w:val="000000"/>
                <w:sz w:val="18"/>
                <w:szCs w:val="18"/>
              </w:rPr>
              <w:t>Acanthostyles R. M. King &amp; H. Rob.</w:t>
            </w:r>
          </w:p>
        </w:tc>
        <w:tc>
          <w:tcPr>
            <w:tcW w:w="2045"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r>
              <w:rPr>
                <w:sz w:val="18"/>
                <w:szCs w:val="18"/>
              </w:rPr>
              <w:t>-</w:t>
            </w:r>
          </w:p>
        </w:tc>
      </w:tr>
      <w:tr w:rsidR="004952D0" w:rsidRPr="001B4917" w:rsidTr="004952D0">
        <w:trPr>
          <w:cantSplit/>
          <w:jc w:val="right"/>
        </w:trPr>
        <w:tc>
          <w:tcPr>
            <w:tcW w:w="1418"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p>
        </w:tc>
        <w:tc>
          <w:tcPr>
            <w:tcW w:w="5670"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ind w:firstLine="454"/>
              <w:jc w:val="left"/>
              <w:rPr>
                <w:color w:val="000000"/>
                <w:sz w:val="18"/>
                <w:szCs w:val="18"/>
              </w:rPr>
            </w:pPr>
            <w:r>
              <w:rPr>
                <w:iCs/>
                <w:color w:val="000000"/>
                <w:sz w:val="18"/>
                <w:szCs w:val="18"/>
              </w:rPr>
              <w:t>Ageratina Spach</w:t>
            </w:r>
          </w:p>
        </w:tc>
        <w:tc>
          <w:tcPr>
            <w:tcW w:w="2045"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r>
              <w:rPr>
                <w:sz w:val="18"/>
                <w:szCs w:val="18"/>
              </w:rPr>
              <w:t>AGERT</w:t>
            </w:r>
          </w:p>
        </w:tc>
      </w:tr>
      <w:tr w:rsidR="004952D0" w:rsidRPr="001B4917" w:rsidTr="004952D0">
        <w:trPr>
          <w:cantSplit/>
          <w:jc w:val="right"/>
        </w:trPr>
        <w:tc>
          <w:tcPr>
            <w:tcW w:w="1418"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p>
        </w:tc>
        <w:tc>
          <w:tcPr>
            <w:tcW w:w="5670"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ind w:firstLine="454"/>
              <w:jc w:val="left"/>
              <w:rPr>
                <w:color w:val="000000"/>
                <w:sz w:val="18"/>
                <w:szCs w:val="18"/>
              </w:rPr>
            </w:pPr>
            <w:r>
              <w:rPr>
                <w:sz w:val="18"/>
                <w:szCs w:val="18"/>
              </w:rPr>
              <w:t>Asplundianthus R. M. King &amp; H. Rob.</w:t>
            </w:r>
          </w:p>
        </w:tc>
        <w:tc>
          <w:tcPr>
            <w:tcW w:w="2045"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r>
              <w:rPr>
                <w:sz w:val="18"/>
                <w:szCs w:val="18"/>
              </w:rPr>
              <w:t>-</w:t>
            </w:r>
          </w:p>
        </w:tc>
      </w:tr>
      <w:tr w:rsidR="004952D0" w:rsidRPr="001B4917" w:rsidTr="004952D0">
        <w:trPr>
          <w:cantSplit/>
          <w:jc w:val="right"/>
        </w:trPr>
        <w:tc>
          <w:tcPr>
            <w:tcW w:w="1418"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p>
        </w:tc>
        <w:tc>
          <w:tcPr>
            <w:tcW w:w="5670"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ind w:firstLine="454"/>
              <w:jc w:val="left"/>
              <w:rPr>
                <w:color w:val="000000"/>
                <w:sz w:val="18"/>
                <w:szCs w:val="18"/>
              </w:rPr>
            </w:pPr>
            <w:r>
              <w:rPr>
                <w:sz w:val="18"/>
                <w:szCs w:val="18"/>
              </w:rPr>
              <w:t>Bartlettina R. M. King &amp; H. Rob.</w:t>
            </w:r>
          </w:p>
        </w:tc>
        <w:tc>
          <w:tcPr>
            <w:tcW w:w="2045"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r>
              <w:rPr>
                <w:sz w:val="18"/>
                <w:szCs w:val="18"/>
              </w:rPr>
              <w:t>-</w:t>
            </w:r>
          </w:p>
        </w:tc>
      </w:tr>
      <w:tr w:rsidR="004952D0" w:rsidRPr="001B4917" w:rsidTr="004952D0">
        <w:trPr>
          <w:cantSplit/>
          <w:jc w:val="right"/>
        </w:trPr>
        <w:tc>
          <w:tcPr>
            <w:tcW w:w="1418"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p>
        </w:tc>
        <w:tc>
          <w:tcPr>
            <w:tcW w:w="5670"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ind w:firstLine="454"/>
              <w:jc w:val="left"/>
              <w:rPr>
                <w:color w:val="000000"/>
                <w:sz w:val="18"/>
                <w:szCs w:val="18"/>
              </w:rPr>
            </w:pPr>
            <w:r>
              <w:rPr>
                <w:sz w:val="18"/>
                <w:szCs w:val="18"/>
              </w:rPr>
              <w:t>Campuloclinium DC.</w:t>
            </w:r>
          </w:p>
        </w:tc>
        <w:tc>
          <w:tcPr>
            <w:tcW w:w="2045"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r>
              <w:rPr>
                <w:sz w:val="18"/>
                <w:szCs w:val="18"/>
              </w:rPr>
              <w:t>-</w:t>
            </w:r>
          </w:p>
        </w:tc>
      </w:tr>
      <w:tr w:rsidR="004952D0" w:rsidRPr="001B4917" w:rsidTr="004952D0">
        <w:trPr>
          <w:cantSplit/>
          <w:jc w:val="right"/>
        </w:trPr>
        <w:tc>
          <w:tcPr>
            <w:tcW w:w="1418"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p>
        </w:tc>
        <w:tc>
          <w:tcPr>
            <w:tcW w:w="5670"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ind w:firstLine="454"/>
              <w:jc w:val="left"/>
              <w:rPr>
                <w:color w:val="000000"/>
                <w:sz w:val="18"/>
                <w:szCs w:val="18"/>
              </w:rPr>
            </w:pPr>
            <w:r>
              <w:rPr>
                <w:sz w:val="18"/>
                <w:szCs w:val="18"/>
              </w:rPr>
              <w:t>Chromolaena DC.</w:t>
            </w:r>
          </w:p>
        </w:tc>
        <w:tc>
          <w:tcPr>
            <w:tcW w:w="2045"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r>
              <w:rPr>
                <w:sz w:val="18"/>
                <w:szCs w:val="18"/>
              </w:rPr>
              <w:t>-</w:t>
            </w:r>
          </w:p>
        </w:tc>
      </w:tr>
      <w:tr w:rsidR="004952D0" w:rsidRPr="001B4917" w:rsidTr="004952D0">
        <w:trPr>
          <w:cantSplit/>
          <w:jc w:val="right"/>
        </w:trPr>
        <w:tc>
          <w:tcPr>
            <w:tcW w:w="1418"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p>
        </w:tc>
        <w:tc>
          <w:tcPr>
            <w:tcW w:w="5670" w:type="dxa"/>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ind w:firstLine="454"/>
              <w:jc w:val="left"/>
              <w:rPr>
                <w:color w:val="000000"/>
                <w:sz w:val="18"/>
                <w:szCs w:val="18"/>
              </w:rPr>
            </w:pPr>
            <w:r>
              <w:rPr>
                <w:sz w:val="18"/>
                <w:szCs w:val="18"/>
              </w:rPr>
              <w:t>Conoclinium DC.</w:t>
            </w:r>
          </w:p>
        </w:tc>
        <w:tc>
          <w:tcPr>
            <w:tcW w:w="2045"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r>
              <w:rPr>
                <w:sz w:val="18"/>
                <w:szCs w:val="18"/>
              </w:rPr>
              <w:t>-</w:t>
            </w:r>
          </w:p>
        </w:tc>
      </w:tr>
      <w:tr w:rsidR="004952D0" w:rsidRPr="001B4917" w:rsidTr="004952D0">
        <w:trPr>
          <w:cantSplit/>
          <w:jc w:val="right"/>
        </w:trPr>
        <w:tc>
          <w:tcPr>
            <w:tcW w:w="1418"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p>
        </w:tc>
        <w:tc>
          <w:tcPr>
            <w:tcW w:w="5670" w:type="dxa"/>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ind w:firstLine="454"/>
              <w:jc w:val="left"/>
              <w:rPr>
                <w:color w:val="000000"/>
                <w:sz w:val="18"/>
                <w:szCs w:val="18"/>
              </w:rPr>
            </w:pPr>
            <w:r>
              <w:rPr>
                <w:sz w:val="18"/>
                <w:szCs w:val="18"/>
              </w:rPr>
              <w:t>Cronquistianthus R. M. King &amp; H. Rob.</w:t>
            </w:r>
          </w:p>
        </w:tc>
        <w:tc>
          <w:tcPr>
            <w:tcW w:w="2045"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r>
              <w:rPr>
                <w:sz w:val="18"/>
                <w:szCs w:val="18"/>
              </w:rPr>
              <w:t>-</w:t>
            </w:r>
          </w:p>
        </w:tc>
      </w:tr>
      <w:tr w:rsidR="004952D0" w:rsidRPr="001B4917" w:rsidTr="004952D0">
        <w:trPr>
          <w:cantSplit/>
          <w:jc w:val="right"/>
        </w:trPr>
        <w:tc>
          <w:tcPr>
            <w:tcW w:w="1418"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p>
        </w:tc>
        <w:tc>
          <w:tcPr>
            <w:tcW w:w="5670" w:type="dxa"/>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ind w:firstLine="454"/>
              <w:jc w:val="left"/>
              <w:rPr>
                <w:color w:val="000000"/>
                <w:sz w:val="18"/>
                <w:szCs w:val="18"/>
              </w:rPr>
            </w:pPr>
            <w:r>
              <w:rPr>
                <w:iCs/>
                <w:color w:val="000000"/>
                <w:sz w:val="18"/>
                <w:szCs w:val="18"/>
              </w:rPr>
              <w:t>Eutrochium Raf.</w:t>
            </w:r>
          </w:p>
        </w:tc>
        <w:tc>
          <w:tcPr>
            <w:tcW w:w="2045"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r>
              <w:rPr>
                <w:sz w:val="18"/>
                <w:szCs w:val="18"/>
              </w:rPr>
              <w:t>EUTRO</w:t>
            </w:r>
          </w:p>
        </w:tc>
      </w:tr>
      <w:tr w:rsidR="004952D0" w:rsidRPr="001B4917" w:rsidTr="004952D0">
        <w:trPr>
          <w:cantSplit/>
          <w:jc w:val="right"/>
        </w:trPr>
        <w:tc>
          <w:tcPr>
            <w:tcW w:w="1418"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p>
        </w:tc>
        <w:tc>
          <w:tcPr>
            <w:tcW w:w="5670" w:type="dxa"/>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ind w:firstLine="454"/>
              <w:jc w:val="left"/>
              <w:rPr>
                <w:color w:val="000000"/>
                <w:sz w:val="18"/>
                <w:szCs w:val="18"/>
              </w:rPr>
            </w:pPr>
            <w:r>
              <w:rPr>
                <w:sz w:val="18"/>
                <w:szCs w:val="18"/>
              </w:rPr>
              <w:t>Fleischmannia Sch. Bip.</w:t>
            </w:r>
          </w:p>
        </w:tc>
        <w:tc>
          <w:tcPr>
            <w:tcW w:w="2045"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r>
              <w:rPr>
                <w:sz w:val="18"/>
                <w:szCs w:val="18"/>
              </w:rPr>
              <w:t>-</w:t>
            </w:r>
          </w:p>
        </w:tc>
      </w:tr>
      <w:tr w:rsidR="004952D0" w:rsidRPr="001B4917" w:rsidTr="004952D0">
        <w:trPr>
          <w:cantSplit/>
          <w:jc w:val="right"/>
        </w:trPr>
        <w:tc>
          <w:tcPr>
            <w:tcW w:w="1418"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p>
        </w:tc>
        <w:tc>
          <w:tcPr>
            <w:tcW w:w="5670" w:type="dxa"/>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ind w:firstLine="454"/>
              <w:jc w:val="left"/>
              <w:rPr>
                <w:sz w:val="18"/>
                <w:szCs w:val="18"/>
              </w:rPr>
            </w:pPr>
            <w:r>
              <w:rPr>
                <w:sz w:val="18"/>
                <w:szCs w:val="18"/>
              </w:rPr>
              <w:t>Praxelis Cass.</w:t>
            </w:r>
          </w:p>
        </w:tc>
        <w:tc>
          <w:tcPr>
            <w:tcW w:w="2045"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r>
              <w:rPr>
                <w:sz w:val="18"/>
                <w:szCs w:val="18"/>
              </w:rPr>
              <w:t>-</w:t>
            </w:r>
          </w:p>
        </w:tc>
      </w:tr>
      <w:tr w:rsidR="004952D0" w:rsidRPr="001B4917" w:rsidTr="004952D0">
        <w:trPr>
          <w:cantSplit/>
          <w:jc w:val="right"/>
        </w:trPr>
        <w:tc>
          <w:tcPr>
            <w:tcW w:w="1418" w:type="dxa"/>
            <w:gridSpan w:val="2"/>
            <w:tcBorders>
              <w:top w:val="nil"/>
              <w:left w:val="single" w:sz="4" w:space="0" w:color="auto"/>
              <w:bottom w:val="single" w:sz="4" w:space="0" w:color="auto"/>
              <w:right w:val="single" w:sz="4" w:space="0" w:color="auto"/>
            </w:tcBorders>
            <w:shd w:val="clear" w:color="auto" w:fill="auto"/>
          </w:tcPr>
          <w:p w:rsidR="004952D0" w:rsidRPr="001B4917" w:rsidRDefault="004952D0" w:rsidP="004952D0">
            <w:pPr>
              <w:spacing w:before="10" w:after="10"/>
              <w:jc w:val="left"/>
              <w:rPr>
                <w:sz w:val="18"/>
                <w:szCs w:val="18"/>
              </w:rPr>
            </w:pPr>
          </w:p>
        </w:tc>
        <w:tc>
          <w:tcPr>
            <w:tcW w:w="5670" w:type="dxa"/>
            <w:tcBorders>
              <w:top w:val="nil"/>
              <w:left w:val="single" w:sz="4" w:space="0" w:color="auto"/>
              <w:bottom w:val="single" w:sz="4" w:space="0" w:color="auto"/>
              <w:right w:val="single" w:sz="4" w:space="0" w:color="auto"/>
            </w:tcBorders>
            <w:shd w:val="clear" w:color="auto" w:fill="auto"/>
          </w:tcPr>
          <w:p w:rsidR="004952D0" w:rsidRPr="001B4917" w:rsidRDefault="004952D0" w:rsidP="004952D0">
            <w:pPr>
              <w:spacing w:before="10" w:after="10"/>
              <w:ind w:firstLine="454"/>
              <w:jc w:val="left"/>
              <w:rPr>
                <w:color w:val="000000"/>
                <w:sz w:val="18"/>
                <w:szCs w:val="18"/>
              </w:rPr>
            </w:pPr>
            <w:r>
              <w:rPr>
                <w:sz w:val="18"/>
                <w:szCs w:val="18"/>
              </w:rPr>
              <w:t>Viereckia R. M. King &amp; H. Rob.</w:t>
            </w:r>
          </w:p>
        </w:tc>
        <w:tc>
          <w:tcPr>
            <w:tcW w:w="2045" w:type="dxa"/>
            <w:gridSpan w:val="2"/>
            <w:tcBorders>
              <w:top w:val="nil"/>
              <w:left w:val="single" w:sz="4" w:space="0" w:color="auto"/>
              <w:bottom w:val="single" w:sz="4" w:space="0" w:color="auto"/>
              <w:right w:val="single" w:sz="4" w:space="0" w:color="auto"/>
            </w:tcBorders>
            <w:shd w:val="clear" w:color="auto" w:fill="auto"/>
          </w:tcPr>
          <w:p w:rsidR="004952D0" w:rsidRPr="001B4917" w:rsidRDefault="004952D0" w:rsidP="004952D0">
            <w:pPr>
              <w:spacing w:before="10" w:after="10"/>
              <w:jc w:val="left"/>
              <w:rPr>
                <w:sz w:val="18"/>
                <w:szCs w:val="18"/>
              </w:rPr>
            </w:pPr>
            <w:r>
              <w:rPr>
                <w:sz w:val="18"/>
                <w:szCs w:val="18"/>
              </w:rPr>
              <w:t>-</w:t>
            </w:r>
          </w:p>
        </w:tc>
      </w:tr>
    </w:tbl>
    <w:p w:rsidR="004952D0" w:rsidRPr="001B4917" w:rsidRDefault="004952D0" w:rsidP="004952D0"/>
    <w:p w:rsidR="002A712E" w:rsidRDefault="002A712E">
      <w:pPr>
        <w:jc w:val="left"/>
      </w:pPr>
    </w:p>
    <w:p w:rsidR="004952D0" w:rsidRPr="004952D0" w:rsidRDefault="004952D0" w:rsidP="004952D0">
      <w:pPr>
        <w:jc w:val="left"/>
        <w:rPr>
          <w:u w:val="single"/>
        </w:rPr>
      </w:pPr>
      <w:r>
        <w:rPr>
          <w:u w:val="single"/>
        </w:rPr>
        <w:t>„Anmerkungen zu Artikel 30“: zur Anmerkung 1.1.2</w:t>
      </w:r>
      <w:r w:rsidR="003808ED">
        <w:rPr>
          <w:u w:val="single"/>
        </w:rPr>
        <w:t xml:space="preserve"> </w:t>
      </w:r>
      <w:r>
        <w:rPr>
          <w:u w:val="single"/>
        </w:rPr>
        <w:t>e)</w:t>
      </w:r>
    </w:p>
    <w:p w:rsidR="004952D0" w:rsidRDefault="004952D0" w:rsidP="004952D0">
      <w:pPr>
        <w:jc w:val="left"/>
      </w:pPr>
    </w:p>
    <w:p w:rsidR="006F7A6A" w:rsidRDefault="004952D0" w:rsidP="00150F0E">
      <w:pPr>
        <w:ind w:left="567" w:right="567"/>
        <w:rPr>
          <w:sz w:val="18"/>
          <w:szCs w:val="18"/>
        </w:rPr>
      </w:pPr>
      <w:r>
        <w:rPr>
          <w:sz w:val="18"/>
          <w:szCs w:val="18"/>
        </w:rPr>
        <w:t>„e)</w:t>
      </w:r>
      <w:r>
        <w:tab/>
      </w:r>
      <w:r>
        <w:rPr>
          <w:sz w:val="18"/>
          <w:szCs w:val="18"/>
        </w:rPr>
        <w:t>Maßnahmen aus anderen Streitbeilegungsmechanismen</w:t>
      </w:r>
    </w:p>
    <w:p w:rsidR="004952D0" w:rsidRPr="004952D0" w:rsidRDefault="004952D0" w:rsidP="00150F0E">
      <w:pPr>
        <w:ind w:left="567" w:right="567"/>
        <w:rPr>
          <w:sz w:val="18"/>
          <w:szCs w:val="18"/>
        </w:rPr>
      </w:pPr>
      <w:r>
        <w:rPr>
          <w:sz w:val="18"/>
          <w:szCs w:val="18"/>
        </w:rPr>
        <w:t xml:space="preserve"> </w:t>
      </w:r>
    </w:p>
    <w:p w:rsidR="004952D0" w:rsidRPr="004952D0" w:rsidRDefault="004952D0" w:rsidP="00150F0E">
      <w:pPr>
        <w:ind w:left="567" w:right="567"/>
        <w:rPr>
          <w:sz w:val="18"/>
          <w:szCs w:val="18"/>
        </w:rPr>
      </w:pPr>
    </w:p>
    <w:p w:rsidR="004952D0" w:rsidRPr="004952D0" w:rsidRDefault="004952D0" w:rsidP="00150F0E">
      <w:pPr>
        <w:ind w:left="567" w:right="567"/>
        <w:rPr>
          <w:sz w:val="18"/>
          <w:szCs w:val="18"/>
        </w:rPr>
      </w:pPr>
      <w:r>
        <w:rPr>
          <w:sz w:val="18"/>
          <w:szCs w:val="18"/>
        </w:rPr>
        <w:t xml:space="preserve">Zivilrechtliche Maßnahmen (vergleiche a) oben) als Ergebnis alternativer Streitbeilegungsmechanismen (z.B. Schlichtung).“ </w:t>
      </w:r>
    </w:p>
    <w:p w:rsidR="004952D0" w:rsidRDefault="004952D0" w:rsidP="004952D0">
      <w:pPr>
        <w:jc w:val="left"/>
      </w:pPr>
    </w:p>
    <w:p w:rsidR="00724D40" w:rsidRDefault="004952D0" w:rsidP="003808ED">
      <w:r>
        <w:rPr>
          <w:u w:val="single"/>
        </w:rPr>
        <w:t>folgende Fußnote hinzufügen</w:t>
      </w:r>
      <w:r>
        <w:t xml:space="preserve">: „vergleiche </w:t>
      </w:r>
      <w:r>
        <w:rPr>
          <w:szCs w:val="24"/>
        </w:rPr>
        <w:t xml:space="preserve">Dokument UPOV/INF/21 </w:t>
      </w:r>
      <w:r w:rsidR="003808ED">
        <w:rPr>
          <w:szCs w:val="24"/>
        </w:rPr>
        <w:t>‚</w:t>
      </w:r>
      <w:r w:rsidR="003808ED" w:rsidRPr="003808ED">
        <w:rPr>
          <w:szCs w:val="24"/>
        </w:rPr>
        <w:t>Alternative Mechanismen zur Streitbeilegung</w:t>
      </w:r>
      <w:r w:rsidR="003808ED">
        <w:rPr>
          <w:szCs w:val="24"/>
        </w:rPr>
        <w:t>‘</w:t>
      </w:r>
      <w:r>
        <w:rPr>
          <w:szCs w:val="24"/>
        </w:rPr>
        <w:t xml:space="preserve"> unter </w:t>
      </w:r>
      <w:hyperlink r:id="rId10">
        <w:r>
          <w:rPr>
            <w:rStyle w:val="Hyperlink"/>
            <w:szCs w:val="24"/>
          </w:rPr>
          <w:t>http://www.upov.int/information_documents/en/</w:t>
        </w:r>
      </w:hyperlink>
      <w:r w:rsidR="003808ED">
        <w:t>“</w:t>
      </w:r>
    </w:p>
    <w:p w:rsidR="004952D0" w:rsidRDefault="004952D0" w:rsidP="004952D0">
      <w:pPr>
        <w:jc w:val="left"/>
      </w:pPr>
    </w:p>
    <w:p w:rsidR="00B4208E" w:rsidRDefault="00B4208E" w:rsidP="004952D0">
      <w:pPr>
        <w:jc w:val="left"/>
      </w:pPr>
    </w:p>
    <w:p w:rsidR="000A68B4" w:rsidRPr="000A68B4" w:rsidRDefault="000A68B4" w:rsidP="000A68B4"/>
    <w:p w:rsidR="006B17D2" w:rsidRPr="00C5280D" w:rsidRDefault="0061555F" w:rsidP="005F05B6">
      <w:pPr>
        <w:jc w:val="right"/>
      </w:pPr>
      <w:r>
        <w:t>[Ende der Anlage und des Dokuments]</w:t>
      </w:r>
    </w:p>
    <w:sectPr w:rsidR="006B17D2" w:rsidRPr="00C5280D" w:rsidSect="0086552C">
      <w:headerReference w:type="default" r:id="rId11"/>
      <w:foot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FC" w:rsidRDefault="003C66FC" w:rsidP="006655D3">
      <w:r>
        <w:separator/>
      </w:r>
    </w:p>
    <w:p w:rsidR="003C66FC" w:rsidRDefault="003C66FC" w:rsidP="006655D3"/>
    <w:p w:rsidR="003C66FC" w:rsidRDefault="003C66FC" w:rsidP="006655D3"/>
  </w:endnote>
  <w:endnote w:type="continuationSeparator" w:id="0">
    <w:p w:rsidR="003C66FC" w:rsidRDefault="003C66FC" w:rsidP="006655D3">
      <w:r>
        <w:separator/>
      </w:r>
    </w:p>
    <w:p w:rsidR="003C66FC" w:rsidRPr="00560A6D" w:rsidRDefault="003C66FC">
      <w:pPr>
        <w:pStyle w:val="Footer"/>
        <w:spacing w:after="60"/>
        <w:rPr>
          <w:sz w:val="18"/>
          <w:lang w:val="fr-FR"/>
        </w:rPr>
      </w:pPr>
      <w:r w:rsidRPr="00560A6D">
        <w:rPr>
          <w:sz w:val="18"/>
          <w:lang w:val="fr-FR"/>
        </w:rPr>
        <w:t>[Suite de la note de la page précédente]</w:t>
      </w:r>
    </w:p>
    <w:p w:rsidR="003C66FC" w:rsidRPr="00560A6D" w:rsidRDefault="003C66FC" w:rsidP="006655D3">
      <w:pPr>
        <w:rPr>
          <w:lang w:val="fr-FR"/>
        </w:rPr>
      </w:pPr>
    </w:p>
    <w:p w:rsidR="003C66FC" w:rsidRPr="00560A6D" w:rsidRDefault="003C66FC" w:rsidP="006655D3">
      <w:pPr>
        <w:rPr>
          <w:lang w:val="fr-FR"/>
        </w:rPr>
      </w:pPr>
    </w:p>
  </w:endnote>
  <w:endnote w:type="continuationNotice" w:id="1">
    <w:p w:rsidR="003C66FC" w:rsidRPr="00560A6D" w:rsidRDefault="003C66FC" w:rsidP="006655D3">
      <w:pPr>
        <w:rPr>
          <w:lang w:val="fr-FR"/>
        </w:rPr>
      </w:pPr>
      <w:r w:rsidRPr="00560A6D">
        <w:rPr>
          <w:lang w:val="fr-FR"/>
        </w:rPr>
        <w:t>[Suite de la note page suivante]</w:t>
      </w:r>
    </w:p>
    <w:p w:rsidR="003C66FC" w:rsidRPr="00560A6D" w:rsidRDefault="003C66FC" w:rsidP="006655D3">
      <w:pPr>
        <w:rPr>
          <w:lang w:val="fr-FR"/>
        </w:rPr>
      </w:pPr>
    </w:p>
    <w:p w:rsidR="003C66FC" w:rsidRPr="00560A6D" w:rsidRDefault="003C66F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6FC" w:rsidRPr="004F59EE" w:rsidRDefault="003C66FC" w:rsidP="004F5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FC" w:rsidRDefault="003C66FC" w:rsidP="00C95616">
      <w:pPr>
        <w:spacing w:before="120"/>
      </w:pPr>
      <w:r>
        <w:separator/>
      </w:r>
    </w:p>
  </w:footnote>
  <w:footnote w:type="continuationSeparator" w:id="0">
    <w:p w:rsidR="003C66FC" w:rsidRDefault="003C66FC" w:rsidP="006655D3">
      <w:r>
        <w:separator/>
      </w:r>
    </w:p>
  </w:footnote>
  <w:footnote w:type="continuationNotice" w:id="1">
    <w:p w:rsidR="003C66FC" w:rsidRPr="00A56FAA" w:rsidRDefault="003C66FC"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6FC" w:rsidRDefault="003C66FC">
    <w:pPr>
      <w:jc w:val="center"/>
    </w:pPr>
    <w:r>
      <w:t>C/47/13</w:t>
    </w:r>
  </w:p>
  <w:p w:rsidR="003C66FC" w:rsidRDefault="003C66FC">
    <w:pPr>
      <w:jc w:val="center"/>
    </w:pPr>
    <w:r>
      <w:t xml:space="preserve">Seite </w:t>
    </w:r>
    <w:r>
      <w:fldChar w:fldCharType="begin"/>
    </w:r>
    <w:r>
      <w:instrText xml:space="preserve"> PAGE  \* MERGEFORMAT </w:instrText>
    </w:r>
    <w:r>
      <w:fldChar w:fldCharType="separate"/>
    </w:r>
    <w:r w:rsidR="00640A34">
      <w:rPr>
        <w:noProof/>
      </w:rPr>
      <w:t>1</w:t>
    </w:r>
    <w:r>
      <w:fldChar w:fldCharType="end"/>
    </w:r>
  </w:p>
  <w:p w:rsidR="003C66FC" w:rsidRDefault="003C66FC">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6FC" w:rsidRPr="00C5280D" w:rsidRDefault="003C66FC" w:rsidP="00EB048E">
    <w:pPr>
      <w:pStyle w:val="Header"/>
      <w:rPr>
        <w:rStyle w:val="PageNumber"/>
      </w:rPr>
    </w:pPr>
    <w:r>
      <w:rPr>
        <w:rStyle w:val="PageNumber"/>
      </w:rPr>
      <w:t>C/47/13</w:t>
    </w:r>
  </w:p>
  <w:p w:rsidR="003C66FC" w:rsidRPr="00C5280D" w:rsidRDefault="003C66FC" w:rsidP="00EB048E">
    <w:pPr>
      <w:pStyle w:val="Header"/>
    </w:pPr>
    <w:r>
      <w:t xml:space="preserve">Anlage, 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40A34">
      <w:rPr>
        <w:rStyle w:val="PageNumber"/>
        <w:noProof/>
        <w:lang w:val="en-US"/>
      </w:rPr>
      <w:t>1</w:t>
    </w:r>
    <w:r w:rsidRPr="00C5280D">
      <w:rPr>
        <w:rStyle w:val="PageNumber"/>
        <w:lang w:val="en-US"/>
      </w:rPr>
      <w:fldChar w:fldCharType="end"/>
    </w:r>
  </w:p>
  <w:p w:rsidR="003C66FC" w:rsidRPr="00C5280D" w:rsidRDefault="003C66F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33597"/>
    <w:multiLevelType w:val="hybridMultilevel"/>
    <w:tmpl w:val="BC546B74"/>
    <w:lvl w:ilvl="0" w:tplc="4B7C6686">
      <w:start w:val="1"/>
      <w:numFmt w:val="lowerLetter"/>
      <w:lvlText w:val="(%1)"/>
      <w:lvlJc w:val="left"/>
      <w:pPr>
        <w:tabs>
          <w:tab w:val="num" w:pos="4896"/>
        </w:tabs>
        <w:ind w:left="4896" w:hanging="36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0F"/>
    <w:rsid w:val="00010CF3"/>
    <w:rsid w:val="00011E27"/>
    <w:rsid w:val="000148BC"/>
    <w:rsid w:val="00024AB8"/>
    <w:rsid w:val="00030854"/>
    <w:rsid w:val="00036028"/>
    <w:rsid w:val="00044642"/>
    <w:rsid w:val="000446B9"/>
    <w:rsid w:val="00047E21"/>
    <w:rsid w:val="00067C72"/>
    <w:rsid w:val="00085505"/>
    <w:rsid w:val="00095BF5"/>
    <w:rsid w:val="000A4BA0"/>
    <w:rsid w:val="000A68B4"/>
    <w:rsid w:val="000A7D18"/>
    <w:rsid w:val="000C7021"/>
    <w:rsid w:val="000D6BBC"/>
    <w:rsid w:val="000D7780"/>
    <w:rsid w:val="000E791D"/>
    <w:rsid w:val="00105929"/>
    <w:rsid w:val="001131D5"/>
    <w:rsid w:val="00137929"/>
    <w:rsid w:val="00141DB8"/>
    <w:rsid w:val="00150F0E"/>
    <w:rsid w:val="0017474A"/>
    <w:rsid w:val="001758C6"/>
    <w:rsid w:val="00182B99"/>
    <w:rsid w:val="001A0080"/>
    <w:rsid w:val="001E0CF9"/>
    <w:rsid w:val="00205AE1"/>
    <w:rsid w:val="0021332C"/>
    <w:rsid w:val="00213982"/>
    <w:rsid w:val="0024416D"/>
    <w:rsid w:val="002800A0"/>
    <w:rsid w:val="002801B3"/>
    <w:rsid w:val="0028098F"/>
    <w:rsid w:val="00281060"/>
    <w:rsid w:val="002940E8"/>
    <w:rsid w:val="002A6E50"/>
    <w:rsid w:val="002A712E"/>
    <w:rsid w:val="002C256A"/>
    <w:rsid w:val="002F7E11"/>
    <w:rsid w:val="00305A7F"/>
    <w:rsid w:val="00315280"/>
    <w:rsid w:val="003152FE"/>
    <w:rsid w:val="00320479"/>
    <w:rsid w:val="00327436"/>
    <w:rsid w:val="0033507D"/>
    <w:rsid w:val="00344BD6"/>
    <w:rsid w:val="0035528D"/>
    <w:rsid w:val="00361821"/>
    <w:rsid w:val="003808ED"/>
    <w:rsid w:val="003A457A"/>
    <w:rsid w:val="003C66FC"/>
    <w:rsid w:val="003D227C"/>
    <w:rsid w:val="003D2B4D"/>
    <w:rsid w:val="00444A88"/>
    <w:rsid w:val="00474DA4"/>
    <w:rsid w:val="00476B4D"/>
    <w:rsid w:val="004805FA"/>
    <w:rsid w:val="004952D0"/>
    <w:rsid w:val="004B68CD"/>
    <w:rsid w:val="004D047D"/>
    <w:rsid w:val="004D759E"/>
    <w:rsid w:val="004F305A"/>
    <w:rsid w:val="004F59EE"/>
    <w:rsid w:val="00512164"/>
    <w:rsid w:val="00520297"/>
    <w:rsid w:val="00523DA4"/>
    <w:rsid w:val="005338F9"/>
    <w:rsid w:val="0054281C"/>
    <w:rsid w:val="0054517C"/>
    <w:rsid w:val="0055268D"/>
    <w:rsid w:val="00560A6D"/>
    <w:rsid w:val="00576BE4"/>
    <w:rsid w:val="005A400A"/>
    <w:rsid w:val="005C33A7"/>
    <w:rsid w:val="005E17D4"/>
    <w:rsid w:val="005E6F5D"/>
    <w:rsid w:val="005F05B6"/>
    <w:rsid w:val="006015C2"/>
    <w:rsid w:val="00612379"/>
    <w:rsid w:val="0061555F"/>
    <w:rsid w:val="00640A34"/>
    <w:rsid w:val="00641200"/>
    <w:rsid w:val="00645894"/>
    <w:rsid w:val="0065207B"/>
    <w:rsid w:val="006655D3"/>
    <w:rsid w:val="00667F6D"/>
    <w:rsid w:val="00687EB4"/>
    <w:rsid w:val="006B17D2"/>
    <w:rsid w:val="006C224E"/>
    <w:rsid w:val="006D780A"/>
    <w:rsid w:val="006E029B"/>
    <w:rsid w:val="006F7A6A"/>
    <w:rsid w:val="00724D40"/>
    <w:rsid w:val="00732DEC"/>
    <w:rsid w:val="00735BD5"/>
    <w:rsid w:val="007556F6"/>
    <w:rsid w:val="00760EEF"/>
    <w:rsid w:val="0076776E"/>
    <w:rsid w:val="00777EE5"/>
    <w:rsid w:val="00784836"/>
    <w:rsid w:val="0079023E"/>
    <w:rsid w:val="0079115F"/>
    <w:rsid w:val="007A2854"/>
    <w:rsid w:val="007D0B9D"/>
    <w:rsid w:val="007D19B0"/>
    <w:rsid w:val="007F498F"/>
    <w:rsid w:val="00800B85"/>
    <w:rsid w:val="0080679D"/>
    <w:rsid w:val="008108B0"/>
    <w:rsid w:val="00811B20"/>
    <w:rsid w:val="0082296E"/>
    <w:rsid w:val="00824099"/>
    <w:rsid w:val="0085333F"/>
    <w:rsid w:val="0086552C"/>
    <w:rsid w:val="00867AC1"/>
    <w:rsid w:val="00890D6D"/>
    <w:rsid w:val="00894AB0"/>
    <w:rsid w:val="008A3C6D"/>
    <w:rsid w:val="008A743F"/>
    <w:rsid w:val="008C0970"/>
    <w:rsid w:val="008D2CF7"/>
    <w:rsid w:val="008D5CB8"/>
    <w:rsid w:val="008E6FB7"/>
    <w:rsid w:val="00900C26"/>
    <w:rsid w:val="0090197F"/>
    <w:rsid w:val="00901A3F"/>
    <w:rsid w:val="00906DDC"/>
    <w:rsid w:val="00912E4C"/>
    <w:rsid w:val="0092220D"/>
    <w:rsid w:val="00934E09"/>
    <w:rsid w:val="00936253"/>
    <w:rsid w:val="00952DD4"/>
    <w:rsid w:val="00970FED"/>
    <w:rsid w:val="00981C23"/>
    <w:rsid w:val="00997029"/>
    <w:rsid w:val="009B3CB2"/>
    <w:rsid w:val="009B460F"/>
    <w:rsid w:val="009D690D"/>
    <w:rsid w:val="009E3722"/>
    <w:rsid w:val="009E65B6"/>
    <w:rsid w:val="009F7D0F"/>
    <w:rsid w:val="00A07121"/>
    <w:rsid w:val="00A42AC3"/>
    <w:rsid w:val="00A430CF"/>
    <w:rsid w:val="00A54309"/>
    <w:rsid w:val="00A56FAA"/>
    <w:rsid w:val="00A90253"/>
    <w:rsid w:val="00AB2B93"/>
    <w:rsid w:val="00AB7E5B"/>
    <w:rsid w:val="00AE0EF1"/>
    <w:rsid w:val="00AE1FF8"/>
    <w:rsid w:val="00AE2937"/>
    <w:rsid w:val="00B07301"/>
    <w:rsid w:val="00B224DE"/>
    <w:rsid w:val="00B4208E"/>
    <w:rsid w:val="00B464FE"/>
    <w:rsid w:val="00B46575"/>
    <w:rsid w:val="00B47965"/>
    <w:rsid w:val="00B84BBD"/>
    <w:rsid w:val="00B971AD"/>
    <w:rsid w:val="00BA43FB"/>
    <w:rsid w:val="00BC1028"/>
    <w:rsid w:val="00BC127D"/>
    <w:rsid w:val="00BC1FE6"/>
    <w:rsid w:val="00C061B6"/>
    <w:rsid w:val="00C07DFC"/>
    <w:rsid w:val="00C2446C"/>
    <w:rsid w:val="00C334EF"/>
    <w:rsid w:val="00C34056"/>
    <w:rsid w:val="00C36AE5"/>
    <w:rsid w:val="00C41F17"/>
    <w:rsid w:val="00C51D44"/>
    <w:rsid w:val="00C5280D"/>
    <w:rsid w:val="00C5791C"/>
    <w:rsid w:val="00C651CE"/>
    <w:rsid w:val="00C66290"/>
    <w:rsid w:val="00C72B7A"/>
    <w:rsid w:val="00C95616"/>
    <w:rsid w:val="00C973F2"/>
    <w:rsid w:val="00CA304C"/>
    <w:rsid w:val="00CA774A"/>
    <w:rsid w:val="00CC11B0"/>
    <w:rsid w:val="00CF7E36"/>
    <w:rsid w:val="00D3708D"/>
    <w:rsid w:val="00D40426"/>
    <w:rsid w:val="00D57C96"/>
    <w:rsid w:val="00D84A8A"/>
    <w:rsid w:val="00D91203"/>
    <w:rsid w:val="00D95174"/>
    <w:rsid w:val="00DA6F36"/>
    <w:rsid w:val="00DB596E"/>
    <w:rsid w:val="00DC00EA"/>
    <w:rsid w:val="00DC08F7"/>
    <w:rsid w:val="00E32F7E"/>
    <w:rsid w:val="00E34F77"/>
    <w:rsid w:val="00E41C34"/>
    <w:rsid w:val="00E44144"/>
    <w:rsid w:val="00E72D49"/>
    <w:rsid w:val="00E7593C"/>
    <w:rsid w:val="00E7678A"/>
    <w:rsid w:val="00E935F1"/>
    <w:rsid w:val="00E94A81"/>
    <w:rsid w:val="00EA1FFB"/>
    <w:rsid w:val="00EA62F5"/>
    <w:rsid w:val="00EB048E"/>
    <w:rsid w:val="00EE34DF"/>
    <w:rsid w:val="00EF2F89"/>
    <w:rsid w:val="00F1237A"/>
    <w:rsid w:val="00F12DFF"/>
    <w:rsid w:val="00F22CBD"/>
    <w:rsid w:val="00F45372"/>
    <w:rsid w:val="00F4779D"/>
    <w:rsid w:val="00F560F7"/>
    <w:rsid w:val="00F56C99"/>
    <w:rsid w:val="00F6334D"/>
    <w:rsid w:val="00F667EC"/>
    <w:rsid w:val="00F80602"/>
    <w:rsid w:val="00F937AF"/>
    <w:rsid w:val="00FA49AB"/>
    <w:rsid w:val="00FB7C19"/>
    <w:rsid w:val="00FD6B79"/>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Title" w:qFormat="1"/>
    <w:lsdException w:name="Sub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rsid w:val="0033507D"/>
    <w:pPr>
      <w:keepNext/>
      <w:ind w:left="567"/>
      <w:jc w:val="both"/>
      <w:outlineLvl w:val="3"/>
    </w:pPr>
    <w:rPr>
      <w:rFonts w:ascii="Arial" w:hAnsi="Arial"/>
      <w:i/>
    </w:rPr>
  </w:style>
  <w:style w:type="paragraph" w:styleId="Heading5">
    <w:name w:val="heading 5"/>
    <w:next w:val="Normal"/>
    <w:autoRedefine/>
    <w:rsid w:val="0033507D"/>
    <w:pPr>
      <w:keepNext/>
      <w:ind w:left="1134" w:hanging="567"/>
      <w:jc w:val="both"/>
      <w:outlineLvl w:val="4"/>
    </w:pPr>
    <w:rPr>
      <w:rFonts w:ascii="Arial" w:hAnsi="Arial"/>
      <w:sz w:val="18"/>
      <w:szCs w:val="18"/>
    </w:rPr>
  </w:style>
  <w:style w:type="paragraph" w:styleId="Heading9">
    <w:name w:val="heading 9"/>
    <w:basedOn w:val="Normal"/>
    <w:next w:val="Normal"/>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B464FE"/>
    <w:pPr>
      <w:tabs>
        <w:tab w:val="left" w:pos="5387"/>
      </w:tabs>
      <w:ind w:left="4820"/>
    </w:pPr>
    <w:rPr>
      <w:rFonts w:cs="Arial"/>
      <w:i/>
      <w:snapToGrid w:val="0"/>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B464FE"/>
    <w:rPr>
      <w:rFonts w:ascii="Arial" w:hAnsi="Arial" w:cs="Arial"/>
      <w:i/>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Title" w:qFormat="1"/>
    <w:lsdException w:name="Sub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rsid w:val="0033507D"/>
    <w:pPr>
      <w:keepNext/>
      <w:ind w:left="567"/>
      <w:jc w:val="both"/>
      <w:outlineLvl w:val="3"/>
    </w:pPr>
    <w:rPr>
      <w:rFonts w:ascii="Arial" w:hAnsi="Arial"/>
      <w:i/>
    </w:rPr>
  </w:style>
  <w:style w:type="paragraph" w:styleId="Heading5">
    <w:name w:val="heading 5"/>
    <w:next w:val="Normal"/>
    <w:autoRedefine/>
    <w:rsid w:val="0033507D"/>
    <w:pPr>
      <w:keepNext/>
      <w:ind w:left="1134" w:hanging="567"/>
      <w:jc w:val="both"/>
      <w:outlineLvl w:val="4"/>
    </w:pPr>
    <w:rPr>
      <w:rFonts w:ascii="Arial" w:hAnsi="Arial"/>
      <w:sz w:val="18"/>
      <w:szCs w:val="18"/>
    </w:rPr>
  </w:style>
  <w:style w:type="paragraph" w:styleId="Heading9">
    <w:name w:val="heading 9"/>
    <w:basedOn w:val="Normal"/>
    <w:next w:val="Normal"/>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B464FE"/>
    <w:pPr>
      <w:tabs>
        <w:tab w:val="left" w:pos="5387"/>
      </w:tabs>
      <w:ind w:left="4820"/>
    </w:pPr>
    <w:rPr>
      <w:rFonts w:cs="Arial"/>
      <w:i/>
      <w:snapToGrid w:val="0"/>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B464FE"/>
    <w:rPr>
      <w:rFonts w:ascii="Arial" w:hAnsi="Arial" w:cs="Arial"/>
      <w: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upov.int/information_documents/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C_47_EN.dotx</Template>
  <TotalTime>26</TotalTime>
  <Pages>5</Pages>
  <Words>1841</Words>
  <Characters>10494</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TC/48 ENGLISH</vt:lpstr>
      <vt:lpstr>template TC/48 ENGLISH</vt:lpstr>
    </vt:vector>
  </TitlesOfParts>
  <Company>UPOV</Company>
  <LinksUpToDate>false</LinksUpToDate>
  <CharactersWithSpaces>12311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SANCHEZ-VIZCAINO GOMEZ Rosa Maria</cp:lastModifiedBy>
  <cp:revision>14</cp:revision>
  <cp:lastPrinted>2013-10-02T10:03:00Z</cp:lastPrinted>
  <dcterms:created xsi:type="dcterms:W3CDTF">2013-09-27T17:44:00Z</dcterms:created>
  <dcterms:modified xsi:type="dcterms:W3CDTF">2013-10-02T10:03:00Z</dcterms:modified>
</cp:coreProperties>
</file>