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A161A" w:rsidRPr="00DB297C" w:rsidTr="0050298B">
        <w:trPr>
          <w:trHeight w:val="1760"/>
        </w:trPr>
        <w:tc>
          <w:tcPr>
            <w:tcW w:w="4243" w:type="dxa"/>
          </w:tcPr>
          <w:p w:rsidR="00EA161A" w:rsidRPr="00DB297C" w:rsidRDefault="00EA161A" w:rsidP="0050298B">
            <w:bookmarkStart w:id="0" w:name="_Toc387757149"/>
            <w:bookmarkStart w:id="1" w:name="_Toc404931496"/>
            <w:bookmarkStart w:id="2" w:name="_Toc404931550"/>
            <w:bookmarkStart w:id="3" w:name="_Toc404931721"/>
            <w:bookmarkStart w:id="4" w:name="_Toc404932170"/>
            <w:bookmarkStart w:id="5" w:name="_Toc404935671"/>
            <w:bookmarkStart w:id="6" w:name="_Toc410717532"/>
            <w:bookmarkStart w:id="7" w:name="_Toc427161605"/>
            <w:bookmarkStart w:id="8" w:name="_GoBack"/>
            <w:bookmarkEnd w:id="8"/>
          </w:p>
        </w:tc>
        <w:tc>
          <w:tcPr>
            <w:tcW w:w="1646" w:type="dxa"/>
            <w:vAlign w:val="center"/>
          </w:tcPr>
          <w:p w:rsidR="00EA161A" w:rsidRPr="00DB297C" w:rsidRDefault="00EA161A" w:rsidP="0050298B">
            <w:pPr>
              <w:pStyle w:val="LogoUPOV"/>
            </w:pPr>
            <w:r w:rsidRPr="00DB297C">
              <w:rPr>
                <w:noProof/>
                <w:lang w:val="en-US"/>
              </w:rPr>
              <w:drawing>
                <wp:inline distT="0" distB="0" distL="0" distR="0" wp14:anchorId="09D183F0" wp14:editId="45BF4B8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D6768" w:rsidRPr="00DB297C" w:rsidRDefault="00EA161A" w:rsidP="0050298B">
            <w:pPr>
              <w:pStyle w:val="Lettrine"/>
            </w:pPr>
            <w:r w:rsidRPr="00DB297C">
              <w:t>F</w:t>
            </w:r>
          </w:p>
          <w:p w:rsidR="00BD6768" w:rsidRPr="00DB297C" w:rsidRDefault="00EA161A" w:rsidP="0050298B">
            <w:pPr>
              <w:pStyle w:val="Docoriginal"/>
              <w:jc w:val="left"/>
            </w:pPr>
            <w:r w:rsidRPr="00DB297C">
              <w:t>CAJ/73/</w:t>
            </w:r>
            <w:bookmarkStart w:id="9" w:name="Code"/>
            <w:bookmarkEnd w:id="9"/>
            <w:r w:rsidRPr="00DB297C">
              <w:t>3</w:t>
            </w:r>
          </w:p>
          <w:p w:rsidR="00BD6768" w:rsidRPr="00DB297C" w:rsidRDefault="00EA161A" w:rsidP="0050298B">
            <w:pPr>
              <w:pStyle w:val="Docoriginal"/>
              <w:jc w:val="left"/>
            </w:pPr>
            <w:r w:rsidRPr="00DB297C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41185C" w:rsidRPr="00DB297C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DB297C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DB297C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0" w:name="Original"/>
            <w:bookmarkEnd w:id="10"/>
            <w:r w:rsidRPr="00DB297C">
              <w:rPr>
                <w:b w:val="0"/>
                <w:spacing w:val="0"/>
              </w:rPr>
              <w:t>anglais</w:t>
            </w:r>
          </w:p>
          <w:p w:rsidR="00EA161A" w:rsidRPr="00DB297C" w:rsidRDefault="00EA161A" w:rsidP="006A4C42">
            <w:pPr>
              <w:pStyle w:val="Docoriginal"/>
              <w:jc w:val="left"/>
            </w:pPr>
            <w:r w:rsidRPr="00DB297C">
              <w:rPr>
                <w:spacing w:val="0"/>
              </w:rPr>
              <w:t>DATE</w:t>
            </w:r>
            <w:r w:rsidR="0041185C" w:rsidRPr="00DB297C">
              <w:rPr>
                <w:spacing w:val="0"/>
              </w:rPr>
              <w:t> </w:t>
            </w:r>
            <w:r w:rsidRPr="00DB297C">
              <w:rPr>
                <w:spacing w:val="0"/>
              </w:rPr>
              <w:t>:</w:t>
            </w:r>
            <w:r w:rsidRPr="00DB297C">
              <w:rPr>
                <w:b w:val="0"/>
                <w:spacing w:val="0"/>
              </w:rPr>
              <w:t xml:space="preserve"> </w:t>
            </w:r>
            <w:bookmarkStart w:id="11" w:name="Date"/>
            <w:bookmarkEnd w:id="11"/>
            <w:r w:rsidR="006A4C42">
              <w:rPr>
                <w:b w:val="0"/>
                <w:spacing w:val="0"/>
              </w:rPr>
              <w:t>11</w:t>
            </w:r>
            <w:r w:rsidR="00D13BD0" w:rsidRPr="00DB297C">
              <w:rPr>
                <w:rStyle w:val="StyleDocoriginalNotBold1"/>
                <w:spacing w:val="0"/>
                <w:lang w:val="fr-FR"/>
              </w:rPr>
              <w:t> octobre 20</w:t>
            </w:r>
            <w:r w:rsidRPr="00DB297C">
              <w:rPr>
                <w:rStyle w:val="StyleDocoriginalNotBold1"/>
                <w:spacing w:val="0"/>
                <w:lang w:val="fr-FR"/>
              </w:rPr>
              <w:t>16</w:t>
            </w:r>
          </w:p>
        </w:tc>
      </w:tr>
      <w:tr w:rsidR="00EA161A" w:rsidRPr="00DB297C" w:rsidTr="0050298B">
        <w:tc>
          <w:tcPr>
            <w:tcW w:w="10131" w:type="dxa"/>
            <w:gridSpan w:val="3"/>
          </w:tcPr>
          <w:p w:rsidR="00EA161A" w:rsidRPr="00DB297C" w:rsidRDefault="00EA161A" w:rsidP="0050298B">
            <w:pPr>
              <w:pStyle w:val="upove"/>
              <w:rPr>
                <w:sz w:val="28"/>
              </w:rPr>
            </w:pPr>
            <w:r w:rsidRPr="00DB297C">
              <w:rPr>
                <w:spacing w:val="6"/>
              </w:rPr>
              <w:t>UNION INTERNATIONALE POUR LA PROTECTION DES OBTENTIONS VÉGÉTALES</w:t>
            </w:r>
          </w:p>
        </w:tc>
      </w:tr>
      <w:tr w:rsidR="00EA161A" w:rsidRPr="00DB297C" w:rsidTr="0050298B">
        <w:tc>
          <w:tcPr>
            <w:tcW w:w="10131" w:type="dxa"/>
            <w:gridSpan w:val="3"/>
          </w:tcPr>
          <w:p w:rsidR="00EA161A" w:rsidRPr="00DB297C" w:rsidRDefault="00EA161A" w:rsidP="0050298B">
            <w:pPr>
              <w:pStyle w:val="Country"/>
            </w:pPr>
            <w:r w:rsidRPr="00DB297C">
              <w:t>Genève</w:t>
            </w:r>
          </w:p>
        </w:tc>
      </w:tr>
    </w:tbl>
    <w:p w:rsidR="00BD6768" w:rsidRPr="00DB297C" w:rsidRDefault="00EA161A" w:rsidP="00EA161A">
      <w:pPr>
        <w:pStyle w:val="Sessiontc"/>
      </w:pPr>
      <w:r w:rsidRPr="00DB297C">
        <w:t>Comité administratif et juridique</w:t>
      </w:r>
    </w:p>
    <w:p w:rsidR="00BD6768" w:rsidRPr="00DB297C" w:rsidRDefault="00EA161A" w:rsidP="00EA161A">
      <w:pPr>
        <w:pStyle w:val="Sessiontcplacedate"/>
      </w:pPr>
      <w:r w:rsidRPr="00DB297C">
        <w:t>Soixante</w:t>
      </w:r>
      <w:r w:rsidR="0012617C">
        <w:noBreakHyphen/>
      </w:r>
      <w:r w:rsidRPr="00DB297C">
        <w:t>treizième</w:t>
      </w:r>
      <w:r w:rsidR="0041185C" w:rsidRPr="00DB297C">
        <w:t> </w:t>
      </w:r>
      <w:r w:rsidRPr="00DB297C">
        <w:t>session</w:t>
      </w:r>
      <w:r w:rsidRPr="00DB297C">
        <w:br/>
        <w:t>Genève, 2</w:t>
      </w:r>
      <w:r w:rsidR="00D13BD0" w:rsidRPr="00DB297C">
        <w:t>5 octobre 20</w:t>
      </w:r>
      <w:r w:rsidRPr="00DB297C">
        <w:t>16</w:t>
      </w:r>
    </w:p>
    <w:p w:rsidR="00BD6768" w:rsidRPr="00DB297C" w:rsidRDefault="0012617C" w:rsidP="00EA161A">
      <w:pPr>
        <w:pStyle w:val="Titleofdoc0"/>
      </w:pPr>
      <w:bookmarkStart w:id="12" w:name="TitleOfDoc"/>
      <w:bookmarkEnd w:id="12"/>
      <w:r>
        <w:t>D</w:t>
      </w:r>
      <w:r w:rsidR="00EA161A" w:rsidRPr="00DB297C">
        <w:t>énominations variétales</w:t>
      </w:r>
    </w:p>
    <w:p w:rsidR="00BD6768" w:rsidRPr="00DB297C" w:rsidRDefault="00EA161A" w:rsidP="00EA161A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</w:rPr>
      </w:pPr>
      <w:bookmarkStart w:id="13" w:name="Prepared"/>
      <w:bookmarkEnd w:id="13"/>
      <w:r w:rsidRPr="00DB297C">
        <w:t>Document établi par le Bureau de l</w:t>
      </w:r>
      <w:r w:rsidR="00D13BD0" w:rsidRPr="00DB297C">
        <w:t>’</w:t>
      </w:r>
      <w:r w:rsidRPr="00DB297C">
        <w:t>Union</w:t>
      </w:r>
      <w:r w:rsidRPr="00DB297C">
        <w:br/>
      </w:r>
      <w:r w:rsidRPr="00DB297C">
        <w:br/>
      </w:r>
      <w:r w:rsidRPr="00DB297C">
        <w:rPr>
          <w:color w:val="A6A6A6" w:themeColor="background1" w:themeShade="A6"/>
        </w:rPr>
        <w:t>Avertissement : le présent document ne représente pas les principes ou les orientations de l</w:t>
      </w:r>
      <w:r w:rsidR="00D13BD0" w:rsidRPr="00DB297C">
        <w:rPr>
          <w:color w:val="A6A6A6" w:themeColor="background1" w:themeShade="A6"/>
        </w:rPr>
        <w:t>’</w:t>
      </w:r>
      <w:r w:rsidRPr="00DB297C">
        <w:rPr>
          <w:color w:val="A6A6A6" w:themeColor="background1" w:themeShade="A6"/>
        </w:rPr>
        <w:t>UPOV</w:t>
      </w:r>
    </w:p>
    <w:p w:rsidR="00BD6768" w:rsidRPr="00B14910" w:rsidRDefault="00BD6768" w:rsidP="00B14910">
      <w:pPr>
        <w:pStyle w:val="Heading1"/>
        <w:rPr>
          <w:lang w:val="fr-FR" w:eastAsia="ja-JP"/>
        </w:rPr>
      </w:pPr>
      <w:bookmarkStart w:id="14" w:name="_Toc464480196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B14910">
        <w:rPr>
          <w:lang w:val="fr-FR" w:eastAsia="ja-JP"/>
        </w:rPr>
        <w:t>RÉSUMÉ</w:t>
      </w:r>
      <w:bookmarkEnd w:id="14"/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Pr="00B14910" w:rsidRDefault="00B734CF" w:rsidP="00B14910">
      <w:pPr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="00E10886" w:rsidRPr="00B14910">
        <w:rPr>
          <w:lang w:eastAsia="ja-JP"/>
        </w:rPr>
        <w:tab/>
      </w:r>
      <w:r w:rsidR="00BD6768" w:rsidRPr="00B14910">
        <w:rPr>
          <w:lang w:eastAsia="ja-JP"/>
        </w:rPr>
        <w:t>Le présent document a pour objet de faire rapport sur les travaux concernant la possibilité d</w:t>
      </w:r>
      <w:r w:rsidR="00D13BD0" w:rsidRPr="00B14910">
        <w:rPr>
          <w:lang w:eastAsia="ja-JP"/>
        </w:rPr>
        <w:t>’</w:t>
      </w:r>
      <w:r w:rsidR="00BD6768" w:rsidRPr="00B14910">
        <w:rPr>
          <w:lang w:eastAsia="ja-JP"/>
        </w:rPr>
        <w:t>élaboration d</w:t>
      </w:r>
      <w:r w:rsidR="00D13BD0" w:rsidRPr="00B14910">
        <w:rPr>
          <w:lang w:eastAsia="ja-JP"/>
        </w:rPr>
        <w:t>’</w:t>
      </w:r>
      <w:r w:rsidR="00BD6768" w:rsidRPr="00B14910">
        <w:rPr>
          <w:lang w:eastAsia="ja-JP"/>
        </w:rPr>
        <w:t xml:space="preserve">un </w:t>
      </w:r>
      <w:r w:rsidR="00BC6A08" w:rsidRPr="00B14910">
        <w:rPr>
          <w:szCs w:val="24"/>
        </w:rPr>
        <w:t>moteur de recherche de similitudes dans les dénominations variétales de l</w:t>
      </w:r>
      <w:r w:rsidR="00D13BD0" w:rsidRPr="00B14910">
        <w:rPr>
          <w:szCs w:val="24"/>
        </w:rPr>
        <w:t>’</w:t>
      </w:r>
      <w:r w:rsidR="00BC6A08" w:rsidRPr="00B14910">
        <w:rPr>
          <w:szCs w:val="24"/>
        </w:rPr>
        <w:t>UPOV</w:t>
      </w:r>
      <w:r w:rsidR="00BC6A08" w:rsidRPr="00B14910">
        <w:rPr>
          <w:lang w:eastAsia="ja-JP"/>
        </w:rPr>
        <w:t xml:space="preserve"> </w:t>
      </w:r>
      <w:r w:rsidR="00BD6768" w:rsidRPr="00B14910">
        <w:rPr>
          <w:lang w:eastAsia="ja-JP"/>
        </w:rPr>
        <w:t>et d</w:t>
      </w:r>
      <w:r w:rsidR="00D13BD0" w:rsidRPr="00B14910">
        <w:rPr>
          <w:lang w:eastAsia="ja-JP"/>
        </w:rPr>
        <w:t>’</w:t>
      </w:r>
      <w:r w:rsidR="00BD6768" w:rsidRPr="00B14910">
        <w:rPr>
          <w:lang w:eastAsia="ja-JP"/>
        </w:rPr>
        <w:t xml:space="preserve">examiner la révision éventuelle du document UPOV/INF/12 “Notes explicatives concernant les dénominations variétales en vertu de la </w:t>
      </w:r>
      <w:r w:rsidR="00D13BD0" w:rsidRPr="00B14910">
        <w:rPr>
          <w:lang w:eastAsia="ja-JP"/>
        </w:rPr>
        <w:t>Convention UPOV</w:t>
      </w:r>
      <w:r w:rsidR="00BD6768" w:rsidRPr="00B14910">
        <w:rPr>
          <w:lang w:eastAsia="ja-JP"/>
        </w:rPr>
        <w:t>”.</w:t>
      </w:r>
    </w:p>
    <w:p w:rsidR="00BD6768" w:rsidRPr="00B14910" w:rsidRDefault="00BD6768" w:rsidP="00B14910"/>
    <w:p w:rsidR="00BD6768" w:rsidRPr="006A4C42" w:rsidRDefault="00B734CF" w:rsidP="00B14910"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4E3012" w:rsidRPr="006A4C42">
        <w:t>Le CAJ est invité à prendre note</w:t>
      </w:r>
      <w:r w:rsidR="006A4C42" w:rsidRPr="006A4C42">
        <w:t> :</w:t>
      </w:r>
    </w:p>
    <w:p w:rsidR="00BD6768" w:rsidRPr="006A4C42" w:rsidRDefault="00BD6768" w:rsidP="00B14910">
      <w:pPr>
        <w:rPr>
          <w:iCs/>
        </w:rPr>
      </w:pPr>
    </w:p>
    <w:p w:rsidR="006A4C42" w:rsidRPr="006A4C42" w:rsidRDefault="00267CBB" w:rsidP="00B14910">
      <w:pPr>
        <w:ind w:firstLine="567"/>
        <w:rPr>
          <w:iCs/>
        </w:rPr>
      </w:pPr>
      <w:r w:rsidRPr="006A4C42">
        <w:rPr>
          <w:iCs/>
        </w:rPr>
        <w:t>a)</w:t>
      </w:r>
      <w:r w:rsidRPr="006A4C42">
        <w:rPr>
          <w:iCs/>
        </w:rPr>
        <w:tab/>
      </w:r>
      <w:r w:rsidR="004E3012" w:rsidRPr="006A4C42">
        <w:rPr>
          <w:iCs/>
        </w:rPr>
        <w:t>des travaux</w:t>
      </w:r>
      <w:r w:rsidRPr="006A4C42">
        <w:rPr>
          <w:iCs/>
        </w:rPr>
        <w:t xml:space="preserve"> </w:t>
      </w:r>
      <w:r w:rsidR="004E3012" w:rsidRPr="006A4C42">
        <w:rPr>
          <w:iCs/>
        </w:rPr>
        <w:t xml:space="preserve">du Groupe de travail sur les dénominations variétales </w:t>
      </w:r>
      <w:r w:rsidRPr="006A4C42">
        <w:rPr>
          <w:iCs/>
        </w:rPr>
        <w:t>(WG</w:t>
      </w:r>
      <w:r w:rsidR="0012617C" w:rsidRPr="006A4C42">
        <w:rPr>
          <w:iCs/>
        </w:rPr>
        <w:noBreakHyphen/>
      </w:r>
      <w:r w:rsidR="00C524B7" w:rsidRPr="006A4C42">
        <w:rPr>
          <w:iCs/>
        </w:rPr>
        <w:t>DEN</w:t>
      </w:r>
      <w:r w:rsidRPr="006A4C42">
        <w:rPr>
          <w:iCs/>
        </w:rPr>
        <w:t>)</w:t>
      </w:r>
      <w:r w:rsidR="00C524B7" w:rsidRPr="006A4C42">
        <w:rPr>
          <w:iCs/>
        </w:rPr>
        <w:t xml:space="preserve"> </w:t>
      </w:r>
      <w:r w:rsidR="004E3012" w:rsidRPr="006A4C42">
        <w:rPr>
          <w:iCs/>
        </w:rPr>
        <w:t>concernant</w:t>
      </w:r>
      <w:r w:rsidR="00C524B7" w:rsidRPr="006A4C42">
        <w:rPr>
          <w:iCs/>
        </w:rPr>
        <w:t xml:space="preserve"> </w:t>
      </w:r>
      <w:r w:rsidR="004E3012" w:rsidRPr="006A4C42">
        <w:rPr>
          <w:iCs/>
        </w:rPr>
        <w:t>la</w:t>
      </w:r>
      <w:r w:rsidR="00FF452E" w:rsidRPr="006A4C42">
        <w:rPr>
          <w:iCs/>
        </w:rPr>
        <w:t xml:space="preserve"> </w:t>
      </w:r>
      <w:r w:rsidR="004E3012" w:rsidRPr="006A4C42">
        <w:rPr>
          <w:iCs/>
        </w:rPr>
        <w:t>révision</w:t>
      </w:r>
      <w:r w:rsidR="00FF452E" w:rsidRPr="006A4C42">
        <w:rPr>
          <w:iCs/>
        </w:rPr>
        <w:t xml:space="preserve"> </w:t>
      </w:r>
      <w:r w:rsidR="004E3012" w:rsidRPr="006A4C42">
        <w:rPr>
          <w:iCs/>
        </w:rPr>
        <w:t>du</w:t>
      </w:r>
      <w:r w:rsidR="00FF452E" w:rsidRPr="006A4C42">
        <w:rPr>
          <w:iCs/>
        </w:rPr>
        <w:t xml:space="preserve"> </w:t>
      </w:r>
      <w:r w:rsidR="004E3012" w:rsidRPr="006A4C42">
        <w:rPr>
          <w:iCs/>
        </w:rPr>
        <w:t>d</w:t>
      </w:r>
      <w:r w:rsidR="00FF452E" w:rsidRPr="006A4C42">
        <w:rPr>
          <w:iCs/>
        </w:rPr>
        <w:t>ocument UPOV/I</w:t>
      </w:r>
      <w:r w:rsidR="00FF452E" w:rsidRPr="006A4C42">
        <w:rPr>
          <w:iCs/>
          <w:lang w:eastAsia="ja-JP"/>
        </w:rPr>
        <w:t>N</w:t>
      </w:r>
      <w:r w:rsidR="00C524B7" w:rsidRPr="006A4C42">
        <w:rPr>
          <w:iCs/>
        </w:rPr>
        <w:t>F/12 “</w:t>
      </w:r>
      <w:r w:rsidR="004E3012" w:rsidRPr="006A4C42">
        <w:rPr>
          <w:iCs/>
        </w:rPr>
        <w:t>Notes explicatives concernant les dénominations variétales</w:t>
      </w:r>
      <w:r w:rsidR="00FF452E" w:rsidRPr="006A4C42">
        <w:rPr>
          <w:iCs/>
        </w:rPr>
        <w:t xml:space="preserve"> </w:t>
      </w:r>
      <w:r w:rsidR="004E3012" w:rsidRPr="006A4C42">
        <w:rPr>
          <w:iCs/>
        </w:rPr>
        <w:t xml:space="preserve">en vertu de la </w:t>
      </w:r>
      <w:r w:rsidR="00D13BD0" w:rsidRPr="006A4C42">
        <w:rPr>
          <w:iCs/>
        </w:rPr>
        <w:t>Convention UPOV</w:t>
      </w:r>
      <w:r w:rsidR="0012617C" w:rsidRPr="006A4C42">
        <w:rPr>
          <w:iCs/>
        </w:rPr>
        <w:t>”</w:t>
      </w:r>
      <w:r w:rsidR="006A4C42" w:rsidRPr="006A4C42">
        <w:rPr>
          <w:iCs/>
        </w:rPr>
        <w:t>;</w:t>
      </w:r>
    </w:p>
    <w:p w:rsidR="00BD6768" w:rsidRPr="006A4C42" w:rsidRDefault="00BD6768" w:rsidP="00B14910">
      <w:pPr>
        <w:rPr>
          <w:iCs/>
        </w:rPr>
      </w:pPr>
    </w:p>
    <w:p w:rsidR="006A4C42" w:rsidRPr="006A4C42" w:rsidRDefault="0012617C" w:rsidP="00B14910">
      <w:pPr>
        <w:rPr>
          <w:iCs/>
        </w:rPr>
      </w:pPr>
      <w:r w:rsidRPr="006A4C42">
        <w:rPr>
          <w:iCs/>
        </w:rPr>
        <w:tab/>
      </w:r>
      <w:r w:rsidR="00C524B7" w:rsidRPr="006A4C42">
        <w:rPr>
          <w:iCs/>
        </w:rPr>
        <w:t>b)</w:t>
      </w:r>
      <w:r w:rsidR="00C524B7" w:rsidRPr="006A4C42">
        <w:rPr>
          <w:iCs/>
        </w:rPr>
        <w:tab/>
      </w:r>
      <w:r w:rsidR="004E3012" w:rsidRPr="006A4C42">
        <w:rPr>
          <w:iCs/>
        </w:rPr>
        <w:t>du fait que la</w:t>
      </w:r>
      <w:r w:rsidR="00C524B7" w:rsidRPr="006A4C42">
        <w:rPr>
          <w:iCs/>
        </w:rPr>
        <w:t xml:space="preserve"> France, </w:t>
      </w:r>
      <w:r w:rsidR="004E3012" w:rsidRPr="006A4C42">
        <w:rPr>
          <w:iCs/>
        </w:rPr>
        <w:t>les Pays</w:t>
      </w:r>
      <w:r w:rsidRPr="006A4C42">
        <w:rPr>
          <w:iCs/>
        </w:rPr>
        <w:noBreakHyphen/>
      </w:r>
      <w:r w:rsidR="004E3012" w:rsidRPr="006A4C42">
        <w:rPr>
          <w:iCs/>
        </w:rPr>
        <w:t>Bas</w:t>
      </w:r>
      <w:r w:rsidR="00C524B7" w:rsidRPr="006A4C42">
        <w:rPr>
          <w:iCs/>
        </w:rPr>
        <w:t xml:space="preserve">, </w:t>
      </w:r>
      <w:r w:rsidR="004E3012" w:rsidRPr="006A4C42">
        <w:rPr>
          <w:iCs/>
        </w:rPr>
        <w:t>la Nouvelle</w:t>
      </w:r>
      <w:r w:rsidRPr="006A4C42">
        <w:rPr>
          <w:iCs/>
        </w:rPr>
        <w:noBreakHyphen/>
      </w:r>
      <w:r w:rsidR="004E3012" w:rsidRPr="006A4C42">
        <w:rPr>
          <w:iCs/>
        </w:rPr>
        <w:t>Zélande et l</w:t>
      </w:r>
      <w:r w:rsidR="00D13BD0" w:rsidRPr="006A4C42">
        <w:rPr>
          <w:iCs/>
        </w:rPr>
        <w:t>’</w:t>
      </w:r>
      <w:r w:rsidR="00C524B7" w:rsidRPr="006A4C42">
        <w:rPr>
          <w:iCs/>
        </w:rPr>
        <w:t xml:space="preserve">Union </w:t>
      </w:r>
      <w:r w:rsidR="004E3012" w:rsidRPr="006A4C42">
        <w:rPr>
          <w:iCs/>
        </w:rPr>
        <w:t>européenne ont présenté des observations au sujet du</w:t>
      </w:r>
      <w:r w:rsidR="00C524B7" w:rsidRPr="006A4C42">
        <w:rPr>
          <w:iCs/>
        </w:rPr>
        <w:t xml:space="preserve"> document UPOV/INF/12/6 Draft</w:t>
      </w:r>
      <w:r w:rsidR="00F74E5B" w:rsidRPr="006A4C42">
        <w:rPr>
          <w:iCs/>
        </w:rPr>
        <w:t> </w:t>
      </w:r>
      <w:r w:rsidR="00C524B7" w:rsidRPr="006A4C42">
        <w:rPr>
          <w:iCs/>
        </w:rPr>
        <w:t>1</w:t>
      </w:r>
      <w:r w:rsidR="00844FCC" w:rsidRPr="006A4C42">
        <w:rPr>
          <w:iCs/>
        </w:rPr>
        <w:t xml:space="preserve">, </w:t>
      </w:r>
      <w:r w:rsidR="004E3012" w:rsidRPr="006A4C42">
        <w:rPr>
          <w:iCs/>
        </w:rPr>
        <w:t>et que ces observations seront examinées par le WG</w:t>
      </w:r>
      <w:r w:rsidRPr="006A4C42">
        <w:rPr>
          <w:iCs/>
        </w:rPr>
        <w:noBreakHyphen/>
      </w:r>
      <w:r w:rsidR="004E3012" w:rsidRPr="006A4C42">
        <w:rPr>
          <w:iCs/>
        </w:rPr>
        <w:t>DEN à sa deuxième réunion</w:t>
      </w:r>
      <w:r w:rsidR="006A4C42" w:rsidRPr="006A4C42">
        <w:rPr>
          <w:iCs/>
        </w:rPr>
        <w:t>;</w:t>
      </w:r>
    </w:p>
    <w:p w:rsidR="00BD6768" w:rsidRPr="006A4C42" w:rsidRDefault="00BD6768" w:rsidP="00B14910">
      <w:pPr>
        <w:rPr>
          <w:iCs/>
        </w:rPr>
      </w:pPr>
    </w:p>
    <w:p w:rsidR="00BD6768" w:rsidRPr="006A4C42" w:rsidRDefault="00C524B7" w:rsidP="00B14910">
      <w:pPr>
        <w:ind w:firstLine="567"/>
        <w:rPr>
          <w:iCs/>
        </w:rPr>
      </w:pPr>
      <w:r w:rsidRPr="006A4C42">
        <w:rPr>
          <w:iCs/>
        </w:rPr>
        <w:t>c)</w:t>
      </w:r>
      <w:r w:rsidRPr="006A4C42">
        <w:rPr>
          <w:iCs/>
        </w:rPr>
        <w:tab/>
      </w:r>
      <w:r w:rsidR="004E3012" w:rsidRPr="006A4C42">
        <w:rPr>
          <w:iCs/>
        </w:rPr>
        <w:t>des travaux accomplis par le</w:t>
      </w:r>
      <w:r w:rsidR="00267CBB" w:rsidRPr="006A4C42">
        <w:rPr>
          <w:iCs/>
        </w:rPr>
        <w:t xml:space="preserve"> WG</w:t>
      </w:r>
      <w:r w:rsidR="0012617C" w:rsidRPr="006A4C42">
        <w:rPr>
          <w:iCs/>
        </w:rPr>
        <w:noBreakHyphen/>
      </w:r>
      <w:r w:rsidRPr="006A4C42">
        <w:rPr>
          <w:iCs/>
        </w:rPr>
        <w:t xml:space="preserve">DEN </w:t>
      </w:r>
      <w:r w:rsidR="004E3012" w:rsidRPr="006A4C42">
        <w:rPr>
          <w:iCs/>
        </w:rPr>
        <w:t>concernant la possibilité d</w:t>
      </w:r>
      <w:r w:rsidR="00D13BD0" w:rsidRPr="006A4C42">
        <w:rPr>
          <w:iCs/>
        </w:rPr>
        <w:t>’</w:t>
      </w:r>
      <w:r w:rsidR="004E3012" w:rsidRPr="006A4C42">
        <w:rPr>
          <w:iCs/>
        </w:rPr>
        <w:t>élaboration d</w:t>
      </w:r>
      <w:r w:rsidR="00D13BD0" w:rsidRPr="006A4C42">
        <w:rPr>
          <w:iCs/>
        </w:rPr>
        <w:t>’</w:t>
      </w:r>
      <w:r w:rsidR="004E3012" w:rsidRPr="006A4C42">
        <w:rPr>
          <w:iCs/>
        </w:rPr>
        <w:t xml:space="preserve">un </w:t>
      </w:r>
      <w:r w:rsidR="009255F1" w:rsidRPr="006A4C42">
        <w:t>moteur de recherche de similitudes dans les dénominations variétales de l</w:t>
      </w:r>
      <w:r w:rsidR="00D13BD0" w:rsidRPr="006A4C42">
        <w:t>’</w:t>
      </w:r>
      <w:r w:rsidR="009255F1" w:rsidRPr="006A4C42">
        <w:t>UPOV</w:t>
      </w:r>
      <w:r w:rsidR="00844FCC" w:rsidRPr="006A4C42">
        <w:rPr>
          <w:iCs/>
        </w:rPr>
        <w:t xml:space="preserve"> </w:t>
      </w:r>
      <w:r w:rsidR="004E3012" w:rsidRPr="006A4C42">
        <w:rPr>
          <w:iCs/>
        </w:rPr>
        <w:t>et</w:t>
      </w:r>
    </w:p>
    <w:p w:rsidR="00BD6768" w:rsidRPr="006A4C42" w:rsidRDefault="00BD6768" w:rsidP="00B14910">
      <w:pPr>
        <w:ind w:firstLine="567"/>
        <w:rPr>
          <w:iCs/>
        </w:rPr>
      </w:pPr>
    </w:p>
    <w:p w:rsidR="00BD6768" w:rsidRPr="006A4C42" w:rsidRDefault="00267CBB" w:rsidP="00B14910">
      <w:pPr>
        <w:ind w:firstLine="567"/>
        <w:rPr>
          <w:iCs/>
        </w:rPr>
      </w:pPr>
      <w:r w:rsidRPr="006A4C42">
        <w:rPr>
          <w:iCs/>
        </w:rPr>
        <w:t>d)</w:t>
      </w:r>
      <w:r w:rsidRPr="006A4C42">
        <w:rPr>
          <w:iCs/>
        </w:rPr>
        <w:tab/>
      </w:r>
      <w:r w:rsidR="00CC6820" w:rsidRPr="006A4C42">
        <w:rPr>
          <w:iCs/>
        </w:rPr>
        <w:t xml:space="preserve">des travaux accomplis par le </w:t>
      </w:r>
      <w:r w:rsidRPr="006A4C42">
        <w:rPr>
          <w:iCs/>
        </w:rPr>
        <w:t>WG</w:t>
      </w:r>
      <w:r w:rsidR="0012617C" w:rsidRPr="006A4C42">
        <w:rPr>
          <w:iCs/>
        </w:rPr>
        <w:noBreakHyphen/>
      </w:r>
      <w:r w:rsidRPr="006A4C42">
        <w:rPr>
          <w:iCs/>
        </w:rPr>
        <w:t xml:space="preserve">DEN </w:t>
      </w:r>
      <w:r w:rsidR="00CC6820" w:rsidRPr="006A4C42">
        <w:rPr>
          <w:iCs/>
        </w:rPr>
        <w:t>au sujet de l</w:t>
      </w:r>
      <w:r w:rsidR="00D13BD0" w:rsidRPr="006A4C42">
        <w:rPr>
          <w:iCs/>
        </w:rPr>
        <w:t>’</w:t>
      </w:r>
      <w:r w:rsidR="00CC6820" w:rsidRPr="006A4C42">
        <w:rPr>
          <w:iCs/>
        </w:rPr>
        <w:t>élargissement du contenu de la base de données PLUTO</w:t>
      </w:r>
      <w:r w:rsidRPr="006A4C42">
        <w:rPr>
          <w:iCs/>
        </w:rPr>
        <w:t>.</w:t>
      </w:r>
    </w:p>
    <w:p w:rsidR="00BD6768" w:rsidRPr="00B14910" w:rsidRDefault="00BD6768" w:rsidP="00B14910">
      <w:pPr>
        <w:jc w:val="left"/>
        <w:rPr>
          <w:rFonts w:cs="Arial"/>
          <w:snapToGrid w:val="0"/>
        </w:rPr>
      </w:pPr>
    </w:p>
    <w:p w:rsidR="00BD6768" w:rsidRPr="00B14910" w:rsidRDefault="00B734CF" w:rsidP="00B14910">
      <w:pPr>
        <w:keepNext/>
        <w:rPr>
          <w:rFonts w:cs="Arial"/>
          <w:snapToGrid w:val="0"/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rPr>
          <w:rFonts w:cs="Arial"/>
          <w:snapToGrid w:val="0"/>
        </w:rPr>
        <w:tab/>
      </w:r>
      <w:r w:rsidR="00BD6768" w:rsidRPr="00B14910">
        <w:rPr>
          <w:rFonts w:cs="Arial"/>
          <w:snapToGrid w:val="0"/>
        </w:rPr>
        <w:t>Le présent document est structuré comme suit</w:t>
      </w:r>
      <w:r w:rsidR="0041185C" w:rsidRPr="00B14910">
        <w:rPr>
          <w:rFonts w:cs="Arial"/>
          <w:snapToGrid w:val="0"/>
        </w:rPr>
        <w:t> </w:t>
      </w:r>
      <w:r w:rsidR="00BD6768" w:rsidRPr="00B14910">
        <w:rPr>
          <w:rFonts w:cs="Arial"/>
          <w:snapToGrid w:val="0"/>
        </w:rPr>
        <w:t>:</w:t>
      </w:r>
    </w:p>
    <w:p w:rsidR="00BD6768" w:rsidRPr="00B14910" w:rsidRDefault="00BD6768" w:rsidP="00B14910">
      <w:pPr>
        <w:keepNext/>
        <w:rPr>
          <w:rFonts w:cs="Arial"/>
          <w:snapToGrid w:val="0"/>
          <w:lang w:eastAsia="ja-JP"/>
        </w:rPr>
      </w:pPr>
    </w:p>
    <w:p w:rsidR="007720AE" w:rsidRPr="00B14910" w:rsidRDefault="00B734CF" w:rsidP="00B14910">
      <w:pPr>
        <w:pStyle w:val="TOC1"/>
        <w:rPr>
          <w:rFonts w:asciiTheme="minorHAnsi" w:hAnsiTheme="minorHAnsi" w:cstheme="minorBidi"/>
          <w:caps w:val="0"/>
          <w:sz w:val="22"/>
          <w:szCs w:val="22"/>
          <w:lang w:val="fr-FR" w:eastAsia="fr-FR"/>
        </w:rPr>
      </w:pPr>
      <w:r w:rsidRPr="00B14910">
        <w:rPr>
          <w:rFonts w:cs="Arial"/>
          <w:bCs/>
          <w:noProof w:val="0"/>
          <w:snapToGrid w:val="0"/>
          <w:sz w:val="18"/>
          <w:lang w:val="fr-FR"/>
        </w:rPr>
        <w:fldChar w:fldCharType="begin"/>
      </w:r>
      <w:r w:rsidRPr="00B14910">
        <w:rPr>
          <w:rFonts w:cs="Arial"/>
          <w:bCs/>
          <w:noProof w:val="0"/>
          <w:snapToGrid w:val="0"/>
          <w:sz w:val="18"/>
          <w:lang w:val="fr-FR"/>
        </w:rPr>
        <w:instrText xml:space="preserve"> TOC \o "1-3" \h \z \u </w:instrText>
      </w:r>
      <w:r w:rsidRPr="00B14910">
        <w:rPr>
          <w:rFonts w:cs="Arial"/>
          <w:bCs/>
          <w:noProof w:val="0"/>
          <w:snapToGrid w:val="0"/>
          <w:sz w:val="18"/>
          <w:lang w:val="fr-FR"/>
        </w:rPr>
        <w:fldChar w:fldCharType="separate"/>
      </w:r>
      <w:hyperlink w:anchor="_Toc464480196" w:history="1">
        <w:r w:rsidR="007720AE" w:rsidRPr="00B14910">
          <w:rPr>
            <w:rStyle w:val="Hyperlink"/>
            <w:color w:val="auto"/>
            <w:lang w:val="fr-FR" w:eastAsia="ja-JP"/>
          </w:rPr>
          <w:t>RÉSUMÉ</w:t>
        </w:r>
        <w:r w:rsidR="007720AE" w:rsidRPr="00B14910">
          <w:rPr>
            <w:webHidden/>
          </w:rPr>
          <w:tab/>
        </w:r>
        <w:r w:rsidR="007720AE" w:rsidRPr="00B14910">
          <w:rPr>
            <w:webHidden/>
          </w:rPr>
          <w:fldChar w:fldCharType="begin"/>
        </w:r>
        <w:r w:rsidR="007720AE" w:rsidRPr="00B14910">
          <w:rPr>
            <w:webHidden/>
          </w:rPr>
          <w:instrText xml:space="preserve"> PAGEREF _Toc464480196 \h </w:instrText>
        </w:r>
        <w:r w:rsidR="007720AE" w:rsidRPr="00B14910">
          <w:rPr>
            <w:webHidden/>
          </w:rPr>
        </w:r>
        <w:r w:rsidR="007720AE" w:rsidRPr="00B14910">
          <w:rPr>
            <w:webHidden/>
          </w:rPr>
          <w:fldChar w:fldCharType="separate"/>
        </w:r>
        <w:r w:rsidR="008D06C1">
          <w:rPr>
            <w:webHidden/>
          </w:rPr>
          <w:t>1</w:t>
        </w:r>
        <w:r w:rsidR="007720AE" w:rsidRPr="00B14910">
          <w:rPr>
            <w:webHidden/>
          </w:rPr>
          <w:fldChar w:fldCharType="end"/>
        </w:r>
      </w:hyperlink>
    </w:p>
    <w:p w:rsidR="007720AE" w:rsidRPr="00B14910" w:rsidRDefault="008D06C1" w:rsidP="00B14910">
      <w:pPr>
        <w:pStyle w:val="TOC1"/>
        <w:rPr>
          <w:rFonts w:asciiTheme="minorHAnsi" w:hAnsiTheme="minorHAnsi" w:cstheme="minorBidi"/>
          <w:caps w:val="0"/>
          <w:sz w:val="22"/>
          <w:szCs w:val="22"/>
          <w:lang w:val="fr-FR" w:eastAsia="fr-FR"/>
        </w:rPr>
      </w:pPr>
      <w:hyperlink w:anchor="_Toc464480197" w:history="1">
        <w:r w:rsidR="007720AE" w:rsidRPr="00B14910">
          <w:rPr>
            <w:rStyle w:val="Hyperlink"/>
            <w:color w:val="auto"/>
            <w:lang w:val="fr-FR"/>
          </w:rPr>
          <w:t>Objet</w:t>
        </w:r>
        <w:r w:rsidR="007720AE" w:rsidRPr="00B14910">
          <w:rPr>
            <w:webHidden/>
          </w:rPr>
          <w:tab/>
        </w:r>
        <w:r w:rsidR="007720AE" w:rsidRPr="00B14910">
          <w:rPr>
            <w:webHidden/>
          </w:rPr>
          <w:fldChar w:fldCharType="begin"/>
        </w:r>
        <w:r w:rsidR="007720AE" w:rsidRPr="00B14910">
          <w:rPr>
            <w:webHidden/>
          </w:rPr>
          <w:instrText xml:space="preserve"> PAGEREF _Toc464480197 \h </w:instrText>
        </w:r>
        <w:r w:rsidR="007720AE" w:rsidRPr="00B14910">
          <w:rPr>
            <w:webHidden/>
          </w:rPr>
        </w:r>
        <w:r w:rsidR="007720AE" w:rsidRPr="00B14910">
          <w:rPr>
            <w:webHidden/>
          </w:rPr>
          <w:fldChar w:fldCharType="separate"/>
        </w:r>
        <w:r>
          <w:rPr>
            <w:webHidden/>
          </w:rPr>
          <w:t>2</w:t>
        </w:r>
        <w:r w:rsidR="007720AE" w:rsidRPr="00B14910">
          <w:rPr>
            <w:webHidden/>
          </w:rPr>
          <w:fldChar w:fldCharType="end"/>
        </w:r>
      </w:hyperlink>
    </w:p>
    <w:p w:rsidR="007720AE" w:rsidRPr="00B14910" w:rsidRDefault="008D06C1" w:rsidP="00B14910">
      <w:pPr>
        <w:pStyle w:val="TOC1"/>
        <w:rPr>
          <w:rFonts w:asciiTheme="minorHAnsi" w:hAnsiTheme="minorHAnsi" w:cstheme="minorBidi"/>
          <w:caps w:val="0"/>
          <w:sz w:val="22"/>
          <w:szCs w:val="22"/>
          <w:lang w:val="fr-FR" w:eastAsia="fr-FR"/>
        </w:rPr>
      </w:pPr>
      <w:hyperlink w:anchor="_Toc464480198" w:history="1">
        <w:r w:rsidR="007720AE" w:rsidRPr="00B14910">
          <w:rPr>
            <w:rStyle w:val="Hyperlink"/>
            <w:snapToGrid w:val="0"/>
            <w:color w:val="auto"/>
            <w:lang w:val="fr-FR" w:eastAsia="ja-JP"/>
          </w:rPr>
          <w:t>Révision du document UPOV/INF/12 “Notes explicatives concernant les dénominations variétales en vertu de la Convention UPOV”</w:t>
        </w:r>
        <w:r w:rsidR="007720AE" w:rsidRPr="00B14910">
          <w:rPr>
            <w:webHidden/>
          </w:rPr>
          <w:tab/>
        </w:r>
        <w:r w:rsidR="007720AE" w:rsidRPr="00B14910">
          <w:rPr>
            <w:webHidden/>
          </w:rPr>
          <w:fldChar w:fldCharType="begin"/>
        </w:r>
        <w:r w:rsidR="007720AE" w:rsidRPr="00B14910">
          <w:rPr>
            <w:webHidden/>
          </w:rPr>
          <w:instrText xml:space="preserve"> PAGEREF _Toc464480198 \h </w:instrText>
        </w:r>
        <w:r w:rsidR="007720AE" w:rsidRPr="00B14910">
          <w:rPr>
            <w:webHidden/>
          </w:rPr>
        </w:r>
        <w:r w:rsidR="007720AE" w:rsidRPr="00B14910">
          <w:rPr>
            <w:webHidden/>
          </w:rPr>
          <w:fldChar w:fldCharType="separate"/>
        </w:r>
        <w:r>
          <w:rPr>
            <w:webHidden/>
          </w:rPr>
          <w:t>2</w:t>
        </w:r>
        <w:r w:rsidR="007720AE" w:rsidRPr="00B14910">
          <w:rPr>
            <w:webHidden/>
          </w:rPr>
          <w:fldChar w:fldCharType="end"/>
        </w:r>
      </w:hyperlink>
    </w:p>
    <w:p w:rsidR="007720AE" w:rsidRPr="00B14910" w:rsidRDefault="008D06C1" w:rsidP="00B14910">
      <w:pPr>
        <w:pStyle w:val="TOC2"/>
        <w:rPr>
          <w:rFonts w:asciiTheme="minorHAnsi" w:hAnsiTheme="minorHAnsi" w:cstheme="minorBidi"/>
          <w:sz w:val="22"/>
          <w:szCs w:val="22"/>
          <w:lang w:val="fr-FR" w:eastAsia="fr-FR"/>
        </w:rPr>
      </w:pPr>
      <w:hyperlink w:anchor="_Toc464480199" w:history="1">
        <w:r w:rsidR="007720AE" w:rsidRPr="00B14910">
          <w:rPr>
            <w:rStyle w:val="Hyperlink"/>
            <w:snapToGrid w:val="0"/>
            <w:color w:val="auto"/>
            <w:lang w:val="fr-FR" w:eastAsia="ja-JP"/>
          </w:rPr>
          <w:t>Délibérations au sein du CAJ</w:t>
        </w:r>
        <w:r w:rsidR="007720AE" w:rsidRPr="00B14910">
          <w:rPr>
            <w:webHidden/>
          </w:rPr>
          <w:tab/>
        </w:r>
        <w:r w:rsidR="007720AE" w:rsidRPr="00B14910">
          <w:rPr>
            <w:webHidden/>
          </w:rPr>
          <w:fldChar w:fldCharType="begin"/>
        </w:r>
        <w:r w:rsidR="007720AE" w:rsidRPr="00B14910">
          <w:rPr>
            <w:webHidden/>
          </w:rPr>
          <w:instrText xml:space="preserve"> PAGEREF _Toc464480199 \h </w:instrText>
        </w:r>
        <w:r w:rsidR="007720AE" w:rsidRPr="00B14910">
          <w:rPr>
            <w:webHidden/>
          </w:rPr>
        </w:r>
        <w:r w:rsidR="007720AE" w:rsidRPr="00B14910">
          <w:rPr>
            <w:webHidden/>
          </w:rPr>
          <w:fldChar w:fldCharType="separate"/>
        </w:r>
        <w:r>
          <w:rPr>
            <w:webHidden/>
          </w:rPr>
          <w:t>2</w:t>
        </w:r>
        <w:r w:rsidR="007720AE" w:rsidRPr="00B14910">
          <w:rPr>
            <w:webHidden/>
          </w:rPr>
          <w:fldChar w:fldCharType="end"/>
        </w:r>
      </w:hyperlink>
    </w:p>
    <w:p w:rsidR="007720AE" w:rsidRPr="00B14910" w:rsidRDefault="008D06C1" w:rsidP="00B14910">
      <w:pPr>
        <w:pStyle w:val="TOC2"/>
        <w:rPr>
          <w:rFonts w:asciiTheme="minorHAnsi" w:hAnsiTheme="minorHAnsi" w:cstheme="minorBidi"/>
          <w:sz w:val="22"/>
          <w:szCs w:val="22"/>
          <w:lang w:val="fr-FR" w:eastAsia="fr-FR"/>
        </w:rPr>
      </w:pPr>
      <w:hyperlink w:anchor="_Toc464480200" w:history="1">
        <w:r w:rsidR="007720AE" w:rsidRPr="00B14910">
          <w:rPr>
            <w:rStyle w:val="Hyperlink"/>
            <w:color w:val="auto"/>
            <w:lang w:val="fr-FR" w:eastAsia="ja-JP"/>
          </w:rPr>
          <w:t>Délibérations du WG</w:t>
        </w:r>
        <w:r w:rsidR="007720AE" w:rsidRPr="00B14910">
          <w:rPr>
            <w:rStyle w:val="Hyperlink"/>
            <w:color w:val="auto"/>
            <w:lang w:val="fr-FR" w:eastAsia="ja-JP"/>
          </w:rPr>
          <w:noBreakHyphen/>
          <w:t>DEN, lors de sa première réunion</w:t>
        </w:r>
        <w:r w:rsidR="007720AE" w:rsidRPr="00B14910">
          <w:rPr>
            <w:webHidden/>
          </w:rPr>
          <w:tab/>
        </w:r>
        <w:r w:rsidR="007720AE" w:rsidRPr="00B14910">
          <w:rPr>
            <w:webHidden/>
          </w:rPr>
          <w:fldChar w:fldCharType="begin"/>
        </w:r>
        <w:r w:rsidR="007720AE" w:rsidRPr="00B14910">
          <w:rPr>
            <w:webHidden/>
          </w:rPr>
          <w:instrText xml:space="preserve"> PAGEREF _Toc464480200 \h </w:instrText>
        </w:r>
        <w:r w:rsidR="007720AE" w:rsidRPr="00B14910">
          <w:rPr>
            <w:webHidden/>
          </w:rPr>
        </w:r>
        <w:r w:rsidR="007720AE" w:rsidRPr="00B14910">
          <w:rPr>
            <w:webHidden/>
          </w:rPr>
          <w:fldChar w:fldCharType="separate"/>
        </w:r>
        <w:r>
          <w:rPr>
            <w:webHidden/>
          </w:rPr>
          <w:t>3</w:t>
        </w:r>
        <w:r w:rsidR="007720AE" w:rsidRPr="00B14910">
          <w:rPr>
            <w:webHidden/>
          </w:rPr>
          <w:fldChar w:fldCharType="end"/>
        </w:r>
      </w:hyperlink>
    </w:p>
    <w:p w:rsidR="007720AE" w:rsidRPr="00B14910" w:rsidRDefault="008D06C1" w:rsidP="00B14910">
      <w:pPr>
        <w:pStyle w:val="TOC1"/>
        <w:rPr>
          <w:rFonts w:asciiTheme="minorHAnsi" w:hAnsiTheme="minorHAnsi" w:cstheme="minorBidi"/>
          <w:caps w:val="0"/>
          <w:sz w:val="22"/>
          <w:szCs w:val="22"/>
          <w:lang w:val="fr-FR" w:eastAsia="fr-FR"/>
        </w:rPr>
      </w:pPr>
      <w:hyperlink w:anchor="_Toc464480201" w:history="1">
        <w:r w:rsidR="007720AE" w:rsidRPr="00B14910">
          <w:rPr>
            <w:rStyle w:val="Hyperlink"/>
            <w:snapToGrid w:val="0"/>
            <w:color w:val="auto"/>
            <w:lang w:val="fr-FR" w:eastAsia="ja-JP"/>
          </w:rPr>
          <w:t>Possibilité d’élaboration d’un moteur de recherche de similitudes dans les dénominations variétales de l’UPOV</w:t>
        </w:r>
        <w:r w:rsidR="007720AE" w:rsidRPr="00B14910">
          <w:rPr>
            <w:webHidden/>
          </w:rPr>
          <w:tab/>
        </w:r>
        <w:r w:rsidR="007720AE" w:rsidRPr="00B14910">
          <w:rPr>
            <w:webHidden/>
          </w:rPr>
          <w:fldChar w:fldCharType="begin"/>
        </w:r>
        <w:r w:rsidR="007720AE" w:rsidRPr="00B14910">
          <w:rPr>
            <w:webHidden/>
          </w:rPr>
          <w:instrText xml:space="preserve"> PAGEREF _Toc464480201 \h </w:instrText>
        </w:r>
        <w:r w:rsidR="007720AE" w:rsidRPr="00B14910">
          <w:rPr>
            <w:webHidden/>
          </w:rPr>
        </w:r>
        <w:r w:rsidR="007720AE" w:rsidRPr="00B14910">
          <w:rPr>
            <w:webHidden/>
          </w:rPr>
          <w:fldChar w:fldCharType="separate"/>
        </w:r>
        <w:r>
          <w:rPr>
            <w:webHidden/>
          </w:rPr>
          <w:t>4</w:t>
        </w:r>
        <w:r w:rsidR="007720AE" w:rsidRPr="00B14910">
          <w:rPr>
            <w:webHidden/>
          </w:rPr>
          <w:fldChar w:fldCharType="end"/>
        </w:r>
      </w:hyperlink>
    </w:p>
    <w:p w:rsidR="007720AE" w:rsidRPr="00B14910" w:rsidRDefault="008D06C1" w:rsidP="00B14910">
      <w:pPr>
        <w:pStyle w:val="TOC2"/>
        <w:rPr>
          <w:rFonts w:asciiTheme="minorHAnsi" w:hAnsiTheme="minorHAnsi" w:cstheme="minorBidi"/>
          <w:sz w:val="22"/>
          <w:szCs w:val="22"/>
          <w:lang w:val="fr-FR" w:eastAsia="fr-FR"/>
        </w:rPr>
      </w:pPr>
      <w:hyperlink w:anchor="_Toc464480202" w:history="1">
        <w:r w:rsidR="007720AE" w:rsidRPr="00B14910">
          <w:rPr>
            <w:rStyle w:val="Hyperlink"/>
            <w:color w:val="auto"/>
            <w:lang w:val="fr-FR" w:eastAsia="ja-JP"/>
          </w:rPr>
          <w:t>Étude test</w:t>
        </w:r>
        <w:r w:rsidR="007720AE" w:rsidRPr="00B14910">
          <w:rPr>
            <w:webHidden/>
          </w:rPr>
          <w:tab/>
        </w:r>
        <w:r w:rsidR="007720AE" w:rsidRPr="00B14910">
          <w:rPr>
            <w:webHidden/>
          </w:rPr>
          <w:fldChar w:fldCharType="begin"/>
        </w:r>
        <w:r w:rsidR="007720AE" w:rsidRPr="00B14910">
          <w:rPr>
            <w:webHidden/>
          </w:rPr>
          <w:instrText xml:space="preserve"> PAGEREF _Toc464480202 \h </w:instrText>
        </w:r>
        <w:r w:rsidR="007720AE" w:rsidRPr="00B14910">
          <w:rPr>
            <w:webHidden/>
          </w:rPr>
        </w:r>
        <w:r w:rsidR="007720AE" w:rsidRPr="00B14910">
          <w:rPr>
            <w:webHidden/>
          </w:rPr>
          <w:fldChar w:fldCharType="separate"/>
        </w:r>
        <w:r>
          <w:rPr>
            <w:webHidden/>
          </w:rPr>
          <w:t>4</w:t>
        </w:r>
        <w:r w:rsidR="007720AE" w:rsidRPr="00B14910">
          <w:rPr>
            <w:webHidden/>
          </w:rPr>
          <w:fldChar w:fldCharType="end"/>
        </w:r>
      </w:hyperlink>
    </w:p>
    <w:p w:rsidR="007720AE" w:rsidRPr="00B14910" w:rsidRDefault="008D06C1" w:rsidP="00B14910">
      <w:pPr>
        <w:pStyle w:val="TOC2"/>
        <w:rPr>
          <w:rFonts w:asciiTheme="minorHAnsi" w:hAnsiTheme="minorHAnsi" w:cstheme="minorBidi"/>
          <w:sz w:val="22"/>
          <w:szCs w:val="22"/>
          <w:lang w:val="fr-FR" w:eastAsia="fr-FR"/>
        </w:rPr>
      </w:pPr>
      <w:hyperlink w:anchor="_Toc464480203" w:history="1">
        <w:r w:rsidR="007720AE" w:rsidRPr="00B14910">
          <w:rPr>
            <w:rStyle w:val="Hyperlink"/>
            <w:color w:val="auto"/>
            <w:lang w:val="fr-FR" w:eastAsia="ja-JP"/>
          </w:rPr>
          <w:t>Termes non acceptables à des fins de dénomination variétale</w:t>
        </w:r>
        <w:r w:rsidR="007720AE" w:rsidRPr="00B14910">
          <w:rPr>
            <w:webHidden/>
          </w:rPr>
          <w:tab/>
        </w:r>
        <w:r w:rsidR="007720AE" w:rsidRPr="00B14910">
          <w:rPr>
            <w:webHidden/>
          </w:rPr>
          <w:fldChar w:fldCharType="begin"/>
        </w:r>
        <w:r w:rsidR="007720AE" w:rsidRPr="00B14910">
          <w:rPr>
            <w:webHidden/>
          </w:rPr>
          <w:instrText xml:space="preserve"> PAGEREF _Toc464480203 \h </w:instrText>
        </w:r>
        <w:r w:rsidR="007720AE" w:rsidRPr="00B14910">
          <w:rPr>
            <w:webHidden/>
          </w:rPr>
        </w:r>
        <w:r w:rsidR="007720AE" w:rsidRPr="00B14910">
          <w:rPr>
            <w:webHidden/>
          </w:rPr>
          <w:fldChar w:fldCharType="separate"/>
        </w:r>
        <w:r>
          <w:rPr>
            <w:webHidden/>
          </w:rPr>
          <w:t>4</w:t>
        </w:r>
        <w:r w:rsidR="007720AE" w:rsidRPr="00B14910">
          <w:rPr>
            <w:webHidden/>
          </w:rPr>
          <w:fldChar w:fldCharType="end"/>
        </w:r>
      </w:hyperlink>
    </w:p>
    <w:p w:rsidR="007720AE" w:rsidRPr="00B14910" w:rsidRDefault="008D06C1" w:rsidP="00B14910">
      <w:pPr>
        <w:pStyle w:val="TOC1"/>
        <w:rPr>
          <w:rFonts w:asciiTheme="minorHAnsi" w:hAnsiTheme="minorHAnsi" w:cstheme="minorBidi"/>
          <w:caps w:val="0"/>
          <w:sz w:val="22"/>
          <w:szCs w:val="22"/>
          <w:lang w:val="fr-FR" w:eastAsia="fr-FR"/>
        </w:rPr>
      </w:pPr>
      <w:hyperlink w:anchor="_Toc464480204" w:history="1">
        <w:r w:rsidR="007720AE" w:rsidRPr="00B14910">
          <w:rPr>
            <w:rStyle w:val="Hyperlink"/>
            <w:color w:val="auto"/>
            <w:lang w:val="fr-FR"/>
          </w:rPr>
          <w:t>Élargissement du contenu de la base de données PLUTO</w:t>
        </w:r>
        <w:r w:rsidR="007720AE" w:rsidRPr="00B14910">
          <w:rPr>
            <w:webHidden/>
          </w:rPr>
          <w:tab/>
        </w:r>
        <w:r w:rsidR="007720AE" w:rsidRPr="00B14910">
          <w:rPr>
            <w:webHidden/>
          </w:rPr>
          <w:fldChar w:fldCharType="begin"/>
        </w:r>
        <w:r w:rsidR="007720AE" w:rsidRPr="00B14910">
          <w:rPr>
            <w:webHidden/>
          </w:rPr>
          <w:instrText xml:space="preserve"> PAGEREF _Toc464480204 \h </w:instrText>
        </w:r>
        <w:r w:rsidR="007720AE" w:rsidRPr="00B14910">
          <w:rPr>
            <w:webHidden/>
          </w:rPr>
        </w:r>
        <w:r w:rsidR="007720AE" w:rsidRPr="00B14910">
          <w:rPr>
            <w:webHidden/>
          </w:rPr>
          <w:fldChar w:fldCharType="separate"/>
        </w:r>
        <w:r>
          <w:rPr>
            <w:webHidden/>
          </w:rPr>
          <w:t>5</w:t>
        </w:r>
        <w:r w:rsidR="007720AE" w:rsidRPr="00B14910">
          <w:rPr>
            <w:webHidden/>
          </w:rPr>
          <w:fldChar w:fldCharType="end"/>
        </w:r>
      </w:hyperlink>
    </w:p>
    <w:p w:rsidR="007720AE" w:rsidRPr="00B14910" w:rsidRDefault="008D06C1" w:rsidP="00B14910">
      <w:pPr>
        <w:pStyle w:val="TOC1"/>
        <w:rPr>
          <w:rFonts w:asciiTheme="minorHAnsi" w:hAnsiTheme="minorHAnsi" w:cstheme="minorBidi"/>
          <w:caps w:val="0"/>
          <w:sz w:val="22"/>
          <w:szCs w:val="22"/>
          <w:lang w:val="fr-FR" w:eastAsia="fr-FR"/>
        </w:rPr>
      </w:pPr>
      <w:hyperlink w:anchor="_Toc464480205" w:history="1">
        <w:r w:rsidR="007720AE" w:rsidRPr="00B14910">
          <w:rPr>
            <w:rStyle w:val="Hyperlink"/>
            <w:color w:val="auto"/>
            <w:lang w:val="fr-FR" w:eastAsia="ja-JP"/>
          </w:rPr>
          <w:t>Date et lieu de la prochaine réunion</w:t>
        </w:r>
        <w:r w:rsidR="007720AE" w:rsidRPr="00B14910">
          <w:rPr>
            <w:webHidden/>
          </w:rPr>
          <w:tab/>
        </w:r>
        <w:r w:rsidR="007720AE" w:rsidRPr="00B14910">
          <w:rPr>
            <w:webHidden/>
          </w:rPr>
          <w:fldChar w:fldCharType="begin"/>
        </w:r>
        <w:r w:rsidR="007720AE" w:rsidRPr="00B14910">
          <w:rPr>
            <w:webHidden/>
          </w:rPr>
          <w:instrText xml:space="preserve"> PAGEREF _Toc464480205 \h </w:instrText>
        </w:r>
        <w:r w:rsidR="007720AE" w:rsidRPr="00B14910">
          <w:rPr>
            <w:webHidden/>
          </w:rPr>
        </w:r>
        <w:r w:rsidR="007720AE" w:rsidRPr="00B14910">
          <w:rPr>
            <w:webHidden/>
          </w:rPr>
          <w:fldChar w:fldCharType="separate"/>
        </w:r>
        <w:r>
          <w:rPr>
            <w:webHidden/>
          </w:rPr>
          <w:t>5</w:t>
        </w:r>
        <w:r w:rsidR="007720AE" w:rsidRPr="00B14910">
          <w:rPr>
            <w:webHidden/>
          </w:rPr>
          <w:fldChar w:fldCharType="end"/>
        </w:r>
      </w:hyperlink>
    </w:p>
    <w:p w:rsidR="00B14910" w:rsidRDefault="00B734CF" w:rsidP="00B14910">
      <w:pPr>
        <w:rPr>
          <w:snapToGrid w:val="0"/>
        </w:rPr>
      </w:pPr>
      <w:r w:rsidRPr="00B14910">
        <w:rPr>
          <w:snapToGrid w:val="0"/>
        </w:rPr>
        <w:fldChar w:fldCharType="end"/>
      </w:r>
    </w:p>
    <w:p w:rsidR="00BD6768" w:rsidRPr="00B14910" w:rsidRDefault="00644877" w:rsidP="00B14910"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BD6768" w:rsidRPr="00B14910">
        <w:t>Les abréviations suivantes sont utilisées dans le présent document</w:t>
      </w:r>
      <w:r w:rsidR="0041185C" w:rsidRPr="00B14910">
        <w:t> </w:t>
      </w:r>
      <w:r w:rsidR="00BD6768" w:rsidRPr="00B14910">
        <w:t>:</w:t>
      </w:r>
    </w:p>
    <w:p w:rsidR="00BD6768" w:rsidRPr="00B14910" w:rsidRDefault="00BD6768" w:rsidP="00B14910">
      <w:pPr>
        <w:keepNext/>
        <w:rPr>
          <w:rFonts w:cs="Arial"/>
        </w:rPr>
      </w:pPr>
    </w:p>
    <w:p w:rsidR="00D13BD0" w:rsidRPr="00B14910" w:rsidRDefault="00BD6768" w:rsidP="00B14910">
      <w:pPr>
        <w:keepNext/>
        <w:tabs>
          <w:tab w:val="left" w:pos="1701"/>
        </w:tabs>
        <w:ind w:left="567"/>
        <w:rPr>
          <w:rFonts w:cs="Arial"/>
          <w:snapToGrid w:val="0"/>
        </w:rPr>
      </w:pPr>
      <w:r w:rsidRPr="00B14910">
        <w:rPr>
          <w:rFonts w:cs="Arial"/>
          <w:snapToGrid w:val="0"/>
        </w:rPr>
        <w:t>CAJ</w:t>
      </w:r>
      <w:r w:rsidR="0041185C" w:rsidRPr="00B14910">
        <w:rPr>
          <w:rFonts w:cs="Arial"/>
          <w:snapToGrid w:val="0"/>
        </w:rPr>
        <w:t> </w:t>
      </w:r>
      <w:r w:rsidRPr="00B14910">
        <w:rPr>
          <w:rFonts w:cs="Arial"/>
          <w:snapToGrid w:val="0"/>
        </w:rPr>
        <w:t xml:space="preserve">: </w:t>
      </w:r>
      <w:r w:rsidRPr="00B14910">
        <w:rPr>
          <w:rFonts w:cs="Arial"/>
          <w:snapToGrid w:val="0"/>
        </w:rPr>
        <w:tab/>
        <w:t>Comité administratif et juridique</w:t>
      </w:r>
    </w:p>
    <w:p w:rsidR="00D13BD0" w:rsidRPr="00B14910" w:rsidRDefault="00BD6768" w:rsidP="00B14910">
      <w:pPr>
        <w:keepNext/>
        <w:ind w:left="567"/>
        <w:rPr>
          <w:rFonts w:cs="Arial"/>
          <w:snapToGrid w:val="0"/>
        </w:rPr>
      </w:pPr>
      <w:r w:rsidRPr="00B14910">
        <w:rPr>
          <w:rFonts w:cs="Arial"/>
          <w:snapToGrid w:val="0"/>
        </w:rPr>
        <w:t>CAJ</w:t>
      </w:r>
      <w:r w:rsidR="0012617C" w:rsidRPr="00B14910">
        <w:rPr>
          <w:rFonts w:cs="Arial"/>
          <w:snapToGrid w:val="0"/>
        </w:rPr>
        <w:noBreakHyphen/>
      </w:r>
      <w:r w:rsidRPr="00B14910">
        <w:rPr>
          <w:rFonts w:cs="Arial"/>
          <w:snapToGrid w:val="0"/>
        </w:rPr>
        <w:t>AG</w:t>
      </w:r>
      <w:r w:rsidR="0041185C" w:rsidRPr="00B14910">
        <w:rPr>
          <w:rFonts w:cs="Arial"/>
          <w:snapToGrid w:val="0"/>
        </w:rPr>
        <w:t> </w:t>
      </w:r>
      <w:r w:rsidRPr="00B14910">
        <w:rPr>
          <w:rFonts w:cs="Arial"/>
          <w:snapToGrid w:val="0"/>
        </w:rPr>
        <w:t xml:space="preserve">: </w:t>
      </w:r>
      <w:r w:rsidRPr="00B14910">
        <w:rPr>
          <w:rFonts w:cs="Arial"/>
          <w:snapToGrid w:val="0"/>
        </w:rPr>
        <w:tab/>
        <w:t>Groupe consultatif du Comité administratif et juridique</w:t>
      </w:r>
    </w:p>
    <w:p w:rsidR="00BD6768" w:rsidRPr="00B14910" w:rsidRDefault="00BD6768" w:rsidP="00B14910">
      <w:pPr>
        <w:ind w:left="567"/>
        <w:rPr>
          <w:snapToGrid w:val="0"/>
          <w:lang w:eastAsia="ja-JP"/>
        </w:rPr>
      </w:pPr>
      <w:r w:rsidRPr="00B14910">
        <w:rPr>
          <w:snapToGrid w:val="0"/>
          <w:lang w:eastAsia="ja-JP"/>
        </w:rPr>
        <w:t>WG</w:t>
      </w:r>
      <w:r w:rsidR="0012617C" w:rsidRPr="00B14910">
        <w:rPr>
          <w:snapToGrid w:val="0"/>
          <w:lang w:eastAsia="ja-JP"/>
        </w:rPr>
        <w:noBreakHyphen/>
      </w:r>
      <w:r w:rsidRPr="00B14910">
        <w:rPr>
          <w:snapToGrid w:val="0"/>
          <w:lang w:eastAsia="ja-JP"/>
        </w:rPr>
        <w:t>DEN</w:t>
      </w:r>
      <w:r w:rsidR="0041185C" w:rsidRPr="00B14910">
        <w:rPr>
          <w:snapToGrid w:val="0"/>
          <w:lang w:eastAsia="ja-JP"/>
        </w:rPr>
        <w:t> </w:t>
      </w:r>
      <w:r w:rsidRPr="00B14910">
        <w:rPr>
          <w:snapToGrid w:val="0"/>
          <w:lang w:eastAsia="ja-JP"/>
        </w:rPr>
        <w:t xml:space="preserve">: </w:t>
      </w:r>
      <w:r w:rsidRPr="00B14910">
        <w:rPr>
          <w:snapToGrid w:val="0"/>
          <w:lang w:eastAsia="ja-JP"/>
        </w:rPr>
        <w:tab/>
        <w:t>Groupe de travail sur les dénominations variétales</w:t>
      </w:r>
    </w:p>
    <w:p w:rsidR="00BD6768" w:rsidRPr="00B14910" w:rsidRDefault="00BD6768" w:rsidP="00B14910">
      <w:pPr>
        <w:ind w:left="567"/>
        <w:rPr>
          <w:snapToGrid w:val="0"/>
          <w:lang w:eastAsia="ja-JP"/>
        </w:rPr>
      </w:pPr>
      <w:r w:rsidRPr="00B14910">
        <w:rPr>
          <w:snapToGrid w:val="0"/>
          <w:lang w:eastAsia="ja-JP"/>
        </w:rPr>
        <w:t>WG</w:t>
      </w:r>
      <w:r w:rsidR="0012617C" w:rsidRPr="00B14910">
        <w:rPr>
          <w:snapToGrid w:val="0"/>
          <w:lang w:eastAsia="ja-JP"/>
        </w:rPr>
        <w:noBreakHyphen/>
      </w:r>
      <w:r w:rsidRPr="00B14910">
        <w:rPr>
          <w:snapToGrid w:val="0"/>
          <w:lang w:eastAsia="ja-JP"/>
        </w:rPr>
        <w:t>DST</w:t>
      </w:r>
      <w:r w:rsidR="0041185C" w:rsidRPr="00B14910">
        <w:rPr>
          <w:snapToGrid w:val="0"/>
          <w:lang w:eastAsia="ja-JP"/>
        </w:rPr>
        <w:t> </w:t>
      </w:r>
      <w:r w:rsidRPr="00B14910">
        <w:rPr>
          <w:snapToGrid w:val="0"/>
          <w:lang w:eastAsia="ja-JP"/>
        </w:rPr>
        <w:t xml:space="preserve">: </w:t>
      </w:r>
      <w:r w:rsidRPr="00B14910">
        <w:rPr>
          <w:snapToGrid w:val="0"/>
          <w:lang w:eastAsia="ja-JP"/>
        </w:rPr>
        <w:tab/>
        <w:t>groupe de travail sur l</w:t>
      </w:r>
      <w:r w:rsidR="00D13BD0" w:rsidRPr="00B14910">
        <w:rPr>
          <w:snapToGrid w:val="0"/>
          <w:lang w:eastAsia="ja-JP"/>
        </w:rPr>
        <w:t>’</w:t>
      </w:r>
      <w:r w:rsidRPr="00B14910">
        <w:rPr>
          <w:snapToGrid w:val="0"/>
          <w:lang w:eastAsia="ja-JP"/>
        </w:rPr>
        <w:t>élaboration d</w:t>
      </w:r>
      <w:r w:rsidR="00D13BD0" w:rsidRPr="00B14910">
        <w:rPr>
          <w:snapToGrid w:val="0"/>
          <w:lang w:eastAsia="ja-JP"/>
        </w:rPr>
        <w:t>’</w:t>
      </w:r>
      <w:r w:rsidRPr="00B14910">
        <w:rPr>
          <w:snapToGrid w:val="0"/>
          <w:lang w:eastAsia="ja-JP"/>
        </w:rPr>
        <w:t>outils de recherche sur les dénominations variétales</w:t>
      </w:r>
    </w:p>
    <w:p w:rsidR="00BD6768" w:rsidRPr="00B14910" w:rsidRDefault="00BD6768" w:rsidP="00B14910">
      <w:pPr>
        <w:rPr>
          <w:rFonts w:cs="Arial"/>
          <w:szCs w:val="24"/>
          <w:lang w:eastAsia="ja-JP"/>
        </w:rPr>
      </w:pPr>
    </w:p>
    <w:p w:rsidR="00BD6768" w:rsidRPr="00B14910" w:rsidRDefault="00BD6768" w:rsidP="00B14910">
      <w:pPr>
        <w:rPr>
          <w:rFonts w:cs="Arial"/>
          <w:szCs w:val="24"/>
          <w:lang w:eastAsia="ja-JP"/>
        </w:rPr>
      </w:pPr>
    </w:p>
    <w:p w:rsidR="00BD6768" w:rsidRPr="00B14910" w:rsidRDefault="00BD6768" w:rsidP="00B14910">
      <w:pPr>
        <w:pStyle w:val="Heading1"/>
        <w:rPr>
          <w:lang w:val="fr-FR" w:eastAsia="ja-JP"/>
        </w:rPr>
      </w:pPr>
      <w:bookmarkStart w:id="15" w:name="_Toc464480197"/>
      <w:r w:rsidRPr="00B14910">
        <w:rPr>
          <w:lang w:val="fr-FR"/>
        </w:rPr>
        <w:t>Objet</w:t>
      </w:r>
      <w:bookmarkEnd w:id="15"/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E10886" w:rsidP="00B14910">
      <w:pPr>
        <w:rPr>
          <w:snapToGrid w:val="0"/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BD6768" w:rsidRPr="00B14910">
        <w:t>Le présent document a pour objet de faire rapport sur les travaux concernant la possibilité d</w:t>
      </w:r>
      <w:r w:rsidR="00D13BD0" w:rsidRPr="00B14910">
        <w:t>’</w:t>
      </w:r>
      <w:r w:rsidR="00BD6768" w:rsidRPr="00B14910">
        <w:t xml:space="preserve">élaborer un </w:t>
      </w:r>
      <w:r w:rsidR="00BC6A08" w:rsidRPr="00B14910">
        <w:t>moteur de recherche de similitudes dans les dénominations variétales de l</w:t>
      </w:r>
      <w:r w:rsidR="00D13BD0" w:rsidRPr="00B14910">
        <w:t>’</w:t>
      </w:r>
      <w:r w:rsidR="00BC6A08" w:rsidRPr="00B14910">
        <w:t xml:space="preserve">UPOV </w:t>
      </w:r>
      <w:r w:rsidR="00BD6768" w:rsidRPr="00B14910">
        <w:t>et d</w:t>
      </w:r>
      <w:r w:rsidR="00D13BD0" w:rsidRPr="00B14910">
        <w:t>’</w:t>
      </w:r>
      <w:r w:rsidR="00BD6768" w:rsidRPr="00B14910">
        <w:t xml:space="preserve">examiner la révision éventuelle du document UPOV/INF/12 “Notes explicatives concernant les dénominations variétales en vertu de la </w:t>
      </w:r>
      <w:r w:rsidR="00D13BD0" w:rsidRPr="00B14910">
        <w:t>Convention UPOV</w:t>
      </w:r>
      <w:r w:rsidR="00BD6768" w:rsidRPr="00B14910">
        <w:t>”.</w:t>
      </w:r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Pr="00B14910" w:rsidRDefault="00BD6768" w:rsidP="00B14910">
      <w:pPr>
        <w:jc w:val="left"/>
        <w:rPr>
          <w:caps/>
          <w:snapToGrid w:val="0"/>
          <w:lang w:eastAsia="ja-JP"/>
        </w:rPr>
      </w:pPr>
      <w:bookmarkStart w:id="16" w:name="_Toc427161611"/>
    </w:p>
    <w:p w:rsidR="00BD6768" w:rsidRPr="00B14910" w:rsidRDefault="00BD6768" w:rsidP="00B14910">
      <w:pPr>
        <w:pStyle w:val="Heading1"/>
        <w:rPr>
          <w:snapToGrid w:val="0"/>
          <w:lang w:val="fr-FR" w:eastAsia="ja-JP"/>
        </w:rPr>
      </w:pPr>
      <w:bookmarkStart w:id="17" w:name="_Toc464480198"/>
      <w:bookmarkEnd w:id="16"/>
      <w:r w:rsidRPr="00B14910">
        <w:rPr>
          <w:snapToGrid w:val="0"/>
          <w:lang w:val="fr-FR" w:eastAsia="ja-JP"/>
        </w:rPr>
        <w:t>Révision du document UPOV/INF/12 “Notes explicatives concernant les d</w:t>
      </w:r>
      <w:r w:rsidR="0012617C" w:rsidRPr="00B14910">
        <w:rPr>
          <w:snapToGrid w:val="0"/>
          <w:lang w:val="fr-FR" w:eastAsia="ja-JP"/>
        </w:rPr>
        <w:t>é</w:t>
      </w:r>
      <w:r w:rsidRPr="00B14910">
        <w:rPr>
          <w:snapToGrid w:val="0"/>
          <w:lang w:val="fr-FR" w:eastAsia="ja-JP"/>
        </w:rPr>
        <w:t>nominations vari</w:t>
      </w:r>
      <w:r w:rsidR="0012617C" w:rsidRPr="00B14910">
        <w:rPr>
          <w:snapToGrid w:val="0"/>
          <w:lang w:val="fr-FR" w:eastAsia="ja-JP"/>
        </w:rPr>
        <w:t>é</w:t>
      </w:r>
      <w:r w:rsidRPr="00B14910">
        <w:rPr>
          <w:snapToGrid w:val="0"/>
          <w:lang w:val="fr-FR" w:eastAsia="ja-JP"/>
        </w:rPr>
        <w:t xml:space="preserve">tales en vertu de la </w:t>
      </w:r>
      <w:r w:rsidR="00D13BD0" w:rsidRPr="00B14910">
        <w:rPr>
          <w:snapToGrid w:val="0"/>
          <w:lang w:val="fr-FR" w:eastAsia="ja-JP"/>
        </w:rPr>
        <w:t>Convention UPOV</w:t>
      </w:r>
      <w:r w:rsidRPr="00B14910">
        <w:rPr>
          <w:snapToGrid w:val="0"/>
          <w:lang w:val="fr-FR" w:eastAsia="ja-JP"/>
        </w:rPr>
        <w:t>”</w:t>
      </w:r>
      <w:bookmarkEnd w:id="17"/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Pr="00B14910" w:rsidRDefault="006B4B5C" w:rsidP="00B14910">
      <w:pPr>
        <w:pStyle w:val="Heading2"/>
        <w:rPr>
          <w:snapToGrid w:val="0"/>
          <w:lang w:val="fr-FR" w:eastAsia="ja-JP"/>
        </w:rPr>
      </w:pPr>
      <w:bookmarkStart w:id="18" w:name="_Toc464480199"/>
      <w:r w:rsidRPr="00B14910">
        <w:rPr>
          <w:snapToGrid w:val="0"/>
          <w:lang w:val="fr-FR" w:eastAsia="ja-JP"/>
        </w:rPr>
        <w:t>D</w:t>
      </w:r>
      <w:r w:rsidR="00CC6820" w:rsidRPr="00B14910">
        <w:rPr>
          <w:snapToGrid w:val="0"/>
          <w:lang w:val="fr-FR" w:eastAsia="ja-JP"/>
        </w:rPr>
        <w:t>élibérations au sein</w:t>
      </w:r>
      <w:r w:rsidR="00D13BD0" w:rsidRPr="00B14910">
        <w:rPr>
          <w:snapToGrid w:val="0"/>
          <w:lang w:val="fr-FR" w:eastAsia="ja-JP"/>
        </w:rPr>
        <w:t xml:space="preserve"> du CAJ</w:t>
      </w:r>
      <w:bookmarkEnd w:id="18"/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Pr="00B14910" w:rsidRDefault="00037A85" w:rsidP="00B14910">
      <w:pPr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BD6768" w:rsidRPr="00B14910">
        <w:t>Les informations générales sur cette question sont fournies dans le document CAJ/72/3 “Dénominations variétales”.</w:t>
      </w:r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Pr="00B14910" w:rsidRDefault="00037A85" w:rsidP="00B14910">
      <w:pPr>
        <w:rPr>
          <w:snapToGrid w:val="0"/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CC6820" w:rsidRPr="00B14910">
        <w:rPr>
          <w:lang w:eastAsia="ja-JP"/>
        </w:rPr>
        <w:t>À sa soixante</w:t>
      </w:r>
      <w:r w:rsidR="0012617C" w:rsidRPr="00B14910">
        <w:rPr>
          <w:lang w:eastAsia="ja-JP"/>
        </w:rPr>
        <w:noBreakHyphen/>
      </w:r>
      <w:r w:rsidR="00CC6820" w:rsidRPr="00B14910">
        <w:rPr>
          <w:lang w:eastAsia="ja-JP"/>
        </w:rPr>
        <w:t>douzième session</w:t>
      </w:r>
      <w:r w:rsidR="00CC6820" w:rsidRPr="00B14910">
        <w:rPr>
          <w:rStyle w:val="FootnoteReference"/>
          <w:lang w:eastAsia="ja-JP"/>
        </w:rPr>
        <w:footnoteReference w:id="2"/>
      </w:r>
      <w:r w:rsidR="00CC6820" w:rsidRPr="00B14910">
        <w:rPr>
          <w:lang w:eastAsia="ja-JP"/>
        </w:rPr>
        <w:t>,</w:t>
      </w:r>
      <w:r w:rsidR="00D13BD0" w:rsidRPr="00B14910">
        <w:rPr>
          <w:lang w:eastAsia="ja-JP"/>
        </w:rPr>
        <w:t xml:space="preserve"> le CAJ</w:t>
      </w:r>
      <w:r w:rsidRPr="00B14910">
        <w:rPr>
          <w:lang w:eastAsia="ja-JP"/>
        </w:rPr>
        <w:t xml:space="preserve"> </w:t>
      </w:r>
      <w:r w:rsidR="00CC6820" w:rsidRPr="00B14910">
        <w:rPr>
          <w:snapToGrid w:val="0"/>
          <w:lang w:eastAsia="ja-JP"/>
        </w:rPr>
        <w:t>a pris note des travaux du WG</w:t>
      </w:r>
      <w:r w:rsidR="0012617C" w:rsidRPr="00B14910">
        <w:rPr>
          <w:snapToGrid w:val="0"/>
          <w:lang w:eastAsia="ja-JP"/>
        </w:rPr>
        <w:noBreakHyphen/>
      </w:r>
      <w:r w:rsidR="00CC6820" w:rsidRPr="00B14910">
        <w:rPr>
          <w:snapToGrid w:val="0"/>
          <w:lang w:eastAsia="ja-JP"/>
        </w:rPr>
        <w:t>DST concernant la possibilité d</w:t>
      </w:r>
      <w:r w:rsidR="00D13BD0" w:rsidRPr="00B14910">
        <w:rPr>
          <w:snapToGrid w:val="0"/>
          <w:lang w:eastAsia="ja-JP"/>
        </w:rPr>
        <w:t>’</w:t>
      </w:r>
      <w:r w:rsidR="00CC6820" w:rsidRPr="00B14910">
        <w:rPr>
          <w:snapToGrid w:val="0"/>
          <w:lang w:eastAsia="ja-JP"/>
        </w:rPr>
        <w:t>élaboration d</w:t>
      </w:r>
      <w:r w:rsidR="00D13BD0" w:rsidRPr="00B14910">
        <w:rPr>
          <w:snapToGrid w:val="0"/>
          <w:lang w:eastAsia="ja-JP"/>
        </w:rPr>
        <w:t>’</w:t>
      </w:r>
      <w:r w:rsidR="00CC6820" w:rsidRPr="00B14910">
        <w:rPr>
          <w:snapToGrid w:val="0"/>
          <w:lang w:eastAsia="ja-JP"/>
        </w:rPr>
        <w:t xml:space="preserve">un </w:t>
      </w:r>
      <w:r w:rsidR="002F3261" w:rsidRPr="00B14910">
        <w:rPr>
          <w:snapToGrid w:val="0"/>
          <w:lang w:eastAsia="ja-JP"/>
        </w:rPr>
        <w:t>m</w:t>
      </w:r>
      <w:r w:rsidR="002F3261" w:rsidRPr="00B14910">
        <w:rPr>
          <w:szCs w:val="24"/>
        </w:rPr>
        <w:t>oteur de recherche de similitudes dans les dénominations variétales de l</w:t>
      </w:r>
      <w:r w:rsidR="00D13BD0" w:rsidRPr="00B14910">
        <w:rPr>
          <w:szCs w:val="24"/>
        </w:rPr>
        <w:t>’</w:t>
      </w:r>
      <w:r w:rsidR="002F3261" w:rsidRPr="00B14910">
        <w:rPr>
          <w:szCs w:val="24"/>
        </w:rPr>
        <w:t>UPOV</w:t>
      </w:r>
      <w:r w:rsidR="00766C13" w:rsidRPr="00B14910">
        <w:rPr>
          <w:rStyle w:val="FootnoteReference"/>
          <w:snapToGrid w:val="0"/>
          <w:lang w:eastAsia="ja-JP"/>
        </w:rPr>
        <w:footnoteReference w:id="3"/>
      </w:r>
      <w:r w:rsidR="0041185C" w:rsidRPr="00B14910">
        <w:rPr>
          <w:snapToGrid w:val="0"/>
          <w:lang w:eastAsia="ja-JP"/>
        </w:rPr>
        <w:t>.</w:t>
      </w:r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Pr="00B14910" w:rsidRDefault="00AA2932" w:rsidP="00B14910">
      <w:pPr>
        <w:rPr>
          <w:snapToGrid w:val="0"/>
          <w:lang w:eastAsia="ja-JP"/>
        </w:rPr>
      </w:pPr>
      <w:r w:rsidRPr="00B14910">
        <w:rPr>
          <w:snapToGrid w:val="0"/>
          <w:lang w:eastAsia="ja-JP"/>
        </w:rPr>
        <w:fldChar w:fldCharType="begin"/>
      </w:r>
      <w:r w:rsidRPr="00B14910">
        <w:rPr>
          <w:snapToGrid w:val="0"/>
          <w:lang w:eastAsia="ja-JP"/>
        </w:rPr>
        <w:instrText xml:space="preserve"> AUTONUM  </w:instrText>
      </w:r>
      <w:r w:rsidRPr="00B14910">
        <w:rPr>
          <w:snapToGrid w:val="0"/>
          <w:lang w:eastAsia="ja-JP"/>
        </w:rPr>
        <w:fldChar w:fldCharType="end"/>
      </w:r>
      <w:r w:rsidRPr="00B14910">
        <w:rPr>
          <w:snapToGrid w:val="0"/>
          <w:lang w:eastAsia="ja-JP"/>
        </w:rPr>
        <w:tab/>
      </w:r>
      <w:r w:rsidR="00CC6820" w:rsidRPr="00B14910">
        <w:rPr>
          <w:lang w:eastAsia="ja-JP"/>
        </w:rPr>
        <w:t>À sa soixante</w:t>
      </w:r>
      <w:r w:rsidR="0012617C" w:rsidRPr="00B14910">
        <w:rPr>
          <w:lang w:eastAsia="ja-JP"/>
        </w:rPr>
        <w:noBreakHyphen/>
      </w:r>
      <w:r w:rsidR="00CC6820" w:rsidRPr="00B14910">
        <w:rPr>
          <w:lang w:eastAsia="ja-JP"/>
        </w:rPr>
        <w:t>douzième session</w:t>
      </w:r>
      <w:r w:rsidR="00042C90" w:rsidRPr="00B14910">
        <w:rPr>
          <w:lang w:eastAsia="ja-JP"/>
        </w:rPr>
        <w:t>,</w:t>
      </w:r>
      <w:r w:rsidR="00D13BD0" w:rsidRPr="00B14910">
        <w:rPr>
          <w:snapToGrid w:val="0"/>
          <w:lang w:eastAsia="ja-JP"/>
        </w:rPr>
        <w:t xml:space="preserve"> le CAJ</w:t>
      </w:r>
      <w:r w:rsidR="00CC6820" w:rsidRPr="00B14910">
        <w:rPr>
          <w:snapToGrid w:val="0"/>
          <w:lang w:eastAsia="ja-JP"/>
        </w:rPr>
        <w:t xml:space="preserve"> a pris note des éléments ci</w:t>
      </w:r>
      <w:r w:rsidR="0012617C" w:rsidRPr="00B14910">
        <w:rPr>
          <w:snapToGrid w:val="0"/>
          <w:lang w:eastAsia="ja-JP"/>
        </w:rPr>
        <w:noBreakHyphen/>
      </w:r>
      <w:r w:rsidR="00CC6820" w:rsidRPr="00B14910">
        <w:rPr>
          <w:snapToGrid w:val="0"/>
          <w:lang w:eastAsia="ja-JP"/>
        </w:rPr>
        <w:t xml:space="preserve">après à partir du rapport verbal </w:t>
      </w:r>
      <w:r w:rsidR="00B23D87" w:rsidRPr="00B14910">
        <w:rPr>
          <w:snapToGrid w:val="0"/>
          <w:lang w:eastAsia="ja-JP"/>
        </w:rPr>
        <w:t>présenté</w:t>
      </w:r>
      <w:r w:rsidR="00CC6820" w:rsidRPr="00B14910">
        <w:rPr>
          <w:snapToGrid w:val="0"/>
          <w:lang w:eastAsia="ja-JP"/>
        </w:rPr>
        <w:t xml:space="preserve"> par le secrétaire général adjoint</w:t>
      </w:r>
      <w:r w:rsidR="0012617C" w:rsidRPr="00B14910">
        <w:rPr>
          <w:snapToGrid w:val="0"/>
          <w:lang w:eastAsia="ja-JP"/>
        </w:rPr>
        <w:t xml:space="preserve"> sur la troisième réunion du WG</w:t>
      </w:r>
      <w:r w:rsidR="0012617C" w:rsidRPr="00B14910">
        <w:rPr>
          <w:snapToGrid w:val="0"/>
          <w:lang w:eastAsia="ja-JP"/>
        </w:rPr>
        <w:noBreakHyphen/>
      </w:r>
      <w:r w:rsidR="00CC6820" w:rsidRPr="00B14910">
        <w:rPr>
          <w:snapToGrid w:val="0"/>
          <w:lang w:eastAsia="ja-JP"/>
        </w:rPr>
        <w:t>DST</w:t>
      </w:r>
      <w:r w:rsidR="00042C90" w:rsidRPr="00B14910">
        <w:rPr>
          <w:rStyle w:val="FootnoteReference"/>
          <w:snapToGrid w:val="0"/>
          <w:lang w:eastAsia="ja-JP"/>
        </w:rPr>
        <w:footnoteReference w:id="4"/>
      </w:r>
      <w:r w:rsidR="00042C90" w:rsidRPr="00B14910">
        <w:rPr>
          <w:snapToGrid w:val="0"/>
          <w:vertAlign w:val="superscript"/>
          <w:lang w:eastAsia="ja-JP"/>
        </w:rPr>
        <w:t>,</w:t>
      </w:r>
      <w:r w:rsidR="00766C13" w:rsidRPr="00B14910">
        <w:rPr>
          <w:rStyle w:val="FootnoteReference"/>
          <w:snapToGrid w:val="0"/>
          <w:lang w:eastAsia="ja-JP"/>
        </w:rPr>
        <w:footnoteReference w:id="5"/>
      </w:r>
      <w:r w:rsidR="0012617C" w:rsidRPr="00B14910">
        <w:rPr>
          <w:snapToGrid w:val="0"/>
          <w:vertAlign w:val="superscript"/>
          <w:lang w:eastAsia="ja-JP"/>
        </w:rPr>
        <w:t> </w:t>
      </w:r>
      <w:r w:rsidR="0012617C" w:rsidRPr="00B14910">
        <w:rPr>
          <w:snapToGrid w:val="0"/>
          <w:lang w:eastAsia="ja-JP"/>
        </w:rPr>
        <w:t>:</w:t>
      </w: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AA2932" w:rsidP="00B14910">
      <w:pPr>
        <w:rPr>
          <w:rFonts w:cs="Arial"/>
          <w:lang w:eastAsia="ja-JP"/>
        </w:rPr>
      </w:pPr>
      <w:r w:rsidRPr="00B14910">
        <w:rPr>
          <w:lang w:eastAsia="ja-JP"/>
        </w:rPr>
        <w:tab/>
      </w:r>
      <w:r w:rsidR="004046F3" w:rsidRPr="00B14910">
        <w:rPr>
          <w:lang w:eastAsia="ja-JP"/>
        </w:rPr>
        <w:t>a)</w:t>
      </w:r>
      <w:r w:rsidR="004046F3" w:rsidRPr="00B14910">
        <w:rPr>
          <w:lang w:eastAsia="ja-JP"/>
        </w:rPr>
        <w:tab/>
        <w:t>Les membres de l</w:t>
      </w:r>
      <w:r w:rsidR="00D13BD0" w:rsidRPr="00B14910">
        <w:rPr>
          <w:lang w:eastAsia="ja-JP"/>
        </w:rPr>
        <w:t>’</w:t>
      </w:r>
      <w:r w:rsidR="004046F3" w:rsidRPr="00B14910">
        <w:rPr>
          <w:lang w:eastAsia="ja-JP"/>
        </w:rPr>
        <w:t>Union ont été invités, au moyen de la circulaire E</w:t>
      </w:r>
      <w:r w:rsidR="0012617C" w:rsidRPr="00B14910">
        <w:rPr>
          <w:lang w:eastAsia="ja-JP"/>
        </w:rPr>
        <w:noBreakHyphen/>
      </w:r>
      <w:r w:rsidR="004046F3" w:rsidRPr="00B14910">
        <w:rPr>
          <w:lang w:eastAsia="ja-JP"/>
        </w:rPr>
        <w:t>15/156 du 1</w:t>
      </w:r>
      <w:r w:rsidR="00D13BD0" w:rsidRPr="00B14910">
        <w:rPr>
          <w:lang w:eastAsia="ja-JP"/>
        </w:rPr>
        <w:t>9 août 20</w:t>
      </w:r>
      <w:r w:rsidR="004046F3" w:rsidRPr="00B14910">
        <w:rPr>
          <w:lang w:eastAsia="ja-JP"/>
        </w:rPr>
        <w:t>15, à participer à la deuxième étape de l</w:t>
      </w:r>
      <w:r w:rsidR="00D13BD0" w:rsidRPr="00B14910">
        <w:rPr>
          <w:lang w:eastAsia="ja-JP"/>
        </w:rPr>
        <w:t>’</w:t>
      </w:r>
      <w:r w:rsidR="004046F3" w:rsidRPr="00B14910">
        <w:rPr>
          <w:lang w:eastAsia="ja-JP"/>
        </w:rPr>
        <w:t>étude test en vue de l</w:t>
      </w:r>
      <w:r w:rsidR="00D13BD0" w:rsidRPr="00B14910">
        <w:rPr>
          <w:lang w:eastAsia="ja-JP"/>
        </w:rPr>
        <w:t>’</w:t>
      </w:r>
      <w:r w:rsidR="004046F3" w:rsidRPr="00B14910">
        <w:rPr>
          <w:lang w:eastAsia="ja-JP"/>
        </w:rPr>
        <w:t>élaboration d</w:t>
      </w:r>
      <w:r w:rsidR="00D13BD0" w:rsidRPr="00B14910">
        <w:rPr>
          <w:lang w:eastAsia="ja-JP"/>
        </w:rPr>
        <w:t>’</w:t>
      </w:r>
      <w:r w:rsidR="004046F3" w:rsidRPr="00B14910">
        <w:rPr>
          <w:lang w:eastAsia="ja-JP"/>
        </w:rPr>
        <w:t xml:space="preserve">un </w:t>
      </w:r>
      <w:r w:rsidR="00BC6A08" w:rsidRPr="00B14910">
        <w:rPr>
          <w:lang w:eastAsia="ja-JP"/>
        </w:rPr>
        <w:t>moteur de recherche de similitudes dans les dénominations variétales effica</w:t>
      </w:r>
      <w:r w:rsidR="00DB297C" w:rsidRPr="00B14910">
        <w:rPr>
          <w:lang w:eastAsia="ja-JP"/>
        </w:rPr>
        <w:t>ce.  L’o</w:t>
      </w:r>
      <w:r w:rsidR="004046F3" w:rsidRPr="00B14910">
        <w:rPr>
          <w:lang w:eastAsia="ja-JP"/>
        </w:rPr>
        <w:t>bjectif de la deuxième étape est d</w:t>
      </w:r>
      <w:r w:rsidR="00D13BD0" w:rsidRPr="00B14910">
        <w:rPr>
          <w:lang w:eastAsia="ja-JP"/>
        </w:rPr>
        <w:t>’</w:t>
      </w:r>
      <w:r w:rsidR="004046F3" w:rsidRPr="00B14910">
        <w:rPr>
          <w:lang w:eastAsia="ja-JP"/>
        </w:rPr>
        <w:t>affiner l</w:t>
      </w:r>
      <w:r w:rsidR="00D13BD0" w:rsidRPr="00B14910">
        <w:rPr>
          <w:lang w:eastAsia="ja-JP"/>
        </w:rPr>
        <w:t>’</w:t>
      </w:r>
      <w:r w:rsidR="004046F3" w:rsidRPr="00B14910">
        <w:rPr>
          <w:lang w:eastAsia="ja-JP"/>
        </w:rPr>
        <w:t>algorithme considéré comme le meilleur algorithme dans la première étape de l</w:t>
      </w:r>
      <w:r w:rsidR="00D13BD0" w:rsidRPr="00B14910">
        <w:rPr>
          <w:lang w:eastAsia="ja-JP"/>
        </w:rPr>
        <w:t>’</w:t>
      </w:r>
      <w:r w:rsidR="004046F3" w:rsidRPr="00B14910">
        <w:rPr>
          <w:lang w:eastAsia="ja-JP"/>
        </w:rPr>
        <w:t>étude te</w:t>
      </w:r>
      <w:r w:rsidR="00DB297C" w:rsidRPr="00B14910">
        <w:rPr>
          <w:lang w:eastAsia="ja-JP"/>
        </w:rPr>
        <w:t>st.  En</w:t>
      </w:r>
      <w:r w:rsidR="004046F3" w:rsidRPr="00B14910">
        <w:rPr>
          <w:lang w:eastAsia="ja-JP"/>
        </w:rPr>
        <w:t xml:space="preserve"> fonction des résultats de la deuxième étape, le Bureau de l</w:t>
      </w:r>
      <w:r w:rsidR="00D13BD0" w:rsidRPr="00B14910">
        <w:rPr>
          <w:lang w:eastAsia="ja-JP"/>
        </w:rPr>
        <w:t>’</w:t>
      </w:r>
      <w:r w:rsidR="004046F3" w:rsidRPr="00B14910">
        <w:rPr>
          <w:lang w:eastAsia="ja-JP"/>
        </w:rPr>
        <w:t>Union affinera l</w:t>
      </w:r>
      <w:r w:rsidR="00D13BD0" w:rsidRPr="00B14910">
        <w:rPr>
          <w:lang w:eastAsia="ja-JP"/>
        </w:rPr>
        <w:t>’</w:t>
      </w:r>
      <w:r w:rsidR="004046F3" w:rsidRPr="00B14910">
        <w:rPr>
          <w:lang w:eastAsia="ja-JP"/>
        </w:rPr>
        <w:t>algorithme en novembre/</w:t>
      </w:r>
      <w:r w:rsidR="00D13BD0" w:rsidRPr="00B14910">
        <w:rPr>
          <w:lang w:eastAsia="ja-JP"/>
        </w:rPr>
        <w:t>décembre 20</w:t>
      </w:r>
      <w:r w:rsidR="004046F3" w:rsidRPr="00B14910">
        <w:rPr>
          <w:lang w:eastAsia="ja-JP"/>
        </w:rPr>
        <w:t>15 et l</w:t>
      </w:r>
      <w:r w:rsidR="00D13BD0" w:rsidRPr="00B14910">
        <w:rPr>
          <w:lang w:eastAsia="ja-JP"/>
        </w:rPr>
        <w:t>’</w:t>
      </w:r>
      <w:r w:rsidR="004046F3" w:rsidRPr="00B14910">
        <w:rPr>
          <w:lang w:eastAsia="ja-JP"/>
        </w:rPr>
        <w:t xml:space="preserve">adaptera en </w:t>
      </w:r>
      <w:r w:rsidR="00D13BD0" w:rsidRPr="00B14910">
        <w:rPr>
          <w:lang w:eastAsia="ja-JP"/>
        </w:rPr>
        <w:t>décembre 20</w:t>
      </w:r>
      <w:r w:rsidR="004046F3" w:rsidRPr="00B14910">
        <w:rPr>
          <w:lang w:eastAsia="ja-JP"/>
        </w:rPr>
        <w:t xml:space="preserve">15. </w:t>
      </w:r>
      <w:r w:rsidR="0041185C" w:rsidRPr="00B14910">
        <w:rPr>
          <w:lang w:eastAsia="ja-JP"/>
        </w:rPr>
        <w:t xml:space="preserve"> </w:t>
      </w:r>
      <w:r w:rsidR="004046F3" w:rsidRPr="00B14910">
        <w:rPr>
          <w:lang w:eastAsia="ja-JP"/>
        </w:rPr>
        <w:t>L</w:t>
      </w:r>
      <w:r w:rsidR="00D13BD0" w:rsidRPr="00B14910">
        <w:rPr>
          <w:lang w:eastAsia="ja-JP"/>
        </w:rPr>
        <w:t>’</w:t>
      </w:r>
      <w:r w:rsidR="004046F3" w:rsidRPr="00B14910">
        <w:rPr>
          <w:lang w:eastAsia="ja-JP"/>
        </w:rPr>
        <w:t>algorithme révisé sera examiné par le WG</w:t>
      </w:r>
      <w:r w:rsidR="0012617C" w:rsidRPr="00B14910">
        <w:rPr>
          <w:lang w:eastAsia="ja-JP"/>
        </w:rPr>
        <w:noBreakHyphen/>
      </w:r>
      <w:r w:rsidR="004046F3" w:rsidRPr="00B14910">
        <w:rPr>
          <w:lang w:eastAsia="ja-JP"/>
        </w:rPr>
        <w:t xml:space="preserve">DST à sa quatrième réunion, qui se tiendra le </w:t>
      </w:r>
      <w:r w:rsidR="00D13BD0" w:rsidRPr="00B14910">
        <w:rPr>
          <w:lang w:eastAsia="ja-JP"/>
        </w:rPr>
        <w:t>4 février 20</w:t>
      </w:r>
      <w:r w:rsidR="006A4C42">
        <w:rPr>
          <w:lang w:eastAsia="ja-JP"/>
        </w:rPr>
        <w:t>16;</w:t>
      </w:r>
    </w:p>
    <w:p w:rsidR="00BD6768" w:rsidRPr="00B14910" w:rsidRDefault="00BD6768" w:rsidP="00B14910"/>
    <w:p w:rsidR="00BD6768" w:rsidRPr="00B14910" w:rsidRDefault="00AA2932" w:rsidP="00B14910">
      <w:r w:rsidRPr="00B14910">
        <w:tab/>
      </w:r>
      <w:r w:rsidR="004046F3" w:rsidRPr="00B14910">
        <w:t>b)</w:t>
      </w:r>
      <w:r w:rsidR="004046F3" w:rsidRPr="00B14910">
        <w:tab/>
        <w:t>S</w:t>
      </w:r>
      <w:r w:rsidR="00D13BD0" w:rsidRPr="00B14910">
        <w:t>’</w:t>
      </w:r>
      <w:r w:rsidR="004046F3" w:rsidRPr="00B14910">
        <w:t>agissant des termes non acceptables, le WG</w:t>
      </w:r>
      <w:r w:rsidR="0012617C" w:rsidRPr="00B14910">
        <w:noBreakHyphen/>
      </w:r>
      <w:r w:rsidR="004046F3" w:rsidRPr="00B14910">
        <w:t>DST a proposé de considérer les noms botaniques et communs comme termes non acceptabl</w:t>
      </w:r>
      <w:r w:rsidR="00DB297C" w:rsidRPr="00B14910">
        <w:t>es.  Il</w:t>
      </w:r>
      <w:r w:rsidR="004046F3" w:rsidRPr="00B14910">
        <w:t xml:space="preserve"> est convenu qu</w:t>
      </w:r>
      <w:r w:rsidR="00D13BD0" w:rsidRPr="00B14910">
        <w:t>’</w:t>
      </w:r>
      <w:r w:rsidR="004046F3" w:rsidRPr="00B14910">
        <w:t>il serait nécessaire de restreindre les noms communs, peut</w:t>
      </w:r>
      <w:r w:rsidR="0012617C" w:rsidRPr="00B14910">
        <w:noBreakHyphen/>
      </w:r>
      <w:r w:rsidR="004046F3" w:rsidRPr="00B14910">
        <w:t>être à ceux de la base de données GENIE et uniquement pour certaines</w:t>
      </w:r>
      <w:r w:rsidR="006A4C42">
        <w:t xml:space="preserve"> plantes ou espèces déterminées;</w:t>
      </w:r>
    </w:p>
    <w:p w:rsidR="00BD6768" w:rsidRPr="00B14910" w:rsidRDefault="00BD6768" w:rsidP="00B14910"/>
    <w:p w:rsidR="00BD6768" w:rsidRPr="00B14910" w:rsidRDefault="00AA2932" w:rsidP="00B14910">
      <w:r w:rsidRPr="00B14910">
        <w:tab/>
      </w:r>
      <w:r w:rsidR="004046F3" w:rsidRPr="00B14910">
        <w:t>c)</w:t>
      </w:r>
      <w:r w:rsidR="004046F3" w:rsidRPr="00B14910">
        <w:tab/>
        <w:t>S</w:t>
      </w:r>
      <w:r w:rsidR="00D13BD0" w:rsidRPr="00B14910">
        <w:t>’</w:t>
      </w:r>
      <w:r w:rsidR="004046F3" w:rsidRPr="00B14910">
        <w:t>agissant des comparatifs/superlatifs, le WG</w:t>
      </w:r>
      <w:r w:rsidR="0012617C" w:rsidRPr="00B14910">
        <w:noBreakHyphen/>
      </w:r>
      <w:r w:rsidR="004046F3" w:rsidRPr="00B14910">
        <w:t>DST est convenu d</w:t>
      </w:r>
      <w:r w:rsidR="00D13BD0" w:rsidRPr="00B14910">
        <w:t>’</w:t>
      </w:r>
      <w:r w:rsidR="004046F3" w:rsidRPr="00B14910">
        <w:t>étudier la possibilité d</w:t>
      </w:r>
      <w:r w:rsidR="00D13BD0" w:rsidRPr="00B14910">
        <w:t>’</w:t>
      </w:r>
      <w:r w:rsidR="004046F3" w:rsidRPr="00B14910">
        <w:t>inclure une liste de comparatifs/superlatifs considérés comme termes non acceptabl</w:t>
      </w:r>
      <w:r w:rsidR="00DB297C" w:rsidRPr="00B14910">
        <w:t>es.  Ce</w:t>
      </w:r>
      <w:r w:rsidR="004046F3" w:rsidRPr="00B14910">
        <w:t>tte éventualité sera examinée par le WG</w:t>
      </w:r>
      <w:r w:rsidR="006A4C42">
        <w:noBreakHyphen/>
        <w:t>DST à sa quatrième réunion;</w:t>
      </w:r>
    </w:p>
    <w:p w:rsidR="00BD6768" w:rsidRPr="00B14910" w:rsidRDefault="00BD6768" w:rsidP="00B14910"/>
    <w:p w:rsidR="00BD6768" w:rsidRPr="00B14910" w:rsidRDefault="00AA2932" w:rsidP="00B14910">
      <w:pPr>
        <w:spacing w:after="240"/>
      </w:pPr>
      <w:r w:rsidRPr="00B14910">
        <w:tab/>
      </w:r>
      <w:r w:rsidR="004046F3" w:rsidRPr="00B14910">
        <w:t>d)</w:t>
      </w:r>
      <w:r w:rsidR="004046F3" w:rsidRPr="00B14910">
        <w:tab/>
        <w:t>Le WG</w:t>
      </w:r>
      <w:r w:rsidR="0012617C" w:rsidRPr="00B14910">
        <w:noBreakHyphen/>
      </w:r>
      <w:r w:rsidR="004046F3" w:rsidRPr="00B14910">
        <w:t>DST a conclu qu</w:t>
      </w:r>
      <w:r w:rsidR="00D13BD0" w:rsidRPr="00B14910">
        <w:t>’</w:t>
      </w:r>
      <w:r w:rsidR="004046F3" w:rsidRPr="00B14910">
        <w:t xml:space="preserve">il ne sera pas possible de traiter les “pratiques établies” </w:t>
      </w:r>
      <w:r w:rsidR="00D13BD0" w:rsidRPr="00B14910">
        <w:t>à l’égard</w:t>
      </w:r>
      <w:r w:rsidR="004046F3" w:rsidRPr="00B14910">
        <w:t xml:space="preserve"> de l</w:t>
      </w:r>
      <w:r w:rsidR="00D13BD0" w:rsidRPr="00B14910">
        <w:t>’</w:t>
      </w:r>
      <w:r w:rsidR="004046F3" w:rsidRPr="00B14910">
        <w:t>utilisation des dénominations composée uniquement de chiffres et a indiqué que, pour les membres de l</w:t>
      </w:r>
      <w:r w:rsidR="00D13BD0" w:rsidRPr="00B14910">
        <w:t>’</w:t>
      </w:r>
      <w:r w:rsidR="004046F3" w:rsidRPr="00B14910">
        <w:t>Union, ce n</w:t>
      </w:r>
      <w:r w:rsidR="00D13BD0" w:rsidRPr="00B14910">
        <w:t>’</w:t>
      </w:r>
      <w:r w:rsidR="004046F3" w:rsidRPr="00B14910">
        <w:t>était pas une question difficile à mettre en œuvre.</w:t>
      </w:r>
    </w:p>
    <w:p w:rsidR="00BD6768" w:rsidRPr="00B14910" w:rsidRDefault="00AA2932" w:rsidP="00B14910"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4046F3" w:rsidRPr="00B14910">
        <w:t>À sa soixante</w:t>
      </w:r>
      <w:r w:rsidR="0012617C" w:rsidRPr="00B14910">
        <w:noBreakHyphen/>
      </w:r>
      <w:r w:rsidR="004046F3" w:rsidRPr="00B14910">
        <w:t>douzième</w:t>
      </w:r>
      <w:r w:rsidR="0041185C" w:rsidRPr="00B14910">
        <w:t> </w:t>
      </w:r>
      <w:r w:rsidR="004046F3" w:rsidRPr="00B14910">
        <w:t>session,</w:t>
      </w:r>
      <w:r w:rsidR="00D13BD0" w:rsidRPr="00B14910">
        <w:t xml:space="preserve"> le CAJ</w:t>
      </w:r>
      <w:r w:rsidR="004046F3" w:rsidRPr="00B14910">
        <w:t xml:space="preserve"> a approuvé les étapes ci</w:t>
      </w:r>
      <w:r w:rsidR="0012617C" w:rsidRPr="00B14910">
        <w:noBreakHyphen/>
      </w:r>
      <w:r w:rsidR="004046F3" w:rsidRPr="00B14910">
        <w:t xml:space="preserve">après pour la révision des “Notes explicatives sur les dénominations variétales selon la </w:t>
      </w:r>
      <w:r w:rsidR="00D13BD0" w:rsidRPr="00B14910">
        <w:t>Convention UPOV</w:t>
      </w:r>
      <w:r w:rsidR="004046F3" w:rsidRPr="00B14910">
        <w:t>”</w:t>
      </w:r>
      <w:r w:rsidR="004046F3" w:rsidRPr="00B14910">
        <w:rPr>
          <w:rStyle w:val="FootnoteReference"/>
        </w:rPr>
        <w:footnoteReference w:id="6"/>
      </w:r>
      <w:r w:rsidR="0041185C" w:rsidRPr="00B14910">
        <w:t> </w:t>
      </w:r>
      <w:r w:rsidR="004046F3" w:rsidRPr="00B14910">
        <w:t>:</w:t>
      </w:r>
    </w:p>
    <w:p w:rsidR="00BD6768" w:rsidRPr="00B14910" w:rsidRDefault="00BD6768" w:rsidP="00B14910"/>
    <w:p w:rsidR="00BD6768" w:rsidRPr="00B14910" w:rsidRDefault="00AA2932" w:rsidP="00B14910">
      <w:pPr>
        <w:spacing w:after="240"/>
        <w:ind w:firstLine="567"/>
      </w:pPr>
      <w:r w:rsidRPr="00B14910">
        <w:t>a)</w:t>
      </w:r>
      <w:r w:rsidRPr="00B14910">
        <w:tab/>
      </w:r>
      <w:r w:rsidR="004046F3" w:rsidRPr="00B14910">
        <w:rPr>
          <w:rFonts w:cs="Arial"/>
          <w:snapToGrid w:val="0"/>
          <w:lang w:eastAsia="ja-JP"/>
        </w:rPr>
        <w:t>élargissement du mandat et de la composition du WG</w:t>
      </w:r>
      <w:r w:rsidR="0012617C" w:rsidRPr="00B14910">
        <w:rPr>
          <w:rFonts w:cs="Arial"/>
          <w:snapToGrid w:val="0"/>
          <w:lang w:eastAsia="ja-JP"/>
        </w:rPr>
        <w:noBreakHyphen/>
      </w:r>
      <w:r w:rsidR="004046F3" w:rsidRPr="00B14910">
        <w:rPr>
          <w:rFonts w:cs="Arial"/>
          <w:snapToGrid w:val="0"/>
          <w:lang w:eastAsia="ja-JP"/>
        </w:rPr>
        <w:t>DST afin de formuler des recommandations pour</w:t>
      </w:r>
      <w:r w:rsidR="00D13BD0" w:rsidRPr="00B14910">
        <w:rPr>
          <w:rFonts w:cs="Arial"/>
          <w:snapToGrid w:val="0"/>
          <w:lang w:eastAsia="ja-JP"/>
        </w:rPr>
        <w:t xml:space="preserve"> le CAJ</w:t>
      </w:r>
      <w:r w:rsidR="004046F3" w:rsidRPr="00B14910">
        <w:rPr>
          <w:rFonts w:cs="Arial"/>
          <w:snapToGrid w:val="0"/>
          <w:lang w:eastAsia="ja-JP"/>
        </w:rPr>
        <w:t xml:space="preserve"> au sujet de la révision du document UPOV/INF/12 “Notes explicatives sur les dénominations variétales selon la </w:t>
      </w:r>
      <w:r w:rsidR="00D13BD0" w:rsidRPr="00B14910">
        <w:rPr>
          <w:rFonts w:cs="Arial"/>
          <w:snapToGrid w:val="0"/>
          <w:lang w:eastAsia="ja-JP"/>
        </w:rPr>
        <w:t>Convention UPOV</w:t>
      </w:r>
      <w:r w:rsidR="004046F3" w:rsidRPr="00B14910">
        <w:rPr>
          <w:rFonts w:cs="Arial"/>
          <w:snapToGrid w:val="0"/>
          <w:lang w:eastAsia="ja-JP"/>
        </w:rPr>
        <w:t>” (Groupe de travail sur les dénominations variétales (WG</w:t>
      </w:r>
      <w:r w:rsidR="0012617C" w:rsidRPr="00B14910">
        <w:rPr>
          <w:rFonts w:cs="Arial"/>
          <w:snapToGrid w:val="0"/>
          <w:lang w:eastAsia="ja-JP"/>
        </w:rPr>
        <w:noBreakHyphen/>
      </w:r>
      <w:r w:rsidR="004046F3" w:rsidRPr="00B14910">
        <w:rPr>
          <w:rFonts w:cs="Arial"/>
          <w:snapToGrid w:val="0"/>
          <w:lang w:eastAsia="ja-JP"/>
        </w:rPr>
        <w:t>DEN));</w:t>
      </w:r>
    </w:p>
    <w:p w:rsidR="00BD6768" w:rsidRPr="00B14910" w:rsidRDefault="00AA2932" w:rsidP="00B14910">
      <w:pPr>
        <w:rPr>
          <w:lang w:eastAsia="ja-JP"/>
        </w:rPr>
      </w:pPr>
      <w:r w:rsidRPr="00B14910">
        <w:tab/>
      </w:r>
      <w:r w:rsidR="004046F3" w:rsidRPr="00B14910">
        <w:t>b)</w:t>
      </w:r>
      <w:r w:rsidR="004046F3" w:rsidRPr="00B14910">
        <w:tab/>
        <w:t>le Bureau de l</w:t>
      </w:r>
      <w:r w:rsidR="00D13BD0" w:rsidRPr="00B14910">
        <w:t>’</w:t>
      </w:r>
      <w:r w:rsidR="004046F3" w:rsidRPr="00B14910">
        <w:t>Union publiera une circulaire dans laquelle il sera demandé aux membres et aux observateurs</w:t>
      </w:r>
      <w:r w:rsidR="00D13BD0" w:rsidRPr="00B14910">
        <w:t xml:space="preserve"> du CAJ</w:t>
      </w:r>
      <w:r w:rsidR="004046F3" w:rsidRPr="00B14910">
        <w:t xml:space="preserve"> de participer au WG</w:t>
      </w:r>
      <w:r w:rsidR="0012617C" w:rsidRPr="00B14910">
        <w:noBreakHyphen/>
      </w:r>
      <w:r w:rsidR="004046F3" w:rsidRPr="00B14910">
        <w:t>DEN et, le cas échéant, de formuler des propositions de révision du document UPOV/INF/12 au plus tard le 2</w:t>
      </w:r>
      <w:r w:rsidR="00D13BD0" w:rsidRPr="00B14910">
        <w:t>0 janvier 20</w:t>
      </w:r>
      <w:r w:rsidR="004046F3" w:rsidRPr="00B14910">
        <w:t>16;</w:t>
      </w:r>
    </w:p>
    <w:p w:rsidR="00BD6768" w:rsidRPr="00B14910" w:rsidRDefault="00BD6768" w:rsidP="00B14910"/>
    <w:p w:rsidR="00BD6768" w:rsidRPr="00B14910" w:rsidRDefault="00AA2932" w:rsidP="00B14910">
      <w:r w:rsidRPr="00B14910">
        <w:tab/>
      </w:r>
      <w:r w:rsidR="004046F3" w:rsidRPr="00B14910">
        <w:t>c)</w:t>
      </w:r>
      <w:r w:rsidR="004046F3" w:rsidRPr="00B14910">
        <w:tab/>
        <w:t>le WG</w:t>
      </w:r>
      <w:r w:rsidR="0012617C" w:rsidRPr="00B14910">
        <w:noBreakHyphen/>
      </w:r>
      <w:r w:rsidR="004046F3" w:rsidRPr="00B14910">
        <w:t xml:space="preserve">DEN se réunira en </w:t>
      </w:r>
      <w:r w:rsidR="00D13BD0" w:rsidRPr="00B14910">
        <w:t>mars 20</w:t>
      </w:r>
      <w:r w:rsidR="004046F3" w:rsidRPr="00B14910">
        <w:t>16, la semaine où auront lieu les sessions de l</w:t>
      </w:r>
      <w:r w:rsidR="00D13BD0" w:rsidRPr="00B14910">
        <w:t>’</w:t>
      </w:r>
      <w:r w:rsidR="004046F3" w:rsidRPr="00B14910">
        <w:t>UPOV;</w:t>
      </w:r>
    </w:p>
    <w:p w:rsidR="00BD6768" w:rsidRPr="00B14910" w:rsidRDefault="00BD6768" w:rsidP="00B14910"/>
    <w:p w:rsidR="00BD6768" w:rsidRPr="00B14910" w:rsidRDefault="00AA2932" w:rsidP="00B14910">
      <w:r w:rsidRPr="00B14910">
        <w:tab/>
      </w:r>
      <w:r w:rsidR="004046F3" w:rsidRPr="00B14910">
        <w:t>d)</w:t>
      </w:r>
      <w:r w:rsidR="004046F3" w:rsidRPr="00B14910">
        <w:tab/>
        <w:t>le WG</w:t>
      </w:r>
      <w:r w:rsidR="0012617C" w:rsidRPr="00B14910">
        <w:noBreakHyphen/>
      </w:r>
      <w:r w:rsidR="004046F3" w:rsidRPr="00B14910">
        <w:t>DEN recevra les propositions reçues en réponse à la circulaire mentionnée au paragraphe</w:t>
      </w:r>
      <w:r w:rsidR="0041185C" w:rsidRPr="00B14910">
        <w:t> </w:t>
      </w:r>
      <w:r w:rsidR="004046F3" w:rsidRPr="00B14910">
        <w:t>b) ci</w:t>
      </w:r>
      <w:r w:rsidR="0012617C" w:rsidRPr="00B14910">
        <w:noBreakHyphen/>
      </w:r>
      <w:r w:rsidR="004046F3" w:rsidRPr="00B14910">
        <w:t>dessus et les propositions figurant aux paragraphes</w:t>
      </w:r>
      <w:r w:rsidR="0041185C" w:rsidRPr="00B14910">
        <w:t> </w:t>
      </w:r>
      <w:r w:rsidR="00DB297C" w:rsidRPr="00B14910">
        <w:t>28 à 37 et </w:t>
      </w:r>
      <w:r w:rsidR="004046F3" w:rsidRPr="00B14910">
        <w:t>41 du document CAJ/72/3 conjointement avec les travaux sur l</w:t>
      </w:r>
      <w:r w:rsidR="00D13BD0" w:rsidRPr="00B14910">
        <w:t>’</w:t>
      </w:r>
      <w:r w:rsidR="004046F3" w:rsidRPr="00B14910">
        <w:t>élaboration d</w:t>
      </w:r>
      <w:r w:rsidR="00D13BD0" w:rsidRPr="00B14910">
        <w:t>’</w:t>
      </w:r>
      <w:r w:rsidR="004046F3" w:rsidRPr="00B14910">
        <w:t xml:space="preserve">un </w:t>
      </w:r>
      <w:r w:rsidR="00BC6A08" w:rsidRPr="00B14910">
        <w:t>moteur de recherche de similitudes dans les dénominations variétales de l</w:t>
      </w:r>
      <w:r w:rsidR="00D13BD0" w:rsidRPr="00B14910">
        <w:t>’</w:t>
      </w:r>
      <w:r w:rsidR="00BC6A08" w:rsidRPr="00B14910">
        <w:t>UPOV</w:t>
      </w:r>
      <w:r w:rsidR="004046F3" w:rsidRPr="00B14910">
        <w:t>;</w:t>
      </w:r>
    </w:p>
    <w:p w:rsidR="00BD6768" w:rsidRPr="00B14910" w:rsidRDefault="00BD6768" w:rsidP="00B14910"/>
    <w:p w:rsidR="00BD6768" w:rsidRPr="00B14910" w:rsidRDefault="00AA2932" w:rsidP="00B14910">
      <w:pPr>
        <w:rPr>
          <w:snapToGrid w:val="0"/>
          <w:lang w:eastAsia="ja-JP"/>
        </w:rPr>
      </w:pPr>
      <w:r w:rsidRPr="00B14910">
        <w:tab/>
      </w:r>
      <w:r w:rsidR="004046F3" w:rsidRPr="00B14910">
        <w:t>e)</w:t>
      </w:r>
      <w:r w:rsidR="004046F3" w:rsidRPr="00B14910">
        <w:tab/>
        <w:t>le WG</w:t>
      </w:r>
      <w:r w:rsidR="0012617C" w:rsidRPr="00B14910">
        <w:noBreakHyphen/>
      </w:r>
      <w:r w:rsidR="004046F3" w:rsidRPr="00B14910">
        <w:t>DEN examinera les propositions d</w:t>
      </w:r>
      <w:r w:rsidR="00D13BD0" w:rsidRPr="00B14910">
        <w:t>’</w:t>
      </w:r>
      <w:r w:rsidR="004046F3" w:rsidRPr="00B14910">
        <w:t>élargissement du contenu de la base de données PLUTO en vue d</w:t>
      </w:r>
      <w:r w:rsidR="00D13BD0" w:rsidRPr="00B14910">
        <w:t>’</w:t>
      </w:r>
      <w:r w:rsidR="004046F3" w:rsidRPr="00B14910">
        <w:t xml:space="preserve">inclure toutes les variétés reconnues, </w:t>
      </w:r>
      <w:r w:rsidR="00D13BD0" w:rsidRPr="00B14910">
        <w:t>y compris</w:t>
      </w:r>
      <w:r w:rsidR="004046F3" w:rsidRPr="00B14910">
        <w:t xml:space="preserve"> celles qui n</w:t>
      </w:r>
      <w:r w:rsidR="00D13BD0" w:rsidRPr="00B14910">
        <w:t>’</w:t>
      </w:r>
      <w:r w:rsidR="004046F3" w:rsidRPr="00B14910">
        <w:t>ont pas été, ou ne sont plus, enregistrées ou protégées (voir le paragraphe</w:t>
      </w:r>
      <w:r w:rsidR="0041185C" w:rsidRPr="00B14910">
        <w:t> </w:t>
      </w:r>
      <w:r w:rsidR="004046F3" w:rsidRPr="00B14910">
        <w:t>38 du document CAJ/72/6 “Bases de données d</w:t>
      </w:r>
      <w:r w:rsidR="00D13BD0" w:rsidRPr="00B14910">
        <w:t>’</w:t>
      </w:r>
      <w:r w:rsidR="004046F3" w:rsidRPr="00B14910">
        <w:t>information de l</w:t>
      </w:r>
      <w:r w:rsidR="00D13BD0" w:rsidRPr="00B14910">
        <w:t>’</w:t>
      </w:r>
      <w:r w:rsidR="004046F3" w:rsidRPr="00B14910">
        <w:t>UPOV”).</w:t>
      </w: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CC6820" w:rsidP="00B14910">
      <w:pPr>
        <w:pStyle w:val="Heading2"/>
        <w:rPr>
          <w:lang w:val="fr-FR" w:eastAsia="ja-JP"/>
        </w:rPr>
      </w:pPr>
      <w:bookmarkStart w:id="19" w:name="_Toc464480200"/>
      <w:r w:rsidRPr="00B14910">
        <w:rPr>
          <w:lang w:val="fr-FR" w:eastAsia="ja-JP"/>
        </w:rPr>
        <w:t>Délibérations du</w:t>
      </w:r>
      <w:r w:rsidR="006B4B5C" w:rsidRPr="00B14910">
        <w:rPr>
          <w:lang w:val="fr-FR" w:eastAsia="ja-JP"/>
        </w:rPr>
        <w:t xml:space="preserve"> WG</w:t>
      </w:r>
      <w:r w:rsidR="0012617C" w:rsidRPr="00B14910">
        <w:rPr>
          <w:lang w:val="fr-FR" w:eastAsia="ja-JP"/>
        </w:rPr>
        <w:noBreakHyphen/>
      </w:r>
      <w:r w:rsidR="006B4B5C" w:rsidRPr="00B14910">
        <w:rPr>
          <w:lang w:val="fr-FR" w:eastAsia="ja-JP"/>
        </w:rPr>
        <w:t xml:space="preserve">DEN, </w:t>
      </w:r>
      <w:r w:rsidRPr="00B14910">
        <w:rPr>
          <w:lang w:val="fr-FR" w:eastAsia="ja-JP"/>
        </w:rPr>
        <w:t>lors de sa première réunion</w:t>
      </w:r>
      <w:bookmarkEnd w:id="19"/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E75E16" w:rsidP="00B14910">
      <w:pPr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CC6820" w:rsidRPr="00B14910">
        <w:rPr>
          <w:lang w:eastAsia="ja-JP"/>
        </w:rPr>
        <w:t>Le bureau de l</w:t>
      </w:r>
      <w:r w:rsidR="00D13BD0" w:rsidRPr="00B14910">
        <w:rPr>
          <w:lang w:eastAsia="ja-JP"/>
        </w:rPr>
        <w:t>’</w:t>
      </w:r>
      <w:r w:rsidR="00CC6820" w:rsidRPr="00B14910">
        <w:rPr>
          <w:lang w:eastAsia="ja-JP"/>
        </w:rPr>
        <w:t xml:space="preserve">Union a diffusé la circulaire </w:t>
      </w:r>
      <w:r w:rsidRPr="00B14910">
        <w:rPr>
          <w:lang w:eastAsia="ja-JP"/>
        </w:rPr>
        <w:t>E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>15/276 “</w:t>
      </w:r>
      <w:r w:rsidR="00CC6820" w:rsidRPr="00B14910">
        <w:rPr>
          <w:lang w:eastAsia="ja-JP"/>
        </w:rPr>
        <w:t xml:space="preserve">Groupe de travail sur les dénominations variétales </w:t>
      </w:r>
      <w:r w:rsidR="009E36D7" w:rsidRPr="00B14910">
        <w:rPr>
          <w:lang w:eastAsia="ja-JP"/>
        </w:rPr>
        <w:t>(WG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>DEN)”</w:t>
      </w:r>
      <w:r w:rsidR="000B6B00" w:rsidRPr="00B14910">
        <w:rPr>
          <w:lang w:eastAsia="ja-JP"/>
        </w:rPr>
        <w:t>, qui contenait une</w:t>
      </w:r>
      <w:r w:rsidRPr="00B14910">
        <w:rPr>
          <w:lang w:eastAsia="ja-JP"/>
        </w:rPr>
        <w:t xml:space="preserve"> invitation </w:t>
      </w:r>
      <w:r w:rsidR="000B6B00" w:rsidRPr="00B14910">
        <w:rPr>
          <w:lang w:eastAsia="ja-JP"/>
        </w:rPr>
        <w:t>à présenter des observations à propos du document</w:t>
      </w:r>
      <w:r w:rsidRPr="00B14910">
        <w:rPr>
          <w:lang w:eastAsia="ja-JP"/>
        </w:rPr>
        <w:t xml:space="preserve"> UPOV/INF/12/5 </w:t>
      </w:r>
      <w:r w:rsidR="000B6B00" w:rsidRPr="00B14910">
        <w:rPr>
          <w:lang w:eastAsia="ja-JP"/>
        </w:rPr>
        <w:t>le</w:t>
      </w:r>
      <w:r w:rsidRPr="00B14910">
        <w:rPr>
          <w:lang w:eastAsia="ja-JP"/>
        </w:rPr>
        <w:t xml:space="preserve"> </w:t>
      </w:r>
      <w:r w:rsidR="00D13BD0" w:rsidRPr="00B14910">
        <w:rPr>
          <w:lang w:eastAsia="ja-JP"/>
        </w:rPr>
        <w:t>3 décembre 20</w:t>
      </w:r>
      <w:r w:rsidRPr="00B14910">
        <w:rPr>
          <w:lang w:eastAsia="ja-JP"/>
        </w:rPr>
        <w:t xml:space="preserve">15.  </w:t>
      </w:r>
      <w:r w:rsidR="00F7128D" w:rsidRPr="00B14910">
        <w:rPr>
          <w:rFonts w:cs="Arial"/>
          <w:snapToGrid w:val="0"/>
        </w:rPr>
        <w:t>En réponse à la circulaire</w:t>
      </w:r>
      <w:r w:rsidR="008E2A07" w:rsidRPr="00B14910">
        <w:t xml:space="preserve"> E</w:t>
      </w:r>
      <w:r w:rsidR="0012617C" w:rsidRPr="00B14910">
        <w:noBreakHyphen/>
      </w:r>
      <w:r w:rsidR="008E2A07" w:rsidRPr="00B14910">
        <w:t xml:space="preserve">15/276, </w:t>
      </w:r>
      <w:r w:rsidR="00F7128D" w:rsidRPr="00B14910">
        <w:rPr>
          <w:rFonts w:cs="Arial"/>
          <w:snapToGrid w:val="0"/>
        </w:rPr>
        <w:t>le Bureau de l</w:t>
      </w:r>
      <w:r w:rsidR="00D13BD0" w:rsidRPr="00B14910">
        <w:rPr>
          <w:rFonts w:cs="Arial"/>
          <w:snapToGrid w:val="0"/>
        </w:rPr>
        <w:t>’</w:t>
      </w:r>
      <w:r w:rsidR="00F7128D" w:rsidRPr="00B14910">
        <w:rPr>
          <w:rFonts w:cs="Arial"/>
          <w:snapToGrid w:val="0"/>
        </w:rPr>
        <w:t>Union a reçu des observations de</w:t>
      </w:r>
      <w:r w:rsidR="008E2A07" w:rsidRPr="00B14910">
        <w:rPr>
          <w:rFonts w:cs="Arial"/>
          <w:snapToGrid w:val="0"/>
        </w:rPr>
        <w:t xml:space="preserve"> </w:t>
      </w:r>
      <w:r w:rsidR="00F7128D" w:rsidRPr="00B14910">
        <w:rPr>
          <w:rFonts w:cs="Arial"/>
          <w:snapToGrid w:val="0"/>
        </w:rPr>
        <w:t>l</w:t>
      </w:r>
      <w:r w:rsidR="00D13BD0" w:rsidRPr="00B14910">
        <w:rPr>
          <w:rFonts w:cs="Arial"/>
          <w:snapToGrid w:val="0"/>
        </w:rPr>
        <w:t>’</w:t>
      </w:r>
      <w:r w:rsidR="00F7128D" w:rsidRPr="00B14910">
        <w:rPr>
          <w:rFonts w:cs="Arial"/>
          <w:snapToGrid w:val="0"/>
        </w:rPr>
        <w:t>Office communautaire des variétés végétales de l</w:t>
      </w:r>
      <w:r w:rsidR="00D13BD0" w:rsidRPr="00B14910">
        <w:rPr>
          <w:rFonts w:cs="Arial"/>
          <w:snapToGrid w:val="0"/>
        </w:rPr>
        <w:t>’</w:t>
      </w:r>
      <w:r w:rsidR="008E2A07" w:rsidRPr="00B14910">
        <w:rPr>
          <w:rFonts w:cs="Arial"/>
          <w:snapToGrid w:val="0"/>
        </w:rPr>
        <w:t xml:space="preserve">Union </w:t>
      </w:r>
      <w:r w:rsidR="00F7128D" w:rsidRPr="00B14910">
        <w:rPr>
          <w:rFonts w:cs="Arial"/>
          <w:snapToGrid w:val="0"/>
        </w:rPr>
        <w:t xml:space="preserve">européenne </w:t>
      </w:r>
      <w:r w:rsidR="008E2A07" w:rsidRPr="00B14910">
        <w:rPr>
          <w:rFonts w:cs="Arial"/>
          <w:snapToGrid w:val="0"/>
        </w:rPr>
        <w:t>(</w:t>
      </w:r>
      <w:r w:rsidR="00F7128D" w:rsidRPr="00B14910">
        <w:rPr>
          <w:rFonts w:cs="Arial"/>
          <w:snapToGrid w:val="0"/>
        </w:rPr>
        <w:t>OCVV) et</w:t>
      </w:r>
      <w:r w:rsidR="008E2A07" w:rsidRPr="00B14910">
        <w:rPr>
          <w:rFonts w:cs="Arial"/>
          <w:snapToGrid w:val="0"/>
        </w:rPr>
        <w:t xml:space="preserve"> </w:t>
      </w:r>
      <w:r w:rsidR="00F7128D" w:rsidRPr="00B14910">
        <w:rPr>
          <w:rFonts w:cs="Arial"/>
          <w:snapToGrid w:val="0"/>
        </w:rPr>
        <w:t>de la Nouvelle</w:t>
      </w:r>
      <w:r w:rsidR="0012617C" w:rsidRPr="00B14910">
        <w:rPr>
          <w:rFonts w:cs="Arial"/>
          <w:snapToGrid w:val="0"/>
        </w:rPr>
        <w:noBreakHyphen/>
      </w:r>
      <w:r w:rsidR="00F7128D" w:rsidRPr="00B14910">
        <w:rPr>
          <w:rFonts w:cs="Arial"/>
          <w:snapToGrid w:val="0"/>
        </w:rPr>
        <w:t>Zélande, ainsi que des</w:t>
      </w:r>
      <w:r w:rsidR="008E2A07" w:rsidRPr="00B14910">
        <w:rPr>
          <w:rFonts w:cs="Arial"/>
          <w:snapToGrid w:val="0"/>
        </w:rPr>
        <w:t xml:space="preserve"> </w:t>
      </w:r>
      <w:r w:rsidR="00F7128D" w:rsidRPr="00B14910">
        <w:rPr>
          <w:rFonts w:cs="Arial"/>
          <w:snapToGrid w:val="0"/>
        </w:rPr>
        <w:t>observations conjointes de l</w:t>
      </w:r>
      <w:r w:rsidR="00B14910" w:rsidRPr="00B14910">
        <w:rPr>
          <w:rFonts w:cs="Arial"/>
          <w:snapToGrid w:val="0"/>
        </w:rPr>
        <w:t>’</w:t>
      </w:r>
      <w:r w:rsidR="008E2A07" w:rsidRPr="00B14910">
        <w:rPr>
          <w:rFonts w:cs="Arial"/>
          <w:snapToGrid w:val="0"/>
        </w:rPr>
        <w:t>European Seed Association</w:t>
      </w:r>
      <w:r w:rsidR="008E2A07" w:rsidRPr="00B14910">
        <w:rPr>
          <w:rFonts w:cs="Arial"/>
          <w:snapToGrid w:val="0"/>
          <w:lang w:eastAsia="ja-JP"/>
        </w:rPr>
        <w:t xml:space="preserve"> (ESA)</w:t>
      </w:r>
      <w:r w:rsidR="008E2A07" w:rsidRPr="00B14910">
        <w:rPr>
          <w:rFonts w:cs="Arial"/>
          <w:snapToGrid w:val="0"/>
        </w:rPr>
        <w:t xml:space="preserve"> </w:t>
      </w:r>
      <w:r w:rsidR="00F7128D" w:rsidRPr="00B14910">
        <w:rPr>
          <w:rFonts w:cs="Arial"/>
          <w:snapToGrid w:val="0"/>
        </w:rPr>
        <w:t>et</w:t>
      </w:r>
      <w:r w:rsidR="008E2A07" w:rsidRPr="00B14910">
        <w:rPr>
          <w:rFonts w:cs="Arial"/>
          <w:snapToGrid w:val="0"/>
        </w:rPr>
        <w:t xml:space="preserve"> </w:t>
      </w:r>
      <w:r w:rsidR="00F7128D" w:rsidRPr="00B14910">
        <w:rPr>
          <w:rFonts w:cs="Arial"/>
          <w:snapToGrid w:val="0"/>
        </w:rPr>
        <w:t>de l</w:t>
      </w:r>
      <w:r w:rsidR="00D13BD0" w:rsidRPr="00B14910">
        <w:rPr>
          <w:rFonts w:cs="Arial"/>
          <w:snapToGrid w:val="0"/>
        </w:rPr>
        <w:t>’</w:t>
      </w:r>
      <w:r w:rsidR="008E2A07" w:rsidRPr="006A4C42">
        <w:rPr>
          <w:rFonts w:cs="Arial"/>
          <w:i/>
          <w:snapToGrid w:val="0"/>
        </w:rPr>
        <w:t>International Seed Federation</w:t>
      </w:r>
      <w:r w:rsidR="008E2A07" w:rsidRPr="00B14910">
        <w:rPr>
          <w:rFonts w:cs="Arial"/>
          <w:snapToGrid w:val="0"/>
          <w:lang w:eastAsia="ja-JP"/>
        </w:rPr>
        <w:t xml:space="preserve"> (ISF).</w:t>
      </w:r>
      <w:r w:rsidR="009D22E0" w:rsidRPr="00B14910">
        <w:rPr>
          <w:rFonts w:cs="Arial"/>
          <w:snapToGrid w:val="0"/>
          <w:lang w:eastAsia="ja-JP"/>
        </w:rPr>
        <w:t xml:space="preserve">  </w:t>
      </w:r>
      <w:r w:rsidR="00F7128D" w:rsidRPr="00B14910">
        <w:rPr>
          <w:rFonts w:cs="Arial"/>
          <w:snapToGrid w:val="0"/>
          <w:lang w:eastAsia="ja-JP"/>
        </w:rPr>
        <w:t>Les observations figuraient dans le</w:t>
      </w:r>
      <w:r w:rsidR="009D22E0" w:rsidRPr="00B14910">
        <w:rPr>
          <w:rFonts w:cs="Arial"/>
          <w:snapToGrid w:val="0"/>
          <w:lang w:eastAsia="ja-JP"/>
        </w:rPr>
        <w:t xml:space="preserve"> </w:t>
      </w:r>
      <w:r w:rsidR="009E36D7" w:rsidRPr="00B14910">
        <w:rPr>
          <w:rFonts w:cs="Arial"/>
          <w:snapToGrid w:val="0"/>
          <w:lang w:eastAsia="ja-JP"/>
        </w:rPr>
        <w:t xml:space="preserve">document </w:t>
      </w:r>
      <w:r w:rsidR="0012617C" w:rsidRPr="00B14910">
        <w:rPr>
          <w:lang w:eastAsia="ja-JP"/>
        </w:rPr>
        <w:t>UPOV/INF/12/6 </w:t>
      </w:r>
      <w:r w:rsidR="009203E5" w:rsidRPr="00B14910">
        <w:rPr>
          <w:lang w:eastAsia="ja-JP"/>
        </w:rPr>
        <w:t>Draft</w:t>
      </w:r>
      <w:r w:rsidR="00F74E5B" w:rsidRPr="00B14910">
        <w:rPr>
          <w:lang w:eastAsia="ja-JP"/>
        </w:rPr>
        <w:t> </w:t>
      </w:r>
      <w:r w:rsidR="009203E5" w:rsidRPr="00B14910">
        <w:rPr>
          <w:lang w:eastAsia="ja-JP"/>
        </w:rPr>
        <w:t>1</w:t>
      </w:r>
      <w:r w:rsidR="009203E5" w:rsidRPr="00B14910">
        <w:rPr>
          <w:rFonts w:cs="Arial"/>
          <w:snapToGrid w:val="0"/>
          <w:lang w:eastAsia="ja-JP"/>
        </w:rPr>
        <w:t xml:space="preserve"> “</w:t>
      </w:r>
      <w:r w:rsidR="00F7128D" w:rsidRPr="00B14910">
        <w:rPr>
          <w:rFonts w:cs="Arial"/>
          <w:snapToGrid w:val="0"/>
          <w:lang w:eastAsia="ja-JP"/>
        </w:rPr>
        <w:t xml:space="preserve">Notes explicatives concernant les dénominations variétales en vertu de la </w:t>
      </w:r>
      <w:r w:rsidR="00D13BD0" w:rsidRPr="00B14910">
        <w:rPr>
          <w:rFonts w:cs="Arial"/>
          <w:snapToGrid w:val="0"/>
          <w:lang w:eastAsia="ja-JP"/>
        </w:rPr>
        <w:t>Convention UPOV</w:t>
      </w:r>
      <w:r w:rsidR="009203E5" w:rsidRPr="00B14910">
        <w:rPr>
          <w:rFonts w:cs="Arial"/>
          <w:snapToGrid w:val="0"/>
          <w:lang w:eastAsia="ja-JP"/>
        </w:rPr>
        <w:t>”</w:t>
      </w:r>
      <w:r w:rsidR="009203E5" w:rsidRPr="00B14910">
        <w:rPr>
          <w:lang w:eastAsia="ja-JP"/>
        </w:rPr>
        <w:t>.</w:t>
      </w: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766C13" w:rsidP="00B14910">
      <w:pPr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F7128D" w:rsidRPr="00B14910">
        <w:t>À sa première réunion</w:t>
      </w:r>
      <w:r w:rsidR="00F7128D" w:rsidRPr="00B14910">
        <w:rPr>
          <w:rStyle w:val="FootnoteReference"/>
          <w:lang w:eastAsia="ja-JP"/>
        </w:rPr>
        <w:footnoteReference w:id="7"/>
      </w:r>
      <w:r w:rsidR="00F7128D" w:rsidRPr="00B14910">
        <w:t>, le</w:t>
      </w:r>
      <w:r w:rsidRPr="00B14910">
        <w:t xml:space="preserve"> </w:t>
      </w:r>
      <w:r w:rsidRPr="00B14910">
        <w:rPr>
          <w:lang w:eastAsia="ja-JP"/>
        </w:rPr>
        <w:t>WG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>DEN</w:t>
      </w:r>
      <w:r w:rsidR="00F7128D" w:rsidRPr="00B14910">
        <w:rPr>
          <w:lang w:eastAsia="ja-JP"/>
        </w:rPr>
        <w:t xml:space="preserve"> a étudié les </w:t>
      </w:r>
      <w:r w:rsidRPr="00B14910">
        <w:t>documents</w:t>
      </w:r>
      <w:r w:rsidRPr="00B14910">
        <w:rPr>
          <w:lang w:eastAsia="ja-JP"/>
        </w:rPr>
        <w:t xml:space="preserve"> UPOV/WG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>DEN/1/2 “</w:t>
      </w:r>
      <w:r w:rsidR="00F826D7" w:rsidRPr="00B14910">
        <w:rPr>
          <w:lang w:eastAsia="ja-JP"/>
        </w:rPr>
        <w:t>Révision du</w:t>
      </w:r>
      <w:r w:rsidRPr="00B14910">
        <w:rPr>
          <w:lang w:eastAsia="ja-JP"/>
        </w:rPr>
        <w:t xml:space="preserve"> </w:t>
      </w:r>
      <w:r w:rsidR="00F74E5B" w:rsidRPr="00B14910">
        <w:rPr>
          <w:lang w:eastAsia="ja-JP"/>
        </w:rPr>
        <w:t>d</w:t>
      </w:r>
      <w:r w:rsidRPr="00B14910">
        <w:rPr>
          <w:lang w:eastAsia="ja-JP"/>
        </w:rPr>
        <w:t xml:space="preserve">ocument UPOV/INF/12/5 </w:t>
      </w:r>
      <w:r w:rsidR="00D13BD0" w:rsidRPr="00B14910">
        <w:rPr>
          <w:lang w:eastAsia="ja-JP"/>
        </w:rPr>
        <w:t>‘</w:t>
      </w:r>
      <w:r w:rsidR="00F826D7" w:rsidRPr="00B14910">
        <w:rPr>
          <w:rFonts w:cs="Arial"/>
          <w:snapToGrid w:val="0"/>
          <w:lang w:eastAsia="ja-JP"/>
        </w:rPr>
        <w:t xml:space="preserve">Notes explicatives concernant les dénominations variétales en vertu de la </w:t>
      </w:r>
      <w:r w:rsidR="00D13BD0" w:rsidRPr="00B14910">
        <w:rPr>
          <w:rFonts w:cs="Arial"/>
          <w:snapToGrid w:val="0"/>
          <w:lang w:eastAsia="ja-JP"/>
        </w:rPr>
        <w:t>Convention UPOV</w:t>
      </w:r>
      <w:r w:rsidR="00D13BD0" w:rsidRPr="00B14910">
        <w:rPr>
          <w:lang w:eastAsia="ja-JP"/>
        </w:rPr>
        <w:t>’</w:t>
      </w:r>
      <w:r w:rsidRPr="00B14910">
        <w:rPr>
          <w:lang w:eastAsia="ja-JP"/>
        </w:rPr>
        <w:t xml:space="preserve">” </w:t>
      </w:r>
      <w:r w:rsidR="00F826D7" w:rsidRPr="00B14910">
        <w:rPr>
          <w:lang w:eastAsia="ja-JP"/>
        </w:rPr>
        <w:t>et</w:t>
      </w:r>
      <w:r w:rsidR="0012617C" w:rsidRPr="00B14910">
        <w:rPr>
          <w:lang w:eastAsia="ja-JP"/>
        </w:rPr>
        <w:t xml:space="preserve"> UPOV/INF/12/6 </w:t>
      </w:r>
      <w:r w:rsidRPr="00B14910">
        <w:rPr>
          <w:lang w:eastAsia="ja-JP"/>
        </w:rPr>
        <w:t>Draft</w:t>
      </w:r>
      <w:r w:rsidR="00F74E5B" w:rsidRPr="00B14910">
        <w:rPr>
          <w:lang w:eastAsia="ja-JP"/>
        </w:rPr>
        <w:t> </w:t>
      </w:r>
      <w:r w:rsidRPr="00B14910">
        <w:rPr>
          <w:lang w:eastAsia="ja-JP"/>
        </w:rPr>
        <w:t>1</w:t>
      </w:r>
      <w:r w:rsidR="006B4B5C" w:rsidRPr="00B14910">
        <w:rPr>
          <w:rFonts w:cs="Arial"/>
          <w:snapToGrid w:val="0"/>
          <w:lang w:eastAsia="ja-JP"/>
        </w:rPr>
        <w:t xml:space="preserve"> “</w:t>
      </w:r>
      <w:r w:rsidR="00F826D7" w:rsidRPr="00B14910">
        <w:rPr>
          <w:rFonts w:cs="Arial"/>
          <w:snapToGrid w:val="0"/>
          <w:lang w:eastAsia="ja-JP"/>
        </w:rPr>
        <w:t xml:space="preserve">Notes explicatives concernant les dénominations variétales en vertu de la </w:t>
      </w:r>
      <w:r w:rsidR="00D13BD0" w:rsidRPr="00B14910">
        <w:rPr>
          <w:rFonts w:cs="Arial"/>
          <w:snapToGrid w:val="0"/>
          <w:lang w:eastAsia="ja-JP"/>
        </w:rPr>
        <w:t>Convention UPOV</w:t>
      </w:r>
      <w:r w:rsidR="006B4B5C" w:rsidRPr="00B14910">
        <w:rPr>
          <w:rFonts w:cs="Arial"/>
          <w:snapToGrid w:val="0"/>
          <w:lang w:eastAsia="ja-JP"/>
        </w:rPr>
        <w:t>”</w:t>
      </w:r>
      <w:r w:rsidRPr="00B14910">
        <w:rPr>
          <w:lang w:eastAsia="ja-JP"/>
        </w:rPr>
        <w:t>.</w:t>
      </w:r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BD6768" w:rsidRPr="00B14910" w:rsidRDefault="009203E5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  <w:r w:rsidRPr="00B14910">
        <w:rPr>
          <w:szCs w:val="24"/>
          <w:lang w:eastAsia="ja-JP"/>
        </w:rPr>
        <w:fldChar w:fldCharType="begin"/>
      </w:r>
      <w:r w:rsidRPr="00B14910">
        <w:rPr>
          <w:szCs w:val="24"/>
          <w:lang w:eastAsia="ja-JP"/>
        </w:rPr>
        <w:instrText xml:space="preserve"> AUTONUM  </w:instrText>
      </w:r>
      <w:r w:rsidRPr="00B14910">
        <w:rPr>
          <w:szCs w:val="24"/>
          <w:lang w:eastAsia="ja-JP"/>
        </w:rPr>
        <w:fldChar w:fldCharType="end"/>
      </w:r>
      <w:r w:rsidR="00F826D7" w:rsidRPr="00B14910">
        <w:rPr>
          <w:szCs w:val="24"/>
          <w:lang w:eastAsia="ja-JP"/>
        </w:rPr>
        <w:tab/>
        <w:t>L</w:t>
      </w:r>
      <w:r w:rsidRPr="00B14910">
        <w:rPr>
          <w:szCs w:val="24"/>
          <w:lang w:eastAsia="ja-JP"/>
        </w:rPr>
        <w:t>e WG</w:t>
      </w:r>
      <w:r w:rsidR="0012617C" w:rsidRPr="00B14910">
        <w:rPr>
          <w:szCs w:val="24"/>
          <w:lang w:eastAsia="ja-JP"/>
        </w:rPr>
        <w:noBreakHyphen/>
      </w:r>
      <w:r w:rsidRPr="00B14910">
        <w:rPr>
          <w:szCs w:val="24"/>
          <w:lang w:eastAsia="ja-JP"/>
        </w:rPr>
        <w:t xml:space="preserve">DEN </w:t>
      </w:r>
      <w:r w:rsidR="00F826D7" w:rsidRPr="00B14910">
        <w:rPr>
          <w:szCs w:val="24"/>
          <w:lang w:eastAsia="ja-JP"/>
        </w:rPr>
        <w:t>est convenu de demander au Bureau de l</w:t>
      </w:r>
      <w:r w:rsidR="00D13BD0" w:rsidRPr="00B14910">
        <w:rPr>
          <w:szCs w:val="24"/>
          <w:lang w:eastAsia="ja-JP"/>
        </w:rPr>
        <w:t>’</w:t>
      </w:r>
      <w:r w:rsidR="00F826D7" w:rsidRPr="00B14910">
        <w:rPr>
          <w:szCs w:val="24"/>
          <w:lang w:eastAsia="ja-JP"/>
        </w:rPr>
        <w:t>Union d</w:t>
      </w:r>
      <w:r w:rsidR="00D13BD0" w:rsidRPr="00B14910">
        <w:rPr>
          <w:szCs w:val="24"/>
          <w:lang w:eastAsia="ja-JP"/>
        </w:rPr>
        <w:t>’</w:t>
      </w:r>
      <w:r w:rsidR="00F826D7" w:rsidRPr="00B14910">
        <w:rPr>
          <w:szCs w:val="24"/>
          <w:lang w:eastAsia="ja-JP"/>
        </w:rPr>
        <w:t>élaborer une nouvelle version du</w:t>
      </w:r>
      <w:r w:rsidRPr="00B14910">
        <w:rPr>
          <w:szCs w:val="24"/>
          <w:lang w:eastAsia="ja-JP"/>
        </w:rPr>
        <w:t xml:space="preserve"> document UPOV</w:t>
      </w:r>
      <w:r w:rsidR="0012617C" w:rsidRPr="00B14910">
        <w:rPr>
          <w:szCs w:val="24"/>
          <w:lang w:eastAsia="ja-JP"/>
        </w:rPr>
        <w:t>/INF/12 (document UPOV/INF/12/6 </w:t>
      </w:r>
      <w:r w:rsidRPr="00B14910">
        <w:rPr>
          <w:szCs w:val="24"/>
          <w:lang w:eastAsia="ja-JP"/>
        </w:rPr>
        <w:t>Draft</w:t>
      </w:r>
      <w:r w:rsidR="00F74E5B" w:rsidRPr="00B14910">
        <w:rPr>
          <w:szCs w:val="24"/>
          <w:lang w:eastAsia="ja-JP"/>
        </w:rPr>
        <w:t> </w:t>
      </w:r>
      <w:r w:rsidRPr="00B14910">
        <w:rPr>
          <w:szCs w:val="24"/>
          <w:lang w:eastAsia="ja-JP"/>
        </w:rPr>
        <w:t xml:space="preserve">2), </w:t>
      </w:r>
      <w:r w:rsidR="00F826D7" w:rsidRPr="00B14910">
        <w:rPr>
          <w:szCs w:val="24"/>
          <w:lang w:eastAsia="ja-JP"/>
        </w:rPr>
        <w:t>pour examen lors de sa deuxième réuni</w:t>
      </w:r>
      <w:r w:rsidR="00DB297C" w:rsidRPr="00B14910">
        <w:rPr>
          <w:szCs w:val="24"/>
          <w:lang w:eastAsia="ja-JP"/>
        </w:rPr>
        <w:t>on.  Ce</w:t>
      </w:r>
      <w:r w:rsidR="00F826D7" w:rsidRPr="00B14910">
        <w:rPr>
          <w:szCs w:val="24"/>
          <w:lang w:eastAsia="ja-JP"/>
        </w:rPr>
        <w:t xml:space="preserve"> document reprendrait les</w:t>
      </w:r>
      <w:r w:rsidRPr="00B14910">
        <w:rPr>
          <w:szCs w:val="24"/>
          <w:lang w:eastAsia="ja-JP"/>
        </w:rPr>
        <w:t xml:space="preserve"> conclusions </w:t>
      </w:r>
      <w:r w:rsidR="00F826D7" w:rsidRPr="00B14910">
        <w:rPr>
          <w:szCs w:val="24"/>
          <w:lang w:eastAsia="ja-JP"/>
        </w:rPr>
        <w:t>auxquelles a abouti</w:t>
      </w:r>
      <w:r w:rsidRPr="00B14910">
        <w:rPr>
          <w:szCs w:val="24"/>
          <w:lang w:eastAsia="ja-JP"/>
        </w:rPr>
        <w:t xml:space="preserve"> </w:t>
      </w:r>
      <w:r w:rsidR="00F826D7" w:rsidRPr="00B14910">
        <w:rPr>
          <w:szCs w:val="24"/>
          <w:lang w:eastAsia="ja-JP"/>
        </w:rPr>
        <w:t>l</w:t>
      </w:r>
      <w:r w:rsidRPr="00B14910">
        <w:rPr>
          <w:szCs w:val="24"/>
          <w:lang w:eastAsia="ja-JP"/>
        </w:rPr>
        <w:t>e WG</w:t>
      </w:r>
      <w:r w:rsidR="0012617C" w:rsidRPr="00B14910">
        <w:rPr>
          <w:szCs w:val="24"/>
          <w:lang w:eastAsia="ja-JP"/>
        </w:rPr>
        <w:noBreakHyphen/>
      </w:r>
      <w:r w:rsidRPr="00B14910">
        <w:rPr>
          <w:szCs w:val="24"/>
          <w:lang w:eastAsia="ja-JP"/>
        </w:rPr>
        <w:t>DEN</w:t>
      </w:r>
      <w:r w:rsidR="00F826D7" w:rsidRPr="00B14910">
        <w:rPr>
          <w:szCs w:val="24"/>
          <w:lang w:eastAsia="ja-JP"/>
        </w:rPr>
        <w:t xml:space="preserve"> lors de sa première réunion ainsi que les observations reçues</w:t>
      </w:r>
      <w:r w:rsidRPr="00B14910">
        <w:rPr>
          <w:szCs w:val="24"/>
          <w:lang w:eastAsia="ja-JP"/>
        </w:rPr>
        <w:t xml:space="preserve"> </w:t>
      </w:r>
      <w:r w:rsidR="00F826D7" w:rsidRPr="00B14910">
        <w:rPr>
          <w:szCs w:val="24"/>
          <w:lang w:eastAsia="ja-JP"/>
        </w:rPr>
        <w:t>au sujet des questions identifiées par le WG</w:t>
      </w:r>
      <w:r w:rsidR="0012617C" w:rsidRPr="00B14910">
        <w:rPr>
          <w:szCs w:val="24"/>
          <w:lang w:eastAsia="ja-JP"/>
        </w:rPr>
        <w:noBreakHyphen/>
      </w:r>
      <w:r w:rsidR="00F826D7" w:rsidRPr="00B14910">
        <w:rPr>
          <w:szCs w:val="24"/>
          <w:lang w:eastAsia="ja-JP"/>
        </w:rPr>
        <w:t>DEN lors de sa première réunion comme pouvant faire l</w:t>
      </w:r>
      <w:r w:rsidR="00D13BD0" w:rsidRPr="00B14910">
        <w:rPr>
          <w:szCs w:val="24"/>
          <w:lang w:eastAsia="ja-JP"/>
        </w:rPr>
        <w:t>’</w:t>
      </w:r>
      <w:r w:rsidR="00F826D7" w:rsidRPr="00B14910">
        <w:rPr>
          <w:szCs w:val="24"/>
          <w:lang w:eastAsia="ja-JP"/>
        </w:rPr>
        <w:t>objet</w:t>
      </w:r>
      <w:r w:rsidRPr="00B14910">
        <w:rPr>
          <w:szCs w:val="24"/>
          <w:lang w:eastAsia="ja-JP"/>
        </w:rPr>
        <w:t xml:space="preserve"> </w:t>
      </w:r>
      <w:r w:rsidR="00F826D7" w:rsidRPr="00B14910">
        <w:rPr>
          <w:szCs w:val="24"/>
          <w:lang w:eastAsia="ja-JP"/>
        </w:rPr>
        <w:t>de nouvelles observations</w:t>
      </w:r>
      <w:r w:rsidRPr="00B14910">
        <w:rPr>
          <w:rStyle w:val="FootnoteReference"/>
          <w:szCs w:val="24"/>
          <w:lang w:eastAsia="ja-JP"/>
        </w:rPr>
        <w:footnoteReference w:id="8"/>
      </w:r>
      <w:r w:rsidR="0041185C" w:rsidRPr="00B14910">
        <w:rPr>
          <w:szCs w:val="24"/>
          <w:lang w:eastAsia="ja-JP"/>
        </w:rPr>
        <w:t>.</w:t>
      </w:r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BD6768" w:rsidRPr="00B14910" w:rsidRDefault="006B4B5C" w:rsidP="00B14910">
      <w:pPr>
        <w:rPr>
          <w:lang w:eastAsia="ja-JP"/>
        </w:rPr>
      </w:pPr>
      <w:r w:rsidRPr="00B14910">
        <w:rPr>
          <w:szCs w:val="24"/>
          <w:lang w:eastAsia="ja-JP"/>
        </w:rPr>
        <w:fldChar w:fldCharType="begin"/>
      </w:r>
      <w:r w:rsidRPr="00B14910">
        <w:rPr>
          <w:szCs w:val="24"/>
          <w:lang w:eastAsia="ja-JP"/>
        </w:rPr>
        <w:instrText xml:space="preserve"> AUTONUM  </w:instrText>
      </w:r>
      <w:r w:rsidRPr="00B14910">
        <w:rPr>
          <w:szCs w:val="24"/>
          <w:lang w:eastAsia="ja-JP"/>
        </w:rPr>
        <w:fldChar w:fldCharType="end"/>
      </w:r>
      <w:r w:rsidRPr="00B14910">
        <w:rPr>
          <w:szCs w:val="24"/>
          <w:lang w:eastAsia="ja-JP"/>
        </w:rPr>
        <w:tab/>
      </w:r>
      <w:r w:rsidR="00A721A8" w:rsidRPr="00B14910">
        <w:rPr>
          <w:szCs w:val="24"/>
          <w:lang w:eastAsia="ja-JP"/>
        </w:rPr>
        <w:t>Le Bureau de l</w:t>
      </w:r>
      <w:r w:rsidR="00D13BD0" w:rsidRPr="00B14910">
        <w:rPr>
          <w:szCs w:val="24"/>
          <w:lang w:eastAsia="ja-JP"/>
        </w:rPr>
        <w:t>’</w:t>
      </w:r>
      <w:r w:rsidR="00A721A8" w:rsidRPr="00B14910">
        <w:rPr>
          <w:szCs w:val="24"/>
          <w:lang w:eastAsia="ja-JP"/>
        </w:rPr>
        <w:t>Union a diffusé la circulaire</w:t>
      </w:r>
      <w:r w:rsidR="00A064EA" w:rsidRPr="00B14910">
        <w:t xml:space="preserve"> </w:t>
      </w:r>
      <w:r w:rsidR="006047D0" w:rsidRPr="00B14910">
        <w:t>E</w:t>
      </w:r>
      <w:r w:rsidR="0012617C" w:rsidRPr="00B14910">
        <w:noBreakHyphen/>
      </w:r>
      <w:r w:rsidR="006047D0" w:rsidRPr="00B14910">
        <w:t xml:space="preserve">16/088 </w:t>
      </w:r>
      <w:r w:rsidR="00A721A8" w:rsidRPr="00B14910">
        <w:t xml:space="preserve">invitant les experts à fournir des informations supplémentaires sur les </w:t>
      </w:r>
      <w:r w:rsidR="008B1F37" w:rsidRPr="00B14910">
        <w:t>sujets suivant</w:t>
      </w:r>
      <w:r w:rsidR="00A721A8" w:rsidRPr="00B14910">
        <w:t>s</w:t>
      </w:r>
      <w:r w:rsidR="006047D0" w:rsidRPr="00B14910">
        <w:rPr>
          <w:lang w:eastAsia="ja-JP"/>
        </w:rPr>
        <w:t xml:space="preserve">, </w:t>
      </w:r>
      <w:r w:rsidR="00A721A8" w:rsidRPr="00B14910">
        <w:rPr>
          <w:lang w:eastAsia="ja-JP"/>
        </w:rPr>
        <w:t>comme indiqué dans le</w:t>
      </w:r>
      <w:r w:rsidR="006047D0" w:rsidRPr="00B14910">
        <w:rPr>
          <w:lang w:eastAsia="ja-JP"/>
        </w:rPr>
        <w:t xml:space="preserve"> document UPOV/WG</w:t>
      </w:r>
      <w:r w:rsidR="0012617C" w:rsidRPr="00B14910">
        <w:rPr>
          <w:lang w:eastAsia="ja-JP"/>
        </w:rPr>
        <w:noBreakHyphen/>
      </w:r>
      <w:r w:rsidR="006047D0" w:rsidRPr="00B14910">
        <w:rPr>
          <w:lang w:eastAsia="ja-JP"/>
        </w:rPr>
        <w:t>DEN/1/6</w:t>
      </w:r>
      <w:r w:rsidR="00A064EA" w:rsidRPr="00B14910">
        <w:rPr>
          <w:lang w:eastAsia="ja-JP"/>
        </w:rPr>
        <w:t>,</w:t>
      </w:r>
      <w:r w:rsidR="006047D0" w:rsidRPr="00B14910">
        <w:rPr>
          <w:lang w:eastAsia="ja-JP"/>
        </w:rPr>
        <w:t xml:space="preserve"> </w:t>
      </w:r>
      <w:r w:rsidR="008B1F37" w:rsidRPr="00B14910">
        <w:rPr>
          <w:lang w:eastAsia="ja-JP"/>
        </w:rPr>
        <w:t>jusqu</w:t>
      </w:r>
      <w:r w:rsidR="00D13BD0" w:rsidRPr="00B14910">
        <w:rPr>
          <w:lang w:eastAsia="ja-JP"/>
        </w:rPr>
        <w:t>’</w:t>
      </w:r>
      <w:r w:rsidR="008B1F37" w:rsidRPr="00B14910">
        <w:rPr>
          <w:lang w:eastAsia="ja-JP"/>
        </w:rPr>
        <w:t>au</w:t>
      </w:r>
      <w:r w:rsidR="006047D0" w:rsidRPr="00B14910">
        <w:rPr>
          <w:lang w:eastAsia="ja-JP"/>
        </w:rPr>
        <w:t xml:space="preserve"> 2</w:t>
      </w:r>
      <w:r w:rsidR="00D13BD0" w:rsidRPr="00B14910">
        <w:rPr>
          <w:lang w:eastAsia="ja-JP"/>
        </w:rPr>
        <w:t>0 mai 20</w:t>
      </w:r>
      <w:r w:rsidR="006047D0" w:rsidRPr="00B14910">
        <w:rPr>
          <w:lang w:eastAsia="ja-JP"/>
        </w:rPr>
        <w:t>16</w:t>
      </w:r>
      <w:r w:rsidR="0041185C" w:rsidRPr="00B14910">
        <w:rPr>
          <w:lang w:eastAsia="ja-JP"/>
        </w:rPr>
        <w:t> </w:t>
      </w:r>
      <w:r w:rsidR="006047D0" w:rsidRPr="00B14910">
        <w:rPr>
          <w:lang w:eastAsia="ja-JP"/>
        </w:rPr>
        <w:t>:</w:t>
      </w: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12617C" w:rsidP="00B14910">
      <w:pPr>
        <w:ind w:left="851" w:right="567" w:hanging="284"/>
        <w:rPr>
          <w:sz w:val="18"/>
          <w:lang w:eastAsia="ja-JP"/>
        </w:rPr>
      </w:pPr>
      <w:r w:rsidRPr="00B14910">
        <w:rPr>
          <w:sz w:val="18"/>
          <w:lang w:eastAsia="ja-JP"/>
        </w:rPr>
        <w:noBreakHyphen/>
      </w:r>
      <w:r w:rsidR="00644877" w:rsidRPr="00B14910">
        <w:rPr>
          <w:sz w:val="18"/>
          <w:lang w:eastAsia="ja-JP"/>
        </w:rPr>
        <w:tab/>
      </w:r>
      <w:r w:rsidR="008B1F37" w:rsidRPr="00B14910">
        <w:rPr>
          <w:sz w:val="18"/>
          <w:lang w:eastAsia="ja-JP"/>
        </w:rPr>
        <w:t>fournir des</w:t>
      </w:r>
      <w:r w:rsidR="006047D0" w:rsidRPr="00B14910">
        <w:rPr>
          <w:sz w:val="18"/>
          <w:lang w:eastAsia="ja-JP"/>
        </w:rPr>
        <w:t xml:space="preserve"> </w:t>
      </w:r>
      <w:r w:rsidR="008B1F37" w:rsidRPr="00B14910">
        <w:rPr>
          <w:sz w:val="18"/>
          <w:lang w:eastAsia="ja-JP"/>
        </w:rPr>
        <w:t>exemples</w:t>
      </w:r>
      <w:r w:rsidR="00AC5A00" w:rsidRPr="00B14910">
        <w:rPr>
          <w:sz w:val="18"/>
          <w:lang w:eastAsia="ja-JP"/>
        </w:rPr>
        <w:t xml:space="preserve"> de cas</w:t>
      </w:r>
      <w:r w:rsidR="006047D0" w:rsidRPr="00B14910">
        <w:rPr>
          <w:sz w:val="18"/>
          <w:lang w:eastAsia="ja-JP"/>
        </w:rPr>
        <w:t xml:space="preserve"> acceptable</w:t>
      </w:r>
      <w:r w:rsidR="00AC5A00" w:rsidRPr="00B14910">
        <w:rPr>
          <w:sz w:val="18"/>
          <w:lang w:eastAsia="ja-JP"/>
        </w:rPr>
        <w:t>s de</w:t>
      </w:r>
      <w:r w:rsidR="006047D0" w:rsidRPr="00B14910">
        <w:rPr>
          <w:sz w:val="18"/>
          <w:lang w:eastAsia="ja-JP"/>
        </w:rPr>
        <w:t xml:space="preserve"> </w:t>
      </w:r>
      <w:r w:rsidR="00AC5A00" w:rsidRPr="00B14910">
        <w:rPr>
          <w:sz w:val="18"/>
          <w:lang w:eastAsia="ja-JP"/>
        </w:rPr>
        <w:t>dénominations variétales composées uniquement de termes descriptifs</w:t>
      </w:r>
      <w:r w:rsidR="00CD7ED9" w:rsidRPr="00B14910">
        <w:rPr>
          <w:sz w:val="18"/>
          <w:lang w:eastAsia="ja-JP"/>
        </w:rPr>
        <w:t>;</w:t>
      </w:r>
    </w:p>
    <w:p w:rsidR="00BD6768" w:rsidRPr="00B14910" w:rsidRDefault="00BD6768" w:rsidP="00B14910">
      <w:pPr>
        <w:ind w:left="851" w:right="567" w:hanging="284"/>
        <w:rPr>
          <w:sz w:val="18"/>
          <w:lang w:eastAsia="ja-JP"/>
        </w:rPr>
      </w:pPr>
    </w:p>
    <w:p w:rsidR="00BD6768" w:rsidRPr="00B14910" w:rsidRDefault="0012617C" w:rsidP="00B14910">
      <w:pPr>
        <w:ind w:left="851" w:right="567" w:hanging="284"/>
        <w:rPr>
          <w:sz w:val="18"/>
          <w:lang w:eastAsia="ja-JP"/>
        </w:rPr>
      </w:pPr>
      <w:r w:rsidRPr="00B14910">
        <w:rPr>
          <w:sz w:val="18"/>
          <w:lang w:eastAsia="ja-JP"/>
        </w:rPr>
        <w:noBreakHyphen/>
      </w:r>
      <w:r w:rsidR="00644877" w:rsidRPr="00B14910">
        <w:rPr>
          <w:sz w:val="18"/>
          <w:lang w:eastAsia="ja-JP"/>
        </w:rPr>
        <w:tab/>
      </w:r>
      <w:r w:rsidR="00AC5A00" w:rsidRPr="00B14910">
        <w:rPr>
          <w:sz w:val="18"/>
          <w:lang w:eastAsia="ja-JP"/>
        </w:rPr>
        <w:t>proposer des exemples d</w:t>
      </w:r>
      <w:r w:rsidR="00D13BD0" w:rsidRPr="00B14910">
        <w:rPr>
          <w:sz w:val="18"/>
          <w:lang w:eastAsia="ja-JP"/>
        </w:rPr>
        <w:t>’</w:t>
      </w:r>
      <w:r w:rsidR="00AC5A00" w:rsidRPr="00B14910">
        <w:rPr>
          <w:sz w:val="18"/>
          <w:lang w:eastAsia="ja-JP"/>
        </w:rPr>
        <w:t>utilisation acceptable et non acceptable des superlatif</w:t>
      </w:r>
      <w:r w:rsidR="006047D0" w:rsidRPr="00B14910">
        <w:rPr>
          <w:sz w:val="18"/>
          <w:lang w:eastAsia="ja-JP"/>
        </w:rPr>
        <w:t xml:space="preserve">s </w:t>
      </w:r>
      <w:r w:rsidR="00AC5A00" w:rsidRPr="00B14910">
        <w:rPr>
          <w:sz w:val="18"/>
          <w:lang w:eastAsia="ja-JP"/>
        </w:rPr>
        <w:t>et comparatif</w:t>
      </w:r>
      <w:r w:rsidR="00CD7ED9" w:rsidRPr="00B14910">
        <w:rPr>
          <w:sz w:val="18"/>
          <w:lang w:eastAsia="ja-JP"/>
        </w:rPr>
        <w:t>s;</w:t>
      </w:r>
    </w:p>
    <w:p w:rsidR="00BD6768" w:rsidRPr="00B14910" w:rsidRDefault="00BD6768" w:rsidP="00B14910">
      <w:pPr>
        <w:ind w:left="851" w:right="567" w:hanging="284"/>
        <w:rPr>
          <w:sz w:val="18"/>
          <w:lang w:eastAsia="ja-JP"/>
        </w:rPr>
      </w:pPr>
    </w:p>
    <w:p w:rsidR="00BD6768" w:rsidRPr="00B14910" w:rsidRDefault="0012617C" w:rsidP="00B14910">
      <w:pPr>
        <w:ind w:left="851" w:right="567" w:hanging="284"/>
        <w:rPr>
          <w:sz w:val="18"/>
          <w:lang w:eastAsia="ja-JP"/>
        </w:rPr>
      </w:pPr>
      <w:r w:rsidRPr="00B14910">
        <w:rPr>
          <w:sz w:val="18"/>
          <w:lang w:eastAsia="ja-JP"/>
        </w:rPr>
        <w:noBreakHyphen/>
      </w:r>
      <w:r w:rsidR="00644877" w:rsidRPr="00B14910">
        <w:rPr>
          <w:sz w:val="18"/>
          <w:lang w:eastAsia="ja-JP"/>
        </w:rPr>
        <w:tab/>
      </w:r>
      <w:r w:rsidR="00AC5A00" w:rsidRPr="00B14910">
        <w:rPr>
          <w:sz w:val="18"/>
          <w:lang w:eastAsia="ja-JP"/>
        </w:rPr>
        <w:t>donner des</w:t>
      </w:r>
      <w:r w:rsidR="006047D0" w:rsidRPr="00B14910">
        <w:rPr>
          <w:sz w:val="18"/>
          <w:lang w:eastAsia="ja-JP"/>
        </w:rPr>
        <w:t xml:space="preserve"> </w:t>
      </w:r>
      <w:r w:rsidR="00AC5A00" w:rsidRPr="00B14910">
        <w:rPr>
          <w:sz w:val="18"/>
          <w:lang w:eastAsia="ja-JP"/>
        </w:rPr>
        <w:t>exemples et des</w:t>
      </w:r>
      <w:r w:rsidR="006047D0" w:rsidRPr="00B14910">
        <w:rPr>
          <w:sz w:val="18"/>
          <w:lang w:eastAsia="ja-JP"/>
        </w:rPr>
        <w:t xml:space="preserve"> information</w:t>
      </w:r>
      <w:r w:rsidR="00AC5A00" w:rsidRPr="00B14910">
        <w:rPr>
          <w:sz w:val="18"/>
          <w:lang w:eastAsia="ja-JP"/>
        </w:rPr>
        <w:t>s sur l</w:t>
      </w:r>
      <w:r w:rsidR="00D13BD0" w:rsidRPr="00B14910">
        <w:rPr>
          <w:sz w:val="18"/>
          <w:lang w:eastAsia="ja-JP"/>
        </w:rPr>
        <w:t>’</w:t>
      </w:r>
      <w:r w:rsidR="00AC5A00" w:rsidRPr="00B14910">
        <w:rPr>
          <w:sz w:val="18"/>
          <w:lang w:eastAsia="ja-JP"/>
        </w:rPr>
        <w:t>utilisation de</w:t>
      </w:r>
      <w:r w:rsidR="006047D0" w:rsidRPr="00B14910">
        <w:rPr>
          <w:sz w:val="18"/>
          <w:lang w:eastAsia="ja-JP"/>
        </w:rPr>
        <w:t xml:space="preserve"> </w:t>
      </w:r>
      <w:r w:rsidR="00AC5A00" w:rsidRPr="00B14910">
        <w:rPr>
          <w:sz w:val="18"/>
          <w:lang w:eastAsia="ja-JP"/>
        </w:rPr>
        <w:t>préfixes</w:t>
      </w:r>
      <w:r w:rsidR="006047D0" w:rsidRPr="00B14910">
        <w:rPr>
          <w:sz w:val="18"/>
          <w:lang w:eastAsia="ja-JP"/>
        </w:rPr>
        <w:t xml:space="preserve"> </w:t>
      </w:r>
      <w:r w:rsidR="00AC5A00" w:rsidRPr="00B14910">
        <w:rPr>
          <w:sz w:val="18"/>
          <w:lang w:eastAsia="ja-JP"/>
        </w:rPr>
        <w:t>pour identifier l</w:t>
      </w:r>
      <w:r w:rsidR="00D13BD0" w:rsidRPr="00B14910">
        <w:rPr>
          <w:sz w:val="18"/>
          <w:lang w:eastAsia="ja-JP"/>
        </w:rPr>
        <w:t>’</w:t>
      </w:r>
      <w:r w:rsidR="00AC5A00" w:rsidRPr="00B14910">
        <w:rPr>
          <w:sz w:val="18"/>
          <w:lang w:eastAsia="ja-JP"/>
        </w:rPr>
        <w:t>obtenteur et sur les questions auxquelles cela pourrait donner lieu</w:t>
      </w:r>
      <w:r w:rsidR="00CD7ED9" w:rsidRPr="00B14910">
        <w:rPr>
          <w:sz w:val="18"/>
          <w:lang w:eastAsia="ja-JP"/>
        </w:rPr>
        <w:t>;</w:t>
      </w:r>
    </w:p>
    <w:p w:rsidR="00BD6768" w:rsidRPr="00B14910" w:rsidRDefault="00BD6768" w:rsidP="00B14910">
      <w:pPr>
        <w:ind w:left="851" w:right="567" w:hanging="284"/>
        <w:rPr>
          <w:sz w:val="18"/>
          <w:lang w:eastAsia="ja-JP"/>
        </w:rPr>
      </w:pPr>
    </w:p>
    <w:p w:rsidR="00BD6768" w:rsidRPr="00B14910" w:rsidRDefault="0012617C" w:rsidP="00B14910">
      <w:pPr>
        <w:ind w:left="851" w:right="567" w:hanging="284"/>
        <w:rPr>
          <w:sz w:val="18"/>
          <w:lang w:eastAsia="ja-JP"/>
        </w:rPr>
      </w:pPr>
      <w:r w:rsidRPr="00B14910">
        <w:rPr>
          <w:sz w:val="18"/>
          <w:lang w:eastAsia="ja-JP"/>
        </w:rPr>
        <w:noBreakHyphen/>
      </w:r>
      <w:r w:rsidR="00644877" w:rsidRPr="00B14910">
        <w:rPr>
          <w:sz w:val="18"/>
          <w:lang w:eastAsia="ja-JP"/>
        </w:rPr>
        <w:tab/>
      </w:r>
      <w:r w:rsidR="00AC5A00" w:rsidRPr="00B14910">
        <w:rPr>
          <w:sz w:val="18"/>
          <w:lang w:eastAsia="ja-JP"/>
        </w:rPr>
        <w:t>formuler des propositions concernant une éventuelle</w:t>
      </w:r>
      <w:r w:rsidR="006047D0" w:rsidRPr="00B14910">
        <w:rPr>
          <w:sz w:val="18"/>
          <w:lang w:eastAsia="ja-JP"/>
        </w:rPr>
        <w:t xml:space="preserve"> </w:t>
      </w:r>
      <w:r w:rsidR="00AC5A00" w:rsidRPr="00B14910">
        <w:rPr>
          <w:sz w:val="18"/>
          <w:lang w:eastAsia="ja-JP"/>
        </w:rPr>
        <w:t>révision des classes de dénominations variétales</w:t>
      </w:r>
      <w:r w:rsidR="00CD7ED9" w:rsidRPr="00B14910">
        <w:rPr>
          <w:sz w:val="18"/>
          <w:lang w:eastAsia="ja-JP"/>
        </w:rPr>
        <w:t>;</w:t>
      </w:r>
    </w:p>
    <w:p w:rsidR="00BD6768" w:rsidRPr="00B14910" w:rsidRDefault="00BD6768" w:rsidP="00B14910">
      <w:pPr>
        <w:ind w:left="851" w:right="567" w:hanging="284"/>
        <w:rPr>
          <w:sz w:val="18"/>
          <w:lang w:eastAsia="ja-JP"/>
        </w:rPr>
      </w:pPr>
    </w:p>
    <w:p w:rsidR="00BD6768" w:rsidRPr="00B14910" w:rsidRDefault="0012617C" w:rsidP="00B14910">
      <w:pPr>
        <w:ind w:left="851" w:right="567" w:hanging="284"/>
        <w:rPr>
          <w:sz w:val="18"/>
          <w:lang w:eastAsia="ja-JP"/>
        </w:rPr>
      </w:pPr>
      <w:r w:rsidRPr="00B14910">
        <w:rPr>
          <w:sz w:val="18"/>
          <w:lang w:eastAsia="ja-JP"/>
        </w:rPr>
        <w:noBreakHyphen/>
      </w:r>
      <w:r w:rsidR="00644877" w:rsidRPr="00B14910">
        <w:rPr>
          <w:sz w:val="18"/>
          <w:lang w:eastAsia="ja-JP"/>
        </w:rPr>
        <w:tab/>
      </w:r>
      <w:r w:rsidR="00AC5A00" w:rsidRPr="00B14910">
        <w:rPr>
          <w:sz w:val="18"/>
          <w:lang w:eastAsia="ja-JP"/>
        </w:rPr>
        <w:t>présenter des</w:t>
      </w:r>
      <w:r w:rsidR="006047D0" w:rsidRPr="00B14910">
        <w:rPr>
          <w:sz w:val="18"/>
          <w:lang w:eastAsia="ja-JP"/>
        </w:rPr>
        <w:t xml:space="preserve"> </w:t>
      </w:r>
      <w:r w:rsidR="00AC5A00" w:rsidRPr="00B14910">
        <w:rPr>
          <w:sz w:val="18"/>
          <w:lang w:eastAsia="ja-JP"/>
        </w:rPr>
        <w:t>observations/proposition</w:t>
      </w:r>
      <w:r w:rsidR="006047D0" w:rsidRPr="00B14910">
        <w:rPr>
          <w:sz w:val="18"/>
          <w:lang w:eastAsia="ja-JP"/>
        </w:rPr>
        <w:t xml:space="preserve">s </w:t>
      </w:r>
      <w:r w:rsidR="00AC5A00" w:rsidRPr="00B14910">
        <w:rPr>
          <w:sz w:val="18"/>
          <w:lang w:eastAsia="ja-JP"/>
        </w:rPr>
        <w:t>c</w:t>
      </w:r>
      <w:r w:rsidR="006047D0" w:rsidRPr="00B14910">
        <w:rPr>
          <w:sz w:val="18"/>
          <w:lang w:eastAsia="ja-JP"/>
        </w:rPr>
        <w:t>on</w:t>
      </w:r>
      <w:r w:rsidR="00AC5A00" w:rsidRPr="00B14910">
        <w:rPr>
          <w:sz w:val="18"/>
          <w:lang w:eastAsia="ja-JP"/>
        </w:rPr>
        <w:t>cernant la</w:t>
      </w:r>
      <w:r w:rsidR="006047D0" w:rsidRPr="00B14910">
        <w:rPr>
          <w:sz w:val="18"/>
          <w:lang w:eastAsia="ja-JP"/>
        </w:rPr>
        <w:t xml:space="preserve"> Section</w:t>
      </w:r>
      <w:r w:rsidR="0041185C" w:rsidRPr="00B14910">
        <w:rPr>
          <w:sz w:val="18"/>
          <w:lang w:eastAsia="ja-JP"/>
        </w:rPr>
        <w:t> </w:t>
      </w:r>
      <w:r w:rsidR="006047D0" w:rsidRPr="00B14910">
        <w:rPr>
          <w:sz w:val="18"/>
          <w:lang w:eastAsia="ja-JP"/>
        </w:rPr>
        <w:t>4</w:t>
      </w:r>
      <w:r w:rsidR="00F74E5B" w:rsidRPr="00B14910">
        <w:rPr>
          <w:sz w:val="18"/>
          <w:lang w:eastAsia="ja-JP"/>
        </w:rPr>
        <w:t>.</w:t>
      </w:r>
      <w:r w:rsidR="006047D0" w:rsidRPr="00B14910">
        <w:rPr>
          <w:sz w:val="18"/>
          <w:lang w:eastAsia="ja-JP"/>
        </w:rPr>
        <w:t xml:space="preserve">a), </w:t>
      </w:r>
      <w:r w:rsidR="00AC5A00" w:rsidRPr="00B14910">
        <w:rPr>
          <w:sz w:val="18"/>
          <w:lang w:eastAsia="ja-JP"/>
        </w:rPr>
        <w:t>en lien avec leur</w:t>
      </w:r>
      <w:r w:rsidR="00243D53" w:rsidRPr="00B14910">
        <w:rPr>
          <w:sz w:val="18"/>
          <w:lang w:eastAsia="ja-JP"/>
        </w:rPr>
        <w:t>s</w:t>
      </w:r>
      <w:r w:rsidR="00AC5A00" w:rsidRPr="00B14910">
        <w:rPr>
          <w:sz w:val="18"/>
          <w:lang w:eastAsia="ja-JP"/>
        </w:rPr>
        <w:t xml:space="preserve"> pratiques en matière de recherche</w:t>
      </w:r>
      <w:r w:rsidR="006047D0" w:rsidRPr="00B14910">
        <w:rPr>
          <w:sz w:val="18"/>
          <w:lang w:eastAsia="ja-JP"/>
        </w:rPr>
        <w:t xml:space="preserve"> </w:t>
      </w:r>
      <w:r w:rsidR="00AC5A00" w:rsidRPr="00B14910">
        <w:rPr>
          <w:sz w:val="18"/>
          <w:lang w:eastAsia="ja-JP"/>
        </w:rPr>
        <w:t>et leurs mesures relatives aux droits antérieurs</w:t>
      </w:r>
      <w:r w:rsidR="005F2580" w:rsidRPr="00B14910">
        <w:rPr>
          <w:sz w:val="18"/>
          <w:lang w:eastAsia="ja-JP"/>
        </w:rPr>
        <w:t xml:space="preserve">; </w:t>
      </w:r>
      <w:r w:rsidR="0041185C" w:rsidRPr="00B14910">
        <w:rPr>
          <w:sz w:val="18"/>
          <w:lang w:eastAsia="ja-JP"/>
        </w:rPr>
        <w:t xml:space="preserve"> </w:t>
      </w:r>
      <w:r w:rsidR="00AC5A00" w:rsidRPr="00B14910">
        <w:rPr>
          <w:sz w:val="18"/>
          <w:lang w:eastAsia="ja-JP"/>
        </w:rPr>
        <w:t>et</w:t>
      </w:r>
    </w:p>
    <w:p w:rsidR="00BD6768" w:rsidRPr="00B14910" w:rsidRDefault="00BD6768" w:rsidP="00B14910">
      <w:pPr>
        <w:ind w:left="851" w:right="567" w:hanging="284"/>
        <w:rPr>
          <w:sz w:val="18"/>
          <w:lang w:eastAsia="ja-JP"/>
        </w:rPr>
      </w:pPr>
    </w:p>
    <w:p w:rsidR="00BD6768" w:rsidRPr="00B14910" w:rsidRDefault="0012617C" w:rsidP="00B14910">
      <w:pPr>
        <w:ind w:left="851" w:right="567" w:hanging="284"/>
        <w:rPr>
          <w:sz w:val="18"/>
          <w:lang w:eastAsia="ja-JP"/>
        </w:rPr>
      </w:pPr>
      <w:r w:rsidRPr="00B14910">
        <w:rPr>
          <w:sz w:val="18"/>
          <w:lang w:eastAsia="ja-JP"/>
        </w:rPr>
        <w:noBreakHyphen/>
      </w:r>
      <w:r w:rsidR="00644877" w:rsidRPr="00B14910">
        <w:rPr>
          <w:sz w:val="18"/>
          <w:lang w:eastAsia="ja-JP"/>
        </w:rPr>
        <w:tab/>
      </w:r>
      <w:r w:rsidR="00AC5A00" w:rsidRPr="00B14910">
        <w:rPr>
          <w:sz w:val="18"/>
          <w:lang w:eastAsia="ja-JP"/>
        </w:rPr>
        <w:t>fournir des</w:t>
      </w:r>
      <w:r w:rsidR="006047D0" w:rsidRPr="00B14910">
        <w:rPr>
          <w:sz w:val="18"/>
          <w:lang w:eastAsia="ja-JP"/>
        </w:rPr>
        <w:t xml:space="preserve"> information</w:t>
      </w:r>
      <w:r w:rsidR="00AC5A00" w:rsidRPr="00B14910">
        <w:rPr>
          <w:sz w:val="18"/>
          <w:lang w:eastAsia="ja-JP"/>
        </w:rPr>
        <w:t>s</w:t>
      </w:r>
      <w:r w:rsidR="002C33F4" w:rsidRPr="00B14910">
        <w:rPr>
          <w:sz w:val="18"/>
          <w:lang w:eastAsia="ja-JP"/>
        </w:rPr>
        <w:t xml:space="preserve"> au sujet de</w:t>
      </w:r>
      <w:r w:rsidR="00243D53" w:rsidRPr="00B14910">
        <w:rPr>
          <w:sz w:val="18"/>
          <w:lang w:eastAsia="ja-JP"/>
        </w:rPr>
        <w:t>s</w:t>
      </w:r>
      <w:r w:rsidR="002C33F4" w:rsidRPr="00B14910">
        <w:rPr>
          <w:sz w:val="18"/>
          <w:lang w:eastAsia="ja-JP"/>
        </w:rPr>
        <w:t xml:space="preserve"> cas dans lesquels la dénomination acceptée dans la première demande n</w:t>
      </w:r>
      <w:r w:rsidR="00D13BD0" w:rsidRPr="00B14910">
        <w:rPr>
          <w:sz w:val="18"/>
          <w:lang w:eastAsia="ja-JP"/>
        </w:rPr>
        <w:t>’</w:t>
      </w:r>
      <w:r w:rsidR="002C33F4" w:rsidRPr="00B14910">
        <w:rPr>
          <w:sz w:val="18"/>
          <w:lang w:eastAsia="ja-JP"/>
        </w:rPr>
        <w:t>était pas la dénomination utilisée par d</w:t>
      </w:r>
      <w:r w:rsidR="00D13BD0" w:rsidRPr="00B14910">
        <w:rPr>
          <w:sz w:val="18"/>
          <w:lang w:eastAsia="ja-JP"/>
        </w:rPr>
        <w:t>’</w:t>
      </w:r>
      <w:r w:rsidR="002C33F4" w:rsidRPr="00B14910">
        <w:rPr>
          <w:sz w:val="18"/>
          <w:lang w:eastAsia="ja-JP"/>
        </w:rPr>
        <w:t>autres autorités</w:t>
      </w:r>
      <w:r w:rsidR="006047D0" w:rsidRPr="00B14910">
        <w:rPr>
          <w:sz w:val="18"/>
          <w:lang w:eastAsia="ja-JP"/>
        </w:rPr>
        <w:t xml:space="preserve"> </w:t>
      </w:r>
      <w:r w:rsidR="002C33F4" w:rsidRPr="00B14910">
        <w:rPr>
          <w:sz w:val="18"/>
          <w:lang w:eastAsia="ja-JP"/>
        </w:rPr>
        <w:t>quand une dénomination différente avait été acceptée par une deuxième autorité</w:t>
      </w:r>
      <w:r w:rsidR="00CD7ED9" w:rsidRPr="00B14910">
        <w:rPr>
          <w:sz w:val="18"/>
          <w:lang w:eastAsia="ja-JP"/>
        </w:rPr>
        <w:t>.</w:t>
      </w:r>
    </w:p>
    <w:p w:rsidR="00BD6768" w:rsidRPr="00B14910" w:rsidRDefault="00BD6768" w:rsidP="00B14910">
      <w:pPr>
        <w:rPr>
          <w:lang w:eastAsia="ja-JP"/>
        </w:rPr>
      </w:pPr>
    </w:p>
    <w:p w:rsidR="00D13BD0" w:rsidRPr="00B14910" w:rsidRDefault="006047D0" w:rsidP="00B14910">
      <w:pPr>
        <w:rPr>
          <w:szCs w:val="24"/>
          <w:lang w:eastAsia="ja-JP"/>
        </w:rPr>
      </w:pPr>
      <w:r w:rsidRPr="00B14910">
        <w:rPr>
          <w:szCs w:val="24"/>
          <w:lang w:eastAsia="ja-JP"/>
        </w:rPr>
        <w:fldChar w:fldCharType="begin"/>
      </w:r>
      <w:r w:rsidRPr="00B14910">
        <w:rPr>
          <w:szCs w:val="24"/>
          <w:lang w:eastAsia="ja-JP"/>
        </w:rPr>
        <w:instrText xml:space="preserve"> AUTONUM  </w:instrText>
      </w:r>
      <w:r w:rsidRPr="00B14910">
        <w:rPr>
          <w:szCs w:val="24"/>
          <w:lang w:eastAsia="ja-JP"/>
        </w:rPr>
        <w:fldChar w:fldCharType="end"/>
      </w:r>
      <w:r w:rsidRPr="00B14910">
        <w:rPr>
          <w:szCs w:val="24"/>
          <w:lang w:eastAsia="ja-JP"/>
        </w:rPr>
        <w:tab/>
      </w:r>
      <w:r w:rsidR="002C33F4" w:rsidRPr="00B14910">
        <w:rPr>
          <w:szCs w:val="24"/>
          <w:lang w:eastAsia="ja-JP"/>
        </w:rPr>
        <w:t>Au 2</w:t>
      </w:r>
      <w:r w:rsidR="00D13BD0" w:rsidRPr="00B14910">
        <w:rPr>
          <w:szCs w:val="24"/>
          <w:lang w:eastAsia="ja-JP"/>
        </w:rPr>
        <w:t>0 mai 20</w:t>
      </w:r>
      <w:r w:rsidR="002C33F4" w:rsidRPr="00B14910">
        <w:rPr>
          <w:szCs w:val="24"/>
          <w:lang w:eastAsia="ja-JP"/>
        </w:rPr>
        <w:t>16, le Bureau de</w:t>
      </w:r>
      <w:r w:rsidRPr="00B14910">
        <w:rPr>
          <w:szCs w:val="24"/>
          <w:lang w:eastAsia="ja-JP"/>
        </w:rPr>
        <w:t xml:space="preserve"> </w:t>
      </w:r>
      <w:r w:rsidR="002C33F4" w:rsidRPr="00B14910">
        <w:rPr>
          <w:szCs w:val="24"/>
          <w:lang w:eastAsia="ja-JP"/>
        </w:rPr>
        <w:t>l</w:t>
      </w:r>
      <w:r w:rsidR="00D13BD0" w:rsidRPr="00B14910">
        <w:rPr>
          <w:szCs w:val="24"/>
          <w:lang w:eastAsia="ja-JP"/>
        </w:rPr>
        <w:t>’</w:t>
      </w:r>
      <w:r w:rsidRPr="00B14910">
        <w:rPr>
          <w:szCs w:val="24"/>
          <w:lang w:eastAsia="ja-JP"/>
        </w:rPr>
        <w:t xml:space="preserve">Union </w:t>
      </w:r>
      <w:r w:rsidR="002C33F4" w:rsidRPr="00B14910">
        <w:rPr>
          <w:szCs w:val="24"/>
          <w:lang w:eastAsia="ja-JP"/>
        </w:rPr>
        <w:t>a reçu des observations provenant de la</w:t>
      </w:r>
      <w:r w:rsidRPr="00B14910">
        <w:rPr>
          <w:szCs w:val="24"/>
          <w:lang w:eastAsia="ja-JP"/>
        </w:rPr>
        <w:t xml:space="preserve"> France, </w:t>
      </w:r>
      <w:r w:rsidR="002C33F4" w:rsidRPr="00B14910">
        <w:rPr>
          <w:szCs w:val="24"/>
          <w:lang w:eastAsia="ja-JP"/>
        </w:rPr>
        <w:t>des Pays</w:t>
      </w:r>
      <w:r w:rsidR="0012617C" w:rsidRPr="00B14910">
        <w:rPr>
          <w:szCs w:val="24"/>
          <w:lang w:eastAsia="ja-JP"/>
        </w:rPr>
        <w:noBreakHyphen/>
      </w:r>
      <w:r w:rsidR="002C33F4" w:rsidRPr="00B14910">
        <w:rPr>
          <w:szCs w:val="24"/>
          <w:lang w:eastAsia="ja-JP"/>
        </w:rPr>
        <w:t>Bas et de la Nouvelle</w:t>
      </w:r>
      <w:r w:rsidR="0012617C" w:rsidRPr="00B14910">
        <w:rPr>
          <w:szCs w:val="24"/>
          <w:lang w:eastAsia="ja-JP"/>
        </w:rPr>
        <w:noBreakHyphen/>
      </w:r>
      <w:r w:rsidR="002C33F4" w:rsidRPr="00B14910">
        <w:rPr>
          <w:szCs w:val="24"/>
          <w:lang w:eastAsia="ja-JP"/>
        </w:rPr>
        <w:t>Zélande</w:t>
      </w:r>
      <w:r w:rsidRPr="00B14910">
        <w:rPr>
          <w:szCs w:val="24"/>
          <w:lang w:eastAsia="ja-JP"/>
        </w:rPr>
        <w:t>.</w:t>
      </w: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6047D0" w:rsidP="00B14910">
      <w:pPr>
        <w:rPr>
          <w:lang w:eastAsia="ja-JP"/>
        </w:rPr>
      </w:pPr>
      <w:r w:rsidRPr="00B14910">
        <w:rPr>
          <w:szCs w:val="24"/>
          <w:lang w:eastAsia="ja-JP"/>
        </w:rPr>
        <w:fldChar w:fldCharType="begin"/>
      </w:r>
      <w:r w:rsidRPr="00B14910">
        <w:rPr>
          <w:szCs w:val="24"/>
          <w:lang w:eastAsia="ja-JP"/>
        </w:rPr>
        <w:instrText xml:space="preserve"> AUTONUM  </w:instrText>
      </w:r>
      <w:r w:rsidRPr="00B14910">
        <w:rPr>
          <w:szCs w:val="24"/>
          <w:lang w:eastAsia="ja-JP"/>
        </w:rPr>
        <w:fldChar w:fldCharType="end"/>
      </w:r>
      <w:r w:rsidRPr="00B14910">
        <w:rPr>
          <w:szCs w:val="24"/>
          <w:lang w:eastAsia="ja-JP"/>
        </w:rPr>
        <w:tab/>
      </w:r>
      <w:r w:rsidR="00243D53" w:rsidRPr="00B14910">
        <w:rPr>
          <w:szCs w:val="24"/>
          <w:lang w:eastAsia="ja-JP"/>
        </w:rPr>
        <w:t>Les observations</w:t>
      </w:r>
      <w:r w:rsidR="002C33F4" w:rsidRPr="00B14910">
        <w:rPr>
          <w:szCs w:val="24"/>
          <w:lang w:eastAsia="ja-JP"/>
        </w:rPr>
        <w:t xml:space="preserve"> formulées par la France, les Pays</w:t>
      </w:r>
      <w:r w:rsidR="0012617C" w:rsidRPr="00B14910">
        <w:rPr>
          <w:szCs w:val="24"/>
          <w:lang w:eastAsia="ja-JP"/>
        </w:rPr>
        <w:noBreakHyphen/>
      </w:r>
      <w:r w:rsidR="002C33F4" w:rsidRPr="00B14910">
        <w:rPr>
          <w:szCs w:val="24"/>
          <w:lang w:eastAsia="ja-JP"/>
        </w:rPr>
        <w:t>Bas et la Nouvelle</w:t>
      </w:r>
      <w:r w:rsidR="0012617C" w:rsidRPr="00B14910">
        <w:rPr>
          <w:szCs w:val="24"/>
          <w:lang w:eastAsia="ja-JP"/>
        </w:rPr>
        <w:noBreakHyphen/>
      </w:r>
      <w:r w:rsidR="002C33F4" w:rsidRPr="00B14910">
        <w:rPr>
          <w:szCs w:val="24"/>
          <w:lang w:eastAsia="ja-JP"/>
        </w:rPr>
        <w:t>Zélande seront étudiées lors de la deuxième réunion du</w:t>
      </w:r>
      <w:r w:rsidRPr="00B14910">
        <w:rPr>
          <w:szCs w:val="24"/>
          <w:lang w:eastAsia="ja-JP"/>
        </w:rPr>
        <w:t xml:space="preserve"> WG</w:t>
      </w:r>
      <w:r w:rsidR="0012617C" w:rsidRPr="00B14910">
        <w:rPr>
          <w:szCs w:val="24"/>
          <w:lang w:eastAsia="ja-JP"/>
        </w:rPr>
        <w:noBreakHyphen/>
      </w:r>
      <w:r w:rsidRPr="00B14910">
        <w:rPr>
          <w:szCs w:val="24"/>
          <w:lang w:eastAsia="ja-JP"/>
        </w:rPr>
        <w:t>DEN.</w:t>
      </w: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532FB6" w:rsidP="00B14910">
      <w:pPr>
        <w:pStyle w:val="DecisionParagraphs"/>
        <w:keepNext/>
        <w:keepLines/>
        <w:rPr>
          <w:iCs/>
          <w:spacing w:val="-4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2C33F4" w:rsidRPr="00B14910">
        <w:rPr>
          <w:iCs/>
          <w:spacing w:val="-4"/>
        </w:rPr>
        <w:t>Le CAJ est invité à prendre note</w:t>
      </w:r>
      <w:r w:rsidR="006A4C42">
        <w:rPr>
          <w:iCs/>
          <w:spacing w:val="-4"/>
        </w:rPr>
        <w:t> :</w:t>
      </w:r>
    </w:p>
    <w:p w:rsidR="00BD6768" w:rsidRPr="00B14910" w:rsidRDefault="00BD6768" w:rsidP="00B14910">
      <w:pPr>
        <w:pStyle w:val="DecisionParagraphs"/>
        <w:keepNext/>
        <w:keepLines/>
        <w:rPr>
          <w:iCs/>
          <w:spacing w:val="-4"/>
        </w:rPr>
      </w:pPr>
    </w:p>
    <w:p w:rsidR="00BD6768" w:rsidRPr="00B14910" w:rsidRDefault="00243D53" w:rsidP="00B14910">
      <w:pPr>
        <w:pStyle w:val="DecisionParagraphs"/>
        <w:keepLines/>
        <w:tabs>
          <w:tab w:val="left" w:pos="5954"/>
        </w:tabs>
        <w:rPr>
          <w:snapToGrid w:val="0"/>
          <w:lang w:eastAsia="ja-JP"/>
        </w:rPr>
      </w:pPr>
      <w:r w:rsidRPr="00B14910">
        <w:rPr>
          <w:iCs/>
          <w:spacing w:val="-4"/>
        </w:rPr>
        <w:tab/>
      </w:r>
      <w:r w:rsidR="00AA2C2B" w:rsidRPr="00B14910">
        <w:rPr>
          <w:iCs/>
          <w:spacing w:val="-4"/>
        </w:rPr>
        <w:t>a)</w:t>
      </w:r>
      <w:r w:rsidR="00FF1931" w:rsidRPr="00B14910">
        <w:rPr>
          <w:iCs/>
          <w:spacing w:val="-4"/>
          <w:lang w:eastAsia="ja-JP"/>
        </w:rPr>
        <w:tab/>
      </w:r>
      <w:r w:rsidR="002C33F4" w:rsidRPr="00B14910">
        <w:rPr>
          <w:iCs/>
          <w:spacing w:val="-4"/>
        </w:rPr>
        <w:t>des travaux du WG</w:t>
      </w:r>
      <w:r w:rsidR="0012617C" w:rsidRPr="00B14910">
        <w:rPr>
          <w:iCs/>
          <w:spacing w:val="-4"/>
        </w:rPr>
        <w:noBreakHyphen/>
      </w:r>
      <w:r w:rsidR="002C33F4" w:rsidRPr="00B14910">
        <w:rPr>
          <w:iCs/>
          <w:spacing w:val="-4"/>
        </w:rPr>
        <w:t>DEN concernant la révision du document UPOV/I</w:t>
      </w:r>
      <w:r w:rsidR="002C33F4" w:rsidRPr="00B14910">
        <w:rPr>
          <w:iCs/>
          <w:spacing w:val="-4"/>
          <w:lang w:eastAsia="ja-JP"/>
        </w:rPr>
        <w:t>N</w:t>
      </w:r>
      <w:r w:rsidR="002C33F4" w:rsidRPr="00B14910">
        <w:rPr>
          <w:iCs/>
          <w:spacing w:val="-4"/>
        </w:rPr>
        <w:t xml:space="preserve">F/12 “Notes explicatives concernant les dénominations variétales en vertu de la </w:t>
      </w:r>
      <w:r w:rsidR="00D13BD0" w:rsidRPr="00B14910">
        <w:rPr>
          <w:iCs/>
          <w:spacing w:val="-4"/>
        </w:rPr>
        <w:t>Convention UPOV</w:t>
      </w:r>
      <w:r w:rsidR="002C33F4" w:rsidRPr="00B14910">
        <w:rPr>
          <w:iCs/>
          <w:spacing w:val="-4"/>
        </w:rPr>
        <w:t>”</w:t>
      </w:r>
      <w:r w:rsidR="0041185C" w:rsidRPr="00B14910">
        <w:rPr>
          <w:snapToGrid w:val="0"/>
          <w:lang w:eastAsia="ja-JP"/>
        </w:rPr>
        <w:t xml:space="preserve"> </w:t>
      </w:r>
      <w:r w:rsidR="002C33F4" w:rsidRPr="00B14910">
        <w:rPr>
          <w:snapToGrid w:val="0"/>
          <w:lang w:eastAsia="ja-JP"/>
        </w:rPr>
        <w:t>et</w:t>
      </w:r>
    </w:p>
    <w:p w:rsidR="00BD6768" w:rsidRPr="00B14910" w:rsidRDefault="00BD6768" w:rsidP="00B14910">
      <w:pPr>
        <w:pStyle w:val="DecisionParagraphs"/>
        <w:keepLines/>
        <w:tabs>
          <w:tab w:val="left" w:pos="5954"/>
        </w:tabs>
        <w:ind w:left="5103" w:firstLine="426"/>
        <w:rPr>
          <w:lang w:eastAsia="ja-JP"/>
        </w:rPr>
      </w:pPr>
    </w:p>
    <w:p w:rsidR="00BD6768" w:rsidRPr="00B14910" w:rsidRDefault="0012617C" w:rsidP="00B14910">
      <w:pPr>
        <w:pStyle w:val="DecisionParagraphs"/>
        <w:tabs>
          <w:tab w:val="left" w:pos="5954"/>
        </w:tabs>
        <w:rPr>
          <w:rFonts w:cs="Arial"/>
          <w:lang w:eastAsia="ja-JP"/>
        </w:rPr>
      </w:pPr>
      <w:r w:rsidRPr="00B14910">
        <w:rPr>
          <w:rFonts w:cs="Arial"/>
          <w:lang w:eastAsia="ja-JP"/>
        </w:rPr>
        <w:tab/>
      </w:r>
      <w:r w:rsidR="00BF786F" w:rsidRPr="00B14910">
        <w:rPr>
          <w:rFonts w:cs="Arial"/>
          <w:lang w:eastAsia="ja-JP"/>
        </w:rPr>
        <w:t>b)</w:t>
      </w:r>
      <w:r w:rsidR="00BF786F" w:rsidRPr="00B14910">
        <w:rPr>
          <w:rFonts w:cs="Arial"/>
          <w:lang w:eastAsia="ja-JP"/>
        </w:rPr>
        <w:tab/>
      </w:r>
      <w:r w:rsidR="002C33F4" w:rsidRPr="00B14910">
        <w:rPr>
          <w:iCs/>
          <w:spacing w:val="-4"/>
        </w:rPr>
        <w:t>du fait que la France, les Pays</w:t>
      </w:r>
      <w:r w:rsidRPr="00B14910">
        <w:rPr>
          <w:iCs/>
          <w:spacing w:val="-4"/>
        </w:rPr>
        <w:noBreakHyphen/>
      </w:r>
      <w:r w:rsidR="002C33F4" w:rsidRPr="00B14910">
        <w:rPr>
          <w:iCs/>
          <w:spacing w:val="-4"/>
        </w:rPr>
        <w:t>Bas et la Nouvelle</w:t>
      </w:r>
      <w:r w:rsidRPr="00B14910">
        <w:rPr>
          <w:iCs/>
          <w:spacing w:val="-4"/>
        </w:rPr>
        <w:noBreakHyphen/>
      </w:r>
      <w:r w:rsidR="002C33F4" w:rsidRPr="00B14910">
        <w:rPr>
          <w:iCs/>
          <w:spacing w:val="-4"/>
        </w:rPr>
        <w:t>Zélande ont présenté des observations au sujet du document UPOV/INF/12/6 Draft</w:t>
      </w:r>
      <w:r w:rsidR="00F74E5B" w:rsidRPr="00B14910">
        <w:rPr>
          <w:iCs/>
          <w:spacing w:val="-4"/>
        </w:rPr>
        <w:t> </w:t>
      </w:r>
      <w:r w:rsidR="002C33F4" w:rsidRPr="00B14910">
        <w:rPr>
          <w:iCs/>
          <w:spacing w:val="-4"/>
        </w:rPr>
        <w:t>1, et que ces observations seront examinées par le WG</w:t>
      </w:r>
      <w:r w:rsidRPr="00B14910">
        <w:rPr>
          <w:iCs/>
          <w:spacing w:val="-4"/>
        </w:rPr>
        <w:noBreakHyphen/>
      </w:r>
      <w:r w:rsidR="002C33F4" w:rsidRPr="00B14910">
        <w:rPr>
          <w:iCs/>
          <w:spacing w:val="-4"/>
        </w:rPr>
        <w:t>DEN à sa deuxième réunion</w:t>
      </w:r>
      <w:r w:rsidR="00C524B7" w:rsidRPr="00B14910">
        <w:rPr>
          <w:szCs w:val="24"/>
          <w:lang w:eastAsia="ja-JP"/>
        </w:rPr>
        <w:t>.</w:t>
      </w: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BD6768" w:rsidP="00B14910">
      <w:pPr>
        <w:spacing w:after="240"/>
      </w:pPr>
    </w:p>
    <w:p w:rsidR="00BD6768" w:rsidRPr="00B14910" w:rsidRDefault="004046F3" w:rsidP="00B14910">
      <w:pPr>
        <w:pStyle w:val="Heading1"/>
        <w:keepNext/>
        <w:rPr>
          <w:snapToGrid w:val="0"/>
          <w:lang w:val="fr-FR" w:eastAsia="ja-JP"/>
        </w:rPr>
      </w:pPr>
      <w:bookmarkStart w:id="20" w:name="_Toc464480201"/>
      <w:r w:rsidRPr="00B14910">
        <w:rPr>
          <w:snapToGrid w:val="0"/>
          <w:lang w:val="fr-FR" w:eastAsia="ja-JP"/>
        </w:rPr>
        <w:t>Possibilité d</w:t>
      </w:r>
      <w:r w:rsidR="00D13BD0" w:rsidRPr="00B14910">
        <w:rPr>
          <w:snapToGrid w:val="0"/>
          <w:lang w:val="fr-FR" w:eastAsia="ja-JP"/>
        </w:rPr>
        <w:t>’</w:t>
      </w:r>
      <w:r w:rsidRPr="00B14910">
        <w:rPr>
          <w:snapToGrid w:val="0"/>
          <w:lang w:val="fr-FR" w:eastAsia="ja-JP"/>
        </w:rPr>
        <w:t>élaboration d</w:t>
      </w:r>
      <w:r w:rsidR="00D13BD0" w:rsidRPr="00B14910">
        <w:rPr>
          <w:snapToGrid w:val="0"/>
          <w:lang w:val="fr-FR" w:eastAsia="ja-JP"/>
        </w:rPr>
        <w:t>’</w:t>
      </w:r>
      <w:r w:rsidRPr="00B14910">
        <w:rPr>
          <w:snapToGrid w:val="0"/>
          <w:lang w:val="fr-FR" w:eastAsia="ja-JP"/>
        </w:rPr>
        <w:t xml:space="preserve">un </w:t>
      </w:r>
      <w:r w:rsidR="00BC6A08" w:rsidRPr="00B14910">
        <w:rPr>
          <w:snapToGrid w:val="0"/>
          <w:lang w:val="fr-FR" w:eastAsia="ja-JP"/>
        </w:rPr>
        <w:t>moteur de recherche de similitudes dans les dénominations variétales de l</w:t>
      </w:r>
      <w:r w:rsidR="00D13BD0" w:rsidRPr="00B14910">
        <w:rPr>
          <w:snapToGrid w:val="0"/>
          <w:lang w:val="fr-FR" w:eastAsia="ja-JP"/>
        </w:rPr>
        <w:t>’</w:t>
      </w:r>
      <w:r w:rsidR="00BC6A08" w:rsidRPr="00B14910">
        <w:rPr>
          <w:snapToGrid w:val="0"/>
          <w:lang w:val="fr-FR" w:eastAsia="ja-JP"/>
        </w:rPr>
        <w:t>UPOV</w:t>
      </w:r>
      <w:bookmarkEnd w:id="20"/>
    </w:p>
    <w:p w:rsidR="00BD6768" w:rsidRPr="00B14910" w:rsidRDefault="00BD6768" w:rsidP="00B14910">
      <w:pPr>
        <w:keepNext/>
        <w:rPr>
          <w:snapToGrid w:val="0"/>
          <w:lang w:eastAsia="ja-JP"/>
        </w:rPr>
      </w:pPr>
    </w:p>
    <w:p w:rsidR="00BD6768" w:rsidRPr="00B14910" w:rsidRDefault="006047D0" w:rsidP="00B14910">
      <w:pPr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4046F3" w:rsidRPr="00B14910">
        <w:t>Les informations générales sur cette question sont fournies dans le document CAJ/72/3 “Dénominations variétales”.</w:t>
      </w:r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Pr="00B14910" w:rsidRDefault="004046F3" w:rsidP="00B14910">
      <w:pPr>
        <w:pStyle w:val="Heading2"/>
        <w:rPr>
          <w:lang w:val="fr-FR" w:eastAsia="ja-JP"/>
        </w:rPr>
      </w:pPr>
      <w:bookmarkStart w:id="21" w:name="_Toc464480202"/>
      <w:r w:rsidRPr="00B14910">
        <w:rPr>
          <w:lang w:val="fr-FR" w:eastAsia="ja-JP"/>
        </w:rPr>
        <w:t>Étude test</w:t>
      </w:r>
      <w:bookmarkEnd w:id="21"/>
    </w:p>
    <w:p w:rsidR="00BD6768" w:rsidRPr="00B14910" w:rsidRDefault="00BD6768" w:rsidP="00B14910">
      <w:pPr>
        <w:autoSpaceDE w:val="0"/>
        <w:autoSpaceDN w:val="0"/>
        <w:adjustRightInd w:val="0"/>
        <w:rPr>
          <w:szCs w:val="24"/>
          <w:lang w:eastAsia="ja-JP"/>
        </w:rPr>
      </w:pPr>
    </w:p>
    <w:p w:rsidR="00D13BD0" w:rsidRPr="00B14910" w:rsidRDefault="006047D0" w:rsidP="00B14910"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EF4D40" w:rsidRPr="00B14910">
        <w:rPr>
          <w:lang w:eastAsia="ja-JP"/>
        </w:rPr>
        <w:t>Lors de sa première réunion</w:t>
      </w:r>
      <w:r w:rsidR="005F2580" w:rsidRPr="00B14910">
        <w:rPr>
          <w:lang w:eastAsia="ja-JP"/>
        </w:rPr>
        <w:t xml:space="preserve">, </w:t>
      </w:r>
      <w:r w:rsidR="00EF4D40" w:rsidRPr="00B14910">
        <w:rPr>
          <w:lang w:eastAsia="ja-JP"/>
        </w:rPr>
        <w:t>l</w:t>
      </w:r>
      <w:r w:rsidRPr="00B14910">
        <w:t xml:space="preserve">e </w:t>
      </w:r>
      <w:r w:rsidRPr="00B14910">
        <w:rPr>
          <w:lang w:eastAsia="ja-JP"/>
        </w:rPr>
        <w:t>WG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>DEN</w:t>
      </w:r>
      <w:r w:rsidRPr="00B14910">
        <w:t xml:space="preserve"> </w:t>
      </w:r>
      <w:r w:rsidR="00EF4D40" w:rsidRPr="00B14910">
        <w:rPr>
          <w:lang w:eastAsia="ja-JP"/>
        </w:rPr>
        <w:t>a examiné le</w:t>
      </w:r>
      <w:r w:rsidRPr="00B14910">
        <w:rPr>
          <w:lang w:eastAsia="ja-JP"/>
        </w:rPr>
        <w:t xml:space="preserve"> </w:t>
      </w:r>
      <w:r w:rsidRPr="00B14910">
        <w:t xml:space="preserve">document </w:t>
      </w:r>
      <w:r w:rsidRPr="00B14910">
        <w:rPr>
          <w:szCs w:val="24"/>
          <w:lang w:eastAsia="ja-JP"/>
        </w:rPr>
        <w:t>UPOV/WG</w:t>
      </w:r>
      <w:r w:rsidR="0012617C" w:rsidRPr="00B14910">
        <w:rPr>
          <w:szCs w:val="24"/>
          <w:lang w:eastAsia="ja-JP"/>
        </w:rPr>
        <w:noBreakHyphen/>
      </w:r>
      <w:r w:rsidRPr="00B14910">
        <w:rPr>
          <w:szCs w:val="24"/>
          <w:lang w:eastAsia="ja-JP"/>
        </w:rPr>
        <w:t>DEN/1/3</w:t>
      </w:r>
      <w:r w:rsidR="003308D3" w:rsidRPr="00B14910">
        <w:rPr>
          <w:szCs w:val="24"/>
          <w:lang w:eastAsia="ja-JP"/>
        </w:rPr>
        <w:t xml:space="preserve"> “</w:t>
      </w:r>
      <w:r w:rsidR="00FE2A47" w:rsidRPr="00B14910">
        <w:rPr>
          <w:lang w:eastAsia="ja-JP"/>
        </w:rPr>
        <w:t>UPOV Denomination Similarity Search Tool</w:t>
      </w:r>
      <w:r w:rsidR="003308D3" w:rsidRPr="00B14910">
        <w:rPr>
          <w:szCs w:val="24"/>
          <w:lang w:eastAsia="ja-JP"/>
        </w:rPr>
        <w:t>”</w:t>
      </w:r>
      <w:r w:rsidRPr="00B14910">
        <w:rPr>
          <w:lang w:eastAsia="ja-JP"/>
        </w:rPr>
        <w:t>.</w:t>
      </w:r>
    </w:p>
    <w:p w:rsidR="00D13BD0" w:rsidRPr="00B14910" w:rsidRDefault="00D13BD0" w:rsidP="00B14910">
      <w:pPr>
        <w:autoSpaceDE w:val="0"/>
        <w:autoSpaceDN w:val="0"/>
        <w:adjustRightInd w:val="0"/>
        <w:rPr>
          <w:szCs w:val="24"/>
          <w:lang w:eastAsia="ja-JP"/>
        </w:rPr>
      </w:pPr>
    </w:p>
    <w:p w:rsidR="00BD6768" w:rsidRPr="00B14910" w:rsidRDefault="006047D0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="00EF4D40" w:rsidRPr="00B14910">
        <w:tab/>
        <w:t>L</w:t>
      </w:r>
      <w:r w:rsidRPr="00B14910">
        <w:t xml:space="preserve">e </w:t>
      </w:r>
      <w:r w:rsidRPr="00B14910">
        <w:rPr>
          <w:lang w:eastAsia="ja-JP"/>
        </w:rPr>
        <w:t>WG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 xml:space="preserve">DEN </w:t>
      </w:r>
      <w:r w:rsidR="00EF4D40" w:rsidRPr="00B14910">
        <w:rPr>
          <w:lang w:eastAsia="ja-JP"/>
        </w:rPr>
        <w:t>a pris note de la progression du</w:t>
      </w:r>
      <w:r w:rsidRPr="00B14910">
        <w:rPr>
          <w:lang w:eastAsia="ja-JP"/>
        </w:rPr>
        <w:t xml:space="preserve"> WG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>DST.</w:t>
      </w:r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BD6768" w:rsidRPr="00B14910" w:rsidRDefault="006047D0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="00EF4D40" w:rsidRPr="00B14910">
        <w:tab/>
        <w:t>L</w:t>
      </w:r>
      <w:r w:rsidRPr="00B14910">
        <w:t xml:space="preserve">e </w:t>
      </w:r>
      <w:r w:rsidRPr="00B14910">
        <w:rPr>
          <w:lang w:eastAsia="ja-JP"/>
        </w:rPr>
        <w:t>WG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 xml:space="preserve">DEN </w:t>
      </w:r>
      <w:r w:rsidR="00EF4D40" w:rsidRPr="00B14910">
        <w:rPr>
          <w:lang w:eastAsia="ja-JP"/>
        </w:rPr>
        <w:t xml:space="preserve">a </w:t>
      </w:r>
      <w:r w:rsidR="00491795" w:rsidRPr="00B14910">
        <w:rPr>
          <w:lang w:eastAsia="ja-JP"/>
        </w:rPr>
        <w:t>noté</w:t>
      </w:r>
      <w:r w:rsidR="00EF4D40" w:rsidRPr="00B14910">
        <w:rPr>
          <w:lang w:eastAsia="ja-JP"/>
        </w:rPr>
        <w:t xml:space="preserve"> qu</w:t>
      </w:r>
      <w:r w:rsidR="00D13BD0" w:rsidRPr="00B14910">
        <w:rPr>
          <w:lang w:eastAsia="ja-JP"/>
        </w:rPr>
        <w:t>’</w:t>
      </w:r>
      <w:r w:rsidR="00426F8B" w:rsidRPr="00B14910">
        <w:rPr>
          <w:lang w:eastAsia="ja-JP"/>
        </w:rPr>
        <w:t xml:space="preserve">il était prévu de créer </w:t>
      </w:r>
      <w:r w:rsidR="00EF4D40" w:rsidRPr="00B14910">
        <w:rPr>
          <w:lang w:eastAsia="ja-JP"/>
        </w:rPr>
        <w:t>une</w:t>
      </w:r>
      <w:r w:rsidRPr="00B14910">
        <w:rPr>
          <w:lang w:eastAsia="ja-JP"/>
        </w:rPr>
        <w:t xml:space="preserve"> </w:t>
      </w:r>
      <w:r w:rsidR="00EF4D40" w:rsidRPr="00B14910">
        <w:rPr>
          <w:lang w:eastAsia="ja-JP"/>
        </w:rPr>
        <w:t>page</w:t>
      </w:r>
      <w:r w:rsidR="0041185C" w:rsidRPr="00B14910">
        <w:rPr>
          <w:lang w:eastAsia="ja-JP"/>
        </w:rPr>
        <w:t> </w:t>
      </w:r>
      <w:r w:rsidR="00426F8B" w:rsidRPr="00B14910">
        <w:rPr>
          <w:lang w:eastAsia="ja-JP"/>
        </w:rPr>
        <w:t>W</w:t>
      </w:r>
      <w:r w:rsidRPr="00B14910">
        <w:rPr>
          <w:lang w:eastAsia="ja-JP"/>
        </w:rPr>
        <w:t xml:space="preserve">eb </w:t>
      </w:r>
      <w:r w:rsidR="00EF4D40" w:rsidRPr="00B14910">
        <w:rPr>
          <w:lang w:eastAsia="ja-JP"/>
        </w:rPr>
        <w:t>visant à</w:t>
      </w:r>
      <w:r w:rsidRPr="00B14910">
        <w:rPr>
          <w:lang w:eastAsia="ja-JP"/>
        </w:rPr>
        <w:t xml:space="preserve"> compare</w:t>
      </w:r>
      <w:r w:rsidR="00EF4D40" w:rsidRPr="00B14910">
        <w:rPr>
          <w:lang w:eastAsia="ja-JP"/>
        </w:rPr>
        <w:t>r les résultats de recherche</w:t>
      </w:r>
      <w:r w:rsidR="00426F8B" w:rsidRPr="00B14910">
        <w:rPr>
          <w:lang w:eastAsia="ja-JP"/>
        </w:rPr>
        <w:t xml:space="preserve"> de l</w:t>
      </w:r>
      <w:r w:rsidR="00D13BD0" w:rsidRPr="00B14910">
        <w:rPr>
          <w:lang w:eastAsia="ja-JP"/>
        </w:rPr>
        <w:t>’</w:t>
      </w:r>
      <w:r w:rsidR="00426F8B" w:rsidRPr="00B14910">
        <w:rPr>
          <w:lang w:eastAsia="ja-JP"/>
        </w:rPr>
        <w:t>algorithme révisé</w:t>
      </w:r>
      <w:r w:rsidRPr="00B14910">
        <w:rPr>
          <w:lang w:eastAsia="ja-JP"/>
        </w:rPr>
        <w:t xml:space="preserve"> </w:t>
      </w:r>
      <w:r w:rsidR="00426F8B" w:rsidRPr="00B14910">
        <w:rPr>
          <w:lang w:eastAsia="ja-JP"/>
        </w:rPr>
        <w:t>et les outils de recherche existants de la base de données</w:t>
      </w:r>
      <w:r w:rsidRPr="00B14910">
        <w:rPr>
          <w:lang w:eastAsia="ja-JP"/>
        </w:rPr>
        <w:t xml:space="preserve"> PLUTO </w:t>
      </w:r>
      <w:r w:rsidR="00426F8B" w:rsidRPr="00B14910">
        <w:rPr>
          <w:lang w:eastAsia="ja-JP"/>
        </w:rPr>
        <w:t>d</w:t>
      </w:r>
      <w:r w:rsidR="00D13BD0" w:rsidRPr="00B14910">
        <w:rPr>
          <w:lang w:eastAsia="ja-JP"/>
        </w:rPr>
        <w:t>’</w:t>
      </w:r>
      <w:r w:rsidR="00426F8B" w:rsidRPr="00B14910">
        <w:rPr>
          <w:lang w:eastAsia="ja-JP"/>
        </w:rPr>
        <w:t xml:space="preserve">ici à la fin du mois de </w:t>
      </w:r>
      <w:r w:rsidR="00D13BD0" w:rsidRPr="00B14910">
        <w:rPr>
          <w:lang w:eastAsia="ja-JP"/>
        </w:rPr>
        <w:t>mars 20</w:t>
      </w:r>
      <w:r w:rsidRPr="00B14910">
        <w:rPr>
          <w:lang w:eastAsia="ja-JP"/>
        </w:rPr>
        <w:t xml:space="preserve">16.  </w:t>
      </w:r>
      <w:r w:rsidR="00426F8B" w:rsidRPr="00B14910">
        <w:rPr>
          <w:lang w:eastAsia="ja-JP"/>
        </w:rPr>
        <w:t>Une</w:t>
      </w:r>
      <w:r w:rsidRPr="00B14910">
        <w:rPr>
          <w:lang w:eastAsia="ja-JP"/>
        </w:rPr>
        <w:t xml:space="preserve"> circula</w:t>
      </w:r>
      <w:r w:rsidR="00426F8B" w:rsidRPr="00B14910">
        <w:rPr>
          <w:lang w:eastAsia="ja-JP"/>
        </w:rPr>
        <w:t>i</w:t>
      </w:r>
      <w:r w:rsidRPr="00B14910">
        <w:rPr>
          <w:lang w:eastAsia="ja-JP"/>
        </w:rPr>
        <w:t>r</w:t>
      </w:r>
      <w:r w:rsidR="00426F8B" w:rsidRPr="00B14910">
        <w:rPr>
          <w:lang w:eastAsia="ja-JP"/>
        </w:rPr>
        <w:t>e</w:t>
      </w:r>
      <w:r w:rsidRPr="00B14910">
        <w:rPr>
          <w:lang w:eastAsia="ja-JP"/>
        </w:rPr>
        <w:t xml:space="preserve"> </w:t>
      </w:r>
      <w:r w:rsidR="00426F8B" w:rsidRPr="00B14910">
        <w:rPr>
          <w:lang w:eastAsia="ja-JP"/>
        </w:rPr>
        <w:t>serait adressée au WG</w:t>
      </w:r>
      <w:r w:rsidR="0012617C" w:rsidRPr="00B14910">
        <w:rPr>
          <w:lang w:eastAsia="ja-JP"/>
        </w:rPr>
        <w:noBreakHyphen/>
      </w:r>
      <w:r w:rsidR="00426F8B" w:rsidRPr="00B14910">
        <w:rPr>
          <w:lang w:eastAsia="ja-JP"/>
        </w:rPr>
        <w:t>DEN, invitant les</w:t>
      </w:r>
      <w:r w:rsidRPr="00B14910">
        <w:rPr>
          <w:lang w:eastAsia="ja-JP"/>
        </w:rPr>
        <w:t xml:space="preserve"> experts </w:t>
      </w:r>
      <w:r w:rsidR="00426F8B" w:rsidRPr="00B14910">
        <w:rPr>
          <w:lang w:eastAsia="ja-JP"/>
        </w:rPr>
        <w:t>à évaluer l</w:t>
      </w:r>
      <w:r w:rsidR="00D13BD0" w:rsidRPr="00B14910">
        <w:rPr>
          <w:lang w:eastAsia="ja-JP"/>
        </w:rPr>
        <w:t>’</w:t>
      </w:r>
      <w:r w:rsidR="00426F8B" w:rsidRPr="00B14910">
        <w:rPr>
          <w:lang w:eastAsia="ja-JP"/>
        </w:rPr>
        <w:t>algorithme révisé et à faire part de leurs observations pour la fin du mois de juin</w:t>
      </w:r>
      <w:r w:rsidRPr="00B14910">
        <w:rPr>
          <w:lang w:eastAsia="ja-JP"/>
        </w:rPr>
        <w:t> 2016.</w:t>
      </w:r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BD6768" w:rsidRPr="00B14910" w:rsidRDefault="006047D0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="00426F8B" w:rsidRPr="00B14910">
        <w:tab/>
        <w:t>L</w:t>
      </w:r>
      <w:r w:rsidRPr="00B14910">
        <w:t xml:space="preserve">e </w:t>
      </w:r>
      <w:r w:rsidRPr="00B14910">
        <w:rPr>
          <w:lang w:eastAsia="ja-JP"/>
        </w:rPr>
        <w:t>WG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 xml:space="preserve">DEN </w:t>
      </w:r>
      <w:r w:rsidR="00426F8B" w:rsidRPr="00B14910">
        <w:rPr>
          <w:lang w:eastAsia="ja-JP"/>
        </w:rPr>
        <w:t>est convenu d</w:t>
      </w:r>
      <w:r w:rsidR="00D13BD0" w:rsidRPr="00B14910">
        <w:rPr>
          <w:lang w:eastAsia="ja-JP"/>
        </w:rPr>
        <w:t>’</w:t>
      </w:r>
      <w:r w:rsidR="00426F8B" w:rsidRPr="00B14910">
        <w:rPr>
          <w:lang w:eastAsia="ja-JP"/>
        </w:rPr>
        <w:t>examiner, lors de sa deuxième réunion</w:t>
      </w:r>
      <w:r w:rsidR="009E36D7" w:rsidRPr="00B14910">
        <w:rPr>
          <w:lang w:eastAsia="ja-JP"/>
        </w:rPr>
        <w:t>,</w:t>
      </w:r>
      <w:r w:rsidRPr="00B14910">
        <w:rPr>
          <w:lang w:eastAsia="ja-JP"/>
        </w:rPr>
        <w:t xml:space="preserve"> </w:t>
      </w:r>
      <w:r w:rsidR="00426F8B" w:rsidRPr="00B14910">
        <w:rPr>
          <w:lang w:eastAsia="ja-JP"/>
        </w:rPr>
        <w:t>les résultats de l</w:t>
      </w:r>
      <w:r w:rsidR="00D13BD0" w:rsidRPr="00B14910">
        <w:rPr>
          <w:lang w:eastAsia="ja-JP"/>
        </w:rPr>
        <w:t>’</w:t>
      </w:r>
      <w:r w:rsidR="00426F8B" w:rsidRPr="00B14910">
        <w:rPr>
          <w:lang w:eastAsia="ja-JP"/>
        </w:rPr>
        <w:t>évaluation et les observations reçues, et de déterminer s</w:t>
      </w:r>
      <w:r w:rsidR="00D13BD0" w:rsidRPr="00B14910">
        <w:rPr>
          <w:lang w:eastAsia="ja-JP"/>
        </w:rPr>
        <w:t>’</w:t>
      </w:r>
      <w:r w:rsidR="00426F8B" w:rsidRPr="00B14910">
        <w:rPr>
          <w:lang w:eastAsia="ja-JP"/>
        </w:rPr>
        <w:t>il serait opportun de demander aux experts d</w:t>
      </w:r>
      <w:r w:rsidR="00D13BD0" w:rsidRPr="00B14910">
        <w:rPr>
          <w:lang w:eastAsia="ja-JP"/>
        </w:rPr>
        <w:t>’</w:t>
      </w:r>
      <w:r w:rsidR="00426F8B" w:rsidRPr="00B14910">
        <w:rPr>
          <w:lang w:eastAsia="ja-JP"/>
        </w:rPr>
        <w:t>adapter l</w:t>
      </w:r>
      <w:r w:rsidR="00D13BD0" w:rsidRPr="00B14910">
        <w:rPr>
          <w:lang w:eastAsia="ja-JP"/>
        </w:rPr>
        <w:t>’</w:t>
      </w:r>
      <w:r w:rsidR="00426F8B" w:rsidRPr="00B14910">
        <w:rPr>
          <w:lang w:eastAsia="ja-JP"/>
        </w:rPr>
        <w:t>algorithme révisé afin de le rendre plus performant.</w:t>
      </w:r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BD6768" w:rsidRPr="00B14910" w:rsidRDefault="005F2580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426F8B" w:rsidRPr="00B14910">
        <w:rPr>
          <w:lang w:eastAsia="ja-JP"/>
        </w:rPr>
        <w:t>La</w:t>
      </w:r>
      <w:r w:rsidRPr="00B14910">
        <w:rPr>
          <w:lang w:eastAsia="ja-JP"/>
        </w:rPr>
        <w:t xml:space="preserve"> </w:t>
      </w:r>
      <w:r w:rsidR="00426F8B" w:rsidRPr="00B14910">
        <w:rPr>
          <w:lang w:eastAsia="ja-JP"/>
        </w:rPr>
        <w:t>préparation d</w:t>
      </w:r>
      <w:r w:rsidR="00D13BD0" w:rsidRPr="00B14910">
        <w:rPr>
          <w:lang w:eastAsia="ja-JP"/>
        </w:rPr>
        <w:t>’</w:t>
      </w:r>
      <w:r w:rsidR="00426F8B" w:rsidRPr="00B14910">
        <w:rPr>
          <w:lang w:eastAsia="ja-JP"/>
        </w:rPr>
        <w:t>une</w:t>
      </w:r>
      <w:r w:rsidRPr="00B14910">
        <w:rPr>
          <w:lang w:eastAsia="ja-JP"/>
        </w:rPr>
        <w:t xml:space="preserve"> page</w:t>
      </w:r>
      <w:r w:rsidR="0041185C" w:rsidRPr="00B14910">
        <w:rPr>
          <w:lang w:eastAsia="ja-JP"/>
        </w:rPr>
        <w:t> </w:t>
      </w:r>
      <w:r w:rsidR="00426F8B" w:rsidRPr="00B14910">
        <w:rPr>
          <w:lang w:eastAsia="ja-JP"/>
        </w:rPr>
        <w:t>Web visant à</w:t>
      </w:r>
      <w:r w:rsidRPr="00B14910">
        <w:rPr>
          <w:lang w:eastAsia="ja-JP"/>
        </w:rPr>
        <w:t xml:space="preserve"> compare</w:t>
      </w:r>
      <w:r w:rsidR="00426F8B" w:rsidRPr="00B14910">
        <w:rPr>
          <w:lang w:eastAsia="ja-JP"/>
        </w:rPr>
        <w:t>r les résultats des recherches utilisant l</w:t>
      </w:r>
      <w:r w:rsidR="00D13BD0" w:rsidRPr="00B14910">
        <w:rPr>
          <w:lang w:eastAsia="ja-JP"/>
        </w:rPr>
        <w:t>’</w:t>
      </w:r>
      <w:r w:rsidR="00426F8B" w:rsidRPr="00B14910">
        <w:rPr>
          <w:lang w:eastAsia="ja-JP"/>
        </w:rPr>
        <w:t xml:space="preserve">algorithme révisé </w:t>
      </w:r>
      <w:r w:rsidR="00491795" w:rsidRPr="00B14910">
        <w:rPr>
          <w:lang w:eastAsia="ja-JP"/>
        </w:rPr>
        <w:t>et les</w:t>
      </w:r>
      <w:r w:rsidR="00426F8B" w:rsidRPr="00B14910">
        <w:rPr>
          <w:lang w:eastAsia="ja-JP"/>
        </w:rPr>
        <w:t xml:space="preserve"> outils de recherche existants dans la base de données </w:t>
      </w:r>
      <w:r w:rsidRPr="00B14910">
        <w:rPr>
          <w:lang w:eastAsia="ja-JP"/>
        </w:rPr>
        <w:t xml:space="preserve">PLUTO </w:t>
      </w:r>
      <w:r w:rsidR="00426F8B" w:rsidRPr="00B14910">
        <w:rPr>
          <w:lang w:eastAsia="ja-JP"/>
        </w:rPr>
        <w:t xml:space="preserve">a été retardée en raison de </w:t>
      </w:r>
      <w:r w:rsidR="00491795" w:rsidRPr="00B14910">
        <w:rPr>
          <w:lang w:eastAsia="ja-JP"/>
        </w:rPr>
        <w:t>faits nouveaux à l</w:t>
      </w:r>
      <w:r w:rsidR="00D13BD0" w:rsidRPr="00B14910">
        <w:rPr>
          <w:lang w:eastAsia="ja-JP"/>
        </w:rPr>
        <w:t>’</w:t>
      </w:r>
      <w:r w:rsidR="00491795" w:rsidRPr="00B14910">
        <w:rPr>
          <w:lang w:eastAsia="ja-JP"/>
        </w:rPr>
        <w:t>OMPI</w:t>
      </w:r>
      <w:r w:rsidRPr="00B14910">
        <w:rPr>
          <w:lang w:eastAsia="ja-JP"/>
        </w:rPr>
        <w:t>.</w:t>
      </w:r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BD6768" w:rsidRPr="00B14910" w:rsidRDefault="006047D0" w:rsidP="00B14910">
      <w:pPr>
        <w:autoSpaceDE w:val="0"/>
        <w:autoSpaceDN w:val="0"/>
        <w:adjustRightInd w:val="0"/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491795" w:rsidRPr="00B14910">
        <w:t>Le Bureau de l</w:t>
      </w:r>
      <w:r w:rsidR="00D13BD0" w:rsidRPr="00B14910">
        <w:t>’</w:t>
      </w:r>
      <w:r w:rsidRPr="00B14910">
        <w:t xml:space="preserve">Union </w:t>
      </w:r>
      <w:r w:rsidR="00491795" w:rsidRPr="00B14910">
        <w:rPr>
          <w:lang w:eastAsia="ja-JP"/>
        </w:rPr>
        <w:t>rédigera une</w:t>
      </w:r>
      <w:r w:rsidRPr="00B14910">
        <w:t xml:space="preserve"> </w:t>
      </w:r>
      <w:r w:rsidR="00491795" w:rsidRPr="00B14910">
        <w:t>circulaire</w:t>
      </w:r>
      <w:r w:rsidRPr="00B14910">
        <w:t xml:space="preserve"> invit</w:t>
      </w:r>
      <w:r w:rsidR="00491795" w:rsidRPr="00B14910">
        <w:t>ant les</w:t>
      </w:r>
      <w:r w:rsidRPr="00B14910">
        <w:t xml:space="preserve"> </w:t>
      </w:r>
      <w:r w:rsidRPr="00B14910">
        <w:rPr>
          <w:lang w:eastAsia="ja-JP"/>
        </w:rPr>
        <w:t xml:space="preserve">experts </w:t>
      </w:r>
      <w:r w:rsidR="00491795" w:rsidRPr="00B14910">
        <w:rPr>
          <w:lang w:eastAsia="ja-JP"/>
        </w:rPr>
        <w:t>à évaluer l</w:t>
      </w:r>
      <w:r w:rsidR="00D13BD0" w:rsidRPr="00B14910">
        <w:rPr>
          <w:lang w:eastAsia="ja-JP"/>
        </w:rPr>
        <w:t>’</w:t>
      </w:r>
      <w:r w:rsidR="00491795" w:rsidRPr="00B14910">
        <w:rPr>
          <w:lang w:eastAsia="ja-JP"/>
        </w:rPr>
        <w:t>algorithme révisé et à faire part de leurs observations, sous réserve de fait</w:t>
      </w:r>
      <w:r w:rsidR="00F74E5B" w:rsidRPr="00B14910">
        <w:rPr>
          <w:lang w:eastAsia="ja-JP"/>
        </w:rPr>
        <w:t xml:space="preserve">s </w:t>
      </w:r>
      <w:r w:rsidR="00491795" w:rsidRPr="00B14910">
        <w:rPr>
          <w:lang w:eastAsia="ja-JP"/>
        </w:rPr>
        <w:t>nouveaux intervenant au sein du</w:t>
      </w:r>
      <w:r w:rsidR="005F2580" w:rsidRPr="00B14910">
        <w:rPr>
          <w:lang w:eastAsia="ja-JP"/>
        </w:rPr>
        <w:t xml:space="preserve"> WG</w:t>
      </w:r>
      <w:r w:rsidR="0012617C" w:rsidRPr="00B14910">
        <w:rPr>
          <w:lang w:eastAsia="ja-JP"/>
        </w:rPr>
        <w:noBreakHyphen/>
      </w:r>
      <w:r w:rsidR="005F2580" w:rsidRPr="00B14910">
        <w:rPr>
          <w:lang w:eastAsia="ja-JP"/>
        </w:rPr>
        <w:t xml:space="preserve">DEN </w:t>
      </w:r>
      <w:r w:rsidR="00491795" w:rsidRPr="00B14910">
        <w:rPr>
          <w:lang w:eastAsia="ja-JP"/>
        </w:rPr>
        <w:t xml:space="preserve">concernant la </w:t>
      </w:r>
      <w:r w:rsidR="005F2580" w:rsidRPr="00B14910">
        <w:rPr>
          <w:lang w:eastAsia="ja-JP"/>
        </w:rPr>
        <w:t>r</w:t>
      </w:r>
      <w:r w:rsidR="00491795" w:rsidRPr="00B14910">
        <w:rPr>
          <w:lang w:eastAsia="ja-JP"/>
        </w:rPr>
        <w:t>é</w:t>
      </w:r>
      <w:r w:rsidR="005F2580" w:rsidRPr="00B14910">
        <w:rPr>
          <w:lang w:eastAsia="ja-JP"/>
        </w:rPr>
        <w:t xml:space="preserve">vision </w:t>
      </w:r>
      <w:r w:rsidR="00491795" w:rsidRPr="00B14910">
        <w:rPr>
          <w:lang w:eastAsia="ja-JP"/>
        </w:rPr>
        <w:t>du</w:t>
      </w:r>
      <w:r w:rsidR="005F2580" w:rsidRPr="00B14910">
        <w:rPr>
          <w:lang w:eastAsia="ja-JP"/>
        </w:rPr>
        <w:t xml:space="preserve"> document UPOV/INF/12/5 “</w:t>
      </w:r>
      <w:r w:rsidR="00491795" w:rsidRPr="00B14910">
        <w:rPr>
          <w:rFonts w:cs="Arial"/>
          <w:snapToGrid w:val="0"/>
          <w:lang w:eastAsia="ja-JP"/>
        </w:rPr>
        <w:t xml:space="preserve">Notes explicatives concernant les dénominations variétales en vertu de la </w:t>
      </w:r>
      <w:r w:rsidR="00D13BD0" w:rsidRPr="00B14910">
        <w:rPr>
          <w:rFonts w:cs="Arial"/>
          <w:snapToGrid w:val="0"/>
          <w:lang w:eastAsia="ja-JP"/>
        </w:rPr>
        <w:t>Convention UPOV</w:t>
      </w:r>
      <w:r w:rsidR="005F2580" w:rsidRPr="00B14910">
        <w:rPr>
          <w:lang w:eastAsia="ja-JP"/>
        </w:rPr>
        <w:t>”.</w:t>
      </w:r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4046F3" w:rsidP="00B14910">
      <w:pPr>
        <w:pStyle w:val="Heading2"/>
        <w:rPr>
          <w:lang w:val="fr-FR" w:eastAsia="ja-JP"/>
        </w:rPr>
      </w:pPr>
      <w:bookmarkStart w:id="22" w:name="_Toc464480203"/>
      <w:r w:rsidRPr="00B14910">
        <w:rPr>
          <w:lang w:val="fr-FR" w:eastAsia="ja-JP"/>
        </w:rPr>
        <w:t>Termes non acceptables à des fins de dénomination variétale</w:t>
      </w:r>
      <w:bookmarkEnd w:id="22"/>
    </w:p>
    <w:p w:rsidR="00BD6768" w:rsidRPr="00B14910" w:rsidRDefault="00BD6768" w:rsidP="00B14910">
      <w:pPr>
        <w:pStyle w:val="ListParagraph"/>
        <w:keepNext/>
        <w:autoSpaceDE w:val="0"/>
        <w:autoSpaceDN w:val="0"/>
        <w:adjustRightInd w:val="0"/>
        <w:ind w:left="0"/>
        <w:contextualSpacing w:val="0"/>
        <w:jc w:val="left"/>
        <w:rPr>
          <w:szCs w:val="24"/>
          <w:lang w:eastAsia="ja-JP"/>
        </w:rPr>
      </w:pPr>
    </w:p>
    <w:p w:rsidR="00BD6768" w:rsidRPr="00B14910" w:rsidRDefault="006047D0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E70D49" w:rsidRPr="00B14910">
        <w:rPr>
          <w:lang w:eastAsia="ja-JP"/>
        </w:rPr>
        <w:t>À sa première réunion, l</w:t>
      </w:r>
      <w:r w:rsidR="00E70D49" w:rsidRPr="00B14910">
        <w:t xml:space="preserve">e </w:t>
      </w:r>
      <w:r w:rsidR="00E70D49" w:rsidRPr="00B14910">
        <w:rPr>
          <w:lang w:eastAsia="ja-JP"/>
        </w:rPr>
        <w:t>WG</w:t>
      </w:r>
      <w:r w:rsidR="0012617C" w:rsidRPr="00B14910">
        <w:rPr>
          <w:lang w:eastAsia="ja-JP"/>
        </w:rPr>
        <w:noBreakHyphen/>
      </w:r>
      <w:r w:rsidR="00E70D49" w:rsidRPr="00B14910">
        <w:rPr>
          <w:lang w:eastAsia="ja-JP"/>
        </w:rPr>
        <w:t>DEN</w:t>
      </w:r>
      <w:r w:rsidR="00E70D49" w:rsidRPr="00B14910">
        <w:t xml:space="preserve"> </w:t>
      </w:r>
      <w:r w:rsidR="00E70D49" w:rsidRPr="00B14910">
        <w:rPr>
          <w:lang w:eastAsia="ja-JP"/>
        </w:rPr>
        <w:t xml:space="preserve">a examiné le </w:t>
      </w:r>
      <w:r w:rsidRPr="00B14910">
        <w:t xml:space="preserve">document </w:t>
      </w:r>
      <w:r w:rsidRPr="00B14910">
        <w:rPr>
          <w:szCs w:val="24"/>
          <w:lang w:eastAsia="ja-JP"/>
        </w:rPr>
        <w:t>UPOV/WG</w:t>
      </w:r>
      <w:r w:rsidR="0012617C" w:rsidRPr="00B14910">
        <w:rPr>
          <w:szCs w:val="24"/>
          <w:lang w:eastAsia="ja-JP"/>
        </w:rPr>
        <w:noBreakHyphen/>
      </w:r>
      <w:r w:rsidRPr="00B14910">
        <w:rPr>
          <w:szCs w:val="24"/>
          <w:lang w:eastAsia="ja-JP"/>
        </w:rPr>
        <w:t>DEN/1/5</w:t>
      </w:r>
      <w:r w:rsidR="003308D3" w:rsidRPr="00B14910">
        <w:rPr>
          <w:szCs w:val="24"/>
          <w:lang w:eastAsia="ja-JP"/>
        </w:rPr>
        <w:t xml:space="preserve"> “</w:t>
      </w:r>
      <w:r w:rsidR="00FE2A47" w:rsidRPr="00B14910">
        <w:rPr>
          <w:szCs w:val="24"/>
          <w:lang w:eastAsia="ja-JP"/>
        </w:rPr>
        <w:t>N</w:t>
      </w:r>
      <w:r w:rsidR="00E70D49" w:rsidRPr="00B14910">
        <w:rPr>
          <w:szCs w:val="24"/>
          <w:lang w:eastAsia="ja-JP"/>
        </w:rPr>
        <w:t>on</w:t>
      </w:r>
      <w:r w:rsidR="0012617C" w:rsidRPr="00B14910">
        <w:rPr>
          <w:szCs w:val="24"/>
          <w:lang w:eastAsia="ja-JP"/>
        </w:rPr>
        <w:noBreakHyphen/>
      </w:r>
      <w:r w:rsidR="00FE2A47" w:rsidRPr="00B14910">
        <w:rPr>
          <w:szCs w:val="24"/>
          <w:lang w:eastAsia="ja-JP"/>
        </w:rPr>
        <w:t>A</w:t>
      </w:r>
      <w:r w:rsidR="003308D3" w:rsidRPr="00B14910">
        <w:rPr>
          <w:szCs w:val="24"/>
          <w:lang w:eastAsia="ja-JP"/>
        </w:rPr>
        <w:t>cceptable</w:t>
      </w:r>
      <w:r w:rsidR="00FE2A47" w:rsidRPr="00B14910">
        <w:rPr>
          <w:szCs w:val="24"/>
          <w:lang w:eastAsia="ja-JP"/>
        </w:rPr>
        <w:t xml:space="preserve"> Terms</w:t>
      </w:r>
      <w:r w:rsidR="003308D3" w:rsidRPr="00B14910">
        <w:rPr>
          <w:szCs w:val="24"/>
          <w:lang w:eastAsia="ja-JP"/>
        </w:rPr>
        <w:t>”</w:t>
      </w:r>
      <w:r w:rsidRPr="00B14910">
        <w:rPr>
          <w:szCs w:val="24"/>
          <w:lang w:eastAsia="ja-JP"/>
        </w:rPr>
        <w:t xml:space="preserve"> </w:t>
      </w:r>
      <w:r w:rsidR="00E70D49" w:rsidRPr="00B14910">
        <w:rPr>
          <w:szCs w:val="24"/>
          <w:lang w:eastAsia="ja-JP"/>
        </w:rPr>
        <w:t>et a pris note des faits nouveaux dont il est rendu compte dans ce document</w:t>
      </w:r>
      <w:r w:rsidRPr="00B14910">
        <w:rPr>
          <w:szCs w:val="24"/>
          <w:lang w:eastAsia="ja-JP"/>
        </w:rPr>
        <w:t>.</w:t>
      </w:r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BD6768" w:rsidRPr="00B14910" w:rsidRDefault="006047D0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="00E849F2" w:rsidRPr="00B14910">
        <w:tab/>
        <w:t>L</w:t>
      </w:r>
      <w:r w:rsidRPr="00B14910">
        <w:t xml:space="preserve">e </w:t>
      </w:r>
      <w:r w:rsidRPr="00B14910">
        <w:rPr>
          <w:lang w:eastAsia="ja-JP"/>
        </w:rPr>
        <w:t>WG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 xml:space="preserve">DEN </w:t>
      </w:r>
      <w:r w:rsidR="00E849F2" w:rsidRPr="00B14910">
        <w:rPr>
          <w:lang w:eastAsia="ja-JP"/>
        </w:rPr>
        <w:t>est convenu de reporter à sa deuxième réunion, ou à une réunion ultérieure, l</w:t>
      </w:r>
      <w:r w:rsidR="00D13BD0" w:rsidRPr="00B14910">
        <w:rPr>
          <w:lang w:eastAsia="ja-JP"/>
        </w:rPr>
        <w:t>’</w:t>
      </w:r>
      <w:r w:rsidR="00E849F2" w:rsidRPr="00B14910">
        <w:rPr>
          <w:lang w:eastAsia="ja-JP"/>
        </w:rPr>
        <w:t xml:space="preserve">examen </w:t>
      </w:r>
      <w:r w:rsidR="00E849F2" w:rsidRPr="00B14910">
        <w:rPr>
          <w:szCs w:val="24"/>
          <w:lang w:eastAsia="ja-JP"/>
        </w:rPr>
        <w:t>de l</w:t>
      </w:r>
      <w:r w:rsidR="00D13BD0" w:rsidRPr="00B14910">
        <w:rPr>
          <w:szCs w:val="24"/>
          <w:lang w:eastAsia="ja-JP"/>
        </w:rPr>
        <w:t>’</w:t>
      </w:r>
      <w:r w:rsidR="00E849F2" w:rsidRPr="00B14910">
        <w:rPr>
          <w:szCs w:val="24"/>
          <w:lang w:eastAsia="ja-JP"/>
        </w:rPr>
        <w:t>éventualité d</w:t>
      </w:r>
      <w:r w:rsidR="00D13BD0" w:rsidRPr="00B14910">
        <w:rPr>
          <w:szCs w:val="24"/>
          <w:lang w:eastAsia="ja-JP"/>
        </w:rPr>
        <w:t>’</w:t>
      </w:r>
      <w:r w:rsidR="00E849F2" w:rsidRPr="00B14910">
        <w:rPr>
          <w:szCs w:val="24"/>
          <w:lang w:eastAsia="ja-JP"/>
        </w:rPr>
        <w:t xml:space="preserve">un sondage destiné aux </w:t>
      </w:r>
      <w:r w:rsidRPr="00B14910">
        <w:rPr>
          <w:szCs w:val="24"/>
          <w:lang w:eastAsia="ja-JP"/>
        </w:rPr>
        <w:t>memb</w:t>
      </w:r>
      <w:r w:rsidR="00E849F2" w:rsidRPr="00B14910">
        <w:rPr>
          <w:szCs w:val="24"/>
          <w:lang w:eastAsia="ja-JP"/>
        </w:rPr>
        <w:t>re</w:t>
      </w:r>
      <w:r w:rsidRPr="00B14910">
        <w:rPr>
          <w:szCs w:val="24"/>
          <w:lang w:eastAsia="ja-JP"/>
        </w:rPr>
        <w:t xml:space="preserve">s </w:t>
      </w:r>
      <w:r w:rsidR="00E849F2" w:rsidRPr="00B14910">
        <w:rPr>
          <w:szCs w:val="24"/>
          <w:lang w:eastAsia="ja-JP"/>
        </w:rPr>
        <w:t>de</w:t>
      </w:r>
      <w:r w:rsidRPr="00B14910">
        <w:rPr>
          <w:szCs w:val="24"/>
          <w:lang w:eastAsia="ja-JP"/>
        </w:rPr>
        <w:t xml:space="preserve"> </w:t>
      </w:r>
      <w:r w:rsidR="00E849F2" w:rsidRPr="00B14910">
        <w:rPr>
          <w:szCs w:val="24"/>
          <w:lang w:eastAsia="ja-JP"/>
        </w:rPr>
        <w:t>l</w:t>
      </w:r>
      <w:r w:rsidR="00D13BD0" w:rsidRPr="00B14910">
        <w:rPr>
          <w:szCs w:val="24"/>
          <w:lang w:eastAsia="ja-JP"/>
        </w:rPr>
        <w:t>’</w:t>
      </w:r>
      <w:r w:rsidRPr="00B14910">
        <w:rPr>
          <w:szCs w:val="24"/>
          <w:lang w:eastAsia="ja-JP"/>
        </w:rPr>
        <w:t xml:space="preserve">Union </w:t>
      </w:r>
      <w:r w:rsidR="00E849F2" w:rsidRPr="00B14910">
        <w:rPr>
          <w:szCs w:val="24"/>
          <w:lang w:eastAsia="ja-JP"/>
        </w:rPr>
        <w:t>au sujet des</w:t>
      </w:r>
      <w:r w:rsidR="00E849F2" w:rsidRPr="00B14910">
        <w:t xml:space="preserve"> </w:t>
      </w:r>
      <w:r w:rsidR="00E849F2" w:rsidRPr="00B14910">
        <w:rPr>
          <w:szCs w:val="24"/>
          <w:lang w:eastAsia="ja-JP"/>
        </w:rPr>
        <w:t>noms botaniques et communs des genres ayant un sens plus large</w:t>
      </w:r>
      <w:r w:rsidRPr="00B14910">
        <w:rPr>
          <w:szCs w:val="24"/>
          <w:lang w:eastAsia="ja-JP"/>
        </w:rPr>
        <w:t>.</w:t>
      </w:r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A17ACE" w:rsidRDefault="00A17ACE">
      <w:pPr>
        <w:jc w:val="left"/>
      </w:pPr>
      <w:r>
        <w:br w:type="page"/>
      </w:r>
    </w:p>
    <w:p w:rsidR="00BD6768" w:rsidRPr="00B14910" w:rsidRDefault="006047D0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E849F2" w:rsidRPr="00B14910">
        <w:t xml:space="preserve">Le </w:t>
      </w:r>
      <w:r w:rsidR="00E849F2" w:rsidRPr="00B14910">
        <w:rPr>
          <w:lang w:eastAsia="ja-JP"/>
        </w:rPr>
        <w:t>WG</w:t>
      </w:r>
      <w:r w:rsidR="0012617C" w:rsidRPr="00B14910">
        <w:rPr>
          <w:lang w:eastAsia="ja-JP"/>
        </w:rPr>
        <w:noBreakHyphen/>
      </w:r>
      <w:r w:rsidR="00E849F2" w:rsidRPr="00B14910">
        <w:rPr>
          <w:lang w:eastAsia="ja-JP"/>
        </w:rPr>
        <w:t>DEN est convenu de reporter à sa deuxième réunion, ou à une réunion ultérieure,</w:t>
      </w:r>
      <w:r w:rsidRPr="00B14910">
        <w:rPr>
          <w:lang w:eastAsia="ja-JP"/>
        </w:rPr>
        <w:t xml:space="preserve"> </w:t>
      </w:r>
      <w:r w:rsidR="00E849F2" w:rsidRPr="00B14910">
        <w:rPr>
          <w:szCs w:val="24"/>
          <w:lang w:eastAsia="ja-JP"/>
        </w:rPr>
        <w:t>l</w:t>
      </w:r>
      <w:r w:rsidR="00D13BD0" w:rsidRPr="00B14910">
        <w:rPr>
          <w:szCs w:val="24"/>
          <w:lang w:eastAsia="ja-JP"/>
        </w:rPr>
        <w:t>’</w:t>
      </w:r>
      <w:r w:rsidR="00E849F2" w:rsidRPr="00B14910">
        <w:rPr>
          <w:szCs w:val="24"/>
          <w:lang w:eastAsia="ja-JP"/>
        </w:rPr>
        <w:t>enquête concernant une</w:t>
      </w:r>
      <w:r w:rsidRPr="00B14910">
        <w:rPr>
          <w:szCs w:val="24"/>
          <w:lang w:eastAsia="ja-JP"/>
        </w:rPr>
        <w:t xml:space="preserve"> list</w:t>
      </w:r>
      <w:r w:rsidR="00E849F2" w:rsidRPr="00B14910">
        <w:rPr>
          <w:szCs w:val="24"/>
          <w:lang w:eastAsia="ja-JP"/>
        </w:rPr>
        <w:t>e</w:t>
      </w:r>
      <w:r w:rsidRPr="00B14910">
        <w:rPr>
          <w:szCs w:val="24"/>
          <w:lang w:eastAsia="ja-JP"/>
        </w:rPr>
        <w:t xml:space="preserve"> </w:t>
      </w:r>
      <w:r w:rsidR="00E849F2" w:rsidRPr="00B14910">
        <w:rPr>
          <w:szCs w:val="24"/>
          <w:lang w:eastAsia="ja-JP"/>
        </w:rPr>
        <w:t>de comparatifs</w:t>
      </w:r>
      <w:r w:rsidR="00B23D87" w:rsidRPr="00B14910">
        <w:rPr>
          <w:szCs w:val="24"/>
          <w:lang w:eastAsia="ja-JP"/>
        </w:rPr>
        <w:t xml:space="preserve"> ou </w:t>
      </w:r>
      <w:r w:rsidR="00E849F2" w:rsidRPr="00B14910">
        <w:rPr>
          <w:szCs w:val="24"/>
          <w:lang w:eastAsia="ja-JP"/>
        </w:rPr>
        <w:t>superlatif</w:t>
      </w:r>
      <w:r w:rsidRPr="00B14910">
        <w:rPr>
          <w:szCs w:val="24"/>
          <w:lang w:eastAsia="ja-JP"/>
        </w:rPr>
        <w:t>s</w:t>
      </w:r>
      <w:r w:rsidR="00E849F2" w:rsidRPr="00B14910">
        <w:rPr>
          <w:szCs w:val="24"/>
          <w:lang w:eastAsia="ja-JP"/>
        </w:rPr>
        <w:t xml:space="preserve"> communs</w:t>
      </w:r>
      <w:r w:rsidRPr="00B14910">
        <w:rPr>
          <w:szCs w:val="24"/>
          <w:lang w:eastAsia="ja-JP"/>
        </w:rPr>
        <w:t>.</w:t>
      </w: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6047D0" w:rsidP="00B14910">
      <w:pPr>
        <w:pStyle w:val="DecisionParagraphs"/>
        <w:tabs>
          <w:tab w:val="clear" w:pos="5387"/>
          <w:tab w:val="left" w:pos="5400"/>
        </w:tabs>
        <w:rPr>
          <w:snapToGrid w:val="0"/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4046F3" w:rsidRPr="00B14910">
        <w:t>Le CAJ est invité à prendre note des travaux concernant la possibilité d</w:t>
      </w:r>
      <w:r w:rsidR="00D13BD0" w:rsidRPr="00B14910">
        <w:t>’</w:t>
      </w:r>
      <w:r w:rsidR="004046F3" w:rsidRPr="00B14910">
        <w:t>élabor</w:t>
      </w:r>
      <w:r w:rsidR="00B23D87" w:rsidRPr="00B14910">
        <w:t xml:space="preserve">er </w:t>
      </w:r>
      <w:r w:rsidR="004046F3" w:rsidRPr="00B14910">
        <w:t xml:space="preserve">un </w:t>
      </w:r>
      <w:r w:rsidR="00BC6A08" w:rsidRPr="00B14910">
        <w:t>moteur de recherche de similitudes dans les dénominations variétales de l</w:t>
      </w:r>
      <w:r w:rsidR="00D13BD0" w:rsidRPr="00B14910">
        <w:t>’</w:t>
      </w:r>
      <w:r w:rsidR="00BC6A08" w:rsidRPr="00B14910">
        <w:t>UPOV</w:t>
      </w:r>
      <w:r w:rsidR="004046F3" w:rsidRPr="00B14910">
        <w:t xml:space="preserve"> qui ont été réalisés par le WG</w:t>
      </w:r>
      <w:r w:rsidR="0012617C" w:rsidRPr="00B14910">
        <w:noBreakHyphen/>
      </w:r>
      <w:r w:rsidR="004046F3" w:rsidRPr="00B14910">
        <w:t>DEN.</w:t>
      </w:r>
    </w:p>
    <w:p w:rsidR="00BD6768" w:rsidRPr="00B14910" w:rsidRDefault="00BD6768" w:rsidP="00B14910">
      <w:pPr>
        <w:pStyle w:val="Heading1"/>
        <w:rPr>
          <w:snapToGrid w:val="0"/>
          <w:lang w:val="fr-FR" w:eastAsia="ja-JP"/>
        </w:rPr>
      </w:pP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12617C" w:rsidP="00B14910">
      <w:pPr>
        <w:pStyle w:val="Heading1"/>
        <w:rPr>
          <w:lang w:val="fr-FR"/>
        </w:rPr>
      </w:pPr>
      <w:bookmarkStart w:id="23" w:name="_Toc464480204"/>
      <w:r w:rsidRPr="00B14910">
        <w:rPr>
          <w:lang w:val="fr-FR"/>
        </w:rPr>
        <w:t>É</w:t>
      </w:r>
      <w:r w:rsidR="006431FA" w:rsidRPr="00B14910">
        <w:rPr>
          <w:lang w:val="fr-FR"/>
        </w:rPr>
        <w:t>largissement du contenu de la base de données PLUTO</w:t>
      </w:r>
      <w:bookmarkEnd w:id="23"/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BD6768" w:rsidRPr="00B14910" w:rsidRDefault="006047D0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6431FA" w:rsidRPr="00B14910">
        <w:rPr>
          <w:lang w:eastAsia="ja-JP"/>
        </w:rPr>
        <w:t>À sa première réunion</w:t>
      </w:r>
      <w:r w:rsidR="005F2580" w:rsidRPr="00B14910">
        <w:rPr>
          <w:lang w:eastAsia="ja-JP"/>
        </w:rPr>
        <w:t xml:space="preserve">, </w:t>
      </w:r>
      <w:r w:rsidR="006431FA" w:rsidRPr="00B14910">
        <w:rPr>
          <w:lang w:eastAsia="ja-JP"/>
        </w:rPr>
        <w:t>l</w:t>
      </w:r>
      <w:r w:rsidRPr="00B14910">
        <w:t xml:space="preserve">e </w:t>
      </w:r>
      <w:r w:rsidRPr="00B14910">
        <w:rPr>
          <w:lang w:eastAsia="ja-JP"/>
        </w:rPr>
        <w:t>WG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>DEN</w:t>
      </w:r>
      <w:r w:rsidRPr="00B14910">
        <w:t xml:space="preserve"> </w:t>
      </w:r>
      <w:r w:rsidR="006431FA" w:rsidRPr="00B14910">
        <w:rPr>
          <w:lang w:eastAsia="ja-JP"/>
        </w:rPr>
        <w:t>a examiné le</w:t>
      </w:r>
      <w:r w:rsidRPr="00B14910">
        <w:rPr>
          <w:lang w:eastAsia="ja-JP"/>
        </w:rPr>
        <w:t xml:space="preserve"> </w:t>
      </w:r>
      <w:r w:rsidRPr="00B14910">
        <w:t xml:space="preserve">document </w:t>
      </w:r>
      <w:r w:rsidRPr="00B14910">
        <w:rPr>
          <w:szCs w:val="24"/>
          <w:lang w:eastAsia="ja-JP"/>
        </w:rPr>
        <w:t>UPOV/WG</w:t>
      </w:r>
      <w:r w:rsidR="0012617C" w:rsidRPr="00B14910">
        <w:rPr>
          <w:szCs w:val="24"/>
          <w:lang w:eastAsia="ja-JP"/>
        </w:rPr>
        <w:noBreakHyphen/>
      </w:r>
      <w:r w:rsidRPr="00B14910">
        <w:rPr>
          <w:szCs w:val="24"/>
          <w:lang w:eastAsia="ja-JP"/>
        </w:rPr>
        <w:t>DEN/1/4</w:t>
      </w:r>
      <w:r w:rsidR="003308D3" w:rsidRPr="00B14910">
        <w:rPr>
          <w:szCs w:val="24"/>
          <w:lang w:eastAsia="ja-JP"/>
        </w:rPr>
        <w:t xml:space="preserve"> “</w:t>
      </w:r>
      <w:r w:rsidR="00FE2A47" w:rsidRPr="00B14910">
        <w:rPr>
          <w:szCs w:val="24"/>
          <w:lang w:eastAsia="ja-JP"/>
        </w:rPr>
        <w:t>Expansion of the content of the PLUTO database</w:t>
      </w:r>
      <w:r w:rsidR="003308D3" w:rsidRPr="00B14910">
        <w:rPr>
          <w:szCs w:val="24"/>
          <w:lang w:eastAsia="ja-JP"/>
        </w:rPr>
        <w:t>”.</w:t>
      </w:r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BD6768" w:rsidRPr="00B14910" w:rsidRDefault="006047D0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="00E70D49" w:rsidRPr="00B14910">
        <w:tab/>
        <w:t>L</w:t>
      </w:r>
      <w:r w:rsidRPr="00B14910">
        <w:t xml:space="preserve">e </w:t>
      </w:r>
      <w:r w:rsidRPr="00B14910">
        <w:rPr>
          <w:lang w:eastAsia="ja-JP"/>
        </w:rPr>
        <w:t>WG</w:t>
      </w:r>
      <w:r w:rsidR="0012617C" w:rsidRPr="00B14910">
        <w:rPr>
          <w:lang w:eastAsia="ja-JP"/>
        </w:rPr>
        <w:noBreakHyphen/>
      </w:r>
      <w:r w:rsidRPr="00B14910">
        <w:rPr>
          <w:lang w:eastAsia="ja-JP"/>
        </w:rPr>
        <w:t xml:space="preserve">DEN </w:t>
      </w:r>
      <w:r w:rsidR="00E70D49" w:rsidRPr="00B14910">
        <w:rPr>
          <w:lang w:eastAsia="ja-JP"/>
        </w:rPr>
        <w:t xml:space="preserve">est convenu de reporter à sa deuxième réunion, ou à une réunion ultérieure, </w:t>
      </w:r>
      <w:r w:rsidR="00E70D49" w:rsidRPr="00B14910">
        <w:rPr>
          <w:szCs w:val="24"/>
          <w:lang w:eastAsia="ja-JP"/>
        </w:rPr>
        <w:t>l</w:t>
      </w:r>
      <w:r w:rsidR="00D13BD0" w:rsidRPr="00B14910">
        <w:rPr>
          <w:szCs w:val="24"/>
          <w:lang w:eastAsia="ja-JP"/>
        </w:rPr>
        <w:t>’</w:t>
      </w:r>
      <w:r w:rsidR="00E70D49" w:rsidRPr="00B14910">
        <w:rPr>
          <w:szCs w:val="24"/>
          <w:lang w:eastAsia="ja-JP"/>
        </w:rPr>
        <w:t>examen des questions figurant dans le</w:t>
      </w:r>
      <w:r w:rsidRPr="00B14910">
        <w:rPr>
          <w:szCs w:val="24"/>
          <w:lang w:eastAsia="ja-JP"/>
        </w:rPr>
        <w:t xml:space="preserve"> document UPOV/WG</w:t>
      </w:r>
      <w:r w:rsidR="0012617C" w:rsidRPr="00B14910">
        <w:rPr>
          <w:szCs w:val="24"/>
          <w:lang w:eastAsia="ja-JP"/>
        </w:rPr>
        <w:noBreakHyphen/>
      </w:r>
      <w:r w:rsidRPr="00B14910">
        <w:rPr>
          <w:szCs w:val="24"/>
          <w:lang w:eastAsia="ja-JP"/>
        </w:rPr>
        <w:t>DEN/1/4.</w:t>
      </w:r>
    </w:p>
    <w:p w:rsidR="00BD6768" w:rsidRPr="00B14910" w:rsidRDefault="00BD6768" w:rsidP="00B14910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BD6768" w:rsidRPr="00B14910" w:rsidRDefault="006047D0" w:rsidP="00B14910">
      <w:pPr>
        <w:pStyle w:val="DecisionParagraphs"/>
        <w:tabs>
          <w:tab w:val="clear" w:pos="5387"/>
          <w:tab w:val="left" w:pos="5400"/>
        </w:tabs>
        <w:rPr>
          <w:snapToGrid w:val="0"/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E70D49" w:rsidRPr="00B14910">
        <w:rPr>
          <w:iCs/>
          <w:spacing w:val="-4"/>
        </w:rPr>
        <w:t xml:space="preserve">Le CAJ est invité à prendre note des travaux du </w:t>
      </w:r>
      <w:r w:rsidRPr="00B14910">
        <w:rPr>
          <w:snapToGrid w:val="0"/>
          <w:lang w:eastAsia="ja-JP"/>
        </w:rPr>
        <w:t>WG</w:t>
      </w:r>
      <w:r w:rsidR="0012617C" w:rsidRPr="00B14910">
        <w:rPr>
          <w:snapToGrid w:val="0"/>
          <w:lang w:eastAsia="ja-JP"/>
        </w:rPr>
        <w:noBreakHyphen/>
      </w:r>
      <w:r w:rsidRPr="00B14910">
        <w:rPr>
          <w:snapToGrid w:val="0"/>
          <w:lang w:eastAsia="ja-JP"/>
        </w:rPr>
        <w:t xml:space="preserve">DEN </w:t>
      </w:r>
      <w:r w:rsidR="00E70D49" w:rsidRPr="00B14910">
        <w:rPr>
          <w:snapToGrid w:val="0"/>
          <w:lang w:eastAsia="ja-JP"/>
        </w:rPr>
        <w:t>concernant</w:t>
      </w:r>
      <w:r w:rsidRPr="00B14910">
        <w:rPr>
          <w:snapToGrid w:val="0"/>
          <w:lang w:eastAsia="ja-JP"/>
        </w:rPr>
        <w:t xml:space="preserve"> </w:t>
      </w:r>
      <w:r w:rsidR="00E70D49" w:rsidRPr="00B14910">
        <w:rPr>
          <w:snapToGrid w:val="0"/>
          <w:lang w:eastAsia="ja-JP"/>
        </w:rPr>
        <w:t>l</w:t>
      </w:r>
      <w:r w:rsidR="00D13BD0" w:rsidRPr="00B14910">
        <w:rPr>
          <w:snapToGrid w:val="0"/>
          <w:lang w:eastAsia="ja-JP"/>
        </w:rPr>
        <w:t>’</w:t>
      </w:r>
      <w:r w:rsidR="00E70D49" w:rsidRPr="00B14910">
        <w:rPr>
          <w:snapToGrid w:val="0"/>
          <w:lang w:eastAsia="ja-JP"/>
        </w:rPr>
        <w:t>élargissement du contenu de la base de données PLUTO</w:t>
      </w:r>
      <w:r w:rsidRPr="00B14910">
        <w:rPr>
          <w:snapToGrid w:val="0"/>
          <w:lang w:eastAsia="ja-JP"/>
        </w:rPr>
        <w:t>.</w:t>
      </w:r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Default="00BD6768" w:rsidP="00B14910">
      <w:pPr>
        <w:rPr>
          <w:lang w:eastAsia="ja-JP"/>
        </w:rPr>
      </w:pPr>
    </w:p>
    <w:p w:rsidR="00A17ACE" w:rsidRPr="00B14910" w:rsidRDefault="00A17ACE" w:rsidP="00B14910">
      <w:pPr>
        <w:rPr>
          <w:lang w:eastAsia="ja-JP"/>
        </w:rPr>
      </w:pPr>
    </w:p>
    <w:p w:rsidR="00BD6768" w:rsidRPr="00B14910" w:rsidRDefault="004046F3" w:rsidP="00B14910">
      <w:pPr>
        <w:pStyle w:val="Heading1"/>
        <w:rPr>
          <w:lang w:val="fr-FR" w:eastAsia="ja-JP"/>
        </w:rPr>
      </w:pPr>
      <w:bookmarkStart w:id="24" w:name="_Toc464480205"/>
      <w:r w:rsidRPr="00B14910">
        <w:rPr>
          <w:lang w:val="fr-FR" w:eastAsia="ja-JP"/>
        </w:rPr>
        <w:t>Date et lieu de la prochaine réunion</w:t>
      </w:r>
      <w:bookmarkEnd w:id="24"/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CD7ED9" w:rsidP="00B14910">
      <w:pPr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E70D49" w:rsidRPr="00B14910">
        <w:rPr>
          <w:lang w:eastAsia="ja-JP"/>
        </w:rPr>
        <w:t>À sa première réunion, l</w:t>
      </w:r>
      <w:r w:rsidR="00E70D49" w:rsidRPr="00B14910">
        <w:t xml:space="preserve">e </w:t>
      </w:r>
      <w:r w:rsidR="00E70D49" w:rsidRPr="00B14910">
        <w:rPr>
          <w:lang w:eastAsia="ja-JP"/>
        </w:rPr>
        <w:t>WG</w:t>
      </w:r>
      <w:r w:rsidR="0012617C" w:rsidRPr="00B14910">
        <w:rPr>
          <w:lang w:eastAsia="ja-JP"/>
        </w:rPr>
        <w:noBreakHyphen/>
      </w:r>
      <w:r w:rsidR="00E70D49" w:rsidRPr="00B14910">
        <w:rPr>
          <w:lang w:eastAsia="ja-JP"/>
        </w:rPr>
        <w:t>DEN</w:t>
      </w:r>
      <w:r w:rsidR="00E70D49" w:rsidRPr="00B14910">
        <w:t xml:space="preserve"> </w:t>
      </w:r>
      <w:r w:rsidR="00E70D49" w:rsidRPr="00B14910">
        <w:rPr>
          <w:lang w:eastAsia="ja-JP"/>
        </w:rPr>
        <w:t>est convenu que sa deuxième réunion</w:t>
      </w:r>
      <w:r w:rsidRPr="00B14910">
        <w:rPr>
          <w:lang w:eastAsia="ja-JP"/>
        </w:rPr>
        <w:t xml:space="preserve"> </w:t>
      </w:r>
      <w:r w:rsidR="00E70D49" w:rsidRPr="00B14910">
        <w:rPr>
          <w:lang w:eastAsia="ja-JP"/>
        </w:rPr>
        <w:t>se tiendrait à Genève</w:t>
      </w:r>
      <w:r w:rsidRPr="00B14910">
        <w:rPr>
          <w:lang w:eastAsia="ja-JP"/>
        </w:rPr>
        <w:t xml:space="preserve">, </w:t>
      </w:r>
      <w:r w:rsidR="00E70D49" w:rsidRPr="00B14910">
        <w:rPr>
          <w:lang w:eastAsia="ja-JP"/>
        </w:rPr>
        <w:t>dans la soirée du</w:t>
      </w:r>
      <w:r w:rsidR="00D338E6" w:rsidRPr="00B14910">
        <w:rPr>
          <w:lang w:eastAsia="ja-JP"/>
        </w:rPr>
        <w:t xml:space="preserve"> 2</w:t>
      </w:r>
      <w:r w:rsidR="00D13BD0" w:rsidRPr="00B14910">
        <w:rPr>
          <w:lang w:eastAsia="ja-JP"/>
        </w:rPr>
        <w:t>5 octobre 20</w:t>
      </w:r>
      <w:r w:rsidRPr="00B14910">
        <w:rPr>
          <w:lang w:eastAsia="ja-JP"/>
        </w:rPr>
        <w:t>16.</w:t>
      </w:r>
    </w:p>
    <w:p w:rsidR="00BD6768" w:rsidRPr="00B14910" w:rsidRDefault="00BD6768" w:rsidP="00B14910">
      <w:pPr>
        <w:rPr>
          <w:lang w:eastAsia="ja-JP"/>
        </w:rPr>
      </w:pPr>
    </w:p>
    <w:p w:rsidR="00BD6768" w:rsidRPr="00B14910" w:rsidRDefault="00CD7ED9" w:rsidP="00B14910">
      <w:pPr>
        <w:rPr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E70D49" w:rsidRPr="00B14910">
        <w:t>Le programme ci</w:t>
      </w:r>
      <w:r w:rsidR="0012617C" w:rsidRPr="00B14910">
        <w:noBreakHyphen/>
      </w:r>
      <w:r w:rsidR="00E70D49" w:rsidRPr="00B14910">
        <w:t>après a été approuvé pour la deuxième réunion du</w:t>
      </w:r>
      <w:r w:rsidRPr="00B14910">
        <w:t xml:space="preserve"> </w:t>
      </w:r>
      <w:r w:rsidRPr="00B14910">
        <w:rPr>
          <w:rFonts w:cs="Arial"/>
          <w:lang w:eastAsia="ja-JP"/>
        </w:rPr>
        <w:t>WG</w:t>
      </w:r>
      <w:r w:rsidR="0012617C" w:rsidRPr="00B14910">
        <w:rPr>
          <w:rFonts w:cs="Arial"/>
          <w:lang w:eastAsia="ja-JP"/>
        </w:rPr>
        <w:noBreakHyphen/>
      </w:r>
      <w:r w:rsidRPr="00B14910">
        <w:rPr>
          <w:rFonts w:cs="Arial"/>
          <w:lang w:eastAsia="ja-JP"/>
        </w:rPr>
        <w:t>DEN</w:t>
      </w:r>
      <w:r w:rsidR="0041185C" w:rsidRPr="00B14910">
        <w:rPr>
          <w:rFonts w:cs="Arial"/>
          <w:lang w:eastAsia="ja-JP"/>
        </w:rPr>
        <w:t> </w:t>
      </w:r>
      <w:r w:rsidRPr="00B14910">
        <w:rPr>
          <w:rFonts w:cs="Arial"/>
          <w:lang w:eastAsia="ja-JP"/>
        </w:rPr>
        <w:t>:</w:t>
      </w:r>
    </w:p>
    <w:p w:rsidR="00BD6768" w:rsidRPr="00B14910" w:rsidRDefault="00BD6768" w:rsidP="00B14910">
      <w:pPr>
        <w:rPr>
          <w:lang w:eastAsia="ja-JP"/>
        </w:rPr>
      </w:pPr>
    </w:p>
    <w:p w:rsidR="00D13BD0" w:rsidRPr="00B14910" w:rsidRDefault="004046F3" w:rsidP="00B1491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B14910">
        <w:rPr>
          <w:szCs w:val="24"/>
        </w:rPr>
        <w:t>Ouverture de la session</w:t>
      </w:r>
    </w:p>
    <w:p w:rsidR="00BD6768" w:rsidRPr="00B14910" w:rsidRDefault="00BD6768" w:rsidP="00B14910">
      <w:pPr>
        <w:autoSpaceDE w:val="0"/>
        <w:autoSpaceDN w:val="0"/>
        <w:adjustRightInd w:val="0"/>
        <w:jc w:val="left"/>
        <w:rPr>
          <w:szCs w:val="24"/>
        </w:rPr>
      </w:pPr>
    </w:p>
    <w:p w:rsidR="00BD6768" w:rsidRPr="00B14910" w:rsidRDefault="004046F3" w:rsidP="00B1491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B14910">
        <w:rPr>
          <w:szCs w:val="24"/>
        </w:rPr>
        <w:t>Adoption de l</w:t>
      </w:r>
      <w:r w:rsidR="00D13BD0" w:rsidRPr="00B14910">
        <w:rPr>
          <w:szCs w:val="24"/>
        </w:rPr>
        <w:t>’</w:t>
      </w:r>
      <w:r w:rsidRPr="00B14910">
        <w:rPr>
          <w:szCs w:val="24"/>
        </w:rPr>
        <w:t>ordre du jour</w:t>
      </w:r>
    </w:p>
    <w:p w:rsidR="00BD6768" w:rsidRPr="00B14910" w:rsidRDefault="00BD6768" w:rsidP="00B14910">
      <w:pPr>
        <w:autoSpaceDE w:val="0"/>
        <w:autoSpaceDN w:val="0"/>
        <w:adjustRightInd w:val="0"/>
        <w:jc w:val="left"/>
        <w:rPr>
          <w:szCs w:val="24"/>
        </w:rPr>
      </w:pPr>
    </w:p>
    <w:p w:rsidR="00BD6768" w:rsidRPr="00B14910" w:rsidRDefault="004046F3" w:rsidP="00B1491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594"/>
        <w:contextualSpacing w:val="0"/>
        <w:rPr>
          <w:szCs w:val="24"/>
          <w:lang w:eastAsia="ja-JP"/>
        </w:rPr>
      </w:pPr>
      <w:r w:rsidRPr="00B14910">
        <w:rPr>
          <w:szCs w:val="24"/>
          <w:lang w:eastAsia="ja-JP"/>
        </w:rPr>
        <w:t xml:space="preserve">Révision du document UPOV/INF/12/5 “Notes explicatives concernant les dénominations variétales en vertu de la </w:t>
      </w:r>
      <w:r w:rsidR="00D13BD0" w:rsidRPr="00B14910">
        <w:rPr>
          <w:szCs w:val="24"/>
          <w:lang w:eastAsia="ja-JP"/>
        </w:rPr>
        <w:t>Convention UPOV</w:t>
      </w:r>
      <w:r w:rsidRPr="00B14910">
        <w:rPr>
          <w:szCs w:val="24"/>
          <w:lang w:eastAsia="ja-JP"/>
        </w:rPr>
        <w:t>”</w:t>
      </w:r>
    </w:p>
    <w:p w:rsidR="00BD6768" w:rsidRPr="00B14910" w:rsidRDefault="00BD6768" w:rsidP="00B14910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BD6768" w:rsidRPr="00B14910" w:rsidRDefault="00BC6A08" w:rsidP="00B1491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</w:rPr>
      </w:pPr>
      <w:r w:rsidRPr="00B14910">
        <w:rPr>
          <w:szCs w:val="24"/>
        </w:rPr>
        <w:t>Moteur de recherche de similitudes dans les dénominations variétales de l</w:t>
      </w:r>
      <w:r w:rsidR="00D13BD0" w:rsidRPr="00B14910">
        <w:rPr>
          <w:szCs w:val="24"/>
        </w:rPr>
        <w:t>’</w:t>
      </w:r>
      <w:r w:rsidRPr="00B14910">
        <w:rPr>
          <w:szCs w:val="24"/>
        </w:rPr>
        <w:t>UPOV</w:t>
      </w:r>
    </w:p>
    <w:p w:rsidR="00BD6768" w:rsidRPr="00B14910" w:rsidRDefault="00BD6768" w:rsidP="00B14910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BD6768" w:rsidRPr="00B14910" w:rsidRDefault="00E70D49" w:rsidP="00B1491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</w:rPr>
      </w:pPr>
      <w:r w:rsidRPr="00B14910">
        <w:rPr>
          <w:szCs w:val="24"/>
          <w:lang w:eastAsia="ja-JP"/>
        </w:rPr>
        <w:t>Élargissement du contenu de la base de données PLUTO</w:t>
      </w:r>
    </w:p>
    <w:p w:rsidR="00BD6768" w:rsidRPr="00B14910" w:rsidRDefault="00BD6768" w:rsidP="00B14910"/>
    <w:p w:rsidR="00BD6768" w:rsidRPr="00B14910" w:rsidRDefault="00E70D49" w:rsidP="00B1491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</w:rPr>
      </w:pPr>
      <w:r w:rsidRPr="00B14910">
        <w:rPr>
          <w:szCs w:val="24"/>
        </w:rPr>
        <w:t>Termes n</w:t>
      </w:r>
      <w:r w:rsidR="00CD7ED9" w:rsidRPr="00B14910">
        <w:rPr>
          <w:szCs w:val="24"/>
        </w:rPr>
        <w:t>on</w:t>
      </w:r>
      <w:r w:rsidRPr="00B14910">
        <w:rPr>
          <w:szCs w:val="24"/>
        </w:rPr>
        <w:t xml:space="preserve"> acceptables</w:t>
      </w:r>
    </w:p>
    <w:p w:rsidR="00BD6768" w:rsidRPr="00B14910" w:rsidRDefault="00BD6768" w:rsidP="00B14910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BD6768" w:rsidRPr="00B14910" w:rsidRDefault="00CD7ED9" w:rsidP="00B1491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eastAsia="ja-JP"/>
        </w:rPr>
      </w:pPr>
      <w:r w:rsidRPr="00B14910">
        <w:t>Date</w:t>
      </w:r>
      <w:r w:rsidRPr="00B14910">
        <w:rPr>
          <w:lang w:eastAsia="ja-JP"/>
        </w:rPr>
        <w:t>,</w:t>
      </w:r>
      <w:r w:rsidRPr="00B14910">
        <w:t xml:space="preserve"> </w:t>
      </w:r>
      <w:r w:rsidR="00E70D49" w:rsidRPr="00B14910">
        <w:t>lieu et programme de la prochaine réunion</w:t>
      </w:r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Pr="00B14910" w:rsidRDefault="005B65AC" w:rsidP="00B14910">
      <w:pPr>
        <w:pStyle w:val="DecisionParagraphs"/>
        <w:tabs>
          <w:tab w:val="clear" w:pos="5387"/>
          <w:tab w:val="left" w:pos="5400"/>
        </w:tabs>
        <w:rPr>
          <w:snapToGrid w:val="0"/>
          <w:lang w:eastAsia="ja-JP"/>
        </w:rPr>
      </w:pPr>
      <w:r w:rsidRPr="00B14910">
        <w:fldChar w:fldCharType="begin"/>
      </w:r>
      <w:r w:rsidRPr="00B14910">
        <w:instrText xml:space="preserve"> AUTONUM  </w:instrText>
      </w:r>
      <w:r w:rsidRPr="00B14910">
        <w:fldChar w:fldCharType="end"/>
      </w:r>
      <w:r w:rsidRPr="00B14910">
        <w:tab/>
      </w:r>
      <w:r w:rsidR="00E70D49" w:rsidRPr="00B14910">
        <w:rPr>
          <w:iCs/>
          <w:spacing w:val="-4"/>
        </w:rPr>
        <w:t>Le CAJ est invité à prendre note de la date et du lieu de la prochaine réunion</w:t>
      </w:r>
      <w:r w:rsidRPr="00B14910">
        <w:rPr>
          <w:snapToGrid w:val="0"/>
          <w:lang w:eastAsia="ja-JP"/>
        </w:rPr>
        <w:t>.</w:t>
      </w:r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Pr="00B14910" w:rsidRDefault="00BD6768" w:rsidP="00B14910">
      <w:pPr>
        <w:rPr>
          <w:snapToGrid w:val="0"/>
          <w:lang w:eastAsia="ja-JP"/>
        </w:rPr>
      </w:pPr>
    </w:p>
    <w:p w:rsidR="00BD6768" w:rsidRPr="00B14910" w:rsidRDefault="00BD6768" w:rsidP="00B14910">
      <w:pPr>
        <w:rPr>
          <w:snapToGrid w:val="0"/>
          <w:lang w:eastAsia="ja-JP"/>
        </w:rPr>
      </w:pPr>
    </w:p>
    <w:p w:rsidR="00900C26" w:rsidRPr="00DB297C" w:rsidRDefault="00532FB6" w:rsidP="00B14910">
      <w:pPr>
        <w:jc w:val="right"/>
        <w:rPr>
          <w:snapToGrid w:val="0"/>
        </w:rPr>
      </w:pPr>
      <w:r w:rsidRPr="00DB297C">
        <w:rPr>
          <w:snapToGrid w:val="0"/>
          <w:lang w:eastAsia="ja-JP"/>
        </w:rPr>
        <w:t>[</w:t>
      </w:r>
      <w:r w:rsidR="00BC6A08" w:rsidRPr="00DB297C">
        <w:rPr>
          <w:snapToGrid w:val="0"/>
          <w:lang w:eastAsia="ja-JP"/>
        </w:rPr>
        <w:t xml:space="preserve">Fin du </w:t>
      </w:r>
      <w:r w:rsidR="003C7F21" w:rsidRPr="00DB297C">
        <w:rPr>
          <w:snapToGrid w:val="0"/>
          <w:lang w:eastAsia="ja-JP"/>
        </w:rPr>
        <w:t>d</w:t>
      </w:r>
      <w:r w:rsidRPr="00DB297C">
        <w:rPr>
          <w:snapToGrid w:val="0"/>
          <w:lang w:eastAsia="ja-JP"/>
        </w:rPr>
        <w:t>ocument]</w:t>
      </w:r>
    </w:p>
    <w:sectPr w:rsidR="00900C26" w:rsidRPr="00DB297C" w:rsidSect="006A4C42">
      <w:headerReference w:type="default" r:id="rId10"/>
      <w:pgSz w:w="11907" w:h="16840" w:code="9"/>
      <w:pgMar w:top="510" w:right="1134" w:bottom="568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E6" w:rsidRDefault="00555AE6">
      <w:r>
        <w:separator/>
      </w:r>
    </w:p>
    <w:p w:rsidR="00555AE6" w:rsidRDefault="00555AE6"/>
    <w:p w:rsidR="00555AE6" w:rsidRDefault="00555AE6"/>
  </w:endnote>
  <w:endnote w:type="continuationSeparator" w:id="0">
    <w:p w:rsidR="00555AE6" w:rsidRDefault="00555AE6">
      <w:r>
        <w:separator/>
      </w:r>
    </w:p>
    <w:p w:rsidR="00555AE6" w:rsidRPr="00664515" w:rsidRDefault="00555AE6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555AE6" w:rsidRPr="00664515" w:rsidRDefault="00555AE6">
      <w:pPr>
        <w:rPr>
          <w:lang w:val="fr-CH"/>
        </w:rPr>
      </w:pPr>
    </w:p>
    <w:p w:rsidR="00555AE6" w:rsidRPr="00664515" w:rsidRDefault="00555AE6">
      <w:pPr>
        <w:rPr>
          <w:lang w:val="fr-CH"/>
        </w:rPr>
      </w:pPr>
    </w:p>
  </w:endnote>
  <w:endnote w:type="continuationNotice" w:id="1">
    <w:p w:rsidR="00555AE6" w:rsidRPr="00664515" w:rsidRDefault="00555AE6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555AE6" w:rsidRPr="00664515" w:rsidRDefault="00555AE6">
      <w:pPr>
        <w:rPr>
          <w:lang w:val="fr-CH"/>
        </w:rPr>
      </w:pPr>
    </w:p>
    <w:p w:rsidR="00555AE6" w:rsidRPr="00664515" w:rsidRDefault="00555AE6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E6" w:rsidRDefault="00555AE6" w:rsidP="009D690D">
      <w:pPr>
        <w:spacing w:before="120"/>
      </w:pPr>
      <w:r>
        <w:separator/>
      </w:r>
    </w:p>
  </w:footnote>
  <w:footnote w:type="continuationSeparator" w:id="0">
    <w:p w:rsidR="00555AE6" w:rsidRDefault="00555AE6" w:rsidP="00520297">
      <w:pPr>
        <w:spacing w:before="120"/>
        <w:jc w:val="left"/>
      </w:pPr>
      <w:r>
        <w:separator/>
      </w:r>
    </w:p>
  </w:footnote>
  <w:footnote w:type="continuationNotice" w:id="1">
    <w:p w:rsidR="00555AE6" w:rsidRDefault="00555AE6"/>
  </w:footnote>
  <w:footnote w:id="2">
    <w:p w:rsidR="00CC6820" w:rsidRPr="00B14910" w:rsidRDefault="00CC6820" w:rsidP="00CC6820">
      <w:pPr>
        <w:pStyle w:val="FootnoteText"/>
        <w:rPr>
          <w:lang w:val="fr-FR" w:eastAsia="ja-JP"/>
        </w:rPr>
      </w:pPr>
      <w:r w:rsidRPr="00DB297C">
        <w:rPr>
          <w:rStyle w:val="FootnoteReference"/>
          <w:lang w:val="fr-FR"/>
        </w:rPr>
        <w:footnoteRef/>
      </w:r>
      <w:r w:rsidRPr="00DB297C">
        <w:rPr>
          <w:lang w:val="fr-FR"/>
        </w:rPr>
        <w:t xml:space="preserve"> </w:t>
      </w:r>
      <w:r w:rsidRPr="00DB297C">
        <w:rPr>
          <w:lang w:val="fr-FR" w:eastAsia="ja-JP"/>
        </w:rPr>
        <w:tab/>
      </w:r>
      <w:r w:rsidRPr="00B14910">
        <w:rPr>
          <w:lang w:val="fr-FR" w:eastAsia="ja-JP"/>
        </w:rPr>
        <w:t>Tenue à Genève le 2</w:t>
      </w:r>
      <w:r w:rsidR="00160837" w:rsidRPr="00B14910">
        <w:rPr>
          <w:lang w:val="fr-FR" w:eastAsia="ja-JP"/>
        </w:rPr>
        <w:t>6 mars 20</w:t>
      </w:r>
      <w:r w:rsidRPr="00B14910">
        <w:rPr>
          <w:lang w:val="fr-FR" w:eastAsia="ja-JP"/>
        </w:rPr>
        <w:t>15.</w:t>
      </w:r>
    </w:p>
  </w:footnote>
  <w:footnote w:id="3">
    <w:p w:rsidR="00555AE6" w:rsidRPr="00DB297C" w:rsidRDefault="00555AE6" w:rsidP="004046F3">
      <w:pPr>
        <w:pStyle w:val="FootnoteText"/>
        <w:rPr>
          <w:lang w:val="fr-FR"/>
        </w:rPr>
      </w:pPr>
      <w:r w:rsidRPr="00B14910">
        <w:rPr>
          <w:rStyle w:val="FootnoteReference"/>
          <w:lang w:val="fr-FR"/>
        </w:rPr>
        <w:footnoteRef/>
      </w:r>
      <w:r w:rsidRPr="00B14910">
        <w:rPr>
          <w:lang w:val="fr-FR"/>
        </w:rPr>
        <w:t xml:space="preserve"> </w:t>
      </w:r>
      <w:r w:rsidRPr="00B14910">
        <w:rPr>
          <w:lang w:val="fr-FR"/>
        </w:rPr>
        <w:tab/>
      </w:r>
      <w:r w:rsidR="004046F3" w:rsidRPr="00B14910">
        <w:rPr>
          <w:lang w:val="fr-FR"/>
        </w:rPr>
        <w:t>Voir le paragraphe</w:t>
      </w:r>
      <w:r w:rsidR="0041185C" w:rsidRPr="00B14910">
        <w:rPr>
          <w:lang w:val="fr-FR"/>
        </w:rPr>
        <w:t> </w:t>
      </w:r>
      <w:r w:rsidR="004046F3" w:rsidRPr="00B14910">
        <w:rPr>
          <w:lang w:val="fr-FR"/>
        </w:rPr>
        <w:t xml:space="preserve">21 </w:t>
      </w:r>
      <w:r w:rsidR="004046F3" w:rsidRPr="00DB297C">
        <w:rPr>
          <w:color w:val="000000"/>
          <w:lang w:val="fr-FR"/>
        </w:rPr>
        <w:t xml:space="preserve">du document </w:t>
      </w:r>
      <w:hyperlink r:id="rId1" w:history="1">
        <w:r w:rsidR="004046F3" w:rsidRPr="00DB297C">
          <w:rPr>
            <w:rStyle w:val="Hyperlink"/>
            <w:rFonts w:cs="Arial"/>
            <w:lang w:val="fr-FR"/>
          </w:rPr>
          <w:t>CAJ/72/9</w:t>
        </w:r>
      </w:hyperlink>
      <w:r w:rsidR="004046F3" w:rsidRPr="00DB297C">
        <w:rPr>
          <w:color w:val="000000"/>
          <w:lang w:val="fr-FR"/>
        </w:rPr>
        <w:t xml:space="preserve"> “Compte rendu des conclusions”.</w:t>
      </w:r>
      <w:r w:rsidRPr="00DB297C">
        <w:rPr>
          <w:color w:val="000000"/>
          <w:lang w:val="fr-FR"/>
        </w:rPr>
        <w:t xml:space="preserve"> </w:t>
      </w:r>
      <w:r w:rsidR="0041185C" w:rsidRPr="00DB297C">
        <w:rPr>
          <w:color w:val="000000"/>
          <w:lang w:val="fr-FR"/>
        </w:rPr>
        <w:t xml:space="preserve"> </w:t>
      </w:r>
    </w:p>
  </w:footnote>
  <w:footnote w:id="4">
    <w:p w:rsidR="00555AE6" w:rsidRPr="00DB297C" w:rsidRDefault="00555AE6" w:rsidP="004046F3">
      <w:pPr>
        <w:pStyle w:val="FootnoteText"/>
        <w:rPr>
          <w:lang w:val="fr-FR" w:eastAsia="ja-JP"/>
        </w:rPr>
      </w:pPr>
      <w:r w:rsidRPr="00DB297C">
        <w:rPr>
          <w:rStyle w:val="FootnoteReference"/>
          <w:lang w:val="fr-FR"/>
        </w:rPr>
        <w:footnoteRef/>
      </w:r>
      <w:r w:rsidRPr="00DB297C">
        <w:rPr>
          <w:lang w:val="fr-FR"/>
        </w:rPr>
        <w:t xml:space="preserve"> </w:t>
      </w:r>
      <w:r w:rsidRPr="00DB297C">
        <w:rPr>
          <w:lang w:val="fr-FR" w:eastAsia="ja-JP"/>
        </w:rPr>
        <w:tab/>
      </w:r>
      <w:r w:rsidR="004046F3" w:rsidRPr="00B14910">
        <w:rPr>
          <w:lang w:val="fr-FR" w:eastAsia="ja-JP"/>
        </w:rPr>
        <w:t xml:space="preserve">Tenue à Genève le </w:t>
      </w:r>
      <w:r w:rsidR="00160837" w:rsidRPr="00B14910">
        <w:rPr>
          <w:lang w:val="fr-FR" w:eastAsia="ja-JP"/>
        </w:rPr>
        <w:t>2 octobre 20</w:t>
      </w:r>
      <w:r w:rsidR="004046F3" w:rsidRPr="00B14910">
        <w:rPr>
          <w:lang w:val="fr-FR" w:eastAsia="ja-JP"/>
        </w:rPr>
        <w:t>15.</w:t>
      </w:r>
    </w:p>
  </w:footnote>
  <w:footnote w:id="5">
    <w:p w:rsidR="00555AE6" w:rsidRPr="00DB297C" w:rsidRDefault="00555AE6" w:rsidP="004046F3">
      <w:pPr>
        <w:pStyle w:val="FootnoteText"/>
        <w:rPr>
          <w:lang w:val="fr-FR"/>
        </w:rPr>
      </w:pPr>
      <w:r w:rsidRPr="00DB297C">
        <w:rPr>
          <w:rStyle w:val="FootnoteReference"/>
          <w:lang w:val="fr-FR"/>
        </w:rPr>
        <w:footnoteRef/>
      </w:r>
      <w:r w:rsidRPr="00DB297C">
        <w:rPr>
          <w:lang w:val="fr-FR"/>
        </w:rPr>
        <w:t xml:space="preserve"> </w:t>
      </w:r>
      <w:r w:rsidRPr="00DB297C">
        <w:rPr>
          <w:lang w:val="fr-FR"/>
        </w:rPr>
        <w:tab/>
      </w:r>
      <w:r w:rsidR="004046F3" w:rsidRPr="00DB297C">
        <w:rPr>
          <w:color w:val="000000"/>
          <w:lang w:val="fr-FR"/>
        </w:rPr>
        <w:t>Voir le paragraphe</w:t>
      </w:r>
      <w:r w:rsidR="0041185C" w:rsidRPr="00DB297C">
        <w:rPr>
          <w:color w:val="000000"/>
          <w:lang w:val="fr-FR"/>
        </w:rPr>
        <w:t> </w:t>
      </w:r>
      <w:r w:rsidR="004046F3" w:rsidRPr="00DB297C">
        <w:rPr>
          <w:color w:val="000000"/>
          <w:lang w:val="fr-FR"/>
        </w:rPr>
        <w:t xml:space="preserve">22 du document </w:t>
      </w:r>
      <w:hyperlink r:id="rId2" w:history="1">
        <w:r w:rsidR="004046F3" w:rsidRPr="00DB297C">
          <w:rPr>
            <w:rStyle w:val="Hyperlink"/>
            <w:rFonts w:cs="Arial"/>
            <w:lang w:val="fr-FR"/>
          </w:rPr>
          <w:t>CAJ/72/9</w:t>
        </w:r>
      </w:hyperlink>
      <w:r w:rsidR="004046F3" w:rsidRPr="00DB297C">
        <w:rPr>
          <w:color w:val="000000"/>
          <w:lang w:val="fr-FR"/>
        </w:rPr>
        <w:t xml:space="preserve"> “Compte rendu des conclusions”.</w:t>
      </w:r>
    </w:p>
  </w:footnote>
  <w:footnote w:id="6">
    <w:p w:rsidR="004046F3" w:rsidRPr="00B14910" w:rsidRDefault="004046F3" w:rsidP="004046F3">
      <w:pPr>
        <w:pStyle w:val="FootnoteText"/>
        <w:rPr>
          <w:lang w:val="fr-FR"/>
        </w:rPr>
      </w:pPr>
      <w:r w:rsidRPr="00DB297C">
        <w:rPr>
          <w:rStyle w:val="FootnoteReference"/>
          <w:lang w:val="fr-FR"/>
        </w:rPr>
        <w:footnoteRef/>
      </w:r>
      <w:r w:rsidRPr="00DB297C">
        <w:rPr>
          <w:lang w:val="fr-FR"/>
        </w:rPr>
        <w:t xml:space="preserve"> </w:t>
      </w:r>
      <w:r w:rsidRPr="00DB297C">
        <w:rPr>
          <w:lang w:val="fr-FR"/>
        </w:rPr>
        <w:tab/>
      </w:r>
      <w:r w:rsidRPr="00DB297C">
        <w:rPr>
          <w:color w:val="000000"/>
          <w:lang w:val="fr-FR"/>
        </w:rPr>
        <w:t>Voir le p</w:t>
      </w:r>
      <w:r w:rsidRPr="00B14910">
        <w:rPr>
          <w:lang w:val="fr-FR"/>
        </w:rPr>
        <w:t>aragraphe</w:t>
      </w:r>
      <w:r w:rsidR="0041185C" w:rsidRPr="00B14910">
        <w:rPr>
          <w:lang w:val="fr-FR"/>
        </w:rPr>
        <w:t> </w:t>
      </w:r>
      <w:r w:rsidRPr="00B14910">
        <w:rPr>
          <w:lang w:val="fr-FR"/>
        </w:rPr>
        <w:t>23 du document CAJ/72/9 “Compte rendu des conclusions”.</w:t>
      </w:r>
    </w:p>
  </w:footnote>
  <w:footnote w:id="7">
    <w:p w:rsidR="00F7128D" w:rsidRPr="00DB297C" w:rsidRDefault="00F7128D" w:rsidP="00F7128D">
      <w:pPr>
        <w:pStyle w:val="FootnoteText"/>
        <w:rPr>
          <w:lang w:val="fr-FR"/>
        </w:rPr>
      </w:pPr>
      <w:r w:rsidRPr="00B14910">
        <w:rPr>
          <w:rStyle w:val="FootnoteReference"/>
          <w:lang w:val="fr-FR"/>
        </w:rPr>
        <w:footnoteRef/>
      </w:r>
      <w:r w:rsidRPr="00B14910">
        <w:rPr>
          <w:lang w:val="fr-FR"/>
        </w:rPr>
        <w:t xml:space="preserve"> </w:t>
      </w:r>
      <w:r w:rsidRPr="00B14910">
        <w:rPr>
          <w:lang w:val="fr-FR"/>
        </w:rPr>
        <w:tab/>
        <w:t>Tenue à Genève le 1</w:t>
      </w:r>
      <w:r w:rsidR="00160837" w:rsidRPr="00B14910">
        <w:rPr>
          <w:lang w:val="fr-FR"/>
        </w:rPr>
        <w:t>8 mars 20</w:t>
      </w:r>
      <w:r w:rsidRPr="00B14910">
        <w:rPr>
          <w:lang w:val="fr-FR"/>
        </w:rPr>
        <w:t>16.</w:t>
      </w:r>
    </w:p>
  </w:footnote>
  <w:footnote w:id="8">
    <w:p w:rsidR="009203E5" w:rsidRPr="00B14910" w:rsidRDefault="009203E5" w:rsidP="004046F3">
      <w:pPr>
        <w:pStyle w:val="FootnoteText"/>
        <w:rPr>
          <w:lang w:val="fr-FR" w:eastAsia="ja-JP"/>
        </w:rPr>
      </w:pPr>
      <w:r w:rsidRPr="00DB297C">
        <w:rPr>
          <w:rStyle w:val="FootnoteReference"/>
          <w:lang w:val="fr-FR"/>
        </w:rPr>
        <w:footnoteRef/>
      </w:r>
      <w:r w:rsidRPr="00DB297C">
        <w:rPr>
          <w:lang w:val="fr-FR"/>
        </w:rPr>
        <w:t xml:space="preserve"> </w:t>
      </w:r>
      <w:r w:rsidRPr="00DB297C">
        <w:rPr>
          <w:lang w:val="fr-FR" w:eastAsia="ja-JP"/>
        </w:rPr>
        <w:tab/>
      </w:r>
      <w:r w:rsidR="004046F3" w:rsidRPr="00B14910">
        <w:rPr>
          <w:lang w:val="fr-FR" w:eastAsia="ja-JP"/>
        </w:rPr>
        <w:t>Voir le paragraphe</w:t>
      </w:r>
      <w:r w:rsidR="0041185C" w:rsidRPr="00B14910">
        <w:rPr>
          <w:lang w:val="fr-FR" w:eastAsia="ja-JP"/>
        </w:rPr>
        <w:t> </w:t>
      </w:r>
      <w:r w:rsidR="004046F3" w:rsidRPr="00B14910">
        <w:rPr>
          <w:lang w:val="fr-FR" w:eastAsia="ja-JP"/>
        </w:rPr>
        <w:t xml:space="preserve">49 du document </w:t>
      </w:r>
      <w:hyperlink r:id="rId3" w:history="1">
        <w:r w:rsidR="004046F3" w:rsidRPr="00DB297C">
          <w:rPr>
            <w:rStyle w:val="Hyperlink"/>
            <w:rFonts w:cs="Arial"/>
            <w:lang w:val="fr-FR"/>
          </w:rPr>
          <w:t>UPOV/WG</w:t>
        </w:r>
        <w:r w:rsidR="0012617C">
          <w:rPr>
            <w:rStyle w:val="Hyperlink"/>
            <w:rFonts w:cs="Arial"/>
            <w:lang w:val="fr-FR"/>
          </w:rPr>
          <w:noBreakHyphen/>
        </w:r>
        <w:r w:rsidR="004046F3" w:rsidRPr="00DB297C">
          <w:rPr>
            <w:rStyle w:val="Hyperlink"/>
            <w:rFonts w:cs="Arial"/>
            <w:lang w:val="fr-FR"/>
          </w:rPr>
          <w:t>DEN/1/6</w:t>
        </w:r>
      </w:hyperlink>
      <w:r w:rsidR="004046F3" w:rsidRPr="00B14910">
        <w:rPr>
          <w:lang w:val="fr-FR" w:eastAsia="ja-JP"/>
        </w:rPr>
        <w:t xml:space="preserve"> “Compte rendu”.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E6" w:rsidRPr="00997029" w:rsidRDefault="00555AE6" w:rsidP="00E23920">
    <w:pPr>
      <w:jc w:val="center"/>
      <w:rPr>
        <w:rStyle w:val="PageNumber"/>
      </w:rPr>
    </w:pPr>
    <w:r>
      <w:rPr>
        <w:rStyle w:val="PageNumber"/>
      </w:rPr>
      <w:t>CAJ/73/3</w:t>
    </w:r>
  </w:p>
  <w:p w:rsidR="00555AE6" w:rsidRPr="00997029" w:rsidRDefault="00555AE6" w:rsidP="00E23920">
    <w:pPr>
      <w:jc w:val="center"/>
    </w:pPr>
    <w:r w:rsidRPr="00997029">
      <w:t>page</w:t>
    </w:r>
    <w:r w:rsidR="00F74E5B">
      <w:t> 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8D06C1">
      <w:rPr>
        <w:rStyle w:val="PageNumber"/>
        <w:noProof/>
      </w:rPr>
      <w:t>5</w:t>
    </w:r>
    <w:r w:rsidRPr="00997029">
      <w:rPr>
        <w:rStyle w:val="PageNumber"/>
      </w:rPr>
      <w:fldChar w:fldCharType="end"/>
    </w:r>
  </w:p>
  <w:p w:rsidR="00555AE6" w:rsidRPr="00997029" w:rsidRDefault="00555AE6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32C"/>
    <w:multiLevelType w:val="hybridMultilevel"/>
    <w:tmpl w:val="3E20B87E"/>
    <w:lvl w:ilvl="0" w:tplc="1B6688FC">
      <w:start w:val="1"/>
      <w:numFmt w:val="lowerRoman"/>
      <w:lvlText w:val="(%1)"/>
      <w:lvlJc w:val="right"/>
      <w:pPr>
        <w:ind w:left="720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5628"/>
    <w:multiLevelType w:val="hybridMultilevel"/>
    <w:tmpl w:val="25F47BBE"/>
    <w:lvl w:ilvl="0" w:tplc="1B6688FC">
      <w:start w:val="1"/>
      <w:numFmt w:val="lowerRoman"/>
      <w:lvlText w:val="(%1)"/>
      <w:lvlJc w:val="right"/>
      <w:pPr>
        <w:ind w:left="720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E0D"/>
    <w:multiLevelType w:val="hybridMultilevel"/>
    <w:tmpl w:val="CC08F4F8"/>
    <w:lvl w:ilvl="0" w:tplc="1B6688FC">
      <w:start w:val="1"/>
      <w:numFmt w:val="lowerRoman"/>
      <w:lvlText w:val="(%1)"/>
      <w:lvlJc w:val="right"/>
      <w:pPr>
        <w:ind w:left="1287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9317982"/>
    <w:multiLevelType w:val="hybridMultilevel"/>
    <w:tmpl w:val="68C49002"/>
    <w:lvl w:ilvl="0" w:tplc="1B6688FC">
      <w:start w:val="1"/>
      <w:numFmt w:val="lowerRoman"/>
      <w:lvlText w:val="(%1)"/>
      <w:lvlJc w:val="right"/>
      <w:pPr>
        <w:ind w:left="720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EN-FR\UPOV|TextBase TMs\UPOV\Meetings|TextBase TMs\UPOV\Other|TextBase TMs\UPOV\Publications|TextBase TMs\UPOV\Technical Guidelines"/>
    <w:docVar w:name="TextBaseURL" w:val="empty"/>
    <w:docVar w:name="UILng" w:val="en"/>
  </w:docVars>
  <w:rsids>
    <w:rsidRoot w:val="002B2C4B"/>
    <w:rsid w:val="00001380"/>
    <w:rsid w:val="00001D48"/>
    <w:rsid w:val="00004C35"/>
    <w:rsid w:val="0001076D"/>
    <w:rsid w:val="00010CF3"/>
    <w:rsid w:val="00011E27"/>
    <w:rsid w:val="00013610"/>
    <w:rsid w:val="000148BC"/>
    <w:rsid w:val="00020BFA"/>
    <w:rsid w:val="00024AB8"/>
    <w:rsid w:val="00036028"/>
    <w:rsid w:val="00037A85"/>
    <w:rsid w:val="00041C75"/>
    <w:rsid w:val="00042C90"/>
    <w:rsid w:val="000446B9"/>
    <w:rsid w:val="00047E21"/>
    <w:rsid w:val="0006472C"/>
    <w:rsid w:val="000825CE"/>
    <w:rsid w:val="00085505"/>
    <w:rsid w:val="000861F9"/>
    <w:rsid w:val="00092F1C"/>
    <w:rsid w:val="000955BC"/>
    <w:rsid w:val="00097BB4"/>
    <w:rsid w:val="000B6B00"/>
    <w:rsid w:val="000C7021"/>
    <w:rsid w:val="000D1B39"/>
    <w:rsid w:val="000D1EA8"/>
    <w:rsid w:val="000D492E"/>
    <w:rsid w:val="000D6BBC"/>
    <w:rsid w:val="000D7780"/>
    <w:rsid w:val="001036AC"/>
    <w:rsid w:val="00105929"/>
    <w:rsid w:val="00110481"/>
    <w:rsid w:val="001131D5"/>
    <w:rsid w:val="00123458"/>
    <w:rsid w:val="0012617C"/>
    <w:rsid w:val="001318E9"/>
    <w:rsid w:val="00140C66"/>
    <w:rsid w:val="00141DB8"/>
    <w:rsid w:val="001449AB"/>
    <w:rsid w:val="00145C8B"/>
    <w:rsid w:val="00155F6F"/>
    <w:rsid w:val="00160837"/>
    <w:rsid w:val="00165F1E"/>
    <w:rsid w:val="00171032"/>
    <w:rsid w:val="00172661"/>
    <w:rsid w:val="0017474A"/>
    <w:rsid w:val="001758C6"/>
    <w:rsid w:val="00197777"/>
    <w:rsid w:val="001A2505"/>
    <w:rsid w:val="001C3335"/>
    <w:rsid w:val="001C3DF3"/>
    <w:rsid w:val="001C4984"/>
    <w:rsid w:val="001E1FCC"/>
    <w:rsid w:val="001F1F2A"/>
    <w:rsid w:val="001F5558"/>
    <w:rsid w:val="00201CBB"/>
    <w:rsid w:val="002113CC"/>
    <w:rsid w:val="0021332C"/>
    <w:rsid w:val="00213982"/>
    <w:rsid w:val="00237C7D"/>
    <w:rsid w:val="00243D53"/>
    <w:rsid w:val="0024416D"/>
    <w:rsid w:val="002545B9"/>
    <w:rsid w:val="00257ACE"/>
    <w:rsid w:val="00260A90"/>
    <w:rsid w:val="002627FF"/>
    <w:rsid w:val="00265B83"/>
    <w:rsid w:val="00267CBB"/>
    <w:rsid w:val="0027309C"/>
    <w:rsid w:val="002800A0"/>
    <w:rsid w:val="00280FCF"/>
    <w:rsid w:val="00281060"/>
    <w:rsid w:val="0029439F"/>
    <w:rsid w:val="002A1577"/>
    <w:rsid w:val="002A6E50"/>
    <w:rsid w:val="002B2C4B"/>
    <w:rsid w:val="002C256A"/>
    <w:rsid w:val="002C33F4"/>
    <w:rsid w:val="002C7B60"/>
    <w:rsid w:val="002E04ED"/>
    <w:rsid w:val="002E2D47"/>
    <w:rsid w:val="002E7BA1"/>
    <w:rsid w:val="002F3261"/>
    <w:rsid w:val="002F78FA"/>
    <w:rsid w:val="00305A7F"/>
    <w:rsid w:val="00313CFE"/>
    <w:rsid w:val="003152FE"/>
    <w:rsid w:val="00315B5E"/>
    <w:rsid w:val="00327436"/>
    <w:rsid w:val="003308D3"/>
    <w:rsid w:val="00331016"/>
    <w:rsid w:val="00340EDD"/>
    <w:rsid w:val="00344BD6"/>
    <w:rsid w:val="0035528D"/>
    <w:rsid w:val="00361821"/>
    <w:rsid w:val="00364346"/>
    <w:rsid w:val="00367A2E"/>
    <w:rsid w:val="0038194C"/>
    <w:rsid w:val="0038410B"/>
    <w:rsid w:val="0038738D"/>
    <w:rsid w:val="003A17C8"/>
    <w:rsid w:val="003C563E"/>
    <w:rsid w:val="003C7F21"/>
    <w:rsid w:val="003D227C"/>
    <w:rsid w:val="003D2B4D"/>
    <w:rsid w:val="003E362A"/>
    <w:rsid w:val="003E5E33"/>
    <w:rsid w:val="003F6136"/>
    <w:rsid w:val="004046F3"/>
    <w:rsid w:val="0041129A"/>
    <w:rsid w:val="0041185C"/>
    <w:rsid w:val="00414FD1"/>
    <w:rsid w:val="00415F5E"/>
    <w:rsid w:val="00417498"/>
    <w:rsid w:val="00426F8B"/>
    <w:rsid w:val="00427139"/>
    <w:rsid w:val="00432DA8"/>
    <w:rsid w:val="00444A88"/>
    <w:rsid w:val="00447E49"/>
    <w:rsid w:val="00461F5D"/>
    <w:rsid w:val="00466910"/>
    <w:rsid w:val="00467ACD"/>
    <w:rsid w:val="00467CF9"/>
    <w:rsid w:val="00474DA4"/>
    <w:rsid w:val="00476E8D"/>
    <w:rsid w:val="00491795"/>
    <w:rsid w:val="004A34E0"/>
    <w:rsid w:val="004C0A39"/>
    <w:rsid w:val="004D047D"/>
    <w:rsid w:val="004D41BA"/>
    <w:rsid w:val="004D773A"/>
    <w:rsid w:val="004E3012"/>
    <w:rsid w:val="004F305A"/>
    <w:rsid w:val="0050430E"/>
    <w:rsid w:val="00506F0C"/>
    <w:rsid w:val="00512164"/>
    <w:rsid w:val="00514278"/>
    <w:rsid w:val="00520297"/>
    <w:rsid w:val="00524589"/>
    <w:rsid w:val="005249F3"/>
    <w:rsid w:val="00530DDB"/>
    <w:rsid w:val="00532FB6"/>
    <w:rsid w:val="005338F9"/>
    <w:rsid w:val="00536BAB"/>
    <w:rsid w:val="0054281C"/>
    <w:rsid w:val="00551E76"/>
    <w:rsid w:val="0055268D"/>
    <w:rsid w:val="00555AE6"/>
    <w:rsid w:val="00560BC9"/>
    <w:rsid w:val="00562DEE"/>
    <w:rsid w:val="00572E44"/>
    <w:rsid w:val="00576BE4"/>
    <w:rsid w:val="00590C7D"/>
    <w:rsid w:val="005A400A"/>
    <w:rsid w:val="005B5B69"/>
    <w:rsid w:val="005B65AC"/>
    <w:rsid w:val="005C7052"/>
    <w:rsid w:val="005C7998"/>
    <w:rsid w:val="005E165F"/>
    <w:rsid w:val="005F2580"/>
    <w:rsid w:val="006047D0"/>
    <w:rsid w:val="00612379"/>
    <w:rsid w:val="0061555F"/>
    <w:rsid w:val="0061574C"/>
    <w:rsid w:val="00641200"/>
    <w:rsid w:val="006431FA"/>
    <w:rsid w:val="00644738"/>
    <w:rsid w:val="00644877"/>
    <w:rsid w:val="00653911"/>
    <w:rsid w:val="00663ED8"/>
    <w:rsid w:val="00664515"/>
    <w:rsid w:val="00677BDB"/>
    <w:rsid w:val="00687EB4"/>
    <w:rsid w:val="006918C8"/>
    <w:rsid w:val="006964E4"/>
    <w:rsid w:val="006A4218"/>
    <w:rsid w:val="006A4C42"/>
    <w:rsid w:val="006B17D2"/>
    <w:rsid w:val="006B45FA"/>
    <w:rsid w:val="006B4B5C"/>
    <w:rsid w:val="006B7A1E"/>
    <w:rsid w:val="006C224E"/>
    <w:rsid w:val="006C7A3D"/>
    <w:rsid w:val="006D412B"/>
    <w:rsid w:val="006E35DA"/>
    <w:rsid w:val="007000D8"/>
    <w:rsid w:val="00714C6E"/>
    <w:rsid w:val="00715173"/>
    <w:rsid w:val="00716D3B"/>
    <w:rsid w:val="00721283"/>
    <w:rsid w:val="00732DEC"/>
    <w:rsid w:val="00735BD5"/>
    <w:rsid w:val="00737F3B"/>
    <w:rsid w:val="0075117E"/>
    <w:rsid w:val="007556F6"/>
    <w:rsid w:val="00757389"/>
    <w:rsid w:val="00760EEF"/>
    <w:rsid w:val="00766C13"/>
    <w:rsid w:val="007720AE"/>
    <w:rsid w:val="0077424B"/>
    <w:rsid w:val="00777EE5"/>
    <w:rsid w:val="00784836"/>
    <w:rsid w:val="0079023E"/>
    <w:rsid w:val="007A04E8"/>
    <w:rsid w:val="007A6AF5"/>
    <w:rsid w:val="007B6853"/>
    <w:rsid w:val="007B6894"/>
    <w:rsid w:val="007C6639"/>
    <w:rsid w:val="007D0B9D"/>
    <w:rsid w:val="007D19B0"/>
    <w:rsid w:val="007F498F"/>
    <w:rsid w:val="007F6A17"/>
    <w:rsid w:val="0080679D"/>
    <w:rsid w:val="008108B0"/>
    <w:rsid w:val="00811B20"/>
    <w:rsid w:val="00812178"/>
    <w:rsid w:val="0081607A"/>
    <w:rsid w:val="00820F72"/>
    <w:rsid w:val="0082296E"/>
    <w:rsid w:val="00824099"/>
    <w:rsid w:val="008327DC"/>
    <w:rsid w:val="00836E88"/>
    <w:rsid w:val="00844FCC"/>
    <w:rsid w:val="00852407"/>
    <w:rsid w:val="00855DBD"/>
    <w:rsid w:val="00857BCE"/>
    <w:rsid w:val="00863EBE"/>
    <w:rsid w:val="00867AC1"/>
    <w:rsid w:val="00876E16"/>
    <w:rsid w:val="00884CEA"/>
    <w:rsid w:val="008A395B"/>
    <w:rsid w:val="008A743F"/>
    <w:rsid w:val="008A7D42"/>
    <w:rsid w:val="008B1F37"/>
    <w:rsid w:val="008B291A"/>
    <w:rsid w:val="008B51D0"/>
    <w:rsid w:val="008B5ED9"/>
    <w:rsid w:val="008C0970"/>
    <w:rsid w:val="008D06C1"/>
    <w:rsid w:val="008D2CF7"/>
    <w:rsid w:val="008D769B"/>
    <w:rsid w:val="008E2A07"/>
    <w:rsid w:val="008E793E"/>
    <w:rsid w:val="008F00B3"/>
    <w:rsid w:val="00900C26"/>
    <w:rsid w:val="0090197F"/>
    <w:rsid w:val="00906AAF"/>
    <w:rsid w:val="00906DDC"/>
    <w:rsid w:val="00911B1D"/>
    <w:rsid w:val="009175FC"/>
    <w:rsid w:val="009203E5"/>
    <w:rsid w:val="009255F1"/>
    <w:rsid w:val="00934E09"/>
    <w:rsid w:val="00936253"/>
    <w:rsid w:val="00937C60"/>
    <w:rsid w:val="00952258"/>
    <w:rsid w:val="0095578A"/>
    <w:rsid w:val="00967C60"/>
    <w:rsid w:val="00970FED"/>
    <w:rsid w:val="00975AD5"/>
    <w:rsid w:val="00986567"/>
    <w:rsid w:val="00987015"/>
    <w:rsid w:val="00997029"/>
    <w:rsid w:val="009B1DCB"/>
    <w:rsid w:val="009B7EED"/>
    <w:rsid w:val="009C5A31"/>
    <w:rsid w:val="009D0DE5"/>
    <w:rsid w:val="009D22E0"/>
    <w:rsid w:val="009D690D"/>
    <w:rsid w:val="009E36D7"/>
    <w:rsid w:val="009E4417"/>
    <w:rsid w:val="009E65B6"/>
    <w:rsid w:val="009F1D52"/>
    <w:rsid w:val="009F2140"/>
    <w:rsid w:val="00A00AB9"/>
    <w:rsid w:val="00A064EA"/>
    <w:rsid w:val="00A17ACE"/>
    <w:rsid w:val="00A229BD"/>
    <w:rsid w:val="00A42AC3"/>
    <w:rsid w:val="00A430CF"/>
    <w:rsid w:val="00A54309"/>
    <w:rsid w:val="00A61B42"/>
    <w:rsid w:val="00A62978"/>
    <w:rsid w:val="00A721A8"/>
    <w:rsid w:val="00A7764E"/>
    <w:rsid w:val="00AA2932"/>
    <w:rsid w:val="00AA2C2B"/>
    <w:rsid w:val="00AA4DD8"/>
    <w:rsid w:val="00AB2B93"/>
    <w:rsid w:val="00AC5A00"/>
    <w:rsid w:val="00AE0EF1"/>
    <w:rsid w:val="00AE542E"/>
    <w:rsid w:val="00B02C57"/>
    <w:rsid w:val="00B07301"/>
    <w:rsid w:val="00B14910"/>
    <w:rsid w:val="00B224DE"/>
    <w:rsid w:val="00B23D87"/>
    <w:rsid w:val="00B253EB"/>
    <w:rsid w:val="00B26742"/>
    <w:rsid w:val="00B36D60"/>
    <w:rsid w:val="00B608C7"/>
    <w:rsid w:val="00B70BD3"/>
    <w:rsid w:val="00B734CF"/>
    <w:rsid w:val="00B84BBD"/>
    <w:rsid w:val="00B93464"/>
    <w:rsid w:val="00B974BF"/>
    <w:rsid w:val="00BA2E7D"/>
    <w:rsid w:val="00BA43FB"/>
    <w:rsid w:val="00BA7D2C"/>
    <w:rsid w:val="00BC127D"/>
    <w:rsid w:val="00BC1FE6"/>
    <w:rsid w:val="00BC2AB9"/>
    <w:rsid w:val="00BC6A08"/>
    <w:rsid w:val="00BD4C24"/>
    <w:rsid w:val="00BD6768"/>
    <w:rsid w:val="00BF009E"/>
    <w:rsid w:val="00BF29F6"/>
    <w:rsid w:val="00BF6B57"/>
    <w:rsid w:val="00BF786F"/>
    <w:rsid w:val="00C01892"/>
    <w:rsid w:val="00C05295"/>
    <w:rsid w:val="00C061B6"/>
    <w:rsid w:val="00C118C9"/>
    <w:rsid w:val="00C147FB"/>
    <w:rsid w:val="00C151E1"/>
    <w:rsid w:val="00C21DBF"/>
    <w:rsid w:val="00C2446C"/>
    <w:rsid w:val="00C36907"/>
    <w:rsid w:val="00C36AE5"/>
    <w:rsid w:val="00C404B8"/>
    <w:rsid w:val="00C406C5"/>
    <w:rsid w:val="00C41F17"/>
    <w:rsid w:val="00C524B7"/>
    <w:rsid w:val="00C54BF4"/>
    <w:rsid w:val="00C5791C"/>
    <w:rsid w:val="00C66290"/>
    <w:rsid w:val="00C663DE"/>
    <w:rsid w:val="00C72B7A"/>
    <w:rsid w:val="00C86274"/>
    <w:rsid w:val="00C95DDE"/>
    <w:rsid w:val="00C973F2"/>
    <w:rsid w:val="00CA3196"/>
    <w:rsid w:val="00CA774A"/>
    <w:rsid w:val="00CB4DA9"/>
    <w:rsid w:val="00CC11B0"/>
    <w:rsid w:val="00CC6820"/>
    <w:rsid w:val="00CD432F"/>
    <w:rsid w:val="00CD6966"/>
    <w:rsid w:val="00CD7ED9"/>
    <w:rsid w:val="00CF7E36"/>
    <w:rsid w:val="00D02B72"/>
    <w:rsid w:val="00D02FD2"/>
    <w:rsid w:val="00D06623"/>
    <w:rsid w:val="00D13BD0"/>
    <w:rsid w:val="00D201F5"/>
    <w:rsid w:val="00D233D8"/>
    <w:rsid w:val="00D24210"/>
    <w:rsid w:val="00D338E6"/>
    <w:rsid w:val="00D3708D"/>
    <w:rsid w:val="00D40426"/>
    <w:rsid w:val="00D511BA"/>
    <w:rsid w:val="00D57C96"/>
    <w:rsid w:val="00D67433"/>
    <w:rsid w:val="00D82CA6"/>
    <w:rsid w:val="00D91203"/>
    <w:rsid w:val="00D95174"/>
    <w:rsid w:val="00D95A5C"/>
    <w:rsid w:val="00DA6F36"/>
    <w:rsid w:val="00DB02B0"/>
    <w:rsid w:val="00DB10E5"/>
    <w:rsid w:val="00DB297C"/>
    <w:rsid w:val="00DB2E0B"/>
    <w:rsid w:val="00DB3354"/>
    <w:rsid w:val="00DC00EA"/>
    <w:rsid w:val="00E040B2"/>
    <w:rsid w:val="00E10886"/>
    <w:rsid w:val="00E23920"/>
    <w:rsid w:val="00E419C7"/>
    <w:rsid w:val="00E70D49"/>
    <w:rsid w:val="00E72D49"/>
    <w:rsid w:val="00E7593C"/>
    <w:rsid w:val="00E75A37"/>
    <w:rsid w:val="00E75E16"/>
    <w:rsid w:val="00E7678A"/>
    <w:rsid w:val="00E849F2"/>
    <w:rsid w:val="00E8698D"/>
    <w:rsid w:val="00E935F1"/>
    <w:rsid w:val="00E94A81"/>
    <w:rsid w:val="00E95D7F"/>
    <w:rsid w:val="00EA161A"/>
    <w:rsid w:val="00EA1FFB"/>
    <w:rsid w:val="00EA4CFC"/>
    <w:rsid w:val="00EB048E"/>
    <w:rsid w:val="00EB2DE0"/>
    <w:rsid w:val="00EB3EFA"/>
    <w:rsid w:val="00EB53E3"/>
    <w:rsid w:val="00ED7594"/>
    <w:rsid w:val="00EF2F89"/>
    <w:rsid w:val="00EF4D40"/>
    <w:rsid w:val="00F038C5"/>
    <w:rsid w:val="00F04DEB"/>
    <w:rsid w:val="00F1237A"/>
    <w:rsid w:val="00F147E0"/>
    <w:rsid w:val="00F22CBD"/>
    <w:rsid w:val="00F30997"/>
    <w:rsid w:val="00F349B3"/>
    <w:rsid w:val="00F37829"/>
    <w:rsid w:val="00F37961"/>
    <w:rsid w:val="00F45897"/>
    <w:rsid w:val="00F61C9D"/>
    <w:rsid w:val="00F6334D"/>
    <w:rsid w:val="00F7128D"/>
    <w:rsid w:val="00F73F12"/>
    <w:rsid w:val="00F74E5B"/>
    <w:rsid w:val="00F826D7"/>
    <w:rsid w:val="00F85186"/>
    <w:rsid w:val="00F91828"/>
    <w:rsid w:val="00FA4556"/>
    <w:rsid w:val="00FA49AB"/>
    <w:rsid w:val="00FB0D37"/>
    <w:rsid w:val="00FB19DE"/>
    <w:rsid w:val="00FB5311"/>
    <w:rsid w:val="00FB6651"/>
    <w:rsid w:val="00FC6CEF"/>
    <w:rsid w:val="00FD6F3C"/>
    <w:rsid w:val="00FE2A47"/>
    <w:rsid w:val="00FE39C7"/>
    <w:rsid w:val="00FE433D"/>
    <w:rsid w:val="00FE4AF3"/>
    <w:rsid w:val="00FF1931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61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9175FC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5ED9"/>
    <w:pPr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364346"/>
    <w:pPr>
      <w:tabs>
        <w:tab w:val="right" w:leader="dot" w:pos="9639"/>
      </w:tabs>
      <w:spacing w:after="120"/>
      <w:ind w:left="284" w:right="851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364346"/>
    <w:pPr>
      <w:tabs>
        <w:tab w:val="right" w:leader="dot" w:pos="9639"/>
      </w:tabs>
      <w:spacing w:after="120"/>
      <w:ind w:left="567" w:right="851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6A4C42"/>
    <w:pPr>
      <w:tabs>
        <w:tab w:val="right" w:leader="dot" w:pos="9639"/>
      </w:tabs>
      <w:spacing w:after="80"/>
      <w:ind w:right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175FC"/>
    <w:rPr>
      <w:rFonts w:ascii="Arial" w:hAnsi="Arial"/>
      <w:caps/>
    </w:rPr>
  </w:style>
  <w:style w:type="paragraph" w:customStyle="1" w:styleId="Default">
    <w:name w:val="Default"/>
    <w:rsid w:val="00E10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link w:val="FootnoteText"/>
    <w:rsid w:val="00FB6651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876E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66C13"/>
    <w:rPr>
      <w:rFonts w:ascii="Arial" w:hAnsi="Arial"/>
      <w:u w:val="single"/>
    </w:rPr>
  </w:style>
  <w:style w:type="character" w:styleId="FollowedHyperlink">
    <w:name w:val="FollowedHyperlink"/>
    <w:basedOn w:val="DefaultParagraphFont"/>
    <w:rsid w:val="00165F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61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9175FC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5ED9"/>
    <w:pPr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364346"/>
    <w:pPr>
      <w:tabs>
        <w:tab w:val="right" w:leader="dot" w:pos="9639"/>
      </w:tabs>
      <w:spacing w:after="120"/>
      <w:ind w:left="284" w:right="851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364346"/>
    <w:pPr>
      <w:tabs>
        <w:tab w:val="right" w:leader="dot" w:pos="9639"/>
      </w:tabs>
      <w:spacing w:after="120"/>
      <w:ind w:left="567" w:right="851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6A4C42"/>
    <w:pPr>
      <w:tabs>
        <w:tab w:val="right" w:leader="dot" w:pos="9639"/>
      </w:tabs>
      <w:spacing w:after="80"/>
      <w:ind w:right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175FC"/>
    <w:rPr>
      <w:rFonts w:ascii="Arial" w:hAnsi="Arial"/>
      <w:caps/>
    </w:rPr>
  </w:style>
  <w:style w:type="paragraph" w:customStyle="1" w:styleId="Default">
    <w:name w:val="Default"/>
    <w:rsid w:val="00E10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link w:val="FootnoteText"/>
    <w:rsid w:val="00FB6651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876E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66C13"/>
    <w:rPr>
      <w:rFonts w:ascii="Arial" w:hAnsi="Arial"/>
      <w:u w:val="single"/>
    </w:rPr>
  </w:style>
  <w:style w:type="character" w:styleId="FollowedHyperlink">
    <w:name w:val="FollowedHyperlink"/>
    <w:basedOn w:val="DefaultParagraphFont"/>
    <w:rsid w:val="00165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ov.int/edocs/mdocs/upov/en/upov_wg_den_1/upov_wg_den_1_6.pdf" TargetMode="External"/><Relationship Id="rId2" Type="http://schemas.openxmlformats.org/officeDocument/2006/relationships/hyperlink" Target="http://www.upov.int/meetings/en/details.jsp?meeting_id=37027" TargetMode="External"/><Relationship Id="rId1" Type="http://schemas.openxmlformats.org/officeDocument/2006/relationships/hyperlink" Target="http://www.upov.int/meetings/en/details.jsp?meeting_id=37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A6AF-54D0-427C-90A0-165E6B7D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2270</Words>
  <Characters>12147</Characters>
  <Application>Microsoft Office Word</Application>
  <DocSecurity>0</DocSecurity>
  <Lines>759</Lines>
  <Paragraphs>533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CAJ/72/3</vt:lpstr>
    </vt:vector>
  </TitlesOfParts>
  <Company>UPOV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CAJ/72/3</dc:title>
  <dc:creator>KOIDE Jun</dc:creator>
  <cp:keywords>LC/ko</cp:keywords>
  <cp:lastModifiedBy>SANCHEZ-VIZCAINO GOMEZ Rosa Maria</cp:lastModifiedBy>
  <cp:revision>16</cp:revision>
  <cp:lastPrinted>2016-10-21T19:08:00Z</cp:lastPrinted>
  <dcterms:created xsi:type="dcterms:W3CDTF">2016-10-17T12:49:00Z</dcterms:created>
  <dcterms:modified xsi:type="dcterms:W3CDTF">2016-10-21T19:08:00Z</dcterms:modified>
</cp:coreProperties>
</file>