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D93B24" w:rsidRPr="00D93B24" w:rsidTr="0002090E">
        <w:trPr>
          <w:trHeight w:val="1760"/>
        </w:trPr>
        <w:tc>
          <w:tcPr>
            <w:tcW w:w="4243" w:type="dxa"/>
          </w:tcPr>
          <w:p w:rsidR="008A09B0" w:rsidRPr="00D93B24" w:rsidRDefault="008A09B0" w:rsidP="0002090E"/>
        </w:tc>
        <w:tc>
          <w:tcPr>
            <w:tcW w:w="1646" w:type="dxa"/>
            <w:vAlign w:val="center"/>
          </w:tcPr>
          <w:p w:rsidR="008A09B0" w:rsidRPr="00D93B24" w:rsidRDefault="008A09B0" w:rsidP="0002090E">
            <w:pPr>
              <w:pStyle w:val="LogoUPOV"/>
            </w:pPr>
            <w:r w:rsidRPr="00D93B24">
              <w:rPr>
                <w:noProof/>
                <w:lang w:val="en-US"/>
              </w:rPr>
              <w:drawing>
                <wp:inline distT="0" distB="0" distL="0" distR="0" wp14:anchorId="5334380F" wp14:editId="155779FC">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8A09B0" w:rsidRPr="00D93B24" w:rsidRDefault="008A09B0" w:rsidP="0002090E">
            <w:pPr>
              <w:pStyle w:val="Lettrine"/>
            </w:pPr>
            <w:r w:rsidRPr="00D93B24">
              <w:t>F</w:t>
            </w:r>
          </w:p>
          <w:p w:rsidR="008A09B0" w:rsidRPr="00D93B24" w:rsidRDefault="008A09B0" w:rsidP="0002090E">
            <w:pPr>
              <w:pStyle w:val="Docoriginal"/>
              <w:jc w:val="left"/>
            </w:pPr>
            <w:r w:rsidRPr="00D93B24">
              <w:t>CAJ/72/</w:t>
            </w:r>
            <w:bookmarkStart w:id="0" w:name="Code"/>
            <w:bookmarkEnd w:id="0"/>
            <w:r w:rsidRPr="00D93B24">
              <w:t>6</w:t>
            </w:r>
          </w:p>
          <w:p w:rsidR="008A09B0" w:rsidRPr="00D93B24" w:rsidRDefault="008A09B0" w:rsidP="0002090E">
            <w:pPr>
              <w:pStyle w:val="Docoriginal"/>
              <w:jc w:val="left"/>
            </w:pPr>
            <w:r w:rsidRPr="00D93B24">
              <w:rPr>
                <w:rStyle w:val="StyleDoclangBold"/>
                <w:b/>
                <w:bCs/>
                <w:spacing w:val="0"/>
                <w:lang w:val="fr-FR"/>
              </w:rPr>
              <w:t>ORIGINAL</w:t>
            </w:r>
            <w:r w:rsidR="006546BF" w:rsidRPr="00D93B24">
              <w:rPr>
                <w:rStyle w:val="StyleDoclangBold"/>
                <w:b/>
                <w:bCs/>
                <w:spacing w:val="0"/>
                <w:lang w:val="fr-FR"/>
              </w:rPr>
              <w:t> </w:t>
            </w:r>
            <w:r w:rsidRPr="00D93B24">
              <w:rPr>
                <w:rStyle w:val="StyleDoclangBold"/>
                <w:b/>
                <w:bCs/>
                <w:spacing w:val="0"/>
                <w:lang w:val="fr-FR"/>
              </w:rPr>
              <w:t>:</w:t>
            </w:r>
            <w:r w:rsidRPr="00D93B24">
              <w:rPr>
                <w:rStyle w:val="StyleDocoriginalNotBold1"/>
                <w:spacing w:val="0"/>
                <w:lang w:val="fr-FR"/>
              </w:rPr>
              <w:t xml:space="preserve"> </w:t>
            </w:r>
            <w:bookmarkStart w:id="1" w:name="Original"/>
            <w:bookmarkEnd w:id="1"/>
            <w:r w:rsidRPr="00D93B24">
              <w:rPr>
                <w:b w:val="0"/>
                <w:spacing w:val="0"/>
              </w:rPr>
              <w:t>anglais</w:t>
            </w:r>
          </w:p>
          <w:p w:rsidR="008A09B0" w:rsidRPr="00D93B24" w:rsidRDefault="008A09B0" w:rsidP="00C43920">
            <w:pPr>
              <w:pStyle w:val="Docoriginal"/>
              <w:jc w:val="left"/>
            </w:pPr>
            <w:r w:rsidRPr="00D93B24">
              <w:rPr>
                <w:spacing w:val="0"/>
              </w:rPr>
              <w:t>DATE</w:t>
            </w:r>
            <w:r w:rsidR="006546BF" w:rsidRPr="00D93B24">
              <w:rPr>
                <w:spacing w:val="0"/>
              </w:rPr>
              <w:t> </w:t>
            </w:r>
            <w:r w:rsidRPr="00D93B24">
              <w:rPr>
                <w:spacing w:val="0"/>
              </w:rPr>
              <w:t>:</w:t>
            </w:r>
            <w:r w:rsidRPr="00D93B24">
              <w:rPr>
                <w:b w:val="0"/>
                <w:spacing w:val="0"/>
              </w:rPr>
              <w:t xml:space="preserve"> </w:t>
            </w:r>
            <w:bookmarkStart w:id="2" w:name="Date"/>
            <w:bookmarkEnd w:id="2"/>
            <w:r w:rsidR="00C43920">
              <w:rPr>
                <w:rStyle w:val="StyleDocoriginalNotBold1"/>
                <w:spacing w:val="0"/>
                <w:lang w:val="fr-FR"/>
              </w:rPr>
              <w:t>5 octobre</w:t>
            </w:r>
            <w:r w:rsidR="006F2923" w:rsidRPr="00D93B24">
              <w:rPr>
                <w:rStyle w:val="StyleDocoriginalNotBold1"/>
                <w:spacing w:val="0"/>
                <w:lang w:val="fr-FR"/>
              </w:rPr>
              <w:t> 20</w:t>
            </w:r>
            <w:r w:rsidRPr="00D93B24">
              <w:rPr>
                <w:rStyle w:val="StyleDocoriginalNotBold1"/>
                <w:spacing w:val="0"/>
                <w:lang w:val="fr-FR"/>
              </w:rPr>
              <w:t>15</w:t>
            </w:r>
          </w:p>
        </w:tc>
      </w:tr>
      <w:tr w:rsidR="00D93B24" w:rsidRPr="00D93B24" w:rsidTr="0002090E">
        <w:tc>
          <w:tcPr>
            <w:tcW w:w="10131" w:type="dxa"/>
            <w:gridSpan w:val="3"/>
          </w:tcPr>
          <w:p w:rsidR="008A09B0" w:rsidRPr="00D93B24" w:rsidRDefault="008A09B0" w:rsidP="0002090E">
            <w:pPr>
              <w:pStyle w:val="upove"/>
              <w:rPr>
                <w:sz w:val="28"/>
              </w:rPr>
            </w:pPr>
            <w:r w:rsidRPr="00D93B24">
              <w:rPr>
                <w:spacing w:val="6"/>
              </w:rPr>
              <w:t>UNION INTERNATIONALE POUR LA PROTECTION DES OBTENTIONS VÉGÉTALES</w:t>
            </w:r>
          </w:p>
        </w:tc>
      </w:tr>
      <w:tr w:rsidR="00D93B24" w:rsidRPr="00D93B24" w:rsidTr="0002090E">
        <w:tc>
          <w:tcPr>
            <w:tcW w:w="10131" w:type="dxa"/>
            <w:gridSpan w:val="3"/>
          </w:tcPr>
          <w:p w:rsidR="008A09B0" w:rsidRPr="00D93B24" w:rsidRDefault="008A09B0" w:rsidP="0002090E">
            <w:pPr>
              <w:pStyle w:val="Country"/>
            </w:pPr>
            <w:r w:rsidRPr="00D93B24">
              <w:t>Genève</w:t>
            </w:r>
          </w:p>
        </w:tc>
      </w:tr>
    </w:tbl>
    <w:p w:rsidR="008A09B0" w:rsidRPr="00D93B24" w:rsidRDefault="008A09B0" w:rsidP="008A09B0">
      <w:pPr>
        <w:pStyle w:val="Sessiontc"/>
      </w:pPr>
      <w:r w:rsidRPr="00D93B24">
        <w:t>Comité administratif et juridique</w:t>
      </w:r>
    </w:p>
    <w:p w:rsidR="008A09B0" w:rsidRPr="00D93B24" w:rsidRDefault="008A09B0" w:rsidP="008A09B0">
      <w:pPr>
        <w:pStyle w:val="Sessiontcplacedate"/>
      </w:pPr>
      <w:r w:rsidRPr="00D93B24">
        <w:t>Soixante</w:t>
      </w:r>
      <w:r w:rsidR="00C52279" w:rsidRPr="00D93B24">
        <w:noBreakHyphen/>
      </w:r>
      <w:r w:rsidRPr="00D93B24">
        <w:t>douzième</w:t>
      </w:r>
      <w:r w:rsidR="006546BF" w:rsidRPr="00D93B24">
        <w:t> </w:t>
      </w:r>
      <w:r w:rsidRPr="00D93B24">
        <w:t>session</w:t>
      </w:r>
      <w:r w:rsidRPr="00D93B24">
        <w:br/>
        <w:t>Genève, 26 et 2</w:t>
      </w:r>
      <w:r w:rsidR="006F2923" w:rsidRPr="00D93B24">
        <w:t>7 octobre 20</w:t>
      </w:r>
      <w:r w:rsidRPr="00D93B24">
        <w:t>15</w:t>
      </w:r>
    </w:p>
    <w:p w:rsidR="004500FF" w:rsidRPr="00D93B24" w:rsidRDefault="001B72B9" w:rsidP="001B72B9">
      <w:pPr>
        <w:pStyle w:val="Titleofdoc0"/>
      </w:pPr>
      <w:r w:rsidRPr="00D93B24">
        <w:t>Bases de données d</w:t>
      </w:r>
      <w:r w:rsidR="006F2923" w:rsidRPr="00D93B24">
        <w:t>’</w:t>
      </w:r>
      <w:r w:rsidRPr="00D93B24">
        <w:t>information de l</w:t>
      </w:r>
      <w:r w:rsidR="006F2923" w:rsidRPr="00D93B24">
        <w:t>’</w:t>
      </w:r>
      <w:r w:rsidRPr="00D93B24">
        <w:t>UPOV</w:t>
      </w:r>
    </w:p>
    <w:p w:rsidR="008A09B0" w:rsidRPr="00D93B24" w:rsidRDefault="008A09B0" w:rsidP="008A09B0">
      <w:pPr>
        <w:pStyle w:val="preparedby1"/>
        <w:tabs>
          <w:tab w:val="left" w:pos="142"/>
        </w:tabs>
        <w:rPr>
          <w:snapToGrid w:val="0"/>
          <w:szCs w:val="16"/>
        </w:rPr>
      </w:pPr>
      <w:bookmarkStart w:id="3" w:name="Prepared"/>
      <w:bookmarkEnd w:id="3"/>
      <w:r w:rsidRPr="00D93B24">
        <w:t>Document établi par le Bureau de l</w:t>
      </w:r>
      <w:r w:rsidR="006F2923" w:rsidRPr="00D93B24">
        <w:t>’</w:t>
      </w:r>
      <w:r w:rsidRPr="00D93B24">
        <w:t>Union</w:t>
      </w:r>
      <w:r w:rsidRPr="00D93B24">
        <w:br/>
      </w:r>
      <w:r w:rsidRPr="00D93B24">
        <w:br/>
      </w:r>
      <w:r w:rsidRPr="00C43920">
        <w:rPr>
          <w:color w:val="A6A6A6" w:themeColor="background1" w:themeShade="A6"/>
        </w:rPr>
        <w:t>Avertissement : le présent document ne représente pas les principes ou les orientations de l</w:t>
      </w:r>
      <w:r w:rsidR="006F2923" w:rsidRPr="00C43920">
        <w:rPr>
          <w:color w:val="A6A6A6" w:themeColor="background1" w:themeShade="A6"/>
        </w:rPr>
        <w:t>’</w:t>
      </w:r>
      <w:r w:rsidRPr="00C43920">
        <w:rPr>
          <w:color w:val="A6A6A6" w:themeColor="background1" w:themeShade="A6"/>
        </w:rPr>
        <w:t>UPOV</w:t>
      </w:r>
    </w:p>
    <w:p w:rsidR="004500FF" w:rsidRPr="00D93B24" w:rsidRDefault="001B72B9" w:rsidP="001B72B9">
      <w:pPr>
        <w:pStyle w:val="Heading1"/>
        <w:rPr>
          <w:lang w:val="fr-FR" w:eastAsia="ja-JP"/>
        </w:rPr>
      </w:pPr>
      <w:bookmarkStart w:id="4" w:name="_Toc432494342"/>
      <w:r w:rsidRPr="00D93B24">
        <w:rPr>
          <w:lang w:val="fr-FR" w:eastAsia="ja-JP"/>
        </w:rPr>
        <w:t>Résumé analytique</w:t>
      </w:r>
      <w:bookmarkEnd w:id="4"/>
    </w:p>
    <w:p w:rsidR="004500FF" w:rsidRPr="00D93B24" w:rsidRDefault="004500FF" w:rsidP="00796671">
      <w:pPr>
        <w:rPr>
          <w:lang w:eastAsia="ja-JP"/>
        </w:rPr>
      </w:pPr>
    </w:p>
    <w:p w:rsidR="001C7533" w:rsidRPr="00D93B24" w:rsidRDefault="006E4BF5" w:rsidP="00B3750B">
      <w:r w:rsidRPr="00D93B24">
        <w:fldChar w:fldCharType="begin"/>
      </w:r>
      <w:r w:rsidRPr="00D93B24">
        <w:instrText xml:space="preserve"> AUTONUM  </w:instrText>
      </w:r>
      <w:r w:rsidRPr="00D93B24">
        <w:fldChar w:fldCharType="end"/>
      </w:r>
      <w:r w:rsidRPr="00D93B24">
        <w:tab/>
      </w:r>
      <w:r w:rsidR="001C7533" w:rsidRPr="00D93B24">
        <w:t>Le présent document a pour objet de faire le point sur les faits nouveaux concernant la base de données GENIE, ainsi que sur les travaux et propositions du groupe de travail sur l</w:t>
      </w:r>
      <w:r w:rsidR="006F2923" w:rsidRPr="00D93B24">
        <w:t>’</w:t>
      </w:r>
      <w:r w:rsidR="001C7533" w:rsidRPr="00D93B24">
        <w:t>élaboration d</w:t>
      </w:r>
      <w:r w:rsidR="006F2923" w:rsidRPr="00D93B24">
        <w:t>’</w:t>
      </w:r>
      <w:r w:rsidR="001C7533" w:rsidRPr="00D93B24">
        <w:t xml:space="preserve">un </w:t>
      </w:r>
      <w:r w:rsidR="002F0E09" w:rsidRPr="00D93B24">
        <w:t xml:space="preserve">moteur de recherche de similitudes </w:t>
      </w:r>
      <w:r w:rsidR="001C7533" w:rsidRPr="00D93B24">
        <w:t>de l</w:t>
      </w:r>
      <w:r w:rsidR="006F2923" w:rsidRPr="00D93B24">
        <w:t>’</w:t>
      </w:r>
      <w:r w:rsidR="001C7533" w:rsidRPr="00D93B24">
        <w:t>UPOV aux fins de la dénomination variétale (</w:t>
      </w:r>
      <w:bookmarkStart w:id="5" w:name="hit5"/>
      <w:bookmarkEnd w:id="5"/>
      <w:r w:rsidR="001C7533" w:rsidRPr="00D93B24">
        <w:t>WG</w:t>
      </w:r>
      <w:r w:rsidR="00C52279" w:rsidRPr="00D93B24">
        <w:noBreakHyphen/>
      </w:r>
      <w:bookmarkStart w:id="6" w:name="hit6"/>
      <w:bookmarkEnd w:id="6"/>
      <w:r w:rsidR="001C7533" w:rsidRPr="00D93B24">
        <w:t>DST) concernant la base de données PLUTO.</w:t>
      </w:r>
    </w:p>
    <w:p w:rsidR="004500FF" w:rsidRPr="00D93B24" w:rsidRDefault="004500FF" w:rsidP="00796671">
      <w:pPr>
        <w:rPr>
          <w:rFonts w:cs="Arial"/>
          <w:lang w:eastAsia="ja-JP"/>
        </w:rPr>
      </w:pPr>
    </w:p>
    <w:p w:rsidR="004500FF" w:rsidRPr="00D93B24" w:rsidRDefault="008E62C9" w:rsidP="00B32C07">
      <w:r w:rsidRPr="00D93B24">
        <w:fldChar w:fldCharType="begin"/>
      </w:r>
      <w:r w:rsidRPr="00D93B24">
        <w:instrText xml:space="preserve"> AUTONUM  </w:instrText>
      </w:r>
      <w:r w:rsidRPr="00D93B24">
        <w:fldChar w:fldCharType="end"/>
      </w:r>
      <w:r w:rsidRPr="00D93B24">
        <w:tab/>
      </w:r>
      <w:r w:rsidR="001C7533" w:rsidRPr="00D93B24">
        <w:t>Le Comité administratif et juridique</w:t>
      </w:r>
      <w:r w:rsidR="006A1DC4" w:rsidRPr="00D93B24">
        <w:t xml:space="preserve"> </w:t>
      </w:r>
      <w:r w:rsidR="006A1DC4" w:rsidRPr="00D93B24">
        <w:rPr>
          <w:lang w:eastAsia="ja-JP"/>
        </w:rPr>
        <w:t>(</w:t>
      </w:r>
      <w:r w:rsidRPr="00D93B24">
        <w:t>CAJ</w:t>
      </w:r>
      <w:r w:rsidR="006A1DC4" w:rsidRPr="00D93B24">
        <w:rPr>
          <w:lang w:eastAsia="ja-JP"/>
        </w:rPr>
        <w:t>)</w:t>
      </w:r>
      <w:r w:rsidRPr="00D93B24">
        <w:t xml:space="preserve"> </w:t>
      </w:r>
      <w:r w:rsidR="001C7533" w:rsidRPr="00D93B24">
        <w:t>est</w:t>
      </w:r>
      <w:r w:rsidR="00FE6D9B" w:rsidRPr="00D93B24">
        <w:t xml:space="preserve"> </w:t>
      </w:r>
      <w:r w:rsidRPr="00D93B24">
        <w:t>invit</w:t>
      </w:r>
      <w:r w:rsidR="001C7533" w:rsidRPr="00D93B24">
        <w:t>é à</w:t>
      </w:r>
      <w:r w:rsidR="00906593" w:rsidRPr="00D93B24">
        <w:t> :</w:t>
      </w:r>
    </w:p>
    <w:p w:rsidR="004500FF" w:rsidRPr="00D93B24" w:rsidRDefault="004500FF" w:rsidP="00B32C07"/>
    <w:p w:rsidR="004500FF" w:rsidRPr="00D93B24" w:rsidRDefault="009C2FB4" w:rsidP="009C2FB4">
      <w:pPr>
        <w:ind w:firstLine="567"/>
      </w:pPr>
      <w:r w:rsidRPr="00D93B24">
        <w:t>a)</w:t>
      </w:r>
      <w:r w:rsidRPr="00D93B24">
        <w:tab/>
      </w:r>
      <w:r w:rsidR="0025569E" w:rsidRPr="00D93B24">
        <w:t xml:space="preserve">prendre </w:t>
      </w:r>
      <w:r w:rsidRPr="00D93B24">
        <w:t>note</w:t>
      </w:r>
      <w:r w:rsidR="0025569E" w:rsidRPr="00D93B24">
        <w:t xml:space="preserve"> des derniers renseignements en date concernant les bases de données</w:t>
      </w:r>
      <w:r w:rsidRPr="00D93B24">
        <w:t xml:space="preserve"> GENIE </w:t>
      </w:r>
      <w:r w:rsidR="0025569E" w:rsidRPr="00D93B24">
        <w:t>et</w:t>
      </w:r>
      <w:r w:rsidRPr="00D93B24">
        <w:t xml:space="preserve"> PLUTO</w:t>
      </w:r>
      <w:r w:rsidR="0025569E" w:rsidRPr="00D93B24">
        <w:t xml:space="preserve">, figurant dans les </w:t>
      </w:r>
      <w:r w:rsidRPr="00D93B24">
        <w:t>paragraph</w:t>
      </w:r>
      <w:r w:rsidR="0025569E" w:rsidRPr="00D93B24">
        <w:t>e</w:t>
      </w:r>
      <w:r w:rsidRPr="00D93B24">
        <w:t>s</w:t>
      </w:r>
      <w:r w:rsidR="0065295B" w:rsidRPr="00D93B24">
        <w:t> </w:t>
      </w:r>
      <w:r w:rsidRPr="00D93B24">
        <w:t>6</w:t>
      </w:r>
      <w:r w:rsidR="0065295B" w:rsidRPr="00D93B24">
        <w:t> </w:t>
      </w:r>
      <w:r w:rsidR="0025569E" w:rsidRPr="00D93B24">
        <w:t>à</w:t>
      </w:r>
      <w:r w:rsidR="0065295B" w:rsidRPr="00D93B24">
        <w:t> </w:t>
      </w:r>
      <w:r w:rsidR="00906593" w:rsidRPr="00D93B24">
        <w:t>16;</w:t>
      </w:r>
    </w:p>
    <w:p w:rsidR="004500FF" w:rsidRPr="00D93B24" w:rsidRDefault="004500FF" w:rsidP="009C2FB4"/>
    <w:p w:rsidR="0025569E" w:rsidRPr="00D93B24" w:rsidRDefault="009C2FB4" w:rsidP="0025569E">
      <w:pPr>
        <w:ind w:firstLine="567"/>
      </w:pPr>
      <w:r w:rsidRPr="00D93B24">
        <w:t>b)</w:t>
      </w:r>
      <w:r w:rsidRPr="00D93B24">
        <w:tab/>
      </w:r>
      <w:r w:rsidR="0025569E" w:rsidRPr="00D93B24">
        <w:t>examiner la possibilité d</w:t>
      </w:r>
      <w:r w:rsidR="006F2923" w:rsidRPr="00D93B24">
        <w:t>’</w:t>
      </w:r>
      <w:r w:rsidR="0025569E" w:rsidRPr="00D93B24">
        <w:t>accepter des accents et des caractères spéciaux dans les dénominations proposées dans la base de données PLUTO, étant entendu que l</w:t>
      </w:r>
      <w:r w:rsidR="006F2923" w:rsidRPr="00D93B24">
        <w:t>’</w:t>
      </w:r>
      <w:r w:rsidR="0025569E" w:rsidRPr="00D93B24">
        <w:t>outil de recherche de dénomination dans la base de données PLUTO n</w:t>
      </w:r>
      <w:r w:rsidR="006F2923" w:rsidRPr="00D93B24">
        <w:t>’</w:t>
      </w:r>
      <w:r w:rsidR="0025569E" w:rsidRPr="00D93B24">
        <w:t>utiliserait que le jeu de caractères ASCII [Code standard américain pour l</w:t>
      </w:r>
      <w:r w:rsidR="006F2923" w:rsidRPr="00D93B24">
        <w:t>’</w:t>
      </w:r>
      <w:r w:rsidR="0025569E" w:rsidRPr="00D93B24">
        <w:t>échange d</w:t>
      </w:r>
      <w:r w:rsidR="006F2923" w:rsidRPr="00D93B24">
        <w:t>’</w:t>
      </w:r>
      <w:r w:rsidR="0025569E" w:rsidRPr="00D93B24">
        <w:t>informations], tel qu</w:t>
      </w:r>
      <w:r w:rsidR="006F2923" w:rsidRPr="00D93B24">
        <w:t>’</w:t>
      </w:r>
      <w:r w:rsidR="0025569E" w:rsidRPr="00D93B24">
        <w:t>il est défini dans la norme n°</w:t>
      </w:r>
      <w:r w:rsidR="006546BF" w:rsidRPr="00D93B24">
        <w:t> </w:t>
      </w:r>
      <w:r w:rsidR="0025569E" w:rsidRPr="00D93B24">
        <w:t>646 de l</w:t>
      </w:r>
      <w:r w:rsidR="006F2923" w:rsidRPr="00D93B24">
        <w:t>’</w:t>
      </w:r>
      <w:r w:rsidR="0025569E" w:rsidRPr="00D93B24">
        <w:t xml:space="preserve">ISO [Organisation internationale de normalisation], </w:t>
      </w:r>
      <w:r w:rsidR="00B94E49" w:rsidRPr="00D93B24">
        <w:t>comme</w:t>
      </w:r>
      <w:r w:rsidR="0025569E" w:rsidRPr="00D93B24">
        <w:t xml:space="preserve"> indiqué </w:t>
      </w:r>
      <w:r w:rsidR="00786F87" w:rsidRPr="00D93B24">
        <w:t>au</w:t>
      </w:r>
      <w:r w:rsidR="0025569E" w:rsidRPr="00D93B24">
        <w:t xml:space="preserve"> paragraphe</w:t>
      </w:r>
      <w:r w:rsidR="006546BF" w:rsidRPr="00D93B24">
        <w:t> </w:t>
      </w:r>
      <w:r w:rsidR="00C52279" w:rsidRPr="00D93B24">
        <w:t>20</w:t>
      </w:r>
      <w:r w:rsidR="00906593" w:rsidRPr="00D93B24">
        <w:t>;</w:t>
      </w:r>
    </w:p>
    <w:p w:rsidR="0025569E" w:rsidRPr="00D93B24" w:rsidRDefault="0025569E" w:rsidP="0025569E"/>
    <w:p w:rsidR="0025569E" w:rsidRPr="00D93B24" w:rsidRDefault="009C2FB4" w:rsidP="009C2FB4">
      <w:pPr>
        <w:ind w:firstLine="567"/>
      </w:pPr>
      <w:r w:rsidRPr="00D93B24">
        <w:t>c)</w:t>
      </w:r>
      <w:r w:rsidRPr="00D93B24">
        <w:tab/>
      </w:r>
      <w:r w:rsidR="00786F87" w:rsidRPr="00D93B24">
        <w:t>examiner la possibilité de réviser la section</w:t>
      </w:r>
      <w:r w:rsidR="006546BF" w:rsidRPr="00D93B24">
        <w:t> </w:t>
      </w:r>
      <w:r w:rsidR="00786F87" w:rsidRPr="00D93B24">
        <w:t>3.1.3 du</w:t>
      </w:r>
      <w:r w:rsidR="0025569E" w:rsidRPr="00D93B24">
        <w:t xml:space="preserve"> </w:t>
      </w:r>
      <w:r w:rsidR="006546BF" w:rsidRPr="00D93B24">
        <w:t>“</w:t>
      </w:r>
      <w:r w:rsidR="00786F87" w:rsidRPr="00D93B24">
        <w:t>Programme d</w:t>
      </w:r>
      <w:r w:rsidR="006F2923" w:rsidRPr="00D93B24">
        <w:t>’</w:t>
      </w:r>
      <w:r w:rsidR="00786F87" w:rsidRPr="00D93B24">
        <w:t>améliorations de la base de données sur les variétés végétales</w:t>
      </w:r>
      <w:r w:rsidR="006546BF" w:rsidRPr="00D93B24">
        <w:t>”</w:t>
      </w:r>
      <w:r w:rsidR="00786F87" w:rsidRPr="00D93B24">
        <w:t>, ainsi qu</w:t>
      </w:r>
      <w:r w:rsidR="006F2923" w:rsidRPr="00D93B24">
        <w:t>’</w:t>
      </w:r>
      <w:r w:rsidR="00786F87" w:rsidRPr="00D93B24">
        <w:t>indiqué au paragraphe</w:t>
      </w:r>
      <w:r w:rsidR="006546BF" w:rsidRPr="00D93B24">
        <w:t> </w:t>
      </w:r>
      <w:r w:rsidR="00786F87" w:rsidRPr="00D93B24">
        <w:t>22, afin d</w:t>
      </w:r>
      <w:r w:rsidR="006F2923" w:rsidRPr="00D93B24">
        <w:t>’</w:t>
      </w:r>
      <w:r w:rsidR="00786F87" w:rsidRPr="00D93B24">
        <w:t>adopter pour jeu de caractères acceptables celui de la norme</w:t>
      </w:r>
      <w:r w:rsidR="006546BF" w:rsidRPr="00D93B24">
        <w:t> </w:t>
      </w:r>
      <w:r w:rsidR="00786F87" w:rsidRPr="00D93B24">
        <w:t>ISO/CEI 8859</w:t>
      </w:r>
      <w:r w:rsidR="00C52279" w:rsidRPr="00D93B24">
        <w:noBreakHyphen/>
      </w:r>
      <w:r w:rsidR="00786F87" w:rsidRPr="00D93B24">
        <w:t>1</w:t>
      </w:r>
      <w:r w:rsidR="006546BF" w:rsidRPr="00D93B24">
        <w:t> </w:t>
      </w:r>
      <w:r w:rsidR="00906593" w:rsidRPr="00D93B24">
        <w:t>: 1998;</w:t>
      </w:r>
    </w:p>
    <w:p w:rsidR="004500FF" w:rsidRPr="00D93B24" w:rsidRDefault="004500FF" w:rsidP="009C2FB4"/>
    <w:p w:rsidR="004500FF" w:rsidRPr="00D93B24" w:rsidRDefault="009C2FB4" w:rsidP="000E71F2">
      <w:pPr>
        <w:ind w:firstLine="567"/>
      </w:pPr>
      <w:r w:rsidRPr="00D93B24">
        <w:t>d)</w:t>
      </w:r>
      <w:r w:rsidRPr="00D93B24">
        <w:tab/>
      </w:r>
      <w:r w:rsidR="00786F87" w:rsidRPr="00D93B24">
        <w:t>examiner la possibilité d</w:t>
      </w:r>
      <w:r w:rsidR="006F2923" w:rsidRPr="00D93B24">
        <w:t>’</w:t>
      </w:r>
      <w:r w:rsidR="00786F87" w:rsidRPr="00D93B24">
        <w:t>étendre le contenu de la base de données</w:t>
      </w:r>
      <w:r w:rsidRPr="00D93B24">
        <w:t xml:space="preserve"> PLUTO </w:t>
      </w:r>
      <w:r w:rsidR="00786F87" w:rsidRPr="00D93B24">
        <w:t xml:space="preserve">à toutes les variétés reconnues, </w:t>
      </w:r>
      <w:r w:rsidR="006F2923" w:rsidRPr="00D93B24">
        <w:t>y compris</w:t>
      </w:r>
      <w:r w:rsidR="00786F87" w:rsidRPr="00D93B24">
        <w:t xml:space="preserve"> celles qui n</w:t>
      </w:r>
      <w:r w:rsidR="006F2923" w:rsidRPr="00D93B24">
        <w:t>’</w:t>
      </w:r>
      <w:r w:rsidR="00786F87" w:rsidRPr="00D93B24">
        <w:t xml:space="preserve">ont pas été enregistrées ou protégées, ou qui ne le sont plus, </w:t>
      </w:r>
      <w:r w:rsidR="00B94E49" w:rsidRPr="00D93B24">
        <w:t xml:space="preserve">comme indiqué </w:t>
      </w:r>
      <w:r w:rsidR="00786F87" w:rsidRPr="00D93B24">
        <w:t>au</w:t>
      </w:r>
      <w:r w:rsidRPr="00D93B24">
        <w:t xml:space="preserve"> paragraph</w:t>
      </w:r>
      <w:r w:rsidR="00786F87" w:rsidRPr="00D93B24">
        <w:t>e</w:t>
      </w:r>
      <w:r w:rsidR="0065295B" w:rsidRPr="00D93B24">
        <w:t> </w:t>
      </w:r>
      <w:r w:rsidR="00906593" w:rsidRPr="00D93B24">
        <w:t xml:space="preserve">24; </w:t>
      </w:r>
      <w:r w:rsidR="006546BF" w:rsidRPr="00D93B24">
        <w:t xml:space="preserve"> </w:t>
      </w:r>
      <w:r w:rsidR="00786F87" w:rsidRPr="00D93B24">
        <w:t>et</w:t>
      </w:r>
    </w:p>
    <w:p w:rsidR="004500FF" w:rsidRPr="00D93B24" w:rsidRDefault="004500FF" w:rsidP="009C2FB4"/>
    <w:p w:rsidR="004500FF" w:rsidRPr="00D93B24" w:rsidRDefault="006F2923" w:rsidP="009C2FB4">
      <w:pPr>
        <w:rPr>
          <w:rFonts w:cs="Arial"/>
          <w:lang w:eastAsia="ja-JP"/>
        </w:rPr>
      </w:pPr>
      <w:r w:rsidRPr="00D93B24">
        <w:tab/>
      </w:r>
      <w:r w:rsidR="009C2FB4" w:rsidRPr="00D93B24">
        <w:t>e)</w:t>
      </w:r>
      <w:r w:rsidR="009C2FB4" w:rsidRPr="00D93B24">
        <w:tab/>
      </w:r>
      <w:r w:rsidR="00EC2F4C" w:rsidRPr="00D93B24">
        <w:t xml:space="preserve">prendre </w:t>
      </w:r>
      <w:r w:rsidR="009C2FB4" w:rsidRPr="00D93B24">
        <w:t xml:space="preserve">note </w:t>
      </w:r>
      <w:r w:rsidR="00EC2F4C" w:rsidRPr="00D93B24">
        <w:t xml:space="preserve">du fait que les dernières informations concernant les termes </w:t>
      </w:r>
      <w:r w:rsidR="009C2FB4" w:rsidRPr="00D93B24">
        <w:t>non acceptable</w:t>
      </w:r>
      <w:r w:rsidR="00EC2F4C" w:rsidRPr="00D93B24">
        <w:t>s</w:t>
      </w:r>
      <w:r w:rsidR="009C2FB4" w:rsidRPr="00D93B24">
        <w:t xml:space="preserve"> </w:t>
      </w:r>
      <w:r w:rsidR="00EC2F4C" w:rsidRPr="00D93B24">
        <w:t xml:space="preserve">à des fins de dénomination variétale figurent dans le document CAJ/72/3 </w:t>
      </w:r>
      <w:r w:rsidR="006546BF" w:rsidRPr="00D93B24">
        <w:t>“</w:t>
      </w:r>
      <w:r w:rsidR="009C2FB4" w:rsidRPr="00D93B24">
        <w:t>D</w:t>
      </w:r>
      <w:r w:rsidR="00EC2F4C" w:rsidRPr="00D93B24">
        <w:t>é</w:t>
      </w:r>
      <w:r w:rsidR="009C2FB4" w:rsidRPr="00D93B24">
        <w:t>nominations</w:t>
      </w:r>
      <w:r w:rsidR="00EC2F4C" w:rsidRPr="00D93B24">
        <w:t xml:space="preserve"> variétales</w:t>
      </w:r>
      <w:r w:rsidR="006546BF" w:rsidRPr="00D93B24">
        <w:t>”</w:t>
      </w:r>
      <w:r w:rsidR="009C2FB4" w:rsidRPr="00D93B24">
        <w:t>.</w:t>
      </w:r>
    </w:p>
    <w:p w:rsidR="004500FF" w:rsidRPr="00D93B24" w:rsidRDefault="004500FF" w:rsidP="002F132E">
      <w:pPr>
        <w:rPr>
          <w:rFonts w:cs="Arial"/>
          <w:lang w:eastAsia="ja-JP"/>
        </w:rPr>
      </w:pPr>
    </w:p>
    <w:p w:rsidR="004500FF" w:rsidRPr="00D93B24" w:rsidRDefault="00796671" w:rsidP="001B72B9">
      <w:pPr>
        <w:keepNext/>
      </w:pPr>
      <w:r w:rsidRPr="00D93B24">
        <w:lastRenderedPageBreak/>
        <w:fldChar w:fldCharType="begin"/>
      </w:r>
      <w:r w:rsidRPr="00D93B24">
        <w:instrText xml:space="preserve"> AUTONUM  </w:instrText>
      </w:r>
      <w:r w:rsidRPr="00D93B24">
        <w:fldChar w:fldCharType="end"/>
      </w:r>
      <w:r w:rsidRPr="00D93B24">
        <w:tab/>
      </w:r>
      <w:r w:rsidR="001B72B9" w:rsidRPr="00D93B24">
        <w:t>Les abréviations ci</w:t>
      </w:r>
      <w:r w:rsidR="00C52279" w:rsidRPr="00D93B24">
        <w:noBreakHyphen/>
      </w:r>
      <w:r w:rsidR="001B72B9" w:rsidRPr="00D93B24">
        <w:t>après sont utilisées dans le présent document</w:t>
      </w:r>
      <w:r w:rsidR="006546BF" w:rsidRPr="00D93B24">
        <w:t> </w:t>
      </w:r>
      <w:r w:rsidR="001B72B9" w:rsidRPr="00D93B24">
        <w:t>:</w:t>
      </w:r>
    </w:p>
    <w:p w:rsidR="004500FF" w:rsidRPr="00D93B24" w:rsidRDefault="004500FF" w:rsidP="00796671">
      <w:pPr>
        <w:keepNext/>
        <w:ind w:left="1692" w:hanging="1125"/>
        <w:jc w:val="left"/>
      </w:pPr>
    </w:p>
    <w:p w:rsidR="004500FF" w:rsidRPr="00D93B24" w:rsidRDefault="00796671" w:rsidP="001B72B9">
      <w:pPr>
        <w:keepNext/>
        <w:tabs>
          <w:tab w:val="left" w:pos="567"/>
          <w:tab w:val="left" w:pos="1701"/>
        </w:tabs>
      </w:pPr>
      <w:r w:rsidRPr="00D93B24">
        <w:tab/>
      </w:r>
      <w:r w:rsidR="001B72B9" w:rsidRPr="00D93B24">
        <w:t>CAJ</w:t>
      </w:r>
      <w:r w:rsidR="006546BF" w:rsidRPr="00D93B24">
        <w:t> </w:t>
      </w:r>
      <w:r w:rsidR="001B72B9" w:rsidRPr="00D93B24">
        <w:t xml:space="preserve">: </w:t>
      </w:r>
      <w:r w:rsidR="001B72B9" w:rsidRPr="00D93B24">
        <w:tab/>
        <w:t>Comité administratif et juridique</w:t>
      </w:r>
    </w:p>
    <w:p w:rsidR="004500FF" w:rsidRPr="00D93B24" w:rsidRDefault="00796671" w:rsidP="001B72B9">
      <w:pPr>
        <w:keepNext/>
        <w:tabs>
          <w:tab w:val="left" w:pos="567"/>
          <w:tab w:val="left" w:pos="1701"/>
        </w:tabs>
      </w:pPr>
      <w:r w:rsidRPr="00D93B24">
        <w:tab/>
      </w:r>
      <w:r w:rsidR="00EC2F4C" w:rsidRPr="00D93B24">
        <w:t>TC</w:t>
      </w:r>
      <w:r w:rsidR="006546BF" w:rsidRPr="00D93B24">
        <w:t> </w:t>
      </w:r>
      <w:r w:rsidR="00EC2F4C" w:rsidRPr="00D93B24">
        <w:t xml:space="preserve">: </w:t>
      </w:r>
      <w:r w:rsidR="00EC2F4C" w:rsidRPr="00D93B24">
        <w:tab/>
      </w:r>
      <w:r w:rsidR="001B72B9" w:rsidRPr="00D93B24">
        <w:t>Comité technique</w:t>
      </w:r>
    </w:p>
    <w:p w:rsidR="004500FF" w:rsidRPr="00D93B24" w:rsidRDefault="00796671" w:rsidP="001B72B9">
      <w:pPr>
        <w:keepNext/>
        <w:tabs>
          <w:tab w:val="left" w:pos="567"/>
          <w:tab w:val="left" w:pos="1701"/>
        </w:tabs>
        <w:rPr>
          <w:rFonts w:eastAsia="PMingLiU"/>
          <w:szCs w:val="24"/>
        </w:rPr>
      </w:pPr>
      <w:r w:rsidRPr="00D93B24">
        <w:rPr>
          <w:rFonts w:eastAsia="PMingLiU"/>
          <w:szCs w:val="24"/>
        </w:rPr>
        <w:tab/>
      </w:r>
      <w:r w:rsidR="001B72B9" w:rsidRPr="00D93B24">
        <w:rPr>
          <w:rFonts w:eastAsia="PMingLiU"/>
          <w:szCs w:val="24"/>
        </w:rPr>
        <w:t>TWA</w:t>
      </w:r>
      <w:r w:rsidR="006546BF" w:rsidRPr="00D93B24">
        <w:rPr>
          <w:rFonts w:eastAsia="PMingLiU"/>
          <w:szCs w:val="24"/>
        </w:rPr>
        <w:t> </w:t>
      </w:r>
      <w:r w:rsidR="001B72B9" w:rsidRPr="00D93B24">
        <w:rPr>
          <w:rFonts w:eastAsia="PMingLiU"/>
          <w:szCs w:val="24"/>
        </w:rPr>
        <w:t xml:space="preserve">: </w:t>
      </w:r>
      <w:r w:rsidR="001B72B9" w:rsidRPr="00D93B24">
        <w:rPr>
          <w:rFonts w:eastAsia="PMingLiU"/>
          <w:szCs w:val="24"/>
        </w:rPr>
        <w:tab/>
        <w:t>Groupe de travail technique sur les plantes agricoles</w:t>
      </w:r>
    </w:p>
    <w:p w:rsidR="004500FF" w:rsidRPr="00D93B24" w:rsidRDefault="00796671" w:rsidP="00EC2F4C">
      <w:pPr>
        <w:keepNext/>
        <w:tabs>
          <w:tab w:val="left" w:pos="567"/>
          <w:tab w:val="left" w:pos="1701"/>
        </w:tabs>
        <w:ind w:left="1701" w:hanging="1701"/>
        <w:rPr>
          <w:rFonts w:eastAsia="PMingLiU"/>
          <w:szCs w:val="24"/>
        </w:rPr>
      </w:pPr>
      <w:r w:rsidRPr="00D93B24">
        <w:rPr>
          <w:rFonts w:eastAsia="PMingLiU"/>
          <w:szCs w:val="24"/>
        </w:rPr>
        <w:tab/>
      </w:r>
      <w:r w:rsidR="001B72B9" w:rsidRPr="00D93B24">
        <w:rPr>
          <w:rFonts w:eastAsia="PMingLiU"/>
          <w:szCs w:val="24"/>
        </w:rPr>
        <w:t>TWC</w:t>
      </w:r>
      <w:r w:rsidR="006546BF" w:rsidRPr="00D93B24">
        <w:rPr>
          <w:rFonts w:eastAsia="PMingLiU"/>
          <w:szCs w:val="24"/>
        </w:rPr>
        <w:t> </w:t>
      </w:r>
      <w:r w:rsidR="001B72B9" w:rsidRPr="00D93B24">
        <w:rPr>
          <w:rFonts w:eastAsia="PMingLiU"/>
          <w:szCs w:val="24"/>
        </w:rPr>
        <w:t xml:space="preserve">: </w:t>
      </w:r>
      <w:r w:rsidR="001B72B9" w:rsidRPr="00D93B24">
        <w:rPr>
          <w:rFonts w:eastAsia="PMingLiU"/>
          <w:szCs w:val="24"/>
        </w:rPr>
        <w:tab/>
        <w:t>Groupe de travail technique sur les systèmes d</w:t>
      </w:r>
      <w:r w:rsidR="006F2923" w:rsidRPr="00D93B24">
        <w:rPr>
          <w:rFonts w:eastAsia="PMingLiU"/>
          <w:szCs w:val="24"/>
        </w:rPr>
        <w:t>’</w:t>
      </w:r>
      <w:r w:rsidR="001B72B9" w:rsidRPr="00D93B24">
        <w:rPr>
          <w:rFonts w:eastAsia="PMingLiU"/>
          <w:szCs w:val="24"/>
        </w:rPr>
        <w:t>automatisation et les programmes d</w:t>
      </w:r>
      <w:r w:rsidR="006F2923" w:rsidRPr="00D93B24">
        <w:rPr>
          <w:rFonts w:eastAsia="PMingLiU"/>
          <w:szCs w:val="24"/>
        </w:rPr>
        <w:t>’</w:t>
      </w:r>
      <w:r w:rsidR="001B72B9" w:rsidRPr="00D93B24">
        <w:rPr>
          <w:rFonts w:eastAsia="PMingLiU"/>
          <w:szCs w:val="24"/>
        </w:rPr>
        <w:t>ordinateur</w:t>
      </w:r>
    </w:p>
    <w:p w:rsidR="004500FF" w:rsidRPr="00D93B24" w:rsidRDefault="00796671" w:rsidP="001B72B9">
      <w:pPr>
        <w:keepNext/>
        <w:tabs>
          <w:tab w:val="left" w:pos="567"/>
          <w:tab w:val="left" w:pos="1701"/>
        </w:tabs>
        <w:rPr>
          <w:rFonts w:eastAsia="PMingLiU"/>
          <w:szCs w:val="24"/>
        </w:rPr>
      </w:pPr>
      <w:r w:rsidRPr="00D93B24">
        <w:rPr>
          <w:rFonts w:eastAsia="PMingLiU"/>
          <w:szCs w:val="24"/>
        </w:rPr>
        <w:tab/>
      </w:r>
      <w:r w:rsidR="001B72B9" w:rsidRPr="00D93B24">
        <w:rPr>
          <w:rFonts w:eastAsia="PMingLiU"/>
          <w:szCs w:val="24"/>
        </w:rPr>
        <w:t>TWF</w:t>
      </w:r>
      <w:r w:rsidR="006546BF" w:rsidRPr="00D93B24">
        <w:rPr>
          <w:rFonts w:eastAsia="PMingLiU"/>
          <w:szCs w:val="24"/>
        </w:rPr>
        <w:t> </w:t>
      </w:r>
      <w:r w:rsidR="001B72B9" w:rsidRPr="00D93B24">
        <w:rPr>
          <w:rFonts w:eastAsia="PMingLiU"/>
          <w:szCs w:val="24"/>
        </w:rPr>
        <w:t xml:space="preserve">: </w:t>
      </w:r>
      <w:r w:rsidR="001B72B9" w:rsidRPr="00D93B24">
        <w:rPr>
          <w:rFonts w:eastAsia="PMingLiU"/>
          <w:szCs w:val="24"/>
        </w:rPr>
        <w:tab/>
        <w:t>Groupe de travail technique sur les plantes fruitières</w:t>
      </w:r>
    </w:p>
    <w:p w:rsidR="004500FF" w:rsidRPr="00D93B24" w:rsidRDefault="00796671" w:rsidP="001B72B9">
      <w:pPr>
        <w:keepNext/>
        <w:tabs>
          <w:tab w:val="left" w:pos="567"/>
          <w:tab w:val="left" w:pos="1701"/>
        </w:tabs>
        <w:rPr>
          <w:rFonts w:eastAsia="PMingLiU"/>
          <w:szCs w:val="24"/>
        </w:rPr>
      </w:pPr>
      <w:r w:rsidRPr="00D93B24">
        <w:rPr>
          <w:rFonts w:eastAsia="PMingLiU"/>
          <w:szCs w:val="24"/>
        </w:rPr>
        <w:tab/>
      </w:r>
      <w:r w:rsidR="001B72B9" w:rsidRPr="00D93B24">
        <w:rPr>
          <w:rFonts w:eastAsia="PMingLiU"/>
          <w:szCs w:val="24"/>
        </w:rPr>
        <w:t>TWO</w:t>
      </w:r>
      <w:r w:rsidR="006546BF" w:rsidRPr="00D93B24">
        <w:rPr>
          <w:rFonts w:eastAsia="PMingLiU"/>
          <w:szCs w:val="24"/>
        </w:rPr>
        <w:t> </w:t>
      </w:r>
      <w:r w:rsidR="001B72B9" w:rsidRPr="00D93B24">
        <w:rPr>
          <w:rFonts w:eastAsia="PMingLiU"/>
          <w:szCs w:val="24"/>
        </w:rPr>
        <w:t xml:space="preserve">: </w:t>
      </w:r>
      <w:r w:rsidR="001B72B9" w:rsidRPr="00D93B24">
        <w:rPr>
          <w:rFonts w:eastAsia="PMingLiU"/>
          <w:szCs w:val="24"/>
        </w:rPr>
        <w:tab/>
        <w:t>Groupe de travail technique sur les plantes ornementales et les arbres forestiers</w:t>
      </w:r>
    </w:p>
    <w:p w:rsidR="004500FF" w:rsidRPr="00D93B24" w:rsidRDefault="00796671" w:rsidP="001B72B9">
      <w:pPr>
        <w:keepNext/>
        <w:tabs>
          <w:tab w:val="left" w:pos="567"/>
          <w:tab w:val="left" w:pos="1701"/>
        </w:tabs>
        <w:rPr>
          <w:rFonts w:eastAsia="PMingLiU"/>
          <w:szCs w:val="24"/>
        </w:rPr>
      </w:pPr>
      <w:r w:rsidRPr="00D93B24">
        <w:rPr>
          <w:rFonts w:eastAsia="PMingLiU"/>
          <w:szCs w:val="24"/>
        </w:rPr>
        <w:tab/>
      </w:r>
      <w:r w:rsidR="001B72B9" w:rsidRPr="00D93B24">
        <w:rPr>
          <w:rFonts w:eastAsia="PMingLiU"/>
          <w:szCs w:val="24"/>
        </w:rPr>
        <w:t>TWP</w:t>
      </w:r>
      <w:r w:rsidR="006546BF" w:rsidRPr="00D93B24">
        <w:rPr>
          <w:rFonts w:eastAsia="PMingLiU"/>
          <w:szCs w:val="24"/>
        </w:rPr>
        <w:t xml:space="preserve"> : </w:t>
      </w:r>
      <w:r w:rsidR="00EC2F4C" w:rsidRPr="00D93B24">
        <w:rPr>
          <w:rFonts w:eastAsia="PMingLiU"/>
          <w:szCs w:val="24"/>
        </w:rPr>
        <w:tab/>
      </w:r>
      <w:r w:rsidR="001B72B9" w:rsidRPr="00D93B24">
        <w:rPr>
          <w:rFonts w:eastAsia="PMingLiU"/>
          <w:szCs w:val="24"/>
        </w:rPr>
        <w:t>Groupe(s) de travail technique(s)</w:t>
      </w:r>
    </w:p>
    <w:p w:rsidR="004500FF" w:rsidRPr="00D93B24" w:rsidRDefault="00796671" w:rsidP="001B72B9">
      <w:pPr>
        <w:tabs>
          <w:tab w:val="left" w:pos="567"/>
          <w:tab w:val="left" w:pos="1701"/>
        </w:tabs>
      </w:pPr>
      <w:r w:rsidRPr="00D93B24">
        <w:tab/>
      </w:r>
      <w:r w:rsidR="001B72B9" w:rsidRPr="00D93B24">
        <w:t>TWV</w:t>
      </w:r>
      <w:r w:rsidR="006546BF" w:rsidRPr="00D93B24">
        <w:t> </w:t>
      </w:r>
      <w:r w:rsidR="001B72B9" w:rsidRPr="00D93B24">
        <w:t xml:space="preserve">: </w:t>
      </w:r>
      <w:r w:rsidR="001B72B9" w:rsidRPr="00D93B24">
        <w:tab/>
        <w:t>Groupe de travail technique sur les plantes potagères</w:t>
      </w:r>
    </w:p>
    <w:p w:rsidR="004500FF" w:rsidRPr="00D93B24" w:rsidRDefault="00E418A4" w:rsidP="00C43920">
      <w:pPr>
        <w:tabs>
          <w:tab w:val="left" w:pos="567"/>
          <w:tab w:val="left" w:pos="1701"/>
        </w:tabs>
        <w:ind w:left="1701" w:hanging="1701"/>
      </w:pPr>
      <w:r w:rsidRPr="00D93B24">
        <w:tab/>
      </w:r>
      <w:r w:rsidR="001B72B9" w:rsidRPr="00D93B24">
        <w:t>WG</w:t>
      </w:r>
      <w:r w:rsidR="00C52279" w:rsidRPr="00D93B24">
        <w:noBreakHyphen/>
      </w:r>
      <w:r w:rsidR="001B72B9" w:rsidRPr="00D93B24">
        <w:t>DST</w:t>
      </w:r>
      <w:r w:rsidR="006546BF" w:rsidRPr="00D93B24">
        <w:t> </w:t>
      </w:r>
      <w:r w:rsidR="001B72B9" w:rsidRPr="00D93B24">
        <w:t xml:space="preserve">: </w:t>
      </w:r>
      <w:r w:rsidR="001B72B9" w:rsidRPr="00D93B24">
        <w:tab/>
        <w:t>Groupe de travail sur l</w:t>
      </w:r>
      <w:r w:rsidR="006F2923" w:rsidRPr="00D93B24">
        <w:t>’</w:t>
      </w:r>
      <w:r w:rsidR="001B72B9" w:rsidRPr="00D93B24">
        <w:t>élaboration d</w:t>
      </w:r>
      <w:r w:rsidR="006F2923" w:rsidRPr="00D93B24">
        <w:t>’</w:t>
      </w:r>
      <w:r w:rsidR="001B72B9" w:rsidRPr="00D93B24">
        <w:t xml:space="preserve">un </w:t>
      </w:r>
      <w:r w:rsidR="002F0E09" w:rsidRPr="00D93B24">
        <w:t xml:space="preserve">moteur de recherche de similitudes </w:t>
      </w:r>
      <w:r w:rsidR="001B72B9" w:rsidRPr="00D93B24">
        <w:t>de l</w:t>
      </w:r>
      <w:r w:rsidR="006F2923" w:rsidRPr="00D93B24">
        <w:t>’</w:t>
      </w:r>
      <w:r w:rsidR="001B72B9" w:rsidRPr="00D93B24">
        <w:t>UPOV aux fins de</w:t>
      </w:r>
      <w:r w:rsidR="00E177E5" w:rsidRPr="00D93B24">
        <w:t xml:space="preserve"> la dénomination variétale</w:t>
      </w:r>
    </w:p>
    <w:p w:rsidR="00EC2F4C" w:rsidRPr="00D93B24" w:rsidRDefault="00EC2F4C" w:rsidP="00C43920">
      <w:pPr>
        <w:tabs>
          <w:tab w:val="left" w:pos="567"/>
          <w:tab w:val="left" w:pos="1701"/>
        </w:tabs>
        <w:ind w:left="1701" w:hanging="1701"/>
      </w:pPr>
    </w:p>
    <w:p w:rsidR="004500FF" w:rsidRPr="00D93B24" w:rsidRDefault="00796671" w:rsidP="001B72B9">
      <w:pPr>
        <w:keepNext/>
        <w:spacing w:after="240"/>
      </w:pPr>
      <w:r w:rsidRPr="00D93B24">
        <w:fldChar w:fldCharType="begin"/>
      </w:r>
      <w:r w:rsidRPr="00D93B24">
        <w:instrText xml:space="preserve"> AUTONUM  </w:instrText>
      </w:r>
      <w:r w:rsidRPr="00D93B24">
        <w:fldChar w:fldCharType="end"/>
      </w:r>
      <w:r w:rsidRPr="00D93B24">
        <w:tab/>
      </w:r>
      <w:r w:rsidR="001B72B9" w:rsidRPr="00D93B24">
        <w:t>La structure du présent document est la suivante</w:t>
      </w:r>
      <w:r w:rsidR="006546BF" w:rsidRPr="00D93B24">
        <w:t> </w:t>
      </w:r>
      <w:r w:rsidR="001B72B9" w:rsidRPr="00D93B24">
        <w:t>:</w:t>
      </w:r>
    </w:p>
    <w:p w:rsidR="00D93B24" w:rsidRDefault="00796671">
      <w:pPr>
        <w:pStyle w:val="TOC1"/>
        <w:rPr>
          <w:rFonts w:asciiTheme="minorHAnsi" w:eastAsiaTheme="minorEastAsia" w:hAnsiTheme="minorHAnsi" w:cstheme="minorBidi"/>
          <w:caps w:val="0"/>
          <w:sz w:val="22"/>
          <w:szCs w:val="22"/>
        </w:rPr>
      </w:pPr>
      <w:r w:rsidRPr="00D93B24">
        <w:rPr>
          <w:rFonts w:cs="Arial"/>
          <w:lang w:val="fr-FR"/>
        </w:rPr>
        <w:fldChar w:fldCharType="begin"/>
      </w:r>
      <w:r w:rsidRPr="00D93B24">
        <w:rPr>
          <w:rFonts w:cs="Arial"/>
          <w:lang w:val="fr-FR"/>
        </w:rPr>
        <w:instrText xml:space="preserve"> TOC \o "1-3" \u </w:instrText>
      </w:r>
      <w:r w:rsidRPr="00D93B24">
        <w:rPr>
          <w:rFonts w:cs="Arial"/>
          <w:lang w:val="fr-FR"/>
        </w:rPr>
        <w:fldChar w:fldCharType="separate"/>
      </w:r>
      <w:r w:rsidR="00D93B24" w:rsidRPr="00340164">
        <w:rPr>
          <w:lang w:val="fr-FR" w:eastAsia="ja-JP"/>
        </w:rPr>
        <w:t>Résumé analytique</w:t>
      </w:r>
      <w:r w:rsidR="00D93B24">
        <w:tab/>
      </w:r>
      <w:r w:rsidR="00D93B24">
        <w:fldChar w:fldCharType="begin"/>
      </w:r>
      <w:r w:rsidR="00D93B24">
        <w:instrText xml:space="preserve"> PAGEREF _Toc432494342 \h </w:instrText>
      </w:r>
      <w:r w:rsidR="00D93B24">
        <w:fldChar w:fldCharType="separate"/>
      </w:r>
      <w:r w:rsidR="008E52BE">
        <w:t>1</w:t>
      </w:r>
      <w:r w:rsidR="00D93B24">
        <w:fldChar w:fldCharType="end"/>
      </w:r>
    </w:p>
    <w:p w:rsidR="00D93B24" w:rsidRDefault="00D93B24">
      <w:pPr>
        <w:pStyle w:val="TOC1"/>
        <w:rPr>
          <w:rFonts w:asciiTheme="minorHAnsi" w:eastAsiaTheme="minorEastAsia" w:hAnsiTheme="minorHAnsi" w:cstheme="minorBidi"/>
          <w:caps w:val="0"/>
          <w:sz w:val="22"/>
          <w:szCs w:val="22"/>
        </w:rPr>
      </w:pPr>
      <w:r w:rsidRPr="00340164">
        <w:rPr>
          <w:lang w:val="fr-FR" w:eastAsia="ja-JP"/>
        </w:rPr>
        <w:t>Objet</w:t>
      </w:r>
      <w:r>
        <w:tab/>
      </w:r>
      <w:r>
        <w:fldChar w:fldCharType="begin"/>
      </w:r>
      <w:r>
        <w:instrText xml:space="preserve"> PAGEREF _Toc432494343 \h </w:instrText>
      </w:r>
      <w:r>
        <w:fldChar w:fldCharType="separate"/>
      </w:r>
      <w:r w:rsidR="008E52BE">
        <w:t>2</w:t>
      </w:r>
      <w:r>
        <w:fldChar w:fldCharType="end"/>
      </w:r>
    </w:p>
    <w:p w:rsidR="00D93B24" w:rsidRDefault="00D93B24">
      <w:pPr>
        <w:pStyle w:val="TOC1"/>
        <w:rPr>
          <w:rFonts w:asciiTheme="minorHAnsi" w:eastAsiaTheme="minorEastAsia" w:hAnsiTheme="minorHAnsi" w:cstheme="minorBidi"/>
          <w:caps w:val="0"/>
          <w:sz w:val="22"/>
          <w:szCs w:val="22"/>
        </w:rPr>
      </w:pPr>
      <w:r w:rsidRPr="00340164">
        <w:rPr>
          <w:lang w:val="fr-FR"/>
        </w:rPr>
        <w:t>Base de données GENIE</w:t>
      </w:r>
      <w:r>
        <w:tab/>
      </w:r>
      <w:r>
        <w:fldChar w:fldCharType="begin"/>
      </w:r>
      <w:r>
        <w:instrText xml:space="preserve"> PAGEREF _Toc432494344 \h </w:instrText>
      </w:r>
      <w:r>
        <w:fldChar w:fldCharType="separate"/>
      </w:r>
      <w:r w:rsidR="008E52BE">
        <w:t>2</w:t>
      </w:r>
      <w:r>
        <w:fldChar w:fldCharType="end"/>
      </w:r>
    </w:p>
    <w:p w:rsidR="00D93B24" w:rsidRDefault="00D93B24">
      <w:pPr>
        <w:pStyle w:val="TOC2"/>
        <w:rPr>
          <w:rFonts w:asciiTheme="minorHAnsi" w:eastAsiaTheme="minorEastAsia" w:hAnsiTheme="minorHAnsi" w:cstheme="minorBidi"/>
          <w:sz w:val="22"/>
          <w:szCs w:val="22"/>
        </w:rPr>
      </w:pPr>
      <w:r w:rsidRPr="00340164">
        <w:rPr>
          <w:snapToGrid w:val="0"/>
          <w:lang w:val="fr-FR" w:eastAsia="ja-JP"/>
        </w:rPr>
        <w:t>Faits nouveaux</w:t>
      </w:r>
      <w:r>
        <w:tab/>
      </w:r>
      <w:r>
        <w:fldChar w:fldCharType="begin"/>
      </w:r>
      <w:r>
        <w:instrText xml:space="preserve"> PAGEREF _Toc432494345 \h </w:instrText>
      </w:r>
      <w:r>
        <w:fldChar w:fldCharType="separate"/>
      </w:r>
      <w:r w:rsidR="008E52BE">
        <w:t>2</w:t>
      </w:r>
      <w:r>
        <w:fldChar w:fldCharType="end"/>
      </w:r>
    </w:p>
    <w:p w:rsidR="00D93B24" w:rsidRDefault="00D93B24">
      <w:pPr>
        <w:pStyle w:val="TOC1"/>
        <w:rPr>
          <w:rFonts w:asciiTheme="minorHAnsi" w:eastAsiaTheme="minorEastAsia" w:hAnsiTheme="minorHAnsi" w:cstheme="minorBidi"/>
          <w:caps w:val="0"/>
          <w:sz w:val="22"/>
          <w:szCs w:val="22"/>
        </w:rPr>
      </w:pPr>
      <w:r w:rsidRPr="00340164">
        <w:rPr>
          <w:lang w:val="fr-FR"/>
        </w:rPr>
        <w:t>Base de données PLUTO</w:t>
      </w:r>
      <w:r>
        <w:tab/>
      </w:r>
      <w:r>
        <w:fldChar w:fldCharType="begin"/>
      </w:r>
      <w:r>
        <w:instrText xml:space="preserve"> PAGEREF _Toc432494346 \h </w:instrText>
      </w:r>
      <w:r>
        <w:fldChar w:fldCharType="separate"/>
      </w:r>
      <w:r w:rsidR="008E52BE">
        <w:t>3</w:t>
      </w:r>
      <w:r>
        <w:fldChar w:fldCharType="end"/>
      </w:r>
    </w:p>
    <w:p w:rsidR="00D93B24" w:rsidRDefault="00D93B24">
      <w:pPr>
        <w:pStyle w:val="TOC2"/>
        <w:rPr>
          <w:rFonts w:asciiTheme="minorHAnsi" w:eastAsiaTheme="minorEastAsia" w:hAnsiTheme="minorHAnsi" w:cstheme="minorBidi"/>
          <w:sz w:val="22"/>
          <w:szCs w:val="22"/>
        </w:rPr>
      </w:pPr>
      <w:r w:rsidRPr="00340164">
        <w:rPr>
          <w:snapToGrid w:val="0"/>
          <w:lang w:val="fr-FR" w:eastAsia="ja-JP"/>
        </w:rPr>
        <w:t>Faits nouveaux</w:t>
      </w:r>
      <w:r>
        <w:tab/>
      </w:r>
      <w:r>
        <w:fldChar w:fldCharType="begin"/>
      </w:r>
      <w:r>
        <w:instrText xml:space="preserve"> PAGEREF _Toc432494347 \h </w:instrText>
      </w:r>
      <w:r>
        <w:fldChar w:fldCharType="separate"/>
      </w:r>
      <w:r w:rsidR="008E52BE">
        <w:t>3</w:t>
      </w:r>
      <w:r>
        <w:fldChar w:fldCharType="end"/>
      </w:r>
    </w:p>
    <w:p w:rsidR="00D93B24" w:rsidRDefault="00D93B24">
      <w:pPr>
        <w:pStyle w:val="TOC2"/>
        <w:rPr>
          <w:rFonts w:asciiTheme="minorHAnsi" w:eastAsiaTheme="minorEastAsia" w:hAnsiTheme="minorHAnsi" w:cstheme="minorBidi"/>
          <w:sz w:val="22"/>
          <w:szCs w:val="22"/>
        </w:rPr>
      </w:pPr>
      <w:r w:rsidRPr="00340164">
        <w:rPr>
          <w:lang w:val="fr-FR"/>
        </w:rPr>
        <w:t>Cours de formation sur les contributions à la base de données PLUTO</w:t>
      </w:r>
      <w:r>
        <w:tab/>
      </w:r>
      <w:r>
        <w:fldChar w:fldCharType="begin"/>
      </w:r>
      <w:r>
        <w:instrText xml:space="preserve"> PAGEREF _Toc432494348 \h </w:instrText>
      </w:r>
      <w:r>
        <w:fldChar w:fldCharType="separate"/>
      </w:r>
      <w:r w:rsidR="008E52BE">
        <w:t>3</w:t>
      </w:r>
      <w:r>
        <w:fldChar w:fldCharType="end"/>
      </w:r>
    </w:p>
    <w:p w:rsidR="00D93B24" w:rsidRDefault="00D93B24">
      <w:pPr>
        <w:pStyle w:val="TOC2"/>
        <w:rPr>
          <w:rFonts w:asciiTheme="minorHAnsi" w:eastAsiaTheme="minorEastAsia" w:hAnsiTheme="minorHAnsi" w:cstheme="minorBidi"/>
          <w:sz w:val="22"/>
          <w:szCs w:val="22"/>
        </w:rPr>
      </w:pPr>
      <w:r w:rsidRPr="00340164">
        <w:rPr>
          <w:snapToGrid w:val="0"/>
          <w:lang w:val="fr-FR" w:eastAsia="ja-JP"/>
        </w:rPr>
        <w:t>Propositions présentées par le WG</w:t>
      </w:r>
      <w:r w:rsidRPr="00340164">
        <w:rPr>
          <w:snapToGrid w:val="0"/>
          <w:lang w:val="fr-FR" w:eastAsia="ja-JP"/>
        </w:rPr>
        <w:noBreakHyphen/>
        <w:t>DST</w:t>
      </w:r>
      <w:r>
        <w:tab/>
      </w:r>
      <w:r>
        <w:fldChar w:fldCharType="begin"/>
      </w:r>
      <w:r>
        <w:instrText xml:space="preserve"> PAGEREF _Toc432494349 \h </w:instrText>
      </w:r>
      <w:r>
        <w:fldChar w:fldCharType="separate"/>
      </w:r>
      <w:r w:rsidR="008E52BE">
        <w:t>4</w:t>
      </w:r>
      <w:r>
        <w:fldChar w:fldCharType="end"/>
      </w:r>
    </w:p>
    <w:p w:rsidR="00D93B24" w:rsidRDefault="00D93B24">
      <w:pPr>
        <w:pStyle w:val="TOC3"/>
        <w:rPr>
          <w:rFonts w:asciiTheme="minorHAnsi" w:eastAsiaTheme="minorEastAsia" w:hAnsiTheme="minorHAnsi" w:cstheme="minorBidi"/>
          <w:i w:val="0"/>
          <w:sz w:val="22"/>
          <w:szCs w:val="22"/>
          <w:lang w:val="en-US"/>
        </w:rPr>
      </w:pPr>
      <w:r w:rsidRPr="00340164">
        <w:rPr>
          <w:lang w:eastAsia="ja-JP"/>
        </w:rPr>
        <w:t>Accents et caractères spéciaux</w:t>
      </w:r>
      <w:r>
        <w:tab/>
      </w:r>
      <w:r>
        <w:fldChar w:fldCharType="begin"/>
      </w:r>
      <w:r>
        <w:instrText xml:space="preserve"> PAGEREF _Toc432494350 \h </w:instrText>
      </w:r>
      <w:r>
        <w:fldChar w:fldCharType="separate"/>
      </w:r>
      <w:r w:rsidR="008E52BE">
        <w:t>4</w:t>
      </w:r>
      <w:r>
        <w:fldChar w:fldCharType="end"/>
      </w:r>
    </w:p>
    <w:p w:rsidR="00D93B24" w:rsidRDefault="00D93B24">
      <w:pPr>
        <w:pStyle w:val="TOC3"/>
        <w:rPr>
          <w:rFonts w:asciiTheme="minorHAnsi" w:eastAsiaTheme="minorEastAsia" w:hAnsiTheme="minorHAnsi" w:cstheme="minorBidi"/>
          <w:i w:val="0"/>
          <w:sz w:val="22"/>
          <w:szCs w:val="22"/>
          <w:lang w:val="en-US"/>
        </w:rPr>
      </w:pPr>
      <w:r w:rsidRPr="00340164">
        <w:rPr>
          <w:lang w:eastAsia="ja-JP"/>
        </w:rPr>
        <w:t>Contenu de la base de données PLUTO</w:t>
      </w:r>
      <w:r>
        <w:tab/>
      </w:r>
      <w:r>
        <w:fldChar w:fldCharType="begin"/>
      </w:r>
      <w:r>
        <w:instrText xml:space="preserve"> PAGEREF _Toc432494351 \h </w:instrText>
      </w:r>
      <w:r>
        <w:fldChar w:fldCharType="separate"/>
      </w:r>
      <w:r w:rsidR="008E52BE">
        <w:t>5</w:t>
      </w:r>
      <w:r>
        <w:fldChar w:fldCharType="end"/>
      </w:r>
    </w:p>
    <w:p w:rsidR="00D93B24" w:rsidRDefault="00D93B24">
      <w:pPr>
        <w:pStyle w:val="TOC3"/>
        <w:rPr>
          <w:rFonts w:asciiTheme="minorHAnsi" w:eastAsiaTheme="minorEastAsia" w:hAnsiTheme="minorHAnsi" w:cstheme="minorBidi"/>
          <w:i w:val="0"/>
          <w:sz w:val="22"/>
          <w:szCs w:val="22"/>
          <w:lang w:val="en-US"/>
        </w:rPr>
      </w:pPr>
      <w:r w:rsidRPr="00340164">
        <w:rPr>
          <w:rFonts w:eastAsiaTheme="minorEastAsia"/>
          <w:lang w:eastAsia="ja-JP"/>
        </w:rPr>
        <w:t>Termes non acceptables à des fins de dénomination variétale</w:t>
      </w:r>
      <w:r>
        <w:tab/>
      </w:r>
      <w:r>
        <w:fldChar w:fldCharType="begin"/>
      </w:r>
      <w:r>
        <w:instrText xml:space="preserve"> PAGEREF _Toc432494352 \h </w:instrText>
      </w:r>
      <w:r>
        <w:fldChar w:fldCharType="separate"/>
      </w:r>
      <w:r w:rsidR="008E52BE">
        <w:t>5</w:t>
      </w:r>
      <w:r>
        <w:fldChar w:fldCharType="end"/>
      </w:r>
    </w:p>
    <w:p w:rsidR="004500FF" w:rsidRPr="00D93B24" w:rsidRDefault="00796671" w:rsidP="00E418A4">
      <w:r w:rsidRPr="00D93B24">
        <w:fldChar w:fldCharType="end"/>
      </w:r>
    </w:p>
    <w:p w:rsidR="004500FF" w:rsidRPr="00D93B24" w:rsidRDefault="004500FF">
      <w:pPr>
        <w:jc w:val="left"/>
        <w:rPr>
          <w:caps/>
          <w:lang w:eastAsia="ja-JP"/>
        </w:rPr>
      </w:pPr>
    </w:p>
    <w:p w:rsidR="004500FF" w:rsidRPr="00D93B24" w:rsidRDefault="001B72B9" w:rsidP="001B72B9">
      <w:pPr>
        <w:pStyle w:val="Heading1"/>
        <w:rPr>
          <w:lang w:val="fr-FR" w:eastAsia="ja-JP"/>
        </w:rPr>
      </w:pPr>
      <w:bookmarkStart w:id="7" w:name="_Toc432494343"/>
      <w:r w:rsidRPr="00D93B24">
        <w:rPr>
          <w:lang w:val="fr-FR" w:eastAsia="ja-JP"/>
        </w:rPr>
        <w:t>Objet</w:t>
      </w:r>
      <w:bookmarkEnd w:id="7"/>
    </w:p>
    <w:p w:rsidR="004500FF" w:rsidRPr="00D93B24" w:rsidRDefault="004500FF" w:rsidP="00796671">
      <w:pPr>
        <w:rPr>
          <w:lang w:eastAsia="ja-JP"/>
        </w:rPr>
      </w:pPr>
    </w:p>
    <w:p w:rsidR="004500FF" w:rsidRPr="00D93B24" w:rsidRDefault="009A2460" w:rsidP="00796671">
      <w:pPr>
        <w:rPr>
          <w:rFonts w:cs="Arial"/>
        </w:rPr>
      </w:pPr>
      <w:r w:rsidRPr="00D93B24">
        <w:fldChar w:fldCharType="begin"/>
      </w:r>
      <w:r w:rsidRPr="00D93B24">
        <w:instrText xml:space="preserve"> AUTONUM  </w:instrText>
      </w:r>
      <w:r w:rsidRPr="00D93B24">
        <w:fldChar w:fldCharType="end"/>
      </w:r>
      <w:r w:rsidRPr="00D93B24">
        <w:tab/>
      </w:r>
      <w:r w:rsidR="00EC2F4C" w:rsidRPr="00D93B24">
        <w:t>Le présent document a pour objet de faire le point sur les faits nouveaux concernant la base de données GENIE, ainsi que sur les travaux et propositions du groupe de travail sur l</w:t>
      </w:r>
      <w:r w:rsidR="006F2923" w:rsidRPr="00D93B24">
        <w:t>’</w:t>
      </w:r>
      <w:r w:rsidR="00EC2F4C" w:rsidRPr="00D93B24">
        <w:t>élaboration d</w:t>
      </w:r>
      <w:r w:rsidR="006F2923" w:rsidRPr="00D93B24">
        <w:t>’</w:t>
      </w:r>
      <w:r w:rsidR="00EC2F4C" w:rsidRPr="00D93B24">
        <w:t xml:space="preserve">un </w:t>
      </w:r>
      <w:r w:rsidR="002F0E09" w:rsidRPr="00D93B24">
        <w:t xml:space="preserve">moteur de recherche de similitudes </w:t>
      </w:r>
      <w:r w:rsidR="00EC2F4C" w:rsidRPr="00D93B24">
        <w:t>de l</w:t>
      </w:r>
      <w:r w:rsidR="006F2923" w:rsidRPr="00D93B24">
        <w:t>’</w:t>
      </w:r>
      <w:r w:rsidR="00EC2F4C" w:rsidRPr="00D93B24">
        <w:t>UPOV aux fins de la dénomination variétale (WG</w:t>
      </w:r>
      <w:r w:rsidR="00C52279" w:rsidRPr="00D93B24">
        <w:noBreakHyphen/>
      </w:r>
      <w:r w:rsidR="00EC2F4C" w:rsidRPr="00D93B24">
        <w:t>DST) concernant la base de données PLUTO</w:t>
      </w:r>
      <w:r w:rsidR="00B547D4" w:rsidRPr="00D93B24">
        <w:t>.</w:t>
      </w:r>
    </w:p>
    <w:p w:rsidR="004500FF" w:rsidRPr="00D93B24" w:rsidRDefault="004500FF" w:rsidP="00796671">
      <w:pPr>
        <w:rPr>
          <w:lang w:eastAsia="ja-JP"/>
        </w:rPr>
      </w:pPr>
    </w:p>
    <w:p w:rsidR="004500FF" w:rsidRPr="00D93B24" w:rsidRDefault="004500FF">
      <w:pPr>
        <w:jc w:val="left"/>
        <w:rPr>
          <w:caps/>
        </w:rPr>
      </w:pPr>
    </w:p>
    <w:p w:rsidR="004500FF" w:rsidRPr="00D93B24" w:rsidRDefault="001B72B9" w:rsidP="001B72B9">
      <w:pPr>
        <w:pStyle w:val="Heading1"/>
        <w:rPr>
          <w:lang w:val="fr-FR"/>
        </w:rPr>
      </w:pPr>
      <w:bookmarkStart w:id="8" w:name="_Toc432494344"/>
      <w:r w:rsidRPr="00D93B24">
        <w:rPr>
          <w:lang w:val="fr-FR"/>
        </w:rPr>
        <w:t>Base de données GENIE</w:t>
      </w:r>
      <w:bookmarkEnd w:id="8"/>
    </w:p>
    <w:p w:rsidR="004500FF" w:rsidRPr="00D93B24" w:rsidRDefault="004500FF" w:rsidP="00C645FA">
      <w:pPr>
        <w:keepNext/>
        <w:rPr>
          <w:lang w:eastAsia="ja-JP"/>
        </w:rPr>
      </w:pPr>
    </w:p>
    <w:p w:rsidR="004500FF" w:rsidRPr="00D93B24" w:rsidRDefault="008B2A46" w:rsidP="000D4111">
      <w:pPr>
        <w:pStyle w:val="Heading2"/>
        <w:rPr>
          <w:snapToGrid w:val="0"/>
          <w:lang w:val="fr-FR" w:eastAsia="ja-JP"/>
        </w:rPr>
      </w:pPr>
      <w:bookmarkStart w:id="9" w:name="_Toc432494345"/>
      <w:r w:rsidRPr="00D93B24">
        <w:rPr>
          <w:snapToGrid w:val="0"/>
          <w:lang w:val="fr-FR" w:eastAsia="ja-JP"/>
        </w:rPr>
        <w:t>Faits nouveaux</w:t>
      </w:r>
      <w:bookmarkEnd w:id="9"/>
    </w:p>
    <w:p w:rsidR="004500FF" w:rsidRPr="00D93B24" w:rsidRDefault="004500FF" w:rsidP="00C645FA">
      <w:pPr>
        <w:keepNext/>
        <w:rPr>
          <w:lang w:eastAsia="ja-JP"/>
        </w:rPr>
      </w:pPr>
    </w:p>
    <w:p w:rsidR="004500FF" w:rsidRPr="00D93B24" w:rsidRDefault="00285C4C" w:rsidP="00285C4C">
      <w:pPr>
        <w:rPr>
          <w:rFonts w:cs="Arial"/>
        </w:rPr>
      </w:pPr>
      <w:r w:rsidRPr="00D93B24">
        <w:rPr>
          <w:rFonts w:cs="Arial"/>
        </w:rPr>
        <w:fldChar w:fldCharType="begin"/>
      </w:r>
      <w:r w:rsidRPr="00D93B24">
        <w:rPr>
          <w:rFonts w:cs="Arial"/>
        </w:rPr>
        <w:instrText xml:space="preserve"> AUTONUM  </w:instrText>
      </w:r>
      <w:r w:rsidRPr="00D93B24">
        <w:rPr>
          <w:rFonts w:cs="Arial"/>
        </w:rPr>
        <w:fldChar w:fldCharType="end"/>
      </w:r>
      <w:r w:rsidRPr="00D93B24">
        <w:rPr>
          <w:rFonts w:cs="Arial"/>
        </w:rPr>
        <w:tab/>
      </w:r>
      <w:r w:rsidR="00B94E49" w:rsidRPr="00D93B24">
        <w:rPr>
          <w:rFonts w:cs="Arial"/>
        </w:rPr>
        <w:t>À sa soixante</w:t>
      </w:r>
      <w:r w:rsidR="00C52279" w:rsidRPr="00D93B24">
        <w:rPr>
          <w:rFonts w:cs="Arial"/>
        </w:rPr>
        <w:noBreakHyphen/>
      </w:r>
      <w:r w:rsidR="00B94E49" w:rsidRPr="00D93B24">
        <w:rPr>
          <w:rFonts w:cs="Arial"/>
        </w:rPr>
        <w:t>et</w:t>
      </w:r>
      <w:r w:rsidR="00C52279" w:rsidRPr="00D93B24">
        <w:rPr>
          <w:rFonts w:cs="Arial"/>
        </w:rPr>
        <w:noBreakHyphen/>
      </w:r>
      <w:r w:rsidR="00B94E49" w:rsidRPr="00D93B24">
        <w:rPr>
          <w:rFonts w:cs="Arial"/>
        </w:rPr>
        <w:t>onzième</w:t>
      </w:r>
      <w:r w:rsidR="006546BF" w:rsidRPr="00D93B24">
        <w:rPr>
          <w:rFonts w:cs="Arial"/>
        </w:rPr>
        <w:t> </w:t>
      </w:r>
      <w:r w:rsidR="00B547D4" w:rsidRPr="00D93B24">
        <w:rPr>
          <w:rFonts w:cs="Arial"/>
        </w:rPr>
        <w:t>session</w:t>
      </w:r>
      <w:r w:rsidR="002E1BA5" w:rsidRPr="00D93B24">
        <w:rPr>
          <w:rStyle w:val="FootnoteReference"/>
          <w:rFonts w:cs="Arial"/>
        </w:rPr>
        <w:footnoteReference w:id="2"/>
      </w:r>
      <w:r w:rsidR="006546BF" w:rsidRPr="00D93B24">
        <w:rPr>
          <w:rFonts w:cs="Arial"/>
        </w:rPr>
        <w:t>,</w:t>
      </w:r>
      <w:r w:rsidR="006F2923" w:rsidRPr="00D93B24">
        <w:rPr>
          <w:rFonts w:cs="Arial"/>
        </w:rPr>
        <w:t xml:space="preserve"> le CAJ</w:t>
      </w:r>
      <w:r w:rsidR="00B547D4" w:rsidRPr="00D93B24">
        <w:rPr>
          <w:rFonts w:cs="Arial"/>
        </w:rPr>
        <w:t xml:space="preserve"> </w:t>
      </w:r>
      <w:r w:rsidR="00B94E49" w:rsidRPr="00D93B24">
        <w:rPr>
          <w:rFonts w:cs="Arial"/>
        </w:rPr>
        <w:t>a noté</w:t>
      </w:r>
      <w:r w:rsidR="006546BF" w:rsidRPr="00D93B24">
        <w:rPr>
          <w:rFonts w:cs="Arial"/>
        </w:rPr>
        <w:t> </w:t>
      </w:r>
      <w:r w:rsidR="00B547D4" w:rsidRPr="00D93B24">
        <w:rPr>
          <w:rFonts w:cs="Arial"/>
        </w:rPr>
        <w:t>:</w:t>
      </w:r>
    </w:p>
    <w:p w:rsidR="004500FF" w:rsidRPr="00D93B24" w:rsidRDefault="004500FF" w:rsidP="00285C4C">
      <w:pPr>
        <w:rPr>
          <w:rFonts w:cs="Arial"/>
        </w:rPr>
      </w:pPr>
    </w:p>
    <w:p w:rsidR="004500FF" w:rsidRPr="00D93B24" w:rsidRDefault="008B2A46" w:rsidP="001B72B9">
      <w:pPr>
        <w:pStyle w:val="ListParagraph"/>
        <w:numPr>
          <w:ilvl w:val="0"/>
          <w:numId w:val="12"/>
        </w:numPr>
        <w:rPr>
          <w:rFonts w:cs="Arial"/>
        </w:rPr>
      </w:pPr>
      <w:r w:rsidRPr="00D93B24">
        <w:rPr>
          <w:rFonts w:cs="Arial"/>
        </w:rPr>
        <w:t>q</w:t>
      </w:r>
      <w:r w:rsidR="00B94E49" w:rsidRPr="00D93B24">
        <w:rPr>
          <w:rFonts w:cs="Arial"/>
        </w:rPr>
        <w:t xml:space="preserve">ue </w:t>
      </w:r>
      <w:r w:rsidR="001B72B9" w:rsidRPr="00D93B24">
        <w:rPr>
          <w:rFonts w:cs="Arial"/>
        </w:rPr>
        <w:t>les informations sur l</w:t>
      </w:r>
      <w:r w:rsidR="006F2923" w:rsidRPr="00D93B24">
        <w:rPr>
          <w:rFonts w:cs="Arial"/>
        </w:rPr>
        <w:t>’</w:t>
      </w:r>
      <w:r w:rsidR="001B72B9" w:rsidRPr="00D93B24">
        <w:rPr>
          <w:rFonts w:cs="Arial"/>
        </w:rPr>
        <w:t>attribution de type(s) de plante aux codes UPOV actuellement utilisés dans la base de données PLUTO, comme indiqué aux paragraphes</w:t>
      </w:r>
      <w:r w:rsidR="006546BF" w:rsidRPr="00D93B24">
        <w:rPr>
          <w:rFonts w:cs="Arial"/>
        </w:rPr>
        <w:t> </w:t>
      </w:r>
      <w:r w:rsidR="001B72B9" w:rsidRPr="00D93B24">
        <w:rPr>
          <w:rFonts w:cs="Arial"/>
        </w:rPr>
        <w:t>10 et 11 du document CAJ/71/5</w:t>
      </w:r>
      <w:r w:rsidR="001B72B9" w:rsidRPr="00D93B24">
        <w:rPr>
          <w:rStyle w:val="FootnoteReference"/>
          <w:rFonts w:cs="Arial"/>
        </w:rPr>
        <w:footnoteReference w:id="3"/>
      </w:r>
      <w:r w:rsidR="001B72B9" w:rsidRPr="00D93B24">
        <w:rPr>
          <w:rFonts w:cs="Arial"/>
        </w:rPr>
        <w:t>;</w:t>
      </w:r>
    </w:p>
    <w:p w:rsidR="004500FF" w:rsidRPr="00D93B24" w:rsidRDefault="004500FF" w:rsidP="00D10A3C">
      <w:pPr>
        <w:rPr>
          <w:rFonts w:cs="Arial"/>
        </w:rPr>
      </w:pPr>
    </w:p>
    <w:p w:rsidR="004500FF" w:rsidRPr="00D93B24" w:rsidRDefault="001B72B9" w:rsidP="001B72B9">
      <w:pPr>
        <w:pStyle w:val="ListParagraph"/>
        <w:numPr>
          <w:ilvl w:val="0"/>
          <w:numId w:val="12"/>
        </w:numPr>
        <w:rPr>
          <w:rFonts w:cs="Arial"/>
        </w:rPr>
      </w:pPr>
      <w:r w:rsidRPr="00D93B24">
        <w:rPr>
          <w:rFonts w:cs="Arial"/>
        </w:rPr>
        <w:t xml:space="preserve">que les informations relatives aux types de plante seront introduites dans la base de données GENIE, qui sera modifiée pour indiquer le(s) type(s) de plante pour chaque code UPOV avant la fin du mois de </w:t>
      </w:r>
      <w:r w:rsidR="006F2923" w:rsidRPr="00D93B24">
        <w:rPr>
          <w:rFonts w:cs="Arial"/>
        </w:rPr>
        <w:t>mars 20</w:t>
      </w:r>
      <w:r w:rsidRPr="00D93B24">
        <w:rPr>
          <w:rFonts w:cs="Arial"/>
        </w:rPr>
        <w:t>15</w:t>
      </w:r>
      <w:r w:rsidRPr="00D93B24">
        <w:rPr>
          <w:rStyle w:val="FootnoteReference"/>
          <w:rFonts w:cs="Arial"/>
        </w:rPr>
        <w:footnoteReference w:id="4"/>
      </w:r>
      <w:r w:rsidR="008B2A46" w:rsidRPr="00D93B24">
        <w:rPr>
          <w:rFonts w:cs="Arial"/>
        </w:rPr>
        <w:t>;</w:t>
      </w:r>
    </w:p>
    <w:p w:rsidR="004500FF" w:rsidRPr="00D93B24" w:rsidRDefault="004500FF" w:rsidP="00D10A3C">
      <w:pPr>
        <w:rPr>
          <w:rFonts w:cs="Arial"/>
        </w:rPr>
      </w:pPr>
    </w:p>
    <w:p w:rsidR="004500FF" w:rsidRPr="00D93B24" w:rsidRDefault="001B72B9" w:rsidP="001B72B9">
      <w:pPr>
        <w:pStyle w:val="ListParagraph"/>
        <w:numPr>
          <w:ilvl w:val="0"/>
          <w:numId w:val="12"/>
        </w:numPr>
        <w:rPr>
          <w:rFonts w:cs="Arial"/>
        </w:rPr>
      </w:pPr>
      <w:r w:rsidRPr="00D93B24">
        <w:rPr>
          <w:rFonts w:cs="Arial"/>
        </w:rPr>
        <w:t>qu</w:t>
      </w:r>
      <w:r w:rsidR="006F2923" w:rsidRPr="00D93B24">
        <w:rPr>
          <w:rFonts w:cs="Arial"/>
        </w:rPr>
        <w:t>’</w:t>
      </w:r>
      <w:r w:rsidRPr="00D93B24">
        <w:rPr>
          <w:rFonts w:cs="Arial"/>
        </w:rPr>
        <w:t>un rapport standard sur les attributions</w:t>
      </w:r>
      <w:r w:rsidR="006F2923" w:rsidRPr="00D93B24">
        <w:rPr>
          <w:rFonts w:cs="Arial"/>
        </w:rPr>
        <w:t xml:space="preserve"> des TWP</w:t>
      </w:r>
      <w:r w:rsidRPr="00D93B24">
        <w:rPr>
          <w:rFonts w:cs="Arial"/>
        </w:rPr>
        <w:t xml:space="preserve"> pour les codes UPOV serait aussi publié sur la page</w:t>
      </w:r>
      <w:r w:rsidR="006546BF" w:rsidRPr="00D93B24">
        <w:rPr>
          <w:rFonts w:cs="Arial"/>
        </w:rPr>
        <w:t> </w:t>
      </w:r>
      <w:r w:rsidRPr="00D93B24">
        <w:rPr>
          <w:rFonts w:cs="Arial"/>
        </w:rPr>
        <w:t>Web consacrée à la base de données GENIE d</w:t>
      </w:r>
      <w:r w:rsidR="006F2923" w:rsidRPr="00D93B24">
        <w:rPr>
          <w:rFonts w:cs="Arial"/>
        </w:rPr>
        <w:t>’</w:t>
      </w:r>
      <w:r w:rsidRPr="00D93B24">
        <w:rPr>
          <w:rFonts w:cs="Arial"/>
        </w:rPr>
        <w:t xml:space="preserve">ici à la fin du mois de </w:t>
      </w:r>
      <w:r w:rsidR="006F2923" w:rsidRPr="00D93B24">
        <w:rPr>
          <w:rFonts w:cs="Arial"/>
        </w:rPr>
        <w:t>mars 20</w:t>
      </w:r>
      <w:r w:rsidRPr="00D93B24">
        <w:rPr>
          <w:rFonts w:cs="Arial"/>
        </w:rPr>
        <w:t>15</w:t>
      </w:r>
      <w:r w:rsidRPr="00D93B24">
        <w:rPr>
          <w:rStyle w:val="FootnoteReference"/>
          <w:rFonts w:cs="Arial"/>
        </w:rPr>
        <w:footnoteReference w:id="5"/>
      </w:r>
      <w:r w:rsidRPr="00D93B24">
        <w:rPr>
          <w:rFonts w:cs="Arial"/>
        </w:rPr>
        <w:t>;</w:t>
      </w:r>
    </w:p>
    <w:p w:rsidR="004500FF" w:rsidRPr="00D93B24" w:rsidRDefault="004500FF" w:rsidP="00D10A3C">
      <w:pPr>
        <w:rPr>
          <w:rFonts w:cs="Arial"/>
        </w:rPr>
      </w:pPr>
    </w:p>
    <w:p w:rsidR="004500FF" w:rsidRPr="00D93B24" w:rsidRDefault="001B72B9" w:rsidP="001B72B9">
      <w:pPr>
        <w:pStyle w:val="ListParagraph"/>
        <w:numPr>
          <w:ilvl w:val="0"/>
          <w:numId w:val="12"/>
        </w:numPr>
        <w:rPr>
          <w:rFonts w:cs="Arial"/>
        </w:rPr>
      </w:pPr>
      <w:r w:rsidRPr="00D93B24">
        <w:rPr>
          <w:rFonts w:cs="Arial"/>
        </w:rPr>
        <w:lastRenderedPageBreak/>
        <w:t>que l</w:t>
      </w:r>
      <w:r w:rsidR="006F2923" w:rsidRPr="00D93B24">
        <w:rPr>
          <w:rFonts w:cs="Arial"/>
        </w:rPr>
        <w:t>’</w:t>
      </w:r>
      <w:r w:rsidRPr="00D93B24">
        <w:rPr>
          <w:rFonts w:cs="Arial"/>
        </w:rPr>
        <w:t>attribution de type(s) de plante à d</w:t>
      </w:r>
      <w:r w:rsidR="006F2923" w:rsidRPr="00D93B24">
        <w:rPr>
          <w:rFonts w:cs="Arial"/>
        </w:rPr>
        <w:t>’</w:t>
      </w:r>
      <w:r w:rsidRPr="00D93B24">
        <w:rPr>
          <w:rFonts w:cs="Arial"/>
        </w:rPr>
        <w:t>autres codes UPOV aurait lieu lorsque ceux</w:t>
      </w:r>
      <w:r w:rsidR="00C52279" w:rsidRPr="00D93B24">
        <w:rPr>
          <w:rFonts w:cs="Arial"/>
        </w:rPr>
        <w:noBreakHyphen/>
      </w:r>
      <w:r w:rsidRPr="00D93B24">
        <w:rPr>
          <w:rFonts w:cs="Arial"/>
        </w:rPr>
        <w:t>ci seraient utilisés dans la base de données PLUTO pour la première fois</w:t>
      </w:r>
      <w:r w:rsidRPr="00D93B24">
        <w:rPr>
          <w:rStyle w:val="FootnoteReference"/>
          <w:rFonts w:cs="Arial"/>
        </w:rPr>
        <w:footnoteReference w:id="6"/>
      </w:r>
      <w:r w:rsidRPr="00D93B24">
        <w:rPr>
          <w:rFonts w:cs="Arial"/>
        </w:rPr>
        <w:t>;  et</w:t>
      </w:r>
    </w:p>
    <w:p w:rsidR="004500FF" w:rsidRPr="00D93B24" w:rsidRDefault="004500FF" w:rsidP="00D10A3C">
      <w:pPr>
        <w:rPr>
          <w:rFonts w:cs="Arial"/>
        </w:rPr>
      </w:pPr>
    </w:p>
    <w:p w:rsidR="004500FF" w:rsidRPr="00D93B24" w:rsidRDefault="001B72B9" w:rsidP="001B72B9">
      <w:pPr>
        <w:pStyle w:val="ListParagraph"/>
        <w:numPr>
          <w:ilvl w:val="0"/>
          <w:numId w:val="12"/>
        </w:numPr>
        <w:rPr>
          <w:rFonts w:cs="Arial"/>
        </w:rPr>
      </w:pPr>
      <w:r w:rsidRPr="00D93B24">
        <w:rPr>
          <w:rFonts w:cs="Arial"/>
        </w:rPr>
        <w:t>que le Bureau de l</w:t>
      </w:r>
      <w:r w:rsidR="006F2923" w:rsidRPr="00D93B24">
        <w:rPr>
          <w:rFonts w:cs="Arial"/>
        </w:rPr>
        <w:t>’</w:t>
      </w:r>
      <w:r w:rsidRPr="00D93B24">
        <w:rPr>
          <w:rFonts w:cs="Arial"/>
        </w:rPr>
        <w:t>Union établirait des tableaux d</w:t>
      </w:r>
      <w:r w:rsidR="006F2923" w:rsidRPr="00D93B24">
        <w:rPr>
          <w:rFonts w:cs="Arial"/>
        </w:rPr>
        <w:t>’</w:t>
      </w:r>
      <w:r w:rsidRPr="00D93B24">
        <w:rPr>
          <w:rFonts w:cs="Arial"/>
        </w:rPr>
        <w:t>attribution de type(s) de plante aux codes UPOV qui sont utilisés dans la base de données PLUTO pour la première fois, aux fins de leur vérification par les services compétents, pour chacune des sessions</w:t>
      </w:r>
      <w:r w:rsidR="006F2923" w:rsidRPr="00D93B24">
        <w:rPr>
          <w:rFonts w:cs="Arial"/>
        </w:rPr>
        <w:t xml:space="preserve"> des TWP</w:t>
      </w:r>
      <w:r w:rsidRPr="00D93B24">
        <w:rPr>
          <w:rFonts w:cs="Arial"/>
        </w:rPr>
        <w:t xml:space="preserve"> en</w:t>
      </w:r>
      <w:r w:rsidR="006546BF" w:rsidRPr="00D93B24">
        <w:rPr>
          <w:rFonts w:cs="Arial"/>
        </w:rPr>
        <w:t> </w:t>
      </w:r>
      <w:r w:rsidRPr="00D93B24">
        <w:rPr>
          <w:rFonts w:cs="Arial"/>
        </w:rPr>
        <w:t>2015</w:t>
      </w:r>
      <w:r w:rsidRPr="00D93B24">
        <w:rPr>
          <w:rStyle w:val="FootnoteReference"/>
          <w:rFonts w:cs="Arial"/>
        </w:rPr>
        <w:footnoteReference w:id="7"/>
      </w:r>
      <w:r w:rsidRPr="00D93B24">
        <w:rPr>
          <w:rFonts w:cs="Arial"/>
        </w:rPr>
        <w:t>.</w:t>
      </w:r>
    </w:p>
    <w:p w:rsidR="004500FF" w:rsidRPr="00D93B24" w:rsidRDefault="004500FF" w:rsidP="007E1CB5">
      <w:pPr>
        <w:rPr>
          <w:rFonts w:eastAsia="SimSun"/>
          <w:snapToGrid w:val="0"/>
          <w:lang w:eastAsia="ja-JP"/>
        </w:rPr>
      </w:pPr>
    </w:p>
    <w:p w:rsidR="008B2A46" w:rsidRPr="00D93B24" w:rsidRDefault="007E1CB5" w:rsidP="007E1CB5">
      <w:pPr>
        <w:rPr>
          <w:rFonts w:eastAsia="SimSun"/>
          <w:lang w:eastAsia="ja-JP"/>
        </w:rPr>
      </w:pPr>
      <w:r w:rsidRPr="00D93B24">
        <w:rPr>
          <w:rFonts w:eastAsia="SimSun"/>
          <w:snapToGrid w:val="0"/>
          <w:lang w:eastAsia="ja-JP"/>
        </w:rPr>
        <w:fldChar w:fldCharType="begin"/>
      </w:r>
      <w:r w:rsidRPr="00D93B24">
        <w:rPr>
          <w:rFonts w:eastAsia="SimSun"/>
          <w:snapToGrid w:val="0"/>
          <w:lang w:eastAsia="ja-JP"/>
        </w:rPr>
        <w:instrText xml:space="preserve"> AUTONUM  </w:instrText>
      </w:r>
      <w:r w:rsidRPr="00D93B24">
        <w:rPr>
          <w:rFonts w:eastAsia="SimSun"/>
          <w:snapToGrid w:val="0"/>
          <w:lang w:eastAsia="ja-JP"/>
        </w:rPr>
        <w:fldChar w:fldCharType="end"/>
      </w:r>
      <w:r w:rsidRPr="00D93B24">
        <w:rPr>
          <w:rFonts w:eastAsia="SimSun"/>
          <w:snapToGrid w:val="0"/>
          <w:lang w:eastAsia="ja-JP"/>
        </w:rPr>
        <w:tab/>
      </w:r>
      <w:r w:rsidR="008B2A46" w:rsidRPr="00D93B24">
        <w:rPr>
          <w:rFonts w:eastAsia="SimSun"/>
          <w:snapToGrid w:val="0"/>
          <w:lang w:eastAsia="ja-JP"/>
        </w:rPr>
        <w:t>Les</w:t>
      </w:r>
      <w:r w:rsidRPr="00D93B24">
        <w:rPr>
          <w:rFonts w:eastAsia="SimSun"/>
          <w:snapToGrid w:val="0"/>
          <w:lang w:eastAsia="ja-JP"/>
        </w:rPr>
        <w:t xml:space="preserve"> </w:t>
      </w:r>
      <w:r w:rsidRPr="00D93B24">
        <w:rPr>
          <w:rFonts w:eastAsia="SimSun"/>
          <w:lang w:eastAsia="ja-JP"/>
        </w:rPr>
        <w:t>information</w:t>
      </w:r>
      <w:r w:rsidR="008B2A46" w:rsidRPr="00D93B24">
        <w:rPr>
          <w:rFonts w:eastAsia="SimSun"/>
          <w:lang w:eastAsia="ja-JP"/>
        </w:rPr>
        <w:t>s relatives au</w:t>
      </w:r>
      <w:r w:rsidR="008B2A46" w:rsidRPr="00D93B24">
        <w:rPr>
          <w:rFonts w:eastAsia="SimSun" w:cs="Arial"/>
          <w:lang w:eastAsia="ja-JP"/>
        </w:rPr>
        <w:t xml:space="preserve">(x) </w:t>
      </w:r>
      <w:r w:rsidR="008B2A46" w:rsidRPr="00D93B24">
        <w:rPr>
          <w:rFonts w:eastAsia="SimSun"/>
          <w:lang w:eastAsia="ja-JP"/>
        </w:rPr>
        <w:t>type(s) de plante ont été introduites dans la base de données</w:t>
      </w:r>
      <w:r w:rsidRPr="00D93B24">
        <w:rPr>
          <w:rFonts w:eastAsia="SimSun"/>
          <w:lang w:eastAsia="ja-JP"/>
        </w:rPr>
        <w:t xml:space="preserve"> GENIE,</w:t>
      </w:r>
      <w:r w:rsidR="008B2A46" w:rsidRPr="00D93B24">
        <w:rPr>
          <w:rFonts w:eastAsia="SimSun"/>
          <w:lang w:eastAsia="ja-JP"/>
        </w:rPr>
        <w:t xml:space="preserve"> qui a été modifiée </w:t>
      </w:r>
      <w:r w:rsidR="008B2A46" w:rsidRPr="00D93B24">
        <w:rPr>
          <w:rFonts w:cs="Arial"/>
        </w:rPr>
        <w:t>pour indiquer le(s) type(s) de plante pour chaque code UPOV</w:t>
      </w:r>
      <w:r w:rsidR="008B2A46" w:rsidRPr="00D93B24">
        <w:rPr>
          <w:rStyle w:val="FootnoteReference"/>
          <w:rFonts w:eastAsia="SimSun"/>
          <w:lang w:eastAsia="ja-JP"/>
        </w:rPr>
        <w:footnoteReference w:id="8"/>
      </w:r>
      <w:r w:rsidR="006546BF" w:rsidRPr="00D93B24">
        <w:rPr>
          <w:rFonts w:eastAsia="SimSun"/>
          <w:lang w:eastAsia="ja-JP"/>
        </w:rPr>
        <w:t>.</w:t>
      </w:r>
      <w:r w:rsidR="008B2A46" w:rsidRPr="00D93B24">
        <w:rPr>
          <w:rFonts w:eastAsia="SimSun"/>
          <w:snapToGrid w:val="0"/>
          <w:lang w:eastAsia="ja-JP"/>
        </w:rPr>
        <w:t xml:space="preserve"> </w:t>
      </w:r>
      <w:r w:rsidR="00086E9A" w:rsidRPr="00D93B24">
        <w:rPr>
          <w:rFonts w:eastAsia="SimSun"/>
          <w:lang w:eastAsia="ja-JP"/>
        </w:rPr>
        <w:t xml:space="preserve"> </w:t>
      </w:r>
      <w:r w:rsidR="008B2A46" w:rsidRPr="00D93B24">
        <w:rPr>
          <w:rFonts w:eastAsia="SimSun"/>
          <w:lang w:eastAsia="ja-JP"/>
        </w:rPr>
        <w:t>Un rapport</w:t>
      </w:r>
      <w:r w:rsidR="008B2A46" w:rsidRPr="00D93B24">
        <w:rPr>
          <w:rFonts w:cs="Arial"/>
        </w:rPr>
        <w:t xml:space="preserve"> </w:t>
      </w:r>
      <w:r w:rsidR="008B2A46" w:rsidRPr="00D93B24">
        <w:t>sur les attributions</w:t>
      </w:r>
      <w:r w:rsidR="006F2923" w:rsidRPr="00D93B24">
        <w:t xml:space="preserve"> des TWP</w:t>
      </w:r>
      <w:r w:rsidR="008B2A46" w:rsidRPr="00D93B24">
        <w:t xml:space="preserve"> pour les codes UPOV a également été publié sur la page</w:t>
      </w:r>
      <w:r w:rsidR="006546BF" w:rsidRPr="00D93B24">
        <w:t> </w:t>
      </w:r>
      <w:r w:rsidR="008B2A46" w:rsidRPr="00D93B24">
        <w:t>Web consacrée à la base de données GENIE</w:t>
      </w:r>
      <w:r w:rsidR="008B2A46" w:rsidRPr="00D93B24">
        <w:rPr>
          <w:rStyle w:val="FootnoteReference"/>
          <w:snapToGrid w:val="0"/>
          <w:lang w:eastAsia="ja-JP"/>
        </w:rPr>
        <w:footnoteReference w:id="9"/>
      </w:r>
      <w:r w:rsidR="006546BF" w:rsidRPr="00D93B24">
        <w:rPr>
          <w:snapToGrid w:val="0"/>
          <w:lang w:eastAsia="ja-JP"/>
        </w:rPr>
        <w:t>.</w:t>
      </w:r>
    </w:p>
    <w:p w:rsidR="004500FF" w:rsidRPr="00D93B24" w:rsidRDefault="004500FF" w:rsidP="007E1CB5">
      <w:pPr>
        <w:rPr>
          <w:snapToGrid w:val="0"/>
          <w:lang w:eastAsia="ja-JP"/>
        </w:rPr>
      </w:pPr>
    </w:p>
    <w:p w:rsidR="004500FF" w:rsidRPr="00D93B24" w:rsidRDefault="002145E7" w:rsidP="008B2A46">
      <w:pPr>
        <w:rPr>
          <w:lang w:eastAsia="ja-JP"/>
        </w:rPr>
      </w:pPr>
      <w:r w:rsidRPr="00D93B24">
        <w:rPr>
          <w:snapToGrid w:val="0"/>
        </w:rPr>
        <w:fldChar w:fldCharType="begin"/>
      </w:r>
      <w:r w:rsidRPr="00D93B24">
        <w:rPr>
          <w:snapToGrid w:val="0"/>
        </w:rPr>
        <w:instrText xml:space="preserve"> AUTONUM  </w:instrText>
      </w:r>
      <w:r w:rsidRPr="00D93B24">
        <w:rPr>
          <w:snapToGrid w:val="0"/>
        </w:rPr>
        <w:fldChar w:fldCharType="end"/>
      </w:r>
      <w:r w:rsidRPr="00D93B24">
        <w:rPr>
          <w:snapToGrid w:val="0"/>
        </w:rPr>
        <w:tab/>
      </w:r>
      <w:r w:rsidR="004500FF" w:rsidRPr="00D93B24">
        <w:rPr>
          <w:snapToGrid w:val="0"/>
        </w:rPr>
        <w:t xml:space="preserve">Les types de plante ont été attribués seulement aux </w:t>
      </w:r>
      <w:r w:rsidR="006546BF" w:rsidRPr="00D93B24">
        <w:rPr>
          <w:snapToGrid w:val="0"/>
        </w:rPr>
        <w:t>3412</w:t>
      </w:r>
      <w:r w:rsidR="004500FF" w:rsidRPr="00D93B24">
        <w:rPr>
          <w:snapToGrid w:val="0"/>
        </w:rPr>
        <w:t xml:space="preserve"> codes UPOV actuellement utilisés dans la base de données PLUTO</w:t>
      </w:r>
      <w:r w:rsidR="004500FF" w:rsidRPr="00D93B24">
        <w:rPr>
          <w:rStyle w:val="FootnoteReference"/>
          <w:snapToGrid w:val="0"/>
        </w:rPr>
        <w:footnoteReference w:id="10"/>
      </w:r>
      <w:r w:rsidR="004500FF" w:rsidRPr="00D93B24">
        <w:rPr>
          <w:snapToGrid w:val="0"/>
        </w:rPr>
        <w:t>.</w:t>
      </w:r>
      <w:r w:rsidRPr="00D93B24">
        <w:t xml:space="preserve">  </w:t>
      </w:r>
      <w:r w:rsidR="004500FF" w:rsidRPr="00D93B24">
        <w:rPr>
          <w:snapToGrid w:val="0"/>
        </w:rPr>
        <w:t>Des types de plante seront attribués à d</w:t>
      </w:r>
      <w:r w:rsidR="006F2923" w:rsidRPr="00D93B24">
        <w:rPr>
          <w:snapToGrid w:val="0"/>
        </w:rPr>
        <w:t>’</w:t>
      </w:r>
      <w:r w:rsidR="004500FF" w:rsidRPr="00D93B24">
        <w:rPr>
          <w:snapToGrid w:val="0"/>
        </w:rPr>
        <w:t>autres codes UPOV lorsque ceux</w:t>
      </w:r>
      <w:r w:rsidR="00C52279" w:rsidRPr="00D93B24">
        <w:rPr>
          <w:snapToGrid w:val="0"/>
        </w:rPr>
        <w:noBreakHyphen/>
      </w:r>
      <w:r w:rsidR="004500FF" w:rsidRPr="00D93B24">
        <w:rPr>
          <w:snapToGrid w:val="0"/>
        </w:rPr>
        <w:t>ci seront utilisés dans la base de données PLUTO pour la première fois.</w:t>
      </w:r>
      <w:r w:rsidRPr="00D93B24">
        <w:t xml:space="preserve">  </w:t>
      </w:r>
      <w:r w:rsidR="008B2A46" w:rsidRPr="00D93B24">
        <w:rPr>
          <w:snapToGrid w:val="0"/>
        </w:rPr>
        <w:t xml:space="preserve">Pour chaque session des </w:t>
      </w:r>
      <w:r w:rsidR="008B2A46" w:rsidRPr="00D93B24">
        <w:t>groupes de travail techniques tenue en</w:t>
      </w:r>
      <w:r w:rsidR="006546BF" w:rsidRPr="00D93B24">
        <w:t> </w:t>
      </w:r>
      <w:r w:rsidR="008B2A46" w:rsidRPr="00D93B24">
        <w:t>2015, le Bureau de l</w:t>
      </w:r>
      <w:r w:rsidR="006F2923" w:rsidRPr="00D93B24">
        <w:t>’</w:t>
      </w:r>
      <w:r w:rsidR="008B2A46" w:rsidRPr="00D93B24">
        <w:t>Union a élaboré des tableaux d</w:t>
      </w:r>
      <w:r w:rsidR="006F2923" w:rsidRPr="00D93B24">
        <w:t>’</w:t>
      </w:r>
      <w:r w:rsidR="008B2A46" w:rsidRPr="00D93B24">
        <w:t>attribution de type(s) de plante aux codes UPOV qui sont utilisés dans la base de données PLUTO pour la première fois, aux fins de leur vérification par les services compétents</w:t>
      </w:r>
      <w:r w:rsidR="002E1BA5" w:rsidRPr="00D93B24">
        <w:rPr>
          <w:rStyle w:val="FootnoteReference"/>
          <w:lang w:eastAsia="ja-JP"/>
        </w:rPr>
        <w:footnoteReference w:id="11"/>
      </w:r>
      <w:r w:rsidR="006546BF" w:rsidRPr="00D93B24">
        <w:rPr>
          <w:lang w:eastAsia="ja-JP"/>
        </w:rPr>
        <w:t>.</w:t>
      </w:r>
    </w:p>
    <w:p w:rsidR="004500FF" w:rsidRPr="00D93B24" w:rsidRDefault="004500FF" w:rsidP="002145E7">
      <w:pPr>
        <w:rPr>
          <w:rFonts w:cs="Arial"/>
          <w:lang w:eastAsia="ja-JP"/>
        </w:rPr>
      </w:pPr>
    </w:p>
    <w:p w:rsidR="004500FF" w:rsidRPr="00D93B24" w:rsidRDefault="004500FF" w:rsidP="00B3750B">
      <w:pPr>
        <w:rPr>
          <w:lang w:eastAsia="ja-JP"/>
        </w:rPr>
      </w:pPr>
    </w:p>
    <w:p w:rsidR="004500FF" w:rsidRPr="00D93B24" w:rsidRDefault="004500FF" w:rsidP="004500FF">
      <w:pPr>
        <w:pStyle w:val="Heading1"/>
        <w:rPr>
          <w:lang w:val="fr-FR"/>
        </w:rPr>
      </w:pPr>
      <w:bookmarkStart w:id="10" w:name="_Toc432494346"/>
      <w:r w:rsidRPr="00D93B24">
        <w:rPr>
          <w:lang w:val="fr-FR"/>
        </w:rPr>
        <w:t>Base de données PLUTO</w:t>
      </w:r>
      <w:bookmarkEnd w:id="10"/>
    </w:p>
    <w:p w:rsidR="004500FF" w:rsidRPr="00D93B24" w:rsidRDefault="004500FF" w:rsidP="0032753C">
      <w:pPr>
        <w:rPr>
          <w:snapToGrid w:val="0"/>
          <w:lang w:eastAsia="ja-JP"/>
        </w:rPr>
      </w:pPr>
    </w:p>
    <w:p w:rsidR="004500FF" w:rsidRPr="00D93B24" w:rsidRDefault="008B2A46" w:rsidP="00454FEA">
      <w:pPr>
        <w:pStyle w:val="Heading2"/>
        <w:rPr>
          <w:snapToGrid w:val="0"/>
          <w:lang w:val="fr-FR" w:eastAsia="ja-JP"/>
        </w:rPr>
      </w:pPr>
      <w:bookmarkStart w:id="11" w:name="_Toc432494347"/>
      <w:r w:rsidRPr="00D93B24">
        <w:rPr>
          <w:snapToGrid w:val="0"/>
          <w:lang w:val="fr-FR" w:eastAsia="ja-JP"/>
        </w:rPr>
        <w:t>Faits nouveaux</w:t>
      </w:r>
      <w:bookmarkEnd w:id="11"/>
    </w:p>
    <w:p w:rsidR="004500FF" w:rsidRPr="00D93B24" w:rsidRDefault="004500FF" w:rsidP="0032753C">
      <w:pPr>
        <w:rPr>
          <w:snapToGrid w:val="0"/>
          <w:lang w:eastAsia="ja-JP"/>
        </w:rPr>
      </w:pPr>
    </w:p>
    <w:p w:rsidR="004500FF" w:rsidRPr="00D93B24" w:rsidRDefault="00937773" w:rsidP="00937773">
      <w:pPr>
        <w:rPr>
          <w:rFonts w:cs="Arial"/>
        </w:rPr>
      </w:pPr>
      <w:r w:rsidRPr="00D93B24">
        <w:rPr>
          <w:rFonts w:cs="Arial"/>
        </w:rPr>
        <w:fldChar w:fldCharType="begin"/>
      </w:r>
      <w:r w:rsidRPr="00D93B24">
        <w:rPr>
          <w:rFonts w:cs="Arial"/>
        </w:rPr>
        <w:instrText xml:space="preserve"> AUTONUM  </w:instrText>
      </w:r>
      <w:r w:rsidRPr="00D93B24">
        <w:rPr>
          <w:rFonts w:cs="Arial"/>
        </w:rPr>
        <w:fldChar w:fldCharType="end"/>
      </w:r>
      <w:r w:rsidRPr="00D93B24">
        <w:rPr>
          <w:rFonts w:cs="Arial"/>
        </w:rPr>
        <w:tab/>
      </w:r>
      <w:r w:rsidR="008B2A46" w:rsidRPr="00D93B24">
        <w:rPr>
          <w:rFonts w:cs="Arial"/>
        </w:rPr>
        <w:t>À sa soixante</w:t>
      </w:r>
      <w:r w:rsidR="00C52279" w:rsidRPr="00D93B24">
        <w:rPr>
          <w:rFonts w:cs="Arial"/>
        </w:rPr>
        <w:noBreakHyphen/>
      </w:r>
      <w:r w:rsidR="008B2A46" w:rsidRPr="00D93B24">
        <w:rPr>
          <w:rFonts w:cs="Arial"/>
        </w:rPr>
        <w:t>et</w:t>
      </w:r>
      <w:r w:rsidR="00C52279" w:rsidRPr="00D93B24">
        <w:rPr>
          <w:rFonts w:cs="Arial"/>
        </w:rPr>
        <w:noBreakHyphen/>
      </w:r>
      <w:r w:rsidR="008B2A46" w:rsidRPr="00D93B24">
        <w:rPr>
          <w:rFonts w:cs="Arial"/>
        </w:rPr>
        <w:t>onzième</w:t>
      </w:r>
      <w:r w:rsidR="006546BF" w:rsidRPr="00D93B24">
        <w:rPr>
          <w:rFonts w:cs="Arial"/>
        </w:rPr>
        <w:t> </w:t>
      </w:r>
      <w:r w:rsidR="008B2A46" w:rsidRPr="00D93B24">
        <w:rPr>
          <w:rFonts w:cs="Arial"/>
        </w:rPr>
        <w:t>session,</w:t>
      </w:r>
      <w:r w:rsidR="006F2923" w:rsidRPr="00D93B24">
        <w:rPr>
          <w:rFonts w:cs="Arial"/>
        </w:rPr>
        <w:t xml:space="preserve"> le CAJ</w:t>
      </w:r>
      <w:r w:rsidR="006546BF" w:rsidRPr="00D93B24">
        <w:rPr>
          <w:rFonts w:cs="Arial"/>
        </w:rPr>
        <w:t> </w:t>
      </w:r>
      <w:r w:rsidRPr="00D93B24">
        <w:rPr>
          <w:rFonts w:cs="Arial"/>
        </w:rPr>
        <w:t>:</w:t>
      </w:r>
    </w:p>
    <w:p w:rsidR="004500FF" w:rsidRPr="00D93B24" w:rsidRDefault="004500FF" w:rsidP="0032753C">
      <w:pPr>
        <w:rPr>
          <w:snapToGrid w:val="0"/>
          <w:lang w:eastAsia="ja-JP"/>
        </w:rPr>
      </w:pPr>
    </w:p>
    <w:p w:rsidR="004500FF" w:rsidRPr="00D93B24" w:rsidRDefault="008B2A46" w:rsidP="004500FF">
      <w:pPr>
        <w:pStyle w:val="ListParagraph"/>
        <w:numPr>
          <w:ilvl w:val="0"/>
          <w:numId w:val="13"/>
        </w:numPr>
        <w:rPr>
          <w:snapToGrid w:val="0"/>
          <w:lang w:eastAsia="ja-JP"/>
        </w:rPr>
      </w:pPr>
      <w:r w:rsidRPr="00D93B24">
        <w:rPr>
          <w:snapToGrid w:val="0"/>
          <w:lang w:eastAsia="ja-JP"/>
        </w:rPr>
        <w:t>a pris</w:t>
      </w:r>
      <w:r w:rsidR="004500FF" w:rsidRPr="00D93B24">
        <w:rPr>
          <w:snapToGrid w:val="0"/>
          <w:lang w:eastAsia="ja-JP"/>
        </w:rPr>
        <w:t xml:space="preserve"> note du fait qu</w:t>
      </w:r>
      <w:r w:rsidR="006F2923" w:rsidRPr="00D93B24">
        <w:rPr>
          <w:snapToGrid w:val="0"/>
          <w:lang w:eastAsia="ja-JP"/>
        </w:rPr>
        <w:t>’</w:t>
      </w:r>
      <w:r w:rsidR="004500FF" w:rsidRPr="00D93B24">
        <w:rPr>
          <w:snapToGrid w:val="0"/>
          <w:lang w:eastAsia="ja-JP"/>
        </w:rPr>
        <w:t xml:space="preserve">une colonne </w:t>
      </w:r>
      <w:r w:rsidRPr="00D93B24">
        <w:rPr>
          <w:snapToGrid w:val="0"/>
          <w:lang w:eastAsia="ja-JP"/>
        </w:rPr>
        <w:t>supplémentaire,</w:t>
      </w:r>
      <w:r w:rsidR="004500FF" w:rsidRPr="00D93B24">
        <w:rPr>
          <w:snapToGrid w:val="0"/>
          <w:lang w:eastAsia="ja-JP"/>
        </w:rPr>
        <w:t xml:space="preserve"> indiquant la date à laquelle l</w:t>
      </w:r>
      <w:r w:rsidR="006F2923" w:rsidRPr="00D93B24">
        <w:rPr>
          <w:snapToGrid w:val="0"/>
          <w:lang w:eastAsia="ja-JP"/>
        </w:rPr>
        <w:t>’</w:t>
      </w:r>
      <w:r w:rsidR="004500FF" w:rsidRPr="00D93B24">
        <w:rPr>
          <w:snapToGrid w:val="0"/>
          <w:lang w:eastAsia="ja-JP"/>
        </w:rPr>
        <w:t>information a été fournie</w:t>
      </w:r>
      <w:r w:rsidRPr="00D93B24">
        <w:rPr>
          <w:snapToGrid w:val="0"/>
          <w:lang w:eastAsia="ja-JP"/>
        </w:rPr>
        <w:t>,</w:t>
      </w:r>
      <w:r w:rsidR="004500FF" w:rsidRPr="00D93B24">
        <w:rPr>
          <w:snapToGrid w:val="0"/>
          <w:lang w:eastAsia="ja-JP"/>
        </w:rPr>
        <w:t xml:space="preserve"> sera intégrée à l</w:t>
      </w:r>
      <w:r w:rsidR="006F2923" w:rsidRPr="00D93B24">
        <w:rPr>
          <w:snapToGrid w:val="0"/>
          <w:lang w:eastAsia="ja-JP"/>
        </w:rPr>
        <w:t>’</w:t>
      </w:r>
      <w:r w:rsidR="004500FF" w:rsidRPr="00D93B24">
        <w:rPr>
          <w:snapToGrid w:val="0"/>
          <w:lang w:eastAsia="ja-JP"/>
        </w:rPr>
        <w:t xml:space="preserve">écran de recherche PLUTO avant la fin du mois de </w:t>
      </w:r>
      <w:r w:rsidR="006F2923" w:rsidRPr="00D93B24">
        <w:rPr>
          <w:snapToGrid w:val="0"/>
          <w:lang w:eastAsia="ja-JP"/>
        </w:rPr>
        <w:t>mars 20</w:t>
      </w:r>
      <w:r w:rsidR="004500FF" w:rsidRPr="00D93B24">
        <w:rPr>
          <w:snapToGrid w:val="0"/>
          <w:lang w:eastAsia="ja-JP"/>
        </w:rPr>
        <w:t>15</w:t>
      </w:r>
      <w:r w:rsidR="004500FF" w:rsidRPr="00D93B24">
        <w:rPr>
          <w:rStyle w:val="FootnoteReference"/>
          <w:snapToGrid w:val="0"/>
          <w:lang w:eastAsia="ja-JP"/>
        </w:rPr>
        <w:footnoteReference w:id="12"/>
      </w:r>
      <w:r w:rsidR="004500FF" w:rsidRPr="00D93B24">
        <w:rPr>
          <w:snapToGrid w:val="0"/>
          <w:lang w:eastAsia="ja-JP"/>
        </w:rPr>
        <w:t>;  et</w:t>
      </w:r>
    </w:p>
    <w:p w:rsidR="004500FF" w:rsidRPr="00D93B24" w:rsidRDefault="004500FF" w:rsidP="00937773">
      <w:pPr>
        <w:rPr>
          <w:snapToGrid w:val="0"/>
          <w:lang w:eastAsia="ja-JP"/>
        </w:rPr>
      </w:pPr>
    </w:p>
    <w:p w:rsidR="004500FF" w:rsidRPr="00D93B24" w:rsidRDefault="00C0612F" w:rsidP="004500FF">
      <w:pPr>
        <w:pStyle w:val="ListParagraph"/>
        <w:numPr>
          <w:ilvl w:val="0"/>
          <w:numId w:val="13"/>
        </w:numPr>
        <w:rPr>
          <w:snapToGrid w:val="0"/>
          <w:lang w:eastAsia="ja-JP"/>
        </w:rPr>
      </w:pPr>
      <w:r w:rsidRPr="00D93B24">
        <w:rPr>
          <w:snapToGrid w:val="0"/>
          <w:lang w:eastAsia="ja-JP"/>
        </w:rPr>
        <w:t>a accepté</w:t>
      </w:r>
      <w:r w:rsidR="008B2A46" w:rsidRPr="00D93B24">
        <w:rPr>
          <w:snapToGrid w:val="0"/>
          <w:lang w:eastAsia="ja-JP"/>
        </w:rPr>
        <w:t xml:space="preserve"> que les champs </w:t>
      </w:r>
      <w:r w:rsidR="006546BF" w:rsidRPr="00D93B24">
        <w:rPr>
          <w:snapToGrid w:val="0"/>
          <w:lang w:eastAsia="ja-JP"/>
        </w:rPr>
        <w:t>“</w:t>
      </w:r>
      <w:r w:rsidR="004500FF" w:rsidRPr="00D93B24">
        <w:rPr>
          <w:snapToGrid w:val="0"/>
          <w:lang w:eastAsia="ja-JP"/>
        </w:rPr>
        <w:t>Dénomination</w:t>
      </w:r>
      <w:r w:rsidR="006546BF" w:rsidRPr="00D93B24">
        <w:rPr>
          <w:snapToGrid w:val="0"/>
          <w:lang w:eastAsia="ja-JP"/>
        </w:rPr>
        <w:t>”</w:t>
      </w:r>
      <w:r w:rsidR="004500FF" w:rsidRPr="00D93B24">
        <w:rPr>
          <w:snapToGrid w:val="0"/>
          <w:lang w:eastAsia="ja-JP"/>
        </w:rPr>
        <w:t xml:space="preserve"> et </w:t>
      </w:r>
      <w:r w:rsidR="006546BF" w:rsidRPr="00D93B24">
        <w:rPr>
          <w:snapToGrid w:val="0"/>
          <w:lang w:eastAsia="ja-JP"/>
        </w:rPr>
        <w:t>“</w:t>
      </w:r>
      <w:r w:rsidR="004500FF" w:rsidRPr="00D93B24">
        <w:rPr>
          <w:snapToGrid w:val="0"/>
          <w:lang w:eastAsia="ja-JP"/>
        </w:rPr>
        <w:t>Référence de l</w:t>
      </w:r>
      <w:r w:rsidR="006F2923" w:rsidRPr="00D93B24">
        <w:rPr>
          <w:snapToGrid w:val="0"/>
          <w:lang w:eastAsia="ja-JP"/>
        </w:rPr>
        <w:t>’</w:t>
      </w:r>
      <w:r w:rsidR="004500FF" w:rsidRPr="00D93B24">
        <w:rPr>
          <w:snapToGrid w:val="0"/>
          <w:lang w:eastAsia="ja-JP"/>
        </w:rPr>
        <w:t>obtenteur</w:t>
      </w:r>
      <w:r w:rsidR="006546BF" w:rsidRPr="00D93B24">
        <w:rPr>
          <w:snapToGrid w:val="0"/>
          <w:lang w:eastAsia="ja-JP"/>
        </w:rPr>
        <w:t>”</w:t>
      </w:r>
      <w:r w:rsidR="004500FF" w:rsidRPr="00D93B24">
        <w:rPr>
          <w:snapToGrid w:val="0"/>
          <w:lang w:eastAsia="ja-JP"/>
        </w:rPr>
        <w:t xml:space="preserve"> </w:t>
      </w:r>
      <w:r w:rsidRPr="00D93B24">
        <w:rPr>
          <w:snapToGrid w:val="0"/>
          <w:lang w:eastAsia="ja-JP"/>
        </w:rPr>
        <w:t>puissent</w:t>
      </w:r>
      <w:r w:rsidR="004500FF" w:rsidRPr="00D93B24">
        <w:rPr>
          <w:snapToGrid w:val="0"/>
          <w:lang w:eastAsia="ja-JP"/>
        </w:rPr>
        <w:t xml:space="preserve"> être consultés, de manière individuelle ou combinée, au moyen des outils de recherc</w:t>
      </w:r>
      <w:r w:rsidR="008B2A46" w:rsidRPr="00D93B24">
        <w:rPr>
          <w:snapToGrid w:val="0"/>
          <w:lang w:eastAsia="ja-JP"/>
        </w:rPr>
        <w:t xml:space="preserve">he de dénomination sur la page </w:t>
      </w:r>
      <w:r w:rsidR="006546BF" w:rsidRPr="00D93B24">
        <w:rPr>
          <w:snapToGrid w:val="0"/>
          <w:lang w:eastAsia="ja-JP"/>
        </w:rPr>
        <w:t>“</w:t>
      </w:r>
      <w:r w:rsidR="004500FF" w:rsidRPr="00D93B24">
        <w:rPr>
          <w:snapToGrid w:val="0"/>
          <w:lang w:eastAsia="ja-JP"/>
        </w:rPr>
        <w:t>Recherche de dénomination</w:t>
      </w:r>
      <w:r w:rsidR="006546BF" w:rsidRPr="00D93B24">
        <w:rPr>
          <w:snapToGrid w:val="0"/>
          <w:lang w:eastAsia="ja-JP"/>
        </w:rPr>
        <w:t>”</w:t>
      </w:r>
      <w:r w:rsidR="004500FF" w:rsidRPr="00D93B24">
        <w:rPr>
          <w:snapToGrid w:val="0"/>
          <w:lang w:eastAsia="ja-JP"/>
        </w:rPr>
        <w:t xml:space="preserve"> de la base de données PLUTO, comme indiqué aux paragraphes</w:t>
      </w:r>
      <w:r w:rsidR="006546BF" w:rsidRPr="00D93B24">
        <w:rPr>
          <w:snapToGrid w:val="0"/>
          <w:lang w:eastAsia="ja-JP"/>
        </w:rPr>
        <w:t> </w:t>
      </w:r>
      <w:r w:rsidR="004500FF" w:rsidRPr="00D93B24">
        <w:rPr>
          <w:snapToGrid w:val="0"/>
          <w:lang w:eastAsia="ja-JP"/>
        </w:rPr>
        <w:t>25 et 26 du document CAJ/71/5</w:t>
      </w:r>
      <w:r w:rsidR="004500FF" w:rsidRPr="00D93B24">
        <w:rPr>
          <w:rStyle w:val="FootnoteReference"/>
          <w:snapToGrid w:val="0"/>
          <w:lang w:eastAsia="ja-JP"/>
        </w:rPr>
        <w:footnoteReference w:id="13"/>
      </w:r>
      <w:r w:rsidR="004500FF" w:rsidRPr="00D93B24">
        <w:rPr>
          <w:snapToGrid w:val="0"/>
          <w:lang w:eastAsia="ja-JP"/>
        </w:rPr>
        <w:t>.</w:t>
      </w:r>
    </w:p>
    <w:p w:rsidR="004500FF" w:rsidRPr="00D93B24" w:rsidRDefault="004500FF" w:rsidP="0032753C">
      <w:pPr>
        <w:rPr>
          <w:snapToGrid w:val="0"/>
          <w:lang w:eastAsia="ja-JP"/>
        </w:rPr>
      </w:pPr>
    </w:p>
    <w:p w:rsidR="004500FF" w:rsidRPr="00D93B24" w:rsidRDefault="0032753C" w:rsidP="0032753C">
      <w:pPr>
        <w:rPr>
          <w:rFonts w:eastAsia="SimSun"/>
          <w:snapToGrid w:val="0"/>
          <w:lang w:eastAsia="ja-JP"/>
        </w:rPr>
      </w:pPr>
      <w:r w:rsidRPr="00D93B24">
        <w:rPr>
          <w:rFonts w:eastAsia="SimSun"/>
          <w:snapToGrid w:val="0"/>
          <w:lang w:eastAsia="ja-JP"/>
        </w:rPr>
        <w:fldChar w:fldCharType="begin"/>
      </w:r>
      <w:r w:rsidRPr="00D93B24">
        <w:rPr>
          <w:rFonts w:eastAsia="SimSun"/>
          <w:snapToGrid w:val="0"/>
          <w:lang w:eastAsia="ja-JP"/>
        </w:rPr>
        <w:instrText xml:space="preserve"> AUTONUM  </w:instrText>
      </w:r>
      <w:r w:rsidRPr="00D93B24">
        <w:rPr>
          <w:rFonts w:eastAsia="SimSun"/>
          <w:snapToGrid w:val="0"/>
          <w:lang w:eastAsia="ja-JP"/>
        </w:rPr>
        <w:fldChar w:fldCharType="end"/>
      </w:r>
      <w:r w:rsidRPr="00D93B24">
        <w:rPr>
          <w:rFonts w:eastAsia="SimSun"/>
          <w:snapToGrid w:val="0"/>
          <w:lang w:eastAsia="ja-JP"/>
        </w:rPr>
        <w:tab/>
      </w:r>
      <w:r w:rsidR="00086E9A" w:rsidRPr="00D93B24">
        <w:rPr>
          <w:snapToGrid w:val="0"/>
          <w:lang w:eastAsia="ja-JP"/>
        </w:rPr>
        <w:t>Une colonne supplémentaire sur l</w:t>
      </w:r>
      <w:r w:rsidR="006F2923" w:rsidRPr="00D93B24">
        <w:rPr>
          <w:snapToGrid w:val="0"/>
          <w:lang w:eastAsia="ja-JP"/>
        </w:rPr>
        <w:t>’</w:t>
      </w:r>
      <w:r w:rsidR="00086E9A" w:rsidRPr="00D93B24">
        <w:rPr>
          <w:snapToGrid w:val="0"/>
          <w:lang w:eastAsia="ja-JP"/>
        </w:rPr>
        <w:t>écran de recherche PLUTO</w:t>
      </w:r>
      <w:r w:rsidR="00086E9A" w:rsidRPr="00D93B24">
        <w:t>, indiquant la date à laquelle l</w:t>
      </w:r>
      <w:r w:rsidR="006F2923" w:rsidRPr="00D93B24">
        <w:t>’</w:t>
      </w:r>
      <w:r w:rsidR="00086E9A" w:rsidRPr="00D93B24">
        <w:t>information a été fournie, a été introduite</w:t>
      </w:r>
      <w:r w:rsidRPr="00D93B24">
        <w:t xml:space="preserve"> </w:t>
      </w:r>
      <w:r w:rsidR="00086E9A" w:rsidRPr="00D93B24">
        <w:rPr>
          <w:snapToGrid w:val="0"/>
          <w:lang w:eastAsia="ja-JP"/>
        </w:rPr>
        <w:t>sur l</w:t>
      </w:r>
      <w:r w:rsidR="006F2923" w:rsidRPr="00D93B24">
        <w:rPr>
          <w:snapToGrid w:val="0"/>
          <w:lang w:eastAsia="ja-JP"/>
        </w:rPr>
        <w:t>’</w:t>
      </w:r>
      <w:r w:rsidR="00086E9A" w:rsidRPr="00D93B24">
        <w:rPr>
          <w:snapToGrid w:val="0"/>
          <w:lang w:eastAsia="ja-JP"/>
        </w:rPr>
        <w:t>écran de recherche PLUTO</w:t>
      </w:r>
      <w:r w:rsidRPr="00D93B24">
        <w:rPr>
          <w:rFonts w:eastAsia="SimSun"/>
          <w:snapToGrid w:val="0"/>
          <w:lang w:eastAsia="ja-JP"/>
        </w:rPr>
        <w:t>.</w:t>
      </w:r>
    </w:p>
    <w:p w:rsidR="004500FF" w:rsidRPr="00D93B24" w:rsidRDefault="004500FF" w:rsidP="0032753C">
      <w:pPr>
        <w:rPr>
          <w:rFonts w:eastAsia="SimSun"/>
          <w:snapToGrid w:val="0"/>
          <w:lang w:eastAsia="ja-JP"/>
        </w:rPr>
      </w:pPr>
    </w:p>
    <w:p w:rsidR="00086E9A" w:rsidRPr="00D93B24" w:rsidRDefault="0032753C" w:rsidP="007C0D12">
      <w:r w:rsidRPr="00D93B24">
        <w:rPr>
          <w:rFonts w:eastAsia="SimSun"/>
          <w:snapToGrid w:val="0"/>
          <w:lang w:eastAsia="ja-JP"/>
        </w:rPr>
        <w:fldChar w:fldCharType="begin"/>
      </w:r>
      <w:r w:rsidRPr="00D93B24">
        <w:rPr>
          <w:rFonts w:eastAsia="SimSun"/>
          <w:snapToGrid w:val="0"/>
          <w:lang w:eastAsia="ja-JP"/>
        </w:rPr>
        <w:instrText xml:space="preserve"> AUTONUM  </w:instrText>
      </w:r>
      <w:r w:rsidRPr="00D93B24">
        <w:rPr>
          <w:rFonts w:eastAsia="SimSun"/>
          <w:snapToGrid w:val="0"/>
          <w:lang w:eastAsia="ja-JP"/>
        </w:rPr>
        <w:fldChar w:fldCharType="end"/>
      </w:r>
      <w:r w:rsidR="00DA327B" w:rsidRPr="00D93B24">
        <w:rPr>
          <w:rFonts w:eastAsia="SimSun"/>
          <w:snapToGrid w:val="0"/>
          <w:lang w:eastAsia="ja-JP"/>
        </w:rPr>
        <w:tab/>
      </w:r>
      <w:r w:rsidR="00086E9A" w:rsidRPr="00D93B24">
        <w:rPr>
          <w:rFonts w:eastAsia="SimSun"/>
          <w:snapToGrid w:val="0"/>
          <w:lang w:eastAsia="ja-JP"/>
        </w:rPr>
        <w:t xml:space="preserve">Une nouvelle fonction a été introduite pour pouvoir faire une recherche à la fois dans les champs </w:t>
      </w:r>
      <w:r w:rsidR="006546BF" w:rsidRPr="00D93B24">
        <w:rPr>
          <w:rFonts w:eastAsia="SimSun"/>
          <w:snapToGrid w:val="0"/>
          <w:lang w:eastAsia="ja-JP"/>
        </w:rPr>
        <w:t>“</w:t>
      </w:r>
      <w:r w:rsidR="00086E9A" w:rsidRPr="00D93B24">
        <w:rPr>
          <w:rFonts w:eastAsia="SimSun"/>
          <w:snapToGrid w:val="0"/>
          <w:lang w:eastAsia="ja-JP"/>
        </w:rPr>
        <w:t>Dénomination</w:t>
      </w:r>
      <w:r w:rsidR="006546BF" w:rsidRPr="00D93B24">
        <w:rPr>
          <w:rFonts w:eastAsia="SimSun"/>
          <w:snapToGrid w:val="0"/>
          <w:lang w:eastAsia="ja-JP"/>
        </w:rPr>
        <w:t>”</w:t>
      </w:r>
      <w:r w:rsidR="00086E9A" w:rsidRPr="00D93B24">
        <w:rPr>
          <w:rFonts w:eastAsia="SimSun"/>
          <w:snapToGrid w:val="0"/>
          <w:lang w:eastAsia="ja-JP"/>
        </w:rPr>
        <w:t xml:space="preserve"> et </w:t>
      </w:r>
      <w:r w:rsidR="006546BF" w:rsidRPr="00D93B24">
        <w:rPr>
          <w:rFonts w:eastAsia="SimSun"/>
          <w:snapToGrid w:val="0"/>
          <w:lang w:eastAsia="ja-JP"/>
        </w:rPr>
        <w:t>“</w:t>
      </w:r>
      <w:r w:rsidR="00086E9A" w:rsidRPr="00D93B24">
        <w:rPr>
          <w:rFonts w:eastAsia="SimSun"/>
          <w:snapToGrid w:val="0"/>
          <w:lang w:eastAsia="ja-JP"/>
        </w:rPr>
        <w:t>Référence de l</w:t>
      </w:r>
      <w:r w:rsidR="006F2923" w:rsidRPr="00D93B24">
        <w:rPr>
          <w:rFonts w:eastAsia="SimSun"/>
          <w:snapToGrid w:val="0"/>
          <w:lang w:eastAsia="ja-JP"/>
        </w:rPr>
        <w:t>’</w:t>
      </w:r>
      <w:r w:rsidR="00086E9A" w:rsidRPr="00D93B24">
        <w:rPr>
          <w:rFonts w:eastAsia="SimSun"/>
          <w:snapToGrid w:val="0"/>
          <w:lang w:eastAsia="ja-JP"/>
        </w:rPr>
        <w:t>obtenteur</w:t>
      </w:r>
      <w:r w:rsidR="006546BF" w:rsidRPr="00D93B24">
        <w:rPr>
          <w:rFonts w:eastAsia="SimSun"/>
          <w:snapToGrid w:val="0"/>
          <w:lang w:eastAsia="ja-JP"/>
        </w:rPr>
        <w:t>”</w:t>
      </w:r>
      <w:r w:rsidR="00086E9A" w:rsidRPr="00D93B24">
        <w:t xml:space="preserve">, de manière individuelle ou combinée, au moyen des outils de recherche de dénomination sur la page </w:t>
      </w:r>
      <w:r w:rsidR="006546BF" w:rsidRPr="00D93B24">
        <w:t>“</w:t>
      </w:r>
      <w:r w:rsidR="00086E9A" w:rsidRPr="00D93B24">
        <w:t>Recherche de dénomination</w:t>
      </w:r>
      <w:r w:rsidR="006546BF" w:rsidRPr="00D93B24">
        <w:t>”</w:t>
      </w:r>
      <w:r w:rsidR="00086E9A" w:rsidRPr="00D93B24">
        <w:t xml:space="preserve"> de la base de données PLUTO.</w:t>
      </w:r>
    </w:p>
    <w:p w:rsidR="004500FF" w:rsidRPr="00D93B24" w:rsidRDefault="004500FF" w:rsidP="007C0D12">
      <w:pPr>
        <w:rPr>
          <w:u w:val="single"/>
        </w:rPr>
      </w:pPr>
    </w:p>
    <w:p w:rsidR="004500FF" w:rsidRPr="00D93B24" w:rsidRDefault="004500FF" w:rsidP="007C0D12">
      <w:pPr>
        <w:rPr>
          <w:u w:val="single"/>
        </w:rPr>
      </w:pPr>
    </w:p>
    <w:p w:rsidR="004500FF" w:rsidRPr="00D93B24" w:rsidRDefault="00086E9A" w:rsidP="00923D12">
      <w:pPr>
        <w:pStyle w:val="Heading2"/>
        <w:rPr>
          <w:lang w:val="fr-FR"/>
        </w:rPr>
      </w:pPr>
      <w:bookmarkStart w:id="12" w:name="_Toc432494348"/>
      <w:r w:rsidRPr="00D93B24">
        <w:rPr>
          <w:lang w:val="fr-FR"/>
        </w:rPr>
        <w:t>Cours de formation</w:t>
      </w:r>
      <w:r w:rsidR="007C0D12" w:rsidRPr="00D93B24">
        <w:rPr>
          <w:lang w:val="fr-FR"/>
        </w:rPr>
        <w:t xml:space="preserve"> </w:t>
      </w:r>
      <w:r w:rsidRPr="00D93B24">
        <w:rPr>
          <w:lang w:val="fr-FR"/>
        </w:rPr>
        <w:t xml:space="preserve">sur les </w:t>
      </w:r>
      <w:r w:rsidR="007C0D12" w:rsidRPr="00D93B24">
        <w:rPr>
          <w:lang w:val="fr-FR"/>
        </w:rPr>
        <w:t xml:space="preserve">contributions </w:t>
      </w:r>
      <w:r w:rsidRPr="00D93B24">
        <w:rPr>
          <w:lang w:val="fr-FR"/>
        </w:rPr>
        <w:t>à la base de données</w:t>
      </w:r>
      <w:r w:rsidR="007C0D12" w:rsidRPr="00D93B24">
        <w:rPr>
          <w:lang w:val="fr-FR"/>
        </w:rPr>
        <w:t xml:space="preserve"> PLUTO</w:t>
      </w:r>
      <w:bookmarkEnd w:id="12"/>
    </w:p>
    <w:p w:rsidR="004500FF" w:rsidRPr="00D93B24" w:rsidRDefault="004500FF" w:rsidP="0032753C">
      <w:pPr>
        <w:rPr>
          <w:snapToGrid w:val="0"/>
          <w:lang w:eastAsia="ja-JP"/>
        </w:rPr>
      </w:pPr>
    </w:p>
    <w:p w:rsidR="006F2923" w:rsidRPr="00D93B24" w:rsidRDefault="00923D12" w:rsidP="00086E9A">
      <w:pPr>
        <w:rPr>
          <w:rFonts w:cs="Arial"/>
          <w:sz w:val="19"/>
          <w:szCs w:val="19"/>
        </w:rPr>
      </w:pPr>
      <w:r w:rsidRPr="00D93B24">
        <w:rPr>
          <w:rFonts w:eastAsia="SimSun"/>
          <w:snapToGrid w:val="0"/>
          <w:lang w:eastAsia="ja-JP"/>
        </w:rPr>
        <w:fldChar w:fldCharType="begin"/>
      </w:r>
      <w:r w:rsidRPr="00D93B24">
        <w:rPr>
          <w:rFonts w:eastAsia="SimSun"/>
          <w:snapToGrid w:val="0"/>
          <w:lang w:eastAsia="ja-JP"/>
        </w:rPr>
        <w:instrText xml:space="preserve"> AUTONUM  </w:instrText>
      </w:r>
      <w:r w:rsidRPr="00D93B24">
        <w:rPr>
          <w:rFonts w:eastAsia="SimSun"/>
          <w:snapToGrid w:val="0"/>
          <w:lang w:eastAsia="ja-JP"/>
        </w:rPr>
        <w:fldChar w:fldCharType="end"/>
      </w:r>
      <w:r w:rsidRPr="00D93B24">
        <w:rPr>
          <w:rFonts w:eastAsia="SimSun"/>
          <w:snapToGrid w:val="0"/>
          <w:lang w:eastAsia="ja-JP"/>
        </w:rPr>
        <w:tab/>
      </w:r>
      <w:r w:rsidR="00086E9A" w:rsidRPr="00D93B24">
        <w:rPr>
          <w:snapToGrid w:val="0"/>
          <w:lang w:eastAsia="ja-JP"/>
        </w:rPr>
        <w:t>Le deuxième cours de formation intitulé</w:t>
      </w:r>
      <w:r w:rsidR="00086E9A" w:rsidRPr="00D93B24">
        <w:rPr>
          <w:rFonts w:eastAsia="SimSun"/>
          <w:snapToGrid w:val="0"/>
          <w:lang w:eastAsia="ja-JP"/>
        </w:rPr>
        <w:t xml:space="preserve"> </w:t>
      </w:r>
      <w:r w:rsidR="006546BF" w:rsidRPr="00D93B24">
        <w:rPr>
          <w:rFonts w:eastAsia="SimSun"/>
          <w:snapToGrid w:val="0"/>
          <w:lang w:eastAsia="ja-JP"/>
        </w:rPr>
        <w:t>“</w:t>
      </w:r>
      <w:r w:rsidR="00086E9A" w:rsidRPr="00D93B24">
        <w:rPr>
          <w:rFonts w:eastAsia="SimSun"/>
          <w:snapToGrid w:val="0"/>
          <w:lang w:eastAsia="ja-JP"/>
        </w:rPr>
        <w:t>Contribution à la base de données</w:t>
      </w:r>
      <w:r w:rsidRPr="00D93B24">
        <w:rPr>
          <w:rFonts w:eastAsia="SimSun"/>
          <w:snapToGrid w:val="0"/>
          <w:lang w:eastAsia="ja-JP"/>
        </w:rPr>
        <w:t xml:space="preserve"> PLUTO</w:t>
      </w:r>
      <w:r w:rsidR="006546BF" w:rsidRPr="00D93B24">
        <w:rPr>
          <w:rFonts w:eastAsia="SimSun"/>
          <w:snapToGrid w:val="0"/>
          <w:lang w:eastAsia="ja-JP"/>
        </w:rPr>
        <w:t>”</w:t>
      </w:r>
      <w:r w:rsidR="00086E9A" w:rsidRPr="00D93B24">
        <w:rPr>
          <w:rFonts w:eastAsia="SimSun"/>
          <w:snapToGrid w:val="0"/>
          <w:lang w:eastAsia="ja-JP"/>
        </w:rPr>
        <w:t>, dispensé en langue anglaise, s</w:t>
      </w:r>
      <w:r w:rsidR="006F2923" w:rsidRPr="00D93B24">
        <w:rPr>
          <w:rFonts w:eastAsia="SimSun"/>
          <w:snapToGrid w:val="0"/>
          <w:lang w:eastAsia="ja-JP"/>
        </w:rPr>
        <w:t>’</w:t>
      </w:r>
      <w:r w:rsidR="00086E9A" w:rsidRPr="00D93B24">
        <w:rPr>
          <w:rFonts w:eastAsia="SimSun"/>
          <w:snapToGrid w:val="0"/>
          <w:lang w:eastAsia="ja-JP"/>
        </w:rPr>
        <w:t xml:space="preserve">est déroulé à Genève du 7 au </w:t>
      </w:r>
      <w:r w:rsidR="006F2923" w:rsidRPr="00D93B24">
        <w:rPr>
          <w:rFonts w:eastAsia="SimSun"/>
          <w:snapToGrid w:val="0"/>
          <w:lang w:eastAsia="ja-JP"/>
        </w:rPr>
        <w:t>9 septembre 20</w:t>
      </w:r>
      <w:r w:rsidR="00086E9A" w:rsidRPr="00D93B24">
        <w:rPr>
          <w:rFonts w:eastAsia="SimSun"/>
          <w:snapToGrid w:val="0"/>
          <w:lang w:eastAsia="ja-JP"/>
        </w:rPr>
        <w:t>15.</w:t>
      </w:r>
      <w:r w:rsidR="00BA3C72" w:rsidRPr="00D93B24">
        <w:rPr>
          <w:rFonts w:eastAsia="SimSun"/>
          <w:snapToGrid w:val="0"/>
          <w:lang w:eastAsia="ja-JP"/>
        </w:rPr>
        <w:t xml:space="preserve"> </w:t>
      </w:r>
      <w:r w:rsidRPr="00D93B24">
        <w:rPr>
          <w:snapToGrid w:val="0"/>
          <w:lang w:eastAsia="ja-JP"/>
        </w:rPr>
        <w:t xml:space="preserve"> </w:t>
      </w:r>
      <w:r w:rsidR="004500FF" w:rsidRPr="00D93B24">
        <w:rPr>
          <w:snapToGrid w:val="0"/>
          <w:lang w:eastAsia="ja-JP"/>
        </w:rPr>
        <w:t>L</w:t>
      </w:r>
      <w:r w:rsidR="006F2923" w:rsidRPr="00D93B24">
        <w:rPr>
          <w:snapToGrid w:val="0"/>
          <w:lang w:eastAsia="ja-JP"/>
        </w:rPr>
        <w:t>’</w:t>
      </w:r>
      <w:r w:rsidR="004500FF" w:rsidRPr="00D93B24">
        <w:rPr>
          <w:snapToGrid w:val="0"/>
          <w:lang w:eastAsia="ja-JP"/>
        </w:rPr>
        <w:t>objectif était de fournir une assistance aux membres de l</w:t>
      </w:r>
      <w:r w:rsidR="006F2923" w:rsidRPr="00D93B24">
        <w:rPr>
          <w:snapToGrid w:val="0"/>
          <w:lang w:eastAsia="ja-JP"/>
        </w:rPr>
        <w:t>’</w:t>
      </w:r>
      <w:r w:rsidR="004500FF" w:rsidRPr="00D93B24">
        <w:rPr>
          <w:snapToGrid w:val="0"/>
          <w:lang w:eastAsia="ja-JP"/>
        </w:rPr>
        <w:t>Union qui n</w:t>
      </w:r>
      <w:r w:rsidR="006F2923" w:rsidRPr="00D93B24">
        <w:rPr>
          <w:snapToGrid w:val="0"/>
          <w:lang w:eastAsia="ja-JP"/>
        </w:rPr>
        <w:t>’</w:t>
      </w:r>
      <w:r w:rsidR="004500FF" w:rsidRPr="00D93B24">
        <w:rPr>
          <w:snapToGrid w:val="0"/>
          <w:lang w:eastAsia="ja-JP"/>
        </w:rPr>
        <w:t>apportaient pas de données à la base de données PLUTO, ou pas régulièrement, afin de leur permettre de le faire de manière régulière.</w:t>
      </w:r>
    </w:p>
    <w:p w:rsidR="004500FF" w:rsidRPr="00D93B24" w:rsidRDefault="004500FF" w:rsidP="00923D12">
      <w:pPr>
        <w:rPr>
          <w:snapToGrid w:val="0"/>
          <w:lang w:eastAsia="ja-JP"/>
        </w:rPr>
      </w:pPr>
    </w:p>
    <w:p w:rsidR="004500FF" w:rsidRPr="00D93B24" w:rsidRDefault="00923D12" w:rsidP="00923D12">
      <w:pPr>
        <w:rPr>
          <w:rFonts w:cs="Arial"/>
          <w:sz w:val="19"/>
          <w:szCs w:val="19"/>
          <w:lang w:eastAsia="ja-JP"/>
        </w:rPr>
      </w:pPr>
      <w:r w:rsidRPr="00D93B24">
        <w:rPr>
          <w:rFonts w:eastAsia="SimSun"/>
          <w:snapToGrid w:val="0"/>
          <w:lang w:eastAsia="ja-JP"/>
        </w:rPr>
        <w:fldChar w:fldCharType="begin"/>
      </w:r>
      <w:r w:rsidRPr="00D93B24">
        <w:rPr>
          <w:rFonts w:eastAsia="SimSun"/>
          <w:snapToGrid w:val="0"/>
          <w:lang w:eastAsia="ja-JP"/>
        </w:rPr>
        <w:instrText xml:space="preserve"> AUTONUM  </w:instrText>
      </w:r>
      <w:r w:rsidRPr="00D93B24">
        <w:rPr>
          <w:rFonts w:eastAsia="SimSun"/>
          <w:snapToGrid w:val="0"/>
          <w:lang w:eastAsia="ja-JP"/>
        </w:rPr>
        <w:fldChar w:fldCharType="end"/>
      </w:r>
      <w:r w:rsidRPr="00D93B24">
        <w:rPr>
          <w:rFonts w:eastAsia="SimSun"/>
          <w:snapToGrid w:val="0"/>
          <w:lang w:eastAsia="ja-JP"/>
        </w:rPr>
        <w:tab/>
      </w:r>
      <w:r w:rsidR="00086E9A" w:rsidRPr="00D93B24">
        <w:rPr>
          <w:rFonts w:eastAsia="SimSun"/>
          <w:snapToGrid w:val="0"/>
          <w:lang w:eastAsia="ja-JP"/>
        </w:rPr>
        <w:t xml:space="preserve">Le cours de formation a été suivi </w:t>
      </w:r>
      <w:r w:rsidR="00086E9A" w:rsidRPr="00D93B24">
        <w:t xml:space="preserve">par les </w:t>
      </w:r>
      <w:r w:rsidRPr="00D93B24">
        <w:t xml:space="preserve">participants </w:t>
      </w:r>
      <w:r w:rsidR="00086E9A" w:rsidRPr="00D93B24">
        <w:t>de</w:t>
      </w:r>
      <w:r w:rsidR="00E177E5" w:rsidRPr="00D93B24">
        <w:t>s</w:t>
      </w:r>
      <w:r w:rsidR="00086E9A" w:rsidRPr="00D93B24">
        <w:t xml:space="preserve"> trois</w:t>
      </w:r>
      <w:r w:rsidR="006546BF" w:rsidRPr="00D93B24">
        <w:t> </w:t>
      </w:r>
      <w:r w:rsidR="00086E9A" w:rsidRPr="00D93B24">
        <w:t xml:space="preserve">membres </w:t>
      </w:r>
      <w:r w:rsidR="00E177E5" w:rsidRPr="00D93B24">
        <w:t xml:space="preserve">suivants </w:t>
      </w:r>
      <w:r w:rsidR="00086E9A" w:rsidRPr="00D93B24">
        <w:t>de l</w:t>
      </w:r>
      <w:r w:rsidR="006F2923" w:rsidRPr="00D93B24">
        <w:t>’</w:t>
      </w:r>
      <w:r w:rsidRPr="00D93B24">
        <w:t>Union</w:t>
      </w:r>
      <w:r w:rsidR="006546BF" w:rsidRPr="00D93B24">
        <w:t> </w:t>
      </w:r>
      <w:r w:rsidRPr="00D93B24">
        <w:t xml:space="preserve">: </w:t>
      </w:r>
      <w:r w:rsidR="008C12CB" w:rsidRPr="00D93B24">
        <w:t>Oman</w:t>
      </w:r>
      <w:r w:rsidR="00086E9A" w:rsidRPr="00D93B24">
        <w:t>,</w:t>
      </w:r>
      <w:r w:rsidR="008C12CB" w:rsidRPr="00D93B24">
        <w:t xml:space="preserve"> </w:t>
      </w:r>
      <w:r w:rsidR="00086E9A" w:rsidRPr="00D93B24">
        <w:t>Afrique du Sud</w:t>
      </w:r>
      <w:r w:rsidR="008C12CB" w:rsidRPr="00D93B24">
        <w:t xml:space="preserve"> </w:t>
      </w:r>
      <w:r w:rsidR="00086E9A" w:rsidRPr="00D93B24">
        <w:t>et ex</w:t>
      </w:r>
      <w:r w:rsidR="00C52279" w:rsidRPr="00D93B24">
        <w:noBreakHyphen/>
      </w:r>
      <w:r w:rsidR="00086E9A" w:rsidRPr="00D93B24">
        <w:t>République yougoslave de Macédoine</w:t>
      </w:r>
      <w:r w:rsidRPr="00D93B24">
        <w:rPr>
          <w:rFonts w:cs="Arial"/>
          <w:sz w:val="19"/>
          <w:szCs w:val="19"/>
          <w:lang w:eastAsia="ja-JP"/>
        </w:rPr>
        <w:t>.</w:t>
      </w:r>
    </w:p>
    <w:p w:rsidR="004500FF" w:rsidRPr="00D93B24" w:rsidRDefault="004500FF" w:rsidP="00923D12">
      <w:pPr>
        <w:autoSpaceDE w:val="0"/>
        <w:autoSpaceDN w:val="0"/>
        <w:adjustRightInd w:val="0"/>
        <w:jc w:val="left"/>
        <w:rPr>
          <w:rFonts w:cs="Arial"/>
          <w:sz w:val="19"/>
          <w:szCs w:val="19"/>
          <w:lang w:eastAsia="ja-JP"/>
        </w:rPr>
      </w:pPr>
    </w:p>
    <w:p w:rsidR="00086E9A" w:rsidRPr="00D93B24" w:rsidRDefault="00923D12" w:rsidP="000B178E">
      <w:pPr>
        <w:autoSpaceDE w:val="0"/>
        <w:autoSpaceDN w:val="0"/>
        <w:adjustRightInd w:val="0"/>
        <w:rPr>
          <w:snapToGrid w:val="0"/>
          <w:lang w:eastAsia="ja-JP"/>
        </w:rPr>
      </w:pPr>
      <w:r w:rsidRPr="00D93B24">
        <w:rPr>
          <w:rFonts w:eastAsia="SimSun"/>
          <w:snapToGrid w:val="0"/>
          <w:lang w:eastAsia="ja-JP"/>
        </w:rPr>
        <w:lastRenderedPageBreak/>
        <w:fldChar w:fldCharType="begin"/>
      </w:r>
      <w:r w:rsidRPr="00D93B24">
        <w:rPr>
          <w:rFonts w:eastAsia="SimSun"/>
          <w:snapToGrid w:val="0"/>
          <w:lang w:eastAsia="ja-JP"/>
        </w:rPr>
        <w:instrText xml:space="preserve"> AUTONUM  </w:instrText>
      </w:r>
      <w:r w:rsidRPr="00D93B24">
        <w:rPr>
          <w:rFonts w:eastAsia="SimSun"/>
          <w:snapToGrid w:val="0"/>
          <w:lang w:eastAsia="ja-JP"/>
        </w:rPr>
        <w:fldChar w:fldCharType="end"/>
      </w:r>
      <w:r w:rsidRPr="00D93B24">
        <w:rPr>
          <w:rFonts w:eastAsia="SimSun"/>
          <w:snapToGrid w:val="0"/>
          <w:lang w:eastAsia="ja-JP"/>
        </w:rPr>
        <w:tab/>
      </w:r>
      <w:r w:rsidR="00086E9A" w:rsidRPr="00D93B24">
        <w:rPr>
          <w:snapToGrid w:val="0"/>
          <w:lang w:eastAsia="ja-JP"/>
        </w:rPr>
        <w:t>L</w:t>
      </w:r>
      <w:r w:rsidRPr="00D93B24">
        <w:rPr>
          <w:snapToGrid w:val="0"/>
          <w:lang w:eastAsia="ja-JP"/>
        </w:rPr>
        <w:t xml:space="preserve">e participant </w:t>
      </w:r>
      <w:r w:rsidR="00086E9A" w:rsidRPr="00D93B24">
        <w:rPr>
          <w:snapToGrid w:val="0"/>
          <w:lang w:eastAsia="ja-JP"/>
        </w:rPr>
        <w:t>d</w:t>
      </w:r>
      <w:r w:rsidR="006F2923" w:rsidRPr="00D93B24">
        <w:rPr>
          <w:snapToGrid w:val="0"/>
          <w:lang w:eastAsia="ja-JP"/>
        </w:rPr>
        <w:t>’</w:t>
      </w:r>
      <w:r w:rsidR="00086E9A" w:rsidRPr="00D93B24">
        <w:rPr>
          <w:snapToGrid w:val="0"/>
          <w:lang w:eastAsia="ja-JP"/>
        </w:rPr>
        <w:t>Afrique du Sud a indiqué qu</w:t>
      </w:r>
      <w:r w:rsidR="006F2923" w:rsidRPr="00D93B24">
        <w:rPr>
          <w:snapToGrid w:val="0"/>
          <w:lang w:eastAsia="ja-JP"/>
        </w:rPr>
        <w:t>’</w:t>
      </w:r>
      <w:r w:rsidR="00086E9A" w:rsidRPr="00D93B24">
        <w:rPr>
          <w:snapToGrid w:val="0"/>
          <w:lang w:eastAsia="ja-JP"/>
        </w:rPr>
        <w:t xml:space="preserve">il fournirait des données à PLUTO </w:t>
      </w:r>
      <w:r w:rsidR="00C0612F" w:rsidRPr="00D93B24">
        <w:rPr>
          <w:snapToGrid w:val="0"/>
          <w:lang w:eastAsia="ja-JP"/>
        </w:rPr>
        <w:t>quatre</w:t>
      </w:r>
      <w:r w:rsidR="006546BF" w:rsidRPr="00D93B24">
        <w:rPr>
          <w:snapToGrid w:val="0"/>
          <w:lang w:eastAsia="ja-JP"/>
        </w:rPr>
        <w:t> </w:t>
      </w:r>
      <w:r w:rsidR="00C0612F" w:rsidRPr="00D93B24">
        <w:rPr>
          <w:snapToGrid w:val="0"/>
          <w:lang w:eastAsia="ja-JP"/>
        </w:rPr>
        <w:t xml:space="preserve">fois par an après leur publication, </w:t>
      </w:r>
      <w:r w:rsidR="00086E9A" w:rsidRPr="00D93B24">
        <w:rPr>
          <w:snapToGrid w:val="0"/>
          <w:lang w:eastAsia="ja-JP"/>
        </w:rPr>
        <w:t xml:space="preserve">à partir de </w:t>
      </w:r>
      <w:r w:rsidR="006F2923" w:rsidRPr="00D93B24">
        <w:rPr>
          <w:snapToGrid w:val="0"/>
          <w:lang w:eastAsia="ja-JP"/>
        </w:rPr>
        <w:t>décembre 20</w:t>
      </w:r>
      <w:r w:rsidR="00C0612F" w:rsidRPr="00D93B24">
        <w:rPr>
          <w:snapToGrid w:val="0"/>
          <w:lang w:eastAsia="ja-JP"/>
        </w:rPr>
        <w:t>15.</w:t>
      </w:r>
    </w:p>
    <w:p w:rsidR="004500FF" w:rsidRPr="00D93B24" w:rsidRDefault="004500FF" w:rsidP="00923D12">
      <w:pPr>
        <w:autoSpaceDE w:val="0"/>
        <w:autoSpaceDN w:val="0"/>
        <w:adjustRightInd w:val="0"/>
        <w:jc w:val="left"/>
        <w:rPr>
          <w:rFonts w:cs="Arial"/>
          <w:sz w:val="19"/>
          <w:szCs w:val="19"/>
          <w:lang w:eastAsia="ja-JP"/>
        </w:rPr>
      </w:pPr>
    </w:p>
    <w:p w:rsidR="00C0612F" w:rsidRPr="00D93B24" w:rsidRDefault="000B178E" w:rsidP="000B178E">
      <w:pPr>
        <w:autoSpaceDE w:val="0"/>
        <w:autoSpaceDN w:val="0"/>
        <w:adjustRightInd w:val="0"/>
      </w:pPr>
      <w:r w:rsidRPr="00D93B24">
        <w:rPr>
          <w:rFonts w:eastAsia="SimSun"/>
          <w:snapToGrid w:val="0"/>
          <w:lang w:eastAsia="ja-JP"/>
        </w:rPr>
        <w:fldChar w:fldCharType="begin"/>
      </w:r>
      <w:r w:rsidRPr="00D93B24">
        <w:rPr>
          <w:rFonts w:eastAsia="SimSun"/>
          <w:snapToGrid w:val="0"/>
          <w:lang w:eastAsia="ja-JP"/>
        </w:rPr>
        <w:instrText xml:space="preserve"> AUTONUM  </w:instrText>
      </w:r>
      <w:r w:rsidRPr="00D93B24">
        <w:rPr>
          <w:rFonts w:eastAsia="SimSun"/>
          <w:snapToGrid w:val="0"/>
          <w:lang w:eastAsia="ja-JP"/>
        </w:rPr>
        <w:fldChar w:fldCharType="end"/>
      </w:r>
      <w:r w:rsidRPr="00D93B24">
        <w:rPr>
          <w:rFonts w:eastAsia="SimSun"/>
          <w:snapToGrid w:val="0"/>
          <w:lang w:eastAsia="ja-JP"/>
        </w:rPr>
        <w:tab/>
      </w:r>
      <w:r w:rsidR="00C0612F" w:rsidRPr="00D93B24">
        <w:rPr>
          <w:snapToGrid w:val="0"/>
          <w:lang w:eastAsia="ja-JP"/>
        </w:rPr>
        <w:t>Les</w:t>
      </w:r>
      <w:r w:rsidRPr="00D93B24">
        <w:rPr>
          <w:snapToGrid w:val="0"/>
          <w:lang w:eastAsia="ja-JP"/>
        </w:rPr>
        <w:t xml:space="preserve"> participants </w:t>
      </w:r>
      <w:r w:rsidR="00C0612F" w:rsidRPr="00D93B24">
        <w:rPr>
          <w:snapToGrid w:val="0"/>
          <w:lang w:eastAsia="ja-JP"/>
        </w:rPr>
        <w:t>d</w:t>
      </w:r>
      <w:r w:rsidR="006F2923" w:rsidRPr="00D93B24">
        <w:rPr>
          <w:snapToGrid w:val="0"/>
          <w:lang w:eastAsia="ja-JP"/>
        </w:rPr>
        <w:t>’</w:t>
      </w:r>
      <w:r w:rsidRPr="00D93B24">
        <w:rPr>
          <w:snapToGrid w:val="0"/>
          <w:lang w:eastAsia="ja-JP"/>
        </w:rPr>
        <w:t xml:space="preserve">Oman </w:t>
      </w:r>
      <w:r w:rsidR="00E177E5" w:rsidRPr="00D93B24">
        <w:rPr>
          <w:snapToGrid w:val="0"/>
          <w:lang w:eastAsia="ja-JP"/>
        </w:rPr>
        <w:t>et</w:t>
      </w:r>
      <w:r w:rsidR="00C0612F" w:rsidRPr="00D93B24">
        <w:rPr>
          <w:snapToGrid w:val="0"/>
          <w:lang w:eastAsia="ja-JP"/>
        </w:rPr>
        <w:t xml:space="preserve"> de l</w:t>
      </w:r>
      <w:r w:rsidR="006F2923" w:rsidRPr="00D93B24">
        <w:rPr>
          <w:snapToGrid w:val="0"/>
          <w:lang w:eastAsia="ja-JP"/>
        </w:rPr>
        <w:t>’</w:t>
      </w:r>
      <w:r w:rsidR="00C0612F" w:rsidRPr="00D93B24">
        <w:t>ex</w:t>
      </w:r>
      <w:r w:rsidR="00C52279" w:rsidRPr="00D93B24">
        <w:noBreakHyphen/>
      </w:r>
      <w:r w:rsidR="00C0612F" w:rsidRPr="00D93B24">
        <w:t>République yougoslave de Macédoine ont indiqué qu</w:t>
      </w:r>
      <w:r w:rsidR="006F2923" w:rsidRPr="00D93B24">
        <w:t>’</w:t>
      </w:r>
      <w:r w:rsidR="00C0612F" w:rsidRPr="00D93B24">
        <w:t>ils n</w:t>
      </w:r>
      <w:r w:rsidR="006F2923" w:rsidRPr="00D93B24">
        <w:t>’</w:t>
      </w:r>
      <w:r w:rsidR="00C0612F" w:rsidRPr="00D93B24">
        <w:t>avaient pas reçu de demande et ont exprimé leur intention de fournir des données à PLUTO dès réception de demandes.</w:t>
      </w:r>
    </w:p>
    <w:p w:rsidR="004500FF" w:rsidRPr="00D93B24" w:rsidRDefault="004500FF" w:rsidP="00923D12">
      <w:pPr>
        <w:autoSpaceDE w:val="0"/>
        <w:autoSpaceDN w:val="0"/>
        <w:adjustRightInd w:val="0"/>
        <w:jc w:val="left"/>
        <w:rPr>
          <w:rFonts w:cs="Arial"/>
          <w:sz w:val="19"/>
          <w:szCs w:val="19"/>
          <w:lang w:eastAsia="ja-JP"/>
        </w:rPr>
      </w:pPr>
    </w:p>
    <w:p w:rsidR="00C0612F" w:rsidRPr="00D93B24" w:rsidRDefault="0032753C" w:rsidP="0032753C">
      <w:r w:rsidRPr="00D93B24">
        <w:rPr>
          <w:rFonts w:eastAsia="SimSun"/>
          <w:snapToGrid w:val="0"/>
          <w:lang w:eastAsia="ja-JP"/>
        </w:rPr>
        <w:fldChar w:fldCharType="begin"/>
      </w:r>
      <w:r w:rsidRPr="00D93B24">
        <w:rPr>
          <w:rFonts w:eastAsia="SimSun"/>
          <w:snapToGrid w:val="0"/>
          <w:lang w:eastAsia="ja-JP"/>
        </w:rPr>
        <w:instrText xml:space="preserve"> AUTONUM  </w:instrText>
      </w:r>
      <w:r w:rsidRPr="00D93B24">
        <w:rPr>
          <w:rFonts w:eastAsia="SimSun"/>
          <w:snapToGrid w:val="0"/>
          <w:lang w:eastAsia="ja-JP"/>
        </w:rPr>
        <w:fldChar w:fldCharType="end"/>
      </w:r>
      <w:r w:rsidRPr="00D93B24">
        <w:rPr>
          <w:rFonts w:eastAsia="SimSun"/>
          <w:snapToGrid w:val="0"/>
          <w:lang w:eastAsia="ja-JP"/>
        </w:rPr>
        <w:tab/>
      </w:r>
      <w:r w:rsidR="00C0612F" w:rsidRPr="00D93B24">
        <w:rPr>
          <w:snapToGrid w:val="0"/>
          <w:lang w:eastAsia="ja-JP"/>
        </w:rPr>
        <w:t xml:space="preserve">Le troisième cours de formation </w:t>
      </w:r>
      <w:r w:rsidR="00C0612F" w:rsidRPr="00D93B24">
        <w:t>sur les contributions à la base de données PLUTO devrait se tenir à Genève du 12 au 1</w:t>
      </w:r>
      <w:r w:rsidR="006F2923" w:rsidRPr="00D93B24">
        <w:t>4 octobre 20</w:t>
      </w:r>
      <w:r w:rsidR="00C0612F" w:rsidRPr="00D93B24">
        <w:t>15 en langue espagnole.</w:t>
      </w:r>
    </w:p>
    <w:p w:rsidR="004500FF" w:rsidRPr="00D93B24" w:rsidRDefault="004500FF" w:rsidP="0032753C">
      <w:pPr>
        <w:rPr>
          <w:snapToGrid w:val="0"/>
          <w:lang w:eastAsia="ja-JP"/>
        </w:rPr>
      </w:pPr>
    </w:p>
    <w:p w:rsidR="004500FF" w:rsidRPr="00D93B24" w:rsidRDefault="004500FF" w:rsidP="0032753C">
      <w:pPr>
        <w:rPr>
          <w:snapToGrid w:val="0"/>
          <w:lang w:eastAsia="ja-JP"/>
        </w:rPr>
      </w:pPr>
    </w:p>
    <w:p w:rsidR="004500FF" w:rsidRPr="00D93B24" w:rsidRDefault="00454FEA" w:rsidP="00454FEA">
      <w:pPr>
        <w:pStyle w:val="Heading2"/>
        <w:rPr>
          <w:snapToGrid w:val="0"/>
          <w:lang w:val="fr-FR" w:eastAsia="ja-JP"/>
        </w:rPr>
      </w:pPr>
      <w:bookmarkStart w:id="13" w:name="_Toc432494349"/>
      <w:r w:rsidRPr="00D93B24">
        <w:rPr>
          <w:snapToGrid w:val="0"/>
          <w:lang w:val="fr-FR" w:eastAsia="ja-JP"/>
        </w:rPr>
        <w:t>Propos</w:t>
      </w:r>
      <w:r w:rsidR="00C0612F" w:rsidRPr="00D93B24">
        <w:rPr>
          <w:snapToGrid w:val="0"/>
          <w:lang w:val="fr-FR" w:eastAsia="ja-JP"/>
        </w:rPr>
        <w:t>itions présentées par le</w:t>
      </w:r>
      <w:r w:rsidR="00CB0459" w:rsidRPr="00D93B24">
        <w:rPr>
          <w:snapToGrid w:val="0"/>
          <w:lang w:val="fr-FR" w:eastAsia="ja-JP"/>
        </w:rPr>
        <w:t xml:space="preserve"> </w:t>
      </w:r>
      <w:r w:rsidRPr="00D93B24">
        <w:rPr>
          <w:snapToGrid w:val="0"/>
          <w:lang w:val="fr-FR" w:eastAsia="ja-JP"/>
        </w:rPr>
        <w:t>WG</w:t>
      </w:r>
      <w:r w:rsidR="00C52279" w:rsidRPr="00D93B24">
        <w:rPr>
          <w:snapToGrid w:val="0"/>
          <w:lang w:val="fr-FR" w:eastAsia="ja-JP"/>
        </w:rPr>
        <w:noBreakHyphen/>
      </w:r>
      <w:r w:rsidRPr="00D93B24">
        <w:rPr>
          <w:snapToGrid w:val="0"/>
          <w:lang w:val="fr-FR" w:eastAsia="ja-JP"/>
        </w:rPr>
        <w:t>DST</w:t>
      </w:r>
      <w:bookmarkEnd w:id="13"/>
    </w:p>
    <w:p w:rsidR="004500FF" w:rsidRPr="00D93B24" w:rsidRDefault="004500FF" w:rsidP="00CB0459">
      <w:pPr>
        <w:keepNext/>
        <w:rPr>
          <w:lang w:eastAsia="ja-JP"/>
        </w:rPr>
      </w:pPr>
    </w:p>
    <w:p w:rsidR="004500FF" w:rsidRPr="00D93B24" w:rsidRDefault="00D22E74" w:rsidP="004500FF">
      <w:pPr>
        <w:rPr>
          <w:lang w:eastAsia="ja-JP"/>
        </w:rPr>
      </w:pPr>
      <w:r w:rsidRPr="00D93B24">
        <w:rPr>
          <w:rFonts w:eastAsia="SimSun"/>
          <w:snapToGrid w:val="0"/>
          <w:lang w:eastAsia="ja-JP"/>
        </w:rPr>
        <w:fldChar w:fldCharType="begin"/>
      </w:r>
      <w:r w:rsidRPr="00D93B24">
        <w:rPr>
          <w:rFonts w:eastAsia="SimSun"/>
          <w:snapToGrid w:val="0"/>
          <w:lang w:eastAsia="ja-JP"/>
        </w:rPr>
        <w:instrText xml:space="preserve"> AUTONUM  </w:instrText>
      </w:r>
      <w:r w:rsidRPr="00D93B24">
        <w:rPr>
          <w:rFonts w:eastAsia="SimSun"/>
          <w:snapToGrid w:val="0"/>
          <w:lang w:eastAsia="ja-JP"/>
        </w:rPr>
        <w:fldChar w:fldCharType="end"/>
      </w:r>
      <w:r w:rsidRPr="00D93B24">
        <w:rPr>
          <w:rFonts w:eastAsia="SimSun"/>
          <w:snapToGrid w:val="0"/>
          <w:lang w:eastAsia="ja-JP"/>
        </w:rPr>
        <w:tab/>
      </w:r>
      <w:r w:rsidR="004500FF" w:rsidRPr="00D93B24">
        <w:rPr>
          <w:rFonts w:eastAsia="SimSun"/>
          <w:snapToGrid w:val="0"/>
          <w:lang w:eastAsia="ja-JP"/>
        </w:rPr>
        <w:t>Les informations générales sur cette question sont fournies dans le document CAJ/71/3 “Dénominations variétales”.</w:t>
      </w:r>
    </w:p>
    <w:p w:rsidR="004500FF" w:rsidRPr="00D93B24" w:rsidRDefault="004500FF" w:rsidP="00F66E48">
      <w:pPr>
        <w:spacing w:line="360" w:lineRule="auto"/>
        <w:rPr>
          <w:lang w:eastAsia="ja-JP"/>
        </w:rPr>
      </w:pPr>
    </w:p>
    <w:p w:rsidR="004500FF" w:rsidRPr="00D93B24" w:rsidRDefault="00014D5F" w:rsidP="00F66E48">
      <w:pPr>
        <w:pStyle w:val="Heading3"/>
        <w:rPr>
          <w:lang w:val="fr-FR" w:eastAsia="ja-JP"/>
        </w:rPr>
      </w:pPr>
      <w:bookmarkStart w:id="14" w:name="_Toc432494350"/>
      <w:r w:rsidRPr="00D93B24">
        <w:rPr>
          <w:lang w:val="fr-FR" w:eastAsia="ja-JP"/>
        </w:rPr>
        <w:t xml:space="preserve">Accents </w:t>
      </w:r>
      <w:r w:rsidR="00C0612F" w:rsidRPr="00D93B24">
        <w:rPr>
          <w:lang w:val="fr-FR" w:eastAsia="ja-JP"/>
        </w:rPr>
        <w:t>et caractères spéciaux</w:t>
      </w:r>
      <w:bookmarkEnd w:id="14"/>
    </w:p>
    <w:p w:rsidR="004500FF" w:rsidRPr="00D93B24" w:rsidRDefault="004500FF" w:rsidP="00F66E48">
      <w:pPr>
        <w:keepNext/>
        <w:rPr>
          <w:lang w:eastAsia="ja-JP"/>
        </w:rPr>
      </w:pPr>
    </w:p>
    <w:p w:rsidR="004500FF" w:rsidRPr="00D93B24" w:rsidRDefault="00D22E74" w:rsidP="001A7AB7">
      <w:pPr>
        <w:spacing w:after="240"/>
        <w:rPr>
          <w:lang w:eastAsia="ja-JP"/>
        </w:rPr>
      </w:pPr>
      <w:r w:rsidRPr="00D93B24">
        <w:rPr>
          <w:rFonts w:eastAsia="SimSun"/>
          <w:snapToGrid w:val="0"/>
          <w:lang w:eastAsia="ja-JP"/>
        </w:rPr>
        <w:fldChar w:fldCharType="begin"/>
      </w:r>
      <w:r w:rsidRPr="00D93B24">
        <w:rPr>
          <w:rFonts w:eastAsia="SimSun"/>
          <w:snapToGrid w:val="0"/>
          <w:lang w:eastAsia="ja-JP"/>
        </w:rPr>
        <w:instrText xml:space="preserve"> AUTONUM  </w:instrText>
      </w:r>
      <w:r w:rsidRPr="00D93B24">
        <w:rPr>
          <w:rFonts w:eastAsia="SimSun"/>
          <w:snapToGrid w:val="0"/>
          <w:lang w:eastAsia="ja-JP"/>
        </w:rPr>
        <w:fldChar w:fldCharType="end"/>
      </w:r>
      <w:r w:rsidRPr="00D93B24">
        <w:rPr>
          <w:rFonts w:eastAsia="SimSun"/>
          <w:snapToGrid w:val="0"/>
          <w:lang w:eastAsia="ja-JP"/>
        </w:rPr>
        <w:tab/>
      </w:r>
      <w:r w:rsidR="00C0612F" w:rsidRPr="00D93B24">
        <w:rPr>
          <w:lang w:eastAsia="ja-JP"/>
        </w:rPr>
        <w:t>À sa deuxième réunion</w:t>
      </w:r>
      <w:r w:rsidR="00C0612F" w:rsidRPr="00D93B24">
        <w:rPr>
          <w:rStyle w:val="FootnoteReference"/>
          <w:lang w:eastAsia="ja-JP"/>
        </w:rPr>
        <w:footnoteReference w:id="14"/>
      </w:r>
      <w:r w:rsidR="00C0612F" w:rsidRPr="00D93B24">
        <w:t>, le</w:t>
      </w:r>
      <w:r w:rsidR="00014D5F" w:rsidRPr="00D93B24">
        <w:rPr>
          <w:lang w:eastAsia="ja-JP"/>
        </w:rPr>
        <w:t xml:space="preserve"> WG</w:t>
      </w:r>
      <w:r w:rsidR="00C52279" w:rsidRPr="00D93B24">
        <w:rPr>
          <w:lang w:eastAsia="ja-JP"/>
        </w:rPr>
        <w:noBreakHyphen/>
      </w:r>
      <w:r w:rsidR="00014D5F" w:rsidRPr="00D93B24">
        <w:rPr>
          <w:lang w:eastAsia="ja-JP"/>
        </w:rPr>
        <w:t>DST</w:t>
      </w:r>
      <w:r w:rsidR="00530455" w:rsidRPr="00D93B24">
        <w:rPr>
          <w:lang w:eastAsia="ja-JP"/>
        </w:rPr>
        <w:t xml:space="preserve">, </w:t>
      </w:r>
      <w:r w:rsidR="00C0612F" w:rsidRPr="00D93B24">
        <w:rPr>
          <w:lang w:eastAsia="ja-JP"/>
        </w:rPr>
        <w:t>a examiné le</w:t>
      </w:r>
      <w:r w:rsidR="00014D5F" w:rsidRPr="00D93B24">
        <w:rPr>
          <w:lang w:eastAsia="ja-JP"/>
        </w:rPr>
        <w:t xml:space="preserve"> document </w:t>
      </w:r>
      <w:r w:rsidR="00E00FFC" w:rsidRPr="00D93B24">
        <w:rPr>
          <w:lang w:eastAsia="ja-JP"/>
        </w:rPr>
        <w:t>UPOV/</w:t>
      </w:r>
      <w:r w:rsidR="00014D5F" w:rsidRPr="00D93B24">
        <w:rPr>
          <w:lang w:eastAsia="ja-JP"/>
        </w:rPr>
        <w:t>WG</w:t>
      </w:r>
      <w:r w:rsidR="00C52279" w:rsidRPr="00D93B24">
        <w:rPr>
          <w:lang w:eastAsia="ja-JP"/>
        </w:rPr>
        <w:noBreakHyphen/>
      </w:r>
      <w:r w:rsidR="00014D5F" w:rsidRPr="00D93B24">
        <w:rPr>
          <w:lang w:eastAsia="ja-JP"/>
        </w:rPr>
        <w:t>DST/2/5</w:t>
      </w:r>
      <w:r w:rsidR="00C0612F" w:rsidRPr="00D93B24">
        <w:rPr>
          <w:lang w:eastAsia="ja-JP"/>
        </w:rPr>
        <w:t xml:space="preserve"> </w:t>
      </w:r>
      <w:r w:rsidR="006546BF" w:rsidRPr="00D93B24">
        <w:rPr>
          <w:lang w:eastAsia="ja-JP"/>
        </w:rPr>
        <w:t>“</w:t>
      </w:r>
      <w:r w:rsidR="00014D5F" w:rsidRPr="00D93B24">
        <w:rPr>
          <w:lang w:eastAsia="ja-JP"/>
        </w:rPr>
        <w:t>Linguistic issues</w:t>
      </w:r>
      <w:r w:rsidR="006546BF" w:rsidRPr="00D93B24">
        <w:rPr>
          <w:lang w:eastAsia="ja-JP"/>
        </w:rPr>
        <w:t>”</w:t>
      </w:r>
      <w:r w:rsidR="00C0612F" w:rsidRPr="00D93B24">
        <w:rPr>
          <w:lang w:eastAsia="ja-JP"/>
        </w:rPr>
        <w:t xml:space="preserve"> </w:t>
      </w:r>
      <w:r w:rsidR="00C0612F" w:rsidRPr="00D93B24">
        <w:rPr>
          <w:rFonts w:cs="Arial"/>
          <w:lang w:eastAsia="ja-JP"/>
        </w:rPr>
        <w:t>(</w:t>
      </w:r>
      <w:r w:rsidR="00C0612F" w:rsidRPr="00D93B24">
        <w:rPr>
          <w:lang w:eastAsia="ja-JP"/>
        </w:rPr>
        <w:t>Problèmes linguistiques)</w:t>
      </w:r>
      <w:r w:rsidR="00014D5F" w:rsidRPr="00D93B24">
        <w:rPr>
          <w:lang w:eastAsia="ja-JP"/>
        </w:rPr>
        <w:t>.</w:t>
      </w:r>
    </w:p>
    <w:p w:rsidR="00C0612F" w:rsidRPr="00D93B24" w:rsidRDefault="00014D5F" w:rsidP="00014D5F">
      <w:r w:rsidRPr="00D93B24">
        <w:rPr>
          <w:spacing w:val="-2"/>
        </w:rPr>
        <w:fldChar w:fldCharType="begin"/>
      </w:r>
      <w:r w:rsidRPr="00D93B24">
        <w:rPr>
          <w:spacing w:val="-2"/>
        </w:rPr>
        <w:instrText xml:space="preserve"> AUTONUM  </w:instrText>
      </w:r>
      <w:r w:rsidRPr="00D93B24">
        <w:rPr>
          <w:spacing w:val="-2"/>
        </w:rPr>
        <w:fldChar w:fldCharType="end"/>
      </w:r>
      <w:r w:rsidRPr="00D93B24">
        <w:rPr>
          <w:spacing w:val="-2"/>
        </w:rPr>
        <w:tab/>
      </w:r>
      <w:r w:rsidR="00C0612F" w:rsidRPr="00D93B24">
        <w:rPr>
          <w:spacing w:val="-2"/>
          <w:lang w:eastAsia="ja-JP"/>
        </w:rPr>
        <w:t>L</w:t>
      </w:r>
      <w:r w:rsidRPr="00D93B24">
        <w:rPr>
          <w:spacing w:val="-2"/>
          <w:lang w:eastAsia="ja-JP"/>
        </w:rPr>
        <w:t>e WG</w:t>
      </w:r>
      <w:r w:rsidR="00C52279" w:rsidRPr="00D93B24">
        <w:rPr>
          <w:spacing w:val="-2"/>
          <w:lang w:eastAsia="ja-JP"/>
        </w:rPr>
        <w:noBreakHyphen/>
      </w:r>
      <w:r w:rsidRPr="00D93B24">
        <w:rPr>
          <w:spacing w:val="-2"/>
          <w:lang w:eastAsia="ja-JP"/>
        </w:rPr>
        <w:t xml:space="preserve">DST </w:t>
      </w:r>
      <w:r w:rsidR="00C0612F" w:rsidRPr="00D93B24">
        <w:rPr>
          <w:spacing w:val="-2"/>
          <w:lang w:eastAsia="ja-JP"/>
        </w:rPr>
        <w:t>est convenu qu</w:t>
      </w:r>
      <w:r w:rsidR="006F2923" w:rsidRPr="00D93B24">
        <w:rPr>
          <w:spacing w:val="-2"/>
          <w:lang w:eastAsia="ja-JP"/>
        </w:rPr>
        <w:t>’</w:t>
      </w:r>
      <w:r w:rsidR="00C0612F" w:rsidRPr="00D93B24">
        <w:rPr>
          <w:spacing w:val="-2"/>
          <w:lang w:eastAsia="ja-JP"/>
        </w:rPr>
        <w:t>il serait utile de prévoir la possibilité d</w:t>
      </w:r>
      <w:r w:rsidR="006F2923" w:rsidRPr="00D93B24">
        <w:rPr>
          <w:spacing w:val="-2"/>
          <w:lang w:eastAsia="ja-JP"/>
        </w:rPr>
        <w:t>’</w:t>
      </w:r>
      <w:r w:rsidR="00C0612F" w:rsidRPr="00D93B24">
        <w:rPr>
          <w:spacing w:val="-2"/>
          <w:lang w:eastAsia="ja-JP"/>
        </w:rPr>
        <w:t>accepter des</w:t>
      </w:r>
      <w:r w:rsidRPr="00D93B24">
        <w:rPr>
          <w:rFonts w:cs="Arial"/>
          <w:spacing w:val="-2"/>
        </w:rPr>
        <w:t xml:space="preserve"> accents </w:t>
      </w:r>
      <w:r w:rsidR="00C0612F" w:rsidRPr="00D93B24">
        <w:rPr>
          <w:rFonts w:cs="Arial"/>
          <w:spacing w:val="-2"/>
        </w:rPr>
        <w:t xml:space="preserve">et des caractères spéciaux dans les dénominations figurant dans la base de données PLUTO. </w:t>
      </w:r>
      <w:r w:rsidR="006546BF" w:rsidRPr="00D93B24">
        <w:rPr>
          <w:rFonts w:cs="Arial"/>
          <w:spacing w:val="-2"/>
        </w:rPr>
        <w:t xml:space="preserve"> </w:t>
      </w:r>
      <w:r w:rsidR="00C0612F" w:rsidRPr="00D93B24">
        <w:rPr>
          <w:rFonts w:cs="Arial"/>
          <w:spacing w:val="-2"/>
        </w:rPr>
        <w:t>Il a observé que, bien que la base de données PLUTO ne contienne pas d</w:t>
      </w:r>
      <w:r w:rsidR="006F2923" w:rsidRPr="00D93B24">
        <w:rPr>
          <w:rFonts w:cs="Arial"/>
          <w:spacing w:val="-2"/>
        </w:rPr>
        <w:t>’</w:t>
      </w:r>
      <w:r w:rsidR="00C0612F" w:rsidRPr="00D93B24">
        <w:rPr>
          <w:rFonts w:cs="Arial"/>
          <w:spacing w:val="-2"/>
        </w:rPr>
        <w:t>accents ni de caractères spéciaux à l</w:t>
      </w:r>
      <w:r w:rsidR="006F2923" w:rsidRPr="00D93B24">
        <w:rPr>
          <w:rFonts w:cs="Arial"/>
          <w:spacing w:val="-2"/>
        </w:rPr>
        <w:t>’</w:t>
      </w:r>
      <w:r w:rsidR="00C0612F" w:rsidRPr="00D93B24">
        <w:rPr>
          <w:rFonts w:cs="Arial"/>
          <w:spacing w:val="-2"/>
        </w:rPr>
        <w:t>heure actuelle</w:t>
      </w:r>
      <w:r w:rsidR="00C0612F" w:rsidRPr="00D93B24">
        <w:rPr>
          <w:rStyle w:val="FootnoteReference"/>
          <w:rFonts w:cs="Arial"/>
          <w:spacing w:val="-2"/>
        </w:rPr>
        <w:footnoteReference w:id="15"/>
      </w:r>
      <w:r w:rsidR="006546BF" w:rsidRPr="00D93B24">
        <w:rPr>
          <w:rFonts w:cs="Arial"/>
          <w:spacing w:val="-2"/>
        </w:rPr>
        <w:t>,</w:t>
      </w:r>
      <w:r w:rsidR="00C0612F" w:rsidRPr="00D93B24">
        <w:rPr>
          <w:rFonts w:cs="Arial"/>
          <w:spacing w:val="-2"/>
          <w:vertAlign w:val="superscript"/>
        </w:rPr>
        <w:t>,</w:t>
      </w:r>
      <w:r w:rsidR="00C0612F" w:rsidRPr="00D93B24">
        <w:rPr>
          <w:rStyle w:val="FootnoteReference"/>
          <w:rFonts w:cs="Arial"/>
          <w:spacing w:val="-2"/>
        </w:rPr>
        <w:footnoteReference w:id="16"/>
      </w:r>
      <w:r w:rsidR="00C0612F" w:rsidRPr="00D93B24">
        <w:rPr>
          <w:rStyle w:val="FootnoteReference"/>
          <w:spacing w:val="-2"/>
        </w:rPr>
        <w:t xml:space="preserve"> </w:t>
      </w:r>
      <w:r w:rsidR="00C0612F" w:rsidRPr="00D93B24">
        <w:t>il serait possible d</w:t>
      </w:r>
      <w:r w:rsidR="006F2923" w:rsidRPr="00D93B24">
        <w:t>’</w:t>
      </w:r>
      <w:r w:rsidR="00C0612F" w:rsidRPr="00D93B24">
        <w:t>inclure ces éléments</w:t>
      </w:r>
      <w:r w:rsidR="00C0612F" w:rsidRPr="00D93B24">
        <w:rPr>
          <w:rStyle w:val="FootnoteReference"/>
          <w:rFonts w:cs="Arial"/>
          <w:spacing w:val="-2"/>
          <w:lang w:eastAsia="ja-JP"/>
        </w:rPr>
        <w:footnoteReference w:id="17"/>
      </w:r>
      <w:r w:rsidR="006546BF" w:rsidRPr="00D93B24">
        <w:rPr>
          <w:rFonts w:cs="Arial"/>
          <w:spacing w:val="-2"/>
          <w:lang w:eastAsia="ja-JP"/>
        </w:rPr>
        <w:t>.</w:t>
      </w:r>
    </w:p>
    <w:p w:rsidR="004500FF" w:rsidRPr="00D93B24" w:rsidRDefault="004500FF" w:rsidP="00014D5F">
      <w:pPr>
        <w:rPr>
          <w:rFonts w:cs="Arial"/>
          <w:lang w:eastAsia="ja-JP"/>
        </w:rPr>
      </w:pPr>
    </w:p>
    <w:p w:rsidR="004500FF" w:rsidRPr="00D93B24" w:rsidRDefault="00014D5F" w:rsidP="00014D5F">
      <w:pPr>
        <w:rPr>
          <w:rFonts w:cs="Arial"/>
          <w:lang w:eastAsia="ja-JP"/>
        </w:rPr>
      </w:pPr>
      <w:r w:rsidRPr="00D93B24">
        <w:fldChar w:fldCharType="begin"/>
      </w:r>
      <w:r w:rsidRPr="00D93B24">
        <w:instrText xml:space="preserve"> AUTONUM  </w:instrText>
      </w:r>
      <w:r w:rsidRPr="00D93B24">
        <w:fldChar w:fldCharType="end"/>
      </w:r>
      <w:r w:rsidRPr="00D93B24">
        <w:tab/>
      </w:r>
      <w:r w:rsidR="00AC65A8" w:rsidRPr="00D93B24">
        <w:t>Tout en proposant de prévoir la possibilité d</w:t>
      </w:r>
      <w:r w:rsidR="006F2923" w:rsidRPr="00D93B24">
        <w:t>’</w:t>
      </w:r>
      <w:r w:rsidR="00AC65A8" w:rsidRPr="00D93B24">
        <w:t>accepter des</w:t>
      </w:r>
      <w:r w:rsidR="00A13395" w:rsidRPr="00D93B24">
        <w:rPr>
          <w:rFonts w:cs="Arial"/>
          <w:lang w:eastAsia="ja-JP"/>
        </w:rPr>
        <w:t xml:space="preserve"> accents </w:t>
      </w:r>
      <w:r w:rsidR="00AC65A8" w:rsidRPr="00D93B24">
        <w:rPr>
          <w:rFonts w:cs="Arial"/>
          <w:lang w:eastAsia="ja-JP"/>
        </w:rPr>
        <w:t>et des caractères spéciaux dans les dénominations figurant dans la base de données</w:t>
      </w:r>
      <w:r w:rsidR="00A13395" w:rsidRPr="00D93B24">
        <w:rPr>
          <w:rFonts w:cs="Arial"/>
          <w:lang w:eastAsia="ja-JP"/>
        </w:rPr>
        <w:t xml:space="preserve"> PLUTO</w:t>
      </w:r>
      <w:r w:rsidR="00AC65A8" w:rsidRPr="00D93B24">
        <w:rPr>
          <w:rFonts w:cs="Arial"/>
          <w:lang w:eastAsia="ja-JP"/>
        </w:rPr>
        <w:t>, le</w:t>
      </w:r>
      <w:r w:rsidR="00A13395" w:rsidRPr="00D93B24">
        <w:rPr>
          <w:rFonts w:cs="Arial"/>
          <w:lang w:eastAsia="ja-JP"/>
        </w:rPr>
        <w:t xml:space="preserve"> WG</w:t>
      </w:r>
      <w:r w:rsidR="00C52279" w:rsidRPr="00D93B24">
        <w:rPr>
          <w:rFonts w:cs="Arial"/>
          <w:lang w:eastAsia="ja-JP"/>
        </w:rPr>
        <w:noBreakHyphen/>
      </w:r>
      <w:r w:rsidR="00A13395" w:rsidRPr="00D93B24">
        <w:rPr>
          <w:rFonts w:cs="Arial"/>
          <w:lang w:eastAsia="ja-JP"/>
        </w:rPr>
        <w:t>DST</w:t>
      </w:r>
      <w:r w:rsidR="007C0D12" w:rsidRPr="00D93B24">
        <w:rPr>
          <w:rFonts w:cs="Arial"/>
          <w:lang w:eastAsia="ja-JP"/>
        </w:rPr>
        <w:t xml:space="preserve"> </w:t>
      </w:r>
      <w:r w:rsidR="00AC65A8" w:rsidRPr="00D93B24">
        <w:rPr>
          <w:rFonts w:cs="Arial"/>
          <w:lang w:eastAsia="ja-JP"/>
        </w:rPr>
        <w:t>a noté que l</w:t>
      </w:r>
      <w:r w:rsidR="006F2923" w:rsidRPr="00D93B24">
        <w:rPr>
          <w:rFonts w:cs="Arial"/>
          <w:lang w:eastAsia="ja-JP"/>
        </w:rPr>
        <w:t>’</w:t>
      </w:r>
      <w:r w:rsidR="00AC65A8" w:rsidRPr="00D93B24">
        <w:rPr>
          <w:rFonts w:cs="Arial"/>
          <w:lang w:eastAsia="ja-JP"/>
        </w:rPr>
        <w:t xml:space="preserve">outil de recherche de dénominations de la base de </w:t>
      </w:r>
      <w:r w:rsidR="00C52279" w:rsidRPr="00D93B24">
        <w:rPr>
          <w:rFonts w:cs="Arial"/>
          <w:lang w:eastAsia="ja-JP"/>
        </w:rPr>
        <w:t>données</w:t>
      </w:r>
      <w:r w:rsidR="00AC65A8" w:rsidRPr="00D93B24">
        <w:rPr>
          <w:rFonts w:cs="Arial"/>
          <w:lang w:eastAsia="ja-JP"/>
        </w:rPr>
        <w:t xml:space="preserve"> PLUTO n</w:t>
      </w:r>
      <w:r w:rsidR="006F2923" w:rsidRPr="00D93B24">
        <w:rPr>
          <w:rFonts w:cs="Arial"/>
          <w:lang w:eastAsia="ja-JP"/>
        </w:rPr>
        <w:t>’</w:t>
      </w:r>
      <w:r w:rsidR="00AC65A8" w:rsidRPr="00D93B24">
        <w:rPr>
          <w:rFonts w:cs="Arial"/>
          <w:lang w:eastAsia="ja-JP"/>
        </w:rPr>
        <w:t>utiliserait, comme c</w:t>
      </w:r>
      <w:r w:rsidR="006F2923" w:rsidRPr="00D93B24">
        <w:rPr>
          <w:rFonts w:cs="Arial"/>
          <w:lang w:eastAsia="ja-JP"/>
        </w:rPr>
        <w:t>’</w:t>
      </w:r>
      <w:r w:rsidR="00AC65A8" w:rsidRPr="00D93B24">
        <w:rPr>
          <w:rFonts w:cs="Arial"/>
          <w:lang w:eastAsia="ja-JP"/>
        </w:rPr>
        <w:t>est le cas actuellement, que le jeu de caractères</w:t>
      </w:r>
      <w:r w:rsidRPr="00D93B24">
        <w:rPr>
          <w:rFonts w:cs="Arial"/>
        </w:rPr>
        <w:t xml:space="preserve"> ASCII [</w:t>
      </w:r>
      <w:r w:rsidR="00AC65A8" w:rsidRPr="00D93B24">
        <w:t>Code standard américain pour l</w:t>
      </w:r>
      <w:r w:rsidR="006F2923" w:rsidRPr="00D93B24">
        <w:t>’</w:t>
      </w:r>
      <w:r w:rsidR="00AC65A8" w:rsidRPr="00D93B24">
        <w:t>échange d</w:t>
      </w:r>
      <w:r w:rsidR="006F2923" w:rsidRPr="00D93B24">
        <w:t>’</w:t>
      </w:r>
      <w:r w:rsidR="00AC65A8" w:rsidRPr="00D93B24">
        <w:t>informations</w:t>
      </w:r>
      <w:r w:rsidRPr="00D93B24">
        <w:rPr>
          <w:rFonts w:cs="Arial"/>
        </w:rPr>
        <w:t>]</w:t>
      </w:r>
      <w:r w:rsidR="00AC65A8" w:rsidRPr="00D93B24">
        <w:rPr>
          <w:rFonts w:cs="Arial"/>
        </w:rPr>
        <w:t>, tel que</w:t>
      </w:r>
      <w:r w:rsidRPr="00D93B24">
        <w:rPr>
          <w:rFonts w:cs="Arial"/>
        </w:rPr>
        <w:t xml:space="preserve"> </w:t>
      </w:r>
      <w:r w:rsidR="00AC65A8" w:rsidRPr="00D93B24">
        <w:t>défini dans la norme n°</w:t>
      </w:r>
      <w:r w:rsidR="006546BF" w:rsidRPr="00D93B24">
        <w:t> </w:t>
      </w:r>
      <w:r w:rsidR="00AC65A8" w:rsidRPr="00D93B24">
        <w:t>646 de l</w:t>
      </w:r>
      <w:r w:rsidR="006F2923" w:rsidRPr="00D93B24">
        <w:t>’</w:t>
      </w:r>
      <w:r w:rsidR="00AC65A8" w:rsidRPr="00D93B24">
        <w:t>ISO [Organisation internationale de normalisation]</w:t>
      </w:r>
      <w:r w:rsidR="00AC65A8" w:rsidRPr="00D93B24">
        <w:rPr>
          <w:rStyle w:val="FootnoteReference"/>
          <w:rFonts w:cs="Arial"/>
        </w:rPr>
        <w:footnoteReference w:id="18"/>
      </w:r>
      <w:r w:rsidR="006546BF" w:rsidRPr="00D93B24">
        <w:rPr>
          <w:rFonts w:cs="Arial"/>
        </w:rPr>
        <w:t>.</w:t>
      </w:r>
    </w:p>
    <w:p w:rsidR="004500FF" w:rsidRPr="00D93B24" w:rsidRDefault="004500FF" w:rsidP="00014D5F">
      <w:pPr>
        <w:rPr>
          <w:rFonts w:cs="Arial"/>
          <w:lang w:eastAsia="ja-JP"/>
        </w:rPr>
      </w:pPr>
    </w:p>
    <w:p w:rsidR="004500FF" w:rsidRPr="00D93B24" w:rsidRDefault="00D90030" w:rsidP="002935DD">
      <w:pPr>
        <w:rPr>
          <w:rFonts w:cs="Arial"/>
          <w:lang w:eastAsia="ja-JP"/>
        </w:rPr>
      </w:pPr>
      <w:r w:rsidRPr="00D93B24">
        <w:fldChar w:fldCharType="begin"/>
      </w:r>
      <w:r w:rsidRPr="00D93B24">
        <w:instrText xml:space="preserve"> AUTONUM  </w:instrText>
      </w:r>
      <w:r w:rsidRPr="00D93B24">
        <w:fldChar w:fldCharType="end"/>
      </w:r>
      <w:r w:rsidRPr="00D93B24">
        <w:tab/>
      </w:r>
      <w:r w:rsidR="00AC65A8" w:rsidRPr="00D93B24">
        <w:t>Pour ce qui est des</w:t>
      </w:r>
      <w:r w:rsidR="00A13395" w:rsidRPr="00D93B24">
        <w:t xml:space="preserve"> accents </w:t>
      </w:r>
      <w:r w:rsidR="00AC65A8" w:rsidRPr="00D93B24">
        <w:rPr>
          <w:rFonts w:cs="Arial"/>
          <w:lang w:eastAsia="ja-JP"/>
        </w:rPr>
        <w:t>et des caractères spéciaux, un jeu de caractères contenant le jeu de caractères ASCII et un grand no</w:t>
      </w:r>
      <w:r w:rsidR="002935DD" w:rsidRPr="00D93B24">
        <w:rPr>
          <w:rFonts w:cs="Arial"/>
          <w:lang w:eastAsia="ja-JP"/>
        </w:rPr>
        <w:t>m</w:t>
      </w:r>
      <w:r w:rsidR="00AC65A8" w:rsidRPr="00D93B24">
        <w:rPr>
          <w:rFonts w:cs="Arial"/>
          <w:lang w:eastAsia="ja-JP"/>
        </w:rPr>
        <w:t>bre d</w:t>
      </w:r>
      <w:r w:rsidR="006F2923" w:rsidRPr="00D93B24">
        <w:rPr>
          <w:rFonts w:cs="Arial"/>
          <w:lang w:eastAsia="ja-JP"/>
        </w:rPr>
        <w:t>’</w:t>
      </w:r>
      <w:r w:rsidR="00AC65A8" w:rsidRPr="00D93B24">
        <w:rPr>
          <w:rFonts w:cs="Arial"/>
          <w:lang w:eastAsia="ja-JP"/>
        </w:rPr>
        <w:t>accents et de caractères spéciaux pour l</w:t>
      </w:r>
      <w:r w:rsidR="006F2923" w:rsidRPr="00D93B24">
        <w:rPr>
          <w:rFonts w:cs="Arial"/>
          <w:lang w:eastAsia="ja-JP"/>
        </w:rPr>
        <w:t>’</w:t>
      </w:r>
      <w:r w:rsidR="00AC65A8" w:rsidRPr="00D93B24">
        <w:rPr>
          <w:rFonts w:cs="Arial"/>
          <w:lang w:eastAsia="ja-JP"/>
        </w:rPr>
        <w:t xml:space="preserve">alphabet latin </w:t>
      </w:r>
      <w:r w:rsidR="002935DD" w:rsidRPr="00D93B24">
        <w:rPr>
          <w:rFonts w:cs="Arial"/>
          <w:lang w:eastAsia="ja-JP"/>
        </w:rPr>
        <w:t>est celui de la norme</w:t>
      </w:r>
      <w:r w:rsidR="006546BF" w:rsidRPr="00D93B24">
        <w:rPr>
          <w:rFonts w:cs="Arial"/>
          <w:lang w:eastAsia="ja-JP"/>
        </w:rPr>
        <w:t> </w:t>
      </w:r>
      <w:r w:rsidR="002935DD" w:rsidRPr="00D93B24">
        <w:rPr>
          <w:rFonts w:cs="Arial"/>
          <w:lang w:eastAsia="ja-JP"/>
        </w:rPr>
        <w:t>ISO/CEI [</w:t>
      </w:r>
      <w:r w:rsidR="002935DD" w:rsidRPr="00D93B24">
        <w:t>Commission électrotechnique internationale</w:t>
      </w:r>
      <w:r w:rsidR="00A13395" w:rsidRPr="00D93B24">
        <w:rPr>
          <w:rFonts w:cs="Arial"/>
          <w:lang w:eastAsia="ja-JP"/>
        </w:rPr>
        <w:t>] 8859</w:t>
      </w:r>
      <w:r w:rsidR="00C52279" w:rsidRPr="00D93B24">
        <w:rPr>
          <w:rFonts w:cs="Arial"/>
          <w:lang w:eastAsia="ja-JP"/>
        </w:rPr>
        <w:noBreakHyphen/>
      </w:r>
      <w:r w:rsidR="00A13395" w:rsidRPr="00D93B24">
        <w:rPr>
          <w:rFonts w:cs="Arial"/>
          <w:lang w:eastAsia="ja-JP"/>
        </w:rPr>
        <w:t>1</w:t>
      </w:r>
      <w:r w:rsidR="006546BF" w:rsidRPr="00D93B24">
        <w:rPr>
          <w:rFonts w:cs="Arial"/>
          <w:lang w:eastAsia="ja-JP"/>
        </w:rPr>
        <w:t> </w:t>
      </w:r>
      <w:r w:rsidRPr="00D93B24">
        <w:rPr>
          <w:rFonts w:cs="Arial"/>
          <w:lang w:eastAsia="ja-JP"/>
        </w:rPr>
        <w:t>: 1998.</w:t>
      </w:r>
    </w:p>
    <w:p w:rsidR="004500FF" w:rsidRPr="00D93B24" w:rsidRDefault="004500FF" w:rsidP="00014D5F">
      <w:pPr>
        <w:rPr>
          <w:rFonts w:cs="Arial"/>
          <w:lang w:eastAsia="ja-JP"/>
        </w:rPr>
      </w:pPr>
    </w:p>
    <w:p w:rsidR="004500FF" w:rsidRPr="00D93B24" w:rsidRDefault="00441830" w:rsidP="00014D5F">
      <w:pPr>
        <w:rPr>
          <w:rFonts w:cs="Arial"/>
          <w:lang w:eastAsia="ja-JP"/>
        </w:rPr>
      </w:pPr>
      <w:r w:rsidRPr="00D93B24">
        <w:fldChar w:fldCharType="begin"/>
      </w:r>
      <w:r w:rsidRPr="00D93B24">
        <w:instrText xml:space="preserve"> AUTONUM  </w:instrText>
      </w:r>
      <w:r w:rsidRPr="00D93B24">
        <w:fldChar w:fldCharType="end"/>
      </w:r>
      <w:r w:rsidRPr="00D93B24">
        <w:tab/>
      </w:r>
      <w:r w:rsidR="002935DD" w:rsidRPr="00D93B24">
        <w:t>Sur cette base,</w:t>
      </w:r>
      <w:r w:rsidR="006F2923" w:rsidRPr="00D93B24">
        <w:t xml:space="preserve"> le </w:t>
      </w:r>
      <w:r w:rsidR="006F2923" w:rsidRPr="00D93B24">
        <w:rPr>
          <w:lang w:eastAsia="ja-JP"/>
        </w:rPr>
        <w:t>CAJ</w:t>
      </w:r>
      <w:r w:rsidRPr="00D93B24">
        <w:rPr>
          <w:lang w:eastAsia="ja-JP"/>
        </w:rPr>
        <w:t xml:space="preserve"> </w:t>
      </w:r>
      <w:r w:rsidR="002935DD" w:rsidRPr="00D93B24">
        <w:rPr>
          <w:lang w:eastAsia="ja-JP"/>
        </w:rPr>
        <w:t>souhaitera peut</w:t>
      </w:r>
      <w:r w:rsidR="00C52279" w:rsidRPr="00D93B24">
        <w:rPr>
          <w:lang w:eastAsia="ja-JP"/>
        </w:rPr>
        <w:noBreakHyphen/>
      </w:r>
      <w:r w:rsidR="002935DD" w:rsidRPr="00D93B24">
        <w:rPr>
          <w:lang w:eastAsia="ja-JP"/>
        </w:rPr>
        <w:t>être</w:t>
      </w:r>
      <w:r w:rsidRPr="00D93B24">
        <w:rPr>
          <w:lang w:eastAsia="ja-JP"/>
        </w:rPr>
        <w:t xml:space="preserve"> </w:t>
      </w:r>
      <w:r w:rsidR="002935DD" w:rsidRPr="00D93B24">
        <w:rPr>
          <w:lang w:eastAsia="ja-JP"/>
        </w:rPr>
        <w:t>envisager de réviser comme suit la section</w:t>
      </w:r>
      <w:r w:rsidR="006546BF" w:rsidRPr="00D93B24">
        <w:rPr>
          <w:lang w:eastAsia="ja-JP"/>
        </w:rPr>
        <w:t> </w:t>
      </w:r>
      <w:r w:rsidR="002935DD" w:rsidRPr="00D93B24">
        <w:rPr>
          <w:lang w:eastAsia="ja-JP"/>
        </w:rPr>
        <w:t xml:space="preserve">3.1.3 du </w:t>
      </w:r>
      <w:r w:rsidR="006546BF" w:rsidRPr="00D93B24">
        <w:rPr>
          <w:lang w:eastAsia="ja-JP"/>
        </w:rPr>
        <w:t>“</w:t>
      </w:r>
      <w:r w:rsidR="002935DD" w:rsidRPr="00D93B24">
        <w:t>Programme d</w:t>
      </w:r>
      <w:r w:rsidR="006F2923" w:rsidRPr="00D93B24">
        <w:t>’</w:t>
      </w:r>
      <w:r w:rsidR="002935DD" w:rsidRPr="00D93B24">
        <w:t>améliorations de la base de données sur les variétés végétales</w:t>
      </w:r>
      <w:r w:rsidR="006546BF" w:rsidRPr="00D93B24">
        <w:t>” </w:t>
      </w:r>
      <w:r w:rsidR="00A604A5" w:rsidRPr="00D93B24">
        <w:rPr>
          <w:rFonts w:cs="Arial"/>
          <w:lang w:eastAsia="ja-JP"/>
        </w:rPr>
        <w:t>:</w:t>
      </w:r>
    </w:p>
    <w:p w:rsidR="004500FF" w:rsidRPr="00D93B24" w:rsidRDefault="004500FF" w:rsidP="00014D5F">
      <w:pPr>
        <w:rPr>
          <w:rFonts w:cs="Arial"/>
          <w:lang w:eastAsia="ja-JP"/>
        </w:rPr>
      </w:pPr>
    </w:p>
    <w:p w:rsidR="00196A0A" w:rsidRDefault="006546BF" w:rsidP="00196A0A">
      <w:pPr>
        <w:tabs>
          <w:tab w:val="left" w:pos="1418"/>
        </w:tabs>
        <w:ind w:left="567" w:right="567"/>
      </w:pPr>
      <w:r w:rsidRPr="00D93B24">
        <w:rPr>
          <w:rFonts w:cs="Arial"/>
          <w:lang w:eastAsia="ja-JP"/>
        </w:rPr>
        <w:t>“</w:t>
      </w:r>
      <w:r w:rsidR="00CB0459" w:rsidRPr="00D93B24">
        <w:rPr>
          <w:rFonts w:cs="Arial"/>
          <w:lang w:eastAsia="ja-JP"/>
        </w:rPr>
        <w:t>3.1.3</w:t>
      </w:r>
      <w:r w:rsidR="00CB0459" w:rsidRPr="00D93B24">
        <w:rPr>
          <w:rFonts w:cs="Arial"/>
          <w:lang w:eastAsia="ja-JP"/>
        </w:rPr>
        <w:tab/>
      </w:r>
      <w:r w:rsidR="002935DD" w:rsidRPr="00D93B24">
        <w:rPr>
          <w:rFonts w:cs="Arial"/>
          <w:lang w:eastAsia="ja-JP"/>
        </w:rPr>
        <w:t>Sous réserve de la s</w:t>
      </w:r>
      <w:r w:rsidR="00441830" w:rsidRPr="00D93B24">
        <w:rPr>
          <w:rFonts w:cs="Arial"/>
          <w:lang w:eastAsia="ja-JP"/>
        </w:rPr>
        <w:t>ection</w:t>
      </w:r>
      <w:r w:rsidRPr="00D93B24">
        <w:rPr>
          <w:rFonts w:cs="Arial"/>
          <w:lang w:eastAsia="ja-JP"/>
        </w:rPr>
        <w:t> </w:t>
      </w:r>
      <w:r w:rsidR="00441830" w:rsidRPr="00D93B24">
        <w:rPr>
          <w:rFonts w:cs="Arial"/>
          <w:lang w:eastAsia="ja-JP"/>
        </w:rPr>
        <w:t xml:space="preserve">3.1.4, </w:t>
      </w:r>
      <w:r w:rsidR="002935DD" w:rsidRPr="00D93B24">
        <w:rPr>
          <w:rFonts w:cs="Arial"/>
          <w:lang w:eastAsia="ja-JP"/>
        </w:rPr>
        <w:t>s</w:t>
      </w:r>
      <w:r w:rsidR="006F2923" w:rsidRPr="00D93B24">
        <w:rPr>
          <w:rFonts w:cs="Arial"/>
          <w:lang w:eastAsia="ja-JP"/>
        </w:rPr>
        <w:t>’</w:t>
      </w:r>
      <w:r w:rsidR="002935DD" w:rsidRPr="00D93B24">
        <w:rPr>
          <w:rFonts w:cs="Arial"/>
          <w:lang w:eastAsia="ja-JP"/>
        </w:rPr>
        <w:t xml:space="preserve">agissant du jeu de caractères pour les données, </w:t>
      </w:r>
      <w:r w:rsidR="00E177E5" w:rsidRPr="00D93B24">
        <w:rPr>
          <w:rFonts w:cs="Arial"/>
          <w:strike/>
          <w:shd w:val="pct15" w:color="auto" w:fill="FFFFFF"/>
          <w:lang w:eastAsia="ja-JP"/>
        </w:rPr>
        <w:t xml:space="preserve">le code </w:t>
      </w:r>
      <w:r w:rsidR="002935DD" w:rsidRPr="00D93B24">
        <w:rPr>
          <w:rFonts w:cs="Arial"/>
          <w:strike/>
          <w:shd w:val="pct15" w:color="auto" w:fill="FFFFFF"/>
          <w:lang w:eastAsia="ja-JP"/>
        </w:rPr>
        <w:t>ASCII [</w:t>
      </w:r>
      <w:r w:rsidR="00E177E5" w:rsidRPr="00D93B24">
        <w:rPr>
          <w:rFonts w:cs="Arial"/>
          <w:strike/>
          <w:shd w:val="pct15" w:color="auto" w:fill="FFFFFF"/>
          <w:lang w:eastAsia="ja-JP"/>
        </w:rPr>
        <w:t>Code standard américain pour l</w:t>
      </w:r>
      <w:r w:rsidR="006F2923" w:rsidRPr="00D93B24">
        <w:rPr>
          <w:rFonts w:cs="Arial"/>
          <w:strike/>
          <w:shd w:val="pct15" w:color="auto" w:fill="FFFFFF"/>
          <w:lang w:eastAsia="ja-JP"/>
        </w:rPr>
        <w:t>’</w:t>
      </w:r>
      <w:r w:rsidR="00E177E5" w:rsidRPr="00D93B24">
        <w:rPr>
          <w:rFonts w:cs="Arial"/>
          <w:strike/>
          <w:shd w:val="pct15" w:color="auto" w:fill="FFFFFF"/>
          <w:lang w:eastAsia="ja-JP"/>
        </w:rPr>
        <w:t>échange d</w:t>
      </w:r>
      <w:r w:rsidR="006F2923" w:rsidRPr="00D93B24">
        <w:rPr>
          <w:rFonts w:cs="Arial"/>
          <w:strike/>
          <w:shd w:val="pct15" w:color="auto" w:fill="FFFFFF"/>
          <w:lang w:eastAsia="ja-JP"/>
        </w:rPr>
        <w:t>’</w:t>
      </w:r>
      <w:r w:rsidR="00E177E5" w:rsidRPr="00D93B24">
        <w:rPr>
          <w:rFonts w:cs="Arial"/>
          <w:strike/>
          <w:shd w:val="pct15" w:color="auto" w:fill="FFFFFF"/>
          <w:lang w:eastAsia="ja-JP"/>
        </w:rPr>
        <w:t>informations</w:t>
      </w:r>
      <w:r w:rsidR="002935DD" w:rsidRPr="00D93B24">
        <w:rPr>
          <w:rFonts w:cs="Arial"/>
          <w:strike/>
          <w:shd w:val="pct15" w:color="auto" w:fill="FFFFFF"/>
          <w:lang w:eastAsia="ja-JP"/>
        </w:rPr>
        <w:t xml:space="preserve">], </w:t>
      </w:r>
      <w:r w:rsidR="00E177E5" w:rsidRPr="00D93B24">
        <w:rPr>
          <w:rFonts w:cs="Arial"/>
          <w:strike/>
          <w:shd w:val="pct15" w:color="auto" w:fill="FFFFFF"/>
          <w:lang w:eastAsia="ja-JP"/>
        </w:rPr>
        <w:t>tel que défini dans</w:t>
      </w:r>
      <w:r w:rsidR="002935DD" w:rsidRPr="00D93B24">
        <w:rPr>
          <w:rFonts w:cs="Arial"/>
          <w:lang w:eastAsia="ja-JP"/>
        </w:rPr>
        <w:t xml:space="preserve"> la norme</w:t>
      </w:r>
      <w:r w:rsidRPr="00D93B24">
        <w:rPr>
          <w:rFonts w:cs="Arial"/>
          <w:lang w:eastAsia="ja-JP"/>
        </w:rPr>
        <w:t> </w:t>
      </w:r>
      <w:r w:rsidR="002935DD" w:rsidRPr="00D93B24">
        <w:rPr>
          <w:rFonts w:cs="Arial"/>
          <w:lang w:eastAsia="ja-JP"/>
        </w:rPr>
        <w:t xml:space="preserve">ISO </w:t>
      </w:r>
      <w:r w:rsidR="00441830" w:rsidRPr="00D93B24">
        <w:rPr>
          <w:rFonts w:cs="Arial"/>
          <w:lang w:eastAsia="ja-JP"/>
        </w:rPr>
        <w:t>[</w:t>
      </w:r>
      <w:r w:rsidR="002935DD" w:rsidRPr="00D93B24">
        <w:t>Organisation internationale de normalisation</w:t>
      </w:r>
      <w:r w:rsidR="00441830" w:rsidRPr="00D93B24">
        <w:rPr>
          <w:rFonts w:cs="Arial"/>
          <w:lang w:eastAsia="ja-JP"/>
        </w:rPr>
        <w:t>]</w:t>
      </w:r>
      <w:r w:rsidR="002935DD" w:rsidRPr="00D93B24">
        <w:rPr>
          <w:rFonts w:cs="Arial"/>
          <w:lang w:eastAsia="ja-JP"/>
        </w:rPr>
        <w:t xml:space="preserve"> / </w:t>
      </w:r>
      <w:r w:rsidR="00D90030" w:rsidRPr="00D93B24">
        <w:rPr>
          <w:rFonts w:cs="Arial"/>
          <w:lang w:eastAsia="ja-JP"/>
        </w:rPr>
        <w:t>C</w:t>
      </w:r>
      <w:r w:rsidR="002935DD" w:rsidRPr="00D93B24">
        <w:rPr>
          <w:rFonts w:cs="Arial"/>
          <w:lang w:eastAsia="ja-JP"/>
        </w:rPr>
        <w:t>EI</w:t>
      </w:r>
      <w:r w:rsidR="00D90030" w:rsidRPr="00D93B24">
        <w:rPr>
          <w:rFonts w:cs="Arial"/>
          <w:lang w:eastAsia="ja-JP"/>
        </w:rPr>
        <w:t xml:space="preserve"> [</w:t>
      </w:r>
      <w:r w:rsidR="002935DD" w:rsidRPr="00D93B24">
        <w:t xml:space="preserve">Commission électrotechnique </w:t>
      </w:r>
      <w:r w:rsidR="00196A0A">
        <w:br/>
      </w:r>
      <w:r w:rsidR="00196A0A">
        <w:br w:type="page"/>
      </w:r>
    </w:p>
    <w:p w:rsidR="006F2923" w:rsidRPr="00D93B24" w:rsidRDefault="002935DD" w:rsidP="002935DD">
      <w:pPr>
        <w:tabs>
          <w:tab w:val="left" w:pos="1418"/>
        </w:tabs>
        <w:ind w:left="567" w:right="567"/>
        <w:rPr>
          <w:rFonts w:cs="Arial"/>
          <w:strike/>
          <w:shd w:val="pct15" w:color="auto" w:fill="FFFFFF"/>
          <w:lang w:eastAsia="ja-JP"/>
        </w:rPr>
      </w:pPr>
      <w:r w:rsidRPr="00D93B24">
        <w:lastRenderedPageBreak/>
        <w:t>internationale</w:t>
      </w:r>
      <w:r w:rsidR="00D90030" w:rsidRPr="00D93B24">
        <w:rPr>
          <w:rFonts w:cs="Arial"/>
          <w:lang w:eastAsia="ja-JP"/>
        </w:rPr>
        <w:t>]</w:t>
      </w:r>
      <w:r w:rsidR="00441830" w:rsidRPr="00D93B24">
        <w:rPr>
          <w:rFonts w:cs="Arial"/>
          <w:lang w:eastAsia="ja-JP"/>
        </w:rPr>
        <w:t xml:space="preserve"> </w:t>
      </w:r>
      <w:r w:rsidR="008C12CB" w:rsidRPr="00D93B24">
        <w:rPr>
          <w:rFonts w:cs="Arial"/>
          <w:lang w:eastAsia="ja-JP"/>
        </w:rPr>
        <w:t>8859</w:t>
      </w:r>
      <w:r w:rsidR="00C52279" w:rsidRPr="00D93B24">
        <w:rPr>
          <w:rFonts w:cs="Arial"/>
          <w:lang w:eastAsia="ja-JP"/>
        </w:rPr>
        <w:noBreakHyphen/>
      </w:r>
      <w:r w:rsidR="008C12CB" w:rsidRPr="00D93B24">
        <w:rPr>
          <w:rFonts w:cs="Arial"/>
          <w:lang w:eastAsia="ja-JP"/>
        </w:rPr>
        <w:t>1</w:t>
      </w:r>
      <w:r w:rsidR="006546BF" w:rsidRPr="00D93B24">
        <w:rPr>
          <w:rFonts w:cs="Arial"/>
          <w:lang w:eastAsia="ja-JP"/>
        </w:rPr>
        <w:t> </w:t>
      </w:r>
      <w:r w:rsidR="00D90030" w:rsidRPr="00D93B24">
        <w:rPr>
          <w:rFonts w:cs="Arial"/>
          <w:lang w:eastAsia="ja-JP"/>
        </w:rPr>
        <w:t>: 1998</w:t>
      </w:r>
      <w:r w:rsidRPr="00D93B24">
        <w:rPr>
          <w:rFonts w:cs="Arial"/>
          <w:lang w:eastAsia="ja-JP"/>
        </w:rPr>
        <w:t xml:space="preserve"> sera appliquée</w:t>
      </w:r>
      <w:r w:rsidR="004E14E8" w:rsidRPr="00D93B24">
        <w:rPr>
          <w:rStyle w:val="FootnoteReference"/>
          <w:rFonts w:cs="Arial"/>
          <w:lang w:eastAsia="ja-JP"/>
        </w:rPr>
        <w:footnoteReference w:id="19"/>
      </w:r>
      <w:r w:rsidRPr="00D93B24">
        <w:rPr>
          <w:rFonts w:cs="Arial"/>
          <w:lang w:eastAsia="ja-JP"/>
        </w:rPr>
        <w:t xml:space="preserve">.  </w:t>
      </w:r>
      <w:r w:rsidR="00441830" w:rsidRPr="00D93B24">
        <w:rPr>
          <w:rFonts w:cs="Arial"/>
          <w:strike/>
          <w:shd w:val="pct15" w:color="auto" w:fill="FFFFFF"/>
          <w:lang w:eastAsia="ja-JP"/>
        </w:rPr>
        <w:t>646</w:t>
      </w:r>
      <w:r w:rsidR="00D0561D" w:rsidRPr="00D93B24">
        <w:rPr>
          <w:rFonts w:cs="Arial"/>
          <w:strike/>
          <w:shd w:val="pct15" w:color="auto" w:fill="FFFFFF"/>
          <w:lang w:eastAsia="ja-JP"/>
        </w:rPr>
        <w:t xml:space="preserve"> </w:t>
      </w:r>
      <w:r w:rsidR="00E177E5" w:rsidRPr="00D93B24">
        <w:rPr>
          <w:rFonts w:cs="Arial"/>
          <w:strike/>
          <w:shd w:val="pct15" w:color="auto" w:fill="FFFFFF"/>
          <w:lang w:eastAsia="ja-JP"/>
        </w:rPr>
        <w:t>Les caractères spéciaux, les symboles ou les accents (~, ^, ¨, º, etc.) ne sont pas acceptés</w:t>
      </w:r>
      <w:r w:rsidR="006546BF" w:rsidRPr="00D93B24">
        <w:t>.</w:t>
      </w:r>
      <w:r w:rsidR="006546BF" w:rsidRPr="00D93B24">
        <w:rPr>
          <w:rFonts w:cs="Arial"/>
          <w:strike/>
          <w:shd w:val="pct15" w:color="auto" w:fill="FFFFFF"/>
          <w:lang w:eastAsia="ja-JP"/>
        </w:rPr>
        <w:t xml:space="preserve"> </w:t>
      </w:r>
      <w:r w:rsidR="00CB0459" w:rsidRPr="00D93B24">
        <w:rPr>
          <w:rFonts w:cs="Arial"/>
          <w:strike/>
          <w:shd w:val="pct15" w:color="auto" w:fill="FFFFFF"/>
          <w:lang w:eastAsia="ja-JP"/>
        </w:rPr>
        <w:t xml:space="preserve"> </w:t>
      </w:r>
      <w:r w:rsidR="00E177E5" w:rsidRPr="00D93B24">
        <w:rPr>
          <w:rFonts w:cs="Arial"/>
          <w:strike/>
          <w:shd w:val="pct15" w:color="auto" w:fill="FFFFFF"/>
          <w:lang w:eastAsia="ja-JP"/>
        </w:rPr>
        <w:t>Seuls les caractères de l</w:t>
      </w:r>
      <w:r w:rsidR="006F2923" w:rsidRPr="00D93B24">
        <w:rPr>
          <w:rFonts w:cs="Arial"/>
          <w:strike/>
          <w:shd w:val="pct15" w:color="auto" w:fill="FFFFFF"/>
          <w:lang w:eastAsia="ja-JP"/>
        </w:rPr>
        <w:t>’</w:t>
      </w:r>
      <w:r w:rsidR="00E177E5" w:rsidRPr="00D93B24">
        <w:rPr>
          <w:rFonts w:cs="Arial"/>
          <w:strike/>
          <w:shd w:val="pct15" w:color="auto" w:fill="FFFFFF"/>
          <w:lang w:eastAsia="ja-JP"/>
        </w:rPr>
        <w:t>alphabet anglais peuvent être utilisés</w:t>
      </w:r>
    </w:p>
    <w:p w:rsidR="004500FF" w:rsidRPr="00D93B24" w:rsidRDefault="004500FF" w:rsidP="00F66E48">
      <w:pPr>
        <w:spacing w:line="360" w:lineRule="auto"/>
        <w:rPr>
          <w:lang w:eastAsia="ja-JP"/>
        </w:rPr>
      </w:pPr>
    </w:p>
    <w:p w:rsidR="006F2923" w:rsidRPr="00D93B24" w:rsidRDefault="000010AE" w:rsidP="00F66E48">
      <w:pPr>
        <w:pStyle w:val="Heading3"/>
        <w:rPr>
          <w:lang w:val="fr-FR" w:eastAsia="ja-JP"/>
        </w:rPr>
      </w:pPr>
      <w:bookmarkStart w:id="15" w:name="_Toc432494351"/>
      <w:r w:rsidRPr="00D93B24">
        <w:rPr>
          <w:lang w:val="fr-FR" w:eastAsia="ja-JP"/>
        </w:rPr>
        <w:t>C</w:t>
      </w:r>
      <w:r w:rsidR="00014D5F" w:rsidRPr="00D93B24">
        <w:rPr>
          <w:lang w:val="fr-FR" w:eastAsia="ja-JP"/>
        </w:rPr>
        <w:t>onten</w:t>
      </w:r>
      <w:r w:rsidR="002935DD" w:rsidRPr="00D93B24">
        <w:rPr>
          <w:lang w:val="fr-FR" w:eastAsia="ja-JP"/>
        </w:rPr>
        <w:t>u de la base de données</w:t>
      </w:r>
      <w:r w:rsidR="00874B98" w:rsidRPr="00D93B24">
        <w:rPr>
          <w:lang w:val="fr-FR" w:eastAsia="ja-JP"/>
        </w:rPr>
        <w:t xml:space="preserve"> </w:t>
      </w:r>
      <w:r w:rsidR="00014D5F" w:rsidRPr="00D93B24">
        <w:rPr>
          <w:lang w:val="fr-FR" w:eastAsia="ja-JP"/>
        </w:rPr>
        <w:t>PLUTO</w:t>
      </w:r>
      <w:bookmarkEnd w:id="15"/>
    </w:p>
    <w:p w:rsidR="004500FF" w:rsidRPr="00D93B24" w:rsidRDefault="004500FF" w:rsidP="00F66E48">
      <w:pPr>
        <w:rPr>
          <w:lang w:eastAsia="ja-JP"/>
        </w:rPr>
      </w:pPr>
    </w:p>
    <w:p w:rsidR="004500FF" w:rsidRPr="00D93B24" w:rsidRDefault="00014D5F" w:rsidP="00014D5F">
      <w:pPr>
        <w:rPr>
          <w:lang w:eastAsia="ja-JP"/>
        </w:rPr>
      </w:pPr>
      <w:r w:rsidRPr="00D93B24">
        <w:fldChar w:fldCharType="begin"/>
      </w:r>
      <w:r w:rsidRPr="00D93B24">
        <w:instrText xml:space="preserve"> AUTONUM  </w:instrText>
      </w:r>
      <w:r w:rsidRPr="00D93B24">
        <w:fldChar w:fldCharType="end"/>
      </w:r>
      <w:r w:rsidRPr="00D93B24">
        <w:tab/>
      </w:r>
      <w:r w:rsidR="002935DD" w:rsidRPr="00D93B24">
        <w:rPr>
          <w:spacing w:val="-2"/>
          <w:lang w:eastAsia="ja-JP"/>
        </w:rPr>
        <w:t>À sa deuxième réunion, l</w:t>
      </w:r>
      <w:r w:rsidR="00C0612F" w:rsidRPr="00D93B24">
        <w:rPr>
          <w:spacing w:val="-2"/>
          <w:lang w:eastAsia="ja-JP"/>
        </w:rPr>
        <w:t xml:space="preserve">e </w:t>
      </w:r>
      <w:r w:rsidRPr="00D93B24">
        <w:rPr>
          <w:lang w:eastAsia="ja-JP"/>
        </w:rPr>
        <w:t>WG</w:t>
      </w:r>
      <w:r w:rsidR="00C52279" w:rsidRPr="00D93B24">
        <w:rPr>
          <w:lang w:eastAsia="ja-JP"/>
        </w:rPr>
        <w:noBreakHyphen/>
      </w:r>
      <w:r w:rsidRPr="00D93B24">
        <w:rPr>
          <w:lang w:eastAsia="ja-JP"/>
        </w:rPr>
        <w:t>DST</w:t>
      </w:r>
      <w:r w:rsidR="002935DD" w:rsidRPr="00D93B24">
        <w:rPr>
          <w:lang w:eastAsia="ja-JP"/>
        </w:rPr>
        <w:t xml:space="preserve"> a examiné le</w:t>
      </w:r>
      <w:r w:rsidRPr="00D93B24">
        <w:rPr>
          <w:lang w:eastAsia="ja-JP"/>
        </w:rPr>
        <w:t xml:space="preserve"> document </w:t>
      </w:r>
      <w:r w:rsidR="00E00FFC" w:rsidRPr="00D93B24">
        <w:rPr>
          <w:lang w:eastAsia="ja-JP"/>
        </w:rPr>
        <w:t>UPOV/</w:t>
      </w:r>
      <w:r w:rsidR="002935DD" w:rsidRPr="00D93B24">
        <w:rPr>
          <w:lang w:eastAsia="ja-JP"/>
        </w:rPr>
        <w:t>WG</w:t>
      </w:r>
      <w:r w:rsidR="00C52279" w:rsidRPr="00D93B24">
        <w:rPr>
          <w:lang w:eastAsia="ja-JP"/>
        </w:rPr>
        <w:noBreakHyphen/>
      </w:r>
      <w:r w:rsidR="002935DD" w:rsidRPr="00D93B24">
        <w:rPr>
          <w:lang w:eastAsia="ja-JP"/>
        </w:rPr>
        <w:t xml:space="preserve">DST/2/2 </w:t>
      </w:r>
      <w:r w:rsidR="006546BF" w:rsidRPr="00D93B24">
        <w:rPr>
          <w:lang w:eastAsia="ja-JP"/>
        </w:rPr>
        <w:t>“</w:t>
      </w:r>
      <w:r w:rsidR="002935DD" w:rsidRPr="00D93B24">
        <w:rPr>
          <w:lang w:eastAsia="ja-JP"/>
        </w:rPr>
        <w:t>Ré</w:t>
      </w:r>
      <w:r w:rsidRPr="00D93B24">
        <w:rPr>
          <w:lang w:eastAsia="ja-JP"/>
        </w:rPr>
        <w:t xml:space="preserve">vision </w:t>
      </w:r>
      <w:r w:rsidR="002935DD" w:rsidRPr="00D93B24">
        <w:rPr>
          <w:lang w:eastAsia="ja-JP"/>
        </w:rPr>
        <w:t>du document</w:t>
      </w:r>
      <w:r w:rsidRPr="00D93B24">
        <w:rPr>
          <w:lang w:eastAsia="ja-JP"/>
        </w:rPr>
        <w:t xml:space="preserve"> UPOV/INF/12 </w:t>
      </w:r>
      <w:r w:rsidR="006F2923" w:rsidRPr="00D93B24">
        <w:rPr>
          <w:lang w:eastAsia="ja-JP"/>
        </w:rPr>
        <w:t>‘</w:t>
      </w:r>
      <w:r w:rsidR="002935DD" w:rsidRPr="00D93B24">
        <w:rPr>
          <w:rFonts w:eastAsia="Times New Roman"/>
        </w:rPr>
        <w:t>N</w:t>
      </w:r>
      <w:r w:rsidR="00443FA9" w:rsidRPr="00D93B24">
        <w:rPr>
          <w:rFonts w:eastAsia="Times New Roman"/>
        </w:rPr>
        <w:t>otes explicatives concernant les dénominations variétales</w:t>
      </w:r>
      <w:r w:rsidRPr="00D93B24">
        <w:rPr>
          <w:lang w:eastAsia="ja-JP"/>
        </w:rPr>
        <w:t xml:space="preserve"> </w:t>
      </w:r>
      <w:r w:rsidR="00443FA9" w:rsidRPr="00D93B24">
        <w:rPr>
          <w:lang w:eastAsia="ja-JP"/>
        </w:rPr>
        <w:t>en vertu de la</w:t>
      </w:r>
      <w:r w:rsidRPr="00D93B24">
        <w:rPr>
          <w:lang w:eastAsia="ja-JP"/>
        </w:rPr>
        <w:t xml:space="preserve"> </w:t>
      </w:r>
      <w:r w:rsidR="006F2923" w:rsidRPr="00D93B24">
        <w:rPr>
          <w:lang w:eastAsia="ja-JP"/>
        </w:rPr>
        <w:t>Convention UPOV’</w:t>
      </w:r>
      <w:r w:rsidR="006546BF" w:rsidRPr="00D93B24">
        <w:rPr>
          <w:lang w:eastAsia="ja-JP"/>
        </w:rPr>
        <w:t>”</w:t>
      </w:r>
      <w:r w:rsidRPr="00D93B24">
        <w:rPr>
          <w:lang w:eastAsia="ja-JP"/>
        </w:rPr>
        <w:t>.</w:t>
      </w:r>
    </w:p>
    <w:p w:rsidR="004500FF" w:rsidRPr="00D93B24" w:rsidRDefault="004500FF" w:rsidP="00014D5F">
      <w:pPr>
        <w:rPr>
          <w:rFonts w:cs="Arial"/>
          <w:lang w:eastAsia="ja-JP"/>
        </w:rPr>
      </w:pPr>
    </w:p>
    <w:p w:rsidR="00443FA9" w:rsidRPr="00D93B24" w:rsidRDefault="00014D5F" w:rsidP="00014D5F">
      <w:r w:rsidRPr="00D93B24">
        <w:fldChar w:fldCharType="begin"/>
      </w:r>
      <w:r w:rsidRPr="00D93B24">
        <w:instrText xml:space="preserve"> AUTONUM  </w:instrText>
      </w:r>
      <w:r w:rsidRPr="00D93B24">
        <w:fldChar w:fldCharType="end"/>
      </w:r>
      <w:r w:rsidRPr="00D93B24">
        <w:tab/>
      </w:r>
      <w:r w:rsidR="00C0612F" w:rsidRPr="00D93B24">
        <w:rPr>
          <w:spacing w:val="-2"/>
          <w:lang w:eastAsia="ja-JP"/>
        </w:rPr>
        <w:t xml:space="preserve">Le </w:t>
      </w:r>
      <w:r w:rsidR="00443FA9" w:rsidRPr="00D93B24">
        <w:t>WG</w:t>
      </w:r>
      <w:r w:rsidR="00C52279" w:rsidRPr="00D93B24">
        <w:noBreakHyphen/>
      </w:r>
      <w:r w:rsidR="00443FA9" w:rsidRPr="00D93B24">
        <w:t xml:space="preserve">DST est convenu de recommander de veiller à éviter de réutiliser des dénominations dans tous les cas. </w:t>
      </w:r>
      <w:r w:rsidR="00907430" w:rsidRPr="00D93B24">
        <w:t xml:space="preserve"> </w:t>
      </w:r>
      <w:r w:rsidR="00443FA9" w:rsidRPr="00D93B24">
        <w:t>À cet égard, le WG</w:t>
      </w:r>
      <w:r w:rsidR="00C52279" w:rsidRPr="00D93B24">
        <w:noBreakHyphen/>
      </w:r>
      <w:r w:rsidR="00443FA9" w:rsidRPr="00D93B24">
        <w:t>DST est convenu d</w:t>
      </w:r>
      <w:r w:rsidR="006F2923" w:rsidRPr="00D93B24">
        <w:t>’</w:t>
      </w:r>
      <w:r w:rsidR="00443FA9" w:rsidRPr="00D93B24">
        <w:t>inviter</w:t>
      </w:r>
      <w:r w:rsidR="006F2923" w:rsidRPr="00D93B24">
        <w:t xml:space="preserve"> le CAJ</w:t>
      </w:r>
      <w:r w:rsidR="00443FA9" w:rsidRPr="00D93B24">
        <w:t xml:space="preserve"> à examiner s</w:t>
      </w:r>
      <w:r w:rsidR="006F2923" w:rsidRPr="00D93B24">
        <w:t>’</w:t>
      </w:r>
      <w:r w:rsidR="00443FA9" w:rsidRPr="00D93B24">
        <w:t>il convient d</w:t>
      </w:r>
      <w:r w:rsidR="006F2923" w:rsidRPr="00D93B24">
        <w:t>’</w:t>
      </w:r>
      <w:r w:rsidR="00443FA9" w:rsidRPr="00D93B24">
        <w:t xml:space="preserve">élargir le contenu de la base de données PLUTO à toutes les variétés reconnues, </w:t>
      </w:r>
      <w:r w:rsidR="006F2923" w:rsidRPr="00D93B24">
        <w:t>y compris</w:t>
      </w:r>
      <w:r w:rsidR="00443FA9" w:rsidRPr="00D93B24">
        <w:t xml:space="preserve"> celles qui n</w:t>
      </w:r>
      <w:r w:rsidR="006F2923" w:rsidRPr="00D93B24">
        <w:t>’</w:t>
      </w:r>
      <w:r w:rsidR="00443FA9" w:rsidRPr="00D93B24">
        <w:t>ont pas été enregistrées ou protégées, ou ne le sont plus</w:t>
      </w:r>
      <w:r w:rsidR="00443FA9" w:rsidRPr="00D93B24">
        <w:rPr>
          <w:rStyle w:val="FootnoteReference"/>
        </w:rPr>
        <w:footnoteReference w:id="20"/>
      </w:r>
      <w:r w:rsidR="006546BF" w:rsidRPr="00D93B24">
        <w:t>.</w:t>
      </w:r>
    </w:p>
    <w:p w:rsidR="004500FF" w:rsidRPr="00D93B24" w:rsidRDefault="004500FF" w:rsidP="00014D5F"/>
    <w:p w:rsidR="004500FF" w:rsidRPr="00D93B24" w:rsidRDefault="00C273DF" w:rsidP="00014D5F">
      <w:r w:rsidRPr="00D93B24">
        <w:fldChar w:fldCharType="begin"/>
      </w:r>
      <w:r w:rsidRPr="00D93B24">
        <w:instrText xml:space="preserve"> AUTONUM  </w:instrText>
      </w:r>
      <w:r w:rsidRPr="00D93B24">
        <w:fldChar w:fldCharType="end"/>
      </w:r>
      <w:r w:rsidRPr="00D93B24">
        <w:tab/>
      </w:r>
      <w:r w:rsidR="00443FA9" w:rsidRPr="00D93B24">
        <w:t>Ce point sera examiné plus avant à la troisième réunion du</w:t>
      </w:r>
      <w:r w:rsidRPr="00D93B24">
        <w:t xml:space="preserve"> WG</w:t>
      </w:r>
      <w:r w:rsidR="00C52279" w:rsidRPr="00D93B24">
        <w:noBreakHyphen/>
      </w:r>
      <w:r w:rsidRPr="00D93B24">
        <w:t xml:space="preserve">DST, </w:t>
      </w:r>
      <w:r w:rsidR="00443FA9" w:rsidRPr="00D93B24">
        <w:t xml:space="preserve">qui se tiendra à Genève le </w:t>
      </w:r>
      <w:r w:rsidR="006F2923" w:rsidRPr="00D93B24">
        <w:t>2 octobre 20</w:t>
      </w:r>
      <w:r w:rsidR="00443FA9" w:rsidRPr="00D93B24">
        <w:t>15.</w:t>
      </w:r>
      <w:r w:rsidR="00907430" w:rsidRPr="00D93B24">
        <w:t xml:space="preserve"> </w:t>
      </w:r>
      <w:r w:rsidR="00443FA9" w:rsidRPr="00D93B24">
        <w:t xml:space="preserve"> Il sera rendu compte des débats tenus à la troisième réunion du</w:t>
      </w:r>
      <w:r w:rsidRPr="00D93B24">
        <w:t xml:space="preserve"> WG</w:t>
      </w:r>
      <w:r w:rsidR="00C52279" w:rsidRPr="00D93B24">
        <w:noBreakHyphen/>
      </w:r>
      <w:r w:rsidRPr="00D93B24">
        <w:t xml:space="preserve">DST </w:t>
      </w:r>
      <w:r w:rsidR="00443FA9" w:rsidRPr="00D93B24">
        <w:t>lors de la soixante</w:t>
      </w:r>
      <w:r w:rsidR="00C52279" w:rsidRPr="00D93B24">
        <w:noBreakHyphen/>
      </w:r>
      <w:r w:rsidR="00443FA9" w:rsidRPr="00D93B24">
        <w:t>douzième</w:t>
      </w:r>
      <w:r w:rsidR="006546BF" w:rsidRPr="00D93B24">
        <w:t> </w:t>
      </w:r>
      <w:r w:rsidR="00443FA9" w:rsidRPr="00D93B24">
        <w:t>session</w:t>
      </w:r>
      <w:r w:rsidR="006F2923" w:rsidRPr="00D93B24">
        <w:t xml:space="preserve"> du CAJ</w:t>
      </w:r>
      <w:r w:rsidR="00443FA9" w:rsidRPr="00D93B24">
        <w:t>.</w:t>
      </w:r>
    </w:p>
    <w:p w:rsidR="004500FF" w:rsidRPr="00D93B24" w:rsidRDefault="004500FF" w:rsidP="00F66E48">
      <w:pPr>
        <w:spacing w:line="360" w:lineRule="auto"/>
      </w:pPr>
    </w:p>
    <w:p w:rsidR="004500FF" w:rsidRPr="00D93B24" w:rsidRDefault="00443FA9" w:rsidP="00014D5F">
      <w:pPr>
        <w:keepNext/>
        <w:outlineLvl w:val="2"/>
        <w:rPr>
          <w:rFonts w:eastAsiaTheme="minorEastAsia"/>
          <w:i/>
          <w:lang w:eastAsia="ja-JP"/>
        </w:rPr>
      </w:pPr>
      <w:bookmarkStart w:id="16" w:name="_Toc425258849"/>
      <w:bookmarkStart w:id="17" w:name="_Toc432494352"/>
      <w:r w:rsidRPr="00D93B24">
        <w:rPr>
          <w:rFonts w:eastAsiaTheme="minorEastAsia"/>
          <w:i/>
          <w:lang w:eastAsia="ja-JP"/>
        </w:rPr>
        <w:t xml:space="preserve">Termes non </w:t>
      </w:r>
      <w:r w:rsidR="00014D5F" w:rsidRPr="00D93B24">
        <w:rPr>
          <w:rFonts w:eastAsiaTheme="minorEastAsia"/>
          <w:i/>
          <w:lang w:eastAsia="ja-JP"/>
        </w:rPr>
        <w:t>acceptable</w:t>
      </w:r>
      <w:r w:rsidRPr="00D93B24">
        <w:rPr>
          <w:rFonts w:eastAsiaTheme="minorEastAsia"/>
          <w:i/>
          <w:lang w:eastAsia="ja-JP"/>
        </w:rPr>
        <w:t>s à des fins de dénomination variétale</w:t>
      </w:r>
      <w:bookmarkEnd w:id="16"/>
      <w:bookmarkEnd w:id="17"/>
    </w:p>
    <w:p w:rsidR="004500FF" w:rsidRPr="00D93B24" w:rsidRDefault="004500FF" w:rsidP="00014D5F">
      <w:pPr>
        <w:autoSpaceDE w:val="0"/>
        <w:autoSpaceDN w:val="0"/>
        <w:adjustRightInd w:val="0"/>
        <w:jc w:val="left"/>
        <w:rPr>
          <w:rFonts w:eastAsiaTheme="minorEastAsia"/>
          <w:lang w:eastAsia="ja-JP"/>
        </w:rPr>
      </w:pPr>
    </w:p>
    <w:p w:rsidR="00443FA9" w:rsidRPr="00D93B24" w:rsidRDefault="00014D5F" w:rsidP="000B178E">
      <w:pPr>
        <w:autoSpaceDE w:val="0"/>
        <w:autoSpaceDN w:val="0"/>
        <w:adjustRightInd w:val="0"/>
        <w:rPr>
          <w:rFonts w:eastAsiaTheme="minorEastAsia"/>
          <w:lang w:eastAsia="ja-JP"/>
        </w:rPr>
      </w:pPr>
      <w:r w:rsidRPr="00D93B24">
        <w:rPr>
          <w:rFonts w:eastAsiaTheme="minorEastAsia"/>
        </w:rPr>
        <w:fldChar w:fldCharType="begin"/>
      </w:r>
      <w:r w:rsidRPr="00D93B24">
        <w:rPr>
          <w:rFonts w:eastAsiaTheme="minorEastAsia"/>
        </w:rPr>
        <w:instrText xml:space="preserve"> AUTONUM  </w:instrText>
      </w:r>
      <w:r w:rsidRPr="00D93B24">
        <w:rPr>
          <w:rFonts w:eastAsiaTheme="minorEastAsia"/>
        </w:rPr>
        <w:fldChar w:fldCharType="end"/>
      </w:r>
      <w:r w:rsidRPr="00D93B24">
        <w:rPr>
          <w:rFonts w:eastAsiaTheme="minorEastAsia"/>
        </w:rPr>
        <w:tab/>
      </w:r>
      <w:r w:rsidR="00C0612F" w:rsidRPr="00D93B24">
        <w:rPr>
          <w:spacing w:val="-2"/>
          <w:lang w:eastAsia="ja-JP"/>
        </w:rPr>
        <w:t xml:space="preserve">Le </w:t>
      </w:r>
      <w:r w:rsidRPr="00D93B24">
        <w:rPr>
          <w:rFonts w:eastAsiaTheme="minorEastAsia"/>
          <w:lang w:eastAsia="ja-JP"/>
        </w:rPr>
        <w:t>WG</w:t>
      </w:r>
      <w:r w:rsidR="00C52279" w:rsidRPr="00D93B24">
        <w:rPr>
          <w:rFonts w:eastAsiaTheme="minorEastAsia"/>
          <w:lang w:eastAsia="ja-JP"/>
        </w:rPr>
        <w:noBreakHyphen/>
      </w:r>
      <w:r w:rsidRPr="00D93B24">
        <w:rPr>
          <w:rFonts w:eastAsiaTheme="minorEastAsia"/>
          <w:lang w:eastAsia="ja-JP"/>
        </w:rPr>
        <w:t xml:space="preserve">DST </w:t>
      </w:r>
      <w:r w:rsidR="00443FA9" w:rsidRPr="00D93B24">
        <w:rPr>
          <w:rFonts w:eastAsiaTheme="minorEastAsia"/>
          <w:lang w:eastAsia="ja-JP"/>
        </w:rPr>
        <w:t>est convenu d</w:t>
      </w:r>
      <w:r w:rsidR="006F2923" w:rsidRPr="00D93B24">
        <w:rPr>
          <w:rFonts w:eastAsiaTheme="minorEastAsia"/>
          <w:lang w:eastAsia="ja-JP"/>
        </w:rPr>
        <w:t>’</w:t>
      </w:r>
      <w:r w:rsidR="00443FA9" w:rsidRPr="00D93B24">
        <w:rPr>
          <w:rFonts w:eastAsiaTheme="minorEastAsia"/>
          <w:lang w:eastAsia="ja-JP"/>
        </w:rPr>
        <w:t>inviter</w:t>
      </w:r>
      <w:r w:rsidR="006F2923" w:rsidRPr="00D93B24">
        <w:rPr>
          <w:rFonts w:eastAsiaTheme="minorEastAsia"/>
          <w:lang w:eastAsia="ja-JP"/>
        </w:rPr>
        <w:t xml:space="preserve"> le CAJ</w:t>
      </w:r>
      <w:r w:rsidR="00443FA9" w:rsidRPr="00D93B24">
        <w:rPr>
          <w:rFonts w:eastAsiaTheme="minorEastAsia"/>
          <w:lang w:eastAsia="ja-JP"/>
        </w:rPr>
        <w:t xml:space="preserve"> à examiner s</w:t>
      </w:r>
      <w:r w:rsidR="006F2923" w:rsidRPr="00D93B24">
        <w:rPr>
          <w:rFonts w:eastAsiaTheme="minorEastAsia"/>
          <w:lang w:eastAsia="ja-JP"/>
        </w:rPr>
        <w:t>’</w:t>
      </w:r>
      <w:r w:rsidR="00443FA9" w:rsidRPr="00D93B24">
        <w:rPr>
          <w:rFonts w:eastAsiaTheme="minorEastAsia"/>
          <w:lang w:eastAsia="ja-JP"/>
        </w:rPr>
        <w:t>il convient d</w:t>
      </w:r>
      <w:r w:rsidR="006F2923" w:rsidRPr="00D93B24">
        <w:rPr>
          <w:rFonts w:eastAsiaTheme="minorEastAsia"/>
          <w:lang w:eastAsia="ja-JP"/>
        </w:rPr>
        <w:t>’</w:t>
      </w:r>
      <w:r w:rsidR="00443FA9" w:rsidRPr="00D93B24">
        <w:rPr>
          <w:rFonts w:eastAsiaTheme="minorEastAsia"/>
          <w:lang w:eastAsia="ja-JP"/>
        </w:rPr>
        <w:t>établir une liste de termes non acceptables à des fins de dénomination variétale, fonction qui viendrait s</w:t>
      </w:r>
      <w:r w:rsidR="006F2923" w:rsidRPr="00D93B24">
        <w:rPr>
          <w:rFonts w:eastAsiaTheme="minorEastAsia"/>
          <w:lang w:eastAsia="ja-JP"/>
        </w:rPr>
        <w:t>’</w:t>
      </w:r>
      <w:r w:rsidR="00443FA9" w:rsidRPr="00D93B24">
        <w:rPr>
          <w:rFonts w:eastAsiaTheme="minorEastAsia"/>
          <w:lang w:eastAsia="ja-JP"/>
        </w:rPr>
        <w:t>ajouter à l</w:t>
      </w:r>
      <w:r w:rsidR="006F2923" w:rsidRPr="00D93B24">
        <w:rPr>
          <w:rFonts w:eastAsiaTheme="minorEastAsia"/>
          <w:lang w:eastAsia="ja-JP"/>
        </w:rPr>
        <w:t>’</w:t>
      </w:r>
      <w:r w:rsidR="00443FA9" w:rsidRPr="00D93B24">
        <w:rPr>
          <w:rFonts w:eastAsiaTheme="minorEastAsia"/>
          <w:lang w:eastAsia="ja-JP"/>
        </w:rPr>
        <w:t>outil de recherche de dénomination de l</w:t>
      </w:r>
      <w:r w:rsidR="006F2923" w:rsidRPr="00D93B24">
        <w:rPr>
          <w:rFonts w:eastAsiaTheme="minorEastAsia"/>
          <w:lang w:eastAsia="ja-JP"/>
        </w:rPr>
        <w:t>’</w:t>
      </w:r>
      <w:r w:rsidR="00443FA9" w:rsidRPr="00D93B24">
        <w:rPr>
          <w:rFonts w:eastAsiaTheme="minorEastAsia"/>
          <w:lang w:eastAsia="ja-JP"/>
        </w:rPr>
        <w:t>UPOV.</w:t>
      </w:r>
      <w:r w:rsidR="00907430" w:rsidRPr="00D93B24">
        <w:rPr>
          <w:rFonts w:eastAsiaTheme="minorEastAsia"/>
          <w:lang w:eastAsia="ja-JP"/>
        </w:rPr>
        <w:t xml:space="preserve"> </w:t>
      </w:r>
      <w:r w:rsidR="00443FA9" w:rsidRPr="00D93B24">
        <w:rPr>
          <w:rFonts w:eastAsiaTheme="minorEastAsia"/>
          <w:lang w:eastAsia="ja-JP"/>
        </w:rPr>
        <w:t xml:space="preserve"> Il est rendu compte des faits nouveaux à ce propos dans le document CAJ/72/4 </w:t>
      </w:r>
      <w:r w:rsidR="006546BF" w:rsidRPr="00D93B24">
        <w:rPr>
          <w:rFonts w:eastAsiaTheme="minorEastAsia"/>
          <w:lang w:eastAsia="ja-JP"/>
        </w:rPr>
        <w:t>“</w:t>
      </w:r>
      <w:r w:rsidR="00443FA9" w:rsidRPr="00D93B24">
        <w:rPr>
          <w:rFonts w:eastAsiaTheme="minorEastAsia"/>
          <w:lang w:eastAsia="ja-JP"/>
        </w:rPr>
        <w:t>Dénominations variétales</w:t>
      </w:r>
      <w:r w:rsidR="006546BF" w:rsidRPr="00D93B24">
        <w:rPr>
          <w:rFonts w:eastAsiaTheme="minorEastAsia"/>
          <w:lang w:eastAsia="ja-JP"/>
        </w:rPr>
        <w:t>”</w:t>
      </w:r>
      <w:r w:rsidR="00443FA9" w:rsidRPr="00D93B24">
        <w:rPr>
          <w:rStyle w:val="FootnoteReference"/>
          <w:lang w:eastAsia="ja-JP"/>
        </w:rPr>
        <w:footnoteReference w:id="21"/>
      </w:r>
      <w:r w:rsidR="006546BF" w:rsidRPr="00D93B24">
        <w:rPr>
          <w:lang w:eastAsia="ja-JP"/>
        </w:rPr>
        <w:t>.</w:t>
      </w:r>
    </w:p>
    <w:p w:rsidR="004500FF" w:rsidRPr="00D93B24" w:rsidRDefault="004500FF" w:rsidP="000B178E">
      <w:pPr>
        <w:autoSpaceDE w:val="0"/>
        <w:autoSpaceDN w:val="0"/>
        <w:adjustRightInd w:val="0"/>
        <w:rPr>
          <w:lang w:eastAsia="ja-JP"/>
        </w:rPr>
      </w:pPr>
    </w:p>
    <w:p w:rsidR="004500FF" w:rsidRPr="00D93B24" w:rsidRDefault="00285C4C" w:rsidP="001A7840">
      <w:pPr>
        <w:pStyle w:val="DecisionInvitingPara"/>
        <w:tabs>
          <w:tab w:val="left" w:pos="5387"/>
          <w:tab w:val="left" w:pos="5954"/>
        </w:tabs>
        <w:ind w:left="4820"/>
        <w:rPr>
          <w:lang w:val="fr-FR"/>
        </w:rPr>
      </w:pPr>
      <w:r w:rsidRPr="00D93B24">
        <w:rPr>
          <w:lang w:val="fr-FR"/>
        </w:rPr>
        <w:fldChar w:fldCharType="begin"/>
      </w:r>
      <w:r w:rsidRPr="00D93B24">
        <w:rPr>
          <w:lang w:val="fr-FR"/>
        </w:rPr>
        <w:instrText xml:space="preserve"> AUTONUM  </w:instrText>
      </w:r>
      <w:r w:rsidRPr="00D93B24">
        <w:rPr>
          <w:lang w:val="fr-FR"/>
        </w:rPr>
        <w:fldChar w:fldCharType="end"/>
      </w:r>
      <w:r w:rsidRPr="00D93B24">
        <w:rPr>
          <w:lang w:val="fr-FR"/>
        </w:rPr>
        <w:tab/>
      </w:r>
      <w:r w:rsidR="00C0612F" w:rsidRPr="00D93B24">
        <w:rPr>
          <w:spacing w:val="-2"/>
          <w:lang w:val="fr-FR" w:eastAsia="ja-JP"/>
        </w:rPr>
        <w:t xml:space="preserve">Le </w:t>
      </w:r>
      <w:r w:rsidRPr="00D93B24">
        <w:rPr>
          <w:lang w:val="fr-FR" w:eastAsia="ja-JP"/>
        </w:rPr>
        <w:t>C</w:t>
      </w:r>
      <w:r w:rsidR="00380003" w:rsidRPr="00D93B24">
        <w:rPr>
          <w:lang w:val="fr-FR" w:eastAsia="ja-JP"/>
        </w:rPr>
        <w:t>AJ</w:t>
      </w:r>
      <w:r w:rsidRPr="00D93B24">
        <w:rPr>
          <w:lang w:val="fr-FR"/>
        </w:rPr>
        <w:t xml:space="preserve"> </w:t>
      </w:r>
      <w:r w:rsidR="00443FA9" w:rsidRPr="00D93B24">
        <w:rPr>
          <w:lang w:val="fr-FR"/>
        </w:rPr>
        <w:t>est invité à</w:t>
      </w:r>
      <w:r w:rsidR="006546BF" w:rsidRPr="00D93B24">
        <w:rPr>
          <w:lang w:val="fr-FR"/>
        </w:rPr>
        <w:t> </w:t>
      </w:r>
    </w:p>
    <w:p w:rsidR="004500FF" w:rsidRPr="00D93B24" w:rsidRDefault="004500FF" w:rsidP="001A7840">
      <w:pPr>
        <w:pStyle w:val="DecisionInvitingPara"/>
        <w:tabs>
          <w:tab w:val="left" w:pos="5387"/>
          <w:tab w:val="left" w:pos="5954"/>
        </w:tabs>
        <w:ind w:left="4820"/>
        <w:rPr>
          <w:lang w:val="fr-FR" w:eastAsia="ja-JP"/>
        </w:rPr>
      </w:pPr>
    </w:p>
    <w:p w:rsidR="004500FF" w:rsidRPr="00D93B24" w:rsidRDefault="00F90763" w:rsidP="001A7840">
      <w:pPr>
        <w:pStyle w:val="DecisionInvitingPara"/>
        <w:tabs>
          <w:tab w:val="left" w:pos="5387"/>
          <w:tab w:val="left" w:pos="5954"/>
        </w:tabs>
        <w:ind w:left="4820" w:firstLine="567"/>
        <w:rPr>
          <w:snapToGrid w:val="0"/>
          <w:lang w:val="fr-FR" w:eastAsia="ja-JP"/>
        </w:rPr>
      </w:pPr>
      <w:r w:rsidRPr="00D93B24">
        <w:rPr>
          <w:rFonts w:eastAsia="MS Mincho"/>
          <w:lang w:val="fr-FR" w:eastAsia="ja-JP"/>
        </w:rPr>
        <w:t>a</w:t>
      </w:r>
      <w:r w:rsidR="00380003" w:rsidRPr="00D93B24">
        <w:rPr>
          <w:lang w:val="fr-FR" w:eastAsia="ja-JP"/>
        </w:rPr>
        <w:t>)</w:t>
      </w:r>
      <w:r w:rsidR="00380003" w:rsidRPr="00D93B24">
        <w:rPr>
          <w:lang w:val="fr-FR" w:eastAsia="ja-JP"/>
        </w:rPr>
        <w:tab/>
      </w:r>
      <w:r w:rsidR="00443FA9" w:rsidRPr="00D93B24">
        <w:rPr>
          <w:lang w:val="fr-FR" w:eastAsia="ja-JP"/>
        </w:rPr>
        <w:t xml:space="preserve">prendre </w:t>
      </w:r>
      <w:r w:rsidR="002F132E" w:rsidRPr="00D93B24">
        <w:rPr>
          <w:lang w:val="fr-FR" w:eastAsia="ja-JP"/>
        </w:rPr>
        <w:t xml:space="preserve">note </w:t>
      </w:r>
      <w:r w:rsidR="00443FA9" w:rsidRPr="00D93B24">
        <w:rPr>
          <w:lang w:val="fr-FR" w:eastAsia="ja-JP"/>
        </w:rPr>
        <w:t>des faits nouveaux concernant les bases de données</w:t>
      </w:r>
      <w:r w:rsidR="00111A35" w:rsidRPr="00D93B24">
        <w:rPr>
          <w:lang w:val="fr-FR" w:eastAsia="ja-JP"/>
        </w:rPr>
        <w:t xml:space="preserve"> </w:t>
      </w:r>
      <w:r w:rsidR="002145E7" w:rsidRPr="00D93B24">
        <w:rPr>
          <w:rFonts w:eastAsia="MS Mincho"/>
          <w:lang w:val="fr-FR" w:eastAsia="ja-JP"/>
        </w:rPr>
        <w:t xml:space="preserve">GENIE </w:t>
      </w:r>
      <w:r w:rsidR="00443FA9" w:rsidRPr="00D93B24">
        <w:rPr>
          <w:rFonts w:eastAsia="MS Mincho"/>
          <w:lang w:val="fr-FR" w:eastAsia="ja-JP"/>
        </w:rPr>
        <w:t>et</w:t>
      </w:r>
      <w:r w:rsidR="002145E7" w:rsidRPr="00D93B24">
        <w:rPr>
          <w:rFonts w:eastAsia="MS Mincho"/>
          <w:lang w:val="fr-FR" w:eastAsia="ja-JP"/>
        </w:rPr>
        <w:t xml:space="preserve"> </w:t>
      </w:r>
      <w:r w:rsidR="00443FA9" w:rsidRPr="00D93B24">
        <w:rPr>
          <w:lang w:val="fr-FR" w:eastAsia="ja-JP"/>
        </w:rPr>
        <w:t>PLUTO, indiqués aux</w:t>
      </w:r>
      <w:r w:rsidR="000010AE" w:rsidRPr="00D93B24">
        <w:rPr>
          <w:lang w:val="fr-FR" w:eastAsia="ja-JP"/>
        </w:rPr>
        <w:t xml:space="preserve"> paragraph</w:t>
      </w:r>
      <w:r w:rsidR="00443FA9" w:rsidRPr="00D93B24">
        <w:rPr>
          <w:lang w:val="fr-FR" w:eastAsia="ja-JP"/>
        </w:rPr>
        <w:t>e</w:t>
      </w:r>
      <w:r w:rsidR="000010AE" w:rsidRPr="00D93B24">
        <w:rPr>
          <w:lang w:val="fr-FR" w:eastAsia="ja-JP"/>
        </w:rPr>
        <w:t>s</w:t>
      </w:r>
      <w:r w:rsidR="006546BF" w:rsidRPr="00D93B24">
        <w:rPr>
          <w:lang w:val="fr-FR" w:eastAsia="ja-JP"/>
        </w:rPr>
        <w:t> </w:t>
      </w:r>
      <w:r w:rsidR="000010AE" w:rsidRPr="00D93B24">
        <w:rPr>
          <w:lang w:val="fr-FR" w:eastAsia="ja-JP"/>
        </w:rPr>
        <w:t xml:space="preserve">6 </w:t>
      </w:r>
      <w:r w:rsidR="00443FA9" w:rsidRPr="00D93B24">
        <w:rPr>
          <w:lang w:val="fr-FR" w:eastAsia="ja-JP"/>
        </w:rPr>
        <w:t>à</w:t>
      </w:r>
      <w:r w:rsidR="000010AE" w:rsidRPr="00D93B24">
        <w:rPr>
          <w:lang w:val="fr-FR" w:eastAsia="ja-JP"/>
        </w:rPr>
        <w:t xml:space="preserve"> 16 </w:t>
      </w:r>
      <w:r w:rsidR="00443FA9" w:rsidRPr="00D93B24">
        <w:rPr>
          <w:lang w:val="fr-FR" w:eastAsia="ja-JP"/>
        </w:rPr>
        <w:t>ci</w:t>
      </w:r>
      <w:r w:rsidR="00C52279" w:rsidRPr="00D93B24">
        <w:rPr>
          <w:lang w:val="fr-FR" w:eastAsia="ja-JP"/>
        </w:rPr>
        <w:noBreakHyphen/>
      </w:r>
      <w:r w:rsidR="00443FA9" w:rsidRPr="00D93B24">
        <w:rPr>
          <w:lang w:val="fr-FR" w:eastAsia="ja-JP"/>
        </w:rPr>
        <w:t>dessus</w:t>
      </w:r>
      <w:r w:rsidR="00C52279" w:rsidRPr="00D93B24">
        <w:rPr>
          <w:lang w:val="fr-FR" w:eastAsia="ja-JP"/>
        </w:rPr>
        <w:t>,</w:t>
      </w:r>
    </w:p>
    <w:p w:rsidR="004500FF" w:rsidRPr="00D93B24" w:rsidRDefault="004500FF" w:rsidP="001A7840">
      <w:pPr>
        <w:pStyle w:val="DecisionInvitingPara"/>
        <w:tabs>
          <w:tab w:val="left" w:pos="5387"/>
          <w:tab w:val="left" w:pos="5954"/>
        </w:tabs>
        <w:ind w:left="4820" w:firstLine="567"/>
        <w:rPr>
          <w:snapToGrid w:val="0"/>
          <w:lang w:val="fr-FR" w:eastAsia="ja-JP"/>
        </w:rPr>
      </w:pPr>
    </w:p>
    <w:p w:rsidR="0047493D" w:rsidRPr="00D93B24" w:rsidRDefault="00F90763" w:rsidP="0047493D">
      <w:pPr>
        <w:pStyle w:val="DecisionInvitingPara"/>
        <w:tabs>
          <w:tab w:val="left" w:pos="5387"/>
          <w:tab w:val="left" w:pos="5954"/>
        </w:tabs>
        <w:ind w:left="4820" w:firstLine="567"/>
        <w:rPr>
          <w:lang w:val="fr-FR"/>
        </w:rPr>
      </w:pPr>
      <w:r w:rsidRPr="00D93B24">
        <w:rPr>
          <w:rFonts w:eastAsia="MS Mincho"/>
          <w:snapToGrid w:val="0"/>
          <w:lang w:val="fr-FR" w:eastAsia="ja-JP"/>
        </w:rPr>
        <w:t>b</w:t>
      </w:r>
      <w:r w:rsidR="00380003" w:rsidRPr="00D93B24">
        <w:rPr>
          <w:snapToGrid w:val="0"/>
          <w:lang w:val="fr-FR" w:eastAsia="ja-JP"/>
        </w:rPr>
        <w:t>)</w:t>
      </w:r>
      <w:r w:rsidR="00380003" w:rsidRPr="00D93B24">
        <w:rPr>
          <w:snapToGrid w:val="0"/>
          <w:lang w:val="fr-FR" w:eastAsia="ja-JP"/>
        </w:rPr>
        <w:tab/>
      </w:r>
      <w:r w:rsidR="00443FA9" w:rsidRPr="00D93B24">
        <w:rPr>
          <w:snapToGrid w:val="0"/>
          <w:lang w:val="fr-FR" w:eastAsia="ja-JP"/>
        </w:rPr>
        <w:t>examiner s</w:t>
      </w:r>
      <w:r w:rsidR="006F2923" w:rsidRPr="00D93B24">
        <w:rPr>
          <w:snapToGrid w:val="0"/>
          <w:lang w:val="fr-FR" w:eastAsia="ja-JP"/>
        </w:rPr>
        <w:t>’</w:t>
      </w:r>
      <w:r w:rsidR="00443FA9" w:rsidRPr="00D93B24">
        <w:rPr>
          <w:snapToGrid w:val="0"/>
          <w:lang w:val="fr-FR" w:eastAsia="ja-JP"/>
        </w:rPr>
        <w:t>il convient d</w:t>
      </w:r>
      <w:r w:rsidR="006F2923" w:rsidRPr="00D93B24">
        <w:rPr>
          <w:snapToGrid w:val="0"/>
          <w:lang w:val="fr-FR" w:eastAsia="ja-JP"/>
        </w:rPr>
        <w:t>’</w:t>
      </w:r>
      <w:r w:rsidR="00443FA9" w:rsidRPr="00D93B24">
        <w:rPr>
          <w:snapToGrid w:val="0"/>
          <w:lang w:val="fr-FR" w:eastAsia="ja-JP"/>
        </w:rPr>
        <w:t>accepter des</w:t>
      </w:r>
      <w:r w:rsidR="00B32C07" w:rsidRPr="00D93B24">
        <w:rPr>
          <w:snapToGrid w:val="0"/>
          <w:lang w:val="fr-FR" w:eastAsia="ja-JP"/>
        </w:rPr>
        <w:t xml:space="preserve"> accents </w:t>
      </w:r>
      <w:r w:rsidR="00443FA9" w:rsidRPr="00D93B24">
        <w:rPr>
          <w:snapToGrid w:val="0"/>
          <w:lang w:val="fr-FR" w:eastAsia="ja-JP"/>
        </w:rPr>
        <w:t xml:space="preserve">et des caractères spéciaux dans les dénominations figurant dans la base de </w:t>
      </w:r>
      <w:r w:rsidR="00443FA9" w:rsidRPr="00D93B24">
        <w:rPr>
          <w:lang w:val="fr-FR" w:eastAsia="ja-JP"/>
        </w:rPr>
        <w:t>données</w:t>
      </w:r>
      <w:r w:rsidR="00443FA9" w:rsidRPr="00D93B24">
        <w:rPr>
          <w:snapToGrid w:val="0"/>
          <w:lang w:val="fr-FR" w:eastAsia="ja-JP"/>
        </w:rPr>
        <w:t xml:space="preserve"> PLUTO, sachant que l</w:t>
      </w:r>
      <w:r w:rsidR="006F2923" w:rsidRPr="00D93B24">
        <w:rPr>
          <w:snapToGrid w:val="0"/>
          <w:lang w:val="fr-FR" w:eastAsia="ja-JP"/>
        </w:rPr>
        <w:t>’</w:t>
      </w:r>
      <w:r w:rsidR="00443FA9" w:rsidRPr="00D93B24">
        <w:rPr>
          <w:snapToGrid w:val="0"/>
          <w:lang w:val="fr-FR" w:eastAsia="ja-JP"/>
        </w:rPr>
        <w:t xml:space="preserve">outil de recherche de dénomination dans la </w:t>
      </w:r>
      <w:bookmarkStart w:id="18" w:name="_GoBack"/>
      <w:bookmarkEnd w:id="18"/>
      <w:r w:rsidR="00443FA9" w:rsidRPr="00D93B24">
        <w:rPr>
          <w:snapToGrid w:val="0"/>
          <w:lang w:val="fr-FR" w:eastAsia="ja-JP"/>
        </w:rPr>
        <w:t>base de données PLUTO n</w:t>
      </w:r>
      <w:r w:rsidR="006F2923" w:rsidRPr="00D93B24">
        <w:rPr>
          <w:snapToGrid w:val="0"/>
          <w:lang w:val="fr-FR" w:eastAsia="ja-JP"/>
        </w:rPr>
        <w:t>’</w:t>
      </w:r>
      <w:r w:rsidR="00443FA9" w:rsidRPr="00D93B24">
        <w:rPr>
          <w:snapToGrid w:val="0"/>
          <w:lang w:val="fr-FR" w:eastAsia="ja-JP"/>
        </w:rPr>
        <w:t xml:space="preserve">utilisera que le jeu de caractères </w:t>
      </w:r>
      <w:r w:rsidR="0047493D" w:rsidRPr="00D93B24">
        <w:rPr>
          <w:lang w:val="fr-FR"/>
        </w:rPr>
        <w:t>ASCII [Code standard américain pour l</w:t>
      </w:r>
      <w:r w:rsidR="006F2923" w:rsidRPr="00D93B24">
        <w:rPr>
          <w:lang w:val="fr-FR"/>
        </w:rPr>
        <w:t>’</w:t>
      </w:r>
      <w:r w:rsidR="0047493D" w:rsidRPr="00D93B24">
        <w:rPr>
          <w:lang w:val="fr-FR"/>
        </w:rPr>
        <w:t>échange d</w:t>
      </w:r>
      <w:r w:rsidR="006F2923" w:rsidRPr="00D93B24">
        <w:rPr>
          <w:lang w:val="fr-FR"/>
        </w:rPr>
        <w:t>’</w:t>
      </w:r>
      <w:r w:rsidR="0047493D" w:rsidRPr="00D93B24">
        <w:rPr>
          <w:lang w:val="fr-FR"/>
        </w:rPr>
        <w:t xml:space="preserve">informations], tel </w:t>
      </w:r>
      <w:r w:rsidR="0047493D" w:rsidRPr="00D93B24">
        <w:rPr>
          <w:lang w:val="fr-FR"/>
        </w:rPr>
        <w:lastRenderedPageBreak/>
        <w:t>qu</w:t>
      </w:r>
      <w:r w:rsidR="006F2923" w:rsidRPr="00D93B24">
        <w:rPr>
          <w:lang w:val="fr-FR"/>
        </w:rPr>
        <w:t>’</w:t>
      </w:r>
      <w:r w:rsidR="0047493D" w:rsidRPr="00D93B24">
        <w:rPr>
          <w:lang w:val="fr-FR"/>
        </w:rPr>
        <w:t>il est défini dans la norme n°</w:t>
      </w:r>
      <w:r w:rsidR="006546BF" w:rsidRPr="00D93B24">
        <w:rPr>
          <w:lang w:val="fr-FR"/>
        </w:rPr>
        <w:t> </w:t>
      </w:r>
      <w:r w:rsidR="0047493D" w:rsidRPr="00D93B24">
        <w:rPr>
          <w:lang w:val="fr-FR"/>
        </w:rPr>
        <w:t>646 de l</w:t>
      </w:r>
      <w:r w:rsidR="006F2923" w:rsidRPr="00D93B24">
        <w:rPr>
          <w:lang w:val="fr-FR"/>
        </w:rPr>
        <w:t>’</w:t>
      </w:r>
      <w:r w:rsidR="0047493D" w:rsidRPr="00D93B24">
        <w:rPr>
          <w:lang w:val="fr-FR"/>
        </w:rPr>
        <w:t>ISO [Organisation internationale de normalisation], comme indiqué au paragraphe</w:t>
      </w:r>
      <w:r w:rsidR="006546BF" w:rsidRPr="00D93B24">
        <w:rPr>
          <w:lang w:val="fr-FR"/>
        </w:rPr>
        <w:t> </w:t>
      </w:r>
      <w:r w:rsidR="0047493D" w:rsidRPr="00D93B24">
        <w:rPr>
          <w:lang w:val="fr-FR"/>
        </w:rPr>
        <w:t>20 ci</w:t>
      </w:r>
      <w:r w:rsidR="00C52279" w:rsidRPr="00D93B24">
        <w:rPr>
          <w:lang w:val="fr-FR"/>
        </w:rPr>
        <w:noBreakHyphen/>
        <w:t>dessus,</w:t>
      </w:r>
    </w:p>
    <w:p w:rsidR="00443FA9" w:rsidRPr="00D93B24" w:rsidRDefault="00443FA9" w:rsidP="001A7840">
      <w:pPr>
        <w:pStyle w:val="DecisionInvitingPara"/>
        <w:tabs>
          <w:tab w:val="left" w:pos="5387"/>
          <w:tab w:val="left" w:pos="5954"/>
        </w:tabs>
        <w:ind w:left="4820" w:firstLine="567"/>
        <w:rPr>
          <w:snapToGrid w:val="0"/>
          <w:lang w:val="fr-FR" w:eastAsia="ja-JP"/>
        </w:rPr>
      </w:pPr>
    </w:p>
    <w:p w:rsidR="004500FF" w:rsidRPr="00D93B24" w:rsidRDefault="00F90763" w:rsidP="002F132E">
      <w:pPr>
        <w:pStyle w:val="DecisionInvitingPara"/>
        <w:tabs>
          <w:tab w:val="left" w:pos="5387"/>
          <w:tab w:val="left" w:pos="5954"/>
        </w:tabs>
        <w:ind w:left="4820" w:firstLine="567"/>
        <w:rPr>
          <w:lang w:val="fr-FR" w:eastAsia="ja-JP"/>
        </w:rPr>
      </w:pPr>
      <w:r w:rsidRPr="00D93B24">
        <w:rPr>
          <w:rFonts w:eastAsia="MS Mincho"/>
          <w:lang w:val="fr-FR" w:eastAsia="ja-JP"/>
        </w:rPr>
        <w:t>c</w:t>
      </w:r>
      <w:r w:rsidR="00F96687" w:rsidRPr="00D93B24">
        <w:rPr>
          <w:lang w:val="fr-FR" w:eastAsia="ja-JP"/>
        </w:rPr>
        <w:t>)</w:t>
      </w:r>
      <w:r w:rsidR="00F96687" w:rsidRPr="00D93B24">
        <w:rPr>
          <w:lang w:val="fr-FR" w:eastAsia="ja-JP"/>
        </w:rPr>
        <w:tab/>
      </w:r>
      <w:r w:rsidR="0047493D" w:rsidRPr="00D93B24">
        <w:rPr>
          <w:lang w:val="fr-FR" w:eastAsia="ja-JP"/>
        </w:rPr>
        <w:t>examiner s</w:t>
      </w:r>
      <w:r w:rsidR="006F2923" w:rsidRPr="00D93B24">
        <w:rPr>
          <w:lang w:val="fr-FR" w:eastAsia="ja-JP"/>
        </w:rPr>
        <w:t>’</w:t>
      </w:r>
      <w:r w:rsidR="0047493D" w:rsidRPr="00D93B24">
        <w:rPr>
          <w:lang w:val="fr-FR" w:eastAsia="ja-JP"/>
        </w:rPr>
        <w:t>il convient de réviser</w:t>
      </w:r>
      <w:r w:rsidR="0047493D" w:rsidRPr="00D93B24">
        <w:rPr>
          <w:lang w:val="fr-FR"/>
        </w:rPr>
        <w:t xml:space="preserve"> la section</w:t>
      </w:r>
      <w:r w:rsidR="006546BF" w:rsidRPr="00D93B24">
        <w:rPr>
          <w:lang w:val="fr-FR"/>
        </w:rPr>
        <w:t> </w:t>
      </w:r>
      <w:r w:rsidR="0047493D" w:rsidRPr="00D93B24">
        <w:rPr>
          <w:lang w:val="fr-FR"/>
        </w:rPr>
        <w:t xml:space="preserve">3.1.3 du </w:t>
      </w:r>
      <w:r w:rsidR="006546BF" w:rsidRPr="00D93B24">
        <w:rPr>
          <w:lang w:val="fr-FR"/>
        </w:rPr>
        <w:t>“</w:t>
      </w:r>
      <w:r w:rsidR="0047493D" w:rsidRPr="00D93B24">
        <w:rPr>
          <w:lang w:val="fr-FR"/>
        </w:rPr>
        <w:t>Programme d</w:t>
      </w:r>
      <w:r w:rsidR="006F2923" w:rsidRPr="00D93B24">
        <w:rPr>
          <w:lang w:val="fr-FR"/>
        </w:rPr>
        <w:t>’</w:t>
      </w:r>
      <w:r w:rsidR="0047493D" w:rsidRPr="00D93B24">
        <w:rPr>
          <w:lang w:val="fr-FR"/>
        </w:rPr>
        <w:t>améliorations de la base de données sur les variétés végétales</w:t>
      </w:r>
      <w:r w:rsidR="006546BF" w:rsidRPr="00D93B24">
        <w:rPr>
          <w:lang w:val="fr-FR"/>
        </w:rPr>
        <w:t>”</w:t>
      </w:r>
      <w:r w:rsidR="0047493D" w:rsidRPr="00D93B24">
        <w:rPr>
          <w:lang w:val="fr-FR"/>
        </w:rPr>
        <w:t>, comme indiqué au paragraphe</w:t>
      </w:r>
      <w:r w:rsidR="006546BF" w:rsidRPr="00D93B24">
        <w:rPr>
          <w:lang w:val="fr-FR"/>
        </w:rPr>
        <w:t> </w:t>
      </w:r>
      <w:r w:rsidR="0047493D" w:rsidRPr="00D93B24">
        <w:rPr>
          <w:lang w:val="fr-FR"/>
        </w:rPr>
        <w:t>22 ci</w:t>
      </w:r>
      <w:r w:rsidR="00C52279" w:rsidRPr="00D93B24">
        <w:rPr>
          <w:lang w:val="fr-FR"/>
        </w:rPr>
        <w:noBreakHyphen/>
      </w:r>
      <w:r w:rsidR="0047493D" w:rsidRPr="00D93B24">
        <w:rPr>
          <w:lang w:val="fr-FR"/>
        </w:rPr>
        <w:t>dessus, afin d</w:t>
      </w:r>
      <w:r w:rsidR="006F2923" w:rsidRPr="00D93B24">
        <w:rPr>
          <w:lang w:val="fr-FR"/>
        </w:rPr>
        <w:t>’</w:t>
      </w:r>
      <w:r w:rsidR="0047493D" w:rsidRPr="00D93B24">
        <w:rPr>
          <w:lang w:val="fr-FR"/>
        </w:rPr>
        <w:t>adopter le jeu de caractères acceptables selon la norme</w:t>
      </w:r>
      <w:r w:rsidR="006546BF" w:rsidRPr="00D93B24">
        <w:rPr>
          <w:lang w:val="fr-FR"/>
        </w:rPr>
        <w:t> </w:t>
      </w:r>
      <w:r w:rsidR="0047493D" w:rsidRPr="00D93B24">
        <w:rPr>
          <w:lang w:val="fr-FR"/>
        </w:rPr>
        <w:t>ISO/CEI</w:t>
      </w:r>
      <w:r w:rsidR="00C65D91">
        <w:rPr>
          <w:lang w:val="fr-FR" w:eastAsia="ja-JP"/>
        </w:rPr>
        <w:t> </w:t>
      </w:r>
      <w:r w:rsidR="009C2FB4" w:rsidRPr="00D93B24">
        <w:rPr>
          <w:lang w:val="fr-FR" w:eastAsia="ja-JP"/>
        </w:rPr>
        <w:t>8859 1</w:t>
      </w:r>
      <w:r w:rsidR="006546BF" w:rsidRPr="00D93B24">
        <w:rPr>
          <w:lang w:val="fr-FR" w:eastAsia="ja-JP"/>
        </w:rPr>
        <w:t> </w:t>
      </w:r>
      <w:r w:rsidR="00C52279" w:rsidRPr="00D93B24">
        <w:rPr>
          <w:lang w:val="fr-FR" w:eastAsia="ja-JP"/>
        </w:rPr>
        <w:t>: 1998,</w:t>
      </w:r>
    </w:p>
    <w:p w:rsidR="004500FF" w:rsidRPr="00D93B24" w:rsidRDefault="004500FF" w:rsidP="002F132E">
      <w:pPr>
        <w:pStyle w:val="DecisionInvitingPara"/>
        <w:tabs>
          <w:tab w:val="left" w:pos="5387"/>
          <w:tab w:val="left" w:pos="5954"/>
        </w:tabs>
        <w:ind w:left="4820" w:firstLine="567"/>
        <w:rPr>
          <w:rFonts w:eastAsia="MS Mincho"/>
          <w:lang w:val="fr-FR" w:eastAsia="ja-JP"/>
        </w:rPr>
      </w:pPr>
    </w:p>
    <w:p w:rsidR="0047493D" w:rsidRPr="00D93B24" w:rsidRDefault="00F90763" w:rsidP="00111A35">
      <w:pPr>
        <w:pStyle w:val="DecisionInvitingPara"/>
        <w:tabs>
          <w:tab w:val="left" w:pos="5387"/>
          <w:tab w:val="left" w:pos="5954"/>
        </w:tabs>
        <w:ind w:left="4820" w:firstLine="567"/>
        <w:rPr>
          <w:lang w:val="fr-FR" w:eastAsia="ja-JP"/>
        </w:rPr>
      </w:pPr>
      <w:r w:rsidRPr="00D93B24">
        <w:rPr>
          <w:lang w:val="fr-FR" w:eastAsia="ja-JP"/>
        </w:rPr>
        <w:t>d</w:t>
      </w:r>
      <w:r w:rsidR="008E62C9" w:rsidRPr="00D93B24">
        <w:rPr>
          <w:lang w:val="fr-FR" w:eastAsia="ja-JP"/>
        </w:rPr>
        <w:t>)</w:t>
      </w:r>
      <w:r w:rsidR="008E62C9" w:rsidRPr="00D93B24">
        <w:rPr>
          <w:lang w:val="fr-FR" w:eastAsia="ja-JP"/>
        </w:rPr>
        <w:tab/>
      </w:r>
      <w:r w:rsidR="0047493D" w:rsidRPr="00D93B24">
        <w:rPr>
          <w:lang w:val="fr-FR" w:eastAsia="ja-JP"/>
        </w:rPr>
        <w:t>examiner s</w:t>
      </w:r>
      <w:r w:rsidR="006F2923" w:rsidRPr="00D93B24">
        <w:rPr>
          <w:lang w:val="fr-FR" w:eastAsia="ja-JP"/>
        </w:rPr>
        <w:t>’</w:t>
      </w:r>
      <w:r w:rsidR="0047493D" w:rsidRPr="00D93B24">
        <w:rPr>
          <w:lang w:val="fr-FR" w:eastAsia="ja-JP"/>
        </w:rPr>
        <w:t>il convient d</w:t>
      </w:r>
      <w:r w:rsidR="006F2923" w:rsidRPr="00D93B24">
        <w:rPr>
          <w:lang w:val="fr-FR" w:eastAsia="ja-JP"/>
        </w:rPr>
        <w:t>’</w:t>
      </w:r>
      <w:r w:rsidR="0047493D" w:rsidRPr="00D93B24">
        <w:rPr>
          <w:lang w:val="fr-FR" w:eastAsia="ja-JP"/>
        </w:rPr>
        <w:t xml:space="preserve">étendre le contenu de la base de données PLUTO à toutes les variétés reconnues, </w:t>
      </w:r>
      <w:r w:rsidR="006F2923" w:rsidRPr="00D93B24">
        <w:rPr>
          <w:lang w:val="fr-FR" w:eastAsia="ja-JP"/>
        </w:rPr>
        <w:t>y compris</w:t>
      </w:r>
      <w:r w:rsidR="0047493D" w:rsidRPr="00D93B24">
        <w:rPr>
          <w:lang w:val="fr-FR" w:eastAsia="ja-JP"/>
        </w:rPr>
        <w:t xml:space="preserve"> celles</w:t>
      </w:r>
      <w:r w:rsidR="0047493D" w:rsidRPr="00D93B24">
        <w:rPr>
          <w:lang w:val="fr-FR"/>
        </w:rPr>
        <w:t xml:space="preserve"> qui n</w:t>
      </w:r>
      <w:r w:rsidR="006F2923" w:rsidRPr="00D93B24">
        <w:rPr>
          <w:lang w:val="fr-FR"/>
        </w:rPr>
        <w:t>’</w:t>
      </w:r>
      <w:r w:rsidR="0047493D" w:rsidRPr="00D93B24">
        <w:rPr>
          <w:lang w:val="fr-FR"/>
        </w:rPr>
        <w:t>ont pas été enregistrées ou protégées, ou ne le sont plus, comme indiqué au paragraphe</w:t>
      </w:r>
      <w:r w:rsidR="006546BF" w:rsidRPr="00D93B24">
        <w:rPr>
          <w:lang w:val="fr-FR"/>
        </w:rPr>
        <w:t> </w:t>
      </w:r>
      <w:r w:rsidR="0047493D" w:rsidRPr="00D93B24">
        <w:rPr>
          <w:lang w:val="fr-FR"/>
        </w:rPr>
        <w:t>24 ci</w:t>
      </w:r>
      <w:r w:rsidR="00C52279" w:rsidRPr="00D93B24">
        <w:rPr>
          <w:lang w:val="fr-FR"/>
        </w:rPr>
        <w:noBreakHyphen/>
      </w:r>
      <w:r w:rsidR="0047493D" w:rsidRPr="00D93B24">
        <w:rPr>
          <w:lang w:val="fr-FR"/>
        </w:rPr>
        <w:t>dessus, et</w:t>
      </w:r>
    </w:p>
    <w:p w:rsidR="004500FF" w:rsidRPr="00D93B24" w:rsidRDefault="004500FF" w:rsidP="002F132E">
      <w:pPr>
        <w:pStyle w:val="DecisionParagraphs"/>
        <w:tabs>
          <w:tab w:val="left" w:pos="5954"/>
        </w:tabs>
        <w:rPr>
          <w:lang w:eastAsia="ja-JP"/>
        </w:rPr>
      </w:pPr>
    </w:p>
    <w:p w:rsidR="004500FF" w:rsidRPr="00D93B24" w:rsidRDefault="00E4482D" w:rsidP="00B32C07">
      <w:pPr>
        <w:pStyle w:val="DecisionParagraphs"/>
        <w:tabs>
          <w:tab w:val="left" w:pos="5954"/>
        </w:tabs>
        <w:rPr>
          <w:rFonts w:cs="Arial"/>
        </w:rPr>
      </w:pPr>
      <w:r w:rsidRPr="00D93B24">
        <w:rPr>
          <w:lang w:eastAsia="ja-JP"/>
        </w:rPr>
        <w:tab/>
      </w:r>
      <w:r w:rsidR="00B32C07" w:rsidRPr="00D93B24">
        <w:rPr>
          <w:lang w:eastAsia="ja-JP"/>
        </w:rPr>
        <w:t>e</w:t>
      </w:r>
      <w:r w:rsidR="00F90763" w:rsidRPr="00D93B24">
        <w:rPr>
          <w:lang w:eastAsia="ja-JP"/>
        </w:rPr>
        <w:t>)</w:t>
      </w:r>
      <w:r w:rsidR="00F90763" w:rsidRPr="00D93B24">
        <w:rPr>
          <w:lang w:eastAsia="ja-JP"/>
        </w:rPr>
        <w:tab/>
      </w:r>
      <w:r w:rsidR="00111A35" w:rsidRPr="00D93B24">
        <w:rPr>
          <w:lang w:eastAsia="ja-JP"/>
        </w:rPr>
        <w:t>note</w:t>
      </w:r>
      <w:r w:rsidR="0047493D" w:rsidRPr="00D93B24">
        <w:rPr>
          <w:lang w:eastAsia="ja-JP"/>
        </w:rPr>
        <w:t>r qu</w:t>
      </w:r>
      <w:r w:rsidR="006F2923" w:rsidRPr="00D93B24">
        <w:rPr>
          <w:lang w:eastAsia="ja-JP"/>
        </w:rPr>
        <w:t>’</w:t>
      </w:r>
      <w:r w:rsidR="0047493D" w:rsidRPr="00D93B24">
        <w:rPr>
          <w:lang w:eastAsia="ja-JP"/>
        </w:rPr>
        <w:t xml:space="preserve">il est rendu compte des faits nouveaux concernant les termes non acceptables à des fins de dénomination variétale dans le document CAJ/72/3 </w:t>
      </w:r>
      <w:r w:rsidR="006546BF" w:rsidRPr="00D93B24">
        <w:rPr>
          <w:lang w:eastAsia="ja-JP"/>
        </w:rPr>
        <w:t>“</w:t>
      </w:r>
      <w:r w:rsidR="0047493D" w:rsidRPr="00D93B24">
        <w:rPr>
          <w:lang w:eastAsia="ja-JP"/>
        </w:rPr>
        <w:t>Dé</w:t>
      </w:r>
      <w:r w:rsidR="00111A35" w:rsidRPr="00D93B24">
        <w:rPr>
          <w:lang w:eastAsia="ja-JP"/>
        </w:rPr>
        <w:t>nominations</w:t>
      </w:r>
      <w:r w:rsidR="0047493D" w:rsidRPr="00D93B24">
        <w:rPr>
          <w:lang w:eastAsia="ja-JP"/>
        </w:rPr>
        <w:t xml:space="preserve"> variétales</w:t>
      </w:r>
      <w:r w:rsidR="006546BF" w:rsidRPr="00D93B24">
        <w:rPr>
          <w:lang w:eastAsia="ja-JP"/>
        </w:rPr>
        <w:t>”</w:t>
      </w:r>
      <w:r w:rsidR="00111A35" w:rsidRPr="00D93B24">
        <w:rPr>
          <w:lang w:eastAsia="ja-JP"/>
        </w:rPr>
        <w:t>.</w:t>
      </w:r>
    </w:p>
    <w:p w:rsidR="004500FF" w:rsidRPr="00D93B24" w:rsidRDefault="004500FF" w:rsidP="00C4624A">
      <w:pPr>
        <w:jc w:val="right"/>
        <w:rPr>
          <w:rFonts w:cs="Arial"/>
        </w:rPr>
      </w:pPr>
    </w:p>
    <w:p w:rsidR="004500FF" w:rsidRPr="00D93B24" w:rsidRDefault="004500FF" w:rsidP="00C4624A">
      <w:pPr>
        <w:jc w:val="right"/>
        <w:rPr>
          <w:rFonts w:cs="Arial"/>
        </w:rPr>
      </w:pPr>
    </w:p>
    <w:p w:rsidR="004500FF" w:rsidRPr="00D93B24" w:rsidRDefault="004500FF" w:rsidP="00C4624A">
      <w:pPr>
        <w:jc w:val="right"/>
        <w:rPr>
          <w:rFonts w:cs="Arial"/>
        </w:rPr>
      </w:pPr>
    </w:p>
    <w:p w:rsidR="004500FF" w:rsidRPr="00D93B24" w:rsidRDefault="004500FF" w:rsidP="004500FF">
      <w:pPr>
        <w:jc w:val="right"/>
        <w:rPr>
          <w:rFonts w:cs="Arial"/>
          <w:lang w:eastAsia="ja-JP"/>
        </w:rPr>
      </w:pPr>
      <w:r w:rsidRPr="00D93B24">
        <w:rPr>
          <w:rFonts w:cs="Arial"/>
          <w:lang w:eastAsia="ja-JP"/>
        </w:rPr>
        <w:t>[Fin du document]</w:t>
      </w:r>
    </w:p>
    <w:sectPr w:rsidR="004500FF" w:rsidRPr="00D93B24" w:rsidSect="00906593">
      <w:headerReference w:type="default" r:id="rId10"/>
      <w:pgSz w:w="11907" w:h="16840" w:code="9"/>
      <w:pgMar w:top="510" w:right="1134" w:bottom="1021" w:left="1134" w:header="510" w:footer="68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4D14" w:rsidRDefault="00474D14">
      <w:r>
        <w:separator/>
      </w:r>
    </w:p>
    <w:p w:rsidR="00474D14" w:rsidRDefault="00474D14"/>
    <w:p w:rsidR="00474D14" w:rsidRDefault="00474D14"/>
  </w:endnote>
  <w:endnote w:type="continuationSeparator" w:id="0">
    <w:p w:rsidR="00474D14" w:rsidRDefault="00474D14">
      <w:r>
        <w:separator/>
      </w:r>
    </w:p>
    <w:p w:rsidR="00474D14" w:rsidRPr="00664515" w:rsidRDefault="00474D14">
      <w:pPr>
        <w:pStyle w:val="Footer"/>
        <w:spacing w:after="60"/>
        <w:rPr>
          <w:sz w:val="18"/>
          <w:lang w:val="fr-CH"/>
        </w:rPr>
      </w:pPr>
      <w:r w:rsidRPr="00664515">
        <w:rPr>
          <w:sz w:val="18"/>
          <w:lang w:val="fr-CH"/>
        </w:rPr>
        <w:t>[Suite de la note de la page précédente]</w:t>
      </w:r>
    </w:p>
    <w:p w:rsidR="00474D14" w:rsidRPr="00664515" w:rsidRDefault="00474D14">
      <w:pPr>
        <w:rPr>
          <w:lang w:val="fr-CH"/>
        </w:rPr>
      </w:pPr>
    </w:p>
    <w:p w:rsidR="00474D14" w:rsidRPr="00664515" w:rsidRDefault="00474D14">
      <w:pPr>
        <w:rPr>
          <w:lang w:val="fr-CH"/>
        </w:rPr>
      </w:pPr>
    </w:p>
  </w:endnote>
  <w:endnote w:type="continuationNotice" w:id="1">
    <w:p w:rsidR="00474D14" w:rsidRPr="00664515" w:rsidRDefault="00474D14">
      <w:pPr>
        <w:spacing w:before="60"/>
        <w:jc w:val="right"/>
        <w:rPr>
          <w:sz w:val="18"/>
          <w:lang w:val="fr-CH"/>
        </w:rPr>
      </w:pPr>
      <w:r w:rsidRPr="00664515">
        <w:rPr>
          <w:sz w:val="18"/>
          <w:lang w:val="fr-CH"/>
        </w:rPr>
        <w:t>[Suite de la note page suivante]</w:t>
      </w:r>
    </w:p>
    <w:p w:rsidR="00474D14" w:rsidRPr="00664515" w:rsidRDefault="00474D14">
      <w:pPr>
        <w:rPr>
          <w:lang w:val="fr-CH"/>
        </w:rPr>
      </w:pPr>
    </w:p>
    <w:p w:rsidR="00474D14" w:rsidRPr="00664515" w:rsidRDefault="00474D14">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4D14" w:rsidRDefault="00474D14" w:rsidP="009D690D">
      <w:pPr>
        <w:spacing w:before="120"/>
      </w:pPr>
      <w:r>
        <w:separator/>
      </w:r>
    </w:p>
  </w:footnote>
  <w:footnote w:type="continuationSeparator" w:id="0">
    <w:p w:rsidR="00474D14" w:rsidRDefault="00474D14" w:rsidP="00520297">
      <w:pPr>
        <w:spacing w:before="120"/>
        <w:jc w:val="left"/>
      </w:pPr>
      <w:r>
        <w:separator/>
      </w:r>
    </w:p>
  </w:footnote>
  <w:footnote w:type="continuationNotice" w:id="1">
    <w:p w:rsidR="00474D14" w:rsidRDefault="00474D14"/>
  </w:footnote>
  <w:footnote w:id="2">
    <w:p w:rsidR="0002090E" w:rsidRPr="00D93B24" w:rsidRDefault="0002090E" w:rsidP="001B72B9">
      <w:pPr>
        <w:pStyle w:val="FootnoteText"/>
        <w:rPr>
          <w:lang w:val="fr-FR"/>
        </w:rPr>
      </w:pPr>
      <w:r w:rsidRPr="0059011F">
        <w:rPr>
          <w:rStyle w:val="FootnoteReference"/>
          <w:lang w:val="fr-FR"/>
        </w:rPr>
        <w:footnoteRef/>
      </w:r>
      <w:r w:rsidRPr="0059011F">
        <w:rPr>
          <w:lang w:val="fr-FR"/>
        </w:rPr>
        <w:t xml:space="preserve"> </w:t>
      </w:r>
      <w:r w:rsidRPr="0059011F">
        <w:rPr>
          <w:lang w:val="fr-FR"/>
        </w:rPr>
        <w:tab/>
      </w:r>
      <w:r w:rsidRPr="00D93B24">
        <w:rPr>
          <w:lang w:val="fr-FR"/>
        </w:rPr>
        <w:t>Tenue à Genève le 2</w:t>
      </w:r>
      <w:r w:rsidR="008726DC" w:rsidRPr="00D93B24">
        <w:rPr>
          <w:lang w:val="fr-FR"/>
        </w:rPr>
        <w:t>6 mars 20</w:t>
      </w:r>
      <w:r w:rsidRPr="00D93B24">
        <w:rPr>
          <w:lang w:val="fr-FR"/>
        </w:rPr>
        <w:t>15.</w:t>
      </w:r>
    </w:p>
  </w:footnote>
  <w:footnote w:id="3">
    <w:p w:rsidR="0002090E" w:rsidRPr="00D93B24" w:rsidRDefault="0002090E" w:rsidP="001B72B9">
      <w:pPr>
        <w:pStyle w:val="FootnoteText"/>
        <w:rPr>
          <w:lang w:val="fr-FR"/>
        </w:rPr>
      </w:pPr>
      <w:r w:rsidRPr="00D93B24">
        <w:rPr>
          <w:rStyle w:val="FootnoteReference"/>
          <w:lang w:val="fr-FR"/>
        </w:rPr>
        <w:footnoteRef/>
      </w:r>
      <w:r w:rsidRPr="00D93B24">
        <w:rPr>
          <w:lang w:val="fr-FR"/>
        </w:rPr>
        <w:t xml:space="preserve"> </w:t>
      </w:r>
      <w:r w:rsidRPr="00D93B24">
        <w:rPr>
          <w:lang w:val="fr-FR"/>
        </w:rPr>
        <w:tab/>
        <w:t>Voir le paragraphe</w:t>
      </w:r>
      <w:r w:rsidR="00742A84" w:rsidRPr="00D93B24">
        <w:rPr>
          <w:lang w:val="fr-FR"/>
        </w:rPr>
        <w:t> </w:t>
      </w:r>
      <w:r w:rsidRPr="00D93B24">
        <w:rPr>
          <w:lang w:val="fr-FR"/>
        </w:rPr>
        <w:t xml:space="preserve">44 du document CAJ/71/10 </w:t>
      </w:r>
      <w:r w:rsidR="00742A84" w:rsidRPr="00D93B24">
        <w:rPr>
          <w:lang w:val="fr-FR"/>
        </w:rPr>
        <w:t>“</w:t>
      </w:r>
      <w:r w:rsidRPr="00D93B24">
        <w:rPr>
          <w:lang w:val="fr-FR"/>
        </w:rPr>
        <w:t>Compte rendu des conclusions</w:t>
      </w:r>
      <w:r w:rsidR="00742A84" w:rsidRPr="00D93B24">
        <w:rPr>
          <w:lang w:val="fr-FR"/>
        </w:rPr>
        <w:t>”</w:t>
      </w:r>
      <w:r w:rsidRPr="00D93B24">
        <w:rPr>
          <w:lang w:val="fr-FR"/>
        </w:rPr>
        <w:t>.</w:t>
      </w:r>
    </w:p>
  </w:footnote>
  <w:footnote w:id="4">
    <w:p w:rsidR="0002090E" w:rsidRPr="00D93B24" w:rsidRDefault="0002090E" w:rsidP="001B72B9">
      <w:pPr>
        <w:pStyle w:val="FootnoteText"/>
        <w:rPr>
          <w:lang w:val="fr-FR"/>
        </w:rPr>
      </w:pPr>
      <w:r w:rsidRPr="00D93B24">
        <w:rPr>
          <w:rStyle w:val="FootnoteReference"/>
          <w:lang w:val="fr-FR"/>
        </w:rPr>
        <w:footnoteRef/>
      </w:r>
      <w:r w:rsidRPr="00D93B24">
        <w:rPr>
          <w:lang w:val="fr-FR"/>
        </w:rPr>
        <w:t xml:space="preserve"> </w:t>
      </w:r>
      <w:r w:rsidRPr="00D93B24">
        <w:rPr>
          <w:lang w:val="fr-FR"/>
        </w:rPr>
        <w:tab/>
        <w:t>Voir le paragraphe</w:t>
      </w:r>
      <w:r w:rsidR="00742A84" w:rsidRPr="00D93B24">
        <w:rPr>
          <w:lang w:val="fr-FR"/>
        </w:rPr>
        <w:t> </w:t>
      </w:r>
      <w:r w:rsidRPr="00D93B24">
        <w:rPr>
          <w:lang w:val="fr-FR"/>
        </w:rPr>
        <w:t xml:space="preserve">45 du document CAJ/71/10 </w:t>
      </w:r>
      <w:r w:rsidR="00742A84" w:rsidRPr="00D93B24">
        <w:rPr>
          <w:lang w:val="fr-FR"/>
        </w:rPr>
        <w:t>“</w:t>
      </w:r>
      <w:r w:rsidRPr="00D93B24">
        <w:rPr>
          <w:lang w:val="fr-FR"/>
        </w:rPr>
        <w:t>Compte rendu des conclusions</w:t>
      </w:r>
      <w:r w:rsidR="00742A84" w:rsidRPr="00D93B24">
        <w:rPr>
          <w:lang w:val="fr-FR"/>
        </w:rPr>
        <w:t>”</w:t>
      </w:r>
      <w:r w:rsidRPr="00D93B24">
        <w:rPr>
          <w:lang w:val="fr-FR"/>
        </w:rPr>
        <w:t>.</w:t>
      </w:r>
    </w:p>
  </w:footnote>
  <w:footnote w:id="5">
    <w:p w:rsidR="0002090E" w:rsidRPr="00D93B24" w:rsidRDefault="0002090E" w:rsidP="001B72B9">
      <w:pPr>
        <w:pStyle w:val="FootnoteText"/>
        <w:rPr>
          <w:lang w:val="fr-FR"/>
        </w:rPr>
      </w:pPr>
      <w:r w:rsidRPr="00D93B24">
        <w:rPr>
          <w:rStyle w:val="FootnoteReference"/>
          <w:lang w:val="fr-FR"/>
        </w:rPr>
        <w:footnoteRef/>
      </w:r>
      <w:r w:rsidRPr="00D93B24">
        <w:rPr>
          <w:lang w:val="fr-FR"/>
        </w:rPr>
        <w:t xml:space="preserve"> </w:t>
      </w:r>
      <w:r w:rsidRPr="00D93B24">
        <w:rPr>
          <w:lang w:val="fr-FR"/>
        </w:rPr>
        <w:tab/>
        <w:t>Voir le paragraphe</w:t>
      </w:r>
      <w:r w:rsidR="00742A84" w:rsidRPr="00D93B24">
        <w:rPr>
          <w:lang w:val="fr-FR"/>
        </w:rPr>
        <w:t> </w:t>
      </w:r>
      <w:r w:rsidRPr="00D93B24">
        <w:rPr>
          <w:lang w:val="fr-FR"/>
        </w:rPr>
        <w:t xml:space="preserve">46 du document CAJ/71/10 </w:t>
      </w:r>
      <w:r w:rsidR="00742A84" w:rsidRPr="00D93B24">
        <w:rPr>
          <w:lang w:val="fr-FR"/>
        </w:rPr>
        <w:t>“</w:t>
      </w:r>
      <w:r w:rsidRPr="00D93B24">
        <w:rPr>
          <w:lang w:val="fr-FR"/>
        </w:rPr>
        <w:t>Compte rendu des conclusions</w:t>
      </w:r>
      <w:r w:rsidR="00906593" w:rsidRPr="00D93B24">
        <w:rPr>
          <w:lang w:val="fr-FR"/>
        </w:rPr>
        <w:t>”</w:t>
      </w:r>
      <w:r w:rsidRPr="00D93B24">
        <w:rPr>
          <w:lang w:val="fr-FR"/>
        </w:rPr>
        <w:t>.</w:t>
      </w:r>
    </w:p>
  </w:footnote>
  <w:footnote w:id="6">
    <w:p w:rsidR="0002090E" w:rsidRPr="00D93B24" w:rsidRDefault="0002090E" w:rsidP="001B72B9">
      <w:pPr>
        <w:pStyle w:val="FootnoteText"/>
        <w:rPr>
          <w:lang w:val="fr-FR"/>
        </w:rPr>
      </w:pPr>
      <w:r w:rsidRPr="0059011F">
        <w:rPr>
          <w:rStyle w:val="FootnoteReference"/>
          <w:lang w:val="fr-FR"/>
        </w:rPr>
        <w:footnoteRef/>
      </w:r>
      <w:r w:rsidRPr="0059011F">
        <w:rPr>
          <w:lang w:val="fr-FR"/>
        </w:rPr>
        <w:t xml:space="preserve"> </w:t>
      </w:r>
      <w:r w:rsidRPr="0059011F">
        <w:rPr>
          <w:lang w:val="fr-FR"/>
        </w:rPr>
        <w:tab/>
      </w:r>
      <w:r w:rsidRPr="00D93B24">
        <w:rPr>
          <w:lang w:val="fr-FR"/>
        </w:rPr>
        <w:t>Voir le paragraphe</w:t>
      </w:r>
      <w:r w:rsidR="00742A84" w:rsidRPr="00D93B24">
        <w:rPr>
          <w:lang w:val="fr-FR"/>
        </w:rPr>
        <w:t> </w:t>
      </w:r>
      <w:r w:rsidRPr="00D93B24">
        <w:rPr>
          <w:lang w:val="fr-FR"/>
        </w:rPr>
        <w:t xml:space="preserve">47 du document CAJ/71/10 </w:t>
      </w:r>
      <w:r w:rsidR="00742A84" w:rsidRPr="00D93B24">
        <w:rPr>
          <w:lang w:val="fr-FR"/>
        </w:rPr>
        <w:t>“</w:t>
      </w:r>
      <w:r w:rsidRPr="00D93B24">
        <w:rPr>
          <w:lang w:val="fr-FR"/>
        </w:rPr>
        <w:t>Compte rendu des conclusions</w:t>
      </w:r>
      <w:r w:rsidR="00742A84" w:rsidRPr="00D93B24">
        <w:rPr>
          <w:lang w:val="fr-FR"/>
        </w:rPr>
        <w:t>”</w:t>
      </w:r>
      <w:r w:rsidRPr="00D93B24">
        <w:rPr>
          <w:lang w:val="fr-FR"/>
        </w:rPr>
        <w:t>.</w:t>
      </w:r>
    </w:p>
  </w:footnote>
  <w:footnote w:id="7">
    <w:p w:rsidR="0002090E" w:rsidRPr="0059011F" w:rsidRDefault="0002090E" w:rsidP="001B72B9">
      <w:pPr>
        <w:pStyle w:val="FootnoteText"/>
        <w:rPr>
          <w:lang w:val="fr-FR"/>
        </w:rPr>
      </w:pPr>
      <w:r w:rsidRPr="00D93B24">
        <w:rPr>
          <w:rStyle w:val="FootnoteReference"/>
          <w:lang w:val="fr-FR"/>
        </w:rPr>
        <w:footnoteRef/>
      </w:r>
      <w:r w:rsidRPr="00D93B24">
        <w:rPr>
          <w:lang w:val="fr-FR"/>
        </w:rPr>
        <w:t xml:space="preserve"> </w:t>
      </w:r>
      <w:r w:rsidRPr="00D93B24">
        <w:rPr>
          <w:lang w:val="fr-FR"/>
        </w:rPr>
        <w:tab/>
        <w:t>Voir le paragraphe</w:t>
      </w:r>
      <w:r w:rsidR="00742A84" w:rsidRPr="00D93B24">
        <w:rPr>
          <w:lang w:val="fr-FR"/>
        </w:rPr>
        <w:t> </w:t>
      </w:r>
      <w:r w:rsidRPr="00D93B24">
        <w:rPr>
          <w:lang w:val="fr-FR"/>
        </w:rPr>
        <w:t xml:space="preserve">48 du document CAJ/71/10 </w:t>
      </w:r>
      <w:r w:rsidR="00742A84" w:rsidRPr="00D93B24">
        <w:rPr>
          <w:lang w:val="fr-FR"/>
        </w:rPr>
        <w:t>“</w:t>
      </w:r>
      <w:r w:rsidRPr="00D93B24">
        <w:rPr>
          <w:lang w:val="fr-FR"/>
        </w:rPr>
        <w:t>Compte rendu des conclusions</w:t>
      </w:r>
      <w:r w:rsidR="00742A84" w:rsidRPr="00D93B24">
        <w:rPr>
          <w:lang w:val="fr-FR"/>
        </w:rPr>
        <w:t>”</w:t>
      </w:r>
      <w:r w:rsidRPr="00D93B24">
        <w:rPr>
          <w:lang w:val="fr-FR"/>
        </w:rPr>
        <w:t>.</w:t>
      </w:r>
    </w:p>
  </w:footnote>
  <w:footnote w:id="8">
    <w:p w:rsidR="0002090E" w:rsidRPr="0059011F" w:rsidRDefault="0002090E" w:rsidP="008B2A46">
      <w:pPr>
        <w:pStyle w:val="FootnoteText"/>
        <w:rPr>
          <w:lang w:val="fr-FR"/>
        </w:rPr>
      </w:pPr>
      <w:r w:rsidRPr="0059011F">
        <w:rPr>
          <w:rStyle w:val="FootnoteReference"/>
          <w:lang w:val="fr-FR"/>
        </w:rPr>
        <w:footnoteRef/>
      </w:r>
      <w:r w:rsidRPr="0059011F">
        <w:rPr>
          <w:lang w:val="fr-FR"/>
        </w:rPr>
        <w:t xml:space="preserve"> </w:t>
      </w:r>
      <w:r w:rsidRPr="0059011F">
        <w:rPr>
          <w:lang w:val="fr-FR"/>
        </w:rPr>
        <w:tab/>
      </w:r>
      <w:r>
        <w:rPr>
          <w:lang w:val="fr-FR"/>
        </w:rPr>
        <w:t>Voir</w:t>
      </w:r>
      <w:r w:rsidRPr="0059011F">
        <w:rPr>
          <w:lang w:val="fr-FR"/>
        </w:rPr>
        <w:t xml:space="preserve"> </w:t>
      </w:r>
      <w:hyperlink r:id="rId1" w:history="1">
        <w:r w:rsidRPr="0059011F">
          <w:rPr>
            <w:rStyle w:val="Hyperlink"/>
            <w:lang w:val="fr-FR"/>
          </w:rPr>
          <w:t>http://www.upov.int/genie/en/species.jsp</w:t>
        </w:r>
      </w:hyperlink>
      <w:r w:rsidRPr="0059011F">
        <w:rPr>
          <w:lang w:val="fr-FR"/>
        </w:rPr>
        <w:t xml:space="preserve"> .</w:t>
      </w:r>
    </w:p>
  </w:footnote>
  <w:footnote w:id="9">
    <w:p w:rsidR="0002090E" w:rsidRPr="0059011F" w:rsidRDefault="0002090E" w:rsidP="008B2A46">
      <w:pPr>
        <w:pStyle w:val="FootnoteText"/>
        <w:rPr>
          <w:lang w:val="fr-FR"/>
        </w:rPr>
      </w:pPr>
      <w:r w:rsidRPr="0059011F">
        <w:rPr>
          <w:rStyle w:val="FootnoteReference"/>
          <w:lang w:val="fr-FR"/>
        </w:rPr>
        <w:footnoteRef/>
      </w:r>
      <w:r w:rsidR="00D93B24">
        <w:rPr>
          <w:lang w:val="fr-FR"/>
        </w:rPr>
        <w:t xml:space="preserve"> </w:t>
      </w:r>
      <w:r w:rsidR="00D93B24">
        <w:rPr>
          <w:lang w:val="fr-FR"/>
        </w:rPr>
        <w:tab/>
        <w:t>Voir</w:t>
      </w:r>
      <w:r w:rsidRPr="0059011F">
        <w:rPr>
          <w:lang w:val="fr-FR"/>
        </w:rPr>
        <w:t xml:space="preserve"> </w:t>
      </w:r>
      <w:hyperlink r:id="rId2" w:history="1">
        <w:r w:rsidRPr="0059011F">
          <w:rPr>
            <w:rStyle w:val="Hyperlink"/>
            <w:lang w:val="fr-FR"/>
          </w:rPr>
          <w:t>http://www.upov.int/genie/en/reports/</w:t>
        </w:r>
      </w:hyperlink>
      <w:r w:rsidRPr="0059011F">
        <w:rPr>
          <w:lang w:val="fr-FR"/>
        </w:rPr>
        <w:t>.</w:t>
      </w:r>
    </w:p>
  </w:footnote>
  <w:footnote w:id="10">
    <w:p w:rsidR="0002090E" w:rsidRPr="00D93B24" w:rsidRDefault="0002090E">
      <w:pPr>
        <w:pStyle w:val="FootnoteText"/>
        <w:rPr>
          <w:lang w:val="fr-FR"/>
        </w:rPr>
      </w:pPr>
      <w:r w:rsidRPr="0059011F">
        <w:rPr>
          <w:rStyle w:val="FootnoteReference"/>
          <w:color w:val="008000"/>
          <w:lang w:val="fr-FR"/>
        </w:rPr>
        <w:footnoteRef/>
      </w:r>
      <w:r w:rsidRPr="0059011F">
        <w:rPr>
          <w:color w:val="008000"/>
          <w:lang w:val="fr-FR"/>
        </w:rPr>
        <w:t xml:space="preserve"> </w:t>
      </w:r>
      <w:r w:rsidRPr="0059011F">
        <w:rPr>
          <w:color w:val="008000"/>
          <w:lang w:val="fr-FR"/>
        </w:rPr>
        <w:tab/>
      </w:r>
      <w:r w:rsidRPr="00D93B24">
        <w:rPr>
          <w:lang w:val="fr-FR"/>
        </w:rPr>
        <w:t>Voir le paragraphe</w:t>
      </w:r>
      <w:r w:rsidR="00742A84" w:rsidRPr="00D93B24">
        <w:rPr>
          <w:lang w:val="fr-FR"/>
        </w:rPr>
        <w:t> </w:t>
      </w:r>
      <w:r w:rsidRPr="00D93B24">
        <w:rPr>
          <w:lang w:val="fr-FR"/>
        </w:rPr>
        <w:t>11 du document CAJ/71/5</w:t>
      </w:r>
      <w:r w:rsidR="00742A84" w:rsidRPr="00D93B24">
        <w:rPr>
          <w:lang w:val="fr-FR"/>
        </w:rPr>
        <w:t> </w:t>
      </w:r>
      <w:r w:rsidRPr="00D93B24">
        <w:rPr>
          <w:lang w:val="fr-FR"/>
        </w:rPr>
        <w:t xml:space="preserve">Corr. </w:t>
      </w:r>
      <w:r w:rsidR="00742A84" w:rsidRPr="00D93B24">
        <w:rPr>
          <w:lang w:val="fr-FR"/>
        </w:rPr>
        <w:t>“</w:t>
      </w:r>
      <w:r w:rsidRPr="00D93B24">
        <w:rPr>
          <w:lang w:val="fr-FR"/>
        </w:rPr>
        <w:t>Bases de données d</w:t>
      </w:r>
      <w:r w:rsidR="008726DC" w:rsidRPr="00D93B24">
        <w:rPr>
          <w:lang w:val="fr-FR"/>
        </w:rPr>
        <w:t>’</w:t>
      </w:r>
      <w:r w:rsidRPr="00D93B24">
        <w:rPr>
          <w:lang w:val="fr-FR"/>
        </w:rPr>
        <w:t>information de l</w:t>
      </w:r>
      <w:r w:rsidR="008726DC" w:rsidRPr="00D93B24">
        <w:rPr>
          <w:lang w:val="fr-FR"/>
        </w:rPr>
        <w:t>’</w:t>
      </w:r>
      <w:r w:rsidRPr="00D93B24">
        <w:rPr>
          <w:lang w:val="fr-FR"/>
        </w:rPr>
        <w:t>UPOV</w:t>
      </w:r>
      <w:r w:rsidR="00742A84" w:rsidRPr="00D93B24">
        <w:rPr>
          <w:lang w:val="fr-FR"/>
        </w:rPr>
        <w:t>”</w:t>
      </w:r>
      <w:r w:rsidRPr="00D93B24">
        <w:rPr>
          <w:lang w:val="fr-FR"/>
        </w:rPr>
        <w:t>.</w:t>
      </w:r>
    </w:p>
  </w:footnote>
  <w:footnote w:id="11">
    <w:p w:rsidR="0002090E" w:rsidRPr="00D93B24" w:rsidRDefault="0002090E" w:rsidP="000010AE">
      <w:pPr>
        <w:pStyle w:val="FootnoteText"/>
        <w:rPr>
          <w:lang w:val="fr-FR"/>
        </w:rPr>
      </w:pPr>
      <w:r w:rsidRPr="00D93B24">
        <w:rPr>
          <w:rStyle w:val="FootnoteReference"/>
          <w:lang w:val="fr-FR"/>
        </w:rPr>
        <w:footnoteRef/>
      </w:r>
      <w:r w:rsidRPr="00D93B24">
        <w:rPr>
          <w:lang w:val="fr-FR"/>
        </w:rPr>
        <w:t xml:space="preserve"> </w:t>
      </w:r>
      <w:r w:rsidRPr="00D93B24">
        <w:rPr>
          <w:lang w:val="fr-FR"/>
        </w:rPr>
        <w:tab/>
        <w:t>Voir l</w:t>
      </w:r>
      <w:r w:rsidR="008726DC" w:rsidRPr="00D93B24">
        <w:rPr>
          <w:lang w:val="fr-FR"/>
        </w:rPr>
        <w:t>’</w:t>
      </w:r>
      <w:r w:rsidRPr="00D93B24">
        <w:rPr>
          <w:lang w:val="fr-FR"/>
        </w:rPr>
        <w:t>annexe</w:t>
      </w:r>
      <w:r w:rsidR="00742A84" w:rsidRPr="00D93B24">
        <w:rPr>
          <w:lang w:val="fr-FR"/>
        </w:rPr>
        <w:t> </w:t>
      </w:r>
      <w:r w:rsidRPr="00D93B24">
        <w:rPr>
          <w:lang w:val="fr-FR"/>
        </w:rPr>
        <w:t xml:space="preserve">III, Partie C du document TWA/44/5, TWF/46/5, TWO/48/5 </w:t>
      </w:r>
      <w:r w:rsidR="002935DD" w:rsidRPr="00D93B24">
        <w:rPr>
          <w:lang w:val="fr-FR"/>
        </w:rPr>
        <w:t>et</w:t>
      </w:r>
      <w:r w:rsidRPr="00D93B24">
        <w:rPr>
          <w:lang w:val="fr-FR"/>
        </w:rPr>
        <w:t xml:space="preserve"> TWV/49/5.</w:t>
      </w:r>
    </w:p>
  </w:footnote>
  <w:footnote w:id="12">
    <w:p w:rsidR="0002090E" w:rsidRPr="00D93B24" w:rsidRDefault="0002090E" w:rsidP="004500FF">
      <w:pPr>
        <w:pStyle w:val="FootnoteText"/>
        <w:rPr>
          <w:lang w:val="fr-FR"/>
        </w:rPr>
      </w:pPr>
      <w:r w:rsidRPr="00D93B24">
        <w:rPr>
          <w:rStyle w:val="FootnoteReference"/>
          <w:lang w:val="fr-FR"/>
        </w:rPr>
        <w:footnoteRef/>
      </w:r>
      <w:r w:rsidRPr="00D93B24">
        <w:rPr>
          <w:lang w:val="fr-FR"/>
        </w:rPr>
        <w:t xml:space="preserve"> </w:t>
      </w:r>
      <w:r w:rsidRPr="00D93B24">
        <w:rPr>
          <w:lang w:val="fr-FR"/>
        </w:rPr>
        <w:tab/>
        <w:t>Voir le paragraphe</w:t>
      </w:r>
      <w:r w:rsidR="00742A84" w:rsidRPr="00D93B24">
        <w:rPr>
          <w:lang w:val="fr-FR"/>
        </w:rPr>
        <w:t> </w:t>
      </w:r>
      <w:r w:rsidRPr="00D93B24">
        <w:rPr>
          <w:lang w:val="fr-FR"/>
        </w:rPr>
        <w:t xml:space="preserve">52 du document CAJ/71/10 </w:t>
      </w:r>
      <w:r w:rsidR="00742A84" w:rsidRPr="00D93B24">
        <w:rPr>
          <w:lang w:val="fr-FR"/>
        </w:rPr>
        <w:t>“</w:t>
      </w:r>
      <w:r w:rsidRPr="00D93B24">
        <w:rPr>
          <w:lang w:val="fr-FR"/>
        </w:rPr>
        <w:t>Compte rendu des conclusions</w:t>
      </w:r>
      <w:r w:rsidR="00742A84" w:rsidRPr="00D93B24">
        <w:rPr>
          <w:lang w:val="fr-FR"/>
        </w:rPr>
        <w:t>”</w:t>
      </w:r>
      <w:r w:rsidRPr="00D93B24">
        <w:rPr>
          <w:lang w:val="fr-FR"/>
        </w:rPr>
        <w:t>.</w:t>
      </w:r>
    </w:p>
  </w:footnote>
  <w:footnote w:id="13">
    <w:p w:rsidR="0002090E" w:rsidRPr="00D93B24" w:rsidRDefault="0002090E" w:rsidP="004500FF">
      <w:pPr>
        <w:pStyle w:val="FootnoteText"/>
        <w:rPr>
          <w:lang w:val="fr-FR"/>
        </w:rPr>
      </w:pPr>
      <w:r w:rsidRPr="00D93B24">
        <w:rPr>
          <w:rStyle w:val="FootnoteReference"/>
          <w:lang w:val="fr-FR"/>
        </w:rPr>
        <w:footnoteRef/>
      </w:r>
      <w:r w:rsidRPr="00D93B24">
        <w:rPr>
          <w:lang w:val="fr-FR"/>
        </w:rPr>
        <w:t xml:space="preserve"> </w:t>
      </w:r>
      <w:r w:rsidRPr="00D93B24">
        <w:rPr>
          <w:lang w:val="fr-FR"/>
        </w:rPr>
        <w:tab/>
        <w:t>Voir le paragraphe</w:t>
      </w:r>
      <w:r w:rsidR="00742A84" w:rsidRPr="00D93B24">
        <w:rPr>
          <w:lang w:val="fr-FR"/>
        </w:rPr>
        <w:t> </w:t>
      </w:r>
      <w:r w:rsidRPr="00D93B24">
        <w:rPr>
          <w:lang w:val="fr-FR"/>
        </w:rPr>
        <w:t xml:space="preserve">53 du document CAJ/71/10 </w:t>
      </w:r>
      <w:r w:rsidR="00742A84" w:rsidRPr="00D93B24">
        <w:rPr>
          <w:lang w:val="fr-FR"/>
        </w:rPr>
        <w:t>“</w:t>
      </w:r>
      <w:r w:rsidRPr="00D93B24">
        <w:rPr>
          <w:lang w:val="fr-FR"/>
        </w:rPr>
        <w:t>Compte rendu des conclusions</w:t>
      </w:r>
      <w:r w:rsidR="00742A84" w:rsidRPr="00D93B24">
        <w:rPr>
          <w:lang w:val="fr-FR"/>
        </w:rPr>
        <w:t>”</w:t>
      </w:r>
      <w:r w:rsidRPr="00D93B24">
        <w:rPr>
          <w:lang w:val="fr-FR"/>
        </w:rPr>
        <w:t>.</w:t>
      </w:r>
    </w:p>
  </w:footnote>
  <w:footnote w:id="14">
    <w:p w:rsidR="0002090E" w:rsidRPr="00D93B24" w:rsidRDefault="0002090E" w:rsidP="00C0612F">
      <w:pPr>
        <w:pStyle w:val="FootnoteText"/>
        <w:rPr>
          <w:lang w:val="fr-FR" w:eastAsia="ja-JP"/>
        </w:rPr>
      </w:pPr>
      <w:r w:rsidRPr="0059011F">
        <w:rPr>
          <w:rStyle w:val="FootnoteReference"/>
          <w:lang w:val="fr-FR"/>
        </w:rPr>
        <w:footnoteRef/>
      </w:r>
      <w:r w:rsidRPr="0059011F">
        <w:rPr>
          <w:lang w:val="fr-FR"/>
        </w:rPr>
        <w:t xml:space="preserve"> </w:t>
      </w:r>
      <w:r w:rsidRPr="0059011F">
        <w:rPr>
          <w:lang w:val="fr-FR" w:eastAsia="ja-JP"/>
        </w:rPr>
        <w:tab/>
      </w:r>
      <w:r w:rsidRPr="00D93B24">
        <w:rPr>
          <w:lang w:val="fr-FR" w:eastAsia="ja-JP"/>
        </w:rPr>
        <w:t>Tenue à Genève le 9 juin 2015.</w:t>
      </w:r>
    </w:p>
  </w:footnote>
  <w:footnote w:id="15">
    <w:p w:rsidR="0002090E" w:rsidRPr="00D93B24" w:rsidRDefault="0002090E" w:rsidP="00C0612F">
      <w:pPr>
        <w:pStyle w:val="FootnoteText"/>
        <w:ind w:left="567" w:hanging="567"/>
        <w:rPr>
          <w:lang w:val="fr-FR"/>
        </w:rPr>
      </w:pPr>
      <w:r w:rsidRPr="00D93B24">
        <w:rPr>
          <w:rStyle w:val="FootnoteReference"/>
          <w:lang w:val="fr-FR"/>
        </w:rPr>
        <w:footnoteRef/>
      </w:r>
      <w:r w:rsidRPr="00D93B24">
        <w:rPr>
          <w:lang w:val="fr-FR"/>
        </w:rPr>
        <w:t xml:space="preserve"> </w:t>
      </w:r>
      <w:r w:rsidRPr="00D93B24">
        <w:rPr>
          <w:lang w:val="fr-FR"/>
        </w:rPr>
        <w:tab/>
        <w:t xml:space="preserve">Voir le document CAJ/69/6 </w:t>
      </w:r>
      <w:r w:rsidR="00742A84" w:rsidRPr="00D93B24">
        <w:rPr>
          <w:lang w:val="fr-FR"/>
        </w:rPr>
        <w:t>“</w:t>
      </w:r>
      <w:r w:rsidRPr="00D93B24">
        <w:rPr>
          <w:lang w:val="fr-FR"/>
        </w:rPr>
        <w:t>Bases de données d</w:t>
      </w:r>
      <w:r w:rsidR="008726DC" w:rsidRPr="00D93B24">
        <w:rPr>
          <w:lang w:val="fr-FR"/>
        </w:rPr>
        <w:t>’</w:t>
      </w:r>
      <w:r w:rsidRPr="00D93B24">
        <w:rPr>
          <w:lang w:val="fr-FR"/>
        </w:rPr>
        <w:t>information</w:t>
      </w:r>
      <w:r w:rsidR="00742A84" w:rsidRPr="00D93B24">
        <w:rPr>
          <w:lang w:val="fr-FR"/>
        </w:rPr>
        <w:t>”</w:t>
      </w:r>
      <w:r w:rsidRPr="00D93B24">
        <w:rPr>
          <w:lang w:val="fr-FR"/>
        </w:rPr>
        <w:t>, annexe</w:t>
      </w:r>
      <w:r w:rsidR="00742A84" w:rsidRPr="00D93B24">
        <w:rPr>
          <w:lang w:val="fr-FR"/>
        </w:rPr>
        <w:t> </w:t>
      </w:r>
      <w:r w:rsidRPr="00D93B24">
        <w:rPr>
          <w:lang w:val="fr-FR"/>
        </w:rPr>
        <w:t xml:space="preserve">I </w:t>
      </w:r>
      <w:r w:rsidR="00742A84" w:rsidRPr="00D93B24">
        <w:rPr>
          <w:lang w:val="fr-FR"/>
        </w:rPr>
        <w:t>“</w:t>
      </w:r>
      <w:r w:rsidRPr="00D93B24">
        <w:rPr>
          <w:lang w:val="fr-FR"/>
        </w:rPr>
        <w:t>Programme d</w:t>
      </w:r>
      <w:r w:rsidR="008726DC" w:rsidRPr="00D93B24">
        <w:rPr>
          <w:lang w:val="fr-FR"/>
        </w:rPr>
        <w:t>’</w:t>
      </w:r>
      <w:r w:rsidRPr="00D93B24">
        <w:rPr>
          <w:lang w:val="fr-FR"/>
        </w:rPr>
        <w:t>améliorations de la base de données sur les variétés végétales</w:t>
      </w:r>
      <w:r w:rsidR="00742A84" w:rsidRPr="00D93B24">
        <w:rPr>
          <w:lang w:val="fr-FR"/>
        </w:rPr>
        <w:t>”</w:t>
      </w:r>
      <w:r w:rsidRPr="00D93B24">
        <w:rPr>
          <w:lang w:val="fr-FR"/>
        </w:rPr>
        <w:t>, section</w:t>
      </w:r>
      <w:r w:rsidR="00742A84" w:rsidRPr="00D93B24">
        <w:rPr>
          <w:lang w:val="fr-FR"/>
        </w:rPr>
        <w:t> </w:t>
      </w:r>
      <w:r w:rsidRPr="00D93B24">
        <w:rPr>
          <w:lang w:val="fr-FR"/>
        </w:rPr>
        <w:t>3.1.3.</w:t>
      </w:r>
    </w:p>
  </w:footnote>
  <w:footnote w:id="16">
    <w:p w:rsidR="0002090E" w:rsidRPr="00D93B24" w:rsidRDefault="0002090E" w:rsidP="00C0612F">
      <w:pPr>
        <w:pStyle w:val="FootnoteText"/>
        <w:ind w:left="567" w:hanging="567"/>
        <w:rPr>
          <w:lang w:val="fr-FR"/>
        </w:rPr>
      </w:pPr>
      <w:r w:rsidRPr="00D93B24">
        <w:rPr>
          <w:rStyle w:val="FootnoteReference"/>
          <w:lang w:val="fr-FR"/>
        </w:rPr>
        <w:footnoteRef/>
      </w:r>
      <w:r w:rsidRPr="00D93B24">
        <w:rPr>
          <w:lang w:val="fr-FR"/>
        </w:rPr>
        <w:t xml:space="preserve"> </w:t>
      </w:r>
      <w:r w:rsidRPr="00D93B24">
        <w:rPr>
          <w:lang w:val="fr-FR"/>
        </w:rPr>
        <w:tab/>
      </w:r>
      <w:r w:rsidRPr="00D93B24">
        <w:rPr>
          <w:lang w:val="fr-FR" w:eastAsia="ja-JP"/>
        </w:rPr>
        <w:t>“</w:t>
      </w:r>
      <w:r w:rsidRPr="00D93B24">
        <w:rPr>
          <w:lang w:val="fr-FR"/>
        </w:rPr>
        <w:t>3.1.3</w:t>
      </w:r>
      <w:r w:rsidRPr="00D93B24">
        <w:rPr>
          <w:lang w:val="fr-FR"/>
        </w:rPr>
        <w:tab/>
        <w:t>Sous réserve des dispositions de la section</w:t>
      </w:r>
      <w:r w:rsidR="00742A84" w:rsidRPr="00D93B24">
        <w:rPr>
          <w:lang w:val="fr-FR"/>
        </w:rPr>
        <w:t> </w:t>
      </w:r>
      <w:r w:rsidRPr="00D93B24">
        <w:rPr>
          <w:lang w:val="fr-FR"/>
        </w:rPr>
        <w:t>3.1.4, le jeu de caractères des données est le jeu de caractères ASCII [Code standard américain pour l</w:t>
      </w:r>
      <w:r w:rsidR="008726DC" w:rsidRPr="00D93B24">
        <w:rPr>
          <w:lang w:val="fr-FR"/>
        </w:rPr>
        <w:t>’</w:t>
      </w:r>
      <w:r w:rsidRPr="00D93B24">
        <w:rPr>
          <w:lang w:val="fr-FR"/>
        </w:rPr>
        <w:t>échange d</w:t>
      </w:r>
      <w:r w:rsidR="008726DC" w:rsidRPr="00D93B24">
        <w:rPr>
          <w:lang w:val="fr-FR"/>
        </w:rPr>
        <w:t>’</w:t>
      </w:r>
      <w:r w:rsidRPr="00D93B24">
        <w:rPr>
          <w:lang w:val="fr-FR"/>
        </w:rPr>
        <w:t>informations], tel qu</w:t>
      </w:r>
      <w:r w:rsidR="008726DC" w:rsidRPr="00D93B24">
        <w:rPr>
          <w:lang w:val="fr-FR"/>
        </w:rPr>
        <w:t>’</w:t>
      </w:r>
      <w:r w:rsidRPr="00D93B24">
        <w:rPr>
          <w:lang w:val="fr-FR"/>
        </w:rPr>
        <w:t>il est défini dans la norme n° 646 de l</w:t>
      </w:r>
      <w:r w:rsidR="008726DC" w:rsidRPr="00D93B24">
        <w:rPr>
          <w:lang w:val="fr-FR"/>
        </w:rPr>
        <w:t>’</w:t>
      </w:r>
      <w:r w:rsidRPr="00D93B24">
        <w:rPr>
          <w:lang w:val="fr-FR"/>
        </w:rPr>
        <w:t>ISO [Organisation internationale de normalisation].</w:t>
      </w:r>
      <w:r w:rsidR="00907430" w:rsidRPr="00D93B24">
        <w:rPr>
          <w:lang w:val="fr-FR"/>
        </w:rPr>
        <w:t xml:space="preserve"> </w:t>
      </w:r>
      <w:r w:rsidRPr="00D93B24">
        <w:rPr>
          <w:lang w:val="fr-FR"/>
        </w:rPr>
        <w:t xml:space="preserve"> Les caractères spéciaux, les symboles ou les accents (˜, ˆ, ¨, º, etc.) ne sont pas acceptés.  Seuls les caractères de l</w:t>
      </w:r>
      <w:r w:rsidR="008726DC" w:rsidRPr="00D93B24">
        <w:rPr>
          <w:lang w:val="fr-FR"/>
        </w:rPr>
        <w:t>’</w:t>
      </w:r>
      <w:r w:rsidRPr="00D93B24">
        <w:rPr>
          <w:lang w:val="fr-FR"/>
        </w:rPr>
        <w:t>alphabet anglais peuvent être utilisés.”</w:t>
      </w:r>
    </w:p>
  </w:footnote>
  <w:footnote w:id="17">
    <w:p w:rsidR="0002090E" w:rsidRPr="0059011F" w:rsidRDefault="0002090E" w:rsidP="00C0612F">
      <w:pPr>
        <w:pStyle w:val="FootnoteText"/>
        <w:ind w:left="567" w:hanging="567"/>
        <w:rPr>
          <w:lang w:val="fr-FR" w:eastAsia="ja-JP"/>
        </w:rPr>
      </w:pPr>
      <w:r w:rsidRPr="00D93B24">
        <w:rPr>
          <w:rStyle w:val="FootnoteReference"/>
          <w:lang w:val="fr-FR"/>
        </w:rPr>
        <w:footnoteRef/>
      </w:r>
      <w:r w:rsidRPr="00D93B24">
        <w:rPr>
          <w:lang w:val="fr-FR"/>
        </w:rPr>
        <w:t xml:space="preserve"> </w:t>
      </w:r>
      <w:r w:rsidRPr="00D93B24">
        <w:rPr>
          <w:lang w:val="fr-FR" w:eastAsia="ja-JP"/>
        </w:rPr>
        <w:tab/>
        <w:t>Voir le document UPOV/WG-DST/2/6 “Report”, paragraphes</w:t>
      </w:r>
      <w:r w:rsidR="00742A84" w:rsidRPr="00D93B24">
        <w:rPr>
          <w:lang w:val="fr-FR" w:eastAsia="ja-JP"/>
        </w:rPr>
        <w:t> </w:t>
      </w:r>
      <w:r w:rsidRPr="00D93B24">
        <w:rPr>
          <w:lang w:val="fr-FR" w:eastAsia="ja-JP"/>
        </w:rPr>
        <w:t>17 et 18.</w:t>
      </w:r>
    </w:p>
  </w:footnote>
  <w:footnote w:id="18">
    <w:p w:rsidR="00AC65A8" w:rsidRPr="0059011F" w:rsidRDefault="00AC65A8" w:rsidP="00AC65A8">
      <w:pPr>
        <w:pStyle w:val="FootnoteText"/>
        <w:ind w:left="567" w:hanging="567"/>
        <w:rPr>
          <w:lang w:val="fr-FR" w:eastAsia="ja-JP"/>
        </w:rPr>
      </w:pPr>
      <w:r w:rsidRPr="0059011F">
        <w:rPr>
          <w:rStyle w:val="FootnoteReference"/>
          <w:lang w:val="fr-FR"/>
        </w:rPr>
        <w:footnoteRef/>
      </w:r>
      <w:r w:rsidRPr="0059011F">
        <w:rPr>
          <w:lang w:val="fr-FR"/>
        </w:rPr>
        <w:t xml:space="preserve"> </w:t>
      </w:r>
      <w:r w:rsidRPr="0059011F">
        <w:rPr>
          <w:lang w:val="fr-FR" w:eastAsia="ja-JP"/>
        </w:rPr>
        <w:tab/>
      </w:r>
      <w:r>
        <w:rPr>
          <w:lang w:val="fr-FR" w:eastAsia="ja-JP"/>
        </w:rPr>
        <w:t>Voir le</w:t>
      </w:r>
      <w:r w:rsidRPr="0059011F">
        <w:rPr>
          <w:lang w:val="fr-FR" w:eastAsia="ja-JP"/>
        </w:rPr>
        <w:t xml:space="preserve"> document UPOV/WG-DST/2/6 “Report”, paragraph</w:t>
      </w:r>
      <w:r>
        <w:rPr>
          <w:lang w:val="fr-FR" w:eastAsia="ja-JP"/>
        </w:rPr>
        <w:t>e</w:t>
      </w:r>
      <w:r w:rsidR="00742A84">
        <w:rPr>
          <w:lang w:val="fr-FR" w:eastAsia="ja-JP"/>
        </w:rPr>
        <w:t> </w:t>
      </w:r>
      <w:r w:rsidRPr="0059011F">
        <w:rPr>
          <w:lang w:val="fr-FR" w:eastAsia="ja-JP"/>
        </w:rPr>
        <w:t>19.</w:t>
      </w:r>
    </w:p>
  </w:footnote>
  <w:footnote w:id="19">
    <w:p w:rsidR="0002090E" w:rsidRPr="0059011F" w:rsidRDefault="0002090E" w:rsidP="00F66E48">
      <w:pPr>
        <w:pStyle w:val="FootnoteText"/>
        <w:ind w:left="567" w:hanging="567"/>
        <w:rPr>
          <w:lang w:val="fr-FR"/>
        </w:rPr>
      </w:pPr>
      <w:r w:rsidRPr="0059011F">
        <w:rPr>
          <w:rStyle w:val="FootnoteReference"/>
          <w:lang w:val="fr-FR"/>
        </w:rPr>
        <w:footnoteRef/>
      </w:r>
      <w:r w:rsidRPr="0059011F">
        <w:rPr>
          <w:lang w:val="fr-FR"/>
        </w:rPr>
        <w:t xml:space="preserve"> </w:t>
      </w:r>
      <w:r w:rsidRPr="0059011F">
        <w:rPr>
          <w:lang w:val="fr-FR"/>
        </w:rPr>
        <w:tab/>
      </w:r>
      <w:r w:rsidRPr="0002090E">
        <w:rPr>
          <w:lang w:val="fr-FR"/>
        </w:rPr>
        <w:t>ISO/CEI 8859 – 1: 1998</w:t>
      </w:r>
      <w:r w:rsidRPr="0059011F">
        <w:rPr>
          <w:lang w:val="fr-FR"/>
        </w:rPr>
        <w:t xml:space="preserve"> </w:t>
      </w:r>
      <w:r w:rsidR="00742A84">
        <w:rPr>
          <w:lang w:val="fr-FR"/>
        </w:rPr>
        <w:t>“</w:t>
      </w:r>
      <w:r w:rsidR="00BA3C72">
        <w:rPr>
          <w:lang w:val="fr-FR"/>
        </w:rPr>
        <w:t>Technologies de l</w:t>
      </w:r>
      <w:r w:rsidR="008726DC">
        <w:rPr>
          <w:lang w:val="fr-FR"/>
        </w:rPr>
        <w:t>’</w:t>
      </w:r>
      <w:r w:rsidR="00BA3C72">
        <w:rPr>
          <w:lang w:val="fr-FR"/>
        </w:rPr>
        <w:t>i</w:t>
      </w:r>
      <w:r w:rsidRPr="0059011F">
        <w:rPr>
          <w:lang w:val="fr-FR"/>
        </w:rPr>
        <w:t xml:space="preserve">nformation </w:t>
      </w:r>
      <w:r w:rsidR="00BA3C72">
        <w:rPr>
          <w:lang w:val="fr-FR"/>
        </w:rPr>
        <w:t>–</w:t>
      </w:r>
      <w:r w:rsidRPr="0059011F">
        <w:rPr>
          <w:lang w:val="fr-FR"/>
        </w:rPr>
        <w:t xml:space="preserve"> </w:t>
      </w:r>
      <w:r w:rsidR="00BA3C72">
        <w:rPr>
          <w:lang w:val="fr-FR"/>
        </w:rPr>
        <w:t>Jeux de caractères graphiques codés sur un seul octet</w:t>
      </w:r>
      <w:r w:rsidRPr="0059011F">
        <w:rPr>
          <w:lang w:val="fr-FR"/>
        </w:rPr>
        <w:t xml:space="preserve"> -- Part</w:t>
      </w:r>
      <w:r w:rsidR="00907430">
        <w:rPr>
          <w:lang w:val="fr-FR"/>
        </w:rPr>
        <w:t>ie</w:t>
      </w:r>
      <w:r w:rsidRPr="0059011F">
        <w:rPr>
          <w:lang w:val="fr-FR"/>
        </w:rPr>
        <w:t xml:space="preserve"> 1</w:t>
      </w:r>
      <w:r w:rsidR="00907430">
        <w:rPr>
          <w:lang w:val="fr-FR"/>
        </w:rPr>
        <w:t xml:space="preserve"> </w:t>
      </w:r>
      <w:r w:rsidRPr="0059011F">
        <w:rPr>
          <w:lang w:val="fr-FR"/>
        </w:rPr>
        <w:t xml:space="preserve">: </w:t>
      </w:r>
      <w:r w:rsidR="00907430">
        <w:rPr>
          <w:lang w:val="fr-FR"/>
        </w:rPr>
        <w:t>A</w:t>
      </w:r>
      <w:r w:rsidR="00907430" w:rsidRPr="0059011F">
        <w:rPr>
          <w:lang w:val="fr-FR"/>
        </w:rPr>
        <w:t xml:space="preserve">lphabet </w:t>
      </w:r>
      <w:r w:rsidR="00907430">
        <w:rPr>
          <w:lang w:val="fr-FR"/>
        </w:rPr>
        <w:t>l</w:t>
      </w:r>
      <w:r w:rsidRPr="0059011F">
        <w:rPr>
          <w:lang w:val="fr-FR"/>
        </w:rPr>
        <w:t xml:space="preserve">atin </w:t>
      </w:r>
      <w:r w:rsidR="00907430">
        <w:rPr>
          <w:lang w:val="fr-FR"/>
        </w:rPr>
        <w:t>n°</w:t>
      </w:r>
      <w:r w:rsidRPr="0059011F">
        <w:rPr>
          <w:lang w:val="fr-FR"/>
        </w:rPr>
        <w:t xml:space="preserve"> 1”. </w:t>
      </w:r>
      <w:r>
        <w:rPr>
          <w:lang w:val="fr-FR"/>
        </w:rPr>
        <w:t>Voir ci-après un extrait du site Web de l</w:t>
      </w:r>
      <w:r w:rsidR="008726DC">
        <w:rPr>
          <w:lang w:val="fr-FR"/>
        </w:rPr>
        <w:t>’</w:t>
      </w:r>
      <w:r>
        <w:rPr>
          <w:lang w:val="fr-FR"/>
        </w:rPr>
        <w:t>ISO concernant la norme</w:t>
      </w:r>
      <w:r w:rsidR="00742A84">
        <w:rPr>
          <w:lang w:val="fr-FR"/>
        </w:rPr>
        <w:t> </w:t>
      </w:r>
      <w:r>
        <w:rPr>
          <w:lang w:val="fr-FR"/>
        </w:rPr>
        <w:t>ISO/</w:t>
      </w:r>
      <w:r w:rsidRPr="0059011F">
        <w:rPr>
          <w:lang w:val="fr-FR"/>
        </w:rPr>
        <w:t>C</w:t>
      </w:r>
      <w:r>
        <w:rPr>
          <w:lang w:val="fr-FR"/>
        </w:rPr>
        <w:t>EI</w:t>
      </w:r>
      <w:r w:rsidRPr="0059011F">
        <w:rPr>
          <w:lang w:val="fr-FR"/>
        </w:rPr>
        <w:t xml:space="preserve"> 8859 – 1: 1998 (</w:t>
      </w:r>
      <w:r>
        <w:rPr>
          <w:lang w:val="fr-FR"/>
        </w:rPr>
        <w:t>également disponible à l</w:t>
      </w:r>
      <w:r w:rsidR="008726DC">
        <w:rPr>
          <w:lang w:val="fr-FR"/>
        </w:rPr>
        <w:t>’</w:t>
      </w:r>
      <w:r w:rsidR="00D93B24">
        <w:rPr>
          <w:lang w:val="fr-FR"/>
        </w:rPr>
        <w:t>adresse</w:t>
      </w:r>
      <w:r w:rsidRPr="0059011F">
        <w:rPr>
          <w:lang w:val="fr-FR"/>
        </w:rPr>
        <w:t xml:space="preserve"> </w:t>
      </w:r>
      <w:hyperlink r:id="rId3" w:history="1">
        <w:r w:rsidRPr="0059011F">
          <w:rPr>
            <w:rStyle w:val="Hyperlink"/>
            <w:lang w:val="fr-FR"/>
          </w:rPr>
          <w:t>http://www.iso.org/iso/home/store/catalogue_tc/catalogue_detail.htm?csnumber=28245</w:t>
        </w:r>
      </w:hyperlink>
      <w:r w:rsidRPr="0059011F">
        <w:rPr>
          <w:lang w:val="fr-FR"/>
        </w:rPr>
        <w:t>) :</w:t>
      </w:r>
    </w:p>
    <w:p w:rsidR="00196A0A" w:rsidRPr="00654C33" w:rsidRDefault="00196A0A" w:rsidP="00196A0A">
      <w:pPr>
        <w:pStyle w:val="FootnoteText"/>
        <w:ind w:left="567"/>
        <w:rPr>
          <w:i/>
        </w:rPr>
      </w:pPr>
      <w:r w:rsidRPr="00654C33">
        <w:t>“</w:t>
      </w:r>
      <w:r w:rsidRPr="00654C33">
        <w:rPr>
          <w:i/>
        </w:rPr>
        <w:t>Foreword</w:t>
      </w:r>
    </w:p>
    <w:p w:rsidR="00196A0A" w:rsidRPr="00654C33" w:rsidRDefault="00196A0A" w:rsidP="00196A0A">
      <w:pPr>
        <w:pStyle w:val="FootnoteText"/>
        <w:ind w:left="567"/>
      </w:pPr>
      <w:r w:rsidRPr="00654C33">
        <w:rPr>
          <w:i/>
        </w:rPr>
        <w:t xml:space="preserve">ISO (the International Organization for Standardization) and IEC (the International Electrotechnical Commission) form the specialized system for worldwide standardization. </w:t>
      </w:r>
    </w:p>
    <w:p w:rsidR="00196A0A" w:rsidRPr="00654C33" w:rsidRDefault="00196A0A" w:rsidP="00196A0A">
      <w:pPr>
        <w:pStyle w:val="FootnoteText"/>
        <w:ind w:left="567"/>
      </w:pPr>
      <w:r w:rsidRPr="00654C33">
        <w:t>[…]</w:t>
      </w:r>
    </w:p>
    <w:p w:rsidR="00196A0A" w:rsidRPr="00654C33" w:rsidRDefault="00196A0A" w:rsidP="00196A0A">
      <w:pPr>
        <w:pStyle w:val="FootnoteText"/>
        <w:keepNext/>
        <w:ind w:left="567"/>
        <w:rPr>
          <w:i/>
        </w:rPr>
      </w:pPr>
      <w:r w:rsidRPr="00654C33">
        <w:rPr>
          <w:i/>
        </w:rPr>
        <w:t>Introduction</w:t>
      </w:r>
    </w:p>
    <w:p w:rsidR="00196A0A" w:rsidRPr="00654C33" w:rsidRDefault="00196A0A" w:rsidP="00196A0A">
      <w:pPr>
        <w:pStyle w:val="FootnoteText"/>
        <w:ind w:left="567"/>
        <w:rPr>
          <w:i/>
        </w:rPr>
      </w:pPr>
      <w:r w:rsidRPr="00654C33">
        <w:rPr>
          <w:i/>
        </w:rPr>
        <w:t>ISO/IEC 8859 consists of several parts.  Each part specifies a set of up to 191 graphic characters and the coded representation of these characters by means of a single 8-bit byte.  Each set is intended for use for a particular group of languages.</w:t>
      </w:r>
    </w:p>
    <w:p w:rsidR="00196A0A" w:rsidRPr="00654C33" w:rsidRDefault="00196A0A" w:rsidP="00196A0A">
      <w:pPr>
        <w:pStyle w:val="FootnoteText"/>
        <w:ind w:left="567"/>
        <w:rPr>
          <w:i/>
        </w:rPr>
      </w:pPr>
      <w:r w:rsidRPr="00654C33">
        <w:rPr>
          <w:i/>
        </w:rPr>
        <w:t>1   Scope</w:t>
      </w:r>
    </w:p>
    <w:p w:rsidR="00196A0A" w:rsidRPr="00654C33" w:rsidRDefault="00196A0A" w:rsidP="00196A0A">
      <w:pPr>
        <w:pStyle w:val="FootnoteText"/>
        <w:ind w:left="567"/>
        <w:rPr>
          <w:i/>
        </w:rPr>
      </w:pPr>
      <w:r w:rsidRPr="00654C33">
        <w:rPr>
          <w:i/>
        </w:rPr>
        <w:t>This part of ISO/IEC 8859 specifies a set of 191 coded graphic characters identified as Latin alphabet No. 1.</w:t>
      </w:r>
    </w:p>
    <w:p w:rsidR="00196A0A" w:rsidRPr="00654C33" w:rsidRDefault="00196A0A" w:rsidP="00196A0A">
      <w:pPr>
        <w:pStyle w:val="FootnoteText"/>
        <w:ind w:left="567"/>
        <w:rPr>
          <w:i/>
        </w:rPr>
      </w:pPr>
      <w:r w:rsidRPr="00654C33">
        <w:rPr>
          <w:i/>
        </w:rPr>
        <w:t>This set of coded graphic characters is intended for use in data and text processing applications and also for information interchange.</w:t>
      </w:r>
    </w:p>
    <w:p w:rsidR="00196A0A" w:rsidRPr="00654C33" w:rsidRDefault="00196A0A" w:rsidP="00196A0A">
      <w:pPr>
        <w:pStyle w:val="FootnoteText"/>
        <w:ind w:left="567"/>
        <w:rPr>
          <w:i/>
        </w:rPr>
      </w:pPr>
      <w:r w:rsidRPr="00654C33">
        <w:rPr>
          <w:i/>
        </w:rPr>
        <w:t>The set contains graphic characters used for general purpose applications in typical office environments in at least the following languages:</w:t>
      </w:r>
    </w:p>
    <w:p w:rsidR="0002090E" w:rsidRPr="00196A0A" w:rsidRDefault="00196A0A" w:rsidP="00196A0A">
      <w:pPr>
        <w:pStyle w:val="FootnoteText"/>
        <w:ind w:left="567"/>
        <w:rPr>
          <w:lang w:val="es-ES"/>
        </w:rPr>
      </w:pPr>
      <w:r w:rsidRPr="00654C33">
        <w:rPr>
          <w:i/>
        </w:rPr>
        <w:t>Albanian, Basque, Breton, Catalan, Danish, Dutch, English, Faroese, Finnish, French (with restrictions, see Annex A.1, Notes), Frisian, Galician, German, Greenlandic, Icelandic, Irish Gaelic (new orthography), Italian, Latin, Luxemburgish, Norwegian, Portuguese, Rhaeto</w:t>
      </w:r>
      <w:r w:rsidRPr="00654C33">
        <w:rPr>
          <w:rFonts w:hint="eastAsia"/>
          <w:i/>
          <w:lang w:eastAsia="ja-JP"/>
        </w:rPr>
        <w:noBreakHyphen/>
      </w:r>
      <w:r w:rsidRPr="00654C33">
        <w:rPr>
          <w:i/>
        </w:rPr>
        <w:t>Romanic, Scottish Gaelic, Spanish and Swedish.</w:t>
      </w:r>
      <w:r w:rsidRPr="00654C33">
        <w:t xml:space="preserve"> </w:t>
      </w:r>
      <w:r w:rsidRPr="002826C3">
        <w:rPr>
          <w:lang w:val="es-ES"/>
        </w:rPr>
        <w:t>[…].”</w:t>
      </w:r>
    </w:p>
  </w:footnote>
  <w:footnote w:id="20">
    <w:p w:rsidR="00443FA9" w:rsidRPr="00D93B24" w:rsidRDefault="00443FA9" w:rsidP="00443FA9">
      <w:pPr>
        <w:pStyle w:val="FootnoteText"/>
        <w:ind w:left="567" w:hanging="567"/>
        <w:rPr>
          <w:lang w:val="fr-FR" w:eastAsia="ja-JP"/>
        </w:rPr>
      </w:pPr>
      <w:r w:rsidRPr="00D93B24">
        <w:rPr>
          <w:rStyle w:val="FootnoteReference"/>
          <w:lang w:val="fr-FR"/>
        </w:rPr>
        <w:footnoteRef/>
      </w:r>
      <w:r w:rsidRPr="00D93B24">
        <w:rPr>
          <w:lang w:val="fr-FR"/>
        </w:rPr>
        <w:t xml:space="preserve"> </w:t>
      </w:r>
      <w:r w:rsidRPr="00D93B24">
        <w:rPr>
          <w:lang w:val="fr-FR" w:eastAsia="ja-JP"/>
        </w:rPr>
        <w:tab/>
        <w:t>Voir le paragraphe</w:t>
      </w:r>
      <w:r w:rsidR="00742A84" w:rsidRPr="00D93B24">
        <w:rPr>
          <w:lang w:val="fr-FR" w:eastAsia="ja-JP"/>
        </w:rPr>
        <w:t> </w:t>
      </w:r>
      <w:r w:rsidRPr="00D93B24">
        <w:rPr>
          <w:lang w:val="fr-FR" w:eastAsia="ja-JP"/>
        </w:rPr>
        <w:t xml:space="preserve">30 du document UPOV/WG-DST/2/6 </w:t>
      </w:r>
      <w:r w:rsidR="00742A84" w:rsidRPr="00D93B24">
        <w:rPr>
          <w:lang w:val="fr-FR" w:eastAsia="ja-JP"/>
        </w:rPr>
        <w:t>“</w:t>
      </w:r>
      <w:r w:rsidRPr="00D93B24">
        <w:rPr>
          <w:lang w:val="fr-FR" w:eastAsia="ja-JP"/>
        </w:rPr>
        <w:t>Compte rendu</w:t>
      </w:r>
      <w:r w:rsidR="00742A84" w:rsidRPr="00D93B24">
        <w:rPr>
          <w:lang w:val="fr-FR" w:eastAsia="ja-JP"/>
        </w:rPr>
        <w:t>”</w:t>
      </w:r>
      <w:r w:rsidRPr="00D93B24">
        <w:rPr>
          <w:lang w:val="fr-FR" w:eastAsia="ja-JP"/>
        </w:rPr>
        <w:t>.</w:t>
      </w:r>
    </w:p>
  </w:footnote>
  <w:footnote w:id="21">
    <w:p w:rsidR="00443FA9" w:rsidRPr="00D93B24" w:rsidRDefault="00443FA9" w:rsidP="00443FA9">
      <w:pPr>
        <w:pStyle w:val="FootnoteText"/>
        <w:rPr>
          <w:lang w:val="fr-FR" w:eastAsia="ja-JP"/>
        </w:rPr>
      </w:pPr>
      <w:r w:rsidRPr="00D93B24">
        <w:rPr>
          <w:rStyle w:val="FootnoteReference"/>
          <w:lang w:val="fr-FR"/>
        </w:rPr>
        <w:footnoteRef/>
      </w:r>
      <w:r w:rsidRPr="00D93B24">
        <w:rPr>
          <w:lang w:val="fr-FR"/>
        </w:rPr>
        <w:t xml:space="preserve"> </w:t>
      </w:r>
      <w:r w:rsidRPr="00D93B24">
        <w:rPr>
          <w:lang w:val="fr-FR" w:eastAsia="ja-JP"/>
        </w:rPr>
        <w:tab/>
        <w:t>Voir le paragraphe</w:t>
      </w:r>
      <w:r w:rsidR="00742A84" w:rsidRPr="00D93B24">
        <w:rPr>
          <w:lang w:val="fr-FR" w:eastAsia="ja-JP"/>
        </w:rPr>
        <w:t> </w:t>
      </w:r>
      <w:r w:rsidRPr="00D93B24">
        <w:rPr>
          <w:lang w:val="fr-FR" w:eastAsia="ja-JP"/>
        </w:rPr>
        <w:t xml:space="preserve">12 du document UPOV/WG-DST/2/6 </w:t>
      </w:r>
      <w:r w:rsidR="00742A84" w:rsidRPr="00D93B24">
        <w:rPr>
          <w:lang w:val="fr-FR" w:eastAsia="ja-JP"/>
        </w:rPr>
        <w:t>“</w:t>
      </w:r>
      <w:r w:rsidRPr="00D93B24">
        <w:rPr>
          <w:lang w:val="fr-FR" w:eastAsia="ja-JP"/>
        </w:rPr>
        <w:t>Compte rendu</w:t>
      </w:r>
      <w:r w:rsidR="00742A84" w:rsidRPr="00D93B24">
        <w:rPr>
          <w:lang w:val="fr-FR" w:eastAsia="ja-JP"/>
        </w:rPr>
        <w:t>”</w:t>
      </w:r>
      <w:r w:rsidRPr="00D93B24">
        <w:rPr>
          <w:lang w:val="fr-FR" w:eastAsia="ja-JP"/>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090E" w:rsidRPr="00997029" w:rsidRDefault="0002090E" w:rsidP="00E23920">
    <w:pPr>
      <w:jc w:val="center"/>
      <w:rPr>
        <w:rStyle w:val="PageNumber"/>
        <w:lang w:eastAsia="ja-JP"/>
      </w:rPr>
    </w:pPr>
    <w:r>
      <w:rPr>
        <w:rStyle w:val="PageNumber"/>
      </w:rPr>
      <w:t>CAJ/7</w:t>
    </w:r>
    <w:r>
      <w:rPr>
        <w:rStyle w:val="PageNumber"/>
        <w:rFonts w:hint="eastAsia"/>
        <w:lang w:eastAsia="ja-JP"/>
      </w:rPr>
      <w:t>2</w:t>
    </w:r>
    <w:r>
      <w:rPr>
        <w:rStyle w:val="PageNumber"/>
      </w:rPr>
      <w:t>/</w:t>
    </w:r>
    <w:r>
      <w:rPr>
        <w:rStyle w:val="PageNumber"/>
        <w:rFonts w:hint="eastAsia"/>
        <w:lang w:eastAsia="ja-JP"/>
      </w:rPr>
      <w:t>6</w:t>
    </w:r>
  </w:p>
  <w:p w:rsidR="0002090E" w:rsidRPr="00997029" w:rsidRDefault="0002090E" w:rsidP="00E23920">
    <w:pPr>
      <w:jc w:val="center"/>
    </w:pPr>
    <w:r w:rsidRPr="00997029">
      <w:t xml:space="preserve">page </w:t>
    </w:r>
    <w:r w:rsidRPr="00997029">
      <w:rPr>
        <w:rStyle w:val="PageNumber"/>
      </w:rPr>
      <w:fldChar w:fldCharType="begin"/>
    </w:r>
    <w:r w:rsidRPr="00997029">
      <w:rPr>
        <w:rStyle w:val="PageNumber"/>
      </w:rPr>
      <w:instrText xml:space="preserve"> PAGE </w:instrText>
    </w:r>
    <w:r w:rsidRPr="00997029">
      <w:rPr>
        <w:rStyle w:val="PageNumber"/>
      </w:rPr>
      <w:fldChar w:fldCharType="separate"/>
    </w:r>
    <w:r w:rsidR="008E52BE">
      <w:rPr>
        <w:rStyle w:val="PageNumber"/>
        <w:noProof/>
      </w:rPr>
      <w:t>4</w:t>
    </w:r>
    <w:r w:rsidRPr="00997029">
      <w:rPr>
        <w:rStyle w:val="PageNumber"/>
      </w:rPr>
      <w:fldChar w:fldCharType="end"/>
    </w:r>
  </w:p>
  <w:p w:rsidR="0002090E" w:rsidRPr="00997029" w:rsidRDefault="0002090E" w:rsidP="00EB048E">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40250"/>
    <w:multiLevelType w:val="hybridMultilevel"/>
    <w:tmpl w:val="CECC1F72"/>
    <w:lvl w:ilvl="0" w:tplc="AE9C1696">
      <w:start w:val="1"/>
      <w:numFmt w:val="lowerLetter"/>
      <w:lvlText w:val="%1)"/>
      <w:lvlJc w:val="left"/>
      <w:pPr>
        <w:ind w:left="4896" w:hanging="360"/>
      </w:pPr>
      <w:rPr>
        <w:rFonts w:hint="default"/>
      </w:rPr>
    </w:lvl>
    <w:lvl w:ilvl="1" w:tplc="04090019" w:tentative="1">
      <w:start w:val="1"/>
      <w:numFmt w:val="lowerLetter"/>
      <w:lvlText w:val="%2."/>
      <w:lvlJc w:val="left"/>
      <w:pPr>
        <w:ind w:left="5616" w:hanging="360"/>
      </w:pPr>
    </w:lvl>
    <w:lvl w:ilvl="2" w:tplc="0409001B" w:tentative="1">
      <w:start w:val="1"/>
      <w:numFmt w:val="lowerRoman"/>
      <w:lvlText w:val="%3."/>
      <w:lvlJc w:val="right"/>
      <w:pPr>
        <w:ind w:left="6336" w:hanging="180"/>
      </w:pPr>
    </w:lvl>
    <w:lvl w:ilvl="3" w:tplc="0409000F" w:tentative="1">
      <w:start w:val="1"/>
      <w:numFmt w:val="decimal"/>
      <w:lvlText w:val="%4."/>
      <w:lvlJc w:val="left"/>
      <w:pPr>
        <w:ind w:left="7056" w:hanging="360"/>
      </w:pPr>
    </w:lvl>
    <w:lvl w:ilvl="4" w:tplc="04090019" w:tentative="1">
      <w:start w:val="1"/>
      <w:numFmt w:val="lowerLetter"/>
      <w:lvlText w:val="%5."/>
      <w:lvlJc w:val="left"/>
      <w:pPr>
        <w:ind w:left="7776" w:hanging="360"/>
      </w:pPr>
    </w:lvl>
    <w:lvl w:ilvl="5" w:tplc="0409001B" w:tentative="1">
      <w:start w:val="1"/>
      <w:numFmt w:val="lowerRoman"/>
      <w:lvlText w:val="%6."/>
      <w:lvlJc w:val="right"/>
      <w:pPr>
        <w:ind w:left="8496" w:hanging="180"/>
      </w:pPr>
    </w:lvl>
    <w:lvl w:ilvl="6" w:tplc="0409000F" w:tentative="1">
      <w:start w:val="1"/>
      <w:numFmt w:val="decimal"/>
      <w:lvlText w:val="%7."/>
      <w:lvlJc w:val="left"/>
      <w:pPr>
        <w:ind w:left="9216" w:hanging="360"/>
      </w:pPr>
    </w:lvl>
    <w:lvl w:ilvl="7" w:tplc="04090019" w:tentative="1">
      <w:start w:val="1"/>
      <w:numFmt w:val="lowerLetter"/>
      <w:lvlText w:val="%8."/>
      <w:lvlJc w:val="left"/>
      <w:pPr>
        <w:ind w:left="9936" w:hanging="360"/>
      </w:pPr>
    </w:lvl>
    <w:lvl w:ilvl="8" w:tplc="0409001B" w:tentative="1">
      <w:start w:val="1"/>
      <w:numFmt w:val="lowerRoman"/>
      <w:lvlText w:val="%9."/>
      <w:lvlJc w:val="right"/>
      <w:pPr>
        <w:ind w:left="10656" w:hanging="180"/>
      </w:pPr>
    </w:lvl>
  </w:abstractNum>
  <w:abstractNum w:abstractNumId="1">
    <w:nsid w:val="13C936E6"/>
    <w:multiLevelType w:val="hybridMultilevel"/>
    <w:tmpl w:val="56322C68"/>
    <w:lvl w:ilvl="0" w:tplc="DC08BD1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A938AD"/>
    <w:multiLevelType w:val="hybridMultilevel"/>
    <w:tmpl w:val="2F7AD2C6"/>
    <w:lvl w:ilvl="0" w:tplc="4130552E">
      <w:start w:val="1"/>
      <w:numFmt w:val="lowerLetter"/>
      <w:lvlText w:val="(%1)"/>
      <w:lvlJc w:val="left"/>
      <w:pPr>
        <w:ind w:left="1137" w:hanging="5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27DB2C26"/>
    <w:multiLevelType w:val="hybridMultilevel"/>
    <w:tmpl w:val="D49E4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9277AB2"/>
    <w:multiLevelType w:val="hybridMultilevel"/>
    <w:tmpl w:val="AAA60BE8"/>
    <w:lvl w:ilvl="0" w:tplc="DC08BD12">
      <w:start w:val="1"/>
      <w:numFmt w:val="lowerLetter"/>
      <w:lvlText w:val="(%1)"/>
      <w:lvlJc w:val="left"/>
      <w:pPr>
        <w:ind w:left="720" w:hanging="360"/>
      </w:pPr>
      <w:rPr>
        <w:rFonts w:hint="default"/>
      </w:rPr>
    </w:lvl>
    <w:lvl w:ilvl="1" w:tplc="FAF41D54">
      <w:start w:val="1"/>
      <w:numFmt w:val="lowerRoman"/>
      <w:lvlText w:val="(%2)"/>
      <w:lvlJc w:val="left"/>
      <w:pPr>
        <w:ind w:left="1440" w:hanging="360"/>
      </w:pPr>
      <w:rPr>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DFE1D0C"/>
    <w:multiLevelType w:val="hybridMultilevel"/>
    <w:tmpl w:val="F9CA4FD6"/>
    <w:lvl w:ilvl="0" w:tplc="A6049664">
      <w:start w:val="1"/>
      <w:numFmt w:val="lowerLetter"/>
      <w:lvlText w:val="%1)"/>
      <w:lvlJc w:val="left"/>
      <w:pPr>
        <w:ind w:left="4896" w:hanging="360"/>
      </w:pPr>
      <w:rPr>
        <w:rFonts w:hint="default"/>
      </w:rPr>
    </w:lvl>
    <w:lvl w:ilvl="1" w:tplc="04090019" w:tentative="1">
      <w:start w:val="1"/>
      <w:numFmt w:val="lowerLetter"/>
      <w:lvlText w:val="%2."/>
      <w:lvlJc w:val="left"/>
      <w:pPr>
        <w:ind w:left="5616" w:hanging="360"/>
      </w:pPr>
    </w:lvl>
    <w:lvl w:ilvl="2" w:tplc="0409001B" w:tentative="1">
      <w:start w:val="1"/>
      <w:numFmt w:val="lowerRoman"/>
      <w:lvlText w:val="%3."/>
      <w:lvlJc w:val="right"/>
      <w:pPr>
        <w:ind w:left="6336" w:hanging="180"/>
      </w:pPr>
    </w:lvl>
    <w:lvl w:ilvl="3" w:tplc="0409000F" w:tentative="1">
      <w:start w:val="1"/>
      <w:numFmt w:val="decimal"/>
      <w:lvlText w:val="%4."/>
      <w:lvlJc w:val="left"/>
      <w:pPr>
        <w:ind w:left="7056" w:hanging="360"/>
      </w:pPr>
    </w:lvl>
    <w:lvl w:ilvl="4" w:tplc="04090019" w:tentative="1">
      <w:start w:val="1"/>
      <w:numFmt w:val="lowerLetter"/>
      <w:lvlText w:val="%5."/>
      <w:lvlJc w:val="left"/>
      <w:pPr>
        <w:ind w:left="7776" w:hanging="360"/>
      </w:pPr>
    </w:lvl>
    <w:lvl w:ilvl="5" w:tplc="0409001B" w:tentative="1">
      <w:start w:val="1"/>
      <w:numFmt w:val="lowerRoman"/>
      <w:lvlText w:val="%6."/>
      <w:lvlJc w:val="right"/>
      <w:pPr>
        <w:ind w:left="8496" w:hanging="180"/>
      </w:pPr>
    </w:lvl>
    <w:lvl w:ilvl="6" w:tplc="0409000F" w:tentative="1">
      <w:start w:val="1"/>
      <w:numFmt w:val="decimal"/>
      <w:lvlText w:val="%7."/>
      <w:lvlJc w:val="left"/>
      <w:pPr>
        <w:ind w:left="9216" w:hanging="360"/>
      </w:pPr>
    </w:lvl>
    <w:lvl w:ilvl="7" w:tplc="04090019" w:tentative="1">
      <w:start w:val="1"/>
      <w:numFmt w:val="lowerLetter"/>
      <w:lvlText w:val="%8."/>
      <w:lvlJc w:val="left"/>
      <w:pPr>
        <w:ind w:left="9936" w:hanging="360"/>
      </w:pPr>
    </w:lvl>
    <w:lvl w:ilvl="8" w:tplc="0409001B" w:tentative="1">
      <w:start w:val="1"/>
      <w:numFmt w:val="lowerRoman"/>
      <w:lvlText w:val="%9."/>
      <w:lvlJc w:val="right"/>
      <w:pPr>
        <w:ind w:left="10656" w:hanging="180"/>
      </w:pPr>
    </w:lvl>
  </w:abstractNum>
  <w:abstractNum w:abstractNumId="6">
    <w:nsid w:val="3CDF7EE6"/>
    <w:multiLevelType w:val="hybridMultilevel"/>
    <w:tmpl w:val="B60C9598"/>
    <w:lvl w:ilvl="0" w:tplc="6C0EB2CC">
      <w:start w:val="1"/>
      <w:numFmt w:val="decimal"/>
      <w:lvlText w:val="%1."/>
      <w:lvlJc w:val="left"/>
      <w:pPr>
        <w:tabs>
          <w:tab w:val="num" w:pos="0"/>
        </w:tabs>
        <w:ind w:left="284" w:hanging="284"/>
      </w:pPr>
      <w:rPr>
        <w:rFonts w:hint="default"/>
        <w:vanish w:val="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D9F0C56"/>
    <w:multiLevelType w:val="hybridMultilevel"/>
    <w:tmpl w:val="2B721626"/>
    <w:lvl w:ilvl="0" w:tplc="5F92C66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5D7B7D7F"/>
    <w:multiLevelType w:val="hybridMultilevel"/>
    <w:tmpl w:val="0A780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F075690"/>
    <w:multiLevelType w:val="hybridMultilevel"/>
    <w:tmpl w:val="022835D4"/>
    <w:lvl w:ilvl="0" w:tplc="8B7CA810">
      <w:start w:val="1"/>
      <w:numFmt w:val="lowerLetter"/>
      <w:lvlText w:val="%1)"/>
      <w:lvlJc w:val="left"/>
      <w:pPr>
        <w:ind w:left="4896" w:hanging="360"/>
      </w:pPr>
      <w:rPr>
        <w:rFonts w:hint="default"/>
      </w:rPr>
    </w:lvl>
    <w:lvl w:ilvl="1" w:tplc="04090019" w:tentative="1">
      <w:start w:val="1"/>
      <w:numFmt w:val="lowerLetter"/>
      <w:lvlText w:val="%2."/>
      <w:lvlJc w:val="left"/>
      <w:pPr>
        <w:ind w:left="5616" w:hanging="360"/>
      </w:pPr>
    </w:lvl>
    <w:lvl w:ilvl="2" w:tplc="0409001B" w:tentative="1">
      <w:start w:val="1"/>
      <w:numFmt w:val="lowerRoman"/>
      <w:lvlText w:val="%3."/>
      <w:lvlJc w:val="right"/>
      <w:pPr>
        <w:ind w:left="6336" w:hanging="180"/>
      </w:pPr>
    </w:lvl>
    <w:lvl w:ilvl="3" w:tplc="0409000F" w:tentative="1">
      <w:start w:val="1"/>
      <w:numFmt w:val="decimal"/>
      <w:lvlText w:val="%4."/>
      <w:lvlJc w:val="left"/>
      <w:pPr>
        <w:ind w:left="7056" w:hanging="360"/>
      </w:pPr>
    </w:lvl>
    <w:lvl w:ilvl="4" w:tplc="04090019" w:tentative="1">
      <w:start w:val="1"/>
      <w:numFmt w:val="lowerLetter"/>
      <w:lvlText w:val="%5."/>
      <w:lvlJc w:val="left"/>
      <w:pPr>
        <w:ind w:left="7776" w:hanging="360"/>
      </w:pPr>
    </w:lvl>
    <w:lvl w:ilvl="5" w:tplc="0409001B" w:tentative="1">
      <w:start w:val="1"/>
      <w:numFmt w:val="lowerRoman"/>
      <w:lvlText w:val="%6."/>
      <w:lvlJc w:val="right"/>
      <w:pPr>
        <w:ind w:left="8496" w:hanging="180"/>
      </w:pPr>
    </w:lvl>
    <w:lvl w:ilvl="6" w:tplc="0409000F" w:tentative="1">
      <w:start w:val="1"/>
      <w:numFmt w:val="decimal"/>
      <w:lvlText w:val="%7."/>
      <w:lvlJc w:val="left"/>
      <w:pPr>
        <w:ind w:left="9216" w:hanging="360"/>
      </w:pPr>
    </w:lvl>
    <w:lvl w:ilvl="7" w:tplc="04090019" w:tentative="1">
      <w:start w:val="1"/>
      <w:numFmt w:val="lowerLetter"/>
      <w:lvlText w:val="%8."/>
      <w:lvlJc w:val="left"/>
      <w:pPr>
        <w:ind w:left="9936" w:hanging="360"/>
      </w:pPr>
    </w:lvl>
    <w:lvl w:ilvl="8" w:tplc="0409001B" w:tentative="1">
      <w:start w:val="1"/>
      <w:numFmt w:val="lowerRoman"/>
      <w:lvlText w:val="%9."/>
      <w:lvlJc w:val="right"/>
      <w:pPr>
        <w:ind w:left="10656" w:hanging="180"/>
      </w:pPr>
    </w:lvl>
  </w:abstractNum>
  <w:abstractNum w:abstractNumId="10">
    <w:nsid w:val="637C5006"/>
    <w:multiLevelType w:val="hybridMultilevel"/>
    <w:tmpl w:val="04C43000"/>
    <w:lvl w:ilvl="0" w:tplc="F2E006FA">
      <w:start w:val="1"/>
      <w:numFmt w:val="lowerLetter"/>
      <w:lvlText w:val="%1)"/>
      <w:lvlJc w:val="left"/>
      <w:pPr>
        <w:ind w:left="4896" w:hanging="360"/>
      </w:pPr>
      <w:rPr>
        <w:rFonts w:hint="default"/>
      </w:rPr>
    </w:lvl>
    <w:lvl w:ilvl="1" w:tplc="04090019" w:tentative="1">
      <w:start w:val="1"/>
      <w:numFmt w:val="lowerLetter"/>
      <w:lvlText w:val="%2."/>
      <w:lvlJc w:val="left"/>
      <w:pPr>
        <w:ind w:left="5616" w:hanging="360"/>
      </w:pPr>
    </w:lvl>
    <w:lvl w:ilvl="2" w:tplc="0409001B" w:tentative="1">
      <w:start w:val="1"/>
      <w:numFmt w:val="lowerRoman"/>
      <w:lvlText w:val="%3."/>
      <w:lvlJc w:val="right"/>
      <w:pPr>
        <w:ind w:left="6336" w:hanging="180"/>
      </w:pPr>
    </w:lvl>
    <w:lvl w:ilvl="3" w:tplc="0409000F" w:tentative="1">
      <w:start w:val="1"/>
      <w:numFmt w:val="decimal"/>
      <w:lvlText w:val="%4."/>
      <w:lvlJc w:val="left"/>
      <w:pPr>
        <w:ind w:left="7056" w:hanging="360"/>
      </w:pPr>
    </w:lvl>
    <w:lvl w:ilvl="4" w:tplc="04090019" w:tentative="1">
      <w:start w:val="1"/>
      <w:numFmt w:val="lowerLetter"/>
      <w:lvlText w:val="%5."/>
      <w:lvlJc w:val="left"/>
      <w:pPr>
        <w:ind w:left="7776" w:hanging="360"/>
      </w:pPr>
    </w:lvl>
    <w:lvl w:ilvl="5" w:tplc="0409001B" w:tentative="1">
      <w:start w:val="1"/>
      <w:numFmt w:val="lowerRoman"/>
      <w:lvlText w:val="%6."/>
      <w:lvlJc w:val="right"/>
      <w:pPr>
        <w:ind w:left="8496" w:hanging="180"/>
      </w:pPr>
    </w:lvl>
    <w:lvl w:ilvl="6" w:tplc="0409000F" w:tentative="1">
      <w:start w:val="1"/>
      <w:numFmt w:val="decimal"/>
      <w:lvlText w:val="%7."/>
      <w:lvlJc w:val="left"/>
      <w:pPr>
        <w:ind w:left="9216" w:hanging="360"/>
      </w:pPr>
    </w:lvl>
    <w:lvl w:ilvl="7" w:tplc="04090019" w:tentative="1">
      <w:start w:val="1"/>
      <w:numFmt w:val="lowerLetter"/>
      <w:lvlText w:val="%8."/>
      <w:lvlJc w:val="left"/>
      <w:pPr>
        <w:ind w:left="9936" w:hanging="360"/>
      </w:pPr>
    </w:lvl>
    <w:lvl w:ilvl="8" w:tplc="0409001B" w:tentative="1">
      <w:start w:val="1"/>
      <w:numFmt w:val="lowerRoman"/>
      <w:lvlText w:val="%9."/>
      <w:lvlJc w:val="right"/>
      <w:pPr>
        <w:ind w:left="10656" w:hanging="180"/>
      </w:pPr>
    </w:lvl>
  </w:abstractNum>
  <w:abstractNum w:abstractNumId="11">
    <w:nsid w:val="7BE41F0C"/>
    <w:multiLevelType w:val="hybridMultilevel"/>
    <w:tmpl w:val="557A86D0"/>
    <w:lvl w:ilvl="0" w:tplc="B41AE5A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10"/>
  </w:num>
  <w:num w:numId="4">
    <w:abstractNumId w:val="2"/>
  </w:num>
  <w:num w:numId="5">
    <w:abstractNumId w:val="9"/>
  </w:num>
  <w:num w:numId="6">
    <w:abstractNumId w:val="5"/>
  </w:num>
  <w:num w:numId="7">
    <w:abstractNumId w:val="11"/>
  </w:num>
  <w:num w:numId="8">
    <w:abstractNumId w:val="6"/>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4"/>
  </w:num>
  <w:num w:numId="12">
    <w:abstractNumId w:val="3"/>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WIPONew|TRADTERM"/>
    <w:docVar w:name="TermBaseURL" w:val="empty"/>
    <w:docVar w:name="TextBases" w:val="TextBase TMs\WorkspaceFTS\EN-FR\UPOV|TextBase TMs\UPOV\Meetings|TextBase TMs\UPOV\Other|TextBase TMs\UPOV\Publications|TextBase TMs\UPOV\Technical Guidelines"/>
    <w:docVar w:name="TextBaseURL" w:val="empty"/>
    <w:docVar w:name="UILng" w:val="en"/>
  </w:docVars>
  <w:rsids>
    <w:rsidRoot w:val="00BA73DF"/>
    <w:rsid w:val="000010AE"/>
    <w:rsid w:val="00001380"/>
    <w:rsid w:val="00001D48"/>
    <w:rsid w:val="00010CF3"/>
    <w:rsid w:val="00011E27"/>
    <w:rsid w:val="000148BC"/>
    <w:rsid w:val="00014D5F"/>
    <w:rsid w:val="0002090E"/>
    <w:rsid w:val="000226BF"/>
    <w:rsid w:val="00024AB8"/>
    <w:rsid w:val="00036028"/>
    <w:rsid w:val="000446B9"/>
    <w:rsid w:val="00047E21"/>
    <w:rsid w:val="0006472C"/>
    <w:rsid w:val="000661C2"/>
    <w:rsid w:val="00085505"/>
    <w:rsid w:val="00086E9A"/>
    <w:rsid w:val="00095E5A"/>
    <w:rsid w:val="000B178E"/>
    <w:rsid w:val="000C7021"/>
    <w:rsid w:val="000D097C"/>
    <w:rsid w:val="000D4111"/>
    <w:rsid w:val="000D492E"/>
    <w:rsid w:val="000D6BBC"/>
    <w:rsid w:val="000D7780"/>
    <w:rsid w:val="000E71F2"/>
    <w:rsid w:val="000F249F"/>
    <w:rsid w:val="00105929"/>
    <w:rsid w:val="00110481"/>
    <w:rsid w:val="00111A35"/>
    <w:rsid w:val="001131D5"/>
    <w:rsid w:val="00126B77"/>
    <w:rsid w:val="00141DB8"/>
    <w:rsid w:val="001451A4"/>
    <w:rsid w:val="00154DC4"/>
    <w:rsid w:val="00155F6F"/>
    <w:rsid w:val="0017474A"/>
    <w:rsid w:val="001758C6"/>
    <w:rsid w:val="0017700D"/>
    <w:rsid w:val="00196A0A"/>
    <w:rsid w:val="001A7840"/>
    <w:rsid w:val="001A7AB7"/>
    <w:rsid w:val="001B7113"/>
    <w:rsid w:val="001B72B9"/>
    <w:rsid w:val="001C3DF3"/>
    <w:rsid w:val="001C7533"/>
    <w:rsid w:val="001E260B"/>
    <w:rsid w:val="001F1F2A"/>
    <w:rsid w:val="001F37BA"/>
    <w:rsid w:val="0021332C"/>
    <w:rsid w:val="00213982"/>
    <w:rsid w:val="002145E7"/>
    <w:rsid w:val="00237C7D"/>
    <w:rsid w:val="0024416D"/>
    <w:rsid w:val="00250E78"/>
    <w:rsid w:val="0025569E"/>
    <w:rsid w:val="002574CD"/>
    <w:rsid w:val="002625B3"/>
    <w:rsid w:val="0027309C"/>
    <w:rsid w:val="002800A0"/>
    <w:rsid w:val="00281060"/>
    <w:rsid w:val="00285C4C"/>
    <w:rsid w:val="002935DD"/>
    <w:rsid w:val="0029439F"/>
    <w:rsid w:val="0029785A"/>
    <w:rsid w:val="002A6E50"/>
    <w:rsid w:val="002C1236"/>
    <w:rsid w:val="002C256A"/>
    <w:rsid w:val="002E1BA5"/>
    <w:rsid w:val="002E47A1"/>
    <w:rsid w:val="002E7BA1"/>
    <w:rsid w:val="002F0E09"/>
    <w:rsid w:val="002F132E"/>
    <w:rsid w:val="002F78FA"/>
    <w:rsid w:val="00305A7F"/>
    <w:rsid w:val="003152FE"/>
    <w:rsid w:val="00327436"/>
    <w:rsid w:val="0032753C"/>
    <w:rsid w:val="003402C7"/>
    <w:rsid w:val="003405CF"/>
    <w:rsid w:val="003433F6"/>
    <w:rsid w:val="00344BD6"/>
    <w:rsid w:val="0035528D"/>
    <w:rsid w:val="00361821"/>
    <w:rsid w:val="00380003"/>
    <w:rsid w:val="00397E50"/>
    <w:rsid w:val="003A17C8"/>
    <w:rsid w:val="003C563E"/>
    <w:rsid w:val="003D227C"/>
    <w:rsid w:val="003D2B4D"/>
    <w:rsid w:val="003F6136"/>
    <w:rsid w:val="00427139"/>
    <w:rsid w:val="00441830"/>
    <w:rsid w:val="00443FA9"/>
    <w:rsid w:val="00444A88"/>
    <w:rsid w:val="004500FF"/>
    <w:rsid w:val="00454FEA"/>
    <w:rsid w:val="00472D4F"/>
    <w:rsid w:val="0047493D"/>
    <w:rsid w:val="00474D14"/>
    <w:rsid w:val="00474DA4"/>
    <w:rsid w:val="004A6DDF"/>
    <w:rsid w:val="004C05BA"/>
    <w:rsid w:val="004C7B89"/>
    <w:rsid w:val="004D047D"/>
    <w:rsid w:val="004E14E8"/>
    <w:rsid w:val="004E2334"/>
    <w:rsid w:val="004F305A"/>
    <w:rsid w:val="00512164"/>
    <w:rsid w:val="00520297"/>
    <w:rsid w:val="005275EB"/>
    <w:rsid w:val="00530455"/>
    <w:rsid w:val="005338F9"/>
    <w:rsid w:val="0054281C"/>
    <w:rsid w:val="00545A7D"/>
    <w:rsid w:val="00551E76"/>
    <w:rsid w:val="0055268D"/>
    <w:rsid w:val="00572E44"/>
    <w:rsid w:val="0057537B"/>
    <w:rsid w:val="00576BE4"/>
    <w:rsid w:val="0059011F"/>
    <w:rsid w:val="005A400A"/>
    <w:rsid w:val="00612379"/>
    <w:rsid w:val="0061555F"/>
    <w:rsid w:val="00641200"/>
    <w:rsid w:val="0065295B"/>
    <w:rsid w:val="006546BF"/>
    <w:rsid w:val="00663ED8"/>
    <w:rsid w:val="00664515"/>
    <w:rsid w:val="0067512D"/>
    <w:rsid w:val="00686B21"/>
    <w:rsid w:val="00687EB4"/>
    <w:rsid w:val="006A084F"/>
    <w:rsid w:val="006A1DC4"/>
    <w:rsid w:val="006A6835"/>
    <w:rsid w:val="006B17D2"/>
    <w:rsid w:val="006B45FA"/>
    <w:rsid w:val="006C224E"/>
    <w:rsid w:val="006D469B"/>
    <w:rsid w:val="006E4BF5"/>
    <w:rsid w:val="006F2923"/>
    <w:rsid w:val="00703359"/>
    <w:rsid w:val="00711E95"/>
    <w:rsid w:val="0071371B"/>
    <w:rsid w:val="00732DEC"/>
    <w:rsid w:val="00735BD5"/>
    <w:rsid w:val="00742A84"/>
    <w:rsid w:val="00742B01"/>
    <w:rsid w:val="0075117E"/>
    <w:rsid w:val="007556F6"/>
    <w:rsid w:val="00760EEF"/>
    <w:rsid w:val="00763438"/>
    <w:rsid w:val="00766C3D"/>
    <w:rsid w:val="00777EE5"/>
    <w:rsid w:val="00784836"/>
    <w:rsid w:val="00786F87"/>
    <w:rsid w:val="0079023E"/>
    <w:rsid w:val="00796671"/>
    <w:rsid w:val="007A41F1"/>
    <w:rsid w:val="007B144F"/>
    <w:rsid w:val="007B6894"/>
    <w:rsid w:val="007C0D12"/>
    <w:rsid w:val="007C6639"/>
    <w:rsid w:val="007D0B9D"/>
    <w:rsid w:val="007D19B0"/>
    <w:rsid w:val="007E1CB5"/>
    <w:rsid w:val="007F498F"/>
    <w:rsid w:val="00805999"/>
    <w:rsid w:val="0080679D"/>
    <w:rsid w:val="008108B0"/>
    <w:rsid w:val="00811B20"/>
    <w:rsid w:val="0082296E"/>
    <w:rsid w:val="00824099"/>
    <w:rsid w:val="00836E88"/>
    <w:rsid w:val="00855DBD"/>
    <w:rsid w:val="00867AC1"/>
    <w:rsid w:val="008726DC"/>
    <w:rsid w:val="00874B98"/>
    <w:rsid w:val="00883B58"/>
    <w:rsid w:val="008A09B0"/>
    <w:rsid w:val="008A395B"/>
    <w:rsid w:val="008A743F"/>
    <w:rsid w:val="008A7DAD"/>
    <w:rsid w:val="008B2A46"/>
    <w:rsid w:val="008B51D0"/>
    <w:rsid w:val="008C0970"/>
    <w:rsid w:val="008C12CB"/>
    <w:rsid w:val="008C61F0"/>
    <w:rsid w:val="008D2CF7"/>
    <w:rsid w:val="008E52BE"/>
    <w:rsid w:val="008E62C9"/>
    <w:rsid w:val="008E6770"/>
    <w:rsid w:val="008E793E"/>
    <w:rsid w:val="00900C26"/>
    <w:rsid w:val="0090197F"/>
    <w:rsid w:val="009020A2"/>
    <w:rsid w:val="00906593"/>
    <w:rsid w:val="00906DDC"/>
    <w:rsid w:val="00907430"/>
    <w:rsid w:val="00923AE6"/>
    <w:rsid w:val="00923D12"/>
    <w:rsid w:val="00934E09"/>
    <w:rsid w:val="00936253"/>
    <w:rsid w:val="00937773"/>
    <w:rsid w:val="009654FA"/>
    <w:rsid w:val="00970FED"/>
    <w:rsid w:val="00986764"/>
    <w:rsid w:val="00987DC3"/>
    <w:rsid w:val="00997029"/>
    <w:rsid w:val="009A2460"/>
    <w:rsid w:val="009B37B9"/>
    <w:rsid w:val="009C2FB4"/>
    <w:rsid w:val="009D0DE5"/>
    <w:rsid w:val="009D690D"/>
    <w:rsid w:val="009E65B6"/>
    <w:rsid w:val="00A13395"/>
    <w:rsid w:val="00A42AC3"/>
    <w:rsid w:val="00A430CF"/>
    <w:rsid w:val="00A54309"/>
    <w:rsid w:val="00A604A5"/>
    <w:rsid w:val="00A64912"/>
    <w:rsid w:val="00A93078"/>
    <w:rsid w:val="00AA36F8"/>
    <w:rsid w:val="00AB2B2D"/>
    <w:rsid w:val="00AB2B93"/>
    <w:rsid w:val="00AC65A8"/>
    <w:rsid w:val="00AE0EF1"/>
    <w:rsid w:val="00B07301"/>
    <w:rsid w:val="00B14F4C"/>
    <w:rsid w:val="00B224DE"/>
    <w:rsid w:val="00B32C07"/>
    <w:rsid w:val="00B3750B"/>
    <w:rsid w:val="00B547D4"/>
    <w:rsid w:val="00B630CA"/>
    <w:rsid w:val="00B635A2"/>
    <w:rsid w:val="00B84BBD"/>
    <w:rsid w:val="00B87848"/>
    <w:rsid w:val="00B94E49"/>
    <w:rsid w:val="00BA3C72"/>
    <w:rsid w:val="00BA43FB"/>
    <w:rsid w:val="00BA6BB5"/>
    <w:rsid w:val="00BA73DF"/>
    <w:rsid w:val="00BC127D"/>
    <w:rsid w:val="00BC1FE6"/>
    <w:rsid w:val="00BD0E80"/>
    <w:rsid w:val="00BD4C24"/>
    <w:rsid w:val="00BF20B2"/>
    <w:rsid w:val="00BF4B74"/>
    <w:rsid w:val="00BF589B"/>
    <w:rsid w:val="00C0612F"/>
    <w:rsid w:val="00C061B6"/>
    <w:rsid w:val="00C21DBF"/>
    <w:rsid w:val="00C23D44"/>
    <w:rsid w:val="00C2446C"/>
    <w:rsid w:val="00C273DF"/>
    <w:rsid w:val="00C36AE5"/>
    <w:rsid w:val="00C41F17"/>
    <w:rsid w:val="00C43920"/>
    <w:rsid w:val="00C4624A"/>
    <w:rsid w:val="00C52279"/>
    <w:rsid w:val="00C54BF4"/>
    <w:rsid w:val="00C5791C"/>
    <w:rsid w:val="00C60AFC"/>
    <w:rsid w:val="00C645FA"/>
    <w:rsid w:val="00C65D91"/>
    <w:rsid w:val="00C66290"/>
    <w:rsid w:val="00C71735"/>
    <w:rsid w:val="00C72B7A"/>
    <w:rsid w:val="00C91846"/>
    <w:rsid w:val="00C973F2"/>
    <w:rsid w:val="00CA69A1"/>
    <w:rsid w:val="00CA774A"/>
    <w:rsid w:val="00CB0459"/>
    <w:rsid w:val="00CC11B0"/>
    <w:rsid w:val="00CC1ACC"/>
    <w:rsid w:val="00CC446B"/>
    <w:rsid w:val="00CD22F3"/>
    <w:rsid w:val="00CF7E36"/>
    <w:rsid w:val="00D0561D"/>
    <w:rsid w:val="00D05DF0"/>
    <w:rsid w:val="00D06E6A"/>
    <w:rsid w:val="00D10A3C"/>
    <w:rsid w:val="00D22E74"/>
    <w:rsid w:val="00D2323D"/>
    <w:rsid w:val="00D233D8"/>
    <w:rsid w:val="00D24210"/>
    <w:rsid w:val="00D277C7"/>
    <w:rsid w:val="00D3708D"/>
    <w:rsid w:val="00D40426"/>
    <w:rsid w:val="00D518ED"/>
    <w:rsid w:val="00D56458"/>
    <w:rsid w:val="00D57C96"/>
    <w:rsid w:val="00D90030"/>
    <w:rsid w:val="00D91203"/>
    <w:rsid w:val="00D93B24"/>
    <w:rsid w:val="00D95174"/>
    <w:rsid w:val="00D95A5C"/>
    <w:rsid w:val="00DA2784"/>
    <w:rsid w:val="00DA327B"/>
    <w:rsid w:val="00DA6F36"/>
    <w:rsid w:val="00DC00EA"/>
    <w:rsid w:val="00DD7287"/>
    <w:rsid w:val="00DE4A7D"/>
    <w:rsid w:val="00DE600A"/>
    <w:rsid w:val="00E00FFC"/>
    <w:rsid w:val="00E02A58"/>
    <w:rsid w:val="00E177E5"/>
    <w:rsid w:val="00E20407"/>
    <w:rsid w:val="00E23920"/>
    <w:rsid w:val="00E418A4"/>
    <w:rsid w:val="00E4482D"/>
    <w:rsid w:val="00E72D49"/>
    <w:rsid w:val="00E7593C"/>
    <w:rsid w:val="00E7678A"/>
    <w:rsid w:val="00E935F1"/>
    <w:rsid w:val="00E94A81"/>
    <w:rsid w:val="00E97C9B"/>
    <w:rsid w:val="00EA1FFB"/>
    <w:rsid w:val="00EB048E"/>
    <w:rsid w:val="00EB3EFA"/>
    <w:rsid w:val="00EB4009"/>
    <w:rsid w:val="00EB6FF2"/>
    <w:rsid w:val="00EC2CEE"/>
    <w:rsid w:val="00EC2F4C"/>
    <w:rsid w:val="00EE3532"/>
    <w:rsid w:val="00EF2F89"/>
    <w:rsid w:val="00F04DEB"/>
    <w:rsid w:val="00F1237A"/>
    <w:rsid w:val="00F200DF"/>
    <w:rsid w:val="00F22CBD"/>
    <w:rsid w:val="00F37961"/>
    <w:rsid w:val="00F537DC"/>
    <w:rsid w:val="00F5531A"/>
    <w:rsid w:val="00F6334D"/>
    <w:rsid w:val="00F64308"/>
    <w:rsid w:val="00F66E48"/>
    <w:rsid w:val="00F90763"/>
    <w:rsid w:val="00F91F62"/>
    <w:rsid w:val="00F96687"/>
    <w:rsid w:val="00F9682F"/>
    <w:rsid w:val="00FA49AB"/>
    <w:rsid w:val="00FB0D37"/>
    <w:rsid w:val="00FE39C7"/>
    <w:rsid w:val="00FE4AF3"/>
    <w:rsid w:val="00FE6D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17C8"/>
    <w:pPr>
      <w:jc w:val="both"/>
    </w:pPr>
    <w:rPr>
      <w:rFonts w:ascii="Arial" w:hAnsi="Arial"/>
      <w:lang w:val="fr-FR"/>
    </w:rPr>
  </w:style>
  <w:style w:type="paragraph" w:styleId="Heading1">
    <w:name w:val="heading 1"/>
    <w:next w:val="Normal"/>
    <w:autoRedefine/>
    <w:qFormat/>
    <w:rsid w:val="00F37961"/>
    <w:pPr>
      <w:keepNext/>
      <w:jc w:val="both"/>
      <w:outlineLvl w:val="0"/>
    </w:pPr>
    <w:rPr>
      <w:rFonts w:ascii="Arial" w:hAnsi="Arial"/>
      <w:caps/>
    </w:rPr>
  </w:style>
  <w:style w:type="paragraph" w:styleId="Heading2">
    <w:name w:val="heading 2"/>
    <w:next w:val="Normal"/>
    <w:link w:val="Heading2Char"/>
    <w:autoRedefine/>
    <w:qFormat/>
    <w:rsid w:val="00F37961"/>
    <w:pPr>
      <w:keepNext/>
      <w:jc w:val="both"/>
      <w:outlineLvl w:val="1"/>
    </w:pPr>
    <w:rPr>
      <w:rFonts w:ascii="Arial" w:hAnsi="Arial"/>
      <w:u w:val="single"/>
    </w:rPr>
  </w:style>
  <w:style w:type="paragraph" w:styleId="Heading3">
    <w:name w:val="heading 3"/>
    <w:next w:val="Normal"/>
    <w:autoRedefine/>
    <w:qFormat/>
    <w:rsid w:val="00F66E48"/>
    <w:pPr>
      <w:jc w:val="both"/>
      <w:outlineLvl w:val="2"/>
    </w:pPr>
    <w:rPr>
      <w:rFonts w:ascii="Arial" w:hAnsi="Arial"/>
      <w:i/>
    </w:rPr>
  </w:style>
  <w:style w:type="paragraph" w:styleId="Heading4">
    <w:name w:val="heading 4"/>
    <w:next w:val="Normal"/>
    <w:autoRedefine/>
    <w:qFormat/>
    <w:rsid w:val="00F37961"/>
    <w:pPr>
      <w:keepNext/>
      <w:ind w:left="567"/>
      <w:jc w:val="both"/>
      <w:outlineLvl w:val="3"/>
    </w:pPr>
    <w:rPr>
      <w:rFonts w:ascii="Arial" w:hAnsi="Arial"/>
      <w:i/>
      <w:lang w:val="fr-FR"/>
    </w:rPr>
  </w:style>
  <w:style w:type="paragraph" w:styleId="Heading5">
    <w:name w:val="heading 5"/>
    <w:next w:val="Normal"/>
    <w:autoRedefine/>
    <w:qFormat/>
    <w:rsid w:val="00F37961"/>
    <w:pPr>
      <w:keepNext/>
      <w:ind w:left="1134" w:hanging="567"/>
      <w:jc w:val="both"/>
      <w:outlineLvl w:val="4"/>
    </w:pPr>
    <w:rPr>
      <w:rFonts w:ascii="Arial" w:hAnsi="Arial"/>
      <w:sz w:val="18"/>
      <w:szCs w:val="18"/>
    </w:rPr>
  </w:style>
  <w:style w:type="paragraph" w:styleId="Heading9">
    <w:name w:val="heading 9"/>
    <w:basedOn w:val="Normal"/>
    <w:next w:val="Normal"/>
    <w:qFormat/>
    <w:rsid w:val="00F37961"/>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F37961"/>
    <w:pPr>
      <w:tabs>
        <w:tab w:val="center" w:pos="4536"/>
        <w:tab w:val="right" w:pos="9072"/>
      </w:tabs>
      <w:jc w:val="center"/>
    </w:pPr>
    <w:rPr>
      <w:rFonts w:ascii="Arial" w:hAnsi="Arial"/>
      <w:lang w:val="fr-FR"/>
    </w:rPr>
  </w:style>
  <w:style w:type="paragraph" w:styleId="Footer">
    <w:name w:val="footer"/>
    <w:aliases w:val="doc_path_name"/>
    <w:autoRedefine/>
    <w:rsid w:val="00F37961"/>
    <w:pPr>
      <w:jc w:val="both"/>
    </w:pPr>
    <w:rPr>
      <w:rFonts w:ascii="Arial" w:hAnsi="Arial"/>
      <w:sz w:val="14"/>
    </w:rPr>
  </w:style>
  <w:style w:type="character" w:styleId="PageNumber">
    <w:name w:val="page number"/>
    <w:basedOn w:val="DefaultParagraphFont"/>
    <w:rsid w:val="00F37961"/>
    <w:rPr>
      <w:rFonts w:ascii="Arial" w:hAnsi="Arial"/>
      <w:sz w:val="20"/>
    </w:rPr>
  </w:style>
  <w:style w:type="paragraph" w:styleId="Title">
    <w:name w:val="Title"/>
    <w:basedOn w:val="Normal"/>
    <w:qFormat/>
    <w:rsid w:val="00F37961"/>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F37961"/>
    <w:pPr>
      <w:spacing w:line="280" w:lineRule="exact"/>
      <w:ind w:left="1361"/>
    </w:pPr>
    <w:rPr>
      <w:b/>
      <w:bCs/>
      <w:spacing w:val="10"/>
    </w:rPr>
  </w:style>
  <w:style w:type="paragraph" w:customStyle="1" w:styleId="DecisionParagraphs">
    <w:name w:val="DecisionParagraphs"/>
    <w:basedOn w:val="Normal"/>
    <w:rsid w:val="00F37961"/>
    <w:pPr>
      <w:tabs>
        <w:tab w:val="left" w:pos="5387"/>
      </w:tabs>
      <w:ind w:left="4820"/>
    </w:pPr>
    <w:rPr>
      <w:i/>
    </w:rPr>
  </w:style>
  <w:style w:type="paragraph" w:styleId="FootnoteText">
    <w:name w:val="footnote text"/>
    <w:link w:val="FootnoteTextChar"/>
    <w:rsid w:val="000010AE"/>
    <w:pPr>
      <w:spacing w:before="60"/>
      <w:jc w:val="both"/>
    </w:pPr>
    <w:rPr>
      <w:rFonts w:ascii="Arial" w:hAnsi="Arial"/>
      <w:sz w:val="16"/>
    </w:rPr>
  </w:style>
  <w:style w:type="character" w:styleId="FootnoteReference">
    <w:name w:val="footnote reference"/>
    <w:basedOn w:val="DefaultParagraphFont"/>
    <w:rsid w:val="00F37961"/>
    <w:rPr>
      <w:vertAlign w:val="superscript"/>
    </w:rPr>
  </w:style>
  <w:style w:type="paragraph" w:styleId="Closing">
    <w:name w:val="Closing"/>
    <w:basedOn w:val="Normal"/>
    <w:rsid w:val="00F37961"/>
    <w:pPr>
      <w:ind w:left="4536"/>
      <w:jc w:val="center"/>
    </w:pPr>
  </w:style>
  <w:style w:type="paragraph" w:styleId="Index1">
    <w:name w:val="index 1"/>
    <w:basedOn w:val="Normal"/>
    <w:next w:val="Normal"/>
    <w:semiHidden/>
    <w:rsid w:val="00F37961"/>
    <w:pPr>
      <w:tabs>
        <w:tab w:val="right" w:leader="dot" w:pos="9071"/>
      </w:tabs>
      <w:ind w:left="284" w:hanging="284"/>
    </w:pPr>
    <w:rPr>
      <w:sz w:val="24"/>
    </w:rPr>
  </w:style>
  <w:style w:type="paragraph" w:styleId="Index2">
    <w:name w:val="index 2"/>
    <w:basedOn w:val="Normal"/>
    <w:next w:val="Normal"/>
    <w:semiHidden/>
    <w:rsid w:val="00F37961"/>
    <w:pPr>
      <w:tabs>
        <w:tab w:val="right" w:leader="dot" w:pos="9071"/>
      </w:tabs>
      <w:ind w:left="568" w:hanging="284"/>
    </w:pPr>
    <w:rPr>
      <w:sz w:val="24"/>
    </w:rPr>
  </w:style>
  <w:style w:type="paragraph" w:styleId="Index3">
    <w:name w:val="index 3"/>
    <w:basedOn w:val="Normal"/>
    <w:next w:val="Normal"/>
    <w:semiHidden/>
    <w:rsid w:val="00F37961"/>
    <w:pPr>
      <w:tabs>
        <w:tab w:val="right" w:leader="dot" w:pos="9071"/>
      </w:tabs>
      <w:ind w:left="851" w:hanging="284"/>
    </w:pPr>
    <w:rPr>
      <w:sz w:val="24"/>
    </w:rPr>
  </w:style>
  <w:style w:type="paragraph" w:styleId="MacroText">
    <w:name w:val="macro"/>
    <w:semiHidden/>
    <w:rsid w:val="00F37961"/>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F37961"/>
    <w:pPr>
      <w:ind w:left="4536"/>
      <w:jc w:val="center"/>
    </w:pPr>
  </w:style>
  <w:style w:type="character" w:customStyle="1" w:styleId="Doclang">
    <w:name w:val="Doc_lang"/>
    <w:basedOn w:val="DefaultParagraphFont"/>
    <w:rsid w:val="00F37961"/>
    <w:rPr>
      <w:rFonts w:ascii="Arial" w:hAnsi="Arial"/>
      <w:sz w:val="20"/>
      <w:lang w:val="en-US"/>
    </w:rPr>
  </w:style>
  <w:style w:type="paragraph" w:customStyle="1" w:styleId="Session">
    <w:name w:val="Session"/>
    <w:basedOn w:val="Normal"/>
    <w:semiHidden/>
    <w:rsid w:val="00F37961"/>
    <w:pPr>
      <w:spacing w:before="60"/>
      <w:jc w:val="center"/>
    </w:pPr>
    <w:rPr>
      <w:b/>
    </w:rPr>
  </w:style>
  <w:style w:type="paragraph" w:customStyle="1" w:styleId="Organizer">
    <w:name w:val="Organizer"/>
    <w:basedOn w:val="Normal"/>
    <w:semiHidden/>
    <w:rsid w:val="00F37961"/>
    <w:pPr>
      <w:spacing w:after="600"/>
      <w:ind w:left="-993" w:right="-994"/>
      <w:jc w:val="center"/>
    </w:pPr>
    <w:rPr>
      <w:b/>
      <w:caps/>
      <w:kern w:val="26"/>
      <w:sz w:val="26"/>
    </w:rPr>
  </w:style>
  <w:style w:type="paragraph" w:styleId="BodyText">
    <w:name w:val="Body Text"/>
    <w:basedOn w:val="Normal"/>
    <w:rsid w:val="00F37961"/>
  </w:style>
  <w:style w:type="paragraph" w:customStyle="1" w:styleId="StyleDocoriginalNotBold">
    <w:name w:val="Style Doc_original + Not Bold"/>
    <w:basedOn w:val="Docoriginal"/>
    <w:link w:val="StyleDocoriginalNotBoldChar"/>
    <w:autoRedefine/>
    <w:rsid w:val="00F37961"/>
    <w:pPr>
      <w:ind w:left="1589"/>
      <w:jc w:val="left"/>
    </w:pPr>
  </w:style>
  <w:style w:type="paragraph" w:customStyle="1" w:styleId="upove">
    <w:name w:val="upov_e"/>
    <w:basedOn w:val="Normal"/>
    <w:rsid w:val="00F37961"/>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F37961"/>
  </w:style>
  <w:style w:type="paragraph" w:styleId="EndnoteText">
    <w:name w:val="endnote text"/>
    <w:basedOn w:val="Normal"/>
    <w:semiHidden/>
    <w:rsid w:val="00F37961"/>
  </w:style>
  <w:style w:type="character" w:styleId="EndnoteReference">
    <w:name w:val="endnote reference"/>
    <w:basedOn w:val="DefaultParagraphFont"/>
    <w:semiHidden/>
    <w:rsid w:val="00F37961"/>
    <w:rPr>
      <w:vertAlign w:val="superscript"/>
    </w:rPr>
  </w:style>
  <w:style w:type="paragraph" w:customStyle="1" w:styleId="SessionMeetingPlace">
    <w:name w:val="Session_MeetingPlace"/>
    <w:basedOn w:val="Normal"/>
    <w:semiHidden/>
    <w:rsid w:val="00F37961"/>
    <w:pPr>
      <w:spacing w:before="480"/>
      <w:jc w:val="center"/>
    </w:pPr>
    <w:rPr>
      <w:b/>
      <w:bCs/>
      <w:kern w:val="28"/>
      <w:sz w:val="24"/>
    </w:rPr>
  </w:style>
  <w:style w:type="paragraph" w:customStyle="1" w:styleId="Original">
    <w:name w:val="Original"/>
    <w:basedOn w:val="Normal"/>
    <w:semiHidden/>
    <w:rsid w:val="00F37961"/>
    <w:pPr>
      <w:spacing w:before="60"/>
      <w:ind w:left="1276"/>
    </w:pPr>
    <w:rPr>
      <w:b/>
      <w:sz w:val="22"/>
    </w:rPr>
  </w:style>
  <w:style w:type="paragraph" w:styleId="Date">
    <w:name w:val="Date"/>
    <w:basedOn w:val="Normal"/>
    <w:semiHidden/>
    <w:rsid w:val="00F37961"/>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F37961"/>
    <w:pPr>
      <w:spacing w:before="60" w:after="480"/>
      <w:jc w:val="center"/>
    </w:pPr>
  </w:style>
  <w:style w:type="paragraph" w:customStyle="1" w:styleId="Lettrine">
    <w:name w:val="Lettrine"/>
    <w:basedOn w:val="Normal"/>
    <w:rsid w:val="00F37961"/>
    <w:pPr>
      <w:spacing w:after="120" w:line="340" w:lineRule="atLeast"/>
      <w:jc w:val="right"/>
    </w:pPr>
    <w:rPr>
      <w:b/>
      <w:bCs/>
      <w:sz w:val="56"/>
    </w:rPr>
  </w:style>
  <w:style w:type="paragraph" w:customStyle="1" w:styleId="LogoUPOV">
    <w:name w:val="LogoUPOV"/>
    <w:basedOn w:val="Normal"/>
    <w:rsid w:val="00F37961"/>
    <w:pPr>
      <w:spacing w:before="720"/>
      <w:jc w:val="center"/>
    </w:pPr>
  </w:style>
  <w:style w:type="paragraph" w:customStyle="1" w:styleId="Sessiontc">
    <w:name w:val="Session_tc"/>
    <w:basedOn w:val="StyleSessionAllcaps"/>
    <w:rsid w:val="00F37961"/>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F37961"/>
    <w:pPr>
      <w:spacing w:before="480"/>
    </w:pPr>
    <w:rPr>
      <w:bCs/>
      <w:caps/>
      <w:kern w:val="28"/>
      <w:sz w:val="24"/>
    </w:rPr>
  </w:style>
  <w:style w:type="paragraph" w:customStyle="1" w:styleId="plcountry">
    <w:name w:val="plcountry"/>
    <w:basedOn w:val="Normal"/>
    <w:rsid w:val="00F37961"/>
    <w:pPr>
      <w:keepNext/>
      <w:keepLines/>
      <w:spacing w:before="180" w:after="120"/>
      <w:jc w:val="left"/>
    </w:pPr>
    <w:rPr>
      <w:caps/>
      <w:noProof/>
      <w:snapToGrid w:val="0"/>
      <w:u w:val="single"/>
    </w:rPr>
  </w:style>
  <w:style w:type="paragraph" w:customStyle="1" w:styleId="pldetails">
    <w:name w:val="pldetails"/>
    <w:basedOn w:val="Normal"/>
    <w:rsid w:val="00F37961"/>
    <w:pPr>
      <w:keepLines/>
      <w:spacing w:before="60" w:after="60"/>
      <w:jc w:val="left"/>
    </w:pPr>
    <w:rPr>
      <w:noProof/>
      <w:snapToGrid w:val="0"/>
    </w:rPr>
  </w:style>
  <w:style w:type="paragraph" w:customStyle="1" w:styleId="plheading">
    <w:name w:val="plheading"/>
    <w:basedOn w:val="Normal"/>
    <w:rsid w:val="00F37961"/>
    <w:pPr>
      <w:keepNext/>
      <w:spacing w:before="480" w:after="120"/>
      <w:jc w:val="center"/>
    </w:pPr>
    <w:rPr>
      <w:caps/>
      <w:snapToGrid w:val="0"/>
      <w:u w:val="single"/>
    </w:rPr>
  </w:style>
  <w:style w:type="paragraph" w:customStyle="1" w:styleId="Sessiontcplacedate">
    <w:name w:val="Session_tc_place_date"/>
    <w:basedOn w:val="SessionMeetingPlace"/>
    <w:rsid w:val="00F37961"/>
    <w:pPr>
      <w:spacing w:before="240"/>
    </w:pPr>
  </w:style>
  <w:style w:type="paragraph" w:customStyle="1" w:styleId="Titleofdoc0">
    <w:name w:val="Title_of_doc"/>
    <w:basedOn w:val="Normal"/>
    <w:rsid w:val="00F37961"/>
    <w:pPr>
      <w:spacing w:before="600"/>
      <w:jc w:val="center"/>
    </w:pPr>
    <w:rPr>
      <w:caps/>
    </w:rPr>
  </w:style>
  <w:style w:type="paragraph" w:customStyle="1" w:styleId="preparedby1">
    <w:name w:val="prepared_by"/>
    <w:basedOn w:val="Normal"/>
    <w:semiHidden/>
    <w:rsid w:val="00F37961"/>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F37961"/>
    <w:pPr>
      <w:spacing w:before="480"/>
      <w:ind w:left="567" w:hanging="567"/>
      <w:jc w:val="right"/>
    </w:pPr>
    <w:rPr>
      <w:rFonts w:ascii="Arial" w:hAnsi="Arial"/>
    </w:rPr>
  </w:style>
  <w:style w:type="character" w:customStyle="1" w:styleId="DocoriginalChar">
    <w:name w:val="Doc_original Char"/>
    <w:basedOn w:val="DefaultParagraphFont"/>
    <w:link w:val="Docoriginal"/>
    <w:rsid w:val="00F37961"/>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F37961"/>
    <w:rPr>
      <w:rFonts w:ascii="Arial" w:hAnsi="Arial"/>
      <w:b/>
      <w:bCs/>
      <w:spacing w:val="10"/>
      <w:lang w:val="en-US" w:eastAsia="en-US" w:bidi="ar-SA"/>
    </w:rPr>
  </w:style>
  <w:style w:type="paragraph" w:customStyle="1" w:styleId="StyleDocnumber">
    <w:name w:val="Style Doc_number"/>
    <w:basedOn w:val="Docoriginal"/>
    <w:rsid w:val="00F37961"/>
    <w:pPr>
      <w:ind w:left="1589"/>
    </w:pPr>
  </w:style>
  <w:style w:type="paragraph" w:customStyle="1" w:styleId="StyleDocoriginal">
    <w:name w:val="Style Doc_original"/>
    <w:basedOn w:val="Docoriginal"/>
    <w:link w:val="StyleDocoriginalChar"/>
    <w:rsid w:val="00F37961"/>
  </w:style>
  <w:style w:type="character" w:customStyle="1" w:styleId="StyleDocoriginalChar">
    <w:name w:val="Style Doc_original Char"/>
    <w:basedOn w:val="DocoriginalChar"/>
    <w:link w:val="StyleDocoriginal"/>
    <w:rsid w:val="00F37961"/>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F37961"/>
    <w:rPr>
      <w:rFonts w:ascii="Arial" w:hAnsi="Arial"/>
      <w:b/>
      <w:bCs/>
      <w:spacing w:val="10"/>
      <w:lang w:val="en-US" w:eastAsia="en-US" w:bidi="ar-SA"/>
    </w:rPr>
  </w:style>
  <w:style w:type="character" w:customStyle="1" w:styleId="StyleDoclangBold">
    <w:name w:val="Style Doc_lang + Bold"/>
    <w:basedOn w:val="Doclang"/>
    <w:rsid w:val="00F37961"/>
    <w:rPr>
      <w:rFonts w:ascii="Arial" w:hAnsi="Arial"/>
      <w:b/>
      <w:bCs/>
      <w:sz w:val="20"/>
      <w:lang w:val="en-US"/>
    </w:rPr>
  </w:style>
  <w:style w:type="paragraph" w:styleId="TOC2">
    <w:name w:val="toc 2"/>
    <w:next w:val="Normal"/>
    <w:autoRedefine/>
    <w:uiPriority w:val="39"/>
    <w:rsid w:val="00DD7287"/>
    <w:pPr>
      <w:tabs>
        <w:tab w:val="right" w:leader="dot" w:pos="9639"/>
      </w:tabs>
      <w:spacing w:before="120"/>
      <w:ind w:left="1135" w:right="851" w:hanging="284"/>
      <w:contextualSpacing/>
    </w:pPr>
    <w:rPr>
      <w:rFonts w:ascii="Arial" w:hAnsi="Arial"/>
      <w:noProof/>
      <w:sz w:val="18"/>
      <w:szCs w:val="18"/>
    </w:rPr>
  </w:style>
  <w:style w:type="paragraph" w:styleId="TOC3">
    <w:name w:val="toc 3"/>
    <w:next w:val="Normal"/>
    <w:autoRedefine/>
    <w:uiPriority w:val="39"/>
    <w:rsid w:val="00DD7287"/>
    <w:pPr>
      <w:tabs>
        <w:tab w:val="right" w:leader="dot" w:pos="9639"/>
      </w:tabs>
      <w:spacing w:before="120"/>
      <w:ind w:left="1418" w:right="851" w:hanging="284"/>
      <w:contextualSpacing/>
    </w:pPr>
    <w:rPr>
      <w:rFonts w:ascii="Arial" w:hAnsi="Arial"/>
      <w:i/>
      <w:noProof/>
      <w:sz w:val="18"/>
      <w:szCs w:val="18"/>
      <w:lang w:val="fr-FR"/>
    </w:rPr>
  </w:style>
  <w:style w:type="character" w:styleId="Hyperlink">
    <w:name w:val="Hyperlink"/>
    <w:basedOn w:val="DefaultParagraphFont"/>
    <w:uiPriority w:val="99"/>
    <w:rsid w:val="00F37961"/>
    <w:rPr>
      <w:rFonts w:ascii="Arial" w:hAnsi="Arial"/>
      <w:color w:val="0000FF"/>
      <w:u w:val="single"/>
    </w:rPr>
  </w:style>
  <w:style w:type="paragraph" w:styleId="TOC4">
    <w:name w:val="toc 4"/>
    <w:next w:val="Normal"/>
    <w:autoRedefine/>
    <w:semiHidden/>
    <w:rsid w:val="00F37961"/>
    <w:pPr>
      <w:tabs>
        <w:tab w:val="right" w:leader="dot" w:pos="9639"/>
      </w:tabs>
      <w:spacing w:before="120"/>
      <w:ind w:left="851" w:right="851" w:hanging="284"/>
    </w:pPr>
    <w:rPr>
      <w:rFonts w:ascii="Arial" w:hAnsi="Arial"/>
      <w:i/>
      <w:noProof/>
      <w:lang w:val="fr-FR"/>
    </w:rPr>
  </w:style>
  <w:style w:type="paragraph" w:styleId="TOC1">
    <w:name w:val="toc 1"/>
    <w:next w:val="Normal"/>
    <w:autoRedefine/>
    <w:uiPriority w:val="39"/>
    <w:rsid w:val="00DD7287"/>
    <w:pPr>
      <w:tabs>
        <w:tab w:val="right" w:leader="dot" w:pos="9639"/>
      </w:tabs>
      <w:spacing w:before="120"/>
      <w:ind w:left="851" w:right="284" w:hanging="284"/>
    </w:pPr>
    <w:rPr>
      <w:rFonts w:ascii="Arial" w:hAnsi="Arial"/>
      <w:caps/>
      <w:noProof/>
      <w:sz w:val="18"/>
      <w:szCs w:val="18"/>
    </w:rPr>
  </w:style>
  <w:style w:type="paragraph" w:styleId="TOC5">
    <w:name w:val="toc 5"/>
    <w:next w:val="Normal"/>
    <w:autoRedefine/>
    <w:semiHidden/>
    <w:rsid w:val="00F37961"/>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664515"/>
    <w:rPr>
      <w:rFonts w:ascii="Tahoma" w:hAnsi="Tahoma" w:cs="Tahoma"/>
      <w:sz w:val="16"/>
      <w:szCs w:val="16"/>
    </w:rPr>
  </w:style>
  <w:style w:type="character" w:customStyle="1" w:styleId="BalloonTextChar">
    <w:name w:val="Balloon Text Char"/>
    <w:basedOn w:val="DefaultParagraphFont"/>
    <w:link w:val="BalloonText"/>
    <w:rsid w:val="00664515"/>
    <w:rPr>
      <w:rFonts w:ascii="Tahoma" w:hAnsi="Tahoma" w:cs="Tahoma"/>
      <w:sz w:val="16"/>
      <w:szCs w:val="16"/>
    </w:rPr>
  </w:style>
  <w:style w:type="character" w:customStyle="1" w:styleId="Heading2Char">
    <w:name w:val="Heading 2 Char"/>
    <w:basedOn w:val="DefaultParagraphFont"/>
    <w:link w:val="Heading2"/>
    <w:rsid w:val="00796671"/>
    <w:rPr>
      <w:rFonts w:ascii="Arial" w:hAnsi="Arial"/>
      <w:u w:val="single"/>
    </w:rPr>
  </w:style>
  <w:style w:type="paragraph" w:customStyle="1" w:styleId="DecisionInvitingPara">
    <w:name w:val="Decision Inviting Para."/>
    <w:basedOn w:val="Normal"/>
    <w:rsid w:val="00796671"/>
    <w:pPr>
      <w:ind w:left="4536"/>
    </w:pPr>
    <w:rPr>
      <w:rFonts w:eastAsiaTheme="minorEastAsia"/>
      <w:i/>
      <w:lang w:val="es-ES_tradnl"/>
    </w:rPr>
  </w:style>
  <w:style w:type="paragraph" w:customStyle="1" w:styleId="TOCAnnex">
    <w:name w:val="TOC Annex"/>
    <w:basedOn w:val="Normal"/>
    <w:rsid w:val="00796671"/>
    <w:pPr>
      <w:tabs>
        <w:tab w:val="right" w:pos="9061"/>
      </w:tabs>
      <w:spacing w:before="240" w:after="120"/>
      <w:ind w:left="1021" w:right="567" w:hanging="1021"/>
      <w:jc w:val="left"/>
      <w:outlineLvl w:val="0"/>
    </w:pPr>
    <w:rPr>
      <w:rFonts w:eastAsiaTheme="minorEastAsia"/>
      <w:b/>
      <w:noProof/>
      <w:sz w:val="22"/>
      <w:szCs w:val="22"/>
    </w:rPr>
  </w:style>
  <w:style w:type="character" w:styleId="FollowedHyperlink">
    <w:name w:val="FollowedHyperlink"/>
    <w:basedOn w:val="DefaultParagraphFont"/>
    <w:uiPriority w:val="99"/>
    <w:rsid w:val="00796671"/>
    <w:rPr>
      <w:color w:val="800080" w:themeColor="followedHyperlink"/>
      <w:u w:val="single"/>
    </w:rPr>
  </w:style>
  <w:style w:type="paragraph" w:styleId="ListParagraph">
    <w:name w:val="List Paragraph"/>
    <w:basedOn w:val="Normal"/>
    <w:uiPriority w:val="34"/>
    <w:qFormat/>
    <w:rsid w:val="00796671"/>
    <w:pPr>
      <w:ind w:left="720"/>
      <w:contextualSpacing/>
    </w:pPr>
    <w:rPr>
      <w:rFonts w:eastAsiaTheme="minorEastAsia"/>
    </w:rPr>
  </w:style>
  <w:style w:type="character" w:styleId="Emphasis">
    <w:name w:val="Emphasis"/>
    <w:basedOn w:val="DefaultParagraphFont"/>
    <w:qFormat/>
    <w:rsid w:val="00796671"/>
    <w:rPr>
      <w:i/>
      <w:iCs/>
    </w:rPr>
  </w:style>
  <w:style w:type="character" w:customStyle="1" w:styleId="FootnoteTextChar">
    <w:name w:val="Footnote Text Char"/>
    <w:basedOn w:val="DefaultParagraphFont"/>
    <w:link w:val="FootnoteText"/>
    <w:rsid w:val="000010AE"/>
    <w:rPr>
      <w:rFonts w:ascii="Arial" w:hAnsi="Arial"/>
      <w:sz w:val="16"/>
    </w:rPr>
  </w:style>
  <w:style w:type="table" w:styleId="TableGrid">
    <w:name w:val="Table Grid"/>
    <w:basedOn w:val="TableNormal"/>
    <w:rsid w:val="00796671"/>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Normal"/>
    <w:rsid w:val="00796671"/>
    <w:pPr>
      <w:spacing w:before="100" w:beforeAutospacing="1" w:after="100" w:afterAutospacing="1"/>
      <w:jc w:val="left"/>
    </w:pPr>
    <w:rPr>
      <w:rFonts w:ascii="Times New Roman" w:eastAsiaTheme="minorEastAsia" w:hAnsi="Times New Roman"/>
      <w:sz w:val="24"/>
      <w:szCs w:val="24"/>
    </w:rPr>
  </w:style>
  <w:style w:type="paragraph" w:customStyle="1" w:styleId="xl66">
    <w:name w:val="xl66"/>
    <w:basedOn w:val="Normal"/>
    <w:rsid w:val="00796671"/>
    <w:pPr>
      <w:pBdr>
        <w:top w:val="single" w:sz="4" w:space="0" w:color="auto"/>
        <w:left w:val="single" w:sz="8" w:space="0" w:color="auto"/>
        <w:bottom w:val="single" w:sz="8" w:space="0" w:color="auto"/>
        <w:right w:val="single" w:sz="8" w:space="0" w:color="auto"/>
      </w:pBdr>
      <w:spacing w:before="100" w:beforeAutospacing="1" w:after="100" w:afterAutospacing="1"/>
      <w:jc w:val="left"/>
    </w:pPr>
    <w:rPr>
      <w:rFonts w:ascii="Times New Roman" w:eastAsiaTheme="minorEastAsia" w:hAnsi="Times New Roman"/>
      <w:sz w:val="24"/>
      <w:szCs w:val="24"/>
    </w:rPr>
  </w:style>
  <w:style w:type="paragraph" w:customStyle="1" w:styleId="xl67">
    <w:name w:val="xl67"/>
    <w:basedOn w:val="Normal"/>
    <w:rsid w:val="00796671"/>
    <w:pPr>
      <w:pBdr>
        <w:top w:val="single" w:sz="4" w:space="0" w:color="auto"/>
        <w:left w:val="single" w:sz="8" w:space="0" w:color="auto"/>
        <w:bottom w:val="single" w:sz="8" w:space="0" w:color="auto"/>
      </w:pBdr>
      <w:spacing w:before="100" w:beforeAutospacing="1" w:after="100" w:afterAutospacing="1"/>
      <w:jc w:val="left"/>
    </w:pPr>
    <w:rPr>
      <w:rFonts w:ascii="Times New Roman" w:eastAsiaTheme="minorEastAsia" w:hAnsi="Times New Roman"/>
      <w:sz w:val="24"/>
      <w:szCs w:val="24"/>
    </w:rPr>
  </w:style>
  <w:style w:type="paragraph" w:customStyle="1" w:styleId="xl68">
    <w:name w:val="xl68"/>
    <w:basedOn w:val="Normal"/>
    <w:rsid w:val="00796671"/>
    <w:pPr>
      <w:pBdr>
        <w:top w:val="single" w:sz="4" w:space="0" w:color="auto"/>
        <w:bottom w:val="single" w:sz="8" w:space="0" w:color="auto"/>
        <w:right w:val="single" w:sz="8" w:space="0" w:color="auto"/>
      </w:pBdr>
      <w:spacing w:before="100" w:beforeAutospacing="1" w:after="100" w:afterAutospacing="1"/>
      <w:jc w:val="left"/>
    </w:pPr>
    <w:rPr>
      <w:rFonts w:ascii="Times New Roman" w:eastAsiaTheme="minorEastAsia" w:hAnsi="Times New Roman"/>
      <w:sz w:val="24"/>
      <w:szCs w:val="24"/>
    </w:rPr>
  </w:style>
  <w:style w:type="paragraph" w:customStyle="1" w:styleId="xl69">
    <w:name w:val="xl69"/>
    <w:basedOn w:val="Normal"/>
    <w:rsid w:val="00796671"/>
    <w:pPr>
      <w:pBdr>
        <w:top w:val="single" w:sz="8" w:space="0" w:color="auto"/>
        <w:left w:val="single" w:sz="8" w:space="0" w:color="auto"/>
        <w:bottom w:val="single" w:sz="4" w:space="0" w:color="auto"/>
      </w:pBdr>
      <w:spacing w:before="100" w:beforeAutospacing="1" w:after="100" w:afterAutospacing="1"/>
      <w:jc w:val="left"/>
    </w:pPr>
    <w:rPr>
      <w:rFonts w:ascii="Times New Roman" w:eastAsiaTheme="minorEastAsia" w:hAnsi="Times New Roman"/>
      <w:sz w:val="24"/>
      <w:szCs w:val="24"/>
    </w:rPr>
  </w:style>
  <w:style w:type="paragraph" w:customStyle="1" w:styleId="xl70">
    <w:name w:val="xl70"/>
    <w:basedOn w:val="Normal"/>
    <w:rsid w:val="00796671"/>
    <w:pPr>
      <w:pBdr>
        <w:top w:val="single" w:sz="4" w:space="0" w:color="auto"/>
        <w:left w:val="single" w:sz="8" w:space="0" w:color="auto"/>
        <w:bottom w:val="single" w:sz="4" w:space="0" w:color="auto"/>
        <w:right w:val="single" w:sz="8" w:space="0" w:color="auto"/>
      </w:pBdr>
      <w:spacing w:before="100" w:beforeAutospacing="1" w:after="100" w:afterAutospacing="1"/>
      <w:jc w:val="left"/>
    </w:pPr>
    <w:rPr>
      <w:rFonts w:ascii="Times New Roman" w:eastAsiaTheme="minorEastAsia" w:hAnsi="Times New Roman"/>
      <w:sz w:val="24"/>
      <w:szCs w:val="24"/>
    </w:rPr>
  </w:style>
  <w:style w:type="paragraph" w:customStyle="1" w:styleId="xl71">
    <w:name w:val="xl71"/>
    <w:basedOn w:val="Normal"/>
    <w:rsid w:val="00796671"/>
    <w:pPr>
      <w:pBdr>
        <w:top w:val="single" w:sz="4" w:space="0" w:color="auto"/>
        <w:left w:val="single" w:sz="8" w:space="0" w:color="auto"/>
        <w:bottom w:val="single" w:sz="4" w:space="0" w:color="auto"/>
      </w:pBdr>
      <w:spacing w:before="100" w:beforeAutospacing="1" w:after="100" w:afterAutospacing="1"/>
      <w:jc w:val="left"/>
    </w:pPr>
    <w:rPr>
      <w:rFonts w:ascii="Times New Roman" w:eastAsiaTheme="minorEastAsia" w:hAnsi="Times New Roman"/>
      <w:sz w:val="24"/>
      <w:szCs w:val="24"/>
    </w:rPr>
  </w:style>
  <w:style w:type="paragraph" w:customStyle="1" w:styleId="xl72">
    <w:name w:val="xl72"/>
    <w:basedOn w:val="Normal"/>
    <w:rsid w:val="00796671"/>
    <w:pPr>
      <w:pBdr>
        <w:top w:val="single" w:sz="4" w:space="0" w:color="auto"/>
        <w:bottom w:val="single" w:sz="4" w:space="0" w:color="auto"/>
        <w:right w:val="single" w:sz="8" w:space="0" w:color="auto"/>
      </w:pBdr>
      <w:spacing w:before="100" w:beforeAutospacing="1" w:after="100" w:afterAutospacing="1"/>
      <w:jc w:val="left"/>
    </w:pPr>
    <w:rPr>
      <w:rFonts w:ascii="Times New Roman" w:eastAsiaTheme="minorEastAsia" w:hAnsi="Times New Roman"/>
      <w:sz w:val="24"/>
      <w:szCs w:val="24"/>
    </w:rPr>
  </w:style>
  <w:style w:type="paragraph" w:customStyle="1" w:styleId="xl73">
    <w:name w:val="xl73"/>
    <w:basedOn w:val="Normal"/>
    <w:rsid w:val="00796671"/>
    <w:pPr>
      <w:pBdr>
        <w:top w:val="single" w:sz="8" w:space="0" w:color="auto"/>
        <w:bottom w:val="single" w:sz="4" w:space="0" w:color="auto"/>
        <w:right w:val="single" w:sz="8" w:space="0" w:color="auto"/>
      </w:pBdr>
      <w:spacing w:before="100" w:beforeAutospacing="1" w:after="100" w:afterAutospacing="1"/>
      <w:jc w:val="left"/>
      <w:textAlignment w:val="center"/>
    </w:pPr>
    <w:rPr>
      <w:rFonts w:ascii="Times New Roman" w:eastAsiaTheme="minorEastAsia" w:hAnsi="Times New Roman"/>
      <w:sz w:val="24"/>
      <w:szCs w:val="24"/>
    </w:rPr>
  </w:style>
  <w:style w:type="paragraph" w:customStyle="1" w:styleId="xl74">
    <w:name w:val="xl74"/>
    <w:basedOn w:val="Normal"/>
    <w:rsid w:val="00796671"/>
    <w:pPr>
      <w:pBdr>
        <w:top w:val="single" w:sz="4" w:space="0" w:color="auto"/>
        <w:bottom w:val="single" w:sz="4" w:space="0" w:color="auto"/>
        <w:right w:val="single" w:sz="8" w:space="0" w:color="auto"/>
      </w:pBdr>
      <w:spacing w:before="100" w:beforeAutospacing="1" w:after="100" w:afterAutospacing="1"/>
      <w:jc w:val="left"/>
      <w:textAlignment w:val="center"/>
    </w:pPr>
    <w:rPr>
      <w:rFonts w:ascii="Times New Roman" w:eastAsiaTheme="minorEastAsia" w:hAnsi="Times New Roman"/>
      <w:sz w:val="24"/>
      <w:szCs w:val="24"/>
    </w:rPr>
  </w:style>
  <w:style w:type="paragraph" w:customStyle="1" w:styleId="xl75">
    <w:name w:val="xl75"/>
    <w:basedOn w:val="Normal"/>
    <w:rsid w:val="00796671"/>
    <w:pPr>
      <w:pBdr>
        <w:top w:val="single" w:sz="8" w:space="0" w:color="auto"/>
        <w:left w:val="single" w:sz="8" w:space="0" w:color="auto"/>
        <w:bottom w:val="single" w:sz="4" w:space="0" w:color="auto"/>
        <w:right w:val="single" w:sz="8" w:space="0" w:color="auto"/>
      </w:pBdr>
      <w:spacing w:before="100" w:beforeAutospacing="1" w:after="100" w:afterAutospacing="1"/>
      <w:jc w:val="left"/>
      <w:textAlignment w:val="center"/>
    </w:pPr>
    <w:rPr>
      <w:rFonts w:ascii="Times New Roman" w:eastAsiaTheme="minorEastAsia" w:hAnsi="Times New Roman"/>
      <w:sz w:val="24"/>
      <w:szCs w:val="24"/>
    </w:rPr>
  </w:style>
  <w:style w:type="paragraph" w:customStyle="1" w:styleId="xl76">
    <w:name w:val="xl76"/>
    <w:basedOn w:val="Normal"/>
    <w:rsid w:val="00796671"/>
    <w:pPr>
      <w:pBdr>
        <w:top w:val="single" w:sz="4" w:space="0" w:color="auto"/>
        <w:left w:val="single" w:sz="8" w:space="0" w:color="auto"/>
        <w:bottom w:val="single" w:sz="4" w:space="0" w:color="auto"/>
        <w:right w:val="single" w:sz="8" w:space="0" w:color="auto"/>
      </w:pBdr>
      <w:spacing w:before="100" w:beforeAutospacing="1" w:after="100" w:afterAutospacing="1"/>
      <w:jc w:val="left"/>
      <w:textAlignment w:val="center"/>
    </w:pPr>
    <w:rPr>
      <w:rFonts w:ascii="Times New Roman" w:eastAsiaTheme="minorEastAsia"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17C8"/>
    <w:pPr>
      <w:jc w:val="both"/>
    </w:pPr>
    <w:rPr>
      <w:rFonts w:ascii="Arial" w:hAnsi="Arial"/>
      <w:lang w:val="fr-FR"/>
    </w:rPr>
  </w:style>
  <w:style w:type="paragraph" w:styleId="Heading1">
    <w:name w:val="heading 1"/>
    <w:next w:val="Normal"/>
    <w:autoRedefine/>
    <w:qFormat/>
    <w:rsid w:val="00F37961"/>
    <w:pPr>
      <w:keepNext/>
      <w:jc w:val="both"/>
      <w:outlineLvl w:val="0"/>
    </w:pPr>
    <w:rPr>
      <w:rFonts w:ascii="Arial" w:hAnsi="Arial"/>
      <w:caps/>
    </w:rPr>
  </w:style>
  <w:style w:type="paragraph" w:styleId="Heading2">
    <w:name w:val="heading 2"/>
    <w:next w:val="Normal"/>
    <w:link w:val="Heading2Char"/>
    <w:autoRedefine/>
    <w:qFormat/>
    <w:rsid w:val="00F37961"/>
    <w:pPr>
      <w:keepNext/>
      <w:jc w:val="both"/>
      <w:outlineLvl w:val="1"/>
    </w:pPr>
    <w:rPr>
      <w:rFonts w:ascii="Arial" w:hAnsi="Arial"/>
      <w:u w:val="single"/>
    </w:rPr>
  </w:style>
  <w:style w:type="paragraph" w:styleId="Heading3">
    <w:name w:val="heading 3"/>
    <w:next w:val="Normal"/>
    <w:autoRedefine/>
    <w:qFormat/>
    <w:rsid w:val="00F66E48"/>
    <w:pPr>
      <w:jc w:val="both"/>
      <w:outlineLvl w:val="2"/>
    </w:pPr>
    <w:rPr>
      <w:rFonts w:ascii="Arial" w:hAnsi="Arial"/>
      <w:i/>
    </w:rPr>
  </w:style>
  <w:style w:type="paragraph" w:styleId="Heading4">
    <w:name w:val="heading 4"/>
    <w:next w:val="Normal"/>
    <w:autoRedefine/>
    <w:qFormat/>
    <w:rsid w:val="00F37961"/>
    <w:pPr>
      <w:keepNext/>
      <w:ind w:left="567"/>
      <w:jc w:val="both"/>
      <w:outlineLvl w:val="3"/>
    </w:pPr>
    <w:rPr>
      <w:rFonts w:ascii="Arial" w:hAnsi="Arial"/>
      <w:i/>
      <w:lang w:val="fr-FR"/>
    </w:rPr>
  </w:style>
  <w:style w:type="paragraph" w:styleId="Heading5">
    <w:name w:val="heading 5"/>
    <w:next w:val="Normal"/>
    <w:autoRedefine/>
    <w:qFormat/>
    <w:rsid w:val="00F37961"/>
    <w:pPr>
      <w:keepNext/>
      <w:ind w:left="1134" w:hanging="567"/>
      <w:jc w:val="both"/>
      <w:outlineLvl w:val="4"/>
    </w:pPr>
    <w:rPr>
      <w:rFonts w:ascii="Arial" w:hAnsi="Arial"/>
      <w:sz w:val="18"/>
      <w:szCs w:val="18"/>
    </w:rPr>
  </w:style>
  <w:style w:type="paragraph" w:styleId="Heading9">
    <w:name w:val="heading 9"/>
    <w:basedOn w:val="Normal"/>
    <w:next w:val="Normal"/>
    <w:qFormat/>
    <w:rsid w:val="00F37961"/>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F37961"/>
    <w:pPr>
      <w:tabs>
        <w:tab w:val="center" w:pos="4536"/>
        <w:tab w:val="right" w:pos="9072"/>
      </w:tabs>
      <w:jc w:val="center"/>
    </w:pPr>
    <w:rPr>
      <w:rFonts w:ascii="Arial" w:hAnsi="Arial"/>
      <w:lang w:val="fr-FR"/>
    </w:rPr>
  </w:style>
  <w:style w:type="paragraph" w:styleId="Footer">
    <w:name w:val="footer"/>
    <w:aliases w:val="doc_path_name"/>
    <w:autoRedefine/>
    <w:rsid w:val="00F37961"/>
    <w:pPr>
      <w:jc w:val="both"/>
    </w:pPr>
    <w:rPr>
      <w:rFonts w:ascii="Arial" w:hAnsi="Arial"/>
      <w:sz w:val="14"/>
    </w:rPr>
  </w:style>
  <w:style w:type="character" w:styleId="PageNumber">
    <w:name w:val="page number"/>
    <w:basedOn w:val="DefaultParagraphFont"/>
    <w:rsid w:val="00F37961"/>
    <w:rPr>
      <w:rFonts w:ascii="Arial" w:hAnsi="Arial"/>
      <w:sz w:val="20"/>
    </w:rPr>
  </w:style>
  <w:style w:type="paragraph" w:styleId="Title">
    <w:name w:val="Title"/>
    <w:basedOn w:val="Normal"/>
    <w:qFormat/>
    <w:rsid w:val="00F37961"/>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F37961"/>
    <w:pPr>
      <w:spacing w:line="280" w:lineRule="exact"/>
      <w:ind w:left="1361"/>
    </w:pPr>
    <w:rPr>
      <w:b/>
      <w:bCs/>
      <w:spacing w:val="10"/>
    </w:rPr>
  </w:style>
  <w:style w:type="paragraph" w:customStyle="1" w:styleId="DecisionParagraphs">
    <w:name w:val="DecisionParagraphs"/>
    <w:basedOn w:val="Normal"/>
    <w:rsid w:val="00F37961"/>
    <w:pPr>
      <w:tabs>
        <w:tab w:val="left" w:pos="5387"/>
      </w:tabs>
      <w:ind w:left="4820"/>
    </w:pPr>
    <w:rPr>
      <w:i/>
    </w:rPr>
  </w:style>
  <w:style w:type="paragraph" w:styleId="FootnoteText">
    <w:name w:val="footnote text"/>
    <w:link w:val="FootnoteTextChar"/>
    <w:rsid w:val="000010AE"/>
    <w:pPr>
      <w:spacing w:before="60"/>
      <w:jc w:val="both"/>
    </w:pPr>
    <w:rPr>
      <w:rFonts w:ascii="Arial" w:hAnsi="Arial"/>
      <w:sz w:val="16"/>
    </w:rPr>
  </w:style>
  <w:style w:type="character" w:styleId="FootnoteReference">
    <w:name w:val="footnote reference"/>
    <w:basedOn w:val="DefaultParagraphFont"/>
    <w:rsid w:val="00F37961"/>
    <w:rPr>
      <w:vertAlign w:val="superscript"/>
    </w:rPr>
  </w:style>
  <w:style w:type="paragraph" w:styleId="Closing">
    <w:name w:val="Closing"/>
    <w:basedOn w:val="Normal"/>
    <w:rsid w:val="00F37961"/>
    <w:pPr>
      <w:ind w:left="4536"/>
      <w:jc w:val="center"/>
    </w:pPr>
  </w:style>
  <w:style w:type="paragraph" w:styleId="Index1">
    <w:name w:val="index 1"/>
    <w:basedOn w:val="Normal"/>
    <w:next w:val="Normal"/>
    <w:semiHidden/>
    <w:rsid w:val="00F37961"/>
    <w:pPr>
      <w:tabs>
        <w:tab w:val="right" w:leader="dot" w:pos="9071"/>
      </w:tabs>
      <w:ind w:left="284" w:hanging="284"/>
    </w:pPr>
    <w:rPr>
      <w:sz w:val="24"/>
    </w:rPr>
  </w:style>
  <w:style w:type="paragraph" w:styleId="Index2">
    <w:name w:val="index 2"/>
    <w:basedOn w:val="Normal"/>
    <w:next w:val="Normal"/>
    <w:semiHidden/>
    <w:rsid w:val="00F37961"/>
    <w:pPr>
      <w:tabs>
        <w:tab w:val="right" w:leader="dot" w:pos="9071"/>
      </w:tabs>
      <w:ind w:left="568" w:hanging="284"/>
    </w:pPr>
    <w:rPr>
      <w:sz w:val="24"/>
    </w:rPr>
  </w:style>
  <w:style w:type="paragraph" w:styleId="Index3">
    <w:name w:val="index 3"/>
    <w:basedOn w:val="Normal"/>
    <w:next w:val="Normal"/>
    <w:semiHidden/>
    <w:rsid w:val="00F37961"/>
    <w:pPr>
      <w:tabs>
        <w:tab w:val="right" w:leader="dot" w:pos="9071"/>
      </w:tabs>
      <w:ind w:left="851" w:hanging="284"/>
    </w:pPr>
    <w:rPr>
      <w:sz w:val="24"/>
    </w:rPr>
  </w:style>
  <w:style w:type="paragraph" w:styleId="MacroText">
    <w:name w:val="macro"/>
    <w:semiHidden/>
    <w:rsid w:val="00F37961"/>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F37961"/>
    <w:pPr>
      <w:ind w:left="4536"/>
      <w:jc w:val="center"/>
    </w:pPr>
  </w:style>
  <w:style w:type="character" w:customStyle="1" w:styleId="Doclang">
    <w:name w:val="Doc_lang"/>
    <w:basedOn w:val="DefaultParagraphFont"/>
    <w:rsid w:val="00F37961"/>
    <w:rPr>
      <w:rFonts w:ascii="Arial" w:hAnsi="Arial"/>
      <w:sz w:val="20"/>
      <w:lang w:val="en-US"/>
    </w:rPr>
  </w:style>
  <w:style w:type="paragraph" w:customStyle="1" w:styleId="Session">
    <w:name w:val="Session"/>
    <w:basedOn w:val="Normal"/>
    <w:semiHidden/>
    <w:rsid w:val="00F37961"/>
    <w:pPr>
      <w:spacing w:before="60"/>
      <w:jc w:val="center"/>
    </w:pPr>
    <w:rPr>
      <w:b/>
    </w:rPr>
  </w:style>
  <w:style w:type="paragraph" w:customStyle="1" w:styleId="Organizer">
    <w:name w:val="Organizer"/>
    <w:basedOn w:val="Normal"/>
    <w:semiHidden/>
    <w:rsid w:val="00F37961"/>
    <w:pPr>
      <w:spacing w:after="600"/>
      <w:ind w:left="-993" w:right="-994"/>
      <w:jc w:val="center"/>
    </w:pPr>
    <w:rPr>
      <w:b/>
      <w:caps/>
      <w:kern w:val="26"/>
      <w:sz w:val="26"/>
    </w:rPr>
  </w:style>
  <w:style w:type="paragraph" w:styleId="BodyText">
    <w:name w:val="Body Text"/>
    <w:basedOn w:val="Normal"/>
    <w:rsid w:val="00F37961"/>
  </w:style>
  <w:style w:type="paragraph" w:customStyle="1" w:styleId="StyleDocoriginalNotBold">
    <w:name w:val="Style Doc_original + Not Bold"/>
    <w:basedOn w:val="Docoriginal"/>
    <w:link w:val="StyleDocoriginalNotBoldChar"/>
    <w:autoRedefine/>
    <w:rsid w:val="00F37961"/>
    <w:pPr>
      <w:ind w:left="1589"/>
      <w:jc w:val="left"/>
    </w:pPr>
  </w:style>
  <w:style w:type="paragraph" w:customStyle="1" w:styleId="upove">
    <w:name w:val="upov_e"/>
    <w:basedOn w:val="Normal"/>
    <w:rsid w:val="00F37961"/>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F37961"/>
  </w:style>
  <w:style w:type="paragraph" w:styleId="EndnoteText">
    <w:name w:val="endnote text"/>
    <w:basedOn w:val="Normal"/>
    <w:semiHidden/>
    <w:rsid w:val="00F37961"/>
  </w:style>
  <w:style w:type="character" w:styleId="EndnoteReference">
    <w:name w:val="endnote reference"/>
    <w:basedOn w:val="DefaultParagraphFont"/>
    <w:semiHidden/>
    <w:rsid w:val="00F37961"/>
    <w:rPr>
      <w:vertAlign w:val="superscript"/>
    </w:rPr>
  </w:style>
  <w:style w:type="paragraph" w:customStyle="1" w:styleId="SessionMeetingPlace">
    <w:name w:val="Session_MeetingPlace"/>
    <w:basedOn w:val="Normal"/>
    <w:semiHidden/>
    <w:rsid w:val="00F37961"/>
    <w:pPr>
      <w:spacing w:before="480"/>
      <w:jc w:val="center"/>
    </w:pPr>
    <w:rPr>
      <w:b/>
      <w:bCs/>
      <w:kern w:val="28"/>
      <w:sz w:val="24"/>
    </w:rPr>
  </w:style>
  <w:style w:type="paragraph" w:customStyle="1" w:styleId="Original">
    <w:name w:val="Original"/>
    <w:basedOn w:val="Normal"/>
    <w:semiHidden/>
    <w:rsid w:val="00F37961"/>
    <w:pPr>
      <w:spacing w:before="60"/>
      <w:ind w:left="1276"/>
    </w:pPr>
    <w:rPr>
      <w:b/>
      <w:sz w:val="22"/>
    </w:rPr>
  </w:style>
  <w:style w:type="paragraph" w:styleId="Date">
    <w:name w:val="Date"/>
    <w:basedOn w:val="Normal"/>
    <w:semiHidden/>
    <w:rsid w:val="00F37961"/>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F37961"/>
    <w:pPr>
      <w:spacing w:before="60" w:after="480"/>
      <w:jc w:val="center"/>
    </w:pPr>
  </w:style>
  <w:style w:type="paragraph" w:customStyle="1" w:styleId="Lettrine">
    <w:name w:val="Lettrine"/>
    <w:basedOn w:val="Normal"/>
    <w:rsid w:val="00F37961"/>
    <w:pPr>
      <w:spacing w:after="120" w:line="340" w:lineRule="atLeast"/>
      <w:jc w:val="right"/>
    </w:pPr>
    <w:rPr>
      <w:b/>
      <w:bCs/>
      <w:sz w:val="56"/>
    </w:rPr>
  </w:style>
  <w:style w:type="paragraph" w:customStyle="1" w:styleId="LogoUPOV">
    <w:name w:val="LogoUPOV"/>
    <w:basedOn w:val="Normal"/>
    <w:rsid w:val="00F37961"/>
    <w:pPr>
      <w:spacing w:before="720"/>
      <w:jc w:val="center"/>
    </w:pPr>
  </w:style>
  <w:style w:type="paragraph" w:customStyle="1" w:styleId="Sessiontc">
    <w:name w:val="Session_tc"/>
    <w:basedOn w:val="StyleSessionAllcaps"/>
    <w:rsid w:val="00F37961"/>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F37961"/>
    <w:pPr>
      <w:spacing w:before="480"/>
    </w:pPr>
    <w:rPr>
      <w:bCs/>
      <w:caps/>
      <w:kern w:val="28"/>
      <w:sz w:val="24"/>
    </w:rPr>
  </w:style>
  <w:style w:type="paragraph" w:customStyle="1" w:styleId="plcountry">
    <w:name w:val="plcountry"/>
    <w:basedOn w:val="Normal"/>
    <w:rsid w:val="00F37961"/>
    <w:pPr>
      <w:keepNext/>
      <w:keepLines/>
      <w:spacing w:before="180" w:after="120"/>
      <w:jc w:val="left"/>
    </w:pPr>
    <w:rPr>
      <w:caps/>
      <w:noProof/>
      <w:snapToGrid w:val="0"/>
      <w:u w:val="single"/>
    </w:rPr>
  </w:style>
  <w:style w:type="paragraph" w:customStyle="1" w:styleId="pldetails">
    <w:name w:val="pldetails"/>
    <w:basedOn w:val="Normal"/>
    <w:rsid w:val="00F37961"/>
    <w:pPr>
      <w:keepLines/>
      <w:spacing w:before="60" w:after="60"/>
      <w:jc w:val="left"/>
    </w:pPr>
    <w:rPr>
      <w:noProof/>
      <w:snapToGrid w:val="0"/>
    </w:rPr>
  </w:style>
  <w:style w:type="paragraph" w:customStyle="1" w:styleId="plheading">
    <w:name w:val="plheading"/>
    <w:basedOn w:val="Normal"/>
    <w:rsid w:val="00F37961"/>
    <w:pPr>
      <w:keepNext/>
      <w:spacing w:before="480" w:after="120"/>
      <w:jc w:val="center"/>
    </w:pPr>
    <w:rPr>
      <w:caps/>
      <w:snapToGrid w:val="0"/>
      <w:u w:val="single"/>
    </w:rPr>
  </w:style>
  <w:style w:type="paragraph" w:customStyle="1" w:styleId="Sessiontcplacedate">
    <w:name w:val="Session_tc_place_date"/>
    <w:basedOn w:val="SessionMeetingPlace"/>
    <w:rsid w:val="00F37961"/>
    <w:pPr>
      <w:spacing w:before="240"/>
    </w:pPr>
  </w:style>
  <w:style w:type="paragraph" w:customStyle="1" w:styleId="Titleofdoc0">
    <w:name w:val="Title_of_doc"/>
    <w:basedOn w:val="Normal"/>
    <w:rsid w:val="00F37961"/>
    <w:pPr>
      <w:spacing w:before="600"/>
      <w:jc w:val="center"/>
    </w:pPr>
    <w:rPr>
      <w:caps/>
    </w:rPr>
  </w:style>
  <w:style w:type="paragraph" w:customStyle="1" w:styleId="preparedby1">
    <w:name w:val="prepared_by"/>
    <w:basedOn w:val="Normal"/>
    <w:semiHidden/>
    <w:rsid w:val="00F37961"/>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F37961"/>
    <w:pPr>
      <w:spacing w:before="480"/>
      <w:ind w:left="567" w:hanging="567"/>
      <w:jc w:val="right"/>
    </w:pPr>
    <w:rPr>
      <w:rFonts w:ascii="Arial" w:hAnsi="Arial"/>
    </w:rPr>
  </w:style>
  <w:style w:type="character" w:customStyle="1" w:styleId="DocoriginalChar">
    <w:name w:val="Doc_original Char"/>
    <w:basedOn w:val="DefaultParagraphFont"/>
    <w:link w:val="Docoriginal"/>
    <w:rsid w:val="00F37961"/>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F37961"/>
    <w:rPr>
      <w:rFonts w:ascii="Arial" w:hAnsi="Arial"/>
      <w:b/>
      <w:bCs/>
      <w:spacing w:val="10"/>
      <w:lang w:val="en-US" w:eastAsia="en-US" w:bidi="ar-SA"/>
    </w:rPr>
  </w:style>
  <w:style w:type="paragraph" w:customStyle="1" w:styleId="StyleDocnumber">
    <w:name w:val="Style Doc_number"/>
    <w:basedOn w:val="Docoriginal"/>
    <w:rsid w:val="00F37961"/>
    <w:pPr>
      <w:ind w:left="1589"/>
    </w:pPr>
  </w:style>
  <w:style w:type="paragraph" w:customStyle="1" w:styleId="StyleDocoriginal">
    <w:name w:val="Style Doc_original"/>
    <w:basedOn w:val="Docoriginal"/>
    <w:link w:val="StyleDocoriginalChar"/>
    <w:rsid w:val="00F37961"/>
  </w:style>
  <w:style w:type="character" w:customStyle="1" w:styleId="StyleDocoriginalChar">
    <w:name w:val="Style Doc_original Char"/>
    <w:basedOn w:val="DocoriginalChar"/>
    <w:link w:val="StyleDocoriginal"/>
    <w:rsid w:val="00F37961"/>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F37961"/>
    <w:rPr>
      <w:rFonts w:ascii="Arial" w:hAnsi="Arial"/>
      <w:b/>
      <w:bCs/>
      <w:spacing w:val="10"/>
      <w:lang w:val="en-US" w:eastAsia="en-US" w:bidi="ar-SA"/>
    </w:rPr>
  </w:style>
  <w:style w:type="character" w:customStyle="1" w:styleId="StyleDoclangBold">
    <w:name w:val="Style Doc_lang + Bold"/>
    <w:basedOn w:val="Doclang"/>
    <w:rsid w:val="00F37961"/>
    <w:rPr>
      <w:rFonts w:ascii="Arial" w:hAnsi="Arial"/>
      <w:b/>
      <w:bCs/>
      <w:sz w:val="20"/>
      <w:lang w:val="en-US"/>
    </w:rPr>
  </w:style>
  <w:style w:type="paragraph" w:styleId="TOC2">
    <w:name w:val="toc 2"/>
    <w:next w:val="Normal"/>
    <w:autoRedefine/>
    <w:uiPriority w:val="39"/>
    <w:rsid w:val="00DD7287"/>
    <w:pPr>
      <w:tabs>
        <w:tab w:val="right" w:leader="dot" w:pos="9639"/>
      </w:tabs>
      <w:spacing w:before="120"/>
      <w:ind w:left="1135" w:right="851" w:hanging="284"/>
      <w:contextualSpacing/>
    </w:pPr>
    <w:rPr>
      <w:rFonts w:ascii="Arial" w:hAnsi="Arial"/>
      <w:noProof/>
      <w:sz w:val="18"/>
      <w:szCs w:val="18"/>
    </w:rPr>
  </w:style>
  <w:style w:type="paragraph" w:styleId="TOC3">
    <w:name w:val="toc 3"/>
    <w:next w:val="Normal"/>
    <w:autoRedefine/>
    <w:uiPriority w:val="39"/>
    <w:rsid w:val="00DD7287"/>
    <w:pPr>
      <w:tabs>
        <w:tab w:val="right" w:leader="dot" w:pos="9639"/>
      </w:tabs>
      <w:spacing w:before="120"/>
      <w:ind w:left="1418" w:right="851" w:hanging="284"/>
      <w:contextualSpacing/>
    </w:pPr>
    <w:rPr>
      <w:rFonts w:ascii="Arial" w:hAnsi="Arial"/>
      <w:i/>
      <w:noProof/>
      <w:sz w:val="18"/>
      <w:szCs w:val="18"/>
      <w:lang w:val="fr-FR"/>
    </w:rPr>
  </w:style>
  <w:style w:type="character" w:styleId="Hyperlink">
    <w:name w:val="Hyperlink"/>
    <w:basedOn w:val="DefaultParagraphFont"/>
    <w:uiPriority w:val="99"/>
    <w:rsid w:val="00F37961"/>
    <w:rPr>
      <w:rFonts w:ascii="Arial" w:hAnsi="Arial"/>
      <w:color w:val="0000FF"/>
      <w:u w:val="single"/>
    </w:rPr>
  </w:style>
  <w:style w:type="paragraph" w:styleId="TOC4">
    <w:name w:val="toc 4"/>
    <w:next w:val="Normal"/>
    <w:autoRedefine/>
    <w:semiHidden/>
    <w:rsid w:val="00F37961"/>
    <w:pPr>
      <w:tabs>
        <w:tab w:val="right" w:leader="dot" w:pos="9639"/>
      </w:tabs>
      <w:spacing w:before="120"/>
      <w:ind w:left="851" w:right="851" w:hanging="284"/>
    </w:pPr>
    <w:rPr>
      <w:rFonts w:ascii="Arial" w:hAnsi="Arial"/>
      <w:i/>
      <w:noProof/>
      <w:lang w:val="fr-FR"/>
    </w:rPr>
  </w:style>
  <w:style w:type="paragraph" w:styleId="TOC1">
    <w:name w:val="toc 1"/>
    <w:next w:val="Normal"/>
    <w:autoRedefine/>
    <w:uiPriority w:val="39"/>
    <w:rsid w:val="00DD7287"/>
    <w:pPr>
      <w:tabs>
        <w:tab w:val="right" w:leader="dot" w:pos="9639"/>
      </w:tabs>
      <w:spacing w:before="120"/>
      <w:ind w:left="851" w:right="284" w:hanging="284"/>
    </w:pPr>
    <w:rPr>
      <w:rFonts w:ascii="Arial" w:hAnsi="Arial"/>
      <w:caps/>
      <w:noProof/>
      <w:sz w:val="18"/>
      <w:szCs w:val="18"/>
    </w:rPr>
  </w:style>
  <w:style w:type="paragraph" w:styleId="TOC5">
    <w:name w:val="toc 5"/>
    <w:next w:val="Normal"/>
    <w:autoRedefine/>
    <w:semiHidden/>
    <w:rsid w:val="00F37961"/>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664515"/>
    <w:rPr>
      <w:rFonts w:ascii="Tahoma" w:hAnsi="Tahoma" w:cs="Tahoma"/>
      <w:sz w:val="16"/>
      <w:szCs w:val="16"/>
    </w:rPr>
  </w:style>
  <w:style w:type="character" w:customStyle="1" w:styleId="BalloonTextChar">
    <w:name w:val="Balloon Text Char"/>
    <w:basedOn w:val="DefaultParagraphFont"/>
    <w:link w:val="BalloonText"/>
    <w:rsid w:val="00664515"/>
    <w:rPr>
      <w:rFonts w:ascii="Tahoma" w:hAnsi="Tahoma" w:cs="Tahoma"/>
      <w:sz w:val="16"/>
      <w:szCs w:val="16"/>
    </w:rPr>
  </w:style>
  <w:style w:type="character" w:customStyle="1" w:styleId="Heading2Char">
    <w:name w:val="Heading 2 Char"/>
    <w:basedOn w:val="DefaultParagraphFont"/>
    <w:link w:val="Heading2"/>
    <w:rsid w:val="00796671"/>
    <w:rPr>
      <w:rFonts w:ascii="Arial" w:hAnsi="Arial"/>
      <w:u w:val="single"/>
    </w:rPr>
  </w:style>
  <w:style w:type="paragraph" w:customStyle="1" w:styleId="DecisionInvitingPara">
    <w:name w:val="Decision Inviting Para."/>
    <w:basedOn w:val="Normal"/>
    <w:rsid w:val="00796671"/>
    <w:pPr>
      <w:ind w:left="4536"/>
    </w:pPr>
    <w:rPr>
      <w:rFonts w:eastAsiaTheme="minorEastAsia"/>
      <w:i/>
      <w:lang w:val="es-ES_tradnl"/>
    </w:rPr>
  </w:style>
  <w:style w:type="paragraph" w:customStyle="1" w:styleId="TOCAnnex">
    <w:name w:val="TOC Annex"/>
    <w:basedOn w:val="Normal"/>
    <w:rsid w:val="00796671"/>
    <w:pPr>
      <w:tabs>
        <w:tab w:val="right" w:pos="9061"/>
      </w:tabs>
      <w:spacing w:before="240" w:after="120"/>
      <w:ind w:left="1021" w:right="567" w:hanging="1021"/>
      <w:jc w:val="left"/>
      <w:outlineLvl w:val="0"/>
    </w:pPr>
    <w:rPr>
      <w:rFonts w:eastAsiaTheme="minorEastAsia"/>
      <w:b/>
      <w:noProof/>
      <w:sz w:val="22"/>
      <w:szCs w:val="22"/>
    </w:rPr>
  </w:style>
  <w:style w:type="character" w:styleId="FollowedHyperlink">
    <w:name w:val="FollowedHyperlink"/>
    <w:basedOn w:val="DefaultParagraphFont"/>
    <w:uiPriority w:val="99"/>
    <w:rsid w:val="00796671"/>
    <w:rPr>
      <w:color w:val="800080" w:themeColor="followedHyperlink"/>
      <w:u w:val="single"/>
    </w:rPr>
  </w:style>
  <w:style w:type="paragraph" w:styleId="ListParagraph">
    <w:name w:val="List Paragraph"/>
    <w:basedOn w:val="Normal"/>
    <w:uiPriority w:val="34"/>
    <w:qFormat/>
    <w:rsid w:val="00796671"/>
    <w:pPr>
      <w:ind w:left="720"/>
      <w:contextualSpacing/>
    </w:pPr>
    <w:rPr>
      <w:rFonts w:eastAsiaTheme="minorEastAsia"/>
    </w:rPr>
  </w:style>
  <w:style w:type="character" w:styleId="Emphasis">
    <w:name w:val="Emphasis"/>
    <w:basedOn w:val="DefaultParagraphFont"/>
    <w:qFormat/>
    <w:rsid w:val="00796671"/>
    <w:rPr>
      <w:i/>
      <w:iCs/>
    </w:rPr>
  </w:style>
  <w:style w:type="character" w:customStyle="1" w:styleId="FootnoteTextChar">
    <w:name w:val="Footnote Text Char"/>
    <w:basedOn w:val="DefaultParagraphFont"/>
    <w:link w:val="FootnoteText"/>
    <w:rsid w:val="000010AE"/>
    <w:rPr>
      <w:rFonts w:ascii="Arial" w:hAnsi="Arial"/>
      <w:sz w:val="16"/>
    </w:rPr>
  </w:style>
  <w:style w:type="table" w:styleId="TableGrid">
    <w:name w:val="Table Grid"/>
    <w:basedOn w:val="TableNormal"/>
    <w:rsid w:val="00796671"/>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Normal"/>
    <w:rsid w:val="00796671"/>
    <w:pPr>
      <w:spacing w:before="100" w:beforeAutospacing="1" w:after="100" w:afterAutospacing="1"/>
      <w:jc w:val="left"/>
    </w:pPr>
    <w:rPr>
      <w:rFonts w:ascii="Times New Roman" w:eastAsiaTheme="minorEastAsia" w:hAnsi="Times New Roman"/>
      <w:sz w:val="24"/>
      <w:szCs w:val="24"/>
    </w:rPr>
  </w:style>
  <w:style w:type="paragraph" w:customStyle="1" w:styleId="xl66">
    <w:name w:val="xl66"/>
    <w:basedOn w:val="Normal"/>
    <w:rsid w:val="00796671"/>
    <w:pPr>
      <w:pBdr>
        <w:top w:val="single" w:sz="4" w:space="0" w:color="auto"/>
        <w:left w:val="single" w:sz="8" w:space="0" w:color="auto"/>
        <w:bottom w:val="single" w:sz="8" w:space="0" w:color="auto"/>
        <w:right w:val="single" w:sz="8" w:space="0" w:color="auto"/>
      </w:pBdr>
      <w:spacing w:before="100" w:beforeAutospacing="1" w:after="100" w:afterAutospacing="1"/>
      <w:jc w:val="left"/>
    </w:pPr>
    <w:rPr>
      <w:rFonts w:ascii="Times New Roman" w:eastAsiaTheme="minorEastAsia" w:hAnsi="Times New Roman"/>
      <w:sz w:val="24"/>
      <w:szCs w:val="24"/>
    </w:rPr>
  </w:style>
  <w:style w:type="paragraph" w:customStyle="1" w:styleId="xl67">
    <w:name w:val="xl67"/>
    <w:basedOn w:val="Normal"/>
    <w:rsid w:val="00796671"/>
    <w:pPr>
      <w:pBdr>
        <w:top w:val="single" w:sz="4" w:space="0" w:color="auto"/>
        <w:left w:val="single" w:sz="8" w:space="0" w:color="auto"/>
        <w:bottom w:val="single" w:sz="8" w:space="0" w:color="auto"/>
      </w:pBdr>
      <w:spacing w:before="100" w:beforeAutospacing="1" w:after="100" w:afterAutospacing="1"/>
      <w:jc w:val="left"/>
    </w:pPr>
    <w:rPr>
      <w:rFonts w:ascii="Times New Roman" w:eastAsiaTheme="minorEastAsia" w:hAnsi="Times New Roman"/>
      <w:sz w:val="24"/>
      <w:szCs w:val="24"/>
    </w:rPr>
  </w:style>
  <w:style w:type="paragraph" w:customStyle="1" w:styleId="xl68">
    <w:name w:val="xl68"/>
    <w:basedOn w:val="Normal"/>
    <w:rsid w:val="00796671"/>
    <w:pPr>
      <w:pBdr>
        <w:top w:val="single" w:sz="4" w:space="0" w:color="auto"/>
        <w:bottom w:val="single" w:sz="8" w:space="0" w:color="auto"/>
        <w:right w:val="single" w:sz="8" w:space="0" w:color="auto"/>
      </w:pBdr>
      <w:spacing w:before="100" w:beforeAutospacing="1" w:after="100" w:afterAutospacing="1"/>
      <w:jc w:val="left"/>
    </w:pPr>
    <w:rPr>
      <w:rFonts w:ascii="Times New Roman" w:eastAsiaTheme="minorEastAsia" w:hAnsi="Times New Roman"/>
      <w:sz w:val="24"/>
      <w:szCs w:val="24"/>
    </w:rPr>
  </w:style>
  <w:style w:type="paragraph" w:customStyle="1" w:styleId="xl69">
    <w:name w:val="xl69"/>
    <w:basedOn w:val="Normal"/>
    <w:rsid w:val="00796671"/>
    <w:pPr>
      <w:pBdr>
        <w:top w:val="single" w:sz="8" w:space="0" w:color="auto"/>
        <w:left w:val="single" w:sz="8" w:space="0" w:color="auto"/>
        <w:bottom w:val="single" w:sz="4" w:space="0" w:color="auto"/>
      </w:pBdr>
      <w:spacing w:before="100" w:beforeAutospacing="1" w:after="100" w:afterAutospacing="1"/>
      <w:jc w:val="left"/>
    </w:pPr>
    <w:rPr>
      <w:rFonts w:ascii="Times New Roman" w:eastAsiaTheme="minorEastAsia" w:hAnsi="Times New Roman"/>
      <w:sz w:val="24"/>
      <w:szCs w:val="24"/>
    </w:rPr>
  </w:style>
  <w:style w:type="paragraph" w:customStyle="1" w:styleId="xl70">
    <w:name w:val="xl70"/>
    <w:basedOn w:val="Normal"/>
    <w:rsid w:val="00796671"/>
    <w:pPr>
      <w:pBdr>
        <w:top w:val="single" w:sz="4" w:space="0" w:color="auto"/>
        <w:left w:val="single" w:sz="8" w:space="0" w:color="auto"/>
        <w:bottom w:val="single" w:sz="4" w:space="0" w:color="auto"/>
        <w:right w:val="single" w:sz="8" w:space="0" w:color="auto"/>
      </w:pBdr>
      <w:spacing w:before="100" w:beforeAutospacing="1" w:after="100" w:afterAutospacing="1"/>
      <w:jc w:val="left"/>
    </w:pPr>
    <w:rPr>
      <w:rFonts w:ascii="Times New Roman" w:eastAsiaTheme="minorEastAsia" w:hAnsi="Times New Roman"/>
      <w:sz w:val="24"/>
      <w:szCs w:val="24"/>
    </w:rPr>
  </w:style>
  <w:style w:type="paragraph" w:customStyle="1" w:styleId="xl71">
    <w:name w:val="xl71"/>
    <w:basedOn w:val="Normal"/>
    <w:rsid w:val="00796671"/>
    <w:pPr>
      <w:pBdr>
        <w:top w:val="single" w:sz="4" w:space="0" w:color="auto"/>
        <w:left w:val="single" w:sz="8" w:space="0" w:color="auto"/>
        <w:bottom w:val="single" w:sz="4" w:space="0" w:color="auto"/>
      </w:pBdr>
      <w:spacing w:before="100" w:beforeAutospacing="1" w:after="100" w:afterAutospacing="1"/>
      <w:jc w:val="left"/>
    </w:pPr>
    <w:rPr>
      <w:rFonts w:ascii="Times New Roman" w:eastAsiaTheme="minorEastAsia" w:hAnsi="Times New Roman"/>
      <w:sz w:val="24"/>
      <w:szCs w:val="24"/>
    </w:rPr>
  </w:style>
  <w:style w:type="paragraph" w:customStyle="1" w:styleId="xl72">
    <w:name w:val="xl72"/>
    <w:basedOn w:val="Normal"/>
    <w:rsid w:val="00796671"/>
    <w:pPr>
      <w:pBdr>
        <w:top w:val="single" w:sz="4" w:space="0" w:color="auto"/>
        <w:bottom w:val="single" w:sz="4" w:space="0" w:color="auto"/>
        <w:right w:val="single" w:sz="8" w:space="0" w:color="auto"/>
      </w:pBdr>
      <w:spacing w:before="100" w:beforeAutospacing="1" w:after="100" w:afterAutospacing="1"/>
      <w:jc w:val="left"/>
    </w:pPr>
    <w:rPr>
      <w:rFonts w:ascii="Times New Roman" w:eastAsiaTheme="minorEastAsia" w:hAnsi="Times New Roman"/>
      <w:sz w:val="24"/>
      <w:szCs w:val="24"/>
    </w:rPr>
  </w:style>
  <w:style w:type="paragraph" w:customStyle="1" w:styleId="xl73">
    <w:name w:val="xl73"/>
    <w:basedOn w:val="Normal"/>
    <w:rsid w:val="00796671"/>
    <w:pPr>
      <w:pBdr>
        <w:top w:val="single" w:sz="8" w:space="0" w:color="auto"/>
        <w:bottom w:val="single" w:sz="4" w:space="0" w:color="auto"/>
        <w:right w:val="single" w:sz="8" w:space="0" w:color="auto"/>
      </w:pBdr>
      <w:spacing w:before="100" w:beforeAutospacing="1" w:after="100" w:afterAutospacing="1"/>
      <w:jc w:val="left"/>
      <w:textAlignment w:val="center"/>
    </w:pPr>
    <w:rPr>
      <w:rFonts w:ascii="Times New Roman" w:eastAsiaTheme="minorEastAsia" w:hAnsi="Times New Roman"/>
      <w:sz w:val="24"/>
      <w:szCs w:val="24"/>
    </w:rPr>
  </w:style>
  <w:style w:type="paragraph" w:customStyle="1" w:styleId="xl74">
    <w:name w:val="xl74"/>
    <w:basedOn w:val="Normal"/>
    <w:rsid w:val="00796671"/>
    <w:pPr>
      <w:pBdr>
        <w:top w:val="single" w:sz="4" w:space="0" w:color="auto"/>
        <w:bottom w:val="single" w:sz="4" w:space="0" w:color="auto"/>
        <w:right w:val="single" w:sz="8" w:space="0" w:color="auto"/>
      </w:pBdr>
      <w:spacing w:before="100" w:beforeAutospacing="1" w:after="100" w:afterAutospacing="1"/>
      <w:jc w:val="left"/>
      <w:textAlignment w:val="center"/>
    </w:pPr>
    <w:rPr>
      <w:rFonts w:ascii="Times New Roman" w:eastAsiaTheme="minorEastAsia" w:hAnsi="Times New Roman"/>
      <w:sz w:val="24"/>
      <w:szCs w:val="24"/>
    </w:rPr>
  </w:style>
  <w:style w:type="paragraph" w:customStyle="1" w:styleId="xl75">
    <w:name w:val="xl75"/>
    <w:basedOn w:val="Normal"/>
    <w:rsid w:val="00796671"/>
    <w:pPr>
      <w:pBdr>
        <w:top w:val="single" w:sz="8" w:space="0" w:color="auto"/>
        <w:left w:val="single" w:sz="8" w:space="0" w:color="auto"/>
        <w:bottom w:val="single" w:sz="4" w:space="0" w:color="auto"/>
        <w:right w:val="single" w:sz="8" w:space="0" w:color="auto"/>
      </w:pBdr>
      <w:spacing w:before="100" w:beforeAutospacing="1" w:after="100" w:afterAutospacing="1"/>
      <w:jc w:val="left"/>
      <w:textAlignment w:val="center"/>
    </w:pPr>
    <w:rPr>
      <w:rFonts w:ascii="Times New Roman" w:eastAsiaTheme="minorEastAsia" w:hAnsi="Times New Roman"/>
      <w:sz w:val="24"/>
      <w:szCs w:val="24"/>
    </w:rPr>
  </w:style>
  <w:style w:type="paragraph" w:customStyle="1" w:styleId="xl76">
    <w:name w:val="xl76"/>
    <w:basedOn w:val="Normal"/>
    <w:rsid w:val="00796671"/>
    <w:pPr>
      <w:pBdr>
        <w:top w:val="single" w:sz="4" w:space="0" w:color="auto"/>
        <w:left w:val="single" w:sz="8" w:space="0" w:color="auto"/>
        <w:bottom w:val="single" w:sz="4" w:space="0" w:color="auto"/>
        <w:right w:val="single" w:sz="8" w:space="0" w:color="auto"/>
      </w:pBdr>
      <w:spacing w:before="100" w:beforeAutospacing="1" w:after="100" w:afterAutospacing="1"/>
      <w:jc w:val="left"/>
      <w:textAlignment w:val="center"/>
    </w:pPr>
    <w:rPr>
      <w:rFonts w:ascii="Times New Roman" w:eastAsiaTheme="minorEastAsia"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4234005">
      <w:bodyDiv w:val="1"/>
      <w:marLeft w:val="0"/>
      <w:marRight w:val="0"/>
      <w:marTop w:val="0"/>
      <w:marBottom w:val="0"/>
      <w:divBdr>
        <w:top w:val="none" w:sz="0" w:space="0" w:color="auto"/>
        <w:left w:val="none" w:sz="0" w:space="0" w:color="auto"/>
        <w:bottom w:val="none" w:sz="0" w:space="0" w:color="auto"/>
        <w:right w:val="none" w:sz="0" w:space="0" w:color="auto"/>
      </w:divBdr>
      <w:divsChild>
        <w:div w:id="773207046">
          <w:marLeft w:val="0"/>
          <w:marRight w:val="0"/>
          <w:marTop w:val="0"/>
          <w:marBottom w:val="0"/>
          <w:divBdr>
            <w:top w:val="none" w:sz="0" w:space="0" w:color="auto"/>
            <w:left w:val="none" w:sz="0" w:space="0" w:color="auto"/>
            <w:bottom w:val="none" w:sz="0" w:space="0" w:color="auto"/>
            <w:right w:val="none" w:sz="0" w:space="0" w:color="auto"/>
          </w:divBdr>
          <w:divsChild>
            <w:div w:id="514729110">
              <w:marLeft w:val="0"/>
              <w:marRight w:val="0"/>
              <w:marTop w:val="0"/>
              <w:marBottom w:val="0"/>
              <w:divBdr>
                <w:top w:val="none" w:sz="0" w:space="0" w:color="auto"/>
                <w:left w:val="none" w:sz="0" w:space="0" w:color="auto"/>
                <w:bottom w:val="none" w:sz="0" w:space="0" w:color="auto"/>
                <w:right w:val="none" w:sz="0" w:space="0" w:color="auto"/>
              </w:divBdr>
              <w:divsChild>
                <w:div w:id="2062552396">
                  <w:marLeft w:val="0"/>
                  <w:marRight w:val="0"/>
                  <w:marTop w:val="0"/>
                  <w:marBottom w:val="0"/>
                  <w:divBdr>
                    <w:top w:val="none" w:sz="0" w:space="0" w:color="auto"/>
                    <w:left w:val="none" w:sz="0" w:space="0" w:color="auto"/>
                    <w:bottom w:val="none" w:sz="0" w:space="0" w:color="auto"/>
                    <w:right w:val="none" w:sz="0" w:space="0" w:color="auto"/>
                  </w:divBdr>
                  <w:divsChild>
                    <w:div w:id="528372745">
                      <w:marLeft w:val="0"/>
                      <w:marRight w:val="0"/>
                      <w:marTop w:val="0"/>
                      <w:marBottom w:val="0"/>
                      <w:divBdr>
                        <w:top w:val="none" w:sz="0" w:space="0" w:color="auto"/>
                        <w:left w:val="none" w:sz="0" w:space="0" w:color="auto"/>
                        <w:bottom w:val="none" w:sz="0" w:space="0" w:color="auto"/>
                        <w:right w:val="none" w:sz="0" w:space="0" w:color="auto"/>
                      </w:divBdr>
                      <w:divsChild>
                        <w:div w:id="1543976464">
                          <w:marLeft w:val="0"/>
                          <w:marRight w:val="0"/>
                          <w:marTop w:val="0"/>
                          <w:marBottom w:val="0"/>
                          <w:divBdr>
                            <w:top w:val="none" w:sz="0" w:space="0" w:color="auto"/>
                            <w:left w:val="none" w:sz="0" w:space="0" w:color="auto"/>
                            <w:bottom w:val="none" w:sz="0" w:space="0" w:color="auto"/>
                            <w:right w:val="none" w:sz="0" w:space="0" w:color="auto"/>
                          </w:divBdr>
                          <w:divsChild>
                            <w:div w:id="1233782930">
                              <w:marLeft w:val="0"/>
                              <w:marRight w:val="0"/>
                              <w:marTop w:val="0"/>
                              <w:marBottom w:val="0"/>
                              <w:divBdr>
                                <w:top w:val="none" w:sz="0" w:space="0" w:color="auto"/>
                                <w:left w:val="none" w:sz="0" w:space="0" w:color="auto"/>
                                <w:bottom w:val="none" w:sz="0" w:space="0" w:color="auto"/>
                                <w:right w:val="none" w:sz="0" w:space="0" w:color="auto"/>
                              </w:divBdr>
                              <w:divsChild>
                                <w:div w:id="1201938853">
                                  <w:marLeft w:val="0"/>
                                  <w:marRight w:val="0"/>
                                  <w:marTop w:val="0"/>
                                  <w:marBottom w:val="0"/>
                                  <w:divBdr>
                                    <w:top w:val="none" w:sz="0" w:space="0" w:color="auto"/>
                                    <w:left w:val="none" w:sz="0" w:space="0" w:color="auto"/>
                                    <w:bottom w:val="none" w:sz="0" w:space="0" w:color="auto"/>
                                    <w:right w:val="none" w:sz="0" w:space="0" w:color="auto"/>
                                  </w:divBdr>
                                  <w:divsChild>
                                    <w:div w:id="1871137822">
                                      <w:marLeft w:val="0"/>
                                      <w:marRight w:val="0"/>
                                      <w:marTop w:val="0"/>
                                      <w:marBottom w:val="0"/>
                                      <w:divBdr>
                                        <w:top w:val="none" w:sz="0" w:space="0" w:color="auto"/>
                                        <w:left w:val="none" w:sz="0" w:space="0" w:color="auto"/>
                                        <w:bottom w:val="none" w:sz="0" w:space="0" w:color="auto"/>
                                        <w:right w:val="none" w:sz="0" w:space="0" w:color="auto"/>
                                      </w:divBdr>
                                      <w:divsChild>
                                        <w:div w:id="55204693">
                                          <w:marLeft w:val="0"/>
                                          <w:marRight w:val="0"/>
                                          <w:marTop w:val="0"/>
                                          <w:marBottom w:val="0"/>
                                          <w:divBdr>
                                            <w:top w:val="none" w:sz="0" w:space="0" w:color="auto"/>
                                            <w:left w:val="none" w:sz="0" w:space="0" w:color="auto"/>
                                            <w:bottom w:val="none" w:sz="0" w:space="0" w:color="auto"/>
                                            <w:right w:val="none" w:sz="0" w:space="0" w:color="auto"/>
                                          </w:divBdr>
                                          <w:divsChild>
                                            <w:div w:id="1798986061">
                                              <w:marLeft w:val="0"/>
                                              <w:marRight w:val="0"/>
                                              <w:marTop w:val="0"/>
                                              <w:marBottom w:val="0"/>
                                              <w:divBdr>
                                                <w:top w:val="none" w:sz="0" w:space="0" w:color="auto"/>
                                                <w:left w:val="none" w:sz="0" w:space="0" w:color="auto"/>
                                                <w:bottom w:val="none" w:sz="0" w:space="0" w:color="auto"/>
                                                <w:right w:val="none" w:sz="0" w:space="0" w:color="auto"/>
                                              </w:divBdr>
                                              <w:divsChild>
                                                <w:div w:id="424425595">
                                                  <w:marLeft w:val="0"/>
                                                  <w:marRight w:val="0"/>
                                                  <w:marTop w:val="0"/>
                                                  <w:marBottom w:val="0"/>
                                                  <w:divBdr>
                                                    <w:top w:val="none" w:sz="0" w:space="0" w:color="auto"/>
                                                    <w:left w:val="none" w:sz="0" w:space="0" w:color="auto"/>
                                                    <w:bottom w:val="none" w:sz="0" w:space="0" w:color="auto"/>
                                                    <w:right w:val="none" w:sz="0" w:space="0" w:color="auto"/>
                                                  </w:divBdr>
                                                  <w:divsChild>
                                                    <w:div w:id="1450390729">
                                                      <w:marLeft w:val="0"/>
                                                      <w:marRight w:val="0"/>
                                                      <w:marTop w:val="0"/>
                                                      <w:marBottom w:val="0"/>
                                                      <w:divBdr>
                                                        <w:top w:val="none" w:sz="0" w:space="0" w:color="auto"/>
                                                        <w:left w:val="none" w:sz="0" w:space="0" w:color="auto"/>
                                                        <w:bottom w:val="none" w:sz="0" w:space="0" w:color="auto"/>
                                                        <w:right w:val="none" w:sz="0" w:space="0" w:color="auto"/>
                                                      </w:divBdr>
                                                      <w:divsChild>
                                                        <w:div w:id="1227034250">
                                                          <w:marLeft w:val="0"/>
                                                          <w:marRight w:val="0"/>
                                                          <w:marTop w:val="0"/>
                                                          <w:marBottom w:val="0"/>
                                                          <w:divBdr>
                                                            <w:top w:val="none" w:sz="0" w:space="0" w:color="auto"/>
                                                            <w:left w:val="none" w:sz="0" w:space="0" w:color="auto"/>
                                                            <w:bottom w:val="none" w:sz="0" w:space="0" w:color="auto"/>
                                                            <w:right w:val="none" w:sz="0" w:space="0" w:color="auto"/>
                                                          </w:divBdr>
                                                          <w:divsChild>
                                                            <w:div w:id="226453266">
                                                              <w:marLeft w:val="0"/>
                                                              <w:marRight w:val="0"/>
                                                              <w:marTop w:val="0"/>
                                                              <w:marBottom w:val="0"/>
                                                              <w:divBdr>
                                                                <w:top w:val="none" w:sz="0" w:space="0" w:color="auto"/>
                                                                <w:left w:val="none" w:sz="0" w:space="0" w:color="auto"/>
                                                                <w:bottom w:val="none" w:sz="0" w:space="0" w:color="auto"/>
                                                                <w:right w:val="none" w:sz="0" w:space="0" w:color="auto"/>
                                                              </w:divBdr>
                                                              <w:divsChild>
                                                                <w:div w:id="1556231682">
                                                                  <w:marLeft w:val="0"/>
                                                                  <w:marRight w:val="0"/>
                                                                  <w:marTop w:val="0"/>
                                                                  <w:marBottom w:val="0"/>
                                                                  <w:divBdr>
                                                                    <w:top w:val="none" w:sz="0" w:space="0" w:color="auto"/>
                                                                    <w:left w:val="none" w:sz="0" w:space="0" w:color="auto"/>
                                                                    <w:bottom w:val="none" w:sz="0" w:space="0" w:color="auto"/>
                                                                    <w:right w:val="none" w:sz="0" w:space="0" w:color="auto"/>
                                                                  </w:divBdr>
                                                                  <w:divsChild>
                                                                    <w:div w:id="1626813800">
                                                                      <w:marLeft w:val="0"/>
                                                                      <w:marRight w:val="0"/>
                                                                      <w:marTop w:val="0"/>
                                                                      <w:marBottom w:val="0"/>
                                                                      <w:divBdr>
                                                                        <w:top w:val="none" w:sz="0" w:space="0" w:color="auto"/>
                                                                        <w:left w:val="none" w:sz="0" w:space="0" w:color="auto"/>
                                                                        <w:bottom w:val="none" w:sz="0" w:space="0" w:color="auto"/>
                                                                        <w:right w:val="none" w:sz="0" w:space="0" w:color="auto"/>
                                                                      </w:divBdr>
                                                                      <w:divsChild>
                                                                        <w:div w:id="81343831">
                                                                          <w:marLeft w:val="0"/>
                                                                          <w:marRight w:val="0"/>
                                                                          <w:marTop w:val="0"/>
                                                                          <w:marBottom w:val="0"/>
                                                                          <w:divBdr>
                                                                            <w:top w:val="none" w:sz="0" w:space="0" w:color="auto"/>
                                                                            <w:left w:val="none" w:sz="0" w:space="0" w:color="auto"/>
                                                                            <w:bottom w:val="none" w:sz="0" w:space="0" w:color="auto"/>
                                                                            <w:right w:val="none" w:sz="0" w:space="0" w:color="auto"/>
                                                                          </w:divBdr>
                                                                          <w:divsChild>
                                                                            <w:div w:id="123350933">
                                                                              <w:marLeft w:val="0"/>
                                                                              <w:marRight w:val="0"/>
                                                                              <w:marTop w:val="0"/>
                                                                              <w:marBottom w:val="0"/>
                                                                              <w:divBdr>
                                                                                <w:top w:val="none" w:sz="0" w:space="0" w:color="auto"/>
                                                                                <w:left w:val="none" w:sz="0" w:space="0" w:color="auto"/>
                                                                                <w:bottom w:val="none" w:sz="0" w:space="0" w:color="auto"/>
                                                                                <w:right w:val="none" w:sz="0" w:space="0" w:color="auto"/>
                                                                              </w:divBdr>
                                                                              <w:divsChild>
                                                                                <w:div w:id="934216791">
                                                                                  <w:marLeft w:val="0"/>
                                                                                  <w:marRight w:val="0"/>
                                                                                  <w:marTop w:val="0"/>
                                                                                  <w:marBottom w:val="0"/>
                                                                                  <w:divBdr>
                                                                                    <w:top w:val="none" w:sz="0" w:space="0" w:color="auto"/>
                                                                                    <w:left w:val="none" w:sz="0" w:space="0" w:color="auto"/>
                                                                                    <w:bottom w:val="none" w:sz="0" w:space="0" w:color="auto"/>
                                                                                    <w:right w:val="none" w:sz="0" w:space="0" w:color="auto"/>
                                                                                  </w:divBdr>
                                                                                  <w:divsChild>
                                                                                    <w:div w:id="173764817">
                                                                                      <w:marLeft w:val="0"/>
                                                                                      <w:marRight w:val="0"/>
                                                                                      <w:marTop w:val="0"/>
                                                                                      <w:marBottom w:val="0"/>
                                                                                      <w:divBdr>
                                                                                        <w:top w:val="none" w:sz="0" w:space="0" w:color="auto"/>
                                                                                        <w:left w:val="none" w:sz="0" w:space="0" w:color="auto"/>
                                                                                        <w:bottom w:val="none" w:sz="0" w:space="0" w:color="auto"/>
                                                                                        <w:right w:val="none" w:sz="0" w:space="0" w:color="auto"/>
                                                                                      </w:divBdr>
                                                                                      <w:divsChild>
                                                                                        <w:div w:id="1481310425">
                                                                                          <w:marLeft w:val="0"/>
                                                                                          <w:marRight w:val="0"/>
                                                                                          <w:marTop w:val="0"/>
                                                                                          <w:marBottom w:val="0"/>
                                                                                          <w:divBdr>
                                                                                            <w:top w:val="none" w:sz="0" w:space="0" w:color="auto"/>
                                                                                            <w:left w:val="none" w:sz="0" w:space="0" w:color="auto"/>
                                                                                            <w:bottom w:val="none" w:sz="0" w:space="0" w:color="auto"/>
                                                                                            <w:right w:val="none" w:sz="0" w:space="0" w:color="auto"/>
                                                                                          </w:divBdr>
                                                                                          <w:divsChild>
                                                                                            <w:div w:id="854226140">
                                                                                              <w:marLeft w:val="0"/>
                                                                                              <w:marRight w:val="0"/>
                                                                                              <w:marTop w:val="0"/>
                                                                                              <w:marBottom w:val="0"/>
                                                                                              <w:divBdr>
                                                                                                <w:top w:val="none" w:sz="0" w:space="0" w:color="auto"/>
                                                                                                <w:left w:val="none" w:sz="0" w:space="0" w:color="auto"/>
                                                                                                <w:bottom w:val="none" w:sz="0" w:space="0" w:color="auto"/>
                                                                                                <w:right w:val="none" w:sz="0" w:space="0" w:color="auto"/>
                                                                                              </w:divBdr>
                                                                                              <w:divsChild>
                                                                                                <w:div w:id="239945097">
                                                                                                  <w:marLeft w:val="0"/>
                                                                                                  <w:marRight w:val="0"/>
                                                                                                  <w:marTop w:val="150"/>
                                                                                                  <w:marBottom w:val="150"/>
                                                                                                  <w:divBdr>
                                                                                                    <w:top w:val="none" w:sz="0" w:space="0" w:color="auto"/>
                                                                                                    <w:left w:val="none" w:sz="0" w:space="0" w:color="auto"/>
                                                                                                    <w:bottom w:val="none" w:sz="0" w:space="0" w:color="auto"/>
                                                                                                    <w:right w:val="none" w:sz="0" w:space="0" w:color="auto"/>
                                                                                                  </w:divBdr>
                                                                                                </w:div>
                                                                                                <w:div w:id="1077871016">
                                                                                                  <w:marLeft w:val="0"/>
                                                                                                  <w:marRight w:val="0"/>
                                                                                                  <w:marTop w:val="150"/>
                                                                                                  <w:marBottom w:val="150"/>
                                                                                                  <w:divBdr>
                                                                                                    <w:top w:val="none" w:sz="0" w:space="0" w:color="auto"/>
                                                                                                    <w:left w:val="none" w:sz="0" w:space="0" w:color="auto"/>
                                                                                                    <w:bottom w:val="none" w:sz="0" w:space="0" w:color="auto"/>
                                                                                                    <w:right w:val="none" w:sz="0" w:space="0" w:color="auto"/>
                                                                                                  </w:divBdr>
                                                                                                </w:div>
                                                                                                <w:div w:id="255286692">
                                                                                                  <w:marLeft w:val="0"/>
                                                                                                  <w:marRight w:val="0"/>
                                                                                                  <w:marTop w:val="150"/>
                                                                                                  <w:marBottom w:val="150"/>
                                                                                                  <w:divBdr>
                                                                                                    <w:top w:val="none" w:sz="0" w:space="0" w:color="auto"/>
                                                                                                    <w:left w:val="none" w:sz="0" w:space="0" w:color="auto"/>
                                                                                                    <w:bottom w:val="none" w:sz="0" w:space="0" w:color="auto"/>
                                                                                                    <w:right w:val="none" w:sz="0" w:space="0" w:color="auto"/>
                                                                                                  </w:divBdr>
                                                                                                </w:div>
                                                                                                <w:div w:id="6376911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footnotes.xml.rels><?xml version="1.0" encoding="UTF-8" standalone="yes"?>
<Relationships xmlns="http://schemas.openxmlformats.org/package/2006/relationships"><Relationship Id="rId3" Type="http://schemas.openxmlformats.org/officeDocument/2006/relationships/hyperlink" Target="http://www.iso.org/iso/home/store/catalogue_tc/catalogue_detail.htm?csnumber=28245" TargetMode="External"/><Relationship Id="rId2" Type="http://schemas.openxmlformats.org/officeDocument/2006/relationships/hyperlink" Target="http://www.upov.int/genie/en/reports/" TargetMode="External"/><Relationship Id="rId1" Type="http://schemas.openxmlformats.org/officeDocument/2006/relationships/hyperlink" Target="http://www.upov.int/genie/en/species.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62AA8C-B301-4152-A0E8-EBA31FB9E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6</Pages>
  <Words>2003</Words>
  <Characters>11015</Characters>
  <Application>Microsoft Office Word</Application>
  <DocSecurity>0</DocSecurity>
  <Lines>91</Lines>
  <Paragraphs>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CAJ/70/</vt:lpstr>
      <vt:lpstr>CAJ/70/</vt:lpstr>
    </vt:vector>
  </TitlesOfParts>
  <Company>UPOV</Company>
  <LinksUpToDate>false</LinksUpToDate>
  <CharactersWithSpaces>12993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CAJ/70/</dc:title>
  <dc:creator>PASIEKA Allie</dc:creator>
  <cp:keywords>MFB/mhf</cp:keywords>
  <cp:lastModifiedBy>BESSE Ariane</cp:lastModifiedBy>
  <cp:revision>11</cp:revision>
  <cp:lastPrinted>2015-10-14T10:08:00Z</cp:lastPrinted>
  <dcterms:created xsi:type="dcterms:W3CDTF">2015-10-11T10:04:00Z</dcterms:created>
  <dcterms:modified xsi:type="dcterms:W3CDTF">2015-10-14T10:08:00Z</dcterms:modified>
</cp:coreProperties>
</file>